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CB6E0" w14:textId="6DBA4269" w:rsidR="000811A4" w:rsidRPr="009426E5" w:rsidRDefault="000811A4" w:rsidP="000811A4">
      <w:pPr>
        <w:spacing w:before="1440"/>
        <w:jc w:val="center"/>
        <w:rPr>
          <w:rFonts w:ascii="Arial" w:hAnsi="Arial" w:cs="Arial"/>
          <w:b/>
          <w:sz w:val="22"/>
          <w:szCs w:val="22"/>
          <w:lang w:val="en-GB"/>
        </w:rPr>
      </w:pPr>
      <w:r w:rsidRPr="009426E5">
        <w:rPr>
          <w:rFonts w:ascii="Arial" w:hAnsi="Arial" w:cs="Arial"/>
          <w:b/>
          <w:sz w:val="22"/>
          <w:szCs w:val="22"/>
          <w:lang w:val="en-GB"/>
        </w:rPr>
        <w:t>CONVENT</w:t>
      </w:r>
      <w:r w:rsidR="0014445F">
        <w:rPr>
          <w:rFonts w:ascii="Arial" w:hAnsi="Arial" w:cs="Arial"/>
          <w:b/>
          <w:sz w:val="22"/>
          <w:szCs w:val="22"/>
          <w:lang w:val="en-GB"/>
        </w:rPr>
        <w:t>ION FOR THE SAFEGUARDING OF THE</w:t>
      </w:r>
      <w:r w:rsidRPr="009426E5">
        <w:rPr>
          <w:rFonts w:ascii="Arial" w:hAnsi="Arial" w:cs="Arial"/>
          <w:b/>
          <w:sz w:val="22"/>
          <w:szCs w:val="22"/>
          <w:lang w:val="en-GB"/>
        </w:rPr>
        <w:br/>
        <w:t>INTANGIBLE CULTURAL HERITAGE</w:t>
      </w:r>
    </w:p>
    <w:p w14:paraId="5D5079C7" w14:textId="77777777" w:rsidR="000811A4" w:rsidRPr="009426E5" w:rsidRDefault="000811A4" w:rsidP="000811A4">
      <w:pPr>
        <w:spacing w:before="1200"/>
        <w:jc w:val="center"/>
        <w:rPr>
          <w:rFonts w:ascii="Arial" w:hAnsi="Arial" w:cs="Arial"/>
          <w:b/>
          <w:sz w:val="22"/>
          <w:szCs w:val="22"/>
          <w:lang w:val="en-GB"/>
        </w:rPr>
      </w:pPr>
      <w:r w:rsidRPr="009426E5">
        <w:rPr>
          <w:rFonts w:ascii="Arial" w:hAnsi="Arial" w:cs="Arial"/>
          <w:b/>
          <w:sz w:val="22"/>
          <w:szCs w:val="22"/>
          <w:lang w:val="en-GB"/>
        </w:rPr>
        <w:t>INTERGOVERNMENTAL COMMITTEE FOR THE</w:t>
      </w:r>
      <w:r w:rsidRPr="009426E5">
        <w:rPr>
          <w:rFonts w:ascii="Arial" w:hAnsi="Arial" w:cs="Arial"/>
          <w:b/>
          <w:sz w:val="22"/>
          <w:szCs w:val="22"/>
          <w:lang w:val="en-GB"/>
        </w:rPr>
        <w:br/>
        <w:t>SAFEGUARDING OF THE INTANGIBLE CULTURAL HERITAGE</w:t>
      </w:r>
    </w:p>
    <w:p w14:paraId="55806D6D" w14:textId="77777777" w:rsidR="00604FE7" w:rsidRPr="00293C60" w:rsidRDefault="00604FE7" w:rsidP="00604FE7">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Pr>
          <w:rFonts w:ascii="Arial" w:hAnsi="Arial" w:cs="Arial"/>
          <w:b/>
          <w:sz w:val="22"/>
          <w:szCs w:val="22"/>
          <w:lang w:val="en-GB"/>
        </w:rPr>
        <w:t xml:space="preserve">th </w:t>
      </w:r>
      <w:r w:rsidRPr="00293C60">
        <w:rPr>
          <w:rFonts w:ascii="Arial" w:hAnsi="Arial" w:cs="Arial"/>
          <w:b/>
          <w:sz w:val="22"/>
          <w:szCs w:val="22"/>
          <w:lang w:val="en-GB"/>
        </w:rPr>
        <w:t>session</w:t>
      </w:r>
    </w:p>
    <w:p w14:paraId="3AF2D8FF" w14:textId="77777777" w:rsidR="00604FE7" w:rsidRPr="00337CEB" w:rsidRDefault="00604FE7" w:rsidP="00604FE7">
      <w:pPr>
        <w:jc w:val="center"/>
        <w:rPr>
          <w:rFonts w:ascii="Arial" w:eastAsiaTheme="minorEastAsia" w:hAnsi="Arial" w:cs="Arial"/>
          <w:b/>
          <w:sz w:val="22"/>
          <w:szCs w:val="22"/>
          <w:lang w:val="en-GB" w:eastAsia="ko-KR"/>
        </w:rPr>
      </w:pPr>
      <w:r>
        <w:rPr>
          <w:rFonts w:ascii="Arial" w:eastAsiaTheme="minorEastAsia" w:hAnsi="Arial" w:cs="Arial" w:hint="eastAsia"/>
          <w:b/>
          <w:sz w:val="22"/>
          <w:szCs w:val="22"/>
          <w:lang w:val="en-GB" w:eastAsia="ko-KR"/>
        </w:rPr>
        <w:t>Jeju Island</w:t>
      </w:r>
      <w:r>
        <w:rPr>
          <w:rFonts w:ascii="Arial" w:hAnsi="Arial" w:cs="Arial"/>
          <w:b/>
          <w:sz w:val="22"/>
          <w:szCs w:val="22"/>
          <w:lang w:val="en-GB"/>
        </w:rPr>
        <w:t xml:space="preserve">, </w:t>
      </w:r>
      <w:r>
        <w:rPr>
          <w:rFonts w:ascii="Arial" w:eastAsiaTheme="minorEastAsia" w:hAnsi="Arial" w:cs="Arial" w:hint="eastAsia"/>
          <w:b/>
          <w:sz w:val="22"/>
          <w:szCs w:val="22"/>
          <w:lang w:val="en-GB" w:eastAsia="ko-KR"/>
        </w:rPr>
        <w:t>Republic of Korea</w:t>
      </w:r>
    </w:p>
    <w:p w14:paraId="117B85C8" w14:textId="1D92ABC9" w:rsidR="00604FE7" w:rsidRPr="00337CEB" w:rsidRDefault="00604FE7" w:rsidP="00604FE7">
      <w:pPr>
        <w:jc w:val="center"/>
        <w:rPr>
          <w:rFonts w:ascii="Arial" w:eastAsiaTheme="minorEastAsia" w:hAnsi="Arial" w:cs="Arial"/>
          <w:b/>
          <w:sz w:val="22"/>
          <w:szCs w:val="22"/>
          <w:lang w:val="en-GB" w:eastAsia="ko-KR"/>
        </w:rPr>
      </w:pPr>
      <w:r>
        <w:rPr>
          <w:rFonts w:ascii="Arial" w:eastAsiaTheme="minorEastAsia" w:hAnsi="Arial" w:cs="Arial" w:hint="eastAsia"/>
          <w:b/>
          <w:sz w:val="22"/>
          <w:szCs w:val="22"/>
          <w:lang w:val="en-GB" w:eastAsia="ko-KR"/>
        </w:rPr>
        <w:t>4</w:t>
      </w:r>
      <w:r w:rsidRPr="00EC6F8D">
        <w:rPr>
          <w:rFonts w:ascii="Arial" w:hAnsi="Arial" w:cs="Arial"/>
          <w:b/>
          <w:sz w:val="22"/>
          <w:szCs w:val="22"/>
          <w:lang w:val="en-GB"/>
        </w:rPr>
        <w:t xml:space="preserve"> to </w:t>
      </w:r>
      <w:r w:rsidR="009115B4">
        <w:rPr>
          <w:rFonts w:ascii="Arial" w:eastAsiaTheme="minorEastAsia" w:hAnsi="Arial" w:cs="Arial"/>
          <w:b/>
          <w:sz w:val="22"/>
          <w:szCs w:val="22"/>
          <w:lang w:val="en-GB" w:eastAsia="ko-KR"/>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4B0A108A" w14:textId="278FF4C7" w:rsidR="00EC6F8D" w:rsidRDefault="00EC6F8D" w:rsidP="00EC6F8D">
      <w:pPr>
        <w:pStyle w:val="Sansinterligne2"/>
        <w:spacing w:before="1200"/>
        <w:jc w:val="center"/>
        <w:rPr>
          <w:rFonts w:ascii="Arial" w:hAnsi="Arial" w:cs="Arial"/>
          <w:b/>
          <w:sz w:val="22"/>
          <w:szCs w:val="22"/>
          <w:lang w:val="en-GB"/>
        </w:rPr>
      </w:pPr>
      <w:r w:rsidRPr="005E220A">
        <w:rPr>
          <w:rFonts w:ascii="Arial" w:hAnsi="Arial" w:cs="Arial"/>
          <w:b/>
          <w:sz w:val="22"/>
          <w:szCs w:val="22"/>
          <w:u w:val="single"/>
          <w:lang w:val="en-GB"/>
        </w:rPr>
        <w:t xml:space="preserve">Item </w:t>
      </w:r>
      <w:r w:rsidR="000811A4" w:rsidRPr="005E220A">
        <w:rPr>
          <w:rFonts w:ascii="Arial" w:hAnsi="Arial" w:cs="Arial"/>
          <w:b/>
          <w:sz w:val="22"/>
          <w:szCs w:val="22"/>
          <w:u w:val="single"/>
          <w:lang w:val="en-GB"/>
        </w:rPr>
        <w:t>6</w:t>
      </w:r>
      <w:r w:rsidRPr="005E220A">
        <w:rPr>
          <w:rFonts w:ascii="Arial" w:hAnsi="Arial" w:cs="Arial"/>
          <w:b/>
          <w:sz w:val="22"/>
          <w:szCs w:val="22"/>
          <w:u w:val="single"/>
          <w:lang w:val="en-GB"/>
        </w:rPr>
        <w:t xml:space="preserve"> of the</w:t>
      </w:r>
      <w:r w:rsidRPr="009426E5">
        <w:rPr>
          <w:rFonts w:ascii="Arial" w:hAnsi="Arial" w:cs="Arial"/>
          <w:b/>
          <w:sz w:val="22"/>
          <w:szCs w:val="22"/>
          <w:u w:val="single"/>
          <w:lang w:val="en-GB"/>
        </w:rPr>
        <w:t xml:space="preserve"> Provisional Agenda</w:t>
      </w:r>
      <w:r w:rsidRPr="009426E5">
        <w:rPr>
          <w:rFonts w:ascii="Arial" w:hAnsi="Arial" w:cs="Arial"/>
          <w:b/>
          <w:sz w:val="22"/>
          <w:szCs w:val="22"/>
          <w:lang w:val="en-GB"/>
        </w:rPr>
        <w:t>:</w:t>
      </w:r>
    </w:p>
    <w:p w14:paraId="58AE353B" w14:textId="155F2124" w:rsidR="00015D3B" w:rsidRPr="009426E5" w:rsidRDefault="00015D3B" w:rsidP="007505D8">
      <w:pPr>
        <w:pStyle w:val="Sansinterligne2"/>
        <w:spacing w:after="1200"/>
        <w:jc w:val="center"/>
        <w:rPr>
          <w:rFonts w:ascii="Arial" w:hAnsi="Arial" w:cs="Arial"/>
          <w:b/>
          <w:sz w:val="22"/>
          <w:szCs w:val="22"/>
          <w:lang w:val="en-GB"/>
        </w:rPr>
      </w:pPr>
      <w:r>
        <w:rPr>
          <w:rFonts w:ascii="Arial" w:hAnsi="Arial" w:cs="Arial"/>
          <w:b/>
          <w:sz w:val="22"/>
          <w:szCs w:val="22"/>
          <w:lang w:val="en-GB"/>
        </w:rPr>
        <w:t>Voluntary supplementary contributions to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034A28" w:rsidRPr="00C75E87" w14:paraId="500CB839" w14:textId="77777777" w:rsidTr="007505D8">
        <w:trPr>
          <w:jc w:val="center"/>
        </w:trPr>
        <w:tc>
          <w:tcPr>
            <w:tcW w:w="5670" w:type="dxa"/>
            <w:vAlign w:val="center"/>
          </w:tcPr>
          <w:p w14:paraId="588FB65B" w14:textId="77777777" w:rsidR="00034A28" w:rsidRPr="009426E5" w:rsidRDefault="00034A28" w:rsidP="00015D3B">
            <w:pPr>
              <w:pStyle w:val="Sansinterligne1"/>
              <w:spacing w:before="200" w:after="200"/>
              <w:jc w:val="center"/>
              <w:rPr>
                <w:rFonts w:ascii="Arial" w:hAnsi="Arial" w:cs="Arial"/>
                <w:b/>
                <w:sz w:val="22"/>
                <w:szCs w:val="22"/>
                <w:lang w:val="en-GB"/>
              </w:rPr>
            </w:pPr>
            <w:r w:rsidRPr="009426E5">
              <w:rPr>
                <w:rFonts w:ascii="Arial" w:hAnsi="Arial" w:cs="Arial"/>
                <w:b/>
                <w:sz w:val="22"/>
                <w:szCs w:val="22"/>
                <w:lang w:val="en-GB"/>
              </w:rPr>
              <w:t>Summary</w:t>
            </w:r>
          </w:p>
          <w:p w14:paraId="1C53B1AE" w14:textId="0D989183" w:rsidR="00034A28" w:rsidRPr="00C75E87" w:rsidRDefault="00034A28" w:rsidP="00015D3B">
            <w:pPr>
              <w:pStyle w:val="Sansinterligne1"/>
              <w:jc w:val="both"/>
              <w:rPr>
                <w:rFonts w:ascii="Arial" w:hAnsi="Arial" w:cs="Arial"/>
                <w:sz w:val="22"/>
                <w:szCs w:val="22"/>
                <w:lang w:val="en-GB"/>
              </w:rPr>
            </w:pPr>
            <w:r w:rsidRPr="009426E5">
              <w:rPr>
                <w:rFonts w:ascii="Arial" w:hAnsi="Arial" w:cs="Arial"/>
                <w:sz w:val="22"/>
                <w:szCs w:val="22"/>
                <w:lang w:val="en-GB"/>
              </w:rPr>
              <w:t xml:space="preserve">In accordance with Article 25.5 of the Convention, the Committee may accept contributions to the </w:t>
            </w:r>
            <w:r w:rsidRPr="002316D6">
              <w:rPr>
                <w:rFonts w:ascii="Arial" w:hAnsi="Arial" w:cs="Arial"/>
                <w:sz w:val="22"/>
                <w:szCs w:val="22"/>
                <w:lang w:val="en-GB"/>
              </w:rPr>
              <w:t>Intangible Cultural Heritage Fund</w:t>
            </w:r>
            <w:r w:rsidRPr="009426E5">
              <w:rPr>
                <w:rFonts w:ascii="Arial" w:hAnsi="Arial" w:cs="Arial"/>
                <w:sz w:val="22"/>
                <w:szCs w:val="22"/>
                <w:lang w:val="en-GB"/>
              </w:rPr>
              <w:t xml:space="preserve"> for specific purposes relating to specific projects, provided that those projects have been approved by the Committee. The present document reports on such contributions since the Committee’s </w:t>
            </w:r>
            <w:r w:rsidRPr="007F7B0A">
              <w:rPr>
                <w:rFonts w:ascii="Arial" w:hAnsi="Arial" w:cs="Arial"/>
                <w:sz w:val="22"/>
                <w:szCs w:val="22"/>
                <w:lang w:val="en-GB"/>
              </w:rPr>
              <w:t>eleventh session</w:t>
            </w:r>
            <w:r>
              <w:rPr>
                <w:rFonts w:ascii="Arial" w:hAnsi="Arial" w:cs="Arial"/>
                <w:sz w:val="22"/>
                <w:szCs w:val="22"/>
                <w:lang w:val="en-GB"/>
              </w:rPr>
              <w:t xml:space="preserve"> and presents </w:t>
            </w:r>
            <w:r w:rsidR="00993051">
              <w:rPr>
                <w:rFonts w:ascii="Arial" w:hAnsi="Arial" w:cs="Arial"/>
                <w:sz w:val="22"/>
                <w:szCs w:val="22"/>
                <w:lang w:val="en-GB"/>
              </w:rPr>
              <w:t xml:space="preserve">two </w:t>
            </w:r>
            <w:r w:rsidR="003407D2">
              <w:rPr>
                <w:rFonts w:ascii="Arial" w:hAnsi="Arial" w:cs="Arial"/>
                <w:sz w:val="22"/>
                <w:szCs w:val="22"/>
                <w:lang w:val="en-GB"/>
              </w:rPr>
              <w:t xml:space="preserve">funding </w:t>
            </w:r>
            <w:r w:rsidR="00993051">
              <w:rPr>
                <w:rFonts w:ascii="Arial" w:hAnsi="Arial" w:cs="Arial"/>
                <w:sz w:val="22"/>
                <w:szCs w:val="22"/>
                <w:lang w:val="en-GB"/>
              </w:rPr>
              <w:t>priorities</w:t>
            </w:r>
            <w:r>
              <w:rPr>
                <w:rFonts w:ascii="Arial" w:hAnsi="Arial" w:cs="Arial"/>
                <w:sz w:val="22"/>
                <w:szCs w:val="22"/>
                <w:lang w:val="en-GB"/>
              </w:rPr>
              <w:t xml:space="preserve"> for the period 2018-2021.</w:t>
            </w:r>
          </w:p>
          <w:p w14:paraId="51D413E9" w14:textId="77777777" w:rsidR="00034A28" w:rsidRPr="009426E5" w:rsidRDefault="00034A28" w:rsidP="00015D3B">
            <w:pPr>
              <w:pStyle w:val="Sansinterligne2"/>
              <w:spacing w:before="200" w:after="200"/>
              <w:jc w:val="both"/>
              <w:rPr>
                <w:rFonts w:ascii="Arial" w:hAnsi="Arial" w:cs="Arial"/>
                <w:b/>
                <w:sz w:val="22"/>
                <w:szCs w:val="22"/>
                <w:lang w:val="en-GB"/>
              </w:rPr>
            </w:pPr>
            <w:r w:rsidRPr="009426E5">
              <w:rPr>
                <w:rFonts w:ascii="Arial" w:hAnsi="Arial" w:cs="Arial"/>
                <w:b/>
                <w:sz w:val="22"/>
                <w:szCs w:val="22"/>
                <w:lang w:val="en-GB"/>
              </w:rPr>
              <w:t xml:space="preserve">Decision required: </w:t>
            </w:r>
            <w:r w:rsidRPr="009426E5">
              <w:rPr>
                <w:rFonts w:ascii="Arial" w:hAnsi="Arial" w:cs="Arial"/>
                <w:bCs/>
                <w:sz w:val="22"/>
                <w:szCs w:val="22"/>
                <w:lang w:val="en-GB"/>
              </w:rPr>
              <w:t xml:space="preserve">paragraph </w:t>
            </w:r>
            <w:r>
              <w:rPr>
                <w:rFonts w:ascii="Arial" w:hAnsi="Arial" w:cs="Arial"/>
                <w:bCs/>
                <w:sz w:val="22"/>
                <w:szCs w:val="22"/>
                <w:lang w:val="en-GB"/>
              </w:rPr>
              <w:t>13</w:t>
            </w:r>
          </w:p>
        </w:tc>
      </w:tr>
    </w:tbl>
    <w:p w14:paraId="205F87D1" w14:textId="567621A4" w:rsidR="00027D32" w:rsidRPr="009426E5" w:rsidRDefault="00655736" w:rsidP="007505D8">
      <w:pPr>
        <w:pStyle w:val="Paragraph"/>
        <w:tabs>
          <w:tab w:val="clear" w:pos="360"/>
          <w:tab w:val="clear" w:pos="567"/>
          <w:tab w:val="num" w:pos="0"/>
        </w:tabs>
        <w:spacing w:after="120"/>
        <w:ind w:left="567" w:hanging="567"/>
      </w:pPr>
      <w:r w:rsidRPr="009426E5">
        <w:br w:type="page"/>
      </w:r>
      <w:r w:rsidR="00027D32" w:rsidRPr="009426E5">
        <w:lastRenderedPageBreak/>
        <w:t>Chapter VI of the Convention</w:t>
      </w:r>
      <w:r w:rsidR="002845E9">
        <w:t>,</w:t>
      </w:r>
      <w:r w:rsidR="00027D32" w:rsidRPr="009426E5">
        <w:t xml:space="preserve"> concerning the Intangible Cultural Heritage Fund</w:t>
      </w:r>
      <w:r w:rsidR="002316D6">
        <w:t xml:space="preserve"> (</w:t>
      </w:r>
      <w:r w:rsidR="002845E9">
        <w:t xml:space="preserve">hereafter </w:t>
      </w:r>
      <w:r w:rsidR="002316D6">
        <w:t>the Fund)</w:t>
      </w:r>
      <w:r w:rsidR="002845E9">
        <w:t>,</w:t>
      </w:r>
      <w:r w:rsidR="00027D32" w:rsidRPr="009426E5">
        <w:t xml:space="preserve"> states that States </w:t>
      </w:r>
      <w:r w:rsidR="002D5CDA" w:rsidRPr="009426E5">
        <w:t xml:space="preserve">Parties </w:t>
      </w:r>
      <w:r w:rsidR="00027D32" w:rsidRPr="009426E5">
        <w:t>may wish to provide voluntary supplementary contributions (Article 27) in addition to their assessed contributions</w:t>
      </w:r>
      <w:r w:rsidR="00883AFD">
        <w:t>,</w:t>
      </w:r>
      <w:r w:rsidR="00027D32" w:rsidRPr="009426E5">
        <w:t xml:space="preserve"> as defined in Article 26. </w:t>
      </w:r>
      <w:r w:rsidR="00027D32" w:rsidRPr="009426E5">
        <w:rPr>
          <w:rStyle w:val="hps"/>
        </w:rPr>
        <w:t>Article 25.5</w:t>
      </w:r>
      <w:r w:rsidR="00027D32" w:rsidRPr="009426E5">
        <w:t xml:space="preserve"> </w:t>
      </w:r>
      <w:r w:rsidR="00027D32" w:rsidRPr="009426E5">
        <w:rPr>
          <w:rStyle w:val="hps"/>
        </w:rPr>
        <w:t>also provides for the</w:t>
      </w:r>
      <w:r w:rsidR="00027D32" w:rsidRPr="009426E5">
        <w:t xml:space="preserve"> </w:t>
      </w:r>
      <w:r w:rsidR="00027D32" w:rsidRPr="009426E5">
        <w:rPr>
          <w:rStyle w:val="hps"/>
        </w:rPr>
        <w:t>possibility that</w:t>
      </w:r>
      <w:r w:rsidR="00027D32" w:rsidRPr="009426E5">
        <w:t xml:space="preserve"> such </w:t>
      </w:r>
      <w:r w:rsidR="00027D32" w:rsidRPr="009426E5">
        <w:rPr>
          <w:rStyle w:val="hps"/>
        </w:rPr>
        <w:t>contributions be</w:t>
      </w:r>
      <w:r w:rsidR="00027D32" w:rsidRPr="009426E5">
        <w:t xml:space="preserve"> </w:t>
      </w:r>
      <w:r w:rsidR="00027D32" w:rsidRPr="009426E5">
        <w:rPr>
          <w:rStyle w:val="hps"/>
        </w:rPr>
        <w:t>made in favour</w:t>
      </w:r>
      <w:r w:rsidR="00027D32" w:rsidRPr="009426E5">
        <w:t xml:space="preserve"> </w:t>
      </w:r>
      <w:r w:rsidR="00027D32" w:rsidRPr="009426E5">
        <w:rPr>
          <w:rStyle w:val="hps"/>
        </w:rPr>
        <w:t>of specific projects</w:t>
      </w:r>
      <w:r w:rsidR="00027D32" w:rsidRPr="009426E5">
        <w:t>, ‘provided that those projects have been approved by the Committee’.</w:t>
      </w:r>
    </w:p>
    <w:p w14:paraId="4E4A29B8" w14:textId="6F0FF6F2" w:rsidR="00BD52D2" w:rsidRPr="007505D8" w:rsidRDefault="002906DE" w:rsidP="005E220A">
      <w:pPr>
        <w:pStyle w:val="Paragraph"/>
        <w:tabs>
          <w:tab w:val="clear" w:pos="360"/>
          <w:tab w:val="clear" w:pos="567"/>
        </w:tabs>
        <w:spacing w:after="120"/>
        <w:ind w:left="567" w:hanging="567"/>
      </w:pPr>
      <w:r w:rsidRPr="007505D8">
        <w:t>T</w:t>
      </w:r>
      <w:r w:rsidR="00A06274" w:rsidRPr="007505D8">
        <w:t>he Concept Note for the 2014-2017 Complementary Additional Programme</w:t>
      </w:r>
      <w:r w:rsidR="00555D26" w:rsidRPr="007505D8">
        <w:t xml:space="preserve">, </w:t>
      </w:r>
      <w:r w:rsidR="00A06274" w:rsidRPr="007505D8">
        <w:t>entitled ‘Strengthening capacities to safeguard intangible cultural heritage for sustainable development’</w:t>
      </w:r>
      <w:r w:rsidR="00555D26" w:rsidRPr="007505D8">
        <w:t xml:space="preserve"> and</w:t>
      </w:r>
      <w:r w:rsidR="00883AFD" w:rsidRPr="007505D8">
        <w:t xml:space="preserve"> </w:t>
      </w:r>
      <w:r w:rsidR="00A06274" w:rsidRPr="007505D8">
        <w:t xml:space="preserve">approved by the </w:t>
      </w:r>
      <w:r w:rsidR="00497D0C" w:rsidRPr="007505D8">
        <w:t>Intergovernmental Committee for the Safeguarding of the Intangible Cultural Heritage (</w:t>
      </w:r>
      <w:r w:rsidR="002845E9" w:rsidRPr="007505D8">
        <w:t xml:space="preserve">hereafter </w:t>
      </w:r>
      <w:r w:rsidR="00497D0C" w:rsidRPr="007505D8">
        <w:t>the Committee)</w:t>
      </w:r>
      <w:r w:rsidR="00A06274" w:rsidRPr="007505D8">
        <w:t xml:space="preserve"> </w:t>
      </w:r>
      <w:r w:rsidR="00497D0C" w:rsidRPr="007505D8">
        <w:t>at</w:t>
      </w:r>
      <w:r w:rsidR="00453DAC" w:rsidRPr="007505D8">
        <w:t xml:space="preserve"> its </w:t>
      </w:r>
      <w:r w:rsidR="00A53500" w:rsidRPr="007505D8">
        <w:t xml:space="preserve">ninth </w:t>
      </w:r>
      <w:r w:rsidR="00453DAC" w:rsidRPr="007505D8">
        <w:t>session</w:t>
      </w:r>
      <w:r w:rsidR="00CA54CB" w:rsidRPr="007505D8">
        <w:t xml:space="preserve"> </w:t>
      </w:r>
      <w:r w:rsidR="00497D0C" w:rsidRPr="007505D8">
        <w:t>(</w:t>
      </w:r>
      <w:hyperlink r:id="rId8" w:history="1">
        <w:r w:rsidR="00497D0C" w:rsidRPr="007505D8">
          <w:rPr>
            <w:rStyle w:val="Hyperlink"/>
          </w:rPr>
          <w:t>Decision 9.COM 7</w:t>
        </w:r>
      </w:hyperlink>
      <w:r w:rsidR="00497D0C" w:rsidRPr="007505D8">
        <w:t>)</w:t>
      </w:r>
      <w:r w:rsidR="00453DAC" w:rsidRPr="007505D8">
        <w:t xml:space="preserve">, </w:t>
      </w:r>
      <w:r w:rsidR="002845E9" w:rsidRPr="007505D8">
        <w:t>expires</w:t>
      </w:r>
      <w:r w:rsidRPr="007505D8">
        <w:t xml:space="preserve"> at the end</w:t>
      </w:r>
      <w:r w:rsidR="00497D0C" w:rsidRPr="007505D8">
        <w:t xml:space="preserve"> of this year. </w:t>
      </w:r>
      <w:r w:rsidR="002845E9" w:rsidRPr="007505D8">
        <w:t>The Secretariat developed t</w:t>
      </w:r>
      <w:r w:rsidR="002316D6" w:rsidRPr="007505D8">
        <w:t xml:space="preserve">he Concept Note </w:t>
      </w:r>
      <w:r w:rsidR="009972B9" w:rsidRPr="007505D8">
        <w:t xml:space="preserve">to extend the reach and effectiveness of </w:t>
      </w:r>
      <w:r w:rsidR="00555D26" w:rsidRPr="007505D8">
        <w:t xml:space="preserve">the </w:t>
      </w:r>
      <w:r w:rsidR="009972B9" w:rsidRPr="007505D8">
        <w:t>global capacity</w:t>
      </w:r>
      <w:r w:rsidR="003F6128" w:rsidRPr="007505D8">
        <w:noBreakHyphen/>
      </w:r>
      <w:r w:rsidR="009972B9" w:rsidRPr="007505D8">
        <w:t>building strategy and to inform donors of the funding requirements of</w:t>
      </w:r>
      <w:r w:rsidR="00305247" w:rsidRPr="007505D8">
        <w:t xml:space="preserve"> the </w:t>
      </w:r>
      <w:r w:rsidR="009972B9" w:rsidRPr="007505D8">
        <w:t>programme</w:t>
      </w:r>
      <w:r w:rsidR="004103C6" w:rsidRPr="007505D8">
        <w:t>. By approving a programmatic framework as described in the Complementary Additional Programme</w:t>
      </w:r>
      <w:r w:rsidR="002845E9" w:rsidRPr="007505D8">
        <w:t>,</w:t>
      </w:r>
      <w:r w:rsidRPr="007505D8">
        <w:t xml:space="preserve"> </w:t>
      </w:r>
      <w:r w:rsidR="00883AFD" w:rsidRPr="007505D8">
        <w:t xml:space="preserve">which was </w:t>
      </w:r>
      <w:r w:rsidRPr="007505D8">
        <w:t xml:space="preserve">fully aligned </w:t>
      </w:r>
      <w:r w:rsidR="002845E9" w:rsidRPr="007505D8">
        <w:t>with</w:t>
      </w:r>
      <w:r w:rsidR="00666668" w:rsidRPr="007505D8">
        <w:t xml:space="preserve"> </w:t>
      </w:r>
      <w:r w:rsidR="00BD52D2" w:rsidRPr="007505D8">
        <w:t xml:space="preserve">the </w:t>
      </w:r>
      <w:r w:rsidR="00AB36F4" w:rsidRPr="007505D8">
        <w:t>approved Programme and Budget (37 and 38 C/5)</w:t>
      </w:r>
      <w:r w:rsidRPr="007505D8">
        <w:t>, the Committee ensured that</w:t>
      </w:r>
      <w:r w:rsidR="004103C6" w:rsidRPr="007505D8">
        <w:t xml:space="preserve"> it shared the same vision of </w:t>
      </w:r>
      <w:r w:rsidR="001C787A" w:rsidRPr="007505D8">
        <w:t xml:space="preserve">priority </w:t>
      </w:r>
      <w:r w:rsidR="004103C6" w:rsidRPr="007505D8">
        <w:t>action</w:t>
      </w:r>
      <w:r w:rsidR="001C787A" w:rsidRPr="007505D8">
        <w:t>s</w:t>
      </w:r>
      <w:r w:rsidR="004103C6" w:rsidRPr="007505D8">
        <w:t xml:space="preserve"> in the field of intangible cultural heritage </w:t>
      </w:r>
      <w:r w:rsidR="002845E9" w:rsidRPr="007505D8">
        <w:t>as</w:t>
      </w:r>
      <w:r w:rsidR="004103C6" w:rsidRPr="007505D8">
        <w:t xml:space="preserve"> </w:t>
      </w:r>
      <w:r w:rsidR="009A364C" w:rsidRPr="007505D8">
        <w:t xml:space="preserve">the </w:t>
      </w:r>
      <w:r w:rsidR="004103C6" w:rsidRPr="007505D8">
        <w:t xml:space="preserve">General Conference of </w:t>
      </w:r>
      <w:r w:rsidR="00555D26" w:rsidRPr="007505D8">
        <w:t xml:space="preserve">the </w:t>
      </w:r>
      <w:r w:rsidR="004103C6" w:rsidRPr="007505D8">
        <w:t xml:space="preserve">Member States of UNESCO. </w:t>
      </w:r>
      <w:r w:rsidR="00255EC4" w:rsidRPr="007505D8">
        <w:t>Furthermore</w:t>
      </w:r>
      <w:r w:rsidR="009972B9" w:rsidRPr="007505D8">
        <w:t xml:space="preserve">, </w:t>
      </w:r>
      <w:r w:rsidR="00255EC4" w:rsidRPr="007505D8">
        <w:t>by approving the Concept Note</w:t>
      </w:r>
      <w:r w:rsidR="002845E9" w:rsidRPr="007505D8">
        <w:t>,</w:t>
      </w:r>
      <w:r w:rsidR="00255EC4" w:rsidRPr="007505D8">
        <w:t xml:space="preserve"> </w:t>
      </w:r>
      <w:r w:rsidR="009972B9" w:rsidRPr="007505D8">
        <w:t xml:space="preserve">the Committee </w:t>
      </w:r>
      <w:r w:rsidR="00255EC4" w:rsidRPr="007505D8">
        <w:t xml:space="preserve">also </w:t>
      </w:r>
      <w:r w:rsidR="004103C6" w:rsidRPr="007505D8">
        <w:t xml:space="preserve">accepted </w:t>
      </w:r>
      <w:r w:rsidR="009972B9" w:rsidRPr="007505D8">
        <w:t xml:space="preserve">voluntary supplementary contributions made to support capacity-building activities within the scope of </w:t>
      </w:r>
      <w:r w:rsidR="00555D26" w:rsidRPr="007505D8">
        <w:t xml:space="preserve">the </w:t>
      </w:r>
      <w:r w:rsidR="001C6E03" w:rsidRPr="007505D8">
        <w:t xml:space="preserve">programmatic framework </w:t>
      </w:r>
      <w:r w:rsidR="0070763A" w:rsidRPr="007505D8">
        <w:rPr>
          <w:rStyle w:val="hps"/>
        </w:rPr>
        <w:t>between</w:t>
      </w:r>
      <w:r w:rsidR="0070763A" w:rsidRPr="007505D8">
        <w:t xml:space="preserve"> </w:t>
      </w:r>
      <w:r w:rsidR="0070763A" w:rsidRPr="007505D8">
        <w:rPr>
          <w:rStyle w:val="hps"/>
        </w:rPr>
        <w:t>two Committee sessions</w:t>
      </w:r>
      <w:r w:rsidR="004103C6" w:rsidRPr="007505D8">
        <w:t xml:space="preserve"> and</w:t>
      </w:r>
      <w:r w:rsidR="009356F8" w:rsidRPr="007505D8">
        <w:t xml:space="preserve"> </w:t>
      </w:r>
      <w:r w:rsidR="009972B9" w:rsidRPr="007505D8">
        <w:t xml:space="preserve">authorized the Secretariat to make immediate use of </w:t>
      </w:r>
      <w:r w:rsidR="00555D26" w:rsidRPr="007505D8">
        <w:t>such contributions</w:t>
      </w:r>
      <w:r w:rsidR="004103C6" w:rsidRPr="007505D8">
        <w:t>.</w:t>
      </w:r>
    </w:p>
    <w:p w14:paraId="2E25E0DC" w14:textId="49C4279D" w:rsidR="00127F64" w:rsidRPr="005C6B37" w:rsidRDefault="00127F64" w:rsidP="005E220A">
      <w:pPr>
        <w:pStyle w:val="Paragraph"/>
        <w:tabs>
          <w:tab w:val="clear" w:pos="360"/>
          <w:tab w:val="clear" w:pos="567"/>
        </w:tabs>
        <w:spacing w:after="120"/>
        <w:ind w:left="567" w:hanging="567"/>
      </w:pPr>
      <w:r w:rsidRPr="007505D8">
        <w:t xml:space="preserve">The Committee </w:t>
      </w:r>
      <w:r w:rsidR="00163F91" w:rsidRPr="007505D8">
        <w:t xml:space="preserve">at its eleventh session </w:t>
      </w:r>
      <w:r w:rsidR="009356F8" w:rsidRPr="007505D8">
        <w:t xml:space="preserve">requested </w:t>
      </w:r>
      <w:r w:rsidR="002845E9" w:rsidRPr="007505D8">
        <w:t xml:space="preserve">that </w:t>
      </w:r>
      <w:r w:rsidR="004103C6" w:rsidRPr="007505D8">
        <w:t xml:space="preserve">the Secretariat </w:t>
      </w:r>
      <w:r w:rsidR="009356F8" w:rsidRPr="007505D8">
        <w:t xml:space="preserve">report on the progress </w:t>
      </w:r>
      <w:r w:rsidR="00555D26" w:rsidRPr="007505D8">
        <w:t xml:space="preserve">in </w:t>
      </w:r>
      <w:r w:rsidR="00883AFD" w:rsidRPr="007505D8">
        <w:t xml:space="preserve">the </w:t>
      </w:r>
      <w:r w:rsidR="009356F8" w:rsidRPr="007505D8">
        <w:t xml:space="preserve">implementation of any voluntary supplementary contributions it </w:t>
      </w:r>
      <w:r w:rsidR="00883AFD" w:rsidRPr="007505D8">
        <w:t>had</w:t>
      </w:r>
      <w:r w:rsidR="009356F8" w:rsidRPr="007505D8">
        <w:t xml:space="preserve"> received since its last session.</w:t>
      </w:r>
      <w:r w:rsidR="00BD52D2" w:rsidRPr="007505D8">
        <w:rPr>
          <w:b/>
        </w:rPr>
        <w:t xml:space="preserve"> </w:t>
      </w:r>
      <w:r w:rsidRPr="007505D8">
        <w:t>During</w:t>
      </w:r>
      <w:r w:rsidRPr="005C6B37">
        <w:t xml:space="preserve"> the reporting period,</w:t>
      </w:r>
      <w:r w:rsidR="00666668">
        <w:t xml:space="preserve"> </w:t>
      </w:r>
      <w:r w:rsidR="00366134">
        <w:t>since the last meeting of the Committee</w:t>
      </w:r>
      <w:r w:rsidR="00666668">
        <w:t xml:space="preserve"> to October 2017,</w:t>
      </w:r>
      <w:r w:rsidRPr="005C6B37">
        <w:t xml:space="preserve"> two contributions </w:t>
      </w:r>
      <w:r w:rsidR="00555D26" w:rsidRPr="005C6B37">
        <w:t xml:space="preserve">to the Fund were made </w:t>
      </w:r>
      <w:r w:rsidR="005C6B37">
        <w:t>to improve the monitoring and evaluation of the Convention, beyond</w:t>
      </w:r>
      <w:r w:rsidRPr="005C6B37">
        <w:t xml:space="preserve"> the scope of the approved Concept Note. At its eleventh session</w:t>
      </w:r>
      <w:r w:rsidRPr="00872825">
        <w:t xml:space="preserve">, </w:t>
      </w:r>
      <w:r w:rsidRPr="005C6B37">
        <w:t>the Committee (</w:t>
      </w:r>
      <w:hyperlink r:id="rId9" w:history="1">
        <w:r w:rsidRPr="005C6B37">
          <w:rPr>
            <w:rStyle w:val="Hyperlink"/>
          </w:rPr>
          <w:t>Decision</w:t>
        </w:r>
        <w:r w:rsidR="00214AAD">
          <w:rPr>
            <w:rStyle w:val="Hyperlink"/>
          </w:rPr>
          <w:t> </w:t>
        </w:r>
        <w:r w:rsidRPr="005C6B37">
          <w:rPr>
            <w:rStyle w:val="Hyperlink"/>
          </w:rPr>
          <w:t>11</w:t>
        </w:r>
        <w:r w:rsidR="00FD7182">
          <w:rPr>
            <w:rStyle w:val="Hyperlink"/>
          </w:rPr>
          <w:t>.</w:t>
        </w:r>
        <w:r w:rsidRPr="005C6B37">
          <w:rPr>
            <w:rStyle w:val="Hyperlink"/>
          </w:rPr>
          <w:t>COM.6</w:t>
        </w:r>
      </w:hyperlink>
      <w:r w:rsidRPr="005C6B37">
        <w:t xml:space="preserve">) accepted </w:t>
      </w:r>
      <w:r w:rsidR="00555D26" w:rsidRPr="005C6B37">
        <w:t>a</w:t>
      </w:r>
      <w:r w:rsidRPr="005C6B37">
        <w:t xml:space="preserve"> generous contribution </w:t>
      </w:r>
      <w:r w:rsidR="00555D26" w:rsidRPr="005C6B37">
        <w:t>from</w:t>
      </w:r>
      <w:r w:rsidRPr="005C6B37">
        <w:t xml:space="preserve"> the </w:t>
      </w:r>
      <w:r w:rsidRPr="00872825">
        <w:t>Republic of Korea of</w:t>
      </w:r>
      <w:r w:rsidRPr="005C6B37">
        <w:t xml:space="preserve"> </w:t>
      </w:r>
      <w:r w:rsidRPr="007505D8">
        <w:t xml:space="preserve">US$300,000 to improve the periodic reporting mechanism under the Convention. </w:t>
      </w:r>
      <w:r w:rsidR="00D27C61" w:rsidRPr="007505D8">
        <w:t xml:space="preserve">Information on the progress </w:t>
      </w:r>
      <w:r w:rsidR="00555D26" w:rsidRPr="007505D8">
        <w:t>in the</w:t>
      </w:r>
      <w:r w:rsidR="00D27C61" w:rsidRPr="007505D8">
        <w:t xml:space="preserve"> implementation </w:t>
      </w:r>
      <w:r w:rsidR="00555D26" w:rsidRPr="007505D8">
        <w:t xml:space="preserve">of this contribution </w:t>
      </w:r>
      <w:r w:rsidR="003A0335" w:rsidRPr="007505D8">
        <w:t xml:space="preserve">and on how the Secretariat intends to use it in the coming months </w:t>
      </w:r>
      <w:r w:rsidR="00D27C61" w:rsidRPr="007505D8">
        <w:t>can be found</w:t>
      </w:r>
      <w:r w:rsidR="003A0335" w:rsidRPr="007505D8">
        <w:t>,</w:t>
      </w:r>
      <w:r w:rsidR="00D27C61" w:rsidRPr="007505D8">
        <w:t xml:space="preserve"> </w:t>
      </w:r>
      <w:r w:rsidR="003A0335" w:rsidRPr="007505D8">
        <w:t xml:space="preserve">respectively, </w:t>
      </w:r>
      <w:r w:rsidR="00D27C61" w:rsidRPr="007505D8">
        <w:t xml:space="preserve">in </w:t>
      </w:r>
      <w:r w:rsidR="00163F91" w:rsidRPr="007505D8">
        <w:t xml:space="preserve">the </w:t>
      </w:r>
      <w:r w:rsidR="00872825" w:rsidRPr="007505D8">
        <w:t>Report of the Secretariat (</w:t>
      </w:r>
      <w:r w:rsidR="00D27C61" w:rsidRPr="007505D8">
        <w:t>document</w:t>
      </w:r>
      <w:r w:rsidR="00214AAD" w:rsidRPr="007505D8">
        <w:t> </w:t>
      </w:r>
      <w:hyperlink r:id="rId10" w:history="1">
        <w:r w:rsidR="00872825" w:rsidRPr="007505D8">
          <w:rPr>
            <w:rStyle w:val="Hyperlink"/>
          </w:rPr>
          <w:t>ITH/17/12.COM/5.a</w:t>
        </w:r>
      </w:hyperlink>
      <w:r w:rsidR="00872825" w:rsidRPr="007505D8">
        <w:t>)</w:t>
      </w:r>
      <w:r w:rsidR="003A0335" w:rsidRPr="007505D8">
        <w:t xml:space="preserve"> and in the document concerning </w:t>
      </w:r>
      <w:r w:rsidR="003A0335" w:rsidRPr="007505D8">
        <w:rPr>
          <w:noProof/>
        </w:rPr>
        <w:t>Draft amendments to the Operational Directives on periodic reporting</w:t>
      </w:r>
      <w:r w:rsidR="003A0335" w:rsidRPr="007505D8">
        <w:t xml:space="preserve"> (document </w:t>
      </w:r>
      <w:hyperlink r:id="rId11" w:history="1">
        <w:r w:rsidR="003A0335" w:rsidRPr="007505D8">
          <w:rPr>
            <w:rStyle w:val="Hyperlink"/>
          </w:rPr>
          <w:t>ITH/17/12.COM/10</w:t>
        </w:r>
      </w:hyperlink>
      <w:r w:rsidR="003A0335" w:rsidRPr="007505D8">
        <w:t>)</w:t>
      </w:r>
      <w:r w:rsidR="00D27C61" w:rsidRPr="007505D8">
        <w:t xml:space="preserve">. </w:t>
      </w:r>
      <w:r w:rsidRPr="007505D8">
        <w:t>Furthermore, according</w:t>
      </w:r>
      <w:r w:rsidR="00555D26" w:rsidRPr="005C6B37">
        <w:t xml:space="preserve"> to</w:t>
      </w:r>
      <w:r w:rsidRPr="00872825">
        <w:t xml:space="preserve"> </w:t>
      </w:r>
      <w:r w:rsidRPr="005C6B37">
        <w:t>Committee Decisions 9.COM 13.e and 11.COM 14</w:t>
      </w:r>
      <w:r w:rsidR="00555D26" w:rsidRPr="005C6B37">
        <w:t>,</w:t>
      </w:r>
      <w:r w:rsidRPr="005C6B37">
        <w:t xml:space="preserve"> a second contribution of US$100,000 </w:t>
      </w:r>
      <w:r w:rsidR="00555D26" w:rsidRPr="005C6B37">
        <w:t>was received from</w:t>
      </w:r>
      <w:r w:rsidRPr="005C6B37">
        <w:t xml:space="preserve"> the People’s Republic of China to organize the open</w:t>
      </w:r>
      <w:r w:rsidR="00555D26" w:rsidRPr="005C6B37">
        <w:t>-</w:t>
      </w:r>
      <w:r w:rsidRPr="005C6B37">
        <w:t>ended intergovernmental working group</w:t>
      </w:r>
      <w:r w:rsidRPr="005C6B37" w:rsidDel="00A76B34">
        <w:t xml:space="preserve"> </w:t>
      </w:r>
      <w:r w:rsidR="00D751DC">
        <w:t xml:space="preserve">on </w:t>
      </w:r>
      <w:r w:rsidRPr="005C6B37">
        <w:t>develop</w:t>
      </w:r>
      <w:r w:rsidR="00D751DC">
        <w:t>ing</w:t>
      </w:r>
      <w:r w:rsidRPr="005C6B37">
        <w:t xml:space="preserve"> an overall results framework for the Convention</w:t>
      </w:r>
      <w:r w:rsidRPr="005C6B37" w:rsidDel="00A76B34">
        <w:t xml:space="preserve"> </w:t>
      </w:r>
      <w:r w:rsidRPr="005C6B37">
        <w:t>(</w:t>
      </w:r>
      <w:hyperlink r:id="rId12" w:history="1">
        <w:r w:rsidRPr="005C6B37">
          <w:rPr>
            <w:rStyle w:val="Hyperlink"/>
            <w:bCs/>
          </w:rPr>
          <w:t xml:space="preserve">Decision 11.COM </w:t>
        </w:r>
        <w:r w:rsidRPr="005C6B37">
          <w:rPr>
            <w:rStyle w:val="Hyperlink"/>
          </w:rPr>
          <w:t>6</w:t>
        </w:r>
      </w:hyperlink>
      <w:r w:rsidRPr="005C6B37">
        <w:t>)</w:t>
      </w:r>
      <w:r w:rsidR="00555D26" w:rsidRPr="005C6B37">
        <w:t>, which was</w:t>
      </w:r>
      <w:r w:rsidRPr="005C6B37">
        <w:t xml:space="preserve"> held </w:t>
      </w:r>
      <w:r w:rsidR="00D27C61" w:rsidRPr="005C6B37">
        <w:t xml:space="preserve">successfully </w:t>
      </w:r>
      <w:r w:rsidRPr="005C6B37">
        <w:t>in June</w:t>
      </w:r>
      <w:r w:rsidR="00942CD5" w:rsidRPr="005C6B37">
        <w:t> </w:t>
      </w:r>
      <w:r w:rsidRPr="005C6B37">
        <w:t>2017</w:t>
      </w:r>
      <w:r w:rsidRPr="00872825">
        <w:t>.</w:t>
      </w:r>
      <w:r w:rsidR="00D27C61" w:rsidRPr="00872825">
        <w:t xml:space="preserve"> Details on the results of th</w:t>
      </w:r>
      <w:r w:rsidR="005C4A45" w:rsidRPr="005C6B37">
        <w:t>is</w:t>
      </w:r>
      <w:r w:rsidR="00D27C61" w:rsidRPr="005C6B37">
        <w:t xml:space="preserve"> meeting can be found in </w:t>
      </w:r>
      <w:r w:rsidR="00D27C61" w:rsidRPr="007505D8">
        <w:t>document</w:t>
      </w:r>
      <w:r w:rsidR="00214AAD" w:rsidRPr="007505D8">
        <w:t> </w:t>
      </w:r>
      <w:hyperlink r:id="rId13" w:history="1">
        <w:r w:rsidR="00D27C61" w:rsidRPr="007505D8">
          <w:rPr>
            <w:rStyle w:val="Hyperlink"/>
          </w:rPr>
          <w:t>ITH/17/12.COM/9</w:t>
        </w:r>
      </w:hyperlink>
      <w:r w:rsidR="00D27C61" w:rsidRPr="005C6B37">
        <w:t>.</w:t>
      </w:r>
      <w:r w:rsidRPr="005C6B37">
        <w:t xml:space="preserve"> However, since the last session</w:t>
      </w:r>
      <w:r w:rsidRPr="00872825">
        <w:t xml:space="preserve"> of the Committee, </w:t>
      </w:r>
      <w:r w:rsidRPr="005C6B37">
        <w:t xml:space="preserve">no contribution </w:t>
      </w:r>
      <w:r w:rsidR="005C4A45" w:rsidRPr="005C6B37">
        <w:t>has been</w:t>
      </w:r>
      <w:r w:rsidRPr="005C6B37">
        <w:t xml:space="preserve"> received within the scope of the programmatic framework laid </w:t>
      </w:r>
      <w:r w:rsidR="005C4A45" w:rsidRPr="005C6B37">
        <w:t xml:space="preserve">out </w:t>
      </w:r>
      <w:r w:rsidRPr="005C6B37">
        <w:t>in the Complementary Additional Programme.</w:t>
      </w:r>
    </w:p>
    <w:p w14:paraId="312098C8" w14:textId="33524CBD" w:rsidR="00D72036" w:rsidRDefault="00942CD5" w:rsidP="005E220A">
      <w:pPr>
        <w:pStyle w:val="Paragraph"/>
        <w:tabs>
          <w:tab w:val="clear" w:pos="360"/>
          <w:tab w:val="clear" w:pos="567"/>
        </w:tabs>
        <w:spacing w:after="120"/>
        <w:ind w:left="567" w:hanging="567"/>
      </w:pPr>
      <w:r>
        <w:t>I</w:t>
      </w:r>
      <w:r w:rsidR="00D72036" w:rsidRPr="009426E5">
        <w:t xml:space="preserve">n its </w:t>
      </w:r>
      <w:hyperlink r:id="rId14" w:history="1">
        <w:r w:rsidR="00D72036">
          <w:rPr>
            <w:rStyle w:val="Hyperlink"/>
          </w:rPr>
          <w:t>D</w:t>
        </w:r>
        <w:r w:rsidR="00D72036" w:rsidRPr="009426E5">
          <w:rPr>
            <w:rStyle w:val="Hyperlink"/>
          </w:rPr>
          <w:t>ecision 7.COM 20.1</w:t>
        </w:r>
      </w:hyperlink>
      <w:r w:rsidR="00D72036" w:rsidRPr="009426E5">
        <w:t>, the Committee took note that States make use of different forms of support, financial and in-kind, to the 2003 Convention</w:t>
      </w:r>
      <w:r w:rsidR="005C4A45">
        <w:t>,</w:t>
      </w:r>
      <w:r w:rsidR="00D72036" w:rsidRPr="009426E5">
        <w:t xml:space="preserve"> and not only of voluntary supplementary contributions to the Fund. It</w:t>
      </w:r>
      <w:r w:rsidR="00D72036">
        <w:t xml:space="preserve"> therefore</w:t>
      </w:r>
      <w:r w:rsidR="00D72036" w:rsidRPr="009426E5">
        <w:t xml:space="preserve"> requested </w:t>
      </w:r>
      <w:r w:rsidR="005C4A45">
        <w:t xml:space="preserve">that </w:t>
      </w:r>
      <w:r w:rsidR="00D72036" w:rsidRPr="009426E5">
        <w:t xml:space="preserve">the Secretariat report at each session of the Committee on all forms of contributions </w:t>
      </w:r>
      <w:r w:rsidR="002A1AB9">
        <w:t xml:space="preserve">received </w:t>
      </w:r>
      <w:r w:rsidR="00D72036" w:rsidRPr="009426E5">
        <w:t xml:space="preserve">since </w:t>
      </w:r>
      <w:r w:rsidR="002A1AB9">
        <w:t>the</w:t>
      </w:r>
      <w:r w:rsidR="00D72036" w:rsidRPr="009426E5">
        <w:t xml:space="preserve"> previous session. Accordingly, the list of contributions in support of the 2003 Convention </w:t>
      </w:r>
      <w:r w:rsidR="002A1AB9">
        <w:t xml:space="preserve">received </w:t>
      </w:r>
      <w:r w:rsidR="00D72036" w:rsidRPr="009426E5">
        <w:t xml:space="preserve">since the </w:t>
      </w:r>
      <w:r w:rsidR="00D72036">
        <w:t>eleventh</w:t>
      </w:r>
      <w:r w:rsidR="00D72036" w:rsidRPr="009426E5">
        <w:t xml:space="preserve"> session of the Committee can be found in Annex </w:t>
      </w:r>
      <w:r w:rsidR="00D72036">
        <w:t>I</w:t>
      </w:r>
      <w:r w:rsidR="00D72036" w:rsidRPr="009426E5">
        <w:t xml:space="preserve"> of the present document.</w:t>
      </w:r>
    </w:p>
    <w:p w14:paraId="7E02C0F0" w14:textId="7756C161" w:rsidR="005C7C64" w:rsidRPr="005E220A" w:rsidRDefault="00BF6598" w:rsidP="005E220A">
      <w:pPr>
        <w:pStyle w:val="Paragraph"/>
        <w:numPr>
          <w:ilvl w:val="0"/>
          <w:numId w:val="0"/>
        </w:numPr>
        <w:spacing w:before="240" w:after="120"/>
        <w:ind w:left="567"/>
        <w:rPr>
          <w:b/>
        </w:rPr>
      </w:pPr>
      <w:r>
        <w:rPr>
          <w:b/>
        </w:rPr>
        <w:t>State of affairs</w:t>
      </w:r>
    </w:p>
    <w:p w14:paraId="10B26408" w14:textId="6929D337" w:rsidR="00803E22" w:rsidRDefault="00031E76" w:rsidP="005E220A">
      <w:pPr>
        <w:pStyle w:val="Paragraph"/>
        <w:tabs>
          <w:tab w:val="clear" w:pos="360"/>
          <w:tab w:val="clear" w:pos="567"/>
        </w:tabs>
        <w:spacing w:after="120"/>
        <w:ind w:left="567" w:hanging="567"/>
      </w:pPr>
      <w:r w:rsidRPr="009426E5">
        <w:t xml:space="preserve">Since </w:t>
      </w:r>
      <w:r w:rsidR="002906DE">
        <w:t xml:space="preserve">the main funding </w:t>
      </w:r>
      <w:r w:rsidR="00DF24EF">
        <w:t>requirements</w:t>
      </w:r>
      <w:r w:rsidR="002906DE">
        <w:t xml:space="preserve"> for implementing the </w:t>
      </w:r>
      <w:r w:rsidR="008C7C8F" w:rsidRPr="009426E5">
        <w:t xml:space="preserve">Convention </w:t>
      </w:r>
      <w:r w:rsidR="002906DE">
        <w:t xml:space="preserve">to date </w:t>
      </w:r>
      <w:r w:rsidR="002A1AB9">
        <w:t>have been</w:t>
      </w:r>
      <w:r w:rsidR="002906DE">
        <w:t xml:space="preserve"> </w:t>
      </w:r>
      <w:r w:rsidR="00DF24EF">
        <w:t xml:space="preserve">aimed at </w:t>
      </w:r>
      <w:r w:rsidR="002906DE">
        <w:t xml:space="preserve">extending the reach and effectiveness of </w:t>
      </w:r>
      <w:r w:rsidR="00D7236A" w:rsidRPr="009426E5">
        <w:t xml:space="preserve">the </w:t>
      </w:r>
      <w:r w:rsidR="008C7C8F" w:rsidRPr="009426E5">
        <w:t>global capacity-building programme and</w:t>
      </w:r>
      <w:r w:rsidR="002906DE">
        <w:t xml:space="preserve"> </w:t>
      </w:r>
      <w:r w:rsidR="008C7C8F" w:rsidRPr="009426E5">
        <w:t xml:space="preserve">strengthening </w:t>
      </w:r>
      <w:r w:rsidR="002906DE">
        <w:t>the</w:t>
      </w:r>
      <w:r w:rsidR="002906DE" w:rsidRPr="009426E5">
        <w:t xml:space="preserve"> </w:t>
      </w:r>
      <w:r w:rsidR="008C7C8F" w:rsidRPr="009426E5">
        <w:t xml:space="preserve">human resources of the Secretariat, it </w:t>
      </w:r>
      <w:r w:rsidR="00DB29DB" w:rsidRPr="009426E5">
        <w:t xml:space="preserve">seems </w:t>
      </w:r>
      <w:r w:rsidR="008C7C8F" w:rsidRPr="009426E5">
        <w:t xml:space="preserve">appropriate to </w:t>
      </w:r>
      <w:r w:rsidRPr="009426E5">
        <w:t>provide an overview of the</w:t>
      </w:r>
      <w:r w:rsidR="00A22CAA">
        <w:t xml:space="preserve"> overall</w:t>
      </w:r>
      <w:r w:rsidRPr="009426E5">
        <w:t xml:space="preserve"> evolution of this support to the Committee </w:t>
      </w:r>
      <w:r w:rsidR="002A1AB9">
        <w:t>over</w:t>
      </w:r>
      <w:r w:rsidR="002A1AB9" w:rsidRPr="009426E5">
        <w:t xml:space="preserve"> </w:t>
      </w:r>
      <w:r w:rsidR="008C7C8F" w:rsidRPr="009426E5">
        <w:t>the last three biennia.</w:t>
      </w:r>
      <w:r w:rsidR="00D7236A" w:rsidRPr="009426E5">
        <w:t xml:space="preserve"> </w:t>
      </w:r>
      <w:r w:rsidR="003F1C8D" w:rsidRPr="009426E5">
        <w:t>Figure 1</w:t>
      </w:r>
      <w:r w:rsidR="00D7236A" w:rsidRPr="009426E5">
        <w:t xml:space="preserve"> </w:t>
      </w:r>
      <w:r w:rsidR="00D72036">
        <w:t>demonstrates</w:t>
      </w:r>
      <w:r w:rsidR="00D72036" w:rsidRPr="009426E5">
        <w:t xml:space="preserve"> </w:t>
      </w:r>
      <w:r w:rsidR="002A1AB9">
        <w:t>a</w:t>
      </w:r>
      <w:r w:rsidR="002A1AB9" w:rsidRPr="009426E5">
        <w:t xml:space="preserve"> </w:t>
      </w:r>
      <w:r w:rsidRPr="009426E5">
        <w:t xml:space="preserve">decline in </w:t>
      </w:r>
      <w:r w:rsidR="003E281A" w:rsidRPr="009426E5">
        <w:t xml:space="preserve">the </w:t>
      </w:r>
      <w:r w:rsidR="00163F91">
        <w:t>support to</w:t>
      </w:r>
      <w:r w:rsidR="003E281A" w:rsidRPr="009426E5">
        <w:t xml:space="preserve"> </w:t>
      </w:r>
      <w:r w:rsidR="0066211C">
        <w:t xml:space="preserve">the </w:t>
      </w:r>
      <w:r w:rsidR="0066211C" w:rsidRPr="007505D8">
        <w:t>capacity-building programme</w:t>
      </w:r>
      <w:r w:rsidR="008701D5" w:rsidRPr="007505D8">
        <w:t xml:space="preserve"> since 2012</w:t>
      </w:r>
      <w:r w:rsidR="0066211C" w:rsidRPr="007505D8">
        <w:t xml:space="preserve">, with a </w:t>
      </w:r>
      <w:r w:rsidR="00163F91" w:rsidRPr="007505D8">
        <w:t>significant decline</w:t>
      </w:r>
      <w:r w:rsidR="0066211C" w:rsidRPr="007505D8">
        <w:t xml:space="preserve"> in the current biennium (38</w:t>
      </w:r>
      <w:r w:rsidR="008701D5" w:rsidRPr="007505D8">
        <w:t> </w:t>
      </w:r>
      <w:r w:rsidR="0066211C" w:rsidRPr="007505D8">
        <w:t>C/5)</w:t>
      </w:r>
      <w:r w:rsidR="00A22CAA" w:rsidRPr="007505D8">
        <w:t>.</w:t>
      </w:r>
      <w:r w:rsidR="0066211C" w:rsidRPr="007505D8">
        <w:t xml:space="preserve"> </w:t>
      </w:r>
      <w:r w:rsidR="00DF24EF" w:rsidRPr="007505D8">
        <w:t xml:space="preserve">At the time of writing, </w:t>
      </w:r>
      <w:r w:rsidR="002A1AB9" w:rsidRPr="007505D8">
        <w:t xml:space="preserve">the </w:t>
      </w:r>
      <w:r w:rsidR="00DF24EF" w:rsidRPr="007505D8">
        <w:t>mobilized resources have reached only 56</w:t>
      </w:r>
      <w:r w:rsidR="00554C38">
        <w:t>%</w:t>
      </w:r>
      <w:r w:rsidR="00DF24EF" w:rsidRPr="007505D8">
        <w:t xml:space="preserve"> of the US$3M biennial object</w:t>
      </w:r>
      <w:r w:rsidR="00554C38">
        <w:t>ive set by the Committee at its </w:t>
      </w:r>
      <w:r w:rsidR="00DF24EF" w:rsidRPr="007505D8">
        <w:t>ninth session</w:t>
      </w:r>
      <w:r w:rsidR="002A1AB9" w:rsidRPr="007505D8">
        <w:t>,</w:t>
      </w:r>
      <w:r w:rsidR="00DF24EF" w:rsidRPr="007505D8">
        <w:t xml:space="preserve"> making it impossible to achieve the fixed target for the</w:t>
      </w:r>
      <w:r w:rsidR="00DF24EF" w:rsidRPr="009426E5">
        <w:t xml:space="preserve"> 2014-2017 quadrennium</w:t>
      </w:r>
      <w:r w:rsidR="00554C38">
        <w:t> </w:t>
      </w:r>
      <w:r w:rsidR="00DF24EF">
        <w:t>(US$6M)</w:t>
      </w:r>
      <w:r w:rsidR="00DF24EF" w:rsidRPr="009426E5">
        <w:t>.</w:t>
      </w:r>
      <w:r w:rsidR="00803E22">
        <w:t xml:space="preserve"> </w:t>
      </w:r>
      <w:r w:rsidR="001D29B2">
        <w:t xml:space="preserve">Furthermore, </w:t>
      </w:r>
      <w:r w:rsidR="0098319F">
        <w:t>F</w:t>
      </w:r>
      <w:r w:rsidR="001D29B2">
        <w:t>igure 2 points to a sharp decline in the support</w:t>
      </w:r>
      <w:r w:rsidR="0098319F">
        <w:t xml:space="preserve"> for</w:t>
      </w:r>
      <w:r w:rsidR="001D29B2">
        <w:t xml:space="preserve"> the human resources of the Secretariat. This decline is particularly worrying at this stage of the life of the Convention</w:t>
      </w:r>
      <w:r w:rsidR="0098319F">
        <w:t>,</w:t>
      </w:r>
      <w:r w:rsidR="001D29B2">
        <w:t xml:space="preserve"> when a number of </w:t>
      </w:r>
      <w:r w:rsidR="00E57CF1">
        <w:t xml:space="preserve">its </w:t>
      </w:r>
      <w:r w:rsidR="001D29B2">
        <w:t xml:space="preserve">mechanisms </w:t>
      </w:r>
      <w:r w:rsidR="00A44B2E">
        <w:t xml:space="preserve">– </w:t>
      </w:r>
      <w:r w:rsidR="001D29B2">
        <w:t>such</w:t>
      </w:r>
      <w:r w:rsidR="00A44B2E">
        <w:t xml:space="preserve"> </w:t>
      </w:r>
      <w:r w:rsidR="001D29B2">
        <w:t>as periodic reporting</w:t>
      </w:r>
      <w:r w:rsidR="00453340">
        <w:t xml:space="preserve">, </w:t>
      </w:r>
      <w:r w:rsidR="001D29B2">
        <w:t>the accreditation and evaluation of non-governmental organizations</w:t>
      </w:r>
      <w:r w:rsidR="00453340">
        <w:t xml:space="preserve"> </w:t>
      </w:r>
      <w:r w:rsidR="00AB36F4">
        <w:t>and the support of the Capacity-</w:t>
      </w:r>
      <w:r w:rsidR="00453340">
        <w:t>Building facilitators’ network</w:t>
      </w:r>
      <w:r w:rsidR="00A44B2E">
        <w:t xml:space="preserve"> –</w:t>
      </w:r>
      <w:r w:rsidR="001D29B2">
        <w:t xml:space="preserve"> require</w:t>
      </w:r>
      <w:r w:rsidR="00A44B2E">
        <w:t xml:space="preserve"> </w:t>
      </w:r>
      <w:r w:rsidR="001D29B2">
        <w:t xml:space="preserve">more resources </w:t>
      </w:r>
      <w:r w:rsidR="0098319F">
        <w:t>within</w:t>
      </w:r>
      <w:r w:rsidR="00E57CF1">
        <w:t xml:space="preserve"> </w:t>
      </w:r>
      <w:r w:rsidR="001D29B2">
        <w:t xml:space="preserve">the Secretariat. Furthermore, </w:t>
      </w:r>
      <w:r w:rsidR="00E57CF1">
        <w:t xml:space="preserve">such </w:t>
      </w:r>
      <w:r w:rsidR="00342290">
        <w:t xml:space="preserve">support </w:t>
      </w:r>
      <w:r w:rsidR="00E57CF1">
        <w:t xml:space="preserve">is indispensable if the Secretariat is to continue </w:t>
      </w:r>
      <w:r w:rsidR="0098319F">
        <w:t xml:space="preserve">to </w:t>
      </w:r>
      <w:r w:rsidR="00E57CF1">
        <w:t>provid</w:t>
      </w:r>
      <w:r w:rsidR="0098319F">
        <w:t>e</w:t>
      </w:r>
      <w:r w:rsidR="00E57CF1">
        <w:t xml:space="preserve"> recommendations </w:t>
      </w:r>
      <w:r w:rsidR="00A44B2E">
        <w:t xml:space="preserve">to the Bureau </w:t>
      </w:r>
      <w:r w:rsidR="00E57CF1">
        <w:t xml:space="preserve">for </w:t>
      </w:r>
      <w:r w:rsidR="0098319F">
        <w:t>I</w:t>
      </w:r>
      <w:r w:rsidR="00E57CF1">
        <w:t xml:space="preserve">nternational </w:t>
      </w:r>
      <w:r w:rsidR="0098319F">
        <w:t>A</w:t>
      </w:r>
      <w:r w:rsidR="00E57CF1">
        <w:t xml:space="preserve">ssistance requests and </w:t>
      </w:r>
      <w:r w:rsidR="0098319F">
        <w:t xml:space="preserve">to </w:t>
      </w:r>
      <w:r w:rsidR="00E57CF1">
        <w:t xml:space="preserve">support </w:t>
      </w:r>
      <w:r w:rsidR="00342290">
        <w:t xml:space="preserve">States </w:t>
      </w:r>
      <w:r w:rsidR="0098319F">
        <w:t>in</w:t>
      </w:r>
      <w:r w:rsidR="00342290">
        <w:t xml:space="preserve"> preparing </w:t>
      </w:r>
      <w:r w:rsidR="00A44B2E">
        <w:t>such</w:t>
      </w:r>
      <w:r w:rsidR="001D29B2">
        <w:t xml:space="preserve"> requests</w:t>
      </w:r>
      <w:r w:rsidR="00FF147F">
        <w:t xml:space="preserve"> in an effective manner</w:t>
      </w:r>
      <w:r w:rsidR="00E57CF1">
        <w:t>.</w:t>
      </w:r>
      <w:r w:rsidR="003A2956">
        <w:t xml:space="preserve"> In this regard, it is important to point out that, even if the received number of applications demanding International Assistance remains stable throughout the year</w:t>
      </w:r>
      <w:r w:rsidR="00BD52D2">
        <w:t>s, the Secretariat</w:t>
      </w:r>
      <w:r w:rsidR="003A2956">
        <w:t xml:space="preserve"> </w:t>
      </w:r>
      <w:r w:rsidR="00034A28">
        <w:t>managed to increase by 40</w:t>
      </w:r>
      <w:r w:rsidR="00554C38">
        <w:t>%</w:t>
      </w:r>
      <w:r w:rsidR="00034A28">
        <w:t xml:space="preserve"> </w:t>
      </w:r>
      <w:r w:rsidR="003A2956">
        <w:t>the number of projects processed to the Bureau in comparison with previous biennia. Finally, w</w:t>
      </w:r>
      <w:r w:rsidR="00E57CF1">
        <w:t xml:space="preserve">ithout the necessary </w:t>
      </w:r>
      <w:r w:rsidR="00A44B2E">
        <w:t xml:space="preserve">support </w:t>
      </w:r>
      <w:r w:rsidR="0098319F">
        <w:t>for</w:t>
      </w:r>
      <w:r w:rsidR="00A44B2E">
        <w:t xml:space="preserve"> the human resources of the Secretariat,</w:t>
      </w:r>
      <w:r w:rsidR="00E57CF1">
        <w:t xml:space="preserve"> the </w:t>
      </w:r>
      <w:r w:rsidR="00A44B2E">
        <w:t>capacity-building</w:t>
      </w:r>
      <w:r w:rsidR="00E57CF1">
        <w:t xml:space="preserve"> programme is also at risk since priority is given to </w:t>
      </w:r>
      <w:r w:rsidR="00A44B2E">
        <w:t>supporting the</w:t>
      </w:r>
      <w:r w:rsidR="00E57CF1">
        <w:t xml:space="preserve"> statutory </w:t>
      </w:r>
      <w:r w:rsidR="00AB36F4">
        <w:t>processes</w:t>
      </w:r>
      <w:r w:rsidR="00A44B2E">
        <w:t xml:space="preserve"> of the Convention</w:t>
      </w:r>
      <w:r w:rsidR="00E57CF1">
        <w:t>.</w:t>
      </w:r>
    </w:p>
    <w:p w14:paraId="1997E8F2" w14:textId="40088E00" w:rsidR="00DF24EF" w:rsidRDefault="00034A28" w:rsidP="005E220A">
      <w:pPr>
        <w:pStyle w:val="Paragraph"/>
        <w:tabs>
          <w:tab w:val="clear" w:pos="360"/>
          <w:tab w:val="clear" w:pos="567"/>
        </w:tabs>
        <w:spacing w:after="120"/>
        <w:ind w:left="567" w:hanging="567"/>
      </w:pPr>
      <w:r>
        <w:t>Notwithstanding the overall decline</w:t>
      </w:r>
      <w:r w:rsidR="002A1AB9">
        <w:t>,</w:t>
      </w:r>
      <w:r w:rsidR="0004000F">
        <w:t xml:space="preserve"> </w:t>
      </w:r>
      <w:r w:rsidR="00163F91">
        <w:t xml:space="preserve">support to </w:t>
      </w:r>
      <w:r w:rsidR="00BF6598">
        <w:t>the Convention</w:t>
      </w:r>
      <w:r w:rsidR="0004000F">
        <w:t xml:space="preserve"> </w:t>
      </w:r>
      <w:r w:rsidR="00163F91">
        <w:t>through</w:t>
      </w:r>
      <w:r w:rsidR="002A1AB9">
        <w:t xml:space="preserve"> the</w:t>
      </w:r>
      <w:r w:rsidR="0004000F">
        <w:t xml:space="preserve"> Funds-in-Trust arrangements</w:t>
      </w:r>
      <w:r w:rsidR="00163F91">
        <w:t xml:space="preserve"> remain stable</w:t>
      </w:r>
      <w:r w:rsidR="0004000F">
        <w:t xml:space="preserve">. </w:t>
      </w:r>
      <w:r w:rsidR="00DF24EF">
        <w:t xml:space="preserve">During the 38/C5 biennium, contributions </w:t>
      </w:r>
      <w:r w:rsidR="002A1AB9">
        <w:t xml:space="preserve">made </w:t>
      </w:r>
      <w:r w:rsidR="00DF24EF">
        <w:t xml:space="preserve">through </w:t>
      </w:r>
      <w:r w:rsidR="0004000F">
        <w:t>this modality</w:t>
      </w:r>
      <w:r w:rsidR="00DF24EF">
        <w:t xml:space="preserve"> remain at </w:t>
      </w:r>
      <w:r w:rsidR="002A1AB9">
        <w:t xml:space="preserve">a </w:t>
      </w:r>
      <w:r w:rsidR="00DF24EF">
        <w:t xml:space="preserve">similar level </w:t>
      </w:r>
      <w:r w:rsidR="002A1AB9">
        <w:t>to</w:t>
      </w:r>
      <w:r w:rsidR="00DF24EF">
        <w:t xml:space="preserve"> previous biennia</w:t>
      </w:r>
      <w:r w:rsidR="002A1AB9">
        <w:t>.</w:t>
      </w:r>
      <w:r w:rsidR="00DF24EF">
        <w:t xml:space="preserve"> </w:t>
      </w:r>
      <w:r w:rsidR="002A1AB9">
        <w:t xml:space="preserve">This is </w:t>
      </w:r>
      <w:r w:rsidR="00DF24EF">
        <w:t xml:space="preserve">thanks </w:t>
      </w:r>
      <w:r w:rsidR="00942CD5">
        <w:t xml:space="preserve">to the </w:t>
      </w:r>
      <w:r w:rsidR="00DF24EF" w:rsidRPr="00DF24EF">
        <w:t>generous contribution</w:t>
      </w:r>
      <w:r w:rsidR="00151926">
        <w:t>s</w:t>
      </w:r>
      <w:r w:rsidR="00DF24EF" w:rsidRPr="00DF24EF">
        <w:t xml:space="preserve"> </w:t>
      </w:r>
      <w:r w:rsidR="002A1AB9">
        <w:t>from</w:t>
      </w:r>
      <w:r w:rsidR="00151926">
        <w:t xml:space="preserve"> Belgium (Flanders), Japan and</w:t>
      </w:r>
      <w:r w:rsidR="00DF24EF" w:rsidRPr="00DF24EF">
        <w:t xml:space="preserve"> the </w:t>
      </w:r>
      <w:r w:rsidR="00DF24EF" w:rsidRPr="00701B42">
        <w:rPr>
          <w:color w:val="000000"/>
        </w:rPr>
        <w:t>Abu Dhabi Tourism &amp; Culture Authority (</w:t>
      </w:r>
      <w:r w:rsidR="00883AFD">
        <w:rPr>
          <w:color w:val="000000"/>
        </w:rPr>
        <w:t xml:space="preserve">the </w:t>
      </w:r>
      <w:r w:rsidR="00DF24EF" w:rsidRPr="00701B42">
        <w:rPr>
          <w:color w:val="000000"/>
        </w:rPr>
        <w:t>United Arab Emirates)</w:t>
      </w:r>
      <w:r w:rsidR="00DF24EF">
        <w:rPr>
          <w:color w:val="000000"/>
        </w:rPr>
        <w:t>.</w:t>
      </w:r>
    </w:p>
    <w:p w14:paraId="3F389CC6" w14:textId="48A2DE50" w:rsidR="00210D96" w:rsidRDefault="00DF24EF" w:rsidP="005E220A">
      <w:pPr>
        <w:pStyle w:val="Paragraph"/>
        <w:tabs>
          <w:tab w:val="clear" w:pos="360"/>
          <w:tab w:val="clear" w:pos="567"/>
        </w:tabs>
        <w:spacing w:after="120"/>
        <w:ind w:left="567" w:hanging="567"/>
      </w:pPr>
      <w:r>
        <w:t xml:space="preserve">However, </w:t>
      </w:r>
      <w:r w:rsidR="002A1AB9">
        <w:t>the</w:t>
      </w:r>
      <w:r w:rsidR="00BF37F3">
        <w:t xml:space="preserve"> overall decline is explained by the </w:t>
      </w:r>
      <w:r w:rsidR="009B27E7">
        <w:t>critical</w:t>
      </w:r>
      <w:r w:rsidR="00087751">
        <w:t xml:space="preserve"> </w:t>
      </w:r>
      <w:r w:rsidR="00BF37F3">
        <w:t xml:space="preserve">decrease in </w:t>
      </w:r>
      <w:r>
        <w:t>c</w:t>
      </w:r>
      <w:r w:rsidR="0066211C">
        <w:t>ontributions made by State</w:t>
      </w:r>
      <w:r w:rsidR="005C3827">
        <w:t xml:space="preserve"> Parties through earmarked</w:t>
      </w:r>
      <w:r w:rsidR="005C6B37">
        <w:t xml:space="preserve"> contributions to the</w:t>
      </w:r>
      <w:r w:rsidR="005C3827">
        <w:t xml:space="preserve"> </w:t>
      </w:r>
      <w:r w:rsidR="005C6B37">
        <w:t>F</w:t>
      </w:r>
      <w:r w:rsidR="005C3827">
        <w:t>und</w:t>
      </w:r>
      <w:r w:rsidR="00BF37F3">
        <w:t>. During the biennium</w:t>
      </w:r>
      <w:r w:rsidR="002A1AB9">
        <w:t>,</w:t>
      </w:r>
      <w:r w:rsidR="00BF37F3">
        <w:t xml:space="preserve"> only</w:t>
      </w:r>
      <w:r w:rsidR="005C3827">
        <w:t xml:space="preserve"> </w:t>
      </w:r>
      <w:r w:rsidR="00FA3135">
        <w:t>US</w:t>
      </w:r>
      <w:r w:rsidR="005C3827">
        <w:t>$0</w:t>
      </w:r>
      <w:r w:rsidR="00147FF7">
        <w:t>.</w:t>
      </w:r>
      <w:r w:rsidR="005C3827">
        <w:t>11M</w:t>
      </w:r>
      <w:r w:rsidR="00BF37F3">
        <w:t xml:space="preserve"> w</w:t>
      </w:r>
      <w:r w:rsidR="008E74D2">
        <w:t>as</w:t>
      </w:r>
      <w:r w:rsidR="00BF37F3">
        <w:t xml:space="preserve"> received</w:t>
      </w:r>
      <w:r w:rsidR="00366134">
        <w:t xml:space="preserve"> in support of the capacity-building programme</w:t>
      </w:r>
      <w:r w:rsidR="008E74D2">
        <w:t>;</w:t>
      </w:r>
      <w:r w:rsidR="005C3827">
        <w:t xml:space="preserve"> </w:t>
      </w:r>
      <w:r w:rsidR="008E74D2">
        <w:t xml:space="preserve">this corresponds </w:t>
      </w:r>
      <w:r w:rsidR="005C3827">
        <w:t xml:space="preserve">to </w:t>
      </w:r>
      <w:r w:rsidR="00D72036">
        <w:t>a</w:t>
      </w:r>
      <w:r w:rsidR="005C3827">
        <w:t xml:space="preserve"> contribution </w:t>
      </w:r>
      <w:r w:rsidR="008E74D2">
        <w:t xml:space="preserve">from </w:t>
      </w:r>
      <w:r w:rsidR="005C3827">
        <w:t xml:space="preserve">the Government of </w:t>
      </w:r>
      <w:r w:rsidR="008E74D2">
        <w:t xml:space="preserve">the </w:t>
      </w:r>
      <w:r w:rsidR="005C3827">
        <w:t>Netherlands</w:t>
      </w:r>
      <w:r w:rsidR="008E74D2">
        <w:t>, which was</w:t>
      </w:r>
      <w:r w:rsidR="00D72036">
        <w:t xml:space="preserve"> reported to the Committee at its eleventh session</w:t>
      </w:r>
      <w:r w:rsidR="005C3827">
        <w:t>.</w:t>
      </w:r>
      <w:r w:rsidR="00BF37F3">
        <w:t xml:space="preserve"> </w:t>
      </w:r>
      <w:r w:rsidR="000C7B0B">
        <w:t xml:space="preserve">This </w:t>
      </w:r>
      <w:r w:rsidR="009B27E7">
        <w:t>suppose</w:t>
      </w:r>
      <w:r w:rsidR="00AB36F4">
        <w:t>s</w:t>
      </w:r>
      <w:r w:rsidR="009B27E7">
        <w:t xml:space="preserve"> a decrease</w:t>
      </w:r>
      <w:r w:rsidR="000C7B0B">
        <w:t xml:space="preserve"> </w:t>
      </w:r>
      <w:r w:rsidR="009B27E7">
        <w:t>of more</w:t>
      </w:r>
      <w:r w:rsidR="000C7B0B">
        <w:t xml:space="preserve"> than </w:t>
      </w:r>
      <w:r w:rsidR="009B27E7">
        <w:t>9</w:t>
      </w:r>
      <w:r w:rsidR="000C7B0B">
        <w:t>0</w:t>
      </w:r>
      <w:r w:rsidR="00554C38">
        <w:t>%</w:t>
      </w:r>
      <w:r w:rsidR="000C7B0B">
        <w:t xml:space="preserve"> of </w:t>
      </w:r>
      <w:r w:rsidR="008E74D2">
        <w:t xml:space="preserve">the </w:t>
      </w:r>
      <w:r w:rsidR="000C7B0B">
        <w:t xml:space="preserve">contributions received in </w:t>
      </w:r>
      <w:r w:rsidR="009B27E7">
        <w:t>relation with the</w:t>
      </w:r>
      <w:r w:rsidR="000C7B0B">
        <w:t xml:space="preserve"> previous biennium.</w:t>
      </w:r>
    </w:p>
    <w:p w14:paraId="361A991A" w14:textId="233C7D1A" w:rsidR="005C3827" w:rsidRPr="009426E5" w:rsidRDefault="00163F91" w:rsidP="007505D8">
      <w:pPr>
        <w:pStyle w:val="Paragraph"/>
        <w:numPr>
          <w:ilvl w:val="0"/>
          <w:numId w:val="0"/>
        </w:numPr>
        <w:tabs>
          <w:tab w:val="clear" w:pos="567"/>
        </w:tabs>
        <w:spacing w:after="120"/>
        <w:ind w:left="567"/>
      </w:pPr>
      <w:r>
        <w:rPr>
          <w:noProof/>
          <w:lang w:val="en-US" w:eastAsia="ko-KR"/>
        </w:rPr>
        <w:drawing>
          <wp:inline distT="0" distB="0" distL="0" distR="0" wp14:anchorId="498CB162" wp14:editId="57A7A1F2">
            <wp:extent cx="5760000" cy="3384550"/>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FA0379" w14:textId="0CFE1931" w:rsidR="005E77D3" w:rsidRDefault="005E77D3" w:rsidP="005C3827">
      <w:pPr>
        <w:pStyle w:val="Paragraph"/>
        <w:numPr>
          <w:ilvl w:val="0"/>
          <w:numId w:val="0"/>
        </w:numPr>
        <w:tabs>
          <w:tab w:val="clear" w:pos="567"/>
        </w:tabs>
        <w:spacing w:after="120"/>
        <w:ind w:firstLine="567"/>
        <w:rPr>
          <w:sz w:val="18"/>
          <w:szCs w:val="18"/>
        </w:rPr>
      </w:pPr>
      <w:r w:rsidRPr="0027119A">
        <w:rPr>
          <w:b/>
          <w:sz w:val="18"/>
          <w:szCs w:val="18"/>
        </w:rPr>
        <w:t xml:space="preserve">Figure </w:t>
      </w:r>
      <w:r w:rsidRPr="0027119A">
        <w:rPr>
          <w:b/>
          <w:i/>
          <w:sz w:val="18"/>
          <w:szCs w:val="18"/>
        </w:rPr>
        <w:fldChar w:fldCharType="begin"/>
      </w:r>
      <w:r w:rsidRPr="0027119A">
        <w:rPr>
          <w:b/>
          <w:sz w:val="18"/>
          <w:szCs w:val="18"/>
        </w:rPr>
        <w:instrText xml:space="preserve"> SEQ Figure \* ARABIC </w:instrText>
      </w:r>
      <w:r w:rsidRPr="0027119A">
        <w:rPr>
          <w:b/>
          <w:i/>
          <w:sz w:val="18"/>
          <w:szCs w:val="18"/>
        </w:rPr>
        <w:fldChar w:fldCharType="separate"/>
      </w:r>
      <w:r w:rsidR="00D02474">
        <w:rPr>
          <w:b/>
          <w:noProof/>
          <w:sz w:val="18"/>
          <w:szCs w:val="18"/>
        </w:rPr>
        <w:t>1</w:t>
      </w:r>
      <w:r w:rsidRPr="0027119A">
        <w:rPr>
          <w:b/>
          <w:i/>
          <w:sz w:val="18"/>
          <w:szCs w:val="18"/>
        </w:rPr>
        <w:fldChar w:fldCharType="end"/>
      </w:r>
      <w:r w:rsidRPr="0027119A">
        <w:rPr>
          <w:sz w:val="18"/>
          <w:szCs w:val="18"/>
        </w:rPr>
        <w:t xml:space="preserve">: </w:t>
      </w:r>
      <w:r w:rsidRPr="00243077">
        <w:rPr>
          <w:sz w:val="18"/>
          <w:szCs w:val="18"/>
        </w:rPr>
        <w:t xml:space="preserve">Evolution of </w:t>
      </w:r>
      <w:r w:rsidR="0074144E" w:rsidRPr="00243077">
        <w:rPr>
          <w:sz w:val="18"/>
          <w:szCs w:val="18"/>
        </w:rPr>
        <w:t xml:space="preserve">resources mobilized in </w:t>
      </w:r>
      <w:r w:rsidRPr="00243077">
        <w:rPr>
          <w:sz w:val="18"/>
          <w:szCs w:val="18"/>
        </w:rPr>
        <w:t xml:space="preserve">support </w:t>
      </w:r>
      <w:r w:rsidR="0074144E" w:rsidRPr="00243077">
        <w:rPr>
          <w:sz w:val="18"/>
          <w:szCs w:val="18"/>
        </w:rPr>
        <w:t xml:space="preserve">of </w:t>
      </w:r>
      <w:r w:rsidRPr="00243077">
        <w:rPr>
          <w:sz w:val="18"/>
          <w:szCs w:val="18"/>
        </w:rPr>
        <w:t>the global capacity-building programme</w:t>
      </w:r>
    </w:p>
    <w:p w14:paraId="2ACFD525" w14:textId="1D3690AE" w:rsidR="00F1473A" w:rsidRDefault="009D2276" w:rsidP="005E220A">
      <w:pPr>
        <w:pStyle w:val="Paragraph"/>
        <w:tabs>
          <w:tab w:val="clear" w:pos="360"/>
          <w:tab w:val="num" w:pos="567"/>
        </w:tabs>
        <w:spacing w:before="240" w:after="120"/>
        <w:ind w:left="567" w:hanging="567"/>
      </w:pPr>
      <w:r w:rsidRPr="00BE5499">
        <w:t>Recognizing</w:t>
      </w:r>
      <w:r w:rsidR="004A65FE" w:rsidRPr="00BE5499">
        <w:t xml:space="preserve"> that the Secretariat’</w:t>
      </w:r>
      <w:r w:rsidRPr="00BE5499">
        <w:t xml:space="preserve">s ability to provide quality services to Member States depends largely on its human resources, various donors have provided support in this direction </w:t>
      </w:r>
      <w:r w:rsidR="008E74D2">
        <w:t>through</w:t>
      </w:r>
      <w:r w:rsidRPr="00BE5499">
        <w:t xml:space="preserve"> several modalities. </w:t>
      </w:r>
      <w:r w:rsidR="00163F91">
        <w:t>T</w:t>
      </w:r>
      <w:r w:rsidR="00F8476E">
        <w:t xml:space="preserve">he Fund </w:t>
      </w:r>
      <w:r w:rsidR="00F8476E" w:rsidRPr="00BE5499">
        <w:t>to enhance the human resources of the Secretariat</w:t>
      </w:r>
      <w:r w:rsidR="00F8476E">
        <w:t xml:space="preserve"> has</w:t>
      </w:r>
      <w:r w:rsidR="00163F91">
        <w:t xml:space="preserve"> in fact</w:t>
      </w:r>
      <w:r w:rsidR="00F8476E">
        <w:t xml:space="preserve"> never reached</w:t>
      </w:r>
      <w:r w:rsidR="00F8476E" w:rsidRPr="00BE5499">
        <w:t xml:space="preserve"> the annual target of US$1.1 million set by the General Assembly (</w:t>
      </w:r>
      <w:hyperlink r:id="rId16" w:history="1">
        <w:r w:rsidR="00F8476E" w:rsidRPr="00BE5499">
          <w:rPr>
            <w:rStyle w:val="Hyperlink"/>
          </w:rPr>
          <w:t>Resolution 3.GA 9</w:t>
        </w:r>
      </w:hyperlink>
      <w:r w:rsidR="00F8476E">
        <w:t>),</w:t>
      </w:r>
      <w:r w:rsidR="00F8476E" w:rsidRPr="00BE5499">
        <w:t xml:space="preserve"> </w:t>
      </w:r>
      <w:r w:rsidR="00163F91">
        <w:t xml:space="preserve">and indeed the </w:t>
      </w:r>
      <w:r w:rsidRPr="00BE5499">
        <w:t xml:space="preserve">graph </w:t>
      </w:r>
      <w:r w:rsidR="004A65FE" w:rsidRPr="00BE5499">
        <w:t xml:space="preserve">below </w:t>
      </w:r>
      <w:r w:rsidRPr="00BE5499">
        <w:t xml:space="preserve">shows </w:t>
      </w:r>
      <w:r w:rsidR="00A24907">
        <w:t>an alarming</w:t>
      </w:r>
      <w:r w:rsidR="006B4898">
        <w:t xml:space="preserve"> drop </w:t>
      </w:r>
      <w:r w:rsidR="00BB34FD">
        <w:t xml:space="preserve">in the current biennium </w:t>
      </w:r>
      <w:r w:rsidR="00305247">
        <w:t>compared</w:t>
      </w:r>
      <w:r w:rsidR="00BB34FD">
        <w:t xml:space="preserve"> to previous </w:t>
      </w:r>
      <w:r w:rsidR="008B645E">
        <w:t>exercises</w:t>
      </w:r>
      <w:r w:rsidRPr="00BE5499">
        <w:t xml:space="preserve">. </w:t>
      </w:r>
      <w:r w:rsidR="005E77D3" w:rsidRPr="00BE5499">
        <w:t>More precisely</w:t>
      </w:r>
      <w:r w:rsidR="00451613" w:rsidRPr="00BE5499">
        <w:t>,</w:t>
      </w:r>
      <w:r w:rsidR="005E77D3" w:rsidRPr="00BE5499">
        <w:t xml:space="preserve"> it</w:t>
      </w:r>
      <w:r w:rsidR="006A02BD" w:rsidRPr="00BE5499">
        <w:t xml:space="preserve"> is worth noting that</w:t>
      </w:r>
      <w:r w:rsidR="00795C9F" w:rsidRPr="00BE5499">
        <w:t xml:space="preserve"> </w:t>
      </w:r>
      <w:r w:rsidR="00366134">
        <w:t>since the last meeting of the Committee</w:t>
      </w:r>
      <w:r w:rsidR="00305247" w:rsidRPr="00BE5499">
        <w:t xml:space="preserve"> to October 201</w:t>
      </w:r>
      <w:r w:rsidR="00305247">
        <w:t xml:space="preserve">7 </w:t>
      </w:r>
      <w:r w:rsidR="00795C9F" w:rsidRPr="00BE5499">
        <w:t xml:space="preserve">the </w:t>
      </w:r>
      <w:r w:rsidR="008B782D">
        <w:t xml:space="preserve">sub-fund </w:t>
      </w:r>
      <w:r w:rsidR="00795C9F" w:rsidRPr="00BE5499">
        <w:rPr>
          <w:iCs/>
        </w:rPr>
        <w:t>received</w:t>
      </w:r>
      <w:r w:rsidR="00795C9F" w:rsidRPr="00BE5499">
        <w:t xml:space="preserve"> voluntary contributions totalling </w:t>
      </w:r>
      <w:r w:rsidR="00F96F3D">
        <w:t xml:space="preserve">only </w:t>
      </w:r>
      <w:r w:rsidR="00795C9F" w:rsidRPr="00BE5499">
        <w:t>US$</w:t>
      </w:r>
      <w:r w:rsidR="00237464">
        <w:t>22</w:t>
      </w:r>
      <w:r w:rsidR="00F25795" w:rsidRPr="00BE5499">
        <w:t>,</w:t>
      </w:r>
      <w:r w:rsidR="00237464">
        <w:t xml:space="preserve">408; this corresponds to two contributions from the Government of Principality of Monaco. </w:t>
      </w:r>
      <w:r w:rsidR="00BA36C1">
        <w:t xml:space="preserve">Considering the entire 38 C/5 biennium until the date covered by this report, </w:t>
      </w:r>
      <w:r w:rsidR="008B645E">
        <w:t xml:space="preserve">the contributions to </w:t>
      </w:r>
      <w:r w:rsidR="00AB36F4">
        <w:t>the Sub-Fund have decreased by</w:t>
      </w:r>
      <w:r w:rsidR="008B645E">
        <w:t xml:space="preserve"> 7</w:t>
      </w:r>
      <w:r w:rsidR="00237464">
        <w:t>0</w:t>
      </w:r>
      <w:r w:rsidR="00554C38">
        <w:t>%</w:t>
      </w:r>
      <w:r w:rsidR="00895AE4">
        <w:t xml:space="preserve"> </w:t>
      </w:r>
      <w:r w:rsidR="008B645E">
        <w:t>in relation with the previous two biennia</w:t>
      </w:r>
      <w:r w:rsidR="00BA36C1">
        <w:t xml:space="preserve">, </w:t>
      </w:r>
      <w:r w:rsidR="008E74D2">
        <w:t xml:space="preserve">making this </w:t>
      </w:r>
      <w:r w:rsidR="00BA36C1">
        <w:t>a</w:t>
      </w:r>
      <w:r w:rsidR="00F96F3D">
        <w:t xml:space="preserve"> historic minimum since the creation of this fund.</w:t>
      </w:r>
    </w:p>
    <w:p w14:paraId="51AB7988" w14:textId="7B2721CA" w:rsidR="00EC2A59" w:rsidRPr="009426E5" w:rsidRDefault="00237464" w:rsidP="005E220A">
      <w:pPr>
        <w:pStyle w:val="Paragraph"/>
        <w:numPr>
          <w:ilvl w:val="0"/>
          <w:numId w:val="0"/>
        </w:numPr>
        <w:tabs>
          <w:tab w:val="clear" w:pos="567"/>
        </w:tabs>
        <w:spacing w:before="240" w:after="120"/>
        <w:ind w:left="567"/>
      </w:pPr>
      <w:r>
        <w:rPr>
          <w:noProof/>
          <w:lang w:val="en-US" w:eastAsia="ko-KR"/>
        </w:rPr>
        <w:drawing>
          <wp:inline distT="0" distB="0" distL="0" distR="0" wp14:anchorId="1B83B05F" wp14:editId="3E212DD0">
            <wp:extent cx="5760000" cy="32385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401250" w14:textId="75335AA5" w:rsidR="00EC2A59" w:rsidRPr="009426E5" w:rsidRDefault="00EC2A59" w:rsidP="00D901E2">
      <w:pPr>
        <w:pStyle w:val="Caption"/>
        <w:ind w:left="567"/>
        <w:rPr>
          <w:rFonts w:ascii="Arial" w:hAnsi="Arial" w:cs="Arial"/>
          <w:i w:val="0"/>
          <w:color w:val="auto"/>
          <w:lang w:val="en-GB"/>
        </w:rPr>
      </w:pPr>
      <w:r w:rsidRPr="009426E5">
        <w:rPr>
          <w:rFonts w:ascii="Arial" w:hAnsi="Arial" w:cs="Arial"/>
          <w:b/>
          <w:i w:val="0"/>
          <w:color w:val="auto"/>
          <w:lang w:val="en-GB"/>
        </w:rPr>
        <w:t xml:space="preserve">Figure </w:t>
      </w:r>
      <w:r w:rsidRPr="009426E5">
        <w:rPr>
          <w:rFonts w:ascii="Arial" w:hAnsi="Arial" w:cs="Arial"/>
          <w:b/>
          <w:i w:val="0"/>
          <w:color w:val="auto"/>
          <w:lang w:val="en-GB"/>
        </w:rPr>
        <w:fldChar w:fldCharType="begin"/>
      </w:r>
      <w:r w:rsidRPr="009426E5">
        <w:rPr>
          <w:rFonts w:ascii="Arial" w:hAnsi="Arial" w:cs="Arial"/>
          <w:b/>
          <w:i w:val="0"/>
          <w:color w:val="auto"/>
          <w:lang w:val="en-GB"/>
        </w:rPr>
        <w:instrText xml:space="preserve"> SEQ Figure \* ARABIC </w:instrText>
      </w:r>
      <w:r w:rsidRPr="009426E5">
        <w:rPr>
          <w:rFonts w:ascii="Arial" w:hAnsi="Arial" w:cs="Arial"/>
          <w:b/>
          <w:i w:val="0"/>
          <w:color w:val="auto"/>
          <w:lang w:val="en-GB"/>
        </w:rPr>
        <w:fldChar w:fldCharType="separate"/>
      </w:r>
      <w:r w:rsidR="00D02474">
        <w:rPr>
          <w:rFonts w:ascii="Arial" w:hAnsi="Arial" w:cs="Arial"/>
          <w:b/>
          <w:i w:val="0"/>
          <w:noProof/>
          <w:color w:val="auto"/>
          <w:lang w:val="en-GB"/>
        </w:rPr>
        <w:t>2</w:t>
      </w:r>
      <w:r w:rsidRPr="009426E5">
        <w:rPr>
          <w:rFonts w:ascii="Arial" w:hAnsi="Arial" w:cs="Arial"/>
          <w:b/>
          <w:i w:val="0"/>
          <w:color w:val="auto"/>
          <w:lang w:val="en-GB"/>
        </w:rPr>
        <w:fldChar w:fldCharType="end"/>
      </w:r>
      <w:r w:rsidRPr="009426E5">
        <w:rPr>
          <w:rFonts w:ascii="Arial" w:hAnsi="Arial" w:cs="Arial"/>
          <w:i w:val="0"/>
          <w:color w:val="auto"/>
          <w:lang w:val="en-GB"/>
        </w:rPr>
        <w:t xml:space="preserve">: Evolution of </w:t>
      </w:r>
      <w:r w:rsidR="00243077">
        <w:rPr>
          <w:rFonts w:ascii="Arial" w:hAnsi="Arial" w:cs="Arial"/>
          <w:i w:val="0"/>
          <w:color w:val="auto"/>
          <w:lang w:val="en-GB"/>
        </w:rPr>
        <w:t>resources mobilized in</w:t>
      </w:r>
      <w:r w:rsidR="00243077" w:rsidRPr="009426E5">
        <w:rPr>
          <w:rFonts w:ascii="Arial" w:hAnsi="Arial" w:cs="Arial"/>
          <w:i w:val="0"/>
          <w:color w:val="auto"/>
          <w:lang w:val="en-GB"/>
        </w:rPr>
        <w:t xml:space="preserve"> </w:t>
      </w:r>
      <w:r w:rsidRPr="009426E5">
        <w:rPr>
          <w:rFonts w:ascii="Arial" w:hAnsi="Arial" w:cs="Arial"/>
          <w:i w:val="0"/>
          <w:color w:val="auto"/>
          <w:lang w:val="en-GB"/>
        </w:rPr>
        <w:t xml:space="preserve">support </w:t>
      </w:r>
      <w:r w:rsidR="00243077">
        <w:rPr>
          <w:rFonts w:ascii="Arial" w:hAnsi="Arial" w:cs="Arial"/>
          <w:i w:val="0"/>
          <w:color w:val="auto"/>
          <w:lang w:val="en-GB"/>
        </w:rPr>
        <w:t>of</w:t>
      </w:r>
      <w:r w:rsidR="00243077" w:rsidRPr="009426E5">
        <w:rPr>
          <w:rFonts w:ascii="Arial" w:hAnsi="Arial" w:cs="Arial"/>
          <w:i w:val="0"/>
          <w:color w:val="auto"/>
          <w:lang w:val="en-GB"/>
        </w:rPr>
        <w:t xml:space="preserve"> </w:t>
      </w:r>
      <w:r w:rsidRPr="009426E5">
        <w:rPr>
          <w:rFonts w:ascii="Arial" w:hAnsi="Arial" w:cs="Arial"/>
          <w:i w:val="0"/>
          <w:color w:val="auto"/>
          <w:lang w:val="en-GB"/>
        </w:rPr>
        <w:t>human resources</w:t>
      </w:r>
    </w:p>
    <w:p w14:paraId="3DF052EB" w14:textId="46E84FE8" w:rsidR="00C31FA0" w:rsidRDefault="005E4F5C" w:rsidP="00243077">
      <w:pPr>
        <w:pStyle w:val="Paragraph"/>
        <w:tabs>
          <w:tab w:val="clear" w:pos="360"/>
          <w:tab w:val="num" w:pos="567"/>
        </w:tabs>
        <w:spacing w:after="120"/>
        <w:ind w:left="567" w:hanging="567"/>
      </w:pPr>
      <w:r w:rsidRPr="009426E5">
        <w:t>T</w:t>
      </w:r>
      <w:r w:rsidR="00984D8E" w:rsidRPr="009426E5">
        <w:t xml:space="preserve">he two figures </w:t>
      </w:r>
      <w:r w:rsidR="008A7B0B" w:rsidRPr="009426E5">
        <w:t xml:space="preserve">above </w:t>
      </w:r>
      <w:r w:rsidR="00984D8E" w:rsidRPr="009426E5">
        <w:t>show a</w:t>
      </w:r>
      <w:r w:rsidR="008F3003">
        <w:t>n</w:t>
      </w:r>
      <w:r w:rsidR="00984D8E" w:rsidRPr="009426E5">
        <w:t xml:space="preserve"> </w:t>
      </w:r>
      <w:r w:rsidR="008F3003" w:rsidRPr="008F3003">
        <w:t>undeniable</w:t>
      </w:r>
      <w:r w:rsidR="008F3003" w:rsidRPr="008F3003" w:rsidDel="008F3003">
        <w:t xml:space="preserve"> </w:t>
      </w:r>
      <w:r w:rsidR="00984D8E" w:rsidRPr="009426E5">
        <w:t>decline</w:t>
      </w:r>
      <w:r w:rsidR="00942CD5">
        <w:t xml:space="preserve"> during this biennium</w:t>
      </w:r>
      <w:r w:rsidR="00984D8E" w:rsidRPr="009426E5">
        <w:t xml:space="preserve"> in support</w:t>
      </w:r>
      <w:r w:rsidR="00305247">
        <w:t xml:space="preserve"> </w:t>
      </w:r>
      <w:r w:rsidR="00E80FEF" w:rsidRPr="009426E5">
        <w:t xml:space="preserve">to </w:t>
      </w:r>
      <w:r w:rsidR="00984D8E" w:rsidRPr="009426E5">
        <w:t xml:space="preserve">the Convention through the Fund, </w:t>
      </w:r>
      <w:r w:rsidR="00E80FEF" w:rsidRPr="009426E5">
        <w:t xml:space="preserve">in terms </w:t>
      </w:r>
      <w:r w:rsidR="00305247">
        <w:t xml:space="preserve">both </w:t>
      </w:r>
      <w:r w:rsidR="00E80FEF" w:rsidRPr="009426E5">
        <w:t xml:space="preserve">of </w:t>
      </w:r>
      <w:r w:rsidR="008A7B0B" w:rsidRPr="009426E5">
        <w:t xml:space="preserve">earmarked contributions </w:t>
      </w:r>
      <w:r w:rsidR="00305247">
        <w:t>to</w:t>
      </w:r>
      <w:r w:rsidR="00305247" w:rsidRPr="009426E5">
        <w:t xml:space="preserve"> </w:t>
      </w:r>
      <w:r w:rsidR="008A7B0B" w:rsidRPr="009426E5">
        <w:t xml:space="preserve">the capacity-building programme </w:t>
      </w:r>
      <w:r w:rsidR="00E80FEF" w:rsidRPr="009426E5">
        <w:t xml:space="preserve">and </w:t>
      </w:r>
      <w:r w:rsidR="00305247">
        <w:t xml:space="preserve">of </w:t>
      </w:r>
      <w:r w:rsidR="008A7B0B" w:rsidRPr="009426E5">
        <w:t xml:space="preserve">contributions to </w:t>
      </w:r>
      <w:r w:rsidR="00F866D7" w:rsidRPr="009426E5">
        <w:t xml:space="preserve">the </w:t>
      </w:r>
      <w:r w:rsidR="008A7B0B" w:rsidRPr="009426E5">
        <w:t xml:space="preserve">sub-fund </w:t>
      </w:r>
      <w:r w:rsidR="008A7B0B" w:rsidRPr="009426E5">
        <w:rPr>
          <w:color w:val="000000"/>
        </w:rPr>
        <w:t xml:space="preserve">for enhancing </w:t>
      </w:r>
      <w:r w:rsidR="00305247">
        <w:rPr>
          <w:color w:val="000000"/>
        </w:rPr>
        <w:t xml:space="preserve">the </w:t>
      </w:r>
      <w:r w:rsidR="008A7B0B" w:rsidRPr="009426E5">
        <w:rPr>
          <w:color w:val="000000"/>
        </w:rPr>
        <w:t xml:space="preserve">human </w:t>
      </w:r>
      <w:r w:rsidR="00F866D7" w:rsidRPr="009426E5">
        <w:rPr>
          <w:color w:val="000000"/>
        </w:rPr>
        <w:t>resource</w:t>
      </w:r>
      <w:r w:rsidR="008A7B0B" w:rsidRPr="009426E5">
        <w:rPr>
          <w:color w:val="000000"/>
        </w:rPr>
        <w:t>s of the Secretariat.</w:t>
      </w:r>
      <w:r w:rsidR="001E392E" w:rsidRPr="009426E5">
        <w:rPr>
          <w:color w:val="000000"/>
        </w:rPr>
        <w:t xml:space="preserve"> </w:t>
      </w:r>
      <w:r w:rsidR="00305247">
        <w:rPr>
          <w:color w:val="000000"/>
        </w:rPr>
        <w:t>Regarding</w:t>
      </w:r>
      <w:r w:rsidR="00305247" w:rsidRPr="009426E5">
        <w:rPr>
          <w:color w:val="000000"/>
        </w:rPr>
        <w:t xml:space="preserve"> </w:t>
      </w:r>
      <w:r w:rsidR="001E392E" w:rsidRPr="009426E5">
        <w:rPr>
          <w:color w:val="000000"/>
        </w:rPr>
        <w:t xml:space="preserve">the former, the </w:t>
      </w:r>
      <w:r w:rsidR="00B61AC5">
        <w:rPr>
          <w:color w:val="000000"/>
        </w:rPr>
        <w:t xml:space="preserve">reduction of the </w:t>
      </w:r>
      <w:r w:rsidR="00B61AC5">
        <w:t xml:space="preserve">support to the </w:t>
      </w:r>
      <w:r w:rsidR="00EC5C69">
        <w:t>c</w:t>
      </w:r>
      <w:r w:rsidR="00B61AC5">
        <w:t>apacity</w:t>
      </w:r>
      <w:r w:rsidR="00EC5C69">
        <w:t>-b</w:t>
      </w:r>
      <w:r w:rsidR="00B61AC5">
        <w:t xml:space="preserve">uilding </w:t>
      </w:r>
      <w:r w:rsidR="00EC5C69">
        <w:t>p</w:t>
      </w:r>
      <w:r w:rsidR="00B61AC5">
        <w:t xml:space="preserve">rogramme is </w:t>
      </w:r>
      <w:r w:rsidR="001E392E" w:rsidRPr="009426E5">
        <w:rPr>
          <w:color w:val="000000"/>
        </w:rPr>
        <w:t xml:space="preserve">unfortunate since </w:t>
      </w:r>
      <w:r w:rsidR="00B61AC5">
        <w:rPr>
          <w:color w:val="000000"/>
        </w:rPr>
        <w:t xml:space="preserve">this is </w:t>
      </w:r>
      <w:r w:rsidR="0054634F">
        <w:rPr>
          <w:color w:val="000000"/>
        </w:rPr>
        <w:t xml:space="preserve">considered as </w:t>
      </w:r>
      <w:r w:rsidR="00B61AC5">
        <w:rPr>
          <w:color w:val="000000"/>
        </w:rPr>
        <w:t xml:space="preserve">the most </w:t>
      </w:r>
      <w:r w:rsidR="001E392E" w:rsidRPr="009426E5">
        <w:t xml:space="preserve">effective </w:t>
      </w:r>
      <w:r w:rsidR="00B61AC5">
        <w:t>u</w:t>
      </w:r>
      <w:r w:rsidR="001E392E" w:rsidRPr="009426E5">
        <w:t>s</w:t>
      </w:r>
      <w:r w:rsidR="00B13BF5">
        <w:t>e of</w:t>
      </w:r>
      <w:r w:rsidR="001E392E" w:rsidRPr="009426E5">
        <w:t xml:space="preserve"> resources </w:t>
      </w:r>
      <w:r w:rsidR="00B61AC5">
        <w:t>to build capacities</w:t>
      </w:r>
      <w:r w:rsidR="00AB36F4">
        <w:t xml:space="preserve"> for implementation of the Convention</w:t>
      </w:r>
      <w:r w:rsidR="00B61AC5">
        <w:t xml:space="preserve"> at the national level</w:t>
      </w:r>
      <w:r w:rsidR="001E392E" w:rsidRPr="009426E5">
        <w:t xml:space="preserve">. </w:t>
      </w:r>
      <w:r w:rsidR="00305247">
        <w:t>It</w:t>
      </w:r>
      <w:r w:rsidR="00B45DD6" w:rsidRPr="009426E5">
        <w:t xml:space="preserve"> is equally unfortunate </w:t>
      </w:r>
      <w:r w:rsidR="00305247">
        <w:t xml:space="preserve">for the latter </w:t>
      </w:r>
      <w:r w:rsidR="00B45DD6" w:rsidRPr="009426E5">
        <w:t>since</w:t>
      </w:r>
      <w:r w:rsidR="00886304" w:rsidRPr="009426E5">
        <w:t>,</w:t>
      </w:r>
      <w:r w:rsidR="00B45DD6" w:rsidRPr="009426E5">
        <w:t xml:space="preserve"> without discrediting the merits of </w:t>
      </w:r>
      <w:r w:rsidR="00B45DD6" w:rsidRPr="009426E5">
        <w:rPr>
          <w:rStyle w:val="hps"/>
        </w:rPr>
        <w:t>the</w:t>
      </w:r>
      <w:r w:rsidR="00B45DD6" w:rsidRPr="009426E5">
        <w:t xml:space="preserve"> other modalities, the sub-fund is the only mechanism that can secure a sustainable workforce adapted to the statutory functions that the Secretariat must perform.</w:t>
      </w:r>
    </w:p>
    <w:p w14:paraId="086783C7" w14:textId="10E64768" w:rsidR="005C7C64" w:rsidRPr="005E220A" w:rsidRDefault="005C7C64" w:rsidP="005E220A">
      <w:pPr>
        <w:pStyle w:val="Paragraph"/>
        <w:keepNext/>
        <w:numPr>
          <w:ilvl w:val="0"/>
          <w:numId w:val="0"/>
        </w:numPr>
        <w:tabs>
          <w:tab w:val="clear" w:pos="567"/>
        </w:tabs>
        <w:spacing w:before="240" w:after="120"/>
        <w:ind w:left="567"/>
        <w:rPr>
          <w:b/>
        </w:rPr>
      </w:pPr>
      <w:r w:rsidRPr="005E220A">
        <w:rPr>
          <w:b/>
        </w:rPr>
        <w:t>Way forward</w:t>
      </w:r>
    </w:p>
    <w:p w14:paraId="25251A3A" w14:textId="73469B2A" w:rsidR="00FD585C" w:rsidRDefault="000C7B0B" w:rsidP="005E220A">
      <w:pPr>
        <w:pStyle w:val="Paragraph"/>
        <w:tabs>
          <w:tab w:val="clear" w:pos="360"/>
          <w:tab w:val="num" w:pos="567"/>
        </w:tabs>
        <w:spacing w:after="120"/>
        <w:ind w:left="567" w:hanging="567"/>
      </w:pPr>
      <w:r w:rsidRPr="00AF1CFC">
        <w:t>T</w:t>
      </w:r>
      <w:r w:rsidR="003106F8" w:rsidRPr="00AF1CFC">
        <w:t>he framework that guided donors to provide voluntary contributions to the Fund and enabled t</w:t>
      </w:r>
      <w:r w:rsidR="000E4A44">
        <w:t>he</w:t>
      </w:r>
      <w:r w:rsidR="003106F8" w:rsidRPr="00AF1CFC">
        <w:t xml:space="preserve"> Committee to accept projects between</w:t>
      </w:r>
      <w:r w:rsidRPr="00AF1CFC">
        <w:t xml:space="preserve"> </w:t>
      </w:r>
      <w:r w:rsidR="00AF1CFC">
        <w:t>its</w:t>
      </w:r>
      <w:r w:rsidRPr="00AF1CFC">
        <w:t xml:space="preserve"> sessions</w:t>
      </w:r>
      <w:r w:rsidR="00B039D6" w:rsidRPr="00AF1CFC">
        <w:t xml:space="preserve"> </w:t>
      </w:r>
      <w:r w:rsidR="000E4A44">
        <w:t>expires</w:t>
      </w:r>
      <w:r w:rsidR="00B039D6" w:rsidRPr="00AF1CFC">
        <w:t xml:space="preserve"> at the end of this</w:t>
      </w:r>
      <w:r w:rsidRPr="00AF1CFC">
        <w:t xml:space="preserve"> year</w:t>
      </w:r>
      <w:r w:rsidR="00776A3A">
        <w:t>;</w:t>
      </w:r>
      <w:r w:rsidR="00B039D6" w:rsidRPr="00AF1CFC">
        <w:t xml:space="preserve"> </w:t>
      </w:r>
      <w:r w:rsidRPr="00036739">
        <w:t xml:space="preserve">a </w:t>
      </w:r>
      <w:r w:rsidRPr="002845E9">
        <w:t xml:space="preserve">new framework </w:t>
      </w:r>
      <w:r w:rsidR="000E4A44" w:rsidRPr="00AF1CFC">
        <w:t>therefore</w:t>
      </w:r>
      <w:r w:rsidR="000E4A44" w:rsidRPr="00036739">
        <w:t xml:space="preserve"> </w:t>
      </w:r>
      <w:r w:rsidR="000E4A44">
        <w:t xml:space="preserve">needs to </w:t>
      </w:r>
      <w:r w:rsidR="00B039D6" w:rsidRPr="002845E9">
        <w:t xml:space="preserve">be adopted by the Committee </w:t>
      </w:r>
      <w:r w:rsidRPr="00555D26">
        <w:t>in this regard.</w:t>
      </w:r>
      <w:r w:rsidR="003106F8" w:rsidRPr="005C4A45">
        <w:t xml:space="preserve"> </w:t>
      </w:r>
      <w:r w:rsidR="00B039D6" w:rsidRPr="005C4A45">
        <w:t>It should</w:t>
      </w:r>
      <w:r w:rsidR="00B039D6" w:rsidRPr="002A1AB9">
        <w:t xml:space="preserve"> be noted that</w:t>
      </w:r>
      <w:r w:rsidRPr="002A1AB9">
        <w:t xml:space="preserve"> </w:t>
      </w:r>
      <w:r w:rsidRPr="005E220A">
        <w:t>t</w:t>
      </w:r>
      <w:r w:rsidR="00D72036" w:rsidRPr="00AF1CFC">
        <w:t xml:space="preserve">he </w:t>
      </w:r>
      <w:r w:rsidR="0085734C" w:rsidRPr="005E220A">
        <w:t>draft programme and budget (39</w:t>
      </w:r>
      <w:r w:rsidR="00AF1CFC">
        <w:t> </w:t>
      </w:r>
      <w:r w:rsidR="0085734C" w:rsidRPr="005E220A">
        <w:t xml:space="preserve">C/5) of UNESCO </w:t>
      </w:r>
      <w:r w:rsidR="00BB34FD" w:rsidRPr="005E220A">
        <w:t>was developed based on</w:t>
      </w:r>
      <w:r w:rsidR="0085734C" w:rsidRPr="005E220A">
        <w:t xml:space="preserve"> an </w:t>
      </w:r>
      <w:r w:rsidR="00D72036" w:rsidRPr="00AF1CFC">
        <w:t xml:space="preserve">Integrated Budget Framework </w:t>
      </w:r>
      <w:r w:rsidR="000E4A44">
        <w:t>that</w:t>
      </w:r>
      <w:r w:rsidR="00473936" w:rsidRPr="00AF1CFC">
        <w:t xml:space="preserve"> </w:t>
      </w:r>
      <w:r w:rsidR="000E4A44">
        <w:t>sets out</w:t>
      </w:r>
      <w:r w:rsidR="00473936" w:rsidRPr="00AF1CFC">
        <w:t xml:space="preserve"> </w:t>
      </w:r>
      <w:r w:rsidR="00BB34FD" w:rsidRPr="005E220A">
        <w:t>the organization’s</w:t>
      </w:r>
      <w:r w:rsidR="00473936" w:rsidRPr="00AF1CFC">
        <w:t xml:space="preserve"> </w:t>
      </w:r>
      <w:r w:rsidR="004C60D9" w:rsidRPr="005E220A">
        <w:t xml:space="preserve">overall </w:t>
      </w:r>
      <w:r w:rsidR="00473936" w:rsidRPr="00AF1CFC">
        <w:t>funding requirements</w:t>
      </w:r>
      <w:r w:rsidR="000E4A44">
        <w:t>, providing</w:t>
      </w:r>
      <w:r w:rsidR="00473936" w:rsidRPr="00AF1CFC">
        <w:t xml:space="preserve"> </w:t>
      </w:r>
      <w:r w:rsidR="000F5D41" w:rsidRPr="005E220A">
        <w:t xml:space="preserve">Member States and </w:t>
      </w:r>
      <w:r w:rsidR="00473936" w:rsidRPr="00AF1CFC">
        <w:t>donor</w:t>
      </w:r>
      <w:r w:rsidR="000F5D41" w:rsidRPr="005E220A">
        <w:t>s</w:t>
      </w:r>
      <w:r w:rsidR="00473936" w:rsidRPr="00AF1CFC">
        <w:t xml:space="preserve"> </w:t>
      </w:r>
      <w:r w:rsidR="000E4A44">
        <w:t>with</w:t>
      </w:r>
      <w:r w:rsidR="00473936" w:rsidRPr="00AF1CFC">
        <w:t xml:space="preserve"> a holistic </w:t>
      </w:r>
      <w:r w:rsidR="000F5D41" w:rsidRPr="005E220A">
        <w:t xml:space="preserve">and </w:t>
      </w:r>
      <w:r w:rsidR="00473936" w:rsidRPr="00AF1CFC">
        <w:t>realistic notion of</w:t>
      </w:r>
      <w:r w:rsidR="00565409" w:rsidRPr="005E220A">
        <w:t xml:space="preserve"> the funding gap of each programme and thus</w:t>
      </w:r>
      <w:r w:rsidR="00473936" w:rsidRPr="00AF1CFC">
        <w:t xml:space="preserve"> </w:t>
      </w:r>
      <w:r w:rsidR="000E4A44">
        <w:t xml:space="preserve">of </w:t>
      </w:r>
      <w:r w:rsidR="00473936" w:rsidRPr="00AF1CFC">
        <w:t>the resource mobilization targets</w:t>
      </w:r>
      <w:r w:rsidR="004C60D9" w:rsidRPr="005E220A">
        <w:t xml:space="preserve">. </w:t>
      </w:r>
      <w:r w:rsidR="004E0400" w:rsidRPr="005E220A">
        <w:t>It includes not only the regular budget but also all other sources of funds</w:t>
      </w:r>
      <w:r w:rsidR="000E4A44">
        <w:t>.</w:t>
      </w:r>
      <w:r w:rsidR="004E0400" w:rsidRPr="005E220A">
        <w:t xml:space="preserve"> </w:t>
      </w:r>
      <w:r w:rsidR="000E4A44">
        <w:t>O</w:t>
      </w:r>
      <w:r w:rsidR="004C60D9" w:rsidRPr="005E220A">
        <w:t>nce adopted</w:t>
      </w:r>
      <w:r w:rsidR="000E4A44">
        <w:t>,</w:t>
      </w:r>
      <w:r w:rsidR="004C60D9" w:rsidRPr="005E220A">
        <w:t xml:space="preserve"> the 39</w:t>
      </w:r>
      <w:r w:rsidR="00AF1CFC">
        <w:t> </w:t>
      </w:r>
      <w:r w:rsidR="004C60D9" w:rsidRPr="005E220A">
        <w:t xml:space="preserve">C/5 should </w:t>
      </w:r>
      <w:r w:rsidR="000E4A44">
        <w:t xml:space="preserve">therefore </w:t>
      </w:r>
      <w:r w:rsidR="004C60D9" w:rsidRPr="005E220A">
        <w:t xml:space="preserve">guide all </w:t>
      </w:r>
      <w:r w:rsidR="00C42996" w:rsidRPr="005E220A">
        <w:t xml:space="preserve">support to </w:t>
      </w:r>
      <w:r w:rsidR="003013E9">
        <w:t>UNESCO</w:t>
      </w:r>
      <w:r w:rsidR="000E4A44">
        <w:t>,</w:t>
      </w:r>
      <w:r w:rsidR="003013E9">
        <w:t xml:space="preserve"> including </w:t>
      </w:r>
      <w:r w:rsidR="00C42996" w:rsidRPr="005E220A">
        <w:t>the 2003 Convention</w:t>
      </w:r>
      <w:r w:rsidR="0085734C" w:rsidRPr="005E220A">
        <w:t>.</w:t>
      </w:r>
      <w:r w:rsidR="00AF1CFC">
        <w:t xml:space="preserve"> </w:t>
      </w:r>
      <w:r w:rsidR="008C3A75">
        <w:t xml:space="preserve">To </w:t>
      </w:r>
      <w:r w:rsidR="00AF1CFC">
        <w:t>facilitate the decision of the</w:t>
      </w:r>
      <w:r w:rsidR="008C3A75">
        <w:t xml:space="preserve"> Committee</w:t>
      </w:r>
      <w:r w:rsidR="00AF1CFC">
        <w:t xml:space="preserve"> and the dialogue with donors</w:t>
      </w:r>
      <w:r w:rsidR="00865980">
        <w:t xml:space="preserve"> for</w:t>
      </w:r>
      <w:r w:rsidR="008C3A75">
        <w:t xml:space="preserve"> </w:t>
      </w:r>
      <w:r w:rsidR="00865980" w:rsidRPr="00416753">
        <w:t>the period 2018-2021</w:t>
      </w:r>
      <w:r w:rsidR="00525933">
        <w:t>,</w:t>
      </w:r>
      <w:r w:rsidR="00865980">
        <w:t xml:space="preserve"> </w:t>
      </w:r>
      <w:r w:rsidR="00AF1CFC">
        <w:t xml:space="preserve">the Secretariat </w:t>
      </w:r>
      <w:r w:rsidR="00865980">
        <w:t>identified</w:t>
      </w:r>
      <w:r w:rsidR="000F5D41" w:rsidRPr="005E220A">
        <w:t xml:space="preserve"> </w:t>
      </w:r>
      <w:r w:rsidR="00AF1CFC">
        <w:t xml:space="preserve">two main </w:t>
      </w:r>
      <w:r w:rsidR="00126646">
        <w:t>funding priorities</w:t>
      </w:r>
      <w:r w:rsidR="00525933">
        <w:t xml:space="preserve"> </w:t>
      </w:r>
      <w:r w:rsidR="00865980">
        <w:t>(Annex II)</w:t>
      </w:r>
      <w:r w:rsidR="00AF1CFC">
        <w:t xml:space="preserve">: (1) </w:t>
      </w:r>
      <w:r w:rsidR="000E4A44">
        <w:t xml:space="preserve">to </w:t>
      </w:r>
      <w:r w:rsidR="00AF1CFC">
        <w:t xml:space="preserve">continue efforts </w:t>
      </w:r>
      <w:r w:rsidR="00AF1CFC" w:rsidRPr="009426E5">
        <w:t>to extend the reach and effectiveness of th</w:t>
      </w:r>
      <w:r w:rsidR="000E4A44">
        <w:t>e</w:t>
      </w:r>
      <w:r w:rsidR="00AF1CFC" w:rsidRPr="009426E5">
        <w:t xml:space="preserve"> global capacity</w:t>
      </w:r>
      <w:r w:rsidR="00AF1CFC" w:rsidRPr="009426E5">
        <w:noBreakHyphen/>
        <w:t>building strategy</w:t>
      </w:r>
      <w:r w:rsidR="00126646">
        <w:t>, and</w:t>
      </w:r>
      <w:r w:rsidR="00AF1CFC">
        <w:t xml:space="preserve"> (2) </w:t>
      </w:r>
      <w:r w:rsidR="000E4A44">
        <w:t>to</w:t>
      </w:r>
      <w:r w:rsidR="00AF1CFC">
        <w:t xml:space="preserve"> initiate efforts to incorporate intangible cultural heritage in</w:t>
      </w:r>
      <w:r w:rsidR="000E4A44">
        <w:t>to</w:t>
      </w:r>
      <w:r w:rsidR="00AF1CFC">
        <w:t xml:space="preserve"> formal and non-formal education, </w:t>
      </w:r>
      <w:r w:rsidR="000E4A44">
        <w:t>in cooperation with the education sector</w:t>
      </w:r>
      <w:r w:rsidR="00525933">
        <w:t>.</w:t>
      </w:r>
      <w:r w:rsidR="00865980">
        <w:t xml:space="preserve"> </w:t>
      </w:r>
      <w:r w:rsidR="00126646">
        <w:t xml:space="preserve">The second priority is new and further explained in the Report by the Secretariat to the Committee on its activities </w:t>
      </w:r>
      <w:r w:rsidR="00126646" w:rsidRPr="00FD7182">
        <w:t>(document</w:t>
      </w:r>
      <w:r w:rsidR="00FD7182">
        <w:t xml:space="preserve"> </w:t>
      </w:r>
      <w:hyperlink r:id="rId18" w:history="1">
        <w:r w:rsidR="00FD7182" w:rsidRPr="00FD7182">
          <w:rPr>
            <w:rStyle w:val="Hyperlink"/>
          </w:rPr>
          <w:t>ITH/17/12.COM/</w:t>
        </w:r>
        <w:r w:rsidR="00A21E68" w:rsidRPr="00FD7182">
          <w:rPr>
            <w:rStyle w:val="Hyperlink"/>
          </w:rPr>
          <w:t>5.b</w:t>
        </w:r>
      </w:hyperlink>
      <w:r w:rsidR="00126646" w:rsidRPr="00FD7182">
        <w:t>)</w:t>
      </w:r>
      <w:r w:rsidR="00126646" w:rsidRPr="00865980">
        <w:t>.</w:t>
      </w:r>
      <w:r w:rsidR="00126646">
        <w:t xml:space="preserve"> It addresses the </w:t>
      </w:r>
      <w:r w:rsidR="00FD585C">
        <w:t>so far</w:t>
      </w:r>
      <w:r w:rsidR="00126646">
        <w:t xml:space="preserve"> neglected provision of Article</w:t>
      </w:r>
      <w:r w:rsidR="00FD585C">
        <w:t> </w:t>
      </w:r>
      <w:r w:rsidR="00126646">
        <w:t>2</w:t>
      </w:r>
      <w:r w:rsidR="00FD585C">
        <w:t xml:space="preserve"> which includes ‘transmission through formal and non-formal education’ </w:t>
      </w:r>
      <w:r w:rsidR="00FD585C" w:rsidRPr="005E220A">
        <w:t>as part of the proposed safeguarding measures (Article 2.3) and calls on States Parties to ‘ensure recognition of, respect for, and enhancement of the intangible cultural heritage in society’ through education programmes (Article 14)</w:t>
      </w:r>
      <w:r w:rsidR="00FD585C">
        <w:t xml:space="preserve">. The second priority, moreover, can contribute significantly to the attainment to </w:t>
      </w:r>
      <w:r w:rsidR="00AF1CFC">
        <w:t>S</w:t>
      </w:r>
      <w:r w:rsidR="000E4A44">
        <w:t xml:space="preserve">ustainable </w:t>
      </w:r>
      <w:r w:rsidR="00AF1CFC" w:rsidRPr="00FD585C">
        <w:t>D</w:t>
      </w:r>
      <w:r w:rsidR="000E4A44" w:rsidRPr="00FD585C">
        <w:t xml:space="preserve">evelopment </w:t>
      </w:r>
      <w:r w:rsidR="00AF1CFC" w:rsidRPr="00FD585C">
        <w:t>G</w:t>
      </w:r>
      <w:r w:rsidR="000E4A44" w:rsidRPr="00FD585C">
        <w:t>oal</w:t>
      </w:r>
      <w:r w:rsidR="00AF1CFC" w:rsidRPr="00FD585C">
        <w:t xml:space="preserve"> 4 </w:t>
      </w:r>
      <w:r w:rsidR="001F78FE" w:rsidRPr="005E220A">
        <w:t>on quality education and lifelong learning</w:t>
      </w:r>
      <w:r w:rsidR="00FD585C">
        <w:t xml:space="preserve">, since the integration of intangible cultural heritage in education </w:t>
      </w:r>
      <w:r w:rsidR="00FD585C" w:rsidRPr="005E220A">
        <w:t>can act as a leverage to increase the relevance and quality of multiple subject areas and education for peace and sustainable development.</w:t>
      </w:r>
    </w:p>
    <w:p w14:paraId="10D587E7" w14:textId="6A101AEA" w:rsidR="00D72036" w:rsidRPr="009D6530" w:rsidRDefault="00D72036" w:rsidP="005E220A">
      <w:pPr>
        <w:pStyle w:val="Paragraph"/>
        <w:tabs>
          <w:tab w:val="clear" w:pos="360"/>
          <w:tab w:val="num" w:pos="567"/>
        </w:tabs>
        <w:spacing w:after="120"/>
        <w:ind w:left="567" w:hanging="567"/>
      </w:pPr>
      <w:r w:rsidRPr="009D6530">
        <w:t xml:space="preserve">The Committee may wish to encourage donors to support </w:t>
      </w:r>
      <w:r w:rsidR="00886F92" w:rsidRPr="005E220A">
        <w:t>the</w:t>
      </w:r>
      <w:r w:rsidRPr="009D6530">
        <w:t xml:space="preserve"> </w:t>
      </w:r>
      <w:r w:rsidR="00886F92" w:rsidRPr="005E220A">
        <w:t xml:space="preserve">achievement of the goals set </w:t>
      </w:r>
      <w:r w:rsidR="000E4A44">
        <w:t>out in</w:t>
      </w:r>
      <w:r w:rsidR="00886F92" w:rsidRPr="005E220A">
        <w:t xml:space="preserve"> the </w:t>
      </w:r>
      <w:r w:rsidR="00993051">
        <w:rPr>
          <w:lang w:val="en-US"/>
        </w:rPr>
        <w:t>two funding priorities</w:t>
      </w:r>
      <w:r w:rsidR="007C13C9">
        <w:rPr>
          <w:lang w:val="en-US"/>
        </w:rPr>
        <w:t xml:space="preserve"> </w:t>
      </w:r>
      <w:r w:rsidR="009E74B8">
        <w:rPr>
          <w:lang w:val="en-US"/>
        </w:rPr>
        <w:t>stated</w:t>
      </w:r>
      <w:r w:rsidR="007C13C9">
        <w:rPr>
          <w:lang w:val="en-US"/>
        </w:rPr>
        <w:t xml:space="preserve"> in paragraph 10,</w:t>
      </w:r>
      <w:r w:rsidR="00886F92" w:rsidRPr="005E220A">
        <w:t xml:space="preserve"> </w:t>
      </w:r>
      <w:r w:rsidRPr="009D6530">
        <w:t>through earmarked voluntary contributions to the Fund. The modality of earmarked contributions allows the Committee to better coordinate international cooperation</w:t>
      </w:r>
      <w:r w:rsidR="00776A3A">
        <w:t>,</w:t>
      </w:r>
      <w:r w:rsidRPr="009D6530">
        <w:t xml:space="preserve"> as described in Article 19 of the Convention, while permitting the Secretariat to match needs and resources responsively and </w:t>
      </w:r>
      <w:r w:rsidR="000E4A44">
        <w:t xml:space="preserve">to </w:t>
      </w:r>
      <w:r w:rsidRPr="009D6530">
        <w:t>deliver services effectively; it also provides high visibility to the donor. In keeping with the Organization’s principle of results-based management, the Secretariat is responsible to the General Assembly – and through it, to the donors – for achieving concrete results.</w:t>
      </w:r>
    </w:p>
    <w:p w14:paraId="6ACB5280" w14:textId="624F293C" w:rsidR="00D72036" w:rsidRPr="009D6530" w:rsidRDefault="00D72036" w:rsidP="005E220A">
      <w:pPr>
        <w:pStyle w:val="Paragraph"/>
        <w:tabs>
          <w:tab w:val="clear" w:pos="360"/>
          <w:tab w:val="num" w:pos="567"/>
        </w:tabs>
        <w:spacing w:after="120"/>
        <w:ind w:left="567" w:hanging="567"/>
      </w:pPr>
      <w:r w:rsidRPr="009D6530">
        <w:rPr>
          <w:rStyle w:val="hps"/>
        </w:rPr>
        <w:t>T</w:t>
      </w:r>
      <w:r w:rsidRPr="009D6530">
        <w:t xml:space="preserve">he Committee </w:t>
      </w:r>
      <w:r w:rsidRPr="009D6530">
        <w:rPr>
          <w:rStyle w:val="hps"/>
        </w:rPr>
        <w:t>may therefore wish to</w:t>
      </w:r>
      <w:r w:rsidRPr="009D6530">
        <w:t xml:space="preserve"> </w:t>
      </w:r>
      <w:r w:rsidRPr="00DE1B10">
        <w:t>approve the</w:t>
      </w:r>
      <w:r w:rsidR="00FD585C" w:rsidRPr="00DE1B10">
        <w:t xml:space="preserve"> two </w:t>
      </w:r>
      <w:r w:rsidR="009415B0" w:rsidRPr="00DE1B10">
        <w:t xml:space="preserve">main funding </w:t>
      </w:r>
      <w:r w:rsidR="00FD585C" w:rsidRPr="00DE1B10">
        <w:t>priorit</w:t>
      </w:r>
      <w:r w:rsidR="009415B0" w:rsidRPr="00DE1B10">
        <w:t>ies</w:t>
      </w:r>
      <w:r w:rsidR="00FD585C" w:rsidRPr="00DE1B10">
        <w:t xml:space="preserve"> </w:t>
      </w:r>
      <w:r w:rsidRPr="00DE1B10">
        <w:rPr>
          <w:rStyle w:val="hps"/>
        </w:rPr>
        <w:t>and accept any future voluntary supplementary contributions</w:t>
      </w:r>
      <w:r w:rsidRPr="00DE1B10">
        <w:t xml:space="preserve"> to the Fund </w:t>
      </w:r>
      <w:r w:rsidRPr="00DE1B10">
        <w:rPr>
          <w:rStyle w:val="hps"/>
        </w:rPr>
        <w:t xml:space="preserve">that fall within </w:t>
      </w:r>
      <w:r w:rsidR="00525933" w:rsidRPr="00DE1B10">
        <w:rPr>
          <w:rStyle w:val="hps"/>
        </w:rPr>
        <w:t>their</w:t>
      </w:r>
      <w:r w:rsidRPr="009D6530">
        <w:rPr>
          <w:rStyle w:val="hps"/>
        </w:rPr>
        <w:t xml:space="preserve"> scope</w:t>
      </w:r>
      <w:r w:rsidR="00886F92" w:rsidRPr="005E220A">
        <w:rPr>
          <w:rStyle w:val="hps"/>
        </w:rPr>
        <w:t xml:space="preserve"> as an earmarked contribution</w:t>
      </w:r>
      <w:r w:rsidRPr="009D6530">
        <w:t xml:space="preserve">. In consultation with the donor, the Secretariat would agree on the </w:t>
      </w:r>
      <w:r w:rsidRPr="009D6530">
        <w:rPr>
          <w:rStyle w:val="hps"/>
        </w:rPr>
        <w:t>beneficiary country(ies)</w:t>
      </w:r>
      <w:r w:rsidRPr="009D6530">
        <w:t xml:space="preserve"> </w:t>
      </w:r>
      <w:r w:rsidRPr="009D6530">
        <w:rPr>
          <w:rStyle w:val="hps"/>
        </w:rPr>
        <w:t>based on</w:t>
      </w:r>
      <w:r w:rsidRPr="009D6530">
        <w:t xml:space="preserve"> </w:t>
      </w:r>
      <w:r w:rsidRPr="009D6530">
        <w:rPr>
          <w:rStyle w:val="hps"/>
        </w:rPr>
        <w:t>requests from</w:t>
      </w:r>
      <w:r w:rsidRPr="009D6530">
        <w:t xml:space="preserve"> </w:t>
      </w:r>
      <w:r w:rsidRPr="009D6530">
        <w:rPr>
          <w:rStyle w:val="hps"/>
        </w:rPr>
        <w:t>Member States,</w:t>
      </w:r>
      <w:r w:rsidRPr="009D6530">
        <w:t xml:space="preserve"> </w:t>
      </w:r>
      <w:r w:rsidRPr="009D6530">
        <w:rPr>
          <w:rStyle w:val="hps"/>
        </w:rPr>
        <w:t>UNESCO’s implementing capacity</w:t>
      </w:r>
      <w:r w:rsidRPr="009D6530">
        <w:t xml:space="preserve"> </w:t>
      </w:r>
      <w:r w:rsidRPr="009D6530">
        <w:rPr>
          <w:rStyle w:val="hps"/>
        </w:rPr>
        <w:t>in the field</w:t>
      </w:r>
      <w:r w:rsidRPr="009D6530">
        <w:t xml:space="preserve"> </w:t>
      </w:r>
      <w:r w:rsidRPr="009D6530">
        <w:rPr>
          <w:rStyle w:val="hps"/>
        </w:rPr>
        <w:t>and, of course</w:t>
      </w:r>
      <w:r w:rsidRPr="009D6530">
        <w:t xml:space="preserve">, </w:t>
      </w:r>
      <w:r w:rsidRPr="009D6530">
        <w:rPr>
          <w:rStyle w:val="hps"/>
        </w:rPr>
        <w:t>the donors’ priorities.</w:t>
      </w:r>
      <w:r w:rsidR="009D6530">
        <w:rPr>
          <w:rStyle w:val="hps"/>
        </w:rPr>
        <w:t xml:space="preserve"> </w:t>
      </w:r>
      <w:r w:rsidR="00606277">
        <w:rPr>
          <w:rStyle w:val="hps"/>
        </w:rPr>
        <w:t>In this regard, t</w:t>
      </w:r>
      <w:r w:rsidR="009D6530">
        <w:rPr>
          <w:rStyle w:val="hps"/>
        </w:rPr>
        <w:t>he Secretar</w:t>
      </w:r>
      <w:r w:rsidR="00163F91">
        <w:rPr>
          <w:rStyle w:val="hps"/>
        </w:rPr>
        <w:t>iat</w:t>
      </w:r>
      <w:r w:rsidR="009D6530">
        <w:rPr>
          <w:rStyle w:val="hps"/>
        </w:rPr>
        <w:t xml:space="preserve"> would</w:t>
      </w:r>
      <w:r w:rsidR="007C13C9">
        <w:rPr>
          <w:rStyle w:val="hps"/>
        </w:rPr>
        <w:t xml:space="preserve"> also like to recall</w:t>
      </w:r>
      <w:r w:rsidR="009D6530">
        <w:rPr>
          <w:rStyle w:val="hps"/>
        </w:rPr>
        <w:t xml:space="preserve"> the existence of the UNESCO Global Priorit</w:t>
      </w:r>
      <w:r w:rsidR="00AA3784">
        <w:rPr>
          <w:rStyle w:val="hps"/>
        </w:rPr>
        <w:t>y</w:t>
      </w:r>
      <w:r w:rsidR="009D6530">
        <w:rPr>
          <w:rStyle w:val="hps"/>
        </w:rPr>
        <w:t xml:space="preserve"> Africa</w:t>
      </w:r>
      <w:r w:rsidR="007C13C9">
        <w:rPr>
          <w:rStyle w:val="hps"/>
        </w:rPr>
        <w:t xml:space="preserve"> and its operational Strategy</w:t>
      </w:r>
      <w:r w:rsidR="00606277">
        <w:rPr>
          <w:rStyle w:val="hps"/>
        </w:rPr>
        <w:t>,</w:t>
      </w:r>
      <w:r w:rsidR="009D6530">
        <w:rPr>
          <w:rStyle w:val="hps"/>
        </w:rPr>
        <w:t xml:space="preserve"> </w:t>
      </w:r>
      <w:r w:rsidR="004D3376">
        <w:rPr>
          <w:rStyle w:val="hps"/>
        </w:rPr>
        <w:t>which form</w:t>
      </w:r>
      <w:r w:rsidR="009D6530">
        <w:rPr>
          <w:rStyle w:val="hps"/>
        </w:rPr>
        <w:t xml:space="preserve"> part of UNESCO’s </w:t>
      </w:r>
      <w:r w:rsidR="007C13C9">
        <w:rPr>
          <w:rStyle w:val="hps"/>
        </w:rPr>
        <w:t>Medium Term Strategy for 2014-2021, and for which financial support will be needed</w:t>
      </w:r>
      <w:r w:rsidR="009D6530">
        <w:rPr>
          <w:rStyle w:val="hps"/>
        </w:rPr>
        <w:t xml:space="preserve">. </w:t>
      </w:r>
      <w:r w:rsidRPr="009D6530">
        <w:rPr>
          <w:rStyle w:val="hps"/>
        </w:rPr>
        <w:t>Whenever</w:t>
      </w:r>
      <w:r w:rsidRPr="009D6530">
        <w:t xml:space="preserve"> </w:t>
      </w:r>
      <w:r w:rsidRPr="009D6530">
        <w:rPr>
          <w:rStyle w:val="hps"/>
        </w:rPr>
        <w:t>a</w:t>
      </w:r>
      <w:r w:rsidRPr="009D6530">
        <w:t xml:space="preserve"> </w:t>
      </w:r>
      <w:r w:rsidRPr="009D6530">
        <w:rPr>
          <w:rStyle w:val="hps"/>
        </w:rPr>
        <w:t>contribution</w:t>
      </w:r>
      <w:r w:rsidRPr="009D6530">
        <w:t xml:space="preserve"> </w:t>
      </w:r>
      <w:r w:rsidRPr="009D6530">
        <w:rPr>
          <w:rStyle w:val="hps"/>
        </w:rPr>
        <w:t>of this kind</w:t>
      </w:r>
      <w:r w:rsidRPr="009D6530">
        <w:t xml:space="preserve"> </w:t>
      </w:r>
      <w:r w:rsidR="00606277">
        <w:rPr>
          <w:rStyle w:val="hps"/>
        </w:rPr>
        <w:t>is</w:t>
      </w:r>
      <w:r w:rsidRPr="009D6530">
        <w:rPr>
          <w:rStyle w:val="hps"/>
        </w:rPr>
        <w:t xml:space="preserve"> received</w:t>
      </w:r>
      <w:r w:rsidRPr="009D6530">
        <w:t xml:space="preserve"> </w:t>
      </w:r>
      <w:r w:rsidRPr="009D6530">
        <w:rPr>
          <w:rStyle w:val="hps"/>
        </w:rPr>
        <w:t>between</w:t>
      </w:r>
      <w:r w:rsidRPr="009D6530">
        <w:t xml:space="preserve"> </w:t>
      </w:r>
      <w:r w:rsidRPr="009D6530">
        <w:rPr>
          <w:rStyle w:val="hps"/>
        </w:rPr>
        <w:t>two Committee sessions</w:t>
      </w:r>
      <w:r w:rsidRPr="009D6530">
        <w:t xml:space="preserve">, the Secretariat </w:t>
      </w:r>
      <w:r w:rsidRPr="009D6530">
        <w:rPr>
          <w:rStyle w:val="hps"/>
        </w:rPr>
        <w:t>will ensure that</w:t>
      </w:r>
      <w:r w:rsidRPr="009D6530">
        <w:t xml:space="preserve"> </w:t>
      </w:r>
      <w:r w:rsidRPr="009D6530">
        <w:rPr>
          <w:rStyle w:val="hps"/>
        </w:rPr>
        <w:t>the item appears on</w:t>
      </w:r>
      <w:r w:rsidRPr="009D6530">
        <w:t xml:space="preserve"> </w:t>
      </w:r>
      <w:r w:rsidRPr="009D6530">
        <w:rPr>
          <w:rStyle w:val="hps"/>
        </w:rPr>
        <w:t>the agenda</w:t>
      </w:r>
      <w:r w:rsidRPr="009D6530">
        <w:t xml:space="preserve"> </w:t>
      </w:r>
      <w:r w:rsidRPr="009D6530">
        <w:rPr>
          <w:rStyle w:val="hps"/>
        </w:rPr>
        <w:t>of the following session in order to inform its members</w:t>
      </w:r>
      <w:r w:rsidRPr="009D6530">
        <w:t xml:space="preserve"> </w:t>
      </w:r>
      <w:r w:rsidRPr="009D6530">
        <w:rPr>
          <w:rStyle w:val="hps"/>
        </w:rPr>
        <w:t>on the progress made and</w:t>
      </w:r>
      <w:r w:rsidRPr="009D6530">
        <w:t xml:space="preserve"> </w:t>
      </w:r>
      <w:r w:rsidRPr="009D6530">
        <w:rPr>
          <w:rStyle w:val="hps"/>
        </w:rPr>
        <w:t>give</w:t>
      </w:r>
      <w:r w:rsidRPr="009D6530">
        <w:t xml:space="preserve"> </w:t>
      </w:r>
      <w:r w:rsidRPr="009D6530">
        <w:rPr>
          <w:rStyle w:val="hps"/>
        </w:rPr>
        <w:t>due</w:t>
      </w:r>
      <w:r w:rsidRPr="009D6530">
        <w:t xml:space="preserve"> </w:t>
      </w:r>
      <w:r w:rsidRPr="009D6530">
        <w:rPr>
          <w:rStyle w:val="hps"/>
        </w:rPr>
        <w:t>visibility</w:t>
      </w:r>
      <w:r w:rsidRPr="009D6530">
        <w:t xml:space="preserve"> </w:t>
      </w:r>
      <w:r w:rsidRPr="009D6530">
        <w:rPr>
          <w:rStyle w:val="hps"/>
        </w:rPr>
        <w:t>to donor</w:t>
      </w:r>
      <w:r w:rsidRPr="009D6530">
        <w:t xml:space="preserve"> </w:t>
      </w:r>
      <w:r w:rsidRPr="009D6530">
        <w:rPr>
          <w:rStyle w:val="hps"/>
        </w:rPr>
        <w:t>countries.</w:t>
      </w:r>
    </w:p>
    <w:p w14:paraId="142854BE" w14:textId="77777777" w:rsidR="00D95C4C" w:rsidRPr="009426E5" w:rsidRDefault="000B1C8F" w:rsidP="00AF1CFC">
      <w:pPr>
        <w:pStyle w:val="Paragraph"/>
        <w:tabs>
          <w:tab w:val="clear" w:pos="360"/>
          <w:tab w:val="num" w:pos="567"/>
        </w:tabs>
        <w:spacing w:after="120"/>
        <w:ind w:left="567" w:hanging="567"/>
      </w:pPr>
      <w:r w:rsidRPr="009426E5">
        <w:t xml:space="preserve">The </w:t>
      </w:r>
      <w:r w:rsidRPr="005E220A">
        <w:rPr>
          <w:rStyle w:val="hps"/>
        </w:rPr>
        <w:t>Committee</w:t>
      </w:r>
      <w:r w:rsidRPr="009426E5">
        <w:t xml:space="preserve"> may wish to adopt the following decision</w:t>
      </w:r>
      <w:r w:rsidR="00D95C4C" w:rsidRPr="009426E5">
        <w:t>:</w:t>
      </w:r>
    </w:p>
    <w:p w14:paraId="6A47B717" w14:textId="733B60F9" w:rsidR="00D95C4C" w:rsidRPr="009426E5" w:rsidRDefault="004A34A0" w:rsidP="00041A66">
      <w:pPr>
        <w:pStyle w:val="COMTitleDecision"/>
        <w:rPr>
          <w:rFonts w:eastAsia="SimSun"/>
        </w:rPr>
      </w:pPr>
      <w:r w:rsidRPr="009426E5">
        <w:t xml:space="preserve">DRAFT </w:t>
      </w:r>
      <w:r w:rsidR="00D8250F" w:rsidRPr="009426E5">
        <w:t>DECISION 1</w:t>
      </w:r>
      <w:r w:rsidR="00C44C01">
        <w:t>2</w:t>
      </w:r>
      <w:r w:rsidR="00EC6F8D" w:rsidRPr="009426E5">
        <w:t>.COM</w:t>
      </w:r>
      <w:r w:rsidR="00EC2A59" w:rsidRPr="009426E5">
        <w:t> </w:t>
      </w:r>
      <w:r w:rsidR="00A25252">
        <w:t>6</w:t>
      </w:r>
    </w:p>
    <w:p w14:paraId="5C47E4CA" w14:textId="77777777" w:rsidR="00D95C4C" w:rsidRPr="005E220A" w:rsidRDefault="00285BB4" w:rsidP="00285BB4">
      <w:pPr>
        <w:pStyle w:val="COMPreambulaDecisions"/>
        <w:rPr>
          <w:rFonts w:eastAsia="SimSun"/>
        </w:rPr>
      </w:pPr>
      <w:r w:rsidRPr="005E220A">
        <w:t>The Committee,</w:t>
      </w:r>
    </w:p>
    <w:p w14:paraId="4D2107C0" w14:textId="05E751D3" w:rsidR="0057439C" w:rsidRPr="005E220A" w:rsidRDefault="00D95C4C" w:rsidP="00EE21D0">
      <w:pPr>
        <w:pStyle w:val="COMParaDecision"/>
        <w:ind w:left="1134" w:hanging="567"/>
        <w:jc w:val="left"/>
      </w:pPr>
      <w:r w:rsidRPr="005E220A">
        <w:t>Having examined</w:t>
      </w:r>
      <w:r w:rsidRPr="005E220A">
        <w:rPr>
          <w:u w:val="none"/>
        </w:rPr>
        <w:t xml:space="preserve"> doc</w:t>
      </w:r>
      <w:r w:rsidR="00D8250F" w:rsidRPr="005E220A">
        <w:rPr>
          <w:u w:val="none"/>
        </w:rPr>
        <w:t>ument ITH/1</w:t>
      </w:r>
      <w:r w:rsidR="00036739" w:rsidRPr="005E220A">
        <w:rPr>
          <w:u w:val="none"/>
        </w:rPr>
        <w:t>7</w:t>
      </w:r>
      <w:r w:rsidR="00D8250F" w:rsidRPr="005E220A">
        <w:rPr>
          <w:u w:val="none"/>
        </w:rPr>
        <w:t>/</w:t>
      </w:r>
      <w:r w:rsidR="00F45AEE" w:rsidRPr="005E220A">
        <w:rPr>
          <w:u w:val="none"/>
        </w:rPr>
        <w:t>1</w:t>
      </w:r>
      <w:r w:rsidR="00036739" w:rsidRPr="005E220A">
        <w:rPr>
          <w:u w:val="none"/>
        </w:rPr>
        <w:t>2</w:t>
      </w:r>
      <w:r w:rsidR="00EC6F8D" w:rsidRPr="005E220A">
        <w:rPr>
          <w:u w:val="none"/>
        </w:rPr>
        <w:t>.COM</w:t>
      </w:r>
      <w:r w:rsidR="004A34A0" w:rsidRPr="005E220A">
        <w:rPr>
          <w:u w:val="none"/>
        </w:rPr>
        <w:t>/</w:t>
      </w:r>
      <w:r w:rsidR="00A25252">
        <w:rPr>
          <w:u w:val="none"/>
        </w:rPr>
        <w:t>6</w:t>
      </w:r>
      <w:r w:rsidR="00D3756A" w:rsidRPr="005E220A">
        <w:rPr>
          <w:u w:val="none"/>
        </w:rPr>
        <w:t> </w:t>
      </w:r>
      <w:r w:rsidR="00EC2A59" w:rsidRPr="005E220A">
        <w:rPr>
          <w:u w:val="none"/>
        </w:rPr>
        <w:t>and its annexes</w:t>
      </w:r>
      <w:r w:rsidRPr="005E220A">
        <w:rPr>
          <w:u w:val="none"/>
        </w:rPr>
        <w:t>,</w:t>
      </w:r>
    </w:p>
    <w:p w14:paraId="603FB124" w14:textId="77777777" w:rsidR="00A4292F" w:rsidRPr="005E220A" w:rsidRDefault="0057439C" w:rsidP="00EE21D0">
      <w:pPr>
        <w:pStyle w:val="COMParaDecision"/>
        <w:ind w:left="1134" w:hanging="567"/>
      </w:pPr>
      <w:r w:rsidRPr="005E220A">
        <w:t>Recalling</w:t>
      </w:r>
      <w:r w:rsidR="005B7A35" w:rsidRPr="005E220A">
        <w:rPr>
          <w:u w:val="none"/>
        </w:rPr>
        <w:t xml:space="preserve"> </w:t>
      </w:r>
      <w:r w:rsidR="00EC2A59" w:rsidRPr="005E220A">
        <w:rPr>
          <w:u w:val="none"/>
        </w:rPr>
        <w:t>Article 25.5 of the Convention and Chapter II of the Operational Directives</w:t>
      </w:r>
      <w:r w:rsidR="00A4292F" w:rsidRPr="005E220A">
        <w:rPr>
          <w:u w:val="none"/>
        </w:rPr>
        <w:t>,</w:t>
      </w:r>
    </w:p>
    <w:p w14:paraId="07333FF3" w14:textId="07429299" w:rsidR="0057439C" w:rsidRPr="005E220A" w:rsidRDefault="00A4292F" w:rsidP="00C75E87">
      <w:pPr>
        <w:pStyle w:val="COMParaDecision"/>
        <w:ind w:left="1134" w:hanging="567"/>
      </w:pPr>
      <w:r w:rsidRPr="005E220A">
        <w:t>Further recalling</w:t>
      </w:r>
      <w:r w:rsidRPr="005E220A">
        <w:rPr>
          <w:u w:val="none"/>
        </w:rPr>
        <w:t xml:space="preserve"> Decisions </w:t>
      </w:r>
      <w:hyperlink r:id="rId19" w:history="1">
        <w:r w:rsidRPr="00FD5F39">
          <w:rPr>
            <w:rStyle w:val="Hyperlink"/>
          </w:rPr>
          <w:t>8.COM 12</w:t>
        </w:r>
      </w:hyperlink>
      <w:r w:rsidR="00F45AEE" w:rsidRPr="005E220A">
        <w:rPr>
          <w:u w:val="none"/>
        </w:rPr>
        <w:t>,</w:t>
      </w:r>
      <w:r w:rsidRPr="005E220A">
        <w:rPr>
          <w:u w:val="none"/>
        </w:rPr>
        <w:t xml:space="preserve"> </w:t>
      </w:r>
      <w:hyperlink r:id="rId20" w:history="1">
        <w:r w:rsidRPr="00FD5F39">
          <w:rPr>
            <w:rStyle w:val="Hyperlink"/>
          </w:rPr>
          <w:t>9.COM 7</w:t>
        </w:r>
      </w:hyperlink>
      <w:r w:rsidR="00FD5F39">
        <w:rPr>
          <w:u w:val="none"/>
        </w:rPr>
        <w:t xml:space="preserve">, </w:t>
      </w:r>
      <w:hyperlink r:id="rId21" w:history="1">
        <w:r w:rsidR="00FD5F39" w:rsidRPr="00FD5F39">
          <w:rPr>
            <w:rStyle w:val="Hyperlink"/>
          </w:rPr>
          <w:t>9.COM </w:t>
        </w:r>
        <w:r w:rsidR="00EC523D" w:rsidRPr="00FD5F39">
          <w:rPr>
            <w:rStyle w:val="Hyperlink"/>
          </w:rPr>
          <w:t>13.e</w:t>
        </w:r>
      </w:hyperlink>
      <w:r w:rsidR="00036739" w:rsidRPr="005E220A">
        <w:rPr>
          <w:u w:val="none"/>
        </w:rPr>
        <w:t xml:space="preserve">, </w:t>
      </w:r>
      <w:hyperlink r:id="rId22" w:history="1">
        <w:r w:rsidR="00FD5F39" w:rsidRPr="00FD5F39">
          <w:rPr>
            <w:rStyle w:val="Hyperlink"/>
          </w:rPr>
          <w:t>10.COM </w:t>
        </w:r>
        <w:r w:rsidR="00F45AEE" w:rsidRPr="00FD5F39">
          <w:rPr>
            <w:rStyle w:val="Hyperlink"/>
          </w:rPr>
          <w:t>9</w:t>
        </w:r>
      </w:hyperlink>
      <w:r w:rsidR="00036739" w:rsidRPr="005E220A">
        <w:rPr>
          <w:u w:val="none"/>
        </w:rPr>
        <w:t xml:space="preserve"> and </w:t>
      </w:r>
      <w:hyperlink r:id="rId23" w:history="1">
        <w:r w:rsidR="00036739" w:rsidRPr="00FD5F39">
          <w:rPr>
            <w:rStyle w:val="Hyperlink"/>
          </w:rPr>
          <w:t>11.COM 6</w:t>
        </w:r>
      </w:hyperlink>
      <w:r w:rsidR="00BC3488" w:rsidRPr="005E220A">
        <w:rPr>
          <w:u w:val="none"/>
        </w:rPr>
        <w:t>,</w:t>
      </w:r>
    </w:p>
    <w:p w14:paraId="5E8692E7" w14:textId="5CD51904" w:rsidR="00EC2A59" w:rsidRPr="005E220A" w:rsidRDefault="00EC2A59" w:rsidP="005E220A">
      <w:pPr>
        <w:pStyle w:val="COMParaDecision"/>
        <w:ind w:left="1134" w:hanging="567"/>
      </w:pPr>
      <w:r w:rsidRPr="005E220A">
        <w:t>Commends</w:t>
      </w:r>
      <w:r w:rsidRPr="005E220A">
        <w:rPr>
          <w:u w:val="none"/>
        </w:rPr>
        <w:t xml:space="preserve"> </w:t>
      </w:r>
      <w:r w:rsidR="00DE28AB" w:rsidRPr="005E220A">
        <w:rPr>
          <w:u w:val="none"/>
        </w:rPr>
        <w:t xml:space="preserve">the </w:t>
      </w:r>
      <w:r w:rsidR="00D40AAF">
        <w:rPr>
          <w:u w:val="none"/>
        </w:rPr>
        <w:t xml:space="preserve">People’s </w:t>
      </w:r>
      <w:r w:rsidR="00DE28AB" w:rsidRPr="005E220A">
        <w:rPr>
          <w:rStyle w:val="hps"/>
          <w:u w:val="none"/>
        </w:rPr>
        <w:t xml:space="preserve">Republic of </w:t>
      </w:r>
      <w:r w:rsidR="00036739" w:rsidRPr="005E220A">
        <w:rPr>
          <w:rStyle w:val="hps"/>
          <w:u w:val="none"/>
        </w:rPr>
        <w:t xml:space="preserve">China </w:t>
      </w:r>
      <w:r w:rsidRPr="005E220A">
        <w:rPr>
          <w:u w:val="none"/>
        </w:rPr>
        <w:t>for its generous offer of a voluntary supplementary contribution to the Intangible Cultural Heritage Fund to</w:t>
      </w:r>
      <w:r w:rsidR="00036739" w:rsidRPr="00B36FA5">
        <w:rPr>
          <w:u w:val="none"/>
        </w:rPr>
        <w:t xml:space="preserve"> organize the open</w:t>
      </w:r>
      <w:r w:rsidR="00606277">
        <w:rPr>
          <w:u w:val="none"/>
        </w:rPr>
        <w:t>-</w:t>
      </w:r>
      <w:r w:rsidR="00036739" w:rsidRPr="00B36FA5">
        <w:rPr>
          <w:u w:val="none"/>
        </w:rPr>
        <w:t>ended intergovernmental working group for the development of an overall results framework for the Convention</w:t>
      </w:r>
      <w:r w:rsidR="00606277">
        <w:rPr>
          <w:u w:val="none"/>
        </w:rPr>
        <w:t>;</w:t>
      </w:r>
      <w:bookmarkStart w:id="0" w:name="_GoBack"/>
      <w:bookmarkEnd w:id="0"/>
    </w:p>
    <w:p w14:paraId="582DF0D8" w14:textId="15449918" w:rsidR="00707F31" w:rsidRPr="005E220A" w:rsidRDefault="00E84CC8" w:rsidP="00C75E87">
      <w:pPr>
        <w:pStyle w:val="COMParaDecision"/>
        <w:ind w:left="1134" w:hanging="567"/>
        <w:rPr>
          <w:u w:val="none"/>
        </w:rPr>
      </w:pPr>
      <w:r w:rsidRPr="005E220A">
        <w:t>Expresses its concern</w:t>
      </w:r>
      <w:r w:rsidRPr="005E220A">
        <w:rPr>
          <w:u w:val="none"/>
        </w:rPr>
        <w:t xml:space="preserve"> </w:t>
      </w:r>
      <w:r w:rsidR="00606277" w:rsidRPr="005E220A">
        <w:rPr>
          <w:u w:val="none"/>
        </w:rPr>
        <w:t>o</w:t>
      </w:r>
      <w:r w:rsidR="00606277">
        <w:rPr>
          <w:u w:val="none"/>
        </w:rPr>
        <w:t>ver</w:t>
      </w:r>
      <w:r w:rsidR="00606277" w:rsidRPr="005E220A">
        <w:rPr>
          <w:u w:val="none"/>
        </w:rPr>
        <w:t xml:space="preserve"> </w:t>
      </w:r>
      <w:r w:rsidRPr="005E220A">
        <w:rPr>
          <w:u w:val="none"/>
        </w:rPr>
        <w:t xml:space="preserve">the </w:t>
      </w:r>
      <w:r w:rsidR="00062D40" w:rsidRPr="005E220A">
        <w:rPr>
          <w:u w:val="none"/>
        </w:rPr>
        <w:t>small number</w:t>
      </w:r>
      <w:r w:rsidRPr="005E220A">
        <w:rPr>
          <w:u w:val="none"/>
        </w:rPr>
        <w:t xml:space="preserve"> of new voluntary supplementary contribution</w:t>
      </w:r>
      <w:r w:rsidR="00993A8F" w:rsidRPr="005E220A">
        <w:rPr>
          <w:u w:val="none"/>
        </w:rPr>
        <w:t>s</w:t>
      </w:r>
      <w:r w:rsidRPr="005E220A">
        <w:rPr>
          <w:u w:val="none"/>
        </w:rPr>
        <w:t xml:space="preserve"> to the Intangible Cultural Heritage Fund to support the </w:t>
      </w:r>
      <w:r w:rsidR="00D91ED8" w:rsidRPr="005E220A">
        <w:rPr>
          <w:u w:val="none"/>
        </w:rPr>
        <w:t>programmatic framework of</w:t>
      </w:r>
      <w:r w:rsidR="00123244" w:rsidRPr="005E220A">
        <w:rPr>
          <w:u w:val="none"/>
        </w:rPr>
        <w:t xml:space="preserve"> the </w:t>
      </w:r>
      <w:r w:rsidR="008F5A62" w:rsidRPr="005E220A">
        <w:rPr>
          <w:u w:val="none"/>
        </w:rPr>
        <w:t xml:space="preserve">2014-2017 </w:t>
      </w:r>
      <w:r w:rsidRPr="005E220A">
        <w:rPr>
          <w:u w:val="none"/>
        </w:rPr>
        <w:t xml:space="preserve">Complementary </w:t>
      </w:r>
      <w:r w:rsidRPr="005E220A">
        <w:rPr>
          <w:rStyle w:val="hps"/>
          <w:u w:val="none"/>
        </w:rPr>
        <w:t>Additional</w:t>
      </w:r>
      <w:r w:rsidRPr="005E220A">
        <w:rPr>
          <w:u w:val="none"/>
        </w:rPr>
        <w:t xml:space="preserve"> Programme entitled ‘Strengthening capacities to safeguard intangible cultural herita</w:t>
      </w:r>
      <w:r w:rsidR="00871325" w:rsidRPr="005E220A">
        <w:rPr>
          <w:u w:val="none"/>
        </w:rPr>
        <w:t xml:space="preserve">ge for sustainable development’ </w:t>
      </w:r>
      <w:r w:rsidR="00F140F7">
        <w:rPr>
          <w:u w:val="none"/>
        </w:rPr>
        <w:t xml:space="preserve">and to the sub-fund </w:t>
      </w:r>
      <w:r w:rsidR="00F140F7" w:rsidRPr="00B61AC5">
        <w:rPr>
          <w:u w:val="none"/>
        </w:rPr>
        <w:t>for enhancing the human resources of the Secretariat</w:t>
      </w:r>
      <w:r w:rsidR="00F140F7" w:rsidRPr="00A25252">
        <w:rPr>
          <w:u w:val="none"/>
        </w:rPr>
        <w:t xml:space="preserve"> </w:t>
      </w:r>
      <w:r w:rsidR="00993A8F" w:rsidRPr="005E220A">
        <w:rPr>
          <w:u w:val="none"/>
        </w:rPr>
        <w:t>since its last session</w:t>
      </w:r>
      <w:r w:rsidR="00E469F4" w:rsidRPr="005E220A">
        <w:rPr>
          <w:u w:val="none"/>
        </w:rPr>
        <w:t>;</w:t>
      </w:r>
    </w:p>
    <w:p w14:paraId="4BD079AD" w14:textId="6CC93D92" w:rsidR="00EC523D" w:rsidRPr="005E220A" w:rsidRDefault="00451613" w:rsidP="00C75E87">
      <w:pPr>
        <w:pStyle w:val="COMParaDecision"/>
        <w:ind w:left="1134" w:hanging="567"/>
      </w:pPr>
      <w:r w:rsidRPr="005E220A">
        <w:t>Further t</w:t>
      </w:r>
      <w:r w:rsidR="00A4292F" w:rsidRPr="005E220A">
        <w:t>akes note</w:t>
      </w:r>
      <w:r w:rsidR="00A4292F" w:rsidRPr="005E220A">
        <w:rPr>
          <w:u w:val="none"/>
        </w:rPr>
        <w:t xml:space="preserve"> that </w:t>
      </w:r>
      <w:r w:rsidR="00EC523D" w:rsidRPr="005E220A">
        <w:rPr>
          <w:rFonts w:eastAsia="Times New Roman"/>
          <w:u w:val="none"/>
        </w:rPr>
        <w:t xml:space="preserve">no supplementary voluntary contributions to the Intangible Cultural Heritage Fund have </w:t>
      </w:r>
      <w:r w:rsidR="003915D4" w:rsidRPr="005E220A">
        <w:rPr>
          <w:rFonts w:eastAsia="Times New Roman"/>
          <w:u w:val="none"/>
        </w:rPr>
        <w:t xml:space="preserve">yet </w:t>
      </w:r>
      <w:r w:rsidR="00EC523D" w:rsidRPr="005E220A">
        <w:rPr>
          <w:rFonts w:eastAsia="Times New Roman"/>
          <w:u w:val="none"/>
        </w:rPr>
        <w:t xml:space="preserve">been received to cover </w:t>
      </w:r>
      <w:r w:rsidR="00EC523D" w:rsidRPr="005E220A">
        <w:rPr>
          <w:u w:val="none"/>
          <w:lang w:eastAsia="en-GB"/>
        </w:rPr>
        <w:t xml:space="preserve">all of the costs of organizing </w:t>
      </w:r>
      <w:r w:rsidR="00036739" w:rsidRPr="005E220A">
        <w:rPr>
          <w:u w:val="none"/>
          <w:lang w:eastAsia="en-GB"/>
        </w:rPr>
        <w:t xml:space="preserve">an </w:t>
      </w:r>
      <w:r w:rsidR="00606277" w:rsidRPr="005E220A">
        <w:rPr>
          <w:u w:val="none"/>
        </w:rPr>
        <w:t>open</w:t>
      </w:r>
      <w:r w:rsidR="00606277">
        <w:rPr>
          <w:u w:val="none"/>
        </w:rPr>
        <w:t>-</w:t>
      </w:r>
      <w:r w:rsidR="00EC523D" w:rsidRPr="005E220A">
        <w:rPr>
          <w:u w:val="none"/>
        </w:rPr>
        <w:t>ended intergovernmental working group</w:t>
      </w:r>
      <w:r w:rsidR="00606277">
        <w:rPr>
          <w:u w:val="none"/>
        </w:rPr>
        <w:t xml:space="preserve"> </w:t>
      </w:r>
      <w:r w:rsidR="002346B5" w:rsidRPr="005E220A">
        <w:rPr>
          <w:u w:val="none"/>
        </w:rPr>
        <w:t>devoted to</w:t>
      </w:r>
      <w:r w:rsidR="00036739" w:rsidRPr="005E220A">
        <w:rPr>
          <w:u w:val="none"/>
        </w:rPr>
        <w:t xml:space="preserve"> </w:t>
      </w:r>
      <w:r w:rsidR="002346B5" w:rsidRPr="005E220A">
        <w:rPr>
          <w:u w:val="none"/>
        </w:rPr>
        <w:t xml:space="preserve">the procedure for </w:t>
      </w:r>
      <w:r w:rsidR="00D40AAF">
        <w:rPr>
          <w:u w:val="none"/>
        </w:rPr>
        <w:t xml:space="preserve">the </w:t>
      </w:r>
      <w:r w:rsidR="002346B5" w:rsidRPr="005E220A">
        <w:rPr>
          <w:u w:val="none"/>
        </w:rPr>
        <w:t xml:space="preserve">removal of an element from </w:t>
      </w:r>
      <w:r w:rsidR="00001ACC">
        <w:rPr>
          <w:u w:val="none"/>
        </w:rPr>
        <w:t>one</w:t>
      </w:r>
      <w:r w:rsidR="00001ACC" w:rsidRPr="005E220A">
        <w:rPr>
          <w:u w:val="none"/>
        </w:rPr>
        <w:t xml:space="preserve"> </w:t>
      </w:r>
      <w:r w:rsidR="002346B5" w:rsidRPr="005E220A">
        <w:rPr>
          <w:u w:val="none"/>
        </w:rPr>
        <w:t xml:space="preserve">List and the transfer </w:t>
      </w:r>
      <w:r w:rsidR="00DE47F7" w:rsidRPr="005E220A">
        <w:rPr>
          <w:u w:val="none"/>
        </w:rPr>
        <w:t xml:space="preserve">of an element </w:t>
      </w:r>
      <w:r w:rsidR="002346B5" w:rsidRPr="005E220A">
        <w:rPr>
          <w:u w:val="none"/>
        </w:rPr>
        <w:t xml:space="preserve">from one </w:t>
      </w:r>
      <w:r w:rsidR="00606277">
        <w:rPr>
          <w:u w:val="none"/>
        </w:rPr>
        <w:t>L</w:t>
      </w:r>
      <w:r w:rsidR="00606277" w:rsidRPr="005E220A">
        <w:rPr>
          <w:u w:val="none"/>
        </w:rPr>
        <w:t xml:space="preserve">ist </w:t>
      </w:r>
      <w:r w:rsidR="002346B5" w:rsidRPr="005E220A">
        <w:rPr>
          <w:u w:val="none"/>
        </w:rPr>
        <w:t>to the other;</w:t>
      </w:r>
    </w:p>
    <w:p w14:paraId="1638381E" w14:textId="553DFC40" w:rsidR="00036739" w:rsidRPr="005E220A" w:rsidRDefault="00A4292F" w:rsidP="00C75E87">
      <w:pPr>
        <w:pStyle w:val="COMParaDecision"/>
        <w:ind w:left="1134" w:hanging="567"/>
        <w:rPr>
          <w:u w:val="none"/>
        </w:rPr>
      </w:pPr>
      <w:r w:rsidRPr="005E220A">
        <w:t>Thanks</w:t>
      </w:r>
      <w:r w:rsidRPr="005E220A">
        <w:rPr>
          <w:u w:val="none"/>
        </w:rPr>
        <w:t xml:space="preserve"> all the contributors that have </w:t>
      </w:r>
      <w:r w:rsidR="00E328CA" w:rsidRPr="005E220A">
        <w:rPr>
          <w:u w:val="none"/>
        </w:rPr>
        <w:t xml:space="preserve">generously </w:t>
      </w:r>
      <w:r w:rsidRPr="005E220A">
        <w:rPr>
          <w:u w:val="none"/>
        </w:rPr>
        <w:t>supported the Convention and its Secretariat, since its last session, namely</w:t>
      </w:r>
      <w:r w:rsidR="00036739" w:rsidRPr="005E220A">
        <w:rPr>
          <w:u w:val="none"/>
        </w:rPr>
        <w:t xml:space="preserve"> the </w:t>
      </w:r>
      <w:r w:rsidR="00D40AAF">
        <w:rPr>
          <w:u w:val="none"/>
        </w:rPr>
        <w:t xml:space="preserve">People’s Republic of </w:t>
      </w:r>
      <w:r w:rsidR="00036739" w:rsidRPr="005E220A">
        <w:rPr>
          <w:u w:val="none"/>
        </w:rPr>
        <w:t xml:space="preserve">China, Japan, </w:t>
      </w:r>
      <w:r w:rsidR="009E74B8">
        <w:rPr>
          <w:u w:val="none"/>
        </w:rPr>
        <w:t xml:space="preserve">the Principality of </w:t>
      </w:r>
      <w:r w:rsidR="00036739" w:rsidRPr="005E220A">
        <w:rPr>
          <w:u w:val="none"/>
        </w:rPr>
        <w:t xml:space="preserve">Monaco, </w:t>
      </w:r>
      <w:r w:rsidR="00001ACC">
        <w:rPr>
          <w:u w:val="none"/>
        </w:rPr>
        <w:t xml:space="preserve">the </w:t>
      </w:r>
      <w:r w:rsidR="00036739" w:rsidRPr="005E220A">
        <w:rPr>
          <w:u w:val="none"/>
        </w:rPr>
        <w:t>Republic of Korea</w:t>
      </w:r>
      <w:r w:rsidR="00776A3A">
        <w:rPr>
          <w:u w:val="none"/>
        </w:rPr>
        <w:t xml:space="preserve"> and</w:t>
      </w:r>
      <w:r w:rsidR="00036739" w:rsidRPr="005E220A">
        <w:rPr>
          <w:u w:val="none"/>
        </w:rPr>
        <w:t xml:space="preserve"> </w:t>
      </w:r>
      <w:r w:rsidR="00001ACC">
        <w:rPr>
          <w:u w:val="none"/>
        </w:rPr>
        <w:t xml:space="preserve">the </w:t>
      </w:r>
      <w:r w:rsidR="00036739" w:rsidRPr="005E220A">
        <w:rPr>
          <w:u w:val="none"/>
        </w:rPr>
        <w:t>United Arab Emirates (Abu Dhabi Tourism &amp; Culture Authority)</w:t>
      </w:r>
      <w:r w:rsidR="00001ACC">
        <w:rPr>
          <w:u w:val="none"/>
        </w:rPr>
        <w:t>;</w:t>
      </w:r>
    </w:p>
    <w:p w14:paraId="73A76172" w14:textId="775D1679" w:rsidR="00206479" w:rsidRPr="005E220A" w:rsidRDefault="00036739">
      <w:pPr>
        <w:pStyle w:val="COMParaDecision"/>
        <w:ind w:left="1134" w:hanging="567"/>
      </w:pPr>
      <w:r w:rsidRPr="00D87A29">
        <w:rPr>
          <w:rFonts w:eastAsia="Times New Roman"/>
        </w:rPr>
        <w:t>Approves</w:t>
      </w:r>
      <w:r>
        <w:rPr>
          <w:rFonts w:eastAsia="Times New Roman"/>
          <w:u w:val="none"/>
        </w:rPr>
        <w:t xml:space="preserve"> the </w:t>
      </w:r>
      <w:r w:rsidR="00A21E68">
        <w:rPr>
          <w:rFonts w:eastAsia="Times New Roman"/>
          <w:u w:val="none"/>
        </w:rPr>
        <w:t xml:space="preserve">two </w:t>
      </w:r>
      <w:r w:rsidR="00525933" w:rsidRPr="00DE1B10">
        <w:rPr>
          <w:u w:val="none"/>
          <w:lang w:val="en-US"/>
        </w:rPr>
        <w:t>funding</w:t>
      </w:r>
      <w:r w:rsidR="00F147EA" w:rsidRPr="00DE1B10">
        <w:rPr>
          <w:u w:val="none"/>
          <w:lang w:val="en-US"/>
        </w:rPr>
        <w:t xml:space="preserve"> priorities</w:t>
      </w:r>
      <w:r w:rsidRPr="00DE1B10">
        <w:rPr>
          <w:u w:val="none"/>
        </w:rPr>
        <w:t xml:space="preserve"> for the </w:t>
      </w:r>
      <w:r w:rsidR="00001ACC" w:rsidRPr="00DE1B10">
        <w:rPr>
          <w:u w:val="none"/>
        </w:rPr>
        <w:t xml:space="preserve">period </w:t>
      </w:r>
      <w:r w:rsidRPr="00DE1B10">
        <w:rPr>
          <w:u w:val="none"/>
        </w:rPr>
        <w:t xml:space="preserve">2018-2021 entitled </w:t>
      </w:r>
      <w:r w:rsidR="00A21E68" w:rsidRPr="00DE1B10">
        <w:rPr>
          <w:u w:val="none"/>
        </w:rPr>
        <w:t>‘Strengthening</w:t>
      </w:r>
      <w:r w:rsidR="00A21E68" w:rsidRPr="005E220A">
        <w:rPr>
          <w:u w:val="none"/>
        </w:rPr>
        <w:t xml:space="preserve"> capacities to safeguard intangible cultural heritage and contribute to sustainable development’ and ‘Safeguarding intangible cultural heritage in formal and non-formal education’</w:t>
      </w:r>
      <w:r w:rsidRPr="00A21E68">
        <w:rPr>
          <w:u w:val="none"/>
        </w:rPr>
        <w:t>,</w:t>
      </w:r>
      <w:r w:rsidRPr="00422949">
        <w:rPr>
          <w:u w:val="none"/>
        </w:rPr>
        <w:t xml:space="preserve"> </w:t>
      </w:r>
      <w:r w:rsidRPr="00422949">
        <w:rPr>
          <w:rFonts w:eastAsia="Times New Roman"/>
        </w:rPr>
        <w:t>accepts</w:t>
      </w:r>
      <w:r w:rsidRPr="00FB682F">
        <w:rPr>
          <w:rFonts w:eastAsia="Times New Roman"/>
          <w:u w:val="none"/>
        </w:rPr>
        <w:t xml:space="preserve"> any </w:t>
      </w:r>
      <w:r>
        <w:rPr>
          <w:rFonts w:eastAsia="Times New Roman"/>
          <w:u w:val="none"/>
        </w:rPr>
        <w:t xml:space="preserve">future </w:t>
      </w:r>
      <w:r w:rsidRPr="00FB682F">
        <w:rPr>
          <w:rFonts w:eastAsia="Times New Roman"/>
          <w:u w:val="none"/>
        </w:rPr>
        <w:t xml:space="preserve">voluntary supplementary contributions made to support activities </w:t>
      </w:r>
      <w:r w:rsidRPr="00FB682F">
        <w:rPr>
          <w:u w:val="none"/>
        </w:rPr>
        <w:t xml:space="preserve">within </w:t>
      </w:r>
      <w:r w:rsidR="00033347">
        <w:rPr>
          <w:u w:val="none"/>
        </w:rPr>
        <w:t>the</w:t>
      </w:r>
      <w:r w:rsidRPr="00FB682F">
        <w:rPr>
          <w:u w:val="none"/>
        </w:rPr>
        <w:t xml:space="preserve"> scope</w:t>
      </w:r>
      <w:r w:rsidR="00033347">
        <w:rPr>
          <w:u w:val="none"/>
        </w:rPr>
        <w:t xml:space="preserve"> of th</w:t>
      </w:r>
      <w:r w:rsidR="00F147EA">
        <w:rPr>
          <w:u w:val="none"/>
        </w:rPr>
        <w:t>ese</w:t>
      </w:r>
      <w:r w:rsidR="00033347">
        <w:rPr>
          <w:u w:val="none"/>
        </w:rPr>
        <w:t xml:space="preserve"> </w:t>
      </w:r>
      <w:r w:rsidR="00F147EA">
        <w:rPr>
          <w:u w:val="none"/>
        </w:rPr>
        <w:t>priorities</w:t>
      </w:r>
      <w:r w:rsidRPr="00FB682F">
        <w:rPr>
          <w:u w:val="none"/>
        </w:rPr>
        <w:t xml:space="preserve"> </w:t>
      </w:r>
      <w:r w:rsidRPr="00FB682F">
        <w:rPr>
          <w:rFonts w:eastAsia="Times New Roman"/>
          <w:u w:val="none"/>
        </w:rPr>
        <w:t xml:space="preserve">and </w:t>
      </w:r>
      <w:r w:rsidRPr="00D91DE3">
        <w:rPr>
          <w:rFonts w:eastAsia="Times New Roman"/>
        </w:rPr>
        <w:t>authorize</w:t>
      </w:r>
      <w:r>
        <w:rPr>
          <w:rFonts w:eastAsia="Times New Roman"/>
        </w:rPr>
        <w:t>s</w:t>
      </w:r>
      <w:r>
        <w:rPr>
          <w:rFonts w:eastAsia="Times New Roman"/>
          <w:u w:val="none"/>
        </w:rPr>
        <w:t xml:space="preserve"> the Secretariat to </w:t>
      </w:r>
      <w:r w:rsidRPr="00FB682F">
        <w:rPr>
          <w:rFonts w:eastAsia="Times New Roman"/>
          <w:u w:val="none"/>
        </w:rPr>
        <w:t>make immediate use of</w:t>
      </w:r>
      <w:r>
        <w:rPr>
          <w:rFonts w:eastAsia="Times New Roman"/>
          <w:u w:val="none"/>
        </w:rPr>
        <w:t xml:space="preserve"> them</w:t>
      </w:r>
      <w:r w:rsidRPr="00FB682F">
        <w:rPr>
          <w:u w:val="none"/>
        </w:rPr>
        <w:t>;</w:t>
      </w:r>
    </w:p>
    <w:p w14:paraId="6E1FD483" w14:textId="77777777" w:rsidR="00A21E68" w:rsidRDefault="00206479" w:rsidP="005E220A">
      <w:pPr>
        <w:pStyle w:val="COMParaDecision"/>
        <w:ind w:left="1134" w:hanging="567"/>
        <w:rPr>
          <w:u w:val="none"/>
        </w:rPr>
      </w:pPr>
      <w:r w:rsidRPr="00C75E87">
        <w:t>Encourages</w:t>
      </w:r>
      <w:r w:rsidRPr="005E220A">
        <w:rPr>
          <w:u w:val="none"/>
        </w:rPr>
        <w:t xml:space="preserve"> other contributors to consider the possibility of supporting the Convention, in particular through the Intangible Cultural Heritage Fund</w:t>
      </w:r>
      <w:r w:rsidR="00B61AC5" w:rsidRPr="005E220A">
        <w:rPr>
          <w:u w:val="none"/>
        </w:rPr>
        <w:t xml:space="preserve"> and the s</w:t>
      </w:r>
      <w:r w:rsidR="00B61AC5" w:rsidRPr="00B61AC5">
        <w:rPr>
          <w:u w:val="none"/>
        </w:rPr>
        <w:t>ub-fund for enhancing the human resources of the Secretariat</w:t>
      </w:r>
      <w:r w:rsidRPr="005E220A">
        <w:rPr>
          <w:u w:val="none"/>
        </w:rPr>
        <w:t>;</w:t>
      </w:r>
    </w:p>
    <w:p w14:paraId="7F536BB9" w14:textId="62B399B7" w:rsidR="00A4292F" w:rsidRPr="005E220A" w:rsidRDefault="00A21E68" w:rsidP="005E220A">
      <w:pPr>
        <w:pStyle w:val="COMParaDecision"/>
        <w:ind w:left="1134" w:hanging="567"/>
        <w:rPr>
          <w:u w:val="none"/>
        </w:rPr>
      </w:pPr>
      <w:r w:rsidRPr="00F9354F">
        <w:t>Requests</w:t>
      </w:r>
      <w:r w:rsidRPr="00F9354F">
        <w:rPr>
          <w:u w:val="none"/>
        </w:rPr>
        <w:t xml:space="preserve"> that the Secretariat report, at its thirteen session, on the progress in the implementation of any voluntary supplementary contributions it may have received since its last session.</w:t>
      </w:r>
    </w:p>
    <w:p w14:paraId="3C88FC40" w14:textId="77777777" w:rsidR="00C44C01" w:rsidRPr="009115B4" w:rsidRDefault="00C44C01" w:rsidP="005E220A">
      <w:pPr>
        <w:pStyle w:val="COMParaDecision"/>
        <w:keepNext/>
        <w:pageBreakBefore/>
        <w:numPr>
          <w:ilvl w:val="0"/>
          <w:numId w:val="0"/>
        </w:numPr>
        <w:spacing w:before="240" w:after="480"/>
        <w:jc w:val="center"/>
        <w:rPr>
          <w:b/>
          <w:caps/>
          <w:snapToGrid w:val="0"/>
          <w:lang w:eastAsia="en-US"/>
        </w:rPr>
      </w:pPr>
      <w:r w:rsidRPr="005E220A">
        <w:rPr>
          <w:rFonts w:eastAsia="Times New Roman"/>
          <w:b/>
          <w:caps/>
          <w:snapToGrid w:val="0"/>
          <w:lang w:eastAsia="en-US"/>
        </w:rPr>
        <w:t>ANNEX I</w:t>
      </w:r>
    </w:p>
    <w:p w14:paraId="10018C83" w14:textId="3D7A1299" w:rsidR="00D8250F" w:rsidRPr="00C44C01" w:rsidRDefault="00B24CE2" w:rsidP="00C44C01">
      <w:pPr>
        <w:pStyle w:val="COMParaDecision"/>
        <w:keepNext/>
        <w:numPr>
          <w:ilvl w:val="0"/>
          <w:numId w:val="0"/>
        </w:numPr>
        <w:jc w:val="center"/>
        <w:rPr>
          <w:rFonts w:eastAsia="Times New Roman"/>
          <w:b/>
          <w:caps/>
          <w:snapToGrid w:val="0"/>
          <w:u w:val="none"/>
          <w:lang w:eastAsia="en-US"/>
        </w:rPr>
      </w:pPr>
      <w:r>
        <w:rPr>
          <w:b/>
          <w:u w:val="none"/>
        </w:rPr>
        <w:t>Financial/In-kind</w:t>
      </w:r>
      <w:r w:rsidR="00E60366" w:rsidRPr="009426E5">
        <w:rPr>
          <w:b/>
          <w:u w:val="none"/>
        </w:rPr>
        <w:t xml:space="preserve"> support </w:t>
      </w:r>
      <w:r>
        <w:rPr>
          <w:b/>
          <w:u w:val="none"/>
        </w:rPr>
        <w:t>to</w:t>
      </w:r>
      <w:r w:rsidRPr="009426E5">
        <w:rPr>
          <w:b/>
          <w:u w:val="none"/>
        </w:rPr>
        <w:t xml:space="preserve"> </w:t>
      </w:r>
      <w:r w:rsidR="00E60366" w:rsidRPr="009426E5">
        <w:rPr>
          <w:b/>
          <w:u w:val="none"/>
        </w:rPr>
        <w:t>the 2003 Convention for the Safeguarding</w:t>
      </w:r>
      <w:r w:rsidR="00DE1B10">
        <w:rPr>
          <w:b/>
          <w:u w:val="none"/>
          <w:lang w:val="en-US"/>
        </w:rPr>
        <w:t xml:space="preserve"> </w:t>
      </w:r>
      <w:r w:rsidR="00E60366" w:rsidRPr="009426E5">
        <w:rPr>
          <w:b/>
          <w:u w:val="none"/>
        </w:rPr>
        <w:t xml:space="preserve">of the Intangible Cultural Heritage since the </w:t>
      </w:r>
      <w:r w:rsidR="00C44C01">
        <w:rPr>
          <w:b/>
          <w:u w:val="none"/>
        </w:rPr>
        <w:t>eleventh</w:t>
      </w:r>
      <w:r w:rsidR="00E60366" w:rsidRPr="009426E5">
        <w:rPr>
          <w:b/>
          <w:u w:val="none"/>
        </w:rPr>
        <w:t xml:space="preserve"> session of the Committee</w:t>
      </w:r>
      <w:r w:rsidR="009C2A90">
        <w:rPr>
          <w:b/>
          <w:u w:val="none"/>
        </w:rPr>
        <w:t xml:space="preserve"> </w:t>
      </w:r>
      <w:r w:rsidR="00E60366" w:rsidRPr="009426E5">
        <w:rPr>
          <w:b/>
          <w:u w:val="none"/>
        </w:rPr>
        <w:t xml:space="preserve">to </w:t>
      </w:r>
      <w:r w:rsidR="00342961">
        <w:rPr>
          <w:b/>
          <w:u w:val="none"/>
        </w:rPr>
        <w:t>October</w:t>
      </w:r>
      <w:r w:rsidR="00BD39BC">
        <w:rPr>
          <w:b/>
          <w:u w:val="none"/>
        </w:rPr>
        <w:t xml:space="preserve"> </w:t>
      </w:r>
      <w:r w:rsidR="00E60366" w:rsidRPr="009426E5">
        <w:rPr>
          <w:b/>
          <w:u w:val="none"/>
        </w:rPr>
        <w:t>201</w:t>
      </w:r>
      <w:r w:rsidR="00C44C01">
        <w:rPr>
          <w:b/>
          <w:u w:val="none"/>
        </w:rPr>
        <w:t>7</w:t>
      </w:r>
    </w:p>
    <w:p w14:paraId="7FEA9240" w14:textId="75D0046D" w:rsidR="002346B5" w:rsidRPr="009426E5" w:rsidRDefault="002346B5" w:rsidP="00C75E87">
      <w:pPr>
        <w:spacing w:before="360" w:after="60"/>
        <w:rPr>
          <w:rFonts w:ascii="Arial" w:hAnsi="Arial" w:cs="Arial"/>
          <w:b/>
          <w:color w:val="000000"/>
          <w:sz w:val="22"/>
          <w:szCs w:val="22"/>
          <w:lang w:val="en-GB"/>
        </w:rPr>
      </w:pPr>
      <w:r w:rsidRPr="009426E5">
        <w:rPr>
          <w:rFonts w:ascii="Arial" w:hAnsi="Arial" w:cs="Arial"/>
          <w:b/>
          <w:smallCaps/>
          <w:color w:val="000000"/>
          <w:sz w:val="22"/>
          <w:szCs w:val="22"/>
          <w:lang w:val="en-GB"/>
        </w:rPr>
        <w:t>Voluntary supplementary contributions to the Intangible Cultural Heritage Fund</w:t>
      </w:r>
    </w:p>
    <w:p w14:paraId="64F98B46" w14:textId="6E32966C" w:rsidR="002346B5" w:rsidRPr="004C6929" w:rsidRDefault="004C6929" w:rsidP="00C75E87">
      <w:pPr>
        <w:spacing w:before="120" w:after="120"/>
        <w:ind w:left="709"/>
        <w:rPr>
          <w:rFonts w:ascii="Arial" w:hAnsi="Arial" w:cs="Arial"/>
          <w:b/>
          <w:color w:val="000000"/>
          <w:sz w:val="22"/>
          <w:szCs w:val="22"/>
          <w:lang w:val="en-GB"/>
        </w:rPr>
      </w:pPr>
      <w:r>
        <w:rPr>
          <w:rFonts w:ascii="Arial" w:hAnsi="Arial" w:cs="Arial"/>
          <w:b/>
          <w:color w:val="000000"/>
          <w:sz w:val="22"/>
          <w:szCs w:val="22"/>
          <w:lang w:val="en-GB"/>
        </w:rPr>
        <w:t>I</w:t>
      </w:r>
      <w:r w:rsidRPr="004C6929">
        <w:rPr>
          <w:rFonts w:ascii="Arial" w:hAnsi="Arial" w:cs="Arial"/>
          <w:b/>
          <w:color w:val="000000"/>
          <w:sz w:val="22"/>
          <w:szCs w:val="22"/>
          <w:lang w:val="en-GB"/>
        </w:rPr>
        <w:t xml:space="preserve">mproving the periodic reporting mechanism under the </w:t>
      </w:r>
      <w:r>
        <w:rPr>
          <w:rFonts w:ascii="Arial" w:hAnsi="Arial" w:cs="Arial"/>
          <w:b/>
          <w:color w:val="000000"/>
          <w:sz w:val="22"/>
          <w:szCs w:val="22"/>
          <w:lang w:val="en-GB"/>
        </w:rPr>
        <w:t xml:space="preserve">2003 </w:t>
      </w:r>
      <w:r w:rsidRPr="004C6929">
        <w:rPr>
          <w:rFonts w:ascii="Arial" w:hAnsi="Arial" w:cs="Arial"/>
          <w:b/>
          <w:color w:val="000000"/>
          <w:sz w:val="22"/>
          <w:szCs w:val="22"/>
          <w:lang w:val="en-GB"/>
        </w:rPr>
        <w:t>Convention</w:t>
      </w:r>
    </w:p>
    <w:tbl>
      <w:tblPr>
        <w:tblW w:w="9062" w:type="dxa"/>
        <w:tblInd w:w="709" w:type="dxa"/>
        <w:tblLook w:val="04A0" w:firstRow="1" w:lastRow="0" w:firstColumn="1" w:lastColumn="0" w:noHBand="0" w:noVBand="1"/>
      </w:tblPr>
      <w:tblGrid>
        <w:gridCol w:w="6681"/>
        <w:gridCol w:w="2381"/>
      </w:tblGrid>
      <w:tr w:rsidR="00A931CE" w:rsidRPr="006D6246" w14:paraId="3AF9CC13" w14:textId="77777777" w:rsidTr="00A931CE">
        <w:trPr>
          <w:cantSplit/>
        </w:trPr>
        <w:tc>
          <w:tcPr>
            <w:tcW w:w="6681" w:type="dxa"/>
            <w:vAlign w:val="center"/>
          </w:tcPr>
          <w:p w14:paraId="6E36F0D2" w14:textId="34B254A8" w:rsidR="00A931CE" w:rsidRPr="009426E5" w:rsidRDefault="004C6929" w:rsidP="00A931CE">
            <w:pPr>
              <w:spacing w:before="60" w:after="60"/>
              <w:rPr>
                <w:rFonts w:ascii="Arial" w:hAnsi="Arial" w:cs="Arial"/>
                <w:color w:val="000000"/>
                <w:sz w:val="20"/>
                <w:szCs w:val="20"/>
                <w:lang w:val="en-GB"/>
              </w:rPr>
            </w:pPr>
            <w:r>
              <w:rPr>
                <w:rFonts w:ascii="Arial" w:hAnsi="Arial" w:cs="Arial"/>
                <w:color w:val="000000"/>
                <w:sz w:val="20"/>
                <w:szCs w:val="20"/>
                <w:lang w:val="en-GB"/>
              </w:rPr>
              <w:t>Republic of Korea</w:t>
            </w:r>
          </w:p>
        </w:tc>
        <w:tc>
          <w:tcPr>
            <w:tcW w:w="2381" w:type="dxa"/>
            <w:vAlign w:val="center"/>
          </w:tcPr>
          <w:p w14:paraId="4CC19EE6" w14:textId="60C0A492" w:rsidR="00A931CE" w:rsidRPr="009426E5" w:rsidRDefault="00A931CE" w:rsidP="00B3256F">
            <w:pPr>
              <w:spacing w:before="60" w:after="60"/>
              <w:jc w:val="right"/>
              <w:rPr>
                <w:rFonts w:ascii="Arial" w:hAnsi="Arial" w:cs="Arial"/>
                <w:color w:val="000000"/>
                <w:sz w:val="20"/>
                <w:szCs w:val="20"/>
                <w:lang w:val="en-GB"/>
              </w:rPr>
            </w:pPr>
            <w:r>
              <w:rPr>
                <w:rFonts w:ascii="Arial" w:hAnsi="Arial" w:cs="Arial"/>
                <w:color w:val="000000"/>
                <w:sz w:val="20"/>
                <w:szCs w:val="20"/>
                <w:lang w:val="en-GB"/>
              </w:rPr>
              <w:t>US$</w:t>
            </w:r>
            <w:r w:rsidR="004C6929">
              <w:rPr>
                <w:rFonts w:ascii="Arial" w:hAnsi="Arial" w:cs="Arial"/>
                <w:color w:val="000000"/>
                <w:sz w:val="20"/>
                <w:szCs w:val="20"/>
                <w:lang w:val="en-GB"/>
              </w:rPr>
              <w:t>300,000</w:t>
            </w:r>
          </w:p>
        </w:tc>
      </w:tr>
    </w:tbl>
    <w:p w14:paraId="1DD9FA89" w14:textId="664AB976" w:rsidR="00B941B4" w:rsidRPr="005E220A" w:rsidRDefault="001473B9" w:rsidP="00C75E87">
      <w:pPr>
        <w:spacing w:before="120" w:after="120"/>
        <w:ind w:left="709"/>
        <w:rPr>
          <w:rFonts w:ascii="Arial" w:hAnsi="Arial" w:cs="Arial"/>
          <w:b/>
          <w:color w:val="000000"/>
          <w:sz w:val="22"/>
          <w:szCs w:val="22"/>
          <w:lang w:val="en-GB"/>
        </w:rPr>
      </w:pPr>
      <w:r w:rsidRPr="001473B9">
        <w:rPr>
          <w:rFonts w:ascii="Arial" w:hAnsi="Arial" w:cs="Arial"/>
          <w:b/>
          <w:color w:val="000000"/>
          <w:sz w:val="22"/>
          <w:szCs w:val="22"/>
          <w:lang w:val="en-GB"/>
        </w:rPr>
        <w:t>O</w:t>
      </w:r>
      <w:r w:rsidRPr="005E220A">
        <w:rPr>
          <w:rFonts w:ascii="Arial" w:hAnsi="Arial" w:cs="Arial"/>
          <w:b/>
          <w:color w:val="000000"/>
          <w:sz w:val="22"/>
          <w:szCs w:val="22"/>
          <w:lang w:val="en-GB"/>
        </w:rPr>
        <w:t>pen</w:t>
      </w:r>
      <w:r w:rsidR="008D09FA">
        <w:rPr>
          <w:rFonts w:ascii="Arial" w:hAnsi="Arial" w:cs="Arial"/>
          <w:b/>
          <w:color w:val="000000"/>
          <w:sz w:val="22"/>
          <w:szCs w:val="22"/>
          <w:lang w:val="en-GB"/>
        </w:rPr>
        <w:t>-</w:t>
      </w:r>
      <w:r w:rsidRPr="005E220A">
        <w:rPr>
          <w:rFonts w:ascii="Arial" w:hAnsi="Arial" w:cs="Arial"/>
          <w:b/>
          <w:color w:val="000000"/>
          <w:sz w:val="22"/>
          <w:szCs w:val="22"/>
          <w:lang w:val="en-GB"/>
        </w:rPr>
        <w:t>ended intergovernmental working group</w:t>
      </w:r>
      <w:r w:rsidRPr="005E220A" w:rsidDel="00A76B34">
        <w:rPr>
          <w:rFonts w:ascii="Arial" w:hAnsi="Arial" w:cs="Arial"/>
          <w:b/>
          <w:color w:val="000000"/>
          <w:sz w:val="22"/>
          <w:szCs w:val="22"/>
          <w:lang w:val="en-GB"/>
        </w:rPr>
        <w:t xml:space="preserve"> </w:t>
      </w:r>
      <w:r w:rsidRPr="005E220A">
        <w:rPr>
          <w:rFonts w:ascii="Arial" w:hAnsi="Arial" w:cs="Arial"/>
          <w:b/>
          <w:color w:val="000000"/>
          <w:sz w:val="22"/>
          <w:szCs w:val="22"/>
          <w:lang w:val="en-GB"/>
        </w:rPr>
        <w:t>for the development of an overall results framework for the Convention</w:t>
      </w:r>
      <w:r w:rsidRPr="005E220A" w:rsidDel="00A76B34">
        <w:rPr>
          <w:rFonts w:ascii="Arial" w:hAnsi="Arial" w:cs="Arial"/>
          <w:b/>
          <w:color w:val="000000"/>
          <w:sz w:val="22"/>
          <w:szCs w:val="22"/>
          <w:lang w:val="en-GB"/>
        </w:rPr>
        <w:t xml:space="preserve"> </w:t>
      </w:r>
    </w:p>
    <w:tbl>
      <w:tblPr>
        <w:tblW w:w="9062" w:type="dxa"/>
        <w:tblInd w:w="709" w:type="dxa"/>
        <w:tblLook w:val="04A0" w:firstRow="1" w:lastRow="0" w:firstColumn="1" w:lastColumn="0" w:noHBand="0" w:noVBand="1"/>
      </w:tblPr>
      <w:tblGrid>
        <w:gridCol w:w="6681"/>
        <w:gridCol w:w="2381"/>
      </w:tblGrid>
      <w:tr w:rsidR="00543B28" w:rsidRPr="00C75E87" w14:paraId="34D70541" w14:textId="77777777" w:rsidTr="00F10FCA">
        <w:trPr>
          <w:cantSplit/>
        </w:trPr>
        <w:tc>
          <w:tcPr>
            <w:tcW w:w="6681" w:type="dxa"/>
            <w:vAlign w:val="center"/>
          </w:tcPr>
          <w:p w14:paraId="7E0C8660" w14:textId="486CA921" w:rsidR="00543B28" w:rsidRPr="009426E5" w:rsidRDefault="00543B28" w:rsidP="00F8476E">
            <w:pPr>
              <w:spacing w:before="60" w:after="60"/>
              <w:rPr>
                <w:rFonts w:ascii="Arial" w:hAnsi="Arial" w:cs="Arial"/>
                <w:color w:val="000000"/>
                <w:sz w:val="20"/>
                <w:szCs w:val="20"/>
                <w:lang w:val="en-GB"/>
              </w:rPr>
            </w:pPr>
            <w:r>
              <w:rPr>
                <w:rFonts w:ascii="Arial" w:hAnsi="Arial" w:cs="Arial"/>
                <w:color w:val="000000"/>
                <w:sz w:val="20"/>
                <w:szCs w:val="20"/>
                <w:lang w:val="en-GB"/>
              </w:rPr>
              <w:t>China</w:t>
            </w:r>
          </w:p>
        </w:tc>
        <w:tc>
          <w:tcPr>
            <w:tcW w:w="2381" w:type="dxa"/>
            <w:vAlign w:val="center"/>
          </w:tcPr>
          <w:p w14:paraId="418C0CE2" w14:textId="517E6501" w:rsidR="00543B28" w:rsidRPr="009426E5" w:rsidRDefault="00543B28" w:rsidP="00543B28">
            <w:pPr>
              <w:spacing w:before="60" w:after="60"/>
              <w:jc w:val="right"/>
              <w:rPr>
                <w:rFonts w:ascii="Arial" w:hAnsi="Arial" w:cs="Arial"/>
                <w:color w:val="000000"/>
                <w:sz w:val="20"/>
                <w:szCs w:val="20"/>
                <w:lang w:val="en-GB"/>
              </w:rPr>
            </w:pPr>
            <w:r w:rsidRPr="009426E5">
              <w:rPr>
                <w:rFonts w:ascii="Arial" w:hAnsi="Arial" w:cs="Arial"/>
                <w:color w:val="000000"/>
                <w:sz w:val="20"/>
                <w:szCs w:val="20"/>
                <w:lang w:val="en-GB"/>
              </w:rPr>
              <w:t>US$</w:t>
            </w:r>
            <w:r w:rsidR="00994B98">
              <w:rPr>
                <w:rFonts w:ascii="Arial" w:hAnsi="Arial" w:cs="Arial"/>
                <w:color w:val="000000"/>
                <w:sz w:val="20"/>
                <w:szCs w:val="20"/>
                <w:lang w:val="en-GB"/>
              </w:rPr>
              <w:t>10</w:t>
            </w:r>
            <w:r>
              <w:rPr>
                <w:rFonts w:ascii="Arial" w:hAnsi="Arial" w:cs="Arial"/>
                <w:color w:val="000000"/>
                <w:sz w:val="20"/>
                <w:szCs w:val="20"/>
                <w:lang w:val="en-GB"/>
              </w:rPr>
              <w:t>0,000</w:t>
            </w:r>
          </w:p>
        </w:tc>
      </w:tr>
    </w:tbl>
    <w:p w14:paraId="18CAB69E" w14:textId="2F4CFAAC" w:rsidR="00543B28" w:rsidRPr="00543B28" w:rsidRDefault="00B941B4" w:rsidP="00543B28">
      <w:pPr>
        <w:spacing w:before="120" w:after="120"/>
        <w:ind w:left="709"/>
        <w:rPr>
          <w:rFonts w:ascii="Arial" w:hAnsi="Arial" w:cs="Arial"/>
          <w:b/>
          <w:color w:val="000000"/>
          <w:sz w:val="22"/>
          <w:szCs w:val="22"/>
          <w:lang w:val="en-GB"/>
        </w:rPr>
      </w:pPr>
      <w:r w:rsidRPr="009426E5">
        <w:rPr>
          <w:rFonts w:ascii="Arial" w:hAnsi="Arial" w:cs="Arial"/>
          <w:b/>
          <w:color w:val="000000"/>
          <w:sz w:val="22"/>
          <w:szCs w:val="22"/>
          <w:lang w:val="en-GB"/>
        </w:rPr>
        <w:t>Sub-fund for enhancing the human capacities of the Secretariat</w:t>
      </w:r>
    </w:p>
    <w:tbl>
      <w:tblPr>
        <w:tblW w:w="9072" w:type="dxa"/>
        <w:tblInd w:w="709" w:type="dxa"/>
        <w:tblLook w:val="04A0" w:firstRow="1" w:lastRow="0" w:firstColumn="1" w:lastColumn="0" w:noHBand="0" w:noVBand="1"/>
      </w:tblPr>
      <w:tblGrid>
        <w:gridCol w:w="6720"/>
        <w:gridCol w:w="2352"/>
      </w:tblGrid>
      <w:tr w:rsidR="00B941B4" w:rsidRPr="00620606" w14:paraId="712F1885" w14:textId="77777777" w:rsidTr="00753770">
        <w:trPr>
          <w:cantSplit/>
        </w:trPr>
        <w:tc>
          <w:tcPr>
            <w:tcW w:w="6720" w:type="dxa"/>
            <w:vAlign w:val="center"/>
          </w:tcPr>
          <w:p w14:paraId="50F4FB3D" w14:textId="19FA48C9" w:rsidR="00B941B4" w:rsidRPr="00620606" w:rsidRDefault="00994B98" w:rsidP="00B941B4">
            <w:pPr>
              <w:spacing w:before="60" w:after="60"/>
              <w:rPr>
                <w:rFonts w:ascii="Arial" w:hAnsi="Arial" w:cs="Arial"/>
                <w:color w:val="000000"/>
                <w:sz w:val="20"/>
                <w:szCs w:val="20"/>
                <w:lang w:val="en-GB"/>
              </w:rPr>
            </w:pPr>
            <w:r>
              <w:rPr>
                <w:rFonts w:ascii="Arial" w:hAnsi="Arial" w:cs="Arial"/>
                <w:color w:val="000000"/>
                <w:sz w:val="20"/>
                <w:szCs w:val="20"/>
                <w:lang w:val="en-GB"/>
              </w:rPr>
              <w:t>Monaco</w:t>
            </w:r>
          </w:p>
        </w:tc>
        <w:tc>
          <w:tcPr>
            <w:tcW w:w="2352" w:type="dxa"/>
            <w:vAlign w:val="center"/>
          </w:tcPr>
          <w:p w14:paraId="61573A43" w14:textId="5D5447F1" w:rsidR="00B941B4" w:rsidRPr="00620606" w:rsidRDefault="004C6929" w:rsidP="00B941B4">
            <w:pPr>
              <w:spacing w:before="60" w:after="60"/>
              <w:jc w:val="right"/>
              <w:rPr>
                <w:rFonts w:ascii="Arial" w:hAnsi="Arial" w:cs="Arial"/>
                <w:color w:val="000000"/>
                <w:sz w:val="20"/>
                <w:szCs w:val="20"/>
                <w:lang w:val="en-GB"/>
              </w:rPr>
            </w:pPr>
            <w:r>
              <w:rPr>
                <w:rFonts w:ascii="Arial" w:hAnsi="Arial" w:cs="Arial"/>
                <w:color w:val="000000"/>
                <w:sz w:val="20"/>
                <w:szCs w:val="20"/>
                <w:lang w:val="en-GB"/>
              </w:rPr>
              <w:t>US$</w:t>
            </w:r>
            <w:r w:rsidR="009C2A90">
              <w:rPr>
                <w:rFonts w:ascii="Arial" w:hAnsi="Arial" w:cs="Arial"/>
                <w:color w:val="000000"/>
                <w:sz w:val="20"/>
                <w:szCs w:val="20"/>
                <w:lang w:val="en-GB"/>
              </w:rPr>
              <w:t>22</w:t>
            </w:r>
            <w:r w:rsidR="00994B98">
              <w:rPr>
                <w:rFonts w:ascii="Arial" w:hAnsi="Arial" w:cs="Arial"/>
                <w:color w:val="000000"/>
                <w:sz w:val="20"/>
                <w:szCs w:val="20"/>
                <w:lang w:val="en-GB"/>
              </w:rPr>
              <w:t>,</w:t>
            </w:r>
            <w:r w:rsidR="009C2A90">
              <w:rPr>
                <w:rFonts w:ascii="Arial" w:hAnsi="Arial" w:cs="Arial"/>
                <w:color w:val="000000"/>
                <w:sz w:val="20"/>
                <w:szCs w:val="20"/>
                <w:lang w:val="en-GB"/>
              </w:rPr>
              <w:t>408</w:t>
            </w:r>
          </w:p>
        </w:tc>
      </w:tr>
    </w:tbl>
    <w:p w14:paraId="28268CC1" w14:textId="7EF4DB7F" w:rsidR="00D318B2" w:rsidRDefault="00D318B2" w:rsidP="00C75E87">
      <w:pPr>
        <w:spacing w:before="360" w:after="60"/>
        <w:rPr>
          <w:rFonts w:ascii="Arial" w:hAnsi="Arial" w:cs="Arial"/>
          <w:b/>
          <w:smallCaps/>
          <w:color w:val="000000"/>
          <w:sz w:val="22"/>
          <w:szCs w:val="22"/>
          <w:lang w:val="en-GB"/>
        </w:rPr>
      </w:pPr>
      <w:r>
        <w:rPr>
          <w:rFonts w:ascii="Arial" w:hAnsi="Arial" w:cs="Arial"/>
          <w:b/>
          <w:smallCaps/>
          <w:color w:val="000000"/>
          <w:sz w:val="22"/>
          <w:szCs w:val="22"/>
          <w:lang w:val="en-GB"/>
        </w:rPr>
        <w:t>Funds-in-trust</w:t>
      </w:r>
    </w:p>
    <w:tbl>
      <w:tblPr>
        <w:tblW w:w="9062" w:type="dxa"/>
        <w:tblInd w:w="709" w:type="dxa"/>
        <w:tblLook w:val="04A0" w:firstRow="1" w:lastRow="0" w:firstColumn="1" w:lastColumn="0" w:noHBand="0" w:noVBand="1"/>
      </w:tblPr>
      <w:tblGrid>
        <w:gridCol w:w="6681"/>
        <w:gridCol w:w="2381"/>
      </w:tblGrid>
      <w:tr w:rsidR="00D318B2" w:rsidRPr="00C75E87" w14:paraId="0C688ADF" w14:textId="77777777" w:rsidTr="00F10FCA">
        <w:trPr>
          <w:cantSplit/>
        </w:trPr>
        <w:tc>
          <w:tcPr>
            <w:tcW w:w="6681" w:type="dxa"/>
            <w:vAlign w:val="center"/>
          </w:tcPr>
          <w:p w14:paraId="489D8A6C" w14:textId="53BBF81B" w:rsidR="00151926" w:rsidRPr="009426E5" w:rsidRDefault="004720BC" w:rsidP="00D318B2">
            <w:pPr>
              <w:spacing w:before="60" w:after="60"/>
              <w:rPr>
                <w:rFonts w:ascii="Arial" w:hAnsi="Arial" w:cs="Arial"/>
                <w:color w:val="000000"/>
                <w:sz w:val="20"/>
                <w:szCs w:val="20"/>
                <w:lang w:val="en-GB"/>
              </w:rPr>
            </w:pPr>
            <w:r>
              <w:rPr>
                <w:rFonts w:ascii="Arial" w:hAnsi="Arial" w:cs="Arial"/>
                <w:color w:val="000000"/>
                <w:sz w:val="20"/>
                <w:szCs w:val="20"/>
                <w:lang w:val="en-GB"/>
              </w:rPr>
              <w:t>United Arab Emirates (</w:t>
            </w:r>
            <w:r w:rsidRPr="00C75E87">
              <w:rPr>
                <w:rFonts w:ascii="Arial" w:hAnsi="Arial" w:cs="Arial"/>
                <w:color w:val="000000"/>
                <w:sz w:val="20"/>
                <w:szCs w:val="20"/>
                <w:lang w:val="en-GB"/>
              </w:rPr>
              <w:t>Abu Dhabi Tourism &amp; Culture Authority</w:t>
            </w:r>
            <w:r>
              <w:rPr>
                <w:rFonts w:ascii="Arial" w:hAnsi="Arial" w:cs="Arial"/>
                <w:color w:val="000000"/>
                <w:sz w:val="20"/>
                <w:szCs w:val="20"/>
                <w:lang w:val="en-GB"/>
              </w:rPr>
              <w:t>)</w:t>
            </w:r>
          </w:p>
        </w:tc>
        <w:tc>
          <w:tcPr>
            <w:tcW w:w="2381" w:type="dxa"/>
            <w:vAlign w:val="center"/>
          </w:tcPr>
          <w:p w14:paraId="5ED42A53" w14:textId="5D302502" w:rsidR="00D318B2" w:rsidRPr="009426E5" w:rsidRDefault="00D318B2" w:rsidP="004720BC">
            <w:pPr>
              <w:spacing w:before="60" w:after="60"/>
              <w:jc w:val="right"/>
              <w:rPr>
                <w:rFonts w:ascii="Arial" w:hAnsi="Arial" w:cs="Arial"/>
                <w:color w:val="000000"/>
                <w:sz w:val="20"/>
                <w:szCs w:val="20"/>
                <w:lang w:val="en-GB"/>
              </w:rPr>
            </w:pPr>
            <w:r w:rsidRPr="009426E5">
              <w:rPr>
                <w:rFonts w:ascii="Arial" w:hAnsi="Arial" w:cs="Arial"/>
                <w:color w:val="000000"/>
                <w:sz w:val="20"/>
                <w:szCs w:val="20"/>
                <w:lang w:val="en-GB"/>
              </w:rPr>
              <w:t>US$</w:t>
            </w:r>
            <w:r w:rsidR="004720BC">
              <w:rPr>
                <w:rFonts w:ascii="Arial" w:hAnsi="Arial" w:cs="Arial"/>
                <w:color w:val="000000"/>
                <w:sz w:val="20"/>
                <w:szCs w:val="20"/>
                <w:lang w:val="en-GB"/>
              </w:rPr>
              <w:t>1,227,257</w:t>
            </w:r>
          </w:p>
        </w:tc>
      </w:tr>
      <w:tr w:rsidR="00151926" w:rsidRPr="00C75E87" w14:paraId="19B1E03C" w14:textId="77777777" w:rsidTr="00F10FCA">
        <w:trPr>
          <w:cantSplit/>
        </w:trPr>
        <w:tc>
          <w:tcPr>
            <w:tcW w:w="6681" w:type="dxa"/>
            <w:vAlign w:val="center"/>
          </w:tcPr>
          <w:p w14:paraId="38CE8CA6" w14:textId="60A9F9E0" w:rsidR="00151926" w:rsidRDefault="00151926" w:rsidP="00D318B2">
            <w:pPr>
              <w:spacing w:before="60" w:after="60"/>
              <w:rPr>
                <w:rFonts w:ascii="Arial" w:hAnsi="Arial" w:cs="Arial"/>
                <w:color w:val="000000"/>
                <w:sz w:val="20"/>
                <w:szCs w:val="20"/>
                <w:lang w:val="en-GB"/>
              </w:rPr>
            </w:pPr>
            <w:r>
              <w:rPr>
                <w:rFonts w:ascii="Arial" w:hAnsi="Arial" w:cs="Arial"/>
                <w:color w:val="000000"/>
                <w:sz w:val="20"/>
                <w:szCs w:val="20"/>
                <w:lang w:val="en-GB"/>
              </w:rPr>
              <w:t>Japan</w:t>
            </w:r>
          </w:p>
        </w:tc>
        <w:tc>
          <w:tcPr>
            <w:tcW w:w="2381" w:type="dxa"/>
            <w:vAlign w:val="center"/>
          </w:tcPr>
          <w:p w14:paraId="66F680A3" w14:textId="0E5537F2" w:rsidR="00151926" w:rsidRPr="009426E5" w:rsidRDefault="00151926" w:rsidP="004720BC">
            <w:pPr>
              <w:spacing w:before="60" w:after="60"/>
              <w:jc w:val="right"/>
              <w:rPr>
                <w:rFonts w:ascii="Arial" w:hAnsi="Arial" w:cs="Arial"/>
                <w:color w:val="000000"/>
                <w:sz w:val="20"/>
                <w:szCs w:val="20"/>
                <w:lang w:val="en-GB"/>
              </w:rPr>
            </w:pPr>
            <w:r>
              <w:rPr>
                <w:rFonts w:ascii="Arial" w:hAnsi="Arial" w:cs="Arial"/>
                <w:color w:val="000000"/>
                <w:sz w:val="20"/>
                <w:szCs w:val="20"/>
                <w:lang w:val="en-GB"/>
              </w:rPr>
              <w:t>US$102,409</w:t>
            </w:r>
          </w:p>
        </w:tc>
      </w:tr>
    </w:tbl>
    <w:p w14:paraId="72DCDBDF" w14:textId="7DE8218B" w:rsidR="00AB2BA7" w:rsidRPr="00C75E87" w:rsidRDefault="00AB2BA7" w:rsidP="00C75E87">
      <w:pPr>
        <w:spacing w:before="360" w:after="60"/>
        <w:rPr>
          <w:rFonts w:ascii="Arial" w:hAnsi="Arial" w:cs="Arial"/>
          <w:b/>
          <w:smallCaps/>
          <w:color w:val="000000"/>
          <w:sz w:val="22"/>
          <w:szCs w:val="22"/>
          <w:lang w:val="en-GB"/>
        </w:rPr>
      </w:pPr>
      <w:r w:rsidRPr="00C75E87">
        <w:rPr>
          <w:rFonts w:ascii="Arial" w:hAnsi="Arial" w:cs="Arial"/>
          <w:b/>
          <w:smallCaps/>
          <w:color w:val="000000"/>
          <w:sz w:val="22"/>
          <w:szCs w:val="22"/>
          <w:lang w:val="en-GB"/>
        </w:rPr>
        <w:t>Loans and Secondments</w:t>
      </w:r>
    </w:p>
    <w:tbl>
      <w:tblPr>
        <w:tblW w:w="8949" w:type="dxa"/>
        <w:tblInd w:w="709" w:type="dxa"/>
        <w:tblLook w:val="04A0" w:firstRow="1" w:lastRow="0" w:firstColumn="1" w:lastColumn="0" w:noHBand="0" w:noVBand="1"/>
      </w:tblPr>
      <w:tblGrid>
        <w:gridCol w:w="6487"/>
        <w:gridCol w:w="2462"/>
      </w:tblGrid>
      <w:tr w:rsidR="00AB2BA7" w:rsidRPr="00C75E87" w14:paraId="35227B81" w14:textId="77777777" w:rsidTr="00543B28">
        <w:trPr>
          <w:cantSplit/>
        </w:trPr>
        <w:tc>
          <w:tcPr>
            <w:tcW w:w="6487" w:type="dxa"/>
            <w:vAlign w:val="center"/>
            <w:hideMark/>
          </w:tcPr>
          <w:p w14:paraId="472C3619" w14:textId="77777777" w:rsidR="00AB2BA7" w:rsidRPr="00C75E87" w:rsidRDefault="00AB2BA7" w:rsidP="00F8476E">
            <w:pPr>
              <w:spacing w:before="60" w:after="60"/>
              <w:rPr>
                <w:rFonts w:ascii="Arial" w:hAnsi="Arial" w:cs="Arial"/>
                <w:color w:val="000000"/>
                <w:sz w:val="20"/>
                <w:szCs w:val="20"/>
                <w:lang w:val="en-GB"/>
              </w:rPr>
            </w:pPr>
            <w:r w:rsidRPr="00C75E87">
              <w:rPr>
                <w:rFonts w:ascii="Arial" w:hAnsi="Arial" w:cs="Arial"/>
                <w:color w:val="000000"/>
                <w:sz w:val="20"/>
                <w:szCs w:val="20"/>
                <w:lang w:val="en-GB"/>
              </w:rPr>
              <w:t>China</w:t>
            </w:r>
          </w:p>
        </w:tc>
        <w:tc>
          <w:tcPr>
            <w:tcW w:w="2462" w:type="dxa"/>
            <w:vAlign w:val="center"/>
            <w:hideMark/>
          </w:tcPr>
          <w:p w14:paraId="06242EC2" w14:textId="77777777" w:rsidR="00AB2BA7" w:rsidRPr="00C75E87" w:rsidRDefault="00AB2BA7" w:rsidP="00F8476E">
            <w:pPr>
              <w:spacing w:before="60" w:after="60"/>
              <w:jc w:val="right"/>
              <w:rPr>
                <w:rFonts w:ascii="Arial" w:hAnsi="Arial" w:cs="Arial"/>
                <w:color w:val="000000"/>
                <w:sz w:val="20"/>
                <w:szCs w:val="20"/>
                <w:lang w:val="en-GB"/>
              </w:rPr>
            </w:pPr>
            <w:r w:rsidRPr="00C75E87">
              <w:rPr>
                <w:rFonts w:ascii="Arial" w:hAnsi="Arial" w:cs="Arial"/>
                <w:color w:val="000000"/>
                <w:sz w:val="20"/>
                <w:szCs w:val="20"/>
                <w:lang w:val="en-GB"/>
              </w:rPr>
              <w:t>12 months at P-2 level</w:t>
            </w:r>
          </w:p>
        </w:tc>
      </w:tr>
      <w:tr w:rsidR="00AB2BA7" w:rsidRPr="00C75E87" w14:paraId="57026626" w14:textId="77777777" w:rsidTr="00543B28">
        <w:trPr>
          <w:cantSplit/>
        </w:trPr>
        <w:tc>
          <w:tcPr>
            <w:tcW w:w="6487" w:type="dxa"/>
            <w:vAlign w:val="center"/>
          </w:tcPr>
          <w:p w14:paraId="06E8D218" w14:textId="77777777" w:rsidR="00AB2BA7" w:rsidRPr="00C75E87" w:rsidRDefault="00AB2BA7" w:rsidP="00F8476E">
            <w:pPr>
              <w:spacing w:before="60" w:after="60"/>
              <w:rPr>
                <w:rFonts w:ascii="Arial" w:hAnsi="Arial" w:cs="Arial"/>
                <w:color w:val="000000"/>
                <w:sz w:val="20"/>
                <w:szCs w:val="20"/>
                <w:lang w:val="en-GB"/>
              </w:rPr>
            </w:pPr>
            <w:r w:rsidRPr="00C75E87">
              <w:rPr>
                <w:rFonts w:ascii="Arial" w:hAnsi="Arial" w:cs="Arial"/>
                <w:color w:val="000000"/>
                <w:sz w:val="20"/>
                <w:szCs w:val="20"/>
                <w:lang w:val="en-GB"/>
              </w:rPr>
              <w:t>Japan</w:t>
            </w:r>
          </w:p>
        </w:tc>
        <w:tc>
          <w:tcPr>
            <w:tcW w:w="2462" w:type="dxa"/>
            <w:vAlign w:val="center"/>
          </w:tcPr>
          <w:p w14:paraId="2CD0881C" w14:textId="77777777" w:rsidR="00AB2BA7" w:rsidRPr="00C75E87" w:rsidRDefault="00AB2BA7" w:rsidP="00F8476E">
            <w:pPr>
              <w:spacing w:before="60" w:after="60"/>
              <w:jc w:val="right"/>
              <w:rPr>
                <w:rFonts w:ascii="Arial" w:hAnsi="Arial" w:cs="Arial"/>
                <w:color w:val="000000"/>
                <w:sz w:val="20"/>
                <w:szCs w:val="20"/>
                <w:lang w:val="en-GB"/>
              </w:rPr>
            </w:pPr>
            <w:r w:rsidRPr="00C75E87">
              <w:rPr>
                <w:rFonts w:ascii="Arial" w:hAnsi="Arial" w:cs="Arial"/>
                <w:color w:val="000000"/>
                <w:sz w:val="20"/>
                <w:szCs w:val="20"/>
                <w:lang w:val="en-GB"/>
              </w:rPr>
              <w:t>12 months at P-2 level</w:t>
            </w:r>
          </w:p>
        </w:tc>
      </w:tr>
      <w:tr w:rsidR="0005570F" w:rsidRPr="00C75E87" w14:paraId="4D495D4F" w14:textId="77777777" w:rsidTr="00543B28">
        <w:trPr>
          <w:cantSplit/>
        </w:trPr>
        <w:tc>
          <w:tcPr>
            <w:tcW w:w="6487" w:type="dxa"/>
            <w:vAlign w:val="center"/>
          </w:tcPr>
          <w:p w14:paraId="02E9B5CD" w14:textId="0696662F" w:rsidR="0005570F" w:rsidRPr="00C75E87" w:rsidRDefault="0005570F" w:rsidP="0005570F">
            <w:pPr>
              <w:spacing w:before="60" w:after="60"/>
              <w:rPr>
                <w:rFonts w:ascii="Arial" w:hAnsi="Arial" w:cs="Arial"/>
                <w:color w:val="000000"/>
                <w:sz w:val="20"/>
                <w:szCs w:val="20"/>
                <w:lang w:val="en-GB"/>
              </w:rPr>
            </w:pPr>
            <w:r>
              <w:rPr>
                <w:rFonts w:ascii="Arial" w:hAnsi="Arial" w:cs="Arial"/>
                <w:color w:val="000000"/>
                <w:sz w:val="20"/>
                <w:szCs w:val="20"/>
                <w:lang w:val="en-GB"/>
              </w:rPr>
              <w:t>United Arab Emirates (</w:t>
            </w:r>
            <w:r w:rsidRPr="00C75E87">
              <w:rPr>
                <w:rFonts w:ascii="Arial" w:hAnsi="Arial" w:cs="Arial"/>
                <w:color w:val="000000"/>
                <w:sz w:val="20"/>
                <w:szCs w:val="20"/>
                <w:lang w:val="en-GB"/>
              </w:rPr>
              <w:t>Abu Dhabi Tourism &amp; Culture Authority</w:t>
            </w:r>
            <w:r>
              <w:rPr>
                <w:rFonts w:ascii="Arial" w:hAnsi="Arial" w:cs="Arial"/>
                <w:color w:val="000000"/>
                <w:sz w:val="20"/>
                <w:szCs w:val="20"/>
                <w:lang w:val="en-GB"/>
              </w:rPr>
              <w:t>)</w:t>
            </w:r>
            <w:r w:rsidR="00A50610">
              <w:rPr>
                <w:rFonts w:ascii="Arial" w:hAnsi="Arial" w:cs="Arial"/>
                <w:color w:val="000000"/>
                <w:sz w:val="20"/>
                <w:szCs w:val="20"/>
                <w:lang w:val="en-GB"/>
              </w:rPr>
              <w:t xml:space="preserve"> (Project Appointment)</w:t>
            </w:r>
          </w:p>
        </w:tc>
        <w:tc>
          <w:tcPr>
            <w:tcW w:w="2462" w:type="dxa"/>
            <w:vAlign w:val="center"/>
          </w:tcPr>
          <w:p w14:paraId="5AF03C62" w14:textId="4FD9F766" w:rsidR="0005570F" w:rsidRPr="00C75E87" w:rsidRDefault="0005570F" w:rsidP="0005570F">
            <w:pPr>
              <w:spacing w:before="60" w:after="60"/>
              <w:jc w:val="right"/>
              <w:rPr>
                <w:rFonts w:ascii="Arial" w:hAnsi="Arial" w:cs="Arial"/>
                <w:color w:val="000000"/>
                <w:sz w:val="20"/>
                <w:szCs w:val="20"/>
                <w:lang w:val="en-GB"/>
              </w:rPr>
            </w:pPr>
            <w:r>
              <w:rPr>
                <w:rFonts w:ascii="Arial" w:hAnsi="Arial" w:cs="Arial"/>
                <w:color w:val="000000"/>
                <w:sz w:val="20"/>
                <w:szCs w:val="20"/>
                <w:lang w:val="en-GB"/>
              </w:rPr>
              <w:t>6</w:t>
            </w:r>
            <w:r w:rsidRPr="00C75E87">
              <w:rPr>
                <w:rFonts w:ascii="Arial" w:hAnsi="Arial" w:cs="Arial"/>
                <w:color w:val="000000"/>
                <w:sz w:val="20"/>
                <w:szCs w:val="20"/>
                <w:lang w:val="en-GB"/>
              </w:rPr>
              <w:t> months at P-2 level</w:t>
            </w:r>
          </w:p>
        </w:tc>
      </w:tr>
    </w:tbl>
    <w:p w14:paraId="7691F932" w14:textId="4E6E1880" w:rsidR="009F04D9" w:rsidRPr="00E74108" w:rsidRDefault="009F04D9" w:rsidP="009F04D9">
      <w:pPr>
        <w:pStyle w:val="COMParaDecision"/>
        <w:keepNext/>
        <w:pageBreakBefore/>
        <w:numPr>
          <w:ilvl w:val="0"/>
          <w:numId w:val="0"/>
        </w:numPr>
        <w:jc w:val="center"/>
        <w:rPr>
          <w:rFonts w:eastAsia="Times New Roman"/>
          <w:b/>
          <w:caps/>
          <w:snapToGrid w:val="0"/>
          <w:lang w:eastAsia="en-US"/>
        </w:rPr>
      </w:pPr>
      <w:r w:rsidRPr="00E74108">
        <w:rPr>
          <w:rFonts w:eastAsia="Times New Roman"/>
          <w:b/>
          <w:caps/>
          <w:snapToGrid w:val="0"/>
          <w:lang w:eastAsia="en-US"/>
        </w:rPr>
        <w:t>Annex</w:t>
      </w:r>
      <w:r w:rsidR="00DE1B10">
        <w:rPr>
          <w:rFonts w:eastAsia="Times New Roman"/>
          <w:b/>
          <w:caps/>
          <w:snapToGrid w:val="0"/>
          <w:lang w:eastAsia="en-US"/>
        </w:rPr>
        <w:t> </w:t>
      </w:r>
      <w:r>
        <w:rPr>
          <w:rFonts w:eastAsia="Times New Roman"/>
          <w:b/>
          <w:caps/>
          <w:snapToGrid w:val="0"/>
          <w:lang w:eastAsia="en-US"/>
        </w:rPr>
        <w:t>II</w:t>
      </w:r>
    </w:p>
    <w:p w14:paraId="53F93347" w14:textId="0C199F73" w:rsidR="009F04D9" w:rsidRDefault="009F04D9" w:rsidP="005E220A">
      <w:pPr>
        <w:pStyle w:val="Paragraph"/>
        <w:numPr>
          <w:ilvl w:val="0"/>
          <w:numId w:val="0"/>
        </w:numPr>
        <w:tabs>
          <w:tab w:val="clear" w:pos="567"/>
        </w:tabs>
        <w:spacing w:after="120"/>
      </w:pPr>
      <w:r w:rsidRPr="006A1273">
        <w:t xml:space="preserve">The following annex presents in more detail the two funding priorities mentioned in </w:t>
      </w:r>
      <w:r w:rsidRPr="00865980">
        <w:t xml:space="preserve">paragraph </w:t>
      </w:r>
      <w:r w:rsidRPr="005E220A">
        <w:t>10</w:t>
      </w:r>
      <w:r w:rsidRPr="00865980">
        <w:t>,</w:t>
      </w:r>
      <w:r w:rsidRPr="006A1273">
        <w:t xml:space="preserve"> notably </w:t>
      </w:r>
      <w:r>
        <w:t>‘</w:t>
      </w:r>
      <w:r w:rsidRPr="006A1273">
        <w:t>Strengthening capacities to safeguard</w:t>
      </w:r>
      <w:r>
        <w:t xml:space="preserve"> intangible cultural heritage and contribute to sustainable development’ and ‘Safeguarding intangible cultural heritage in formal and non-formal education’</w:t>
      </w:r>
      <w:r w:rsidRPr="006A1273">
        <w:t>.</w:t>
      </w:r>
      <w:r>
        <w:t xml:space="preserve"> States are invited to make ear</w:t>
      </w:r>
      <w:r w:rsidRPr="006A1273">
        <w:t>marked contributions for projects that fall within the range of these two programme documents.</w:t>
      </w:r>
    </w:p>
    <w:p w14:paraId="375B07F1" w14:textId="77777777" w:rsidR="009F04D9" w:rsidRPr="009F04D9" w:rsidRDefault="009F04D9" w:rsidP="005E220A">
      <w:pPr>
        <w:keepNext/>
        <w:autoSpaceDE w:val="0"/>
        <w:autoSpaceDN w:val="0"/>
        <w:adjustRightInd w:val="0"/>
        <w:spacing w:before="720" w:after="120"/>
        <w:jc w:val="center"/>
        <w:rPr>
          <w:rFonts w:ascii="Arial" w:hAnsi="Arial" w:cs="Arial"/>
          <w:b/>
          <w:snapToGrid w:val="0"/>
          <w:sz w:val="22"/>
          <w:szCs w:val="22"/>
          <w:u w:val="single"/>
          <w:lang w:val="en-US" w:eastAsia="en-US"/>
        </w:rPr>
      </w:pPr>
      <w:r w:rsidRPr="009F04D9">
        <w:rPr>
          <w:rFonts w:ascii="Arial" w:hAnsi="Arial" w:cs="Arial"/>
          <w:b/>
          <w:snapToGrid w:val="0"/>
          <w:sz w:val="22"/>
          <w:szCs w:val="22"/>
          <w:u w:val="single"/>
          <w:lang w:val="en-GB" w:eastAsia="en-US"/>
        </w:rPr>
        <w:t xml:space="preserve">Funding priority </w:t>
      </w:r>
      <w:r w:rsidRPr="009F04D9">
        <w:rPr>
          <w:rFonts w:ascii="Arial" w:hAnsi="Arial" w:cs="Arial"/>
          <w:b/>
          <w:snapToGrid w:val="0"/>
          <w:sz w:val="22"/>
          <w:szCs w:val="22"/>
          <w:u w:val="single"/>
          <w:lang w:val="en-US" w:eastAsia="en-US"/>
        </w:rPr>
        <w:t>1</w:t>
      </w:r>
    </w:p>
    <w:p w14:paraId="3A4C884F" w14:textId="77777777" w:rsidR="009F04D9" w:rsidRPr="009F04D9" w:rsidRDefault="009F04D9" w:rsidP="007505D8">
      <w:pPr>
        <w:spacing w:before="240" w:after="240"/>
        <w:jc w:val="both"/>
        <w:rPr>
          <w:rFonts w:ascii="Calibri" w:eastAsia="Calibri" w:hAnsi="Calibri"/>
          <w:color w:val="FFFFFF"/>
          <w:sz w:val="48"/>
          <w:szCs w:val="48"/>
          <w:shd w:val="clear" w:color="auto" w:fill="0077D4"/>
          <w:lang w:val="en-GB" w:eastAsia="en-US"/>
        </w:rPr>
      </w:pPr>
      <w:r w:rsidRPr="009F04D9">
        <w:rPr>
          <w:rFonts w:ascii="Calibri" w:eastAsia="Calibri" w:hAnsi="Calibri"/>
          <w:color w:val="FFFFFF"/>
          <w:sz w:val="48"/>
          <w:szCs w:val="48"/>
          <w:shd w:val="clear" w:color="auto" w:fill="0077D4"/>
          <w:lang w:val="en-GB" w:eastAsia="en-US"/>
        </w:rPr>
        <w:t>Strengthening capacities to safeguard intangible cultural heritage and contribute to sustainable development</w:t>
      </w:r>
    </w:p>
    <w:tbl>
      <w:tblPr>
        <w:tblStyle w:val="TableGrid1"/>
        <w:tblW w:w="9638" w:type="dxa"/>
        <w:tblBorders>
          <w:top w:val="single" w:sz="2" w:space="0" w:color="FFFFFF"/>
          <w:left w:val="single" w:sz="2" w:space="0" w:color="FFFFFF"/>
          <w:bottom w:val="single" w:sz="2" w:space="0" w:color="FFFFFF"/>
          <w:right w:val="single" w:sz="2" w:space="0" w:color="FFFFFF"/>
          <w:insideH w:val="single" w:sz="2" w:space="0" w:color="C5192D"/>
          <w:insideV w:val="single" w:sz="2" w:space="0" w:color="0077D4"/>
        </w:tblBorders>
        <w:tblLayout w:type="fixed"/>
        <w:tblCellMar>
          <w:left w:w="0" w:type="dxa"/>
          <w:right w:w="0" w:type="dxa"/>
        </w:tblCellMar>
        <w:tblLook w:val="04A0" w:firstRow="1" w:lastRow="0" w:firstColumn="1" w:lastColumn="0" w:noHBand="0" w:noVBand="1"/>
      </w:tblPr>
      <w:tblGrid>
        <w:gridCol w:w="3685"/>
        <w:gridCol w:w="5953"/>
      </w:tblGrid>
      <w:tr w:rsidR="009F04D9" w:rsidRPr="00554C38" w14:paraId="6C82A792" w14:textId="77777777" w:rsidTr="00DE1B10">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p w14:paraId="25161DC9" w14:textId="77777777" w:rsidR="009F04D9" w:rsidRPr="009F04D9" w:rsidRDefault="009F04D9" w:rsidP="009F04D9">
            <w:pPr>
              <w:widowControl w:val="0"/>
              <w:autoSpaceDE w:val="0"/>
              <w:autoSpaceDN w:val="0"/>
              <w:adjustRightInd w:val="0"/>
              <w:spacing w:after="120"/>
              <w:rPr>
                <w:rFonts w:ascii="Arial" w:eastAsia="Batang" w:hAnsi="Arial" w:cs="Arial"/>
                <w:b/>
                <w:color w:val="0070C0"/>
                <w:sz w:val="22"/>
                <w:szCs w:val="22"/>
                <w:lang w:val="en-GB"/>
              </w:rPr>
            </w:pPr>
            <w:r w:rsidRPr="009F04D9">
              <w:rPr>
                <w:rFonts w:ascii="Arial" w:hAnsi="Arial" w:cs="Arial"/>
                <w:b/>
                <w:color w:val="0070C0"/>
                <w:sz w:val="22"/>
                <w:szCs w:val="22"/>
                <w:lang w:val="en-GB"/>
              </w:rPr>
              <w:t>Geographical scope/benefitting country(ies):</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5C816EC0"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lang w:val="en-GB"/>
              </w:rPr>
            </w:pPr>
            <w:r w:rsidRPr="009F04D9">
              <w:rPr>
                <w:rFonts w:ascii="Arial" w:eastAsia="Calibri" w:hAnsi="Arial" w:cs="Arial"/>
                <w:sz w:val="22"/>
                <w:szCs w:val="22"/>
                <w:lang w:val="en-GB"/>
              </w:rPr>
              <w:t xml:space="preserve">20 countries in all regions, prioritizing Africa </w:t>
            </w:r>
          </w:p>
        </w:tc>
      </w:tr>
      <w:tr w:rsidR="009F04D9" w:rsidRPr="009F04D9" w14:paraId="709E1007" w14:textId="77777777" w:rsidTr="00DE1B10">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p w14:paraId="6B63747D"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lang w:val="en-GB"/>
              </w:rPr>
            </w:pPr>
            <w:r w:rsidRPr="009F04D9">
              <w:rPr>
                <w:rFonts w:ascii="Arial" w:hAnsi="Arial" w:cs="Arial"/>
                <w:b/>
                <w:color w:val="0070C0"/>
                <w:sz w:val="22"/>
                <w:szCs w:val="22"/>
                <w:lang w:val="en-GB"/>
              </w:rPr>
              <w:t>Duration (in months):</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6178C157" w14:textId="77777777" w:rsidR="009F04D9" w:rsidRPr="009F04D9" w:rsidRDefault="009F04D9" w:rsidP="009F04D9">
            <w:pPr>
              <w:widowControl w:val="0"/>
              <w:autoSpaceDE w:val="0"/>
              <w:autoSpaceDN w:val="0"/>
              <w:adjustRightInd w:val="0"/>
              <w:spacing w:after="120"/>
              <w:rPr>
                <w:rFonts w:ascii="Arial" w:eastAsia="Batang" w:hAnsi="Arial" w:cs="Arial"/>
                <w:sz w:val="22"/>
                <w:szCs w:val="22"/>
                <w:lang w:val="en-GB"/>
              </w:rPr>
            </w:pPr>
            <w:r w:rsidRPr="009F04D9">
              <w:rPr>
                <w:rFonts w:ascii="Arial" w:eastAsia="Calibri" w:hAnsi="Arial" w:cs="Arial"/>
                <w:sz w:val="22"/>
                <w:szCs w:val="22"/>
                <w:lang w:val="en-GB"/>
              </w:rPr>
              <w:t>2018-2021 (48 months)</w:t>
            </w:r>
          </w:p>
        </w:tc>
      </w:tr>
      <w:tr w:rsidR="009F04D9" w:rsidRPr="00554C38" w14:paraId="59FF3A2C" w14:textId="77777777" w:rsidTr="00DE1B10">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p w14:paraId="7AD9CC2F"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lang w:val="en-GB"/>
              </w:rPr>
            </w:pPr>
            <w:r w:rsidRPr="009F04D9">
              <w:rPr>
                <w:rFonts w:ascii="Arial" w:hAnsi="Arial" w:cs="Arial"/>
                <w:b/>
                <w:color w:val="0070C0"/>
                <w:sz w:val="22"/>
                <w:szCs w:val="22"/>
                <w:lang w:val="en-GB"/>
              </w:rPr>
              <w:t>Name and Unit of Project Officer(s) :</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107B19CB" w14:textId="77777777" w:rsidR="009F04D9" w:rsidRPr="009F04D9" w:rsidRDefault="009F04D9" w:rsidP="009F04D9">
            <w:pPr>
              <w:widowControl w:val="0"/>
              <w:autoSpaceDE w:val="0"/>
              <w:autoSpaceDN w:val="0"/>
              <w:adjustRightInd w:val="0"/>
              <w:spacing w:after="120"/>
              <w:rPr>
                <w:rFonts w:ascii="Arial" w:eastAsia="Batang" w:hAnsi="Arial" w:cs="Arial"/>
                <w:sz w:val="22"/>
                <w:szCs w:val="22"/>
                <w:lang w:val="en-GB"/>
              </w:rPr>
            </w:pPr>
            <w:r w:rsidRPr="009F04D9">
              <w:rPr>
                <w:rFonts w:ascii="Arial" w:eastAsia="Calibri" w:hAnsi="Arial" w:cs="Arial"/>
                <w:sz w:val="22"/>
                <w:szCs w:val="22"/>
                <w:lang w:val="en-GB"/>
              </w:rPr>
              <w:t>Tim Curtis, Chief, Intangible Cultural Heritage Section and Secretary of the Convention for the Safeguarding of the Intangible Cultural Heritage</w:t>
            </w:r>
          </w:p>
          <w:p w14:paraId="5D9937D1"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lang w:val="en-GB"/>
              </w:rPr>
            </w:pPr>
            <w:r w:rsidRPr="009F04D9">
              <w:rPr>
                <w:rFonts w:ascii="Arial" w:eastAsia="Calibri" w:hAnsi="Arial" w:cs="Arial"/>
                <w:sz w:val="22"/>
                <w:szCs w:val="22"/>
                <w:lang w:val="en-GB"/>
              </w:rPr>
              <w:t>Susanne Schnüttgen, Chief of Unit, Capacity Building and Heritage Policy in the Intangible Cultural Heritage Section</w:t>
            </w:r>
          </w:p>
        </w:tc>
      </w:tr>
      <w:tr w:rsidR="009F04D9" w:rsidRPr="00554C38" w14:paraId="683341F1" w14:textId="77777777" w:rsidTr="00DE1B10">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p w14:paraId="2F677D62"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lang w:val="en-GB"/>
              </w:rPr>
            </w:pPr>
            <w:r w:rsidRPr="009F04D9">
              <w:rPr>
                <w:rFonts w:ascii="Arial" w:hAnsi="Arial" w:cs="Arial"/>
                <w:b/>
                <w:color w:val="0070C0"/>
                <w:sz w:val="22"/>
                <w:szCs w:val="22"/>
                <w:lang w:val="en-GB"/>
              </w:rPr>
              <w:t>Partner(s) institutions:</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3041D273" w14:textId="77777777" w:rsidR="009F04D9" w:rsidRPr="009F04D9" w:rsidRDefault="009F04D9" w:rsidP="009F04D9">
            <w:pPr>
              <w:widowControl w:val="0"/>
              <w:autoSpaceDE w:val="0"/>
              <w:autoSpaceDN w:val="0"/>
              <w:adjustRightInd w:val="0"/>
              <w:spacing w:after="120"/>
              <w:rPr>
                <w:rFonts w:ascii="Arial" w:eastAsia="Batang" w:hAnsi="Arial" w:cs="Arial"/>
                <w:sz w:val="22"/>
                <w:szCs w:val="22"/>
                <w:lang w:val="en-GB"/>
              </w:rPr>
            </w:pPr>
            <w:r w:rsidRPr="009F04D9">
              <w:rPr>
                <w:rFonts w:ascii="Arial" w:eastAsia="Calibri" w:hAnsi="Arial" w:cs="Arial"/>
                <w:sz w:val="22"/>
                <w:szCs w:val="22"/>
                <w:lang w:val="en-GB"/>
              </w:rPr>
              <w:t>Ministries in charge of intangible cultural heritage and/or other governmental and non-governmental institutions with responsibilities relevant to intangible cultural heritage</w:t>
            </w:r>
          </w:p>
        </w:tc>
      </w:tr>
      <w:tr w:rsidR="009F04D9" w:rsidRPr="009F04D9" w14:paraId="1F0F7965" w14:textId="77777777" w:rsidTr="00DE1B10">
        <w:tc>
          <w:tcPr>
            <w:tcW w:w="3685" w:type="dxa"/>
            <w:tcBorders>
              <w:top w:val="single" w:sz="4" w:space="0" w:color="EEBBC0"/>
              <w:left w:val="single" w:sz="2" w:space="0" w:color="FFFFFF"/>
              <w:bottom w:val="single" w:sz="2" w:space="0" w:color="FFFFFF"/>
              <w:right w:val="single" w:sz="2" w:space="0" w:color="0077D4"/>
            </w:tcBorders>
            <w:shd w:val="clear" w:color="auto" w:fill="D8E2F4"/>
            <w:noWrap/>
            <w:tcMar>
              <w:top w:w="113" w:type="dxa"/>
              <w:left w:w="113" w:type="dxa"/>
              <w:bottom w:w="0" w:type="dxa"/>
              <w:right w:w="113" w:type="dxa"/>
            </w:tcMar>
            <w:hideMark/>
          </w:tcPr>
          <w:p w14:paraId="1175B549"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lang w:val="en-GB"/>
              </w:rPr>
            </w:pPr>
            <w:r w:rsidRPr="009F04D9">
              <w:rPr>
                <w:rFonts w:ascii="Arial" w:hAnsi="Arial" w:cs="Arial"/>
                <w:b/>
                <w:color w:val="0070C0"/>
                <w:sz w:val="22"/>
                <w:szCs w:val="22"/>
                <w:lang w:val="en-GB"/>
              </w:rPr>
              <w:t>Tentative budget inclusive of Programme Support costs:</w:t>
            </w:r>
          </w:p>
        </w:tc>
        <w:tc>
          <w:tcPr>
            <w:tcW w:w="5953" w:type="dxa"/>
            <w:tcBorders>
              <w:top w:val="single" w:sz="4" w:space="0" w:color="EEBBC0"/>
              <w:left w:val="single" w:sz="2" w:space="0" w:color="0077D4"/>
              <w:bottom w:val="single" w:sz="2" w:space="0" w:color="FFFFFF"/>
              <w:right w:val="single" w:sz="2" w:space="0" w:color="FFFFFF"/>
            </w:tcBorders>
            <w:shd w:val="clear" w:color="auto" w:fill="ECF0FA"/>
            <w:noWrap/>
            <w:tcMar>
              <w:top w:w="113" w:type="dxa"/>
              <w:left w:w="113" w:type="dxa"/>
              <w:bottom w:w="0" w:type="dxa"/>
              <w:right w:w="113" w:type="dxa"/>
            </w:tcMar>
            <w:hideMark/>
          </w:tcPr>
          <w:p w14:paraId="6BB87939" w14:textId="77777777" w:rsidR="009F04D9" w:rsidRPr="009F04D9" w:rsidRDefault="009F04D9" w:rsidP="009F04D9">
            <w:pPr>
              <w:widowControl w:val="0"/>
              <w:autoSpaceDE w:val="0"/>
              <w:autoSpaceDN w:val="0"/>
              <w:adjustRightInd w:val="0"/>
              <w:spacing w:after="120"/>
              <w:rPr>
                <w:rFonts w:ascii="Arial" w:eastAsia="Batang" w:hAnsi="Arial" w:cs="Arial"/>
                <w:sz w:val="22"/>
                <w:szCs w:val="22"/>
                <w:lang w:val="en-GB"/>
              </w:rPr>
            </w:pPr>
            <w:r w:rsidRPr="009F04D9">
              <w:rPr>
                <w:rFonts w:ascii="Arial" w:eastAsia="Calibri" w:hAnsi="Arial" w:cs="Arial"/>
                <w:sz w:val="22"/>
                <w:szCs w:val="22"/>
                <w:lang w:val="en-GB"/>
              </w:rPr>
              <w:t>US$ 5 million</w:t>
            </w:r>
          </w:p>
        </w:tc>
      </w:tr>
    </w:tbl>
    <w:p w14:paraId="2FB0CA92" w14:textId="77777777" w:rsidR="009F04D9" w:rsidRPr="009F04D9" w:rsidRDefault="009F04D9" w:rsidP="009F04D9">
      <w:pPr>
        <w:tabs>
          <w:tab w:val="left" w:pos="567"/>
        </w:tabs>
        <w:snapToGrid w:val="0"/>
        <w:rPr>
          <w:rFonts w:ascii="Arial" w:eastAsia="Calibri" w:hAnsi="Arial" w:cs="Arial"/>
          <w:lang w:val="en-GB" w:eastAsia="en-US"/>
        </w:rPr>
      </w:pPr>
    </w:p>
    <w:p w14:paraId="2C580354" w14:textId="0FF07347" w:rsidR="009F04D9" w:rsidRPr="009F04D9" w:rsidRDefault="00DE1B10" w:rsidP="0032376B">
      <w:pPr>
        <w:shd w:val="clear" w:color="auto" w:fill="0077D4"/>
        <w:tabs>
          <w:tab w:val="left" w:pos="567"/>
        </w:tabs>
        <w:snapToGrid w:val="0"/>
        <w:rPr>
          <w:rFonts w:ascii="Arial" w:eastAsia="Calibri" w:hAnsi="Arial" w:cs="Arial"/>
          <w:color w:val="FFFFFF"/>
          <w:sz w:val="28"/>
          <w:szCs w:val="28"/>
          <w:lang w:val="en-GB" w:eastAsia="en-US"/>
        </w:rPr>
      </w:pPr>
      <w:r>
        <w:rPr>
          <w:rFonts w:ascii="Arial" w:eastAsia="Calibri" w:hAnsi="Arial" w:cs="Arial"/>
          <w:color w:val="FFFFFF"/>
          <w:sz w:val="28"/>
          <w:szCs w:val="28"/>
          <w:lang w:val="en-GB" w:eastAsia="en-US"/>
        </w:rPr>
        <w:t>Rationale and overall purpose</w:t>
      </w:r>
    </w:p>
    <w:p w14:paraId="47848183" w14:textId="77777777" w:rsidR="009F04D9" w:rsidRPr="009F04D9" w:rsidRDefault="009F04D9" w:rsidP="009F04D9">
      <w:pPr>
        <w:spacing w:before="240"/>
        <w:jc w:val="both"/>
        <w:rPr>
          <w:rFonts w:ascii="Arial" w:eastAsia="Calibri" w:hAnsi="Arial" w:cs="Arial"/>
          <w:sz w:val="22"/>
          <w:szCs w:val="22"/>
          <w:lang w:val="en-GB" w:eastAsia="en-US"/>
        </w:rPr>
      </w:pPr>
      <w:r w:rsidRPr="009F04D9">
        <w:rPr>
          <w:rFonts w:ascii="Calibri" w:eastAsia="Batang" w:hAnsi="Calibri"/>
          <w:noProof/>
          <w:lang w:val="en-US" w:eastAsia="ko-KR"/>
        </w:rPr>
        <w:drawing>
          <wp:anchor distT="0" distB="0" distL="114300" distR="114300" simplePos="0" relativeHeight="251663360" behindDoc="0" locked="0" layoutInCell="1" allowOverlap="1" wp14:anchorId="60E4FC57" wp14:editId="4BB17C2F">
            <wp:simplePos x="0" y="0"/>
            <wp:positionH relativeFrom="margin">
              <wp:align>right</wp:align>
            </wp:positionH>
            <wp:positionV relativeFrom="paragraph">
              <wp:posOffset>160020</wp:posOffset>
            </wp:positionV>
            <wp:extent cx="2809875" cy="2009775"/>
            <wp:effectExtent l="0" t="0" r="9525" b="9525"/>
            <wp:wrapSquare wrapText="bothSides"/>
            <wp:docPr id="15" name="Picture 15" descr="111 interviewing Final report Mala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1 interviewing Final report Malaw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9875" cy="2009775"/>
                    </a:xfrm>
                    <a:prstGeom prst="rect">
                      <a:avLst/>
                    </a:prstGeom>
                    <a:noFill/>
                  </pic:spPr>
                </pic:pic>
              </a:graphicData>
            </a:graphic>
            <wp14:sizeRelH relativeFrom="page">
              <wp14:pctWidth>0</wp14:pctWidth>
            </wp14:sizeRelH>
            <wp14:sizeRelV relativeFrom="page">
              <wp14:pctHeight>0</wp14:pctHeight>
            </wp14:sizeRelV>
          </wp:anchor>
        </w:drawing>
      </w:r>
      <w:r w:rsidRPr="009F04D9">
        <w:rPr>
          <w:rFonts w:ascii="Arial" w:eastAsia="Calibri" w:hAnsi="Arial" w:cs="Arial"/>
          <w:sz w:val="22"/>
          <w:szCs w:val="22"/>
          <w:lang w:val="en-GB" w:eastAsia="en-US"/>
        </w:rPr>
        <w:t>One of UNESCO’s top priorities for implementing the 2003 Convention for the Safeguarding of the Intangible Cultural Heritage is its global capacity-building programme. It intends to strengthen countries’ capacities for the safeguarding of intangible cultural heritage (ICH) and for harnessing its potential for sustainable development while promoting broad public knowledge and support for the Convention’s concepts and objectives.</w:t>
      </w:r>
    </w:p>
    <w:p w14:paraId="416949D1" w14:textId="77777777" w:rsidR="009F04D9" w:rsidRPr="009F04D9" w:rsidRDefault="009F04D9" w:rsidP="007505D8">
      <w:pPr>
        <w:tabs>
          <w:tab w:val="left" w:pos="567"/>
        </w:tabs>
        <w:snapToGrid w:val="0"/>
        <w:spacing w:before="120" w:after="120"/>
        <w:jc w:val="both"/>
        <w:rPr>
          <w:rFonts w:ascii="Arial" w:hAnsi="Arial" w:cs="Arial"/>
          <w:sz w:val="22"/>
          <w:szCs w:val="22"/>
          <w:lang w:val="en-GB" w:eastAsia="en-US"/>
        </w:rPr>
      </w:pPr>
      <w:r w:rsidRPr="009F04D9">
        <w:rPr>
          <w:rFonts w:ascii="Arial" w:hAnsi="Arial"/>
          <w:noProof/>
          <w:sz w:val="22"/>
          <w:lang w:val="en-US" w:eastAsia="ko-KR"/>
        </w:rPr>
        <mc:AlternateContent>
          <mc:Choice Requires="wps">
            <w:drawing>
              <wp:anchor distT="0" distB="0" distL="114300" distR="114300" simplePos="0" relativeHeight="251664384" behindDoc="0" locked="0" layoutInCell="1" allowOverlap="1" wp14:anchorId="72F5E419" wp14:editId="0F280A8C">
                <wp:simplePos x="0" y="0"/>
                <wp:positionH relativeFrom="margin">
                  <wp:align>right</wp:align>
                </wp:positionH>
                <wp:positionV relativeFrom="paragraph">
                  <wp:posOffset>617220</wp:posOffset>
                </wp:positionV>
                <wp:extent cx="2809875" cy="180975"/>
                <wp:effectExtent l="0" t="0" r="9525" b="9525"/>
                <wp:wrapSquare wrapText="bothSides"/>
                <wp:docPr id="11" name="Text Box 11"/>
                <wp:cNvGraphicFramePr/>
                <a:graphic xmlns:a="http://schemas.openxmlformats.org/drawingml/2006/main">
                  <a:graphicData uri="http://schemas.microsoft.com/office/word/2010/wordprocessingShape">
                    <wps:wsp>
                      <wps:cNvSpPr txBox="1"/>
                      <wps:spPr>
                        <a:xfrm>
                          <a:off x="0" y="0"/>
                          <a:ext cx="2809875" cy="180975"/>
                        </a:xfrm>
                        <a:prstGeom prst="rect">
                          <a:avLst/>
                        </a:prstGeom>
                        <a:solidFill>
                          <a:prstClr val="white"/>
                        </a:solidFill>
                        <a:ln>
                          <a:noFill/>
                        </a:ln>
                      </wps:spPr>
                      <wps:txbx>
                        <w:txbxContent>
                          <w:p w14:paraId="13BD251D" w14:textId="77777777" w:rsidR="00865980" w:rsidRPr="009F04D9" w:rsidRDefault="00865980" w:rsidP="009F04D9">
                            <w:pPr>
                              <w:pStyle w:val="Caption"/>
                              <w:rPr>
                                <w:rFonts w:ascii="Arial" w:eastAsia="Calibri" w:hAnsi="Arial" w:cs="Arial"/>
                                <w:noProof/>
                                <w:color w:val="0077D4"/>
                              </w:rPr>
                            </w:pPr>
                            <w:r w:rsidRPr="009F04D9">
                              <w:rPr>
                                <w:color w:val="0077D4"/>
                              </w:rPr>
                              <w:t>© UNESCO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2F5E419" id="_x0000_t202" coordsize="21600,21600" o:spt="202" path="m,l,21600r21600,l21600,xe">
                <v:stroke joinstyle="miter"/>
                <v:path gradientshapeok="t" o:connecttype="rect"/>
              </v:shapetype>
              <v:shape id="Text Box 11" o:spid="_x0000_s1026" type="#_x0000_t202" style="position:absolute;left:0;text-align:left;margin-left:170.05pt;margin-top:48.6pt;width:221.25pt;height:14.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" stroked="f">
                <v:textbox inset="0,0,0,0">
                  <w:txbxContent>
                    <w:p w14:paraId="13BD251D" w14:textId="77777777" w:rsidR="00865980" w:rsidRPr="009F04D9" w:rsidRDefault="00865980" w:rsidP="009F04D9">
                      <w:pPr>
                        <w:pStyle w:val="Caption"/>
                        <w:rPr>
                          <w:rFonts w:ascii="Arial" w:eastAsia="Calibri" w:hAnsi="Arial" w:cs="Arial"/>
                          <w:noProof/>
                          <w:color w:val="0077D4"/>
                        </w:rPr>
                      </w:pPr>
                      <w:r w:rsidRPr="009F04D9">
                        <w:rPr>
                          <w:color w:val="0077D4"/>
                        </w:rPr>
                        <w:t>© UNESCO</w:t>
                      </w:r>
                    </w:p>
                  </w:txbxContent>
                </v:textbox>
                <w10:wrap type="square" anchorx="margin"/>
              </v:shape>
            </w:pict>
          </mc:Fallback>
        </mc:AlternateContent>
      </w:r>
      <w:r w:rsidRPr="009F04D9">
        <w:rPr>
          <w:rFonts w:ascii="Arial" w:hAnsi="Arial"/>
          <w:sz w:val="22"/>
          <w:lang w:val="en-GB" w:eastAsia="en-US"/>
        </w:rPr>
        <w:t>The Programme has so far focused on addressing the most urgent needs identified for the implementation of the Convention</w:t>
      </w:r>
      <w:r w:rsidRPr="009F04D9">
        <w:rPr>
          <w:rFonts w:ascii="Arial" w:hAnsi="Arial" w:cs="Arial"/>
          <w:sz w:val="22"/>
          <w:szCs w:val="22"/>
          <w:lang w:val="en-GB" w:eastAsia="en-US"/>
        </w:rPr>
        <w:t>, such as the:</w:t>
      </w:r>
    </w:p>
    <w:p w14:paraId="7F41BED9" w14:textId="77777777" w:rsidR="009F04D9" w:rsidRPr="009F04D9" w:rsidRDefault="009F04D9" w:rsidP="009F04D9">
      <w:pPr>
        <w:keepNext/>
        <w:numPr>
          <w:ilvl w:val="0"/>
          <w:numId w:val="36"/>
        </w:numPr>
        <w:tabs>
          <w:tab w:val="left" w:pos="851"/>
        </w:tabs>
        <w:snapToGrid w:val="0"/>
        <w:spacing w:before="120" w:after="120"/>
        <w:ind w:left="426"/>
        <w:jc w:val="both"/>
        <w:rPr>
          <w:rFonts w:ascii="Arial" w:hAnsi="Arial" w:cs="Arial"/>
          <w:sz w:val="22"/>
          <w:szCs w:val="22"/>
          <w:lang w:val="en-GB" w:eastAsia="en-US"/>
        </w:rPr>
      </w:pPr>
      <w:r w:rsidRPr="009F04D9">
        <w:rPr>
          <w:rFonts w:ascii="Arial" w:hAnsi="Arial" w:cs="Arial"/>
          <w:sz w:val="22"/>
          <w:szCs w:val="22"/>
          <w:lang w:val="en-GB" w:eastAsia="en-US"/>
        </w:rPr>
        <w:t>strengthening of competent bodies and institutions and consultative mechanisms to cater for the specific needs of ICH,</w:t>
      </w:r>
    </w:p>
    <w:p w14:paraId="18438891" w14:textId="77777777" w:rsidR="009F04D9" w:rsidRPr="009F04D9" w:rsidRDefault="009F04D9" w:rsidP="009F04D9">
      <w:pPr>
        <w:numPr>
          <w:ilvl w:val="0"/>
          <w:numId w:val="36"/>
        </w:numPr>
        <w:tabs>
          <w:tab w:val="left" w:pos="851"/>
        </w:tabs>
        <w:snapToGrid w:val="0"/>
        <w:spacing w:before="120" w:after="120"/>
        <w:ind w:left="426"/>
        <w:jc w:val="both"/>
        <w:rPr>
          <w:rFonts w:ascii="Arial" w:hAnsi="Arial" w:cs="Arial"/>
          <w:sz w:val="22"/>
          <w:szCs w:val="22"/>
          <w:lang w:val="en-GB" w:eastAsia="en-US"/>
        </w:rPr>
      </w:pPr>
      <w:r w:rsidRPr="009F04D9">
        <w:rPr>
          <w:rFonts w:ascii="Arial" w:hAnsi="Arial" w:cs="Arial"/>
          <w:sz w:val="22"/>
          <w:szCs w:val="22"/>
          <w:lang w:val="en-GB" w:eastAsia="en-US"/>
        </w:rPr>
        <w:t>revision of policies and strategies for safeguarding in relevant policy areas (culture, education, environment, etc.),</w:t>
      </w:r>
    </w:p>
    <w:p w14:paraId="71DACE5B" w14:textId="77777777" w:rsidR="009F04D9" w:rsidRPr="009F04D9" w:rsidRDefault="009F04D9" w:rsidP="009F04D9">
      <w:pPr>
        <w:numPr>
          <w:ilvl w:val="0"/>
          <w:numId w:val="36"/>
        </w:numPr>
        <w:tabs>
          <w:tab w:val="left" w:pos="851"/>
        </w:tabs>
        <w:snapToGrid w:val="0"/>
        <w:spacing w:before="120" w:after="120"/>
        <w:ind w:left="426"/>
        <w:jc w:val="both"/>
        <w:rPr>
          <w:rFonts w:ascii="Arial" w:hAnsi="Arial" w:cs="Arial"/>
          <w:sz w:val="22"/>
          <w:szCs w:val="22"/>
          <w:lang w:val="en-GB" w:eastAsia="en-US"/>
        </w:rPr>
      </w:pPr>
      <w:r w:rsidRPr="009F04D9">
        <w:rPr>
          <w:rFonts w:ascii="Arial" w:hAnsi="Arial" w:cs="Arial"/>
          <w:sz w:val="22"/>
          <w:szCs w:val="22"/>
          <w:lang w:val="en-GB" w:eastAsia="en-US"/>
        </w:rPr>
        <w:t>development of community-based inventorying and safeguarding methodology, and</w:t>
      </w:r>
    </w:p>
    <w:p w14:paraId="722B7549" w14:textId="77777777" w:rsidR="009F04D9" w:rsidRPr="009F04D9" w:rsidRDefault="009F04D9" w:rsidP="009F04D9">
      <w:pPr>
        <w:numPr>
          <w:ilvl w:val="0"/>
          <w:numId w:val="36"/>
        </w:numPr>
        <w:tabs>
          <w:tab w:val="left" w:pos="851"/>
        </w:tabs>
        <w:snapToGrid w:val="0"/>
        <w:spacing w:before="120" w:after="120"/>
        <w:ind w:left="426"/>
        <w:jc w:val="both"/>
        <w:rPr>
          <w:rFonts w:ascii="Arial" w:hAnsi="Arial" w:cs="Arial"/>
          <w:sz w:val="22"/>
          <w:szCs w:val="22"/>
          <w:lang w:val="en-GB" w:eastAsia="en-US"/>
        </w:rPr>
      </w:pPr>
      <w:r w:rsidRPr="009F04D9">
        <w:rPr>
          <w:rFonts w:ascii="Arial" w:hAnsi="Arial" w:cs="Arial"/>
          <w:sz w:val="22"/>
          <w:szCs w:val="22"/>
          <w:lang w:val="en-GB" w:eastAsia="en-US"/>
        </w:rPr>
        <w:t>effective participation of States in the international cooperation mechanisms of the Convention.</w:t>
      </w:r>
    </w:p>
    <w:p w14:paraId="083F7805" w14:textId="77777777"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sz w:val="22"/>
          <w:lang w:val="en-GB" w:eastAsia="en-US"/>
        </w:rPr>
        <w:t>UNESCO has already implemented Programme activities in more than 70 countries and trained more than 1800 individuals from government, civil society and communities. The initial evidence gathered in project reports and evaluations suggests that capacity building in these areas, together with the advisory services provided for policy analysis and revision, are effectively contributing to the establishment of the professional and institutional environment required to support communities and groups in their efforts to transmit and recreate their ICH.</w:t>
      </w:r>
    </w:p>
    <w:p w14:paraId="05EC0D18" w14:textId="2DC2BEC9"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cs="Arial"/>
          <w:sz w:val="22"/>
          <w:lang w:val="en-GB" w:eastAsia="en-US"/>
        </w:rPr>
        <w:t xml:space="preserve">However, more work is needed. </w:t>
      </w:r>
      <w:r w:rsidRPr="009F04D9">
        <w:rPr>
          <w:rFonts w:ascii="Arial" w:hAnsi="Arial" w:cs="Arial"/>
          <w:sz w:val="22"/>
          <w:szCs w:val="22"/>
          <w:lang w:val="en-GB" w:eastAsia="en-US"/>
        </w:rPr>
        <w:t xml:space="preserve">A strategy meeting with members of the global facilitators’ network in 2017 emphasised the continued need and challenge to build institutional structures, legal and political frameworks, human resources and </w:t>
      </w:r>
      <w:r w:rsidRPr="009F04D9">
        <w:rPr>
          <w:rFonts w:ascii="Arial" w:hAnsi="Arial" w:cs="Arial"/>
          <w:sz w:val="22"/>
          <w:lang w:val="en-GB" w:eastAsia="en-US"/>
        </w:rPr>
        <w:t>environments</w:t>
      </w:r>
      <w:r w:rsidRPr="009F04D9">
        <w:rPr>
          <w:rFonts w:ascii="Arial" w:hAnsi="Arial" w:cs="Arial"/>
          <w:sz w:val="22"/>
          <w:szCs w:val="22"/>
          <w:lang w:val="en-GB" w:eastAsia="en-US"/>
        </w:rPr>
        <w:t xml:space="preserve"> that allow communities to enact and transmit their ICH. There is </w:t>
      </w:r>
      <w:r w:rsidRPr="009F04D9">
        <w:rPr>
          <w:rFonts w:ascii="Arial" w:hAnsi="Arial" w:cs="Arial"/>
          <w:sz w:val="22"/>
          <w:lang w:val="en-GB" w:eastAsia="en-US"/>
        </w:rPr>
        <w:t>furthermore a</w:t>
      </w:r>
      <w:r w:rsidRPr="009F04D9">
        <w:rPr>
          <w:rFonts w:ascii="Arial" w:hAnsi="Arial" w:cs="Arial"/>
          <w:sz w:val="22"/>
          <w:szCs w:val="22"/>
          <w:lang w:val="en-GB" w:eastAsia="en-US"/>
        </w:rPr>
        <w:t xml:space="preserve"> continuing </w:t>
      </w:r>
      <w:r w:rsidRPr="009F04D9">
        <w:rPr>
          <w:rFonts w:ascii="Arial" w:hAnsi="Arial"/>
          <w:sz w:val="22"/>
          <w:lang w:val="en-GB" w:eastAsia="en-US"/>
        </w:rPr>
        <w:t>demand for capacity-building services expressed individually by Member States and collectively through the decisions of the General Assembly of the States Parties to the Convention and the Intergovernmental Committee for the Safeguarding of the Intangible Cultural Heritage.</w:t>
      </w:r>
      <w:r w:rsidRPr="009F04D9">
        <w:rPr>
          <w:rFonts w:ascii="Arial" w:hAnsi="Arial"/>
          <w:sz w:val="22"/>
          <w:vertAlign w:val="superscript"/>
          <w:lang w:val="en-GB" w:eastAsia="en-US"/>
        </w:rPr>
        <w:footnoteReference w:id="1"/>
      </w:r>
      <w:r w:rsidRPr="009F04D9">
        <w:rPr>
          <w:rFonts w:ascii="Arial" w:hAnsi="Arial"/>
          <w:sz w:val="22"/>
          <w:lang w:val="en-GB" w:eastAsia="en-US"/>
        </w:rPr>
        <w:t xml:space="preserve"> In addition, different stakeholder groups have requested capacity building, such as non-governmental organizations and culture centres.</w:t>
      </w:r>
    </w:p>
    <w:p w14:paraId="4BBF0AD0" w14:textId="77777777"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sz w:val="22"/>
          <w:lang w:val="en-GB" w:eastAsia="en-US"/>
        </w:rPr>
        <w:t>The present Programme aims to extend the reach of the capacity-building strategy to about 20 countries, taking into account countries that have not yet benefitted from the Programme, as well as those who have completed a project cycle, but whose needs have only partially been met. Many countries furthermore request capacity building in one of the more recent Programme areas, such as the elaboration of safeguarding plans, safeguarding and sustainable development, ethics in safeguarding and preparing International Assistance requests. The Programme also takes into account countries that wish to focus on developing national networks of trainers to conduct and sustain capacity building.</w:t>
      </w:r>
    </w:p>
    <w:p w14:paraId="7B0EB722" w14:textId="77777777"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sz w:val="22"/>
          <w:lang w:val="en-GB" w:eastAsia="en-US"/>
        </w:rPr>
        <w:t>In line with UNESCO's Medium-Term Strategy</w:t>
      </w:r>
      <w:r w:rsidRPr="009F04D9">
        <w:rPr>
          <w:rFonts w:ascii="Arial" w:hAnsi="Arial"/>
          <w:i/>
          <w:sz w:val="22"/>
          <w:lang w:val="en-GB" w:eastAsia="en-US"/>
        </w:rPr>
        <w:t xml:space="preserve"> </w:t>
      </w:r>
      <w:r w:rsidRPr="009F04D9">
        <w:rPr>
          <w:rFonts w:ascii="Arial" w:hAnsi="Arial"/>
          <w:sz w:val="22"/>
          <w:lang w:val="en-GB" w:eastAsia="en-US"/>
        </w:rPr>
        <w:t>for 2014-2021, the Secretariat will in particular consider country requests from Africa, which is, along with Gender Equality, a global priority of UNESCO’s agenda. It will also ensure careful consideration of requests from the Least Developed Countries (LDCs) and Small Island Developing States (SIDS), as they remain particularly vulnerable to crises.</w:t>
      </w:r>
    </w:p>
    <w:p w14:paraId="7E9490EE" w14:textId="77777777"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sz w:val="22"/>
          <w:lang w:val="en-GB" w:eastAsia="en-US"/>
        </w:rPr>
        <w:t>Each country project under this Programme foresees a 24- to 36-month engagement with the beneficiary country, during which it receives a series of technical assistance measures customized to its specific needs. Such a sustained investment in human and institutional capacities will seek both immediate results and long-term impact for the beneficiary States and their communities. The Programme’s objective is that beneficiary countries make development more sustainable, ensuring the viability of the ICH present in their territories and strengthening relations within and between communities, through the effective implementation of the Convention.</w:t>
      </w:r>
    </w:p>
    <w:p w14:paraId="2488E4C9" w14:textId="77777777"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sz w:val="22"/>
          <w:lang w:val="en-GB" w:eastAsia="en-US"/>
        </w:rPr>
        <w:t>The expected impact of this Programme is a vibrant collaboration between governmental and non-governmental institutions and communities to ensure that the latter can sustainably recreate, maintain and transmit their ICH to the next generation, while respecting the principles of the Convention. It will strengthen the recognition of ICH in sustainable development fields, which, depending on the specific country context, may range from social cohesion and food security to environmental concerns, education or health matters. The long-term goal is to create institutional and professional environments that allow everyone to enjoy and safeguard their</w:t>
      </w:r>
      <w:r w:rsidRPr="009F04D9">
        <w:rPr>
          <w:rFonts w:ascii="Arial" w:hAnsi="Arial" w:cs="Arial"/>
          <w:sz w:val="22"/>
          <w:szCs w:val="22"/>
          <w:lang w:val="en-GB" w:eastAsia="en-US"/>
        </w:rPr>
        <w:t xml:space="preserve"> ICH, thereby promoting mutual respect and inclusive societies.</w:t>
      </w:r>
    </w:p>
    <w:p w14:paraId="32BDC345" w14:textId="77777777" w:rsidR="009F04D9" w:rsidRPr="009F04D9" w:rsidRDefault="009F04D9" w:rsidP="007505D8">
      <w:pPr>
        <w:keepNext/>
        <w:shd w:val="clear" w:color="auto" w:fill="0077D4"/>
        <w:tabs>
          <w:tab w:val="left" w:pos="567"/>
        </w:tabs>
        <w:snapToGrid w:val="0"/>
        <w:spacing w:after="240"/>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Why UNESCO?</w:t>
      </w:r>
    </w:p>
    <w:p w14:paraId="34F8F626" w14:textId="77777777"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sz w:val="22"/>
          <w:lang w:val="en-GB" w:eastAsia="en-US"/>
        </w:rPr>
        <w:t>UNESCO is the depository of the 2003 Convention, which has achieved an almost universal ratification rate in less than fifteen years. The Convention is the only binding multilateral instrument that exists in this field. It testifies to the desire of broadening the international discourse around cultural heritage beyond monuments and sites to include communities’ living heritage. UNESCO cooperates with its Member States to support their safeguarding efforts so that future generations are not deprived of the wealth and diversity of the cultural practices and expressions of their elders. Capacity building is one of UNESCO’s core functions. UNESCO has created a dynamic network of about 100 expert facilitators, trained to deliver capacity-building services in the field of ICH upon demand. They use a comprehensive capacity-building curriculum developed by UNESCO, which they tailor to countries’ specific needs.</w:t>
      </w:r>
    </w:p>
    <w:p w14:paraId="4E07DF9A" w14:textId="77777777" w:rsidR="009F04D9" w:rsidRPr="009F04D9" w:rsidRDefault="009F04D9" w:rsidP="009F04D9">
      <w:pPr>
        <w:tabs>
          <w:tab w:val="left" w:pos="851"/>
        </w:tabs>
        <w:snapToGrid w:val="0"/>
        <w:spacing w:before="120" w:after="120"/>
        <w:jc w:val="both"/>
        <w:rPr>
          <w:rFonts w:ascii="Arial" w:hAnsi="Arial"/>
          <w:sz w:val="22"/>
          <w:lang w:val="en-GB" w:eastAsia="en-US"/>
        </w:rPr>
      </w:pPr>
      <w:r w:rsidRPr="009F04D9">
        <w:rPr>
          <w:rFonts w:ascii="Arial" w:hAnsi="Arial"/>
          <w:sz w:val="22"/>
          <w:lang w:val="en-GB" w:eastAsia="en-US"/>
        </w:rPr>
        <w:t>The proposed Programme is aligned with Expected Result 6 ‘Intangible cultural heritage identified and safeguarded by Member States and communities, in particular through the effective implementation of the 2003 Convention’, as included in the Draft 39C/5 for Major Programme IV on Culture, Main Line of Action 2. The Programme more specifically concerns performance indicators 2 and 3 of Expected Result 6, which specify the number of supported Member States utilizing strengthened human and institutional resources for the safeguarding of ICH and the number of supported Member States, which have integrated ICH into their plans, policies and programmes, in particular as a contribution towards the achievement of SDGs.</w:t>
      </w:r>
    </w:p>
    <w:p w14:paraId="1F1A01F2" w14:textId="231DEC21" w:rsidR="009F04D9" w:rsidRPr="009F04D9" w:rsidRDefault="009F04D9" w:rsidP="007505D8">
      <w:pPr>
        <w:shd w:val="clear" w:color="auto" w:fill="0077D4"/>
        <w:tabs>
          <w:tab w:val="left" w:pos="567"/>
        </w:tabs>
        <w:snapToGrid w:val="0"/>
        <w:spacing w:before="240" w:after="240"/>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Links with 2030 Agenda</w:t>
      </w:r>
    </w:p>
    <w:p w14:paraId="43C96313" w14:textId="77777777" w:rsidR="009F04D9" w:rsidRPr="009F04D9" w:rsidRDefault="009F04D9" w:rsidP="009F04D9">
      <w:pPr>
        <w:spacing w:before="120" w:after="120"/>
        <w:jc w:val="both"/>
        <w:rPr>
          <w:rFonts w:ascii="Arial" w:eastAsia="Calibri" w:hAnsi="Arial" w:cs="Arial"/>
          <w:sz w:val="22"/>
          <w:szCs w:val="20"/>
          <w:lang w:val="en-GB" w:eastAsia="en-US"/>
        </w:rPr>
      </w:pPr>
      <w:r w:rsidRPr="009F04D9">
        <w:rPr>
          <w:rFonts w:ascii="Arial" w:eastAsia="Calibri" w:hAnsi="Arial" w:cs="Arial"/>
          <w:noProof/>
          <w:sz w:val="22"/>
          <w:szCs w:val="20"/>
          <w:lang w:val="en-US" w:eastAsia="ko-KR"/>
        </w:rPr>
        <w:drawing>
          <wp:anchor distT="0" distB="0" distL="114300" distR="114300" simplePos="0" relativeHeight="251662336" behindDoc="0" locked="0" layoutInCell="1" allowOverlap="1" wp14:anchorId="5358BB5F" wp14:editId="4BAEB1BE">
            <wp:simplePos x="0" y="0"/>
            <wp:positionH relativeFrom="margin">
              <wp:posOffset>3810</wp:posOffset>
            </wp:positionH>
            <wp:positionV relativeFrom="paragraph">
              <wp:posOffset>70675</wp:posOffset>
            </wp:positionV>
            <wp:extent cx="1423670" cy="1417320"/>
            <wp:effectExtent l="0" t="0" r="5080" b="0"/>
            <wp:wrapTight wrapText="bothSides">
              <wp:wrapPolygon edited="0">
                <wp:start x="0" y="0"/>
                <wp:lineTo x="0" y="21194"/>
                <wp:lineTo x="21388" y="21194"/>
                <wp:lineTo x="2138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dg logo"/>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423670" cy="1417320"/>
                    </a:xfrm>
                    <a:prstGeom prst="rect">
                      <a:avLst/>
                    </a:prstGeom>
                    <a:noFill/>
                  </pic:spPr>
                </pic:pic>
              </a:graphicData>
            </a:graphic>
            <wp14:sizeRelH relativeFrom="margin">
              <wp14:pctWidth>0</wp14:pctWidth>
            </wp14:sizeRelH>
            <wp14:sizeRelV relativeFrom="margin">
              <wp14:pctHeight>0</wp14:pctHeight>
            </wp14:sizeRelV>
          </wp:anchor>
        </w:drawing>
      </w:r>
      <w:r w:rsidRPr="009F04D9">
        <w:rPr>
          <w:rFonts w:ascii="Arial" w:eastAsia="Calibri" w:hAnsi="Arial" w:cs="Arial"/>
          <w:sz w:val="22"/>
          <w:szCs w:val="20"/>
          <w:lang w:val="en-GB" w:eastAsia="en-US"/>
        </w:rPr>
        <w:t>The 2003 Convention acknowledges the importance of ICH as a mainspring of cultural diversity and a driver for sustainable development. Safeguarding ICH can contribute effectively to sustainable development within each of the dimensions of the 2030 Agenda for Sustainable Development – economic, social and environmental – as well as the need for peace and security, which represents an important fourth dimension. For instance, the capacity-building programme directly contributes to SDG 17 to strengthen multi-stakeholder partnerships and enhance policy coherence for sustainable development. The Operational Directives for the implementation of the Convention furthermore offer guidance to State Parties on how to integrate the safeguarding of ICH into their development plans, policies and programmes to achieve the 2030 Agenda.</w:t>
      </w:r>
      <w:r w:rsidRPr="009F04D9">
        <w:rPr>
          <w:rFonts w:ascii="Calibri" w:eastAsia="Calibri" w:hAnsi="Calibri"/>
          <w:sz w:val="20"/>
          <w:szCs w:val="20"/>
          <w:vertAlign w:val="superscript"/>
          <w:lang w:val="en-US" w:eastAsia="en-US"/>
        </w:rPr>
        <w:footnoteReference w:id="2"/>
      </w:r>
      <w:r w:rsidRPr="009F04D9">
        <w:rPr>
          <w:rFonts w:ascii="Arial" w:eastAsia="Calibri" w:hAnsi="Arial" w:cs="Arial"/>
          <w:sz w:val="22"/>
          <w:szCs w:val="20"/>
          <w:lang w:val="en-GB" w:eastAsia="en-US"/>
        </w:rPr>
        <w:t xml:space="preserve"> Areas include food security (SDG 2), health care (SDG 3), quality education (SDG 4), gender equality (SDG 5), productive employment and decent work (SDG 8), sustainable cities (SDG 11) and climate change (SDG 13).</w:t>
      </w:r>
    </w:p>
    <w:p w14:paraId="1FEAB8A8" w14:textId="77777777" w:rsidR="009F04D9" w:rsidRPr="009F04D9" w:rsidRDefault="009F04D9" w:rsidP="009F04D9">
      <w:pPr>
        <w:rPr>
          <w:rFonts w:ascii="Arial" w:eastAsia="Calibri" w:hAnsi="Arial" w:cs="Arial"/>
          <w:sz w:val="22"/>
          <w:szCs w:val="20"/>
          <w:lang w:val="en-GB" w:eastAsia="en-US"/>
        </w:rPr>
      </w:pPr>
      <w:r w:rsidRPr="009F04D9">
        <w:rPr>
          <w:rFonts w:ascii="Arial" w:eastAsia="Calibri" w:hAnsi="Arial" w:cs="Arial"/>
          <w:sz w:val="22"/>
          <w:lang w:val="en-GB" w:eastAsia="en-US"/>
        </w:rPr>
        <w:br w:type="page"/>
      </w:r>
    </w:p>
    <w:p w14:paraId="0ABAB5F7" w14:textId="77777777" w:rsidR="009F04D9" w:rsidRPr="009F04D9" w:rsidRDefault="009F04D9" w:rsidP="0032376B">
      <w:pPr>
        <w:shd w:val="clear" w:color="auto" w:fill="0077D4"/>
        <w:tabs>
          <w:tab w:val="left" w:pos="567"/>
        </w:tabs>
        <w:snapToGrid w:val="0"/>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Summary of outcomes, outputs and activities</w:t>
      </w:r>
    </w:p>
    <w:p w14:paraId="37E3694C" w14:textId="77777777" w:rsidR="009F04D9" w:rsidRPr="009F04D9" w:rsidRDefault="009F04D9" w:rsidP="009F04D9">
      <w:pPr>
        <w:shd w:val="clear" w:color="auto" w:fill="FFFFFF"/>
        <w:tabs>
          <w:tab w:val="left" w:pos="567"/>
        </w:tabs>
        <w:snapToGrid w:val="0"/>
        <w:rPr>
          <w:rFonts w:ascii="Arial" w:eastAsia="Calibri" w:hAnsi="Arial" w:cs="Arial"/>
          <w:color w:val="FFFFFF"/>
          <w:lang w:val="en-GB" w:eastAsia="en-US"/>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
        <w:gridCol w:w="249"/>
        <w:gridCol w:w="398"/>
        <w:gridCol w:w="8835"/>
      </w:tblGrid>
      <w:tr w:rsidR="009F04D9" w:rsidRPr="00554C38" w14:paraId="26FBBF3F" w14:textId="77777777" w:rsidTr="007505D8">
        <w:trPr>
          <w:trHeight w:val="185"/>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2A4B54AA" w14:textId="2CCD6077" w:rsidR="009F04D9" w:rsidRPr="009F04D9" w:rsidRDefault="009F04D9" w:rsidP="009F04D9">
            <w:pPr>
              <w:autoSpaceDE w:val="0"/>
              <w:autoSpaceDN w:val="0"/>
              <w:adjustRightInd w:val="0"/>
              <w:spacing w:line="256" w:lineRule="auto"/>
              <w:jc w:val="both"/>
              <w:rPr>
                <w:rFonts w:ascii="Arial" w:hAnsi="Arial" w:cs="Arial"/>
                <w:b/>
                <w:bCs/>
                <w:sz w:val="22"/>
                <w:szCs w:val="22"/>
                <w:lang w:val="en-GB" w:eastAsia="en-US"/>
              </w:rPr>
            </w:pPr>
            <w:r w:rsidRPr="009F04D9">
              <w:rPr>
                <w:rFonts w:ascii="Arial" w:hAnsi="Arial" w:cs="Arial"/>
                <w:b/>
                <w:bCs/>
                <w:sz w:val="22"/>
                <w:szCs w:val="22"/>
                <w:lang w:val="en-GB" w:eastAsia="en-US"/>
              </w:rPr>
              <w:t>Outcome N°1</w:t>
            </w:r>
            <w:r w:rsidR="003F6554">
              <w:rPr>
                <w:rFonts w:ascii="Arial" w:hAnsi="Arial" w:cs="Arial"/>
                <w:b/>
                <w:bCs/>
                <w:sz w:val="22"/>
                <w:szCs w:val="22"/>
                <w:lang w:val="en-GB" w:eastAsia="en-US"/>
              </w:rPr>
              <w:t>:</w:t>
            </w:r>
            <w:r w:rsidRPr="009F04D9">
              <w:rPr>
                <w:rFonts w:ascii="Arial" w:hAnsi="Arial" w:cs="Arial"/>
                <w:b/>
                <w:bCs/>
                <w:sz w:val="22"/>
                <w:szCs w:val="22"/>
                <w:lang w:val="en-GB" w:eastAsia="en-US"/>
              </w:rPr>
              <w:t xml:space="preserve"> </w:t>
            </w:r>
            <w:r w:rsidRPr="009F04D9">
              <w:rPr>
                <w:rFonts w:ascii="Arial" w:eastAsia="Calibri" w:hAnsi="Arial" w:cs="Arial"/>
                <w:sz w:val="22"/>
                <w:szCs w:val="22"/>
                <w:lang w:val="en-GB" w:eastAsia="en-US"/>
              </w:rPr>
              <w:t>States integrate the safeguarding of ICH into their plans, policies and programmes, both within and outside the Culture Sector, respecting diversity of ICH, requirements of sustainable development and applying an inclusive approach</w:t>
            </w:r>
            <w:r w:rsidR="000F0B43">
              <w:rPr>
                <w:rFonts w:ascii="Arial" w:eastAsia="Calibri" w:hAnsi="Arial" w:cs="Arial"/>
                <w:sz w:val="22"/>
                <w:szCs w:val="22"/>
                <w:lang w:val="en-GB" w:eastAsia="en-US"/>
              </w:rPr>
              <w:t>.</w:t>
            </w:r>
            <w:r w:rsidRPr="009F04D9">
              <w:rPr>
                <w:rFonts w:ascii="Arial" w:eastAsia="Calibri" w:hAnsi="Arial" w:cs="Arial"/>
                <w:sz w:val="22"/>
                <w:szCs w:val="22"/>
                <w:vertAlign w:val="superscript"/>
                <w:lang w:val="en-GB" w:eastAsia="en-US"/>
              </w:rPr>
              <w:footnoteReference w:id="3"/>
            </w:r>
          </w:p>
        </w:tc>
      </w:tr>
      <w:tr w:rsidR="009F04D9" w:rsidRPr="00554C38" w14:paraId="387F5A8A" w14:textId="77777777" w:rsidTr="006778D9">
        <w:trPr>
          <w:gridBefore w:val="2"/>
          <w:wBefore w:w="421" w:type="dxa"/>
          <w:trHeight w:val="185"/>
          <w:jc w:val="center"/>
        </w:trPr>
        <w:tc>
          <w:tcPr>
            <w:tcW w:w="8646" w:type="dxa"/>
            <w:gridSpan w:val="2"/>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hideMark/>
          </w:tcPr>
          <w:p w14:paraId="22E4A449" w14:textId="3AFFAFAE" w:rsidR="009F04D9" w:rsidRPr="00175FDA" w:rsidRDefault="009F04D9" w:rsidP="00627585">
            <w:pPr>
              <w:autoSpaceDE w:val="0"/>
              <w:autoSpaceDN w:val="0"/>
              <w:adjustRightInd w:val="0"/>
              <w:spacing w:line="256" w:lineRule="auto"/>
              <w:jc w:val="both"/>
              <w:rPr>
                <w:rFonts w:ascii="Arial" w:hAnsi="Arial" w:cs="Arial"/>
                <w:b/>
                <w:bCs/>
                <w:color w:val="3392DD"/>
                <w:sz w:val="22"/>
                <w:szCs w:val="22"/>
                <w:lang w:val="en-GB" w:eastAsia="en-US"/>
              </w:rPr>
            </w:pPr>
            <w:r w:rsidRPr="00175FDA">
              <w:rPr>
                <w:rFonts w:ascii="Arial" w:hAnsi="Arial" w:cs="Arial"/>
                <w:b/>
                <w:bCs/>
                <w:sz w:val="22"/>
                <w:szCs w:val="22"/>
                <w:lang w:val="en-GB" w:eastAsia="en-US"/>
              </w:rPr>
              <w:t>Output N°1</w:t>
            </w:r>
            <w:r w:rsidR="00E67EF9" w:rsidRPr="00175FDA">
              <w:rPr>
                <w:rFonts w:ascii="Arial" w:hAnsi="Arial" w:cs="Arial"/>
                <w:b/>
                <w:bCs/>
                <w:sz w:val="22"/>
                <w:szCs w:val="22"/>
                <w:lang w:val="en-GB" w:eastAsia="en-US"/>
              </w:rPr>
              <w:t>.1</w:t>
            </w:r>
            <w:r w:rsidRPr="00175FDA">
              <w:rPr>
                <w:rFonts w:ascii="Arial" w:hAnsi="Arial" w:cs="Arial"/>
                <w:b/>
                <w:bCs/>
                <w:sz w:val="22"/>
                <w:szCs w:val="22"/>
                <w:lang w:val="en-GB" w:eastAsia="en-US"/>
              </w:rPr>
              <w:t xml:space="preserve">: </w:t>
            </w:r>
            <w:r w:rsidRPr="00175FDA">
              <w:rPr>
                <w:rFonts w:ascii="Arial" w:hAnsi="Arial" w:cs="Arial"/>
                <w:bCs/>
                <w:sz w:val="22"/>
                <w:szCs w:val="22"/>
                <w:lang w:val="en-GB" w:eastAsia="en-US"/>
              </w:rPr>
              <w:t>Technical assistance provided for policy and programme development, including the integration of ICH safeguarding in national development programmes and strategies</w:t>
            </w:r>
            <w:r w:rsidR="00E422D0">
              <w:rPr>
                <w:rFonts w:ascii="Arial" w:hAnsi="Arial" w:cs="Arial"/>
                <w:bCs/>
                <w:sz w:val="22"/>
                <w:szCs w:val="22"/>
                <w:lang w:val="en-GB" w:eastAsia="en-US"/>
              </w:rPr>
              <w:t>.</w:t>
            </w:r>
          </w:p>
        </w:tc>
      </w:tr>
      <w:tr w:rsidR="00733E4C" w:rsidRPr="00554C38" w14:paraId="6C5A86DC" w14:textId="77777777" w:rsidTr="00733E4C">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CD39727" w14:textId="05D1789F" w:rsidR="00733E4C" w:rsidRPr="00175FDA" w:rsidRDefault="00733E4C" w:rsidP="00083EE8">
            <w:pPr>
              <w:tabs>
                <w:tab w:val="left" w:pos="1674"/>
              </w:tabs>
              <w:autoSpaceDE w:val="0"/>
              <w:autoSpaceDN w:val="0"/>
              <w:adjustRightInd w:val="0"/>
              <w:spacing w:line="256" w:lineRule="auto"/>
              <w:jc w:val="both"/>
              <w:rPr>
                <w:rFonts w:ascii="Arial" w:hAnsi="Arial" w:cs="Arial"/>
                <w:b/>
                <w:bCs/>
                <w:sz w:val="22"/>
                <w:szCs w:val="22"/>
                <w:lang w:val="en-GB" w:eastAsia="en-US"/>
              </w:rPr>
            </w:pPr>
            <w:r w:rsidRPr="00175FDA">
              <w:rPr>
                <w:rFonts w:ascii="Arial" w:hAnsi="Arial" w:cs="Arial"/>
                <w:b/>
                <w:bCs/>
                <w:sz w:val="22"/>
                <w:szCs w:val="22"/>
                <w:lang w:val="en-GB" w:eastAsia="en-US"/>
              </w:rPr>
              <w:t>Activity 1</w:t>
            </w:r>
            <w:r w:rsidR="00083EE8" w:rsidRPr="00175FDA">
              <w:rPr>
                <w:rFonts w:ascii="Arial" w:hAnsi="Arial" w:cs="Arial"/>
                <w:b/>
                <w:bCs/>
                <w:sz w:val="22"/>
                <w:szCs w:val="22"/>
                <w:lang w:val="en-GB" w:eastAsia="en-US"/>
              </w:rPr>
              <w:t xml:space="preserve">: </w:t>
            </w:r>
            <w:r w:rsidR="00083EE8" w:rsidRPr="007505D8">
              <w:rPr>
                <w:rFonts w:ascii="Arial" w:eastAsia="Calibri" w:hAnsi="Arial" w:cs="Arial"/>
                <w:sz w:val="22"/>
                <w:szCs w:val="22"/>
                <w:lang w:val="en-GB" w:eastAsia="en-US"/>
              </w:rPr>
              <w:t xml:space="preserve">Conduct </w:t>
            </w:r>
            <w:r w:rsidR="00083EE8" w:rsidRPr="00175FDA">
              <w:rPr>
                <w:rFonts w:ascii="Arial" w:eastAsia="Calibri" w:hAnsi="Arial" w:cs="Arial"/>
                <w:sz w:val="22"/>
                <w:szCs w:val="22"/>
                <w:lang w:val="en-GB" w:eastAsia="en-US"/>
              </w:rPr>
              <w:t>an</w:t>
            </w:r>
            <w:r w:rsidR="00083EE8" w:rsidRPr="007505D8">
              <w:rPr>
                <w:rFonts w:ascii="Arial" w:eastAsia="Calibri" w:hAnsi="Arial" w:cs="Arial"/>
                <w:sz w:val="22"/>
                <w:szCs w:val="22"/>
                <w:lang w:val="en-GB" w:eastAsia="en-US"/>
              </w:rPr>
              <w:t xml:space="preserve"> analysis </w:t>
            </w:r>
            <w:r w:rsidR="00083EE8" w:rsidRPr="00175FDA">
              <w:rPr>
                <w:rFonts w:ascii="Arial" w:eastAsia="Calibri" w:hAnsi="Arial" w:cs="Arial"/>
                <w:sz w:val="22"/>
                <w:szCs w:val="22"/>
                <w:lang w:val="en-GB" w:eastAsia="en-US"/>
              </w:rPr>
              <w:t xml:space="preserve">of existing policies and programmes relevant to ICH safeguarding, within and outside the Culture Sector </w:t>
            </w:r>
            <w:r w:rsidR="00B81357" w:rsidRPr="00175FDA">
              <w:rPr>
                <w:rFonts w:ascii="Arial" w:eastAsia="Calibri" w:hAnsi="Arial" w:cs="Arial"/>
                <w:sz w:val="22"/>
                <w:szCs w:val="22"/>
                <w:lang w:val="en-GB" w:eastAsia="en-US"/>
              </w:rPr>
              <w:t>as required</w:t>
            </w:r>
            <w:r w:rsidR="00E422D0">
              <w:rPr>
                <w:rFonts w:ascii="Arial" w:eastAsia="Calibri" w:hAnsi="Arial" w:cs="Arial"/>
                <w:sz w:val="22"/>
                <w:szCs w:val="22"/>
                <w:lang w:val="en-GB" w:eastAsia="en-US"/>
              </w:rPr>
              <w:t>.</w:t>
            </w:r>
          </w:p>
        </w:tc>
      </w:tr>
      <w:tr w:rsidR="009F04D9" w:rsidRPr="00554C38" w14:paraId="751C76AE" w14:textId="77777777" w:rsidTr="007505D8">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C127B1" w14:textId="1BACC335" w:rsidR="009F04D9" w:rsidRPr="00175FDA" w:rsidRDefault="009F04D9" w:rsidP="00733E4C">
            <w:pPr>
              <w:tabs>
                <w:tab w:val="left" w:pos="1674"/>
              </w:tabs>
              <w:autoSpaceDE w:val="0"/>
              <w:autoSpaceDN w:val="0"/>
              <w:adjustRightInd w:val="0"/>
              <w:spacing w:line="256" w:lineRule="auto"/>
              <w:jc w:val="both"/>
              <w:rPr>
                <w:rFonts w:ascii="Arial" w:hAnsi="Arial" w:cs="Arial"/>
                <w:b/>
                <w:bCs/>
                <w:sz w:val="22"/>
                <w:szCs w:val="22"/>
                <w:lang w:val="en-GB" w:eastAsia="en-US"/>
              </w:rPr>
            </w:pPr>
            <w:r w:rsidRPr="00175FDA">
              <w:rPr>
                <w:rFonts w:ascii="Arial" w:hAnsi="Arial" w:cs="Arial"/>
                <w:b/>
                <w:bCs/>
                <w:sz w:val="22"/>
                <w:szCs w:val="22"/>
                <w:lang w:val="en-GB" w:eastAsia="en-US"/>
              </w:rPr>
              <w:t>Activity</w:t>
            </w:r>
            <w:r w:rsidR="00733E4C" w:rsidRPr="00175FDA">
              <w:rPr>
                <w:rFonts w:ascii="Arial" w:hAnsi="Arial" w:cs="Arial"/>
                <w:b/>
                <w:bCs/>
                <w:sz w:val="22"/>
                <w:szCs w:val="22"/>
                <w:lang w:val="en-GB" w:eastAsia="en-US"/>
              </w:rPr>
              <w:t xml:space="preserve"> 2</w:t>
            </w:r>
            <w:r w:rsidRPr="00175FDA">
              <w:rPr>
                <w:rFonts w:ascii="Arial" w:hAnsi="Arial" w:cs="Arial"/>
                <w:b/>
                <w:bCs/>
                <w:sz w:val="22"/>
                <w:szCs w:val="22"/>
                <w:lang w:val="en-GB" w:eastAsia="en-US"/>
              </w:rPr>
              <w:t xml:space="preserve">: </w:t>
            </w:r>
            <w:r w:rsidR="00733E4C" w:rsidRPr="00175FDA">
              <w:rPr>
                <w:rFonts w:ascii="Arial" w:eastAsia="Calibri" w:hAnsi="Arial" w:cs="Arial"/>
                <w:sz w:val="22"/>
                <w:szCs w:val="22"/>
                <w:lang w:val="en-GB" w:eastAsia="en-US"/>
              </w:rPr>
              <w:t>Provide</w:t>
            </w:r>
            <w:r w:rsidRPr="00175FDA">
              <w:rPr>
                <w:rFonts w:ascii="Arial" w:eastAsia="Calibri" w:hAnsi="Arial" w:cs="Arial"/>
                <w:sz w:val="22"/>
                <w:szCs w:val="22"/>
                <w:lang w:val="en-GB" w:eastAsia="en-US"/>
              </w:rPr>
              <w:t xml:space="preserve"> advisory services for government officials, legal experts, development experts and other relevant stakeholders to integrate the safeguarding of ICH into relevant policies and programmes, applying an inclusive approach</w:t>
            </w:r>
            <w:r w:rsidR="00E422D0">
              <w:rPr>
                <w:rFonts w:ascii="Arial" w:eastAsia="Calibri" w:hAnsi="Arial" w:cs="Arial"/>
                <w:sz w:val="22"/>
                <w:szCs w:val="22"/>
                <w:lang w:val="en-GB" w:eastAsia="en-US"/>
              </w:rPr>
              <w:t>.</w:t>
            </w:r>
          </w:p>
        </w:tc>
      </w:tr>
      <w:tr w:rsidR="00E67EF9" w:rsidRPr="00554C38" w14:paraId="67BA17FE" w14:textId="77777777" w:rsidTr="007505D8">
        <w:trPr>
          <w:gridBefore w:val="1"/>
          <w:wBefore w:w="155" w:type="dxa"/>
          <w:trHeight w:val="185"/>
          <w:jc w:val="center"/>
        </w:trPr>
        <w:tc>
          <w:tcPr>
            <w:tcW w:w="9473" w:type="dxa"/>
            <w:gridSpan w:val="3"/>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hideMark/>
          </w:tcPr>
          <w:p w14:paraId="05BABB8F" w14:textId="6C6FC3E1" w:rsidR="00E67EF9" w:rsidRPr="00175FDA" w:rsidRDefault="00E67EF9" w:rsidP="0015780B">
            <w:pPr>
              <w:autoSpaceDE w:val="0"/>
              <w:autoSpaceDN w:val="0"/>
              <w:adjustRightInd w:val="0"/>
              <w:spacing w:line="256" w:lineRule="auto"/>
              <w:jc w:val="both"/>
              <w:rPr>
                <w:rFonts w:ascii="Arial" w:hAnsi="Arial" w:cs="Arial"/>
                <w:b/>
                <w:bCs/>
                <w:color w:val="3392DD"/>
                <w:sz w:val="22"/>
                <w:szCs w:val="22"/>
                <w:lang w:val="en-GB" w:eastAsia="en-US"/>
              </w:rPr>
            </w:pPr>
            <w:r w:rsidRPr="00175FDA">
              <w:rPr>
                <w:rFonts w:ascii="Arial" w:hAnsi="Arial" w:cs="Arial"/>
                <w:b/>
                <w:bCs/>
                <w:sz w:val="22"/>
                <w:szCs w:val="22"/>
                <w:lang w:val="en-GB" w:eastAsia="en-US"/>
              </w:rPr>
              <w:t xml:space="preserve">Output N°1.2: </w:t>
            </w:r>
            <w:r w:rsidRPr="007505D8">
              <w:rPr>
                <w:rFonts w:ascii="Arial" w:hAnsi="Arial" w:cs="Arial"/>
                <w:bCs/>
                <w:sz w:val="22"/>
                <w:szCs w:val="22"/>
                <w:lang w:val="en-GB" w:eastAsia="en-US"/>
              </w:rPr>
              <w:t xml:space="preserve">Capacity reinforced </w:t>
            </w:r>
            <w:r w:rsidR="0015780B" w:rsidRPr="00175FDA">
              <w:rPr>
                <w:rFonts w:ascii="Arial" w:hAnsi="Arial" w:cs="Arial"/>
                <w:bCs/>
                <w:sz w:val="22"/>
                <w:szCs w:val="22"/>
                <w:lang w:val="en-GB" w:eastAsia="en-US"/>
              </w:rPr>
              <w:t xml:space="preserve">for policy and legal development in the field of </w:t>
            </w:r>
            <w:r w:rsidRPr="00175FDA">
              <w:rPr>
                <w:rFonts w:ascii="Arial" w:hAnsi="Arial" w:cs="Arial"/>
                <w:bCs/>
                <w:sz w:val="22"/>
                <w:szCs w:val="22"/>
                <w:lang w:val="en-GB" w:eastAsia="en-US"/>
              </w:rPr>
              <w:t>ICH safeguarding</w:t>
            </w:r>
            <w:r w:rsidR="00E422D0">
              <w:rPr>
                <w:rFonts w:ascii="Arial" w:hAnsi="Arial" w:cs="Arial"/>
                <w:bCs/>
                <w:sz w:val="22"/>
                <w:szCs w:val="22"/>
                <w:lang w:val="en-GB" w:eastAsia="en-US"/>
              </w:rPr>
              <w:t>.</w:t>
            </w:r>
          </w:p>
        </w:tc>
      </w:tr>
      <w:tr w:rsidR="00E67EF9" w:rsidRPr="00554C38" w14:paraId="3FECD0D7" w14:textId="77777777" w:rsidTr="007505D8">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09F7232" w14:textId="61E54C45" w:rsidR="00E67EF9" w:rsidRPr="007505D8" w:rsidRDefault="0015780B" w:rsidP="00333B38">
            <w:pPr>
              <w:tabs>
                <w:tab w:val="left" w:pos="1674"/>
              </w:tabs>
              <w:autoSpaceDE w:val="0"/>
              <w:autoSpaceDN w:val="0"/>
              <w:adjustRightInd w:val="0"/>
              <w:spacing w:line="256" w:lineRule="auto"/>
              <w:jc w:val="both"/>
              <w:rPr>
                <w:rFonts w:ascii="Arial" w:hAnsi="Arial" w:cs="Arial"/>
                <w:b/>
                <w:bCs/>
                <w:sz w:val="22"/>
                <w:szCs w:val="22"/>
                <w:lang w:val="en-US" w:eastAsia="en-US"/>
              </w:rPr>
            </w:pPr>
            <w:r w:rsidRPr="00175FDA">
              <w:rPr>
                <w:rFonts w:ascii="Arial" w:hAnsi="Arial" w:cs="Arial"/>
                <w:b/>
                <w:bCs/>
                <w:sz w:val="22"/>
                <w:szCs w:val="22"/>
                <w:lang w:val="en-GB" w:eastAsia="en-US"/>
              </w:rPr>
              <w:t xml:space="preserve">Activity </w:t>
            </w:r>
            <w:r w:rsidR="00733E4C" w:rsidRPr="00175FDA">
              <w:rPr>
                <w:rFonts w:ascii="Arial" w:hAnsi="Arial" w:cs="Arial"/>
                <w:b/>
                <w:bCs/>
                <w:sz w:val="22"/>
                <w:szCs w:val="22"/>
                <w:lang w:val="en-GB" w:eastAsia="en-US"/>
              </w:rPr>
              <w:t>1</w:t>
            </w:r>
            <w:r w:rsidRPr="00175FDA">
              <w:rPr>
                <w:rFonts w:ascii="Arial" w:hAnsi="Arial" w:cs="Arial"/>
                <w:b/>
                <w:bCs/>
                <w:sz w:val="22"/>
                <w:szCs w:val="22"/>
                <w:lang w:val="en-GB" w:eastAsia="en-US"/>
              </w:rPr>
              <w:t xml:space="preserve">: </w:t>
            </w:r>
            <w:r w:rsidR="00B81357" w:rsidRPr="007505D8">
              <w:rPr>
                <w:rFonts w:ascii="Arial" w:eastAsia="Calibri" w:hAnsi="Arial" w:cs="Arial"/>
                <w:sz w:val="22"/>
                <w:szCs w:val="22"/>
                <w:lang w:val="en-GB" w:eastAsia="en-US"/>
              </w:rPr>
              <w:t>Carry out t</w:t>
            </w:r>
            <w:r w:rsidR="00196386" w:rsidRPr="00175FDA">
              <w:rPr>
                <w:rFonts w:ascii="Arial" w:eastAsia="Calibri" w:hAnsi="Arial" w:cs="Arial"/>
                <w:sz w:val="22"/>
                <w:szCs w:val="22"/>
                <w:lang w:val="en-GB" w:eastAsia="en-US"/>
              </w:rPr>
              <w:t>ailor</w:t>
            </w:r>
            <w:r w:rsidR="00B81357" w:rsidRPr="00175FDA">
              <w:rPr>
                <w:rFonts w:ascii="Arial" w:eastAsia="Calibri" w:hAnsi="Arial" w:cs="Arial"/>
                <w:sz w:val="22"/>
                <w:szCs w:val="22"/>
                <w:lang w:val="en-GB" w:eastAsia="en-US"/>
              </w:rPr>
              <w:t>ed</w:t>
            </w:r>
            <w:r w:rsidR="00196386" w:rsidRPr="007505D8">
              <w:rPr>
                <w:rFonts w:ascii="Arial" w:eastAsia="Calibri" w:hAnsi="Arial" w:cs="Arial"/>
                <w:sz w:val="22"/>
                <w:szCs w:val="22"/>
                <w:lang w:val="en-GB" w:eastAsia="en-US"/>
              </w:rPr>
              <w:t xml:space="preserve"> </w:t>
            </w:r>
            <w:r w:rsidRPr="007505D8">
              <w:rPr>
                <w:rFonts w:ascii="Arial" w:eastAsia="Calibri" w:hAnsi="Arial" w:cs="Arial"/>
                <w:sz w:val="22"/>
                <w:szCs w:val="22"/>
                <w:lang w:val="en-GB" w:eastAsia="en-US"/>
              </w:rPr>
              <w:t>t</w:t>
            </w:r>
            <w:r w:rsidRPr="00175FDA">
              <w:rPr>
                <w:rFonts w:ascii="Arial" w:eastAsia="Calibri" w:hAnsi="Arial" w:cs="Arial"/>
                <w:sz w:val="22"/>
                <w:szCs w:val="22"/>
                <w:lang w:val="en-GB" w:eastAsia="en-US"/>
              </w:rPr>
              <w:t xml:space="preserve">raining </w:t>
            </w:r>
            <w:r w:rsidR="00196386" w:rsidRPr="00175FDA">
              <w:rPr>
                <w:rFonts w:ascii="Arial" w:eastAsia="Calibri" w:hAnsi="Arial" w:cs="Arial"/>
                <w:sz w:val="22"/>
                <w:szCs w:val="22"/>
                <w:lang w:val="en-GB" w:eastAsia="en-US"/>
              </w:rPr>
              <w:t xml:space="preserve">activities </w:t>
            </w:r>
            <w:r w:rsidRPr="00175FDA">
              <w:rPr>
                <w:rFonts w:ascii="Arial" w:eastAsia="Calibri" w:hAnsi="Arial" w:cs="Arial"/>
                <w:sz w:val="22"/>
                <w:szCs w:val="22"/>
                <w:lang w:val="en-GB" w:eastAsia="en-US"/>
              </w:rPr>
              <w:t>for government officials, legal experts, development experts and other relevant stakeholders to integrate the safeguarding of ICH into relevant policies and programmes, applying an inclusive approach</w:t>
            </w:r>
            <w:r w:rsidR="00E422D0">
              <w:rPr>
                <w:rFonts w:ascii="Arial" w:eastAsia="Calibri" w:hAnsi="Arial" w:cs="Arial"/>
                <w:sz w:val="22"/>
                <w:szCs w:val="22"/>
                <w:lang w:val="en-GB" w:eastAsia="en-US"/>
              </w:rPr>
              <w:t>.</w:t>
            </w:r>
          </w:p>
        </w:tc>
      </w:tr>
      <w:tr w:rsidR="009F04D9" w:rsidRPr="00554C38" w14:paraId="46BC7410" w14:textId="77777777" w:rsidTr="007505D8">
        <w:trPr>
          <w:trHeight w:val="185"/>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6001F90E" w14:textId="59BD1AAD" w:rsidR="009F04D9" w:rsidRPr="00175FDA" w:rsidRDefault="009F04D9" w:rsidP="00333B38">
            <w:pPr>
              <w:autoSpaceDE w:val="0"/>
              <w:autoSpaceDN w:val="0"/>
              <w:adjustRightInd w:val="0"/>
              <w:spacing w:line="256" w:lineRule="auto"/>
              <w:jc w:val="both"/>
              <w:rPr>
                <w:rFonts w:ascii="Arial" w:hAnsi="Arial" w:cs="Arial"/>
                <w:b/>
                <w:bCs/>
                <w:sz w:val="22"/>
                <w:szCs w:val="22"/>
                <w:lang w:val="en-GB" w:eastAsia="en-US"/>
              </w:rPr>
            </w:pPr>
            <w:r w:rsidRPr="00175FDA">
              <w:rPr>
                <w:rFonts w:ascii="Arial" w:hAnsi="Arial" w:cs="Arial"/>
                <w:b/>
                <w:bCs/>
                <w:sz w:val="22"/>
                <w:szCs w:val="22"/>
                <w:lang w:val="en-GB" w:eastAsia="en-US"/>
              </w:rPr>
              <w:t>Outcome N°2</w:t>
            </w:r>
            <w:r w:rsidR="006F09ED">
              <w:rPr>
                <w:rFonts w:ascii="Arial" w:hAnsi="Arial" w:cs="Arial"/>
                <w:b/>
                <w:bCs/>
                <w:sz w:val="22"/>
                <w:szCs w:val="22"/>
                <w:lang w:val="en-GB" w:eastAsia="en-US"/>
              </w:rPr>
              <w:t>:</w:t>
            </w:r>
            <w:r w:rsidRPr="00175FDA">
              <w:rPr>
                <w:rFonts w:ascii="Arial" w:hAnsi="Arial" w:cs="Arial"/>
                <w:b/>
                <w:bCs/>
                <w:sz w:val="22"/>
                <w:szCs w:val="22"/>
                <w:lang w:val="en-GB" w:eastAsia="en-US"/>
              </w:rPr>
              <w:t xml:space="preserve"> </w:t>
            </w:r>
            <w:r w:rsidRPr="00175FDA">
              <w:rPr>
                <w:rFonts w:ascii="Arial" w:eastAsia="Calibri" w:hAnsi="Arial" w:cs="Arial"/>
                <w:sz w:val="22"/>
                <w:szCs w:val="22"/>
                <w:lang w:val="en-GB" w:eastAsia="en-US"/>
              </w:rPr>
              <w:t>States draw upon competent bodies, institutions</w:t>
            </w:r>
            <w:r w:rsidR="00B81357" w:rsidRPr="00175FDA">
              <w:rPr>
                <w:rFonts w:ascii="Arial" w:eastAsia="Calibri" w:hAnsi="Arial" w:cs="Arial"/>
                <w:sz w:val="22"/>
                <w:szCs w:val="22"/>
                <w:lang w:val="en-GB" w:eastAsia="en-US"/>
              </w:rPr>
              <w:t xml:space="preserve"> and network</w:t>
            </w:r>
            <w:r w:rsidR="00B81357" w:rsidRPr="007505D8">
              <w:rPr>
                <w:rFonts w:ascii="Arial" w:eastAsia="Calibri" w:hAnsi="Arial" w:cs="Arial"/>
                <w:sz w:val="22"/>
                <w:szCs w:val="22"/>
                <w:lang w:val="en-GB" w:eastAsia="en-US"/>
              </w:rPr>
              <w:t>s</w:t>
            </w:r>
            <w:r w:rsidRPr="00175FDA">
              <w:rPr>
                <w:rFonts w:ascii="Arial" w:eastAsia="Calibri" w:hAnsi="Arial" w:cs="Arial"/>
                <w:sz w:val="22"/>
                <w:szCs w:val="22"/>
                <w:lang w:val="en-GB" w:eastAsia="en-US"/>
              </w:rPr>
              <w:t xml:space="preserve"> at the national level to support the continued practice and transmission of ICH</w:t>
            </w:r>
            <w:r w:rsidR="000F0B43" w:rsidRPr="00175FDA">
              <w:rPr>
                <w:rFonts w:ascii="Arial" w:eastAsia="Calibri" w:hAnsi="Arial" w:cs="Arial"/>
                <w:sz w:val="22"/>
                <w:szCs w:val="22"/>
                <w:lang w:val="en-GB" w:eastAsia="en-US"/>
              </w:rPr>
              <w:t>.</w:t>
            </w:r>
          </w:p>
        </w:tc>
      </w:tr>
      <w:tr w:rsidR="009F04D9" w:rsidRPr="00554C38" w14:paraId="6BDE213E" w14:textId="77777777" w:rsidTr="007505D8">
        <w:trPr>
          <w:gridBefore w:val="1"/>
          <w:wBefore w:w="155" w:type="dxa"/>
          <w:trHeight w:val="185"/>
          <w:jc w:val="center"/>
        </w:trPr>
        <w:tc>
          <w:tcPr>
            <w:tcW w:w="9473" w:type="dxa"/>
            <w:gridSpan w:val="3"/>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hideMark/>
          </w:tcPr>
          <w:p w14:paraId="46BD6BD2" w14:textId="32EA76FD" w:rsidR="009F04D9" w:rsidRPr="00175FDA" w:rsidRDefault="009F04D9" w:rsidP="006778D9">
            <w:pPr>
              <w:autoSpaceDE w:val="0"/>
              <w:autoSpaceDN w:val="0"/>
              <w:adjustRightInd w:val="0"/>
              <w:spacing w:line="256" w:lineRule="auto"/>
              <w:jc w:val="both"/>
              <w:rPr>
                <w:rFonts w:ascii="Arial" w:hAnsi="Arial" w:cs="Arial"/>
                <w:b/>
                <w:bCs/>
                <w:sz w:val="22"/>
                <w:szCs w:val="22"/>
                <w:lang w:val="en-GB" w:eastAsia="en-US"/>
              </w:rPr>
            </w:pPr>
            <w:r w:rsidRPr="00175FDA">
              <w:rPr>
                <w:rFonts w:ascii="Arial" w:hAnsi="Arial" w:cs="Arial"/>
                <w:b/>
                <w:bCs/>
                <w:sz w:val="22"/>
                <w:szCs w:val="22"/>
                <w:lang w:val="en-GB" w:eastAsia="en-US"/>
              </w:rPr>
              <w:t xml:space="preserve">Output N°2.1: </w:t>
            </w:r>
            <w:r w:rsidR="006778D9" w:rsidRPr="007505D8">
              <w:rPr>
                <w:rFonts w:ascii="Arial" w:eastAsia="Calibri" w:hAnsi="Arial" w:cs="Arial"/>
                <w:sz w:val="22"/>
                <w:szCs w:val="22"/>
                <w:lang w:val="en-GB" w:eastAsia="en-US"/>
              </w:rPr>
              <w:t>Capacities of c</w:t>
            </w:r>
            <w:r w:rsidRPr="00175FDA">
              <w:rPr>
                <w:rFonts w:ascii="Arial" w:eastAsia="Calibri" w:hAnsi="Arial" w:cs="Arial"/>
                <w:sz w:val="22"/>
                <w:szCs w:val="22"/>
                <w:lang w:val="en-GB" w:eastAsia="en-US"/>
              </w:rPr>
              <w:t>ompetent bodies</w:t>
            </w:r>
            <w:r w:rsidR="00EF5271" w:rsidRPr="00175FDA">
              <w:rPr>
                <w:rFonts w:ascii="Arial" w:eastAsia="Calibri" w:hAnsi="Arial" w:cs="Arial"/>
                <w:sz w:val="22"/>
                <w:szCs w:val="22"/>
                <w:lang w:val="en-GB" w:eastAsia="en-US"/>
              </w:rPr>
              <w:t xml:space="preserve"> and institutions</w:t>
            </w:r>
            <w:r w:rsidRPr="00175FDA">
              <w:rPr>
                <w:rFonts w:ascii="Arial" w:eastAsia="Calibri" w:hAnsi="Arial" w:cs="Arial"/>
                <w:sz w:val="22"/>
                <w:szCs w:val="22"/>
                <w:lang w:val="en-GB" w:eastAsia="en-US"/>
              </w:rPr>
              <w:t xml:space="preserve"> for safeguarding ICH strengthened</w:t>
            </w:r>
            <w:r w:rsidR="00E422D0">
              <w:rPr>
                <w:rFonts w:ascii="Arial" w:eastAsia="Calibri" w:hAnsi="Arial" w:cs="Arial"/>
                <w:sz w:val="22"/>
                <w:szCs w:val="22"/>
                <w:lang w:val="en-GB" w:eastAsia="en-US"/>
              </w:rPr>
              <w:t>.</w:t>
            </w:r>
          </w:p>
        </w:tc>
      </w:tr>
      <w:tr w:rsidR="00196386" w:rsidRPr="00554C38" w14:paraId="66863896" w14:textId="77777777" w:rsidTr="009A7B65">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hideMark/>
          </w:tcPr>
          <w:p w14:paraId="54B95F34" w14:textId="0322CF52" w:rsidR="00196386" w:rsidRPr="00175FDA" w:rsidRDefault="00196386" w:rsidP="00EF5271">
            <w:pPr>
              <w:autoSpaceDE w:val="0"/>
              <w:autoSpaceDN w:val="0"/>
              <w:adjustRightInd w:val="0"/>
              <w:spacing w:line="256" w:lineRule="auto"/>
              <w:jc w:val="both"/>
              <w:rPr>
                <w:rFonts w:ascii="Arial" w:hAnsi="Arial" w:cs="Arial"/>
                <w:b/>
                <w:bCs/>
                <w:color w:val="FFFFFF"/>
                <w:sz w:val="22"/>
                <w:szCs w:val="22"/>
                <w:lang w:val="en-GB" w:eastAsia="en-US"/>
              </w:rPr>
            </w:pPr>
            <w:r w:rsidRPr="00175FDA">
              <w:rPr>
                <w:rFonts w:ascii="Arial" w:hAnsi="Arial" w:cs="Arial"/>
                <w:b/>
                <w:bCs/>
                <w:sz w:val="22"/>
                <w:szCs w:val="22"/>
                <w:lang w:val="en-GB" w:eastAsia="en-US"/>
              </w:rPr>
              <w:t xml:space="preserve">Activity 1: </w:t>
            </w:r>
            <w:r w:rsidR="00EF5271" w:rsidRPr="007505D8">
              <w:rPr>
                <w:rFonts w:ascii="Arial" w:eastAsia="Calibri" w:hAnsi="Arial" w:cs="Arial"/>
                <w:sz w:val="22"/>
                <w:szCs w:val="22"/>
                <w:lang w:val="en-GB" w:eastAsia="en-US"/>
              </w:rPr>
              <w:t>Deliver training on the concepts and mechanisms of the Convention and State obligations for its implementation at national level</w:t>
            </w:r>
            <w:r w:rsidR="00EF5271" w:rsidRPr="00175FDA">
              <w:rPr>
                <w:rFonts w:ascii="Arial" w:eastAsia="Calibri" w:hAnsi="Arial" w:cs="Arial"/>
                <w:sz w:val="22"/>
                <w:szCs w:val="22"/>
                <w:lang w:val="en-GB" w:eastAsia="en-US"/>
              </w:rPr>
              <w:t>,</w:t>
            </w:r>
            <w:r w:rsidRPr="00175FDA">
              <w:rPr>
                <w:rFonts w:ascii="Arial" w:eastAsia="Calibri" w:hAnsi="Arial" w:cs="Arial"/>
                <w:sz w:val="22"/>
                <w:szCs w:val="22"/>
                <w:lang w:val="en-GB" w:eastAsia="en-US"/>
              </w:rPr>
              <w:t xml:space="preserve"> applying an inclusive approach</w:t>
            </w:r>
            <w:r w:rsidR="00E422D0">
              <w:rPr>
                <w:rFonts w:ascii="Arial" w:eastAsia="Calibri" w:hAnsi="Arial" w:cs="Arial"/>
                <w:sz w:val="22"/>
                <w:szCs w:val="22"/>
                <w:lang w:val="en-GB" w:eastAsia="en-US"/>
              </w:rPr>
              <w:t>.</w:t>
            </w:r>
          </w:p>
        </w:tc>
      </w:tr>
      <w:tr w:rsidR="009F04D9" w:rsidRPr="00554C38" w14:paraId="0BDDCC1E" w14:textId="77777777" w:rsidTr="007505D8">
        <w:trPr>
          <w:gridBefore w:val="1"/>
          <w:wBefore w:w="155" w:type="dxa"/>
          <w:trHeight w:val="185"/>
          <w:jc w:val="center"/>
        </w:trPr>
        <w:tc>
          <w:tcPr>
            <w:tcW w:w="9473" w:type="dxa"/>
            <w:gridSpan w:val="3"/>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hideMark/>
          </w:tcPr>
          <w:p w14:paraId="43AE2C14" w14:textId="40B0A7D3" w:rsidR="009F04D9" w:rsidRPr="00175FDA" w:rsidRDefault="009F04D9" w:rsidP="00333B38">
            <w:pPr>
              <w:autoSpaceDE w:val="0"/>
              <w:autoSpaceDN w:val="0"/>
              <w:adjustRightInd w:val="0"/>
              <w:spacing w:line="256" w:lineRule="auto"/>
              <w:jc w:val="both"/>
              <w:rPr>
                <w:rFonts w:ascii="Arial" w:hAnsi="Arial" w:cs="Arial"/>
                <w:bCs/>
                <w:sz w:val="22"/>
                <w:szCs w:val="22"/>
                <w:lang w:val="en-GB" w:eastAsia="en-US"/>
              </w:rPr>
            </w:pPr>
            <w:r w:rsidRPr="00175FDA">
              <w:rPr>
                <w:rFonts w:ascii="Arial" w:hAnsi="Arial" w:cs="Arial"/>
                <w:b/>
                <w:bCs/>
                <w:sz w:val="22"/>
                <w:szCs w:val="22"/>
                <w:lang w:val="en-GB" w:eastAsia="en-US"/>
              </w:rPr>
              <w:t>Output N°2.2:</w:t>
            </w:r>
            <w:r w:rsidRPr="00175FDA">
              <w:rPr>
                <w:rFonts w:ascii="Arial" w:hAnsi="Arial" w:cs="Arial"/>
                <w:bCs/>
                <w:sz w:val="22"/>
                <w:szCs w:val="22"/>
                <w:lang w:val="en-GB" w:eastAsia="en-US"/>
              </w:rPr>
              <w:t xml:space="preserve"> National network of trainers </w:t>
            </w:r>
            <w:r w:rsidR="00B81357" w:rsidRPr="00175FDA">
              <w:rPr>
                <w:rFonts w:ascii="Arial" w:hAnsi="Arial" w:cs="Arial"/>
                <w:bCs/>
                <w:sz w:val="22"/>
                <w:szCs w:val="22"/>
                <w:lang w:val="en-GB" w:eastAsia="en-US"/>
              </w:rPr>
              <w:t>(</w:t>
            </w:r>
            <w:r w:rsidRPr="00175FDA">
              <w:rPr>
                <w:rFonts w:ascii="Arial" w:hAnsi="Arial" w:cs="Arial"/>
                <w:bCs/>
                <w:sz w:val="22"/>
                <w:szCs w:val="22"/>
                <w:lang w:val="en-GB" w:eastAsia="en-US"/>
              </w:rPr>
              <w:t>or equivalent mechanism</w:t>
            </w:r>
            <w:r w:rsidR="00B81357" w:rsidRPr="00175FDA">
              <w:rPr>
                <w:rFonts w:ascii="Arial" w:hAnsi="Arial" w:cs="Arial"/>
                <w:bCs/>
                <w:sz w:val="22"/>
                <w:szCs w:val="22"/>
                <w:lang w:val="en-GB" w:eastAsia="en-US"/>
              </w:rPr>
              <w:t>)</w:t>
            </w:r>
            <w:r w:rsidRPr="00175FDA">
              <w:rPr>
                <w:rFonts w:ascii="Arial" w:hAnsi="Arial" w:cs="Arial"/>
                <w:bCs/>
                <w:sz w:val="22"/>
                <w:szCs w:val="22"/>
                <w:lang w:val="en-GB" w:eastAsia="en-US"/>
              </w:rPr>
              <w:t xml:space="preserve"> </w:t>
            </w:r>
            <w:r w:rsidR="00B81357" w:rsidRPr="00175FDA">
              <w:rPr>
                <w:rFonts w:ascii="Arial" w:hAnsi="Arial" w:cs="Arial"/>
                <w:bCs/>
                <w:sz w:val="22"/>
                <w:szCs w:val="22"/>
                <w:lang w:val="en-GB" w:eastAsia="en-US"/>
              </w:rPr>
              <w:t>initiated or</w:t>
            </w:r>
            <w:r w:rsidR="00D357D1" w:rsidRPr="00175FDA">
              <w:rPr>
                <w:rFonts w:ascii="Arial" w:hAnsi="Arial" w:cs="Arial"/>
                <w:bCs/>
                <w:sz w:val="22"/>
                <w:szCs w:val="22"/>
                <w:lang w:val="en-GB" w:eastAsia="en-US"/>
              </w:rPr>
              <w:t xml:space="preserve"> strengthened</w:t>
            </w:r>
            <w:r w:rsidRPr="00175FDA">
              <w:rPr>
                <w:rFonts w:ascii="Arial" w:hAnsi="Arial" w:cs="Arial"/>
                <w:bCs/>
                <w:sz w:val="22"/>
                <w:szCs w:val="22"/>
                <w:lang w:val="en-GB" w:eastAsia="en-US"/>
              </w:rPr>
              <w:t xml:space="preserve"> </w:t>
            </w:r>
            <w:r w:rsidRPr="00175FDA">
              <w:rPr>
                <w:rFonts w:ascii="Arial" w:eastAsia="Calibri" w:hAnsi="Arial" w:cs="Arial"/>
                <w:sz w:val="22"/>
                <w:szCs w:val="22"/>
                <w:lang w:val="en-GB" w:eastAsia="en-US"/>
              </w:rPr>
              <w:t>to respond to capacity-building needs at national and decentralized levels</w:t>
            </w:r>
            <w:r w:rsidR="00E422D0">
              <w:rPr>
                <w:rFonts w:ascii="Arial" w:eastAsia="Calibri" w:hAnsi="Arial" w:cs="Arial"/>
                <w:sz w:val="22"/>
                <w:szCs w:val="22"/>
                <w:lang w:val="en-GB" w:eastAsia="en-US"/>
              </w:rPr>
              <w:t>.</w:t>
            </w:r>
            <w:r w:rsidRPr="00175FDA">
              <w:rPr>
                <w:rFonts w:ascii="Arial" w:eastAsia="Calibri" w:hAnsi="Arial" w:cs="Arial"/>
                <w:sz w:val="22"/>
                <w:szCs w:val="22"/>
                <w:lang w:val="en-GB" w:eastAsia="en-US"/>
              </w:rPr>
              <w:t xml:space="preserve"> </w:t>
            </w:r>
          </w:p>
        </w:tc>
      </w:tr>
      <w:tr w:rsidR="009F04D9" w:rsidRPr="00554C38" w14:paraId="2EA83276" w14:textId="77777777" w:rsidTr="007505D8">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hideMark/>
          </w:tcPr>
          <w:p w14:paraId="3D7AE4CC" w14:textId="240F277B" w:rsidR="009F04D9" w:rsidRPr="00175FDA" w:rsidRDefault="009F04D9" w:rsidP="00333B38">
            <w:pPr>
              <w:autoSpaceDE w:val="0"/>
              <w:autoSpaceDN w:val="0"/>
              <w:adjustRightInd w:val="0"/>
              <w:spacing w:line="256" w:lineRule="auto"/>
              <w:jc w:val="both"/>
              <w:rPr>
                <w:rFonts w:ascii="Arial" w:hAnsi="Arial" w:cs="Arial"/>
                <w:b/>
                <w:bCs/>
                <w:sz w:val="22"/>
                <w:szCs w:val="22"/>
                <w:lang w:val="en-GB" w:eastAsia="en-US"/>
              </w:rPr>
            </w:pPr>
            <w:r w:rsidRPr="00175FDA">
              <w:rPr>
                <w:rFonts w:ascii="Arial" w:hAnsi="Arial" w:cs="Arial"/>
                <w:b/>
                <w:bCs/>
                <w:sz w:val="22"/>
                <w:szCs w:val="22"/>
                <w:lang w:val="en-GB" w:eastAsia="en-US"/>
              </w:rPr>
              <w:t xml:space="preserve">Activity </w:t>
            </w:r>
            <w:r w:rsidR="00D357D1" w:rsidRPr="00175FDA">
              <w:rPr>
                <w:rFonts w:ascii="Arial" w:hAnsi="Arial" w:cs="Arial"/>
                <w:b/>
                <w:bCs/>
                <w:sz w:val="22"/>
                <w:szCs w:val="22"/>
                <w:lang w:val="en-GB" w:eastAsia="en-US"/>
              </w:rPr>
              <w:t>1</w:t>
            </w:r>
            <w:r w:rsidRPr="00175FDA">
              <w:rPr>
                <w:rFonts w:ascii="Arial" w:hAnsi="Arial" w:cs="Arial"/>
                <w:b/>
                <w:bCs/>
                <w:sz w:val="22"/>
                <w:szCs w:val="22"/>
                <w:lang w:val="en-GB" w:eastAsia="en-US"/>
              </w:rPr>
              <w:t xml:space="preserve">: </w:t>
            </w:r>
            <w:r w:rsidR="00114E71" w:rsidRPr="007505D8">
              <w:rPr>
                <w:rFonts w:ascii="Arial" w:hAnsi="Arial" w:cs="Arial"/>
                <w:bCs/>
                <w:sz w:val="22"/>
                <w:szCs w:val="22"/>
                <w:lang w:val="en-GB" w:eastAsia="en-US"/>
              </w:rPr>
              <w:t xml:space="preserve">Carry out </w:t>
            </w:r>
            <w:r w:rsidR="00A641C2" w:rsidRPr="00175FDA">
              <w:rPr>
                <w:rFonts w:ascii="Arial" w:hAnsi="Arial" w:cs="Arial"/>
                <w:bCs/>
                <w:sz w:val="22"/>
                <w:szCs w:val="22"/>
                <w:lang w:val="en-GB" w:eastAsia="en-US"/>
              </w:rPr>
              <w:t xml:space="preserve">training workshops </w:t>
            </w:r>
            <w:r w:rsidR="00B81357" w:rsidRPr="00175FDA">
              <w:rPr>
                <w:rFonts w:ascii="Arial" w:hAnsi="Arial" w:cs="Arial"/>
                <w:bCs/>
                <w:sz w:val="22"/>
                <w:szCs w:val="22"/>
                <w:lang w:val="en-GB" w:eastAsia="en-US"/>
              </w:rPr>
              <w:t xml:space="preserve">to train future </w:t>
            </w:r>
            <w:r w:rsidR="00A641C2" w:rsidRPr="00175FDA">
              <w:rPr>
                <w:rFonts w:ascii="Arial" w:hAnsi="Arial" w:cs="Arial"/>
                <w:bCs/>
                <w:sz w:val="22"/>
                <w:szCs w:val="22"/>
                <w:lang w:val="en-GB" w:eastAsia="en-US"/>
              </w:rPr>
              <w:t>national trainers, including</w:t>
            </w:r>
            <w:r w:rsidRPr="00175FDA">
              <w:rPr>
                <w:rFonts w:ascii="Arial" w:eastAsia="Calibri" w:hAnsi="Arial" w:cs="Arial"/>
                <w:sz w:val="22"/>
                <w:szCs w:val="22"/>
                <w:lang w:val="en-GB" w:eastAsia="en-US"/>
              </w:rPr>
              <w:t xml:space="preserve"> individual specialists and institutions, applying an inclusive approach</w:t>
            </w:r>
            <w:r w:rsidR="00E422D0">
              <w:rPr>
                <w:rFonts w:ascii="Arial" w:eastAsia="Calibri" w:hAnsi="Arial" w:cs="Arial"/>
                <w:sz w:val="22"/>
                <w:szCs w:val="22"/>
                <w:lang w:val="en-GB" w:eastAsia="en-US"/>
              </w:rPr>
              <w:t>.</w:t>
            </w:r>
          </w:p>
        </w:tc>
      </w:tr>
      <w:tr w:rsidR="00B81357" w:rsidRPr="00554C38" w14:paraId="7A085F00" w14:textId="77777777" w:rsidTr="00733E4C">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tcPr>
          <w:p w14:paraId="2C3EA338" w14:textId="39C9C9B2" w:rsidR="00B81357" w:rsidRPr="00175FDA" w:rsidRDefault="00B81357" w:rsidP="00333B38">
            <w:pPr>
              <w:autoSpaceDE w:val="0"/>
              <w:autoSpaceDN w:val="0"/>
              <w:adjustRightInd w:val="0"/>
              <w:spacing w:line="256" w:lineRule="auto"/>
              <w:jc w:val="both"/>
              <w:rPr>
                <w:rFonts w:ascii="Arial" w:hAnsi="Arial" w:cs="Arial"/>
                <w:b/>
                <w:bCs/>
                <w:sz w:val="22"/>
                <w:szCs w:val="22"/>
                <w:lang w:val="en-GB" w:eastAsia="en-US"/>
              </w:rPr>
            </w:pPr>
            <w:r w:rsidRPr="00175FDA">
              <w:rPr>
                <w:rFonts w:ascii="Arial" w:hAnsi="Arial" w:cs="Arial"/>
                <w:b/>
                <w:bCs/>
                <w:sz w:val="22"/>
                <w:szCs w:val="22"/>
                <w:lang w:val="en-GB" w:eastAsia="en-US"/>
              </w:rPr>
              <w:t xml:space="preserve">Activity 2: </w:t>
            </w:r>
            <w:r w:rsidRPr="007505D8">
              <w:rPr>
                <w:rFonts w:ascii="Arial" w:hAnsi="Arial" w:cs="Arial"/>
                <w:bCs/>
                <w:sz w:val="22"/>
                <w:szCs w:val="22"/>
                <w:lang w:val="en-GB" w:eastAsia="en-US"/>
              </w:rPr>
              <w:t xml:space="preserve">Consolidate and share information </w:t>
            </w:r>
            <w:r w:rsidR="00740A1A" w:rsidRPr="00175FDA">
              <w:rPr>
                <w:rFonts w:ascii="Arial" w:hAnsi="Arial" w:cs="Arial"/>
                <w:bCs/>
                <w:sz w:val="22"/>
                <w:szCs w:val="22"/>
                <w:lang w:val="en-GB" w:eastAsia="en-US"/>
              </w:rPr>
              <w:t xml:space="preserve">in the country </w:t>
            </w:r>
            <w:r w:rsidRPr="007505D8">
              <w:rPr>
                <w:rFonts w:ascii="Arial" w:hAnsi="Arial" w:cs="Arial"/>
                <w:bCs/>
                <w:sz w:val="22"/>
                <w:szCs w:val="22"/>
                <w:lang w:val="en-GB" w:eastAsia="en-US"/>
              </w:rPr>
              <w:t>on trained trainers</w:t>
            </w:r>
            <w:r w:rsidR="00E422D0">
              <w:rPr>
                <w:rFonts w:ascii="Arial" w:hAnsi="Arial" w:cs="Arial"/>
                <w:bCs/>
                <w:sz w:val="22"/>
                <w:szCs w:val="22"/>
                <w:lang w:val="en-GB" w:eastAsia="en-US"/>
              </w:rPr>
              <w:t>.</w:t>
            </w:r>
          </w:p>
        </w:tc>
      </w:tr>
      <w:tr w:rsidR="009F04D9" w:rsidRPr="00554C38" w14:paraId="1AEFB55A" w14:textId="77777777" w:rsidTr="007505D8">
        <w:trPr>
          <w:trHeight w:val="185"/>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05A4B63B" w14:textId="653AD613" w:rsidR="009F04D9" w:rsidRPr="00175FDA" w:rsidRDefault="009F04D9" w:rsidP="009F04D9">
            <w:pPr>
              <w:autoSpaceDE w:val="0"/>
              <w:autoSpaceDN w:val="0"/>
              <w:adjustRightInd w:val="0"/>
              <w:spacing w:line="256" w:lineRule="auto"/>
              <w:jc w:val="both"/>
              <w:rPr>
                <w:rFonts w:ascii="Arial" w:hAnsi="Arial" w:cs="Arial"/>
                <w:b/>
                <w:bCs/>
                <w:sz w:val="22"/>
                <w:szCs w:val="22"/>
                <w:lang w:val="en-GB" w:eastAsia="en-US"/>
              </w:rPr>
            </w:pPr>
            <w:r w:rsidRPr="00175FDA">
              <w:rPr>
                <w:rFonts w:ascii="Arial" w:hAnsi="Arial" w:cs="Arial"/>
                <w:b/>
                <w:bCs/>
                <w:sz w:val="22"/>
                <w:szCs w:val="22"/>
                <w:lang w:val="en-GB" w:eastAsia="en-US"/>
              </w:rPr>
              <w:t>Outcome N°3</w:t>
            </w:r>
            <w:r w:rsidR="00854F20" w:rsidRPr="00175FDA">
              <w:rPr>
                <w:rFonts w:ascii="Arial" w:hAnsi="Arial" w:cs="Arial"/>
                <w:b/>
                <w:bCs/>
                <w:sz w:val="22"/>
                <w:szCs w:val="22"/>
                <w:lang w:val="en-GB" w:eastAsia="en-US"/>
              </w:rPr>
              <w:t>:</w:t>
            </w:r>
            <w:r w:rsidRPr="00175FDA">
              <w:rPr>
                <w:rFonts w:ascii="Arial" w:eastAsia="Calibri" w:hAnsi="Arial" w:cs="Arial"/>
                <w:sz w:val="22"/>
                <w:szCs w:val="22"/>
                <w:lang w:val="en-GB" w:eastAsia="en-US"/>
              </w:rPr>
              <w:t xml:space="preserve"> States establish or revise a framework and methodology for inventorying which is inclusive, respects the diversity of ICH and its practitioners, and supports safeguarding by</w:t>
            </w:r>
            <w:r w:rsidR="00854F20" w:rsidRPr="00175FDA">
              <w:rPr>
                <w:rFonts w:ascii="Arial" w:eastAsia="Calibri" w:hAnsi="Arial" w:cs="Arial"/>
                <w:sz w:val="22"/>
                <w:szCs w:val="22"/>
                <w:lang w:val="en-GB" w:eastAsia="en-US"/>
              </w:rPr>
              <w:t xml:space="preserve"> the</w:t>
            </w:r>
            <w:r w:rsidRPr="00175FDA">
              <w:rPr>
                <w:rFonts w:ascii="Arial" w:eastAsia="Calibri" w:hAnsi="Arial" w:cs="Arial"/>
                <w:sz w:val="22"/>
                <w:szCs w:val="22"/>
                <w:lang w:val="en-GB" w:eastAsia="en-US"/>
              </w:rPr>
              <w:t xml:space="preserve"> communities, groups and individuals concerned.</w:t>
            </w:r>
          </w:p>
        </w:tc>
      </w:tr>
      <w:tr w:rsidR="009F04D9" w:rsidRPr="00554C38" w14:paraId="0033DAAB" w14:textId="77777777" w:rsidTr="007505D8">
        <w:trPr>
          <w:gridBefore w:val="1"/>
          <w:wBefore w:w="155" w:type="dxa"/>
          <w:trHeight w:val="185"/>
          <w:jc w:val="center"/>
        </w:trPr>
        <w:tc>
          <w:tcPr>
            <w:tcW w:w="9473" w:type="dxa"/>
            <w:gridSpan w:val="3"/>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vAlign w:val="center"/>
            <w:hideMark/>
          </w:tcPr>
          <w:p w14:paraId="790CEED8" w14:textId="2DB19918" w:rsidR="009F04D9" w:rsidRPr="00175FDA" w:rsidRDefault="009F04D9" w:rsidP="009F04D9">
            <w:pPr>
              <w:spacing w:before="60" w:line="256" w:lineRule="auto"/>
              <w:rPr>
                <w:rFonts w:ascii="Arial" w:hAnsi="Arial" w:cs="Arial"/>
                <w:b/>
                <w:bCs/>
                <w:sz w:val="22"/>
                <w:szCs w:val="22"/>
                <w:lang w:val="en-GB" w:eastAsia="en-US"/>
              </w:rPr>
            </w:pPr>
            <w:r w:rsidRPr="00175FDA">
              <w:rPr>
                <w:rFonts w:ascii="Arial" w:eastAsia="Calibri" w:hAnsi="Arial" w:cs="Arial"/>
                <w:b/>
                <w:bCs/>
                <w:sz w:val="22"/>
                <w:szCs w:val="22"/>
                <w:lang w:val="en-GB" w:eastAsia="en-US"/>
              </w:rPr>
              <w:t>Output</w:t>
            </w:r>
            <w:r w:rsidRPr="00175FDA">
              <w:rPr>
                <w:rFonts w:ascii="Arial" w:hAnsi="Arial" w:cs="Arial"/>
                <w:b/>
                <w:bCs/>
                <w:sz w:val="22"/>
                <w:szCs w:val="22"/>
                <w:lang w:val="en-GB" w:eastAsia="en-US"/>
              </w:rPr>
              <w:t xml:space="preserve"> N°</w:t>
            </w:r>
            <w:r w:rsidRPr="00175FDA">
              <w:rPr>
                <w:rFonts w:ascii="Arial" w:eastAsia="Calibri" w:hAnsi="Arial" w:cs="Arial"/>
                <w:b/>
                <w:bCs/>
                <w:sz w:val="22"/>
                <w:szCs w:val="22"/>
                <w:lang w:val="en-GB" w:eastAsia="en-US"/>
              </w:rPr>
              <w:t>3.1</w:t>
            </w:r>
            <w:r w:rsidR="003F6554">
              <w:rPr>
                <w:rFonts w:ascii="Arial" w:eastAsia="Calibri" w:hAnsi="Arial" w:cs="Arial"/>
                <w:b/>
                <w:bCs/>
                <w:sz w:val="22"/>
                <w:szCs w:val="22"/>
                <w:lang w:val="en-GB" w:eastAsia="en-US"/>
              </w:rPr>
              <w:t>:</w:t>
            </w:r>
            <w:r w:rsidRPr="00175FDA">
              <w:rPr>
                <w:rFonts w:ascii="Arial" w:eastAsia="Calibri" w:hAnsi="Arial" w:cs="Arial"/>
                <w:sz w:val="22"/>
                <w:szCs w:val="22"/>
                <w:lang w:val="en-GB" w:eastAsia="en-US"/>
              </w:rPr>
              <w:t xml:space="preserve"> Knowledge and practical skills for community-based inventorying reinforced, applying an inclusive approach</w:t>
            </w:r>
            <w:r w:rsidR="00E422D0">
              <w:rPr>
                <w:rFonts w:ascii="Arial" w:eastAsia="Calibri" w:hAnsi="Arial" w:cs="Arial"/>
                <w:sz w:val="22"/>
                <w:szCs w:val="22"/>
                <w:lang w:val="en-GB" w:eastAsia="en-US"/>
              </w:rPr>
              <w:t>.</w:t>
            </w:r>
          </w:p>
        </w:tc>
      </w:tr>
      <w:tr w:rsidR="00740A1A" w:rsidRPr="00554C38" w14:paraId="10073A4A" w14:textId="77777777" w:rsidTr="009A7B65">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9F0A56E" w14:textId="07C3FD55" w:rsidR="00740A1A" w:rsidRPr="00175FDA" w:rsidRDefault="00740A1A" w:rsidP="00333B38">
            <w:pPr>
              <w:spacing w:before="60" w:line="256" w:lineRule="auto"/>
              <w:rPr>
                <w:rFonts w:ascii="Arial" w:eastAsia="Calibri" w:hAnsi="Arial" w:cs="Arial"/>
                <w:b/>
                <w:bCs/>
                <w:sz w:val="22"/>
                <w:szCs w:val="22"/>
                <w:lang w:val="en-GB" w:eastAsia="en-US"/>
              </w:rPr>
            </w:pPr>
            <w:r w:rsidRPr="00175FDA">
              <w:rPr>
                <w:rFonts w:ascii="Arial" w:hAnsi="Arial" w:cs="Arial"/>
                <w:b/>
                <w:bCs/>
                <w:sz w:val="22"/>
                <w:szCs w:val="22"/>
                <w:lang w:val="en-GB" w:eastAsia="en-US"/>
              </w:rPr>
              <w:t xml:space="preserve">Activity 1: </w:t>
            </w:r>
            <w:r w:rsidRPr="007505D8">
              <w:rPr>
                <w:rFonts w:ascii="Arial" w:eastAsia="Calibri" w:hAnsi="Arial" w:cs="Arial"/>
                <w:sz w:val="22"/>
                <w:szCs w:val="22"/>
                <w:lang w:val="en-GB" w:eastAsia="en-US"/>
              </w:rPr>
              <w:t xml:space="preserve">Consolidate information on inventorying ICH </w:t>
            </w:r>
            <w:r w:rsidRPr="00175FDA">
              <w:rPr>
                <w:rFonts w:ascii="Arial" w:eastAsia="Calibri" w:hAnsi="Arial" w:cs="Arial"/>
                <w:sz w:val="22"/>
                <w:szCs w:val="22"/>
                <w:lang w:val="en-GB" w:eastAsia="en-US"/>
              </w:rPr>
              <w:t>where it</w:t>
            </w:r>
            <w:r w:rsidRPr="007505D8">
              <w:rPr>
                <w:rFonts w:ascii="Arial" w:eastAsia="Calibri" w:hAnsi="Arial" w:cs="Arial"/>
                <w:sz w:val="22"/>
                <w:szCs w:val="22"/>
                <w:lang w:val="en-GB" w:eastAsia="en-US"/>
              </w:rPr>
              <w:t xml:space="preserve"> exists</w:t>
            </w:r>
            <w:r w:rsidR="00E422D0">
              <w:rPr>
                <w:rFonts w:ascii="Arial" w:eastAsia="Calibri" w:hAnsi="Arial" w:cs="Arial"/>
                <w:sz w:val="22"/>
                <w:szCs w:val="22"/>
                <w:lang w:val="en-GB" w:eastAsia="en-US"/>
              </w:rPr>
              <w:t>.</w:t>
            </w:r>
          </w:p>
        </w:tc>
      </w:tr>
      <w:tr w:rsidR="00854F20" w:rsidRPr="00554C38" w14:paraId="7E9EB5D4" w14:textId="77777777" w:rsidTr="009A7B65">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B600B50" w14:textId="69436344" w:rsidR="00854F20" w:rsidRPr="009F04D9" w:rsidRDefault="00740A1A">
            <w:pPr>
              <w:spacing w:before="60" w:line="256" w:lineRule="auto"/>
              <w:rPr>
                <w:rFonts w:ascii="Arial" w:eastAsia="Calibri" w:hAnsi="Arial" w:cs="Arial"/>
                <w:b/>
                <w:bCs/>
                <w:sz w:val="22"/>
                <w:szCs w:val="22"/>
                <w:lang w:val="en-GB" w:eastAsia="en-US"/>
              </w:rPr>
            </w:pPr>
            <w:r>
              <w:rPr>
                <w:rFonts w:ascii="Arial" w:hAnsi="Arial" w:cs="Arial"/>
                <w:b/>
                <w:bCs/>
                <w:sz w:val="22"/>
                <w:szCs w:val="22"/>
                <w:lang w:val="en-GB" w:eastAsia="en-US"/>
              </w:rPr>
              <w:t>Activity 2</w:t>
            </w:r>
            <w:r w:rsidR="00854F20" w:rsidRPr="009F04D9">
              <w:rPr>
                <w:rFonts w:ascii="Arial" w:hAnsi="Arial" w:cs="Arial"/>
                <w:b/>
                <w:bCs/>
                <w:sz w:val="22"/>
                <w:szCs w:val="22"/>
                <w:lang w:val="en-GB" w:eastAsia="en-US"/>
              </w:rPr>
              <w:t xml:space="preserve">: </w:t>
            </w:r>
            <w:r w:rsidR="00627585">
              <w:rPr>
                <w:rFonts w:ascii="Arial" w:hAnsi="Arial" w:cs="Arial"/>
                <w:bCs/>
                <w:sz w:val="22"/>
                <w:szCs w:val="22"/>
                <w:lang w:val="en-GB" w:eastAsia="en-US"/>
              </w:rPr>
              <w:t xml:space="preserve">Deliver </w:t>
            </w:r>
            <w:r w:rsidR="00627585">
              <w:rPr>
                <w:rFonts w:ascii="Arial" w:eastAsia="Calibri" w:hAnsi="Arial" w:cs="Arial"/>
                <w:sz w:val="22"/>
                <w:szCs w:val="22"/>
                <w:lang w:val="en-GB" w:eastAsia="en-US"/>
              </w:rPr>
              <w:t>t</w:t>
            </w:r>
            <w:r w:rsidR="00854F20" w:rsidRPr="009F04D9">
              <w:rPr>
                <w:rFonts w:ascii="Arial" w:eastAsia="Calibri" w:hAnsi="Arial" w:cs="Arial"/>
                <w:sz w:val="22"/>
                <w:szCs w:val="22"/>
                <w:lang w:val="en-GB" w:eastAsia="en-US"/>
              </w:rPr>
              <w:t>raining on theoretical and practical aspects of community-based inventorying, applying a</w:t>
            </w:r>
            <w:r w:rsidR="00E422D0">
              <w:rPr>
                <w:rFonts w:ascii="Arial" w:eastAsia="Calibri" w:hAnsi="Arial" w:cs="Arial"/>
                <w:sz w:val="22"/>
                <w:szCs w:val="22"/>
                <w:lang w:val="en-GB" w:eastAsia="en-US"/>
              </w:rPr>
              <w:t>n inclusive</w:t>
            </w:r>
            <w:r w:rsidR="00854F20" w:rsidRPr="009F04D9">
              <w:rPr>
                <w:rFonts w:ascii="Arial" w:eastAsia="Calibri" w:hAnsi="Arial" w:cs="Arial"/>
                <w:sz w:val="22"/>
                <w:szCs w:val="22"/>
                <w:lang w:val="en-GB" w:eastAsia="en-US"/>
              </w:rPr>
              <w:t xml:space="preserve"> approach</w:t>
            </w:r>
            <w:r w:rsidR="00E422D0">
              <w:rPr>
                <w:rFonts w:ascii="Arial" w:eastAsia="Calibri" w:hAnsi="Arial" w:cs="Arial"/>
                <w:sz w:val="22"/>
                <w:szCs w:val="22"/>
                <w:lang w:val="en-GB" w:eastAsia="en-US"/>
              </w:rPr>
              <w:t>.</w:t>
            </w:r>
          </w:p>
        </w:tc>
      </w:tr>
      <w:tr w:rsidR="009F04D9" w:rsidRPr="00554C38" w14:paraId="1329033D" w14:textId="77777777" w:rsidTr="007505D8">
        <w:trPr>
          <w:gridBefore w:val="3"/>
          <w:wBefore w:w="310" w:type="dxa"/>
          <w:trHeight w:val="185"/>
          <w:jc w:val="center"/>
        </w:trPr>
        <w:tc>
          <w:tcPr>
            <w:tcW w:w="93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1D35322" w14:textId="7DCD2B99" w:rsidR="009F04D9" w:rsidRPr="009F04D9" w:rsidRDefault="009F04D9">
            <w:pPr>
              <w:spacing w:before="60" w:line="256" w:lineRule="auto"/>
              <w:rPr>
                <w:rFonts w:ascii="Arial" w:eastAsia="Calibri" w:hAnsi="Arial" w:cs="Arial"/>
                <w:b/>
                <w:bCs/>
                <w:sz w:val="22"/>
                <w:szCs w:val="22"/>
                <w:lang w:val="en-GB" w:eastAsia="en-US"/>
              </w:rPr>
            </w:pPr>
            <w:r w:rsidRPr="009F04D9">
              <w:rPr>
                <w:rFonts w:ascii="Arial" w:hAnsi="Arial" w:cs="Arial"/>
                <w:b/>
                <w:bCs/>
                <w:sz w:val="22"/>
                <w:szCs w:val="22"/>
                <w:lang w:val="en-GB" w:eastAsia="en-US"/>
              </w:rPr>
              <w:t xml:space="preserve">Activity </w:t>
            </w:r>
            <w:r w:rsidR="00740A1A">
              <w:rPr>
                <w:rFonts w:ascii="Arial" w:hAnsi="Arial" w:cs="Arial"/>
                <w:b/>
                <w:bCs/>
                <w:sz w:val="22"/>
                <w:szCs w:val="22"/>
                <w:lang w:val="en-GB" w:eastAsia="en-US"/>
              </w:rPr>
              <w:t>3</w:t>
            </w:r>
            <w:r w:rsidRPr="009F04D9">
              <w:rPr>
                <w:rFonts w:ascii="Arial" w:hAnsi="Arial" w:cs="Arial"/>
                <w:b/>
                <w:bCs/>
                <w:sz w:val="22"/>
                <w:szCs w:val="22"/>
                <w:lang w:val="en-GB" w:eastAsia="en-US"/>
              </w:rPr>
              <w:t xml:space="preserve">: </w:t>
            </w:r>
            <w:r w:rsidR="00627585">
              <w:rPr>
                <w:rFonts w:ascii="Arial" w:hAnsi="Arial" w:cs="Arial"/>
                <w:bCs/>
                <w:sz w:val="22"/>
                <w:szCs w:val="22"/>
                <w:lang w:val="en-GB" w:eastAsia="en-US"/>
              </w:rPr>
              <w:t xml:space="preserve">Provide </w:t>
            </w:r>
            <w:r w:rsidR="00627585">
              <w:rPr>
                <w:rFonts w:ascii="Arial" w:eastAsia="Calibri" w:hAnsi="Arial" w:cs="Arial"/>
                <w:sz w:val="22"/>
                <w:szCs w:val="22"/>
                <w:lang w:val="en-GB" w:eastAsia="en-US"/>
              </w:rPr>
              <w:t>t</w:t>
            </w:r>
            <w:r w:rsidRPr="009F04D9">
              <w:rPr>
                <w:rFonts w:ascii="Arial" w:eastAsia="Calibri" w:hAnsi="Arial" w:cs="Arial"/>
                <w:sz w:val="22"/>
                <w:szCs w:val="22"/>
                <w:lang w:val="en-GB" w:eastAsia="en-US"/>
              </w:rPr>
              <w:t xml:space="preserve">echnical assistance </w:t>
            </w:r>
            <w:r w:rsidR="00F1050E">
              <w:rPr>
                <w:rFonts w:ascii="Arial" w:eastAsia="Calibri" w:hAnsi="Arial" w:cs="Arial"/>
                <w:sz w:val="22"/>
                <w:szCs w:val="22"/>
                <w:lang w:val="en-GB" w:eastAsia="en-US"/>
              </w:rPr>
              <w:t xml:space="preserve">to conduct </w:t>
            </w:r>
            <w:r w:rsidRPr="009F04D9">
              <w:rPr>
                <w:rFonts w:ascii="Arial" w:eastAsia="Calibri" w:hAnsi="Arial" w:cs="Arial"/>
                <w:sz w:val="22"/>
                <w:szCs w:val="22"/>
                <w:lang w:val="en-GB" w:eastAsia="en-US"/>
              </w:rPr>
              <w:t xml:space="preserve">pilot inventory activities </w:t>
            </w:r>
            <w:r w:rsidR="00367728">
              <w:rPr>
                <w:rFonts w:ascii="Arial" w:eastAsia="Calibri" w:hAnsi="Arial" w:cs="Arial"/>
                <w:sz w:val="22"/>
                <w:szCs w:val="22"/>
                <w:lang w:val="en-GB" w:eastAsia="en-US"/>
              </w:rPr>
              <w:t>at the national level,</w:t>
            </w:r>
            <w:r w:rsidR="00F1050E">
              <w:rPr>
                <w:rFonts w:ascii="Arial" w:eastAsia="Calibri" w:hAnsi="Arial" w:cs="Arial"/>
                <w:sz w:val="22"/>
                <w:szCs w:val="22"/>
                <w:lang w:val="en-GB" w:eastAsia="en-US"/>
              </w:rPr>
              <w:t xml:space="preserve"> ensuring a wide </w:t>
            </w:r>
            <w:r w:rsidRPr="009F04D9">
              <w:rPr>
                <w:rFonts w:ascii="Arial" w:eastAsia="Calibri" w:hAnsi="Arial" w:cs="Arial"/>
                <w:sz w:val="22"/>
                <w:szCs w:val="22"/>
                <w:lang w:val="en-GB" w:eastAsia="en-US"/>
              </w:rPr>
              <w:t>participation of communities, groups and relevant NGOs</w:t>
            </w:r>
            <w:r w:rsidR="00E422D0">
              <w:rPr>
                <w:rFonts w:ascii="Arial" w:eastAsia="Calibri" w:hAnsi="Arial" w:cs="Arial"/>
                <w:sz w:val="22"/>
                <w:szCs w:val="22"/>
                <w:lang w:val="en-GB" w:eastAsia="en-US"/>
              </w:rPr>
              <w:t>.</w:t>
            </w:r>
          </w:p>
        </w:tc>
      </w:tr>
      <w:tr w:rsidR="009F04D9" w:rsidRPr="00554C38" w14:paraId="42AA4F62" w14:textId="77777777" w:rsidTr="007505D8">
        <w:trPr>
          <w:trHeight w:val="185"/>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276E045E" w14:textId="29F45DEE" w:rsidR="009F04D9" w:rsidRPr="009F04D9" w:rsidRDefault="009F04D9" w:rsidP="007505D8">
            <w:pPr>
              <w:keepNext/>
              <w:spacing w:after="120" w:line="257" w:lineRule="auto"/>
              <w:jc w:val="both"/>
              <w:rPr>
                <w:rFonts w:ascii="Arial" w:eastAsia="Calibri" w:hAnsi="Arial" w:cs="Arial"/>
                <w:sz w:val="22"/>
                <w:szCs w:val="22"/>
                <w:lang w:val="en-GB" w:eastAsia="en-US"/>
              </w:rPr>
            </w:pPr>
            <w:r w:rsidRPr="009F04D9">
              <w:rPr>
                <w:rFonts w:ascii="Arial" w:eastAsia="Calibri" w:hAnsi="Arial" w:cs="Arial"/>
                <w:b/>
                <w:bCs/>
                <w:sz w:val="22"/>
                <w:szCs w:val="22"/>
                <w:lang w:val="en-GB" w:eastAsia="en-US"/>
              </w:rPr>
              <w:t xml:space="preserve">Outcome </w:t>
            </w:r>
            <w:r w:rsidRPr="009F04D9">
              <w:rPr>
                <w:rFonts w:ascii="Arial" w:hAnsi="Arial" w:cs="Arial"/>
                <w:b/>
                <w:bCs/>
                <w:sz w:val="22"/>
                <w:szCs w:val="22"/>
                <w:lang w:val="en-GB" w:eastAsia="en-US"/>
              </w:rPr>
              <w:t>N°4</w:t>
            </w:r>
            <w:r w:rsidRPr="009F04D9">
              <w:rPr>
                <w:rFonts w:ascii="Arial" w:eastAsia="Calibri" w:hAnsi="Arial" w:cs="Arial"/>
                <w:b/>
                <w:bCs/>
                <w:sz w:val="22"/>
                <w:szCs w:val="22"/>
                <w:lang w:val="en-GB" w:eastAsia="en-US"/>
              </w:rPr>
              <w:t>:</w:t>
            </w:r>
            <w:r w:rsidRPr="009F04D9">
              <w:rPr>
                <w:rFonts w:ascii="Arial" w:eastAsia="Calibri" w:hAnsi="Arial" w:cs="Arial"/>
                <w:sz w:val="22"/>
                <w:szCs w:val="22"/>
                <w:lang w:val="en-GB" w:eastAsia="en-US"/>
              </w:rPr>
              <w:t xml:space="preserve"> States utilize strengthened human resources for safeguarding ICH, thereby contributing to sustainable development</w:t>
            </w:r>
            <w:r w:rsidR="007757BA">
              <w:rPr>
                <w:rFonts w:ascii="Arial" w:eastAsia="Calibri" w:hAnsi="Arial" w:cs="Arial"/>
                <w:sz w:val="22"/>
                <w:szCs w:val="22"/>
                <w:lang w:val="en-GB" w:eastAsia="en-US"/>
              </w:rPr>
              <w:t>.</w:t>
            </w:r>
          </w:p>
        </w:tc>
      </w:tr>
      <w:tr w:rsidR="009F04D9" w:rsidRPr="00554C38" w14:paraId="0E8E1797" w14:textId="77777777" w:rsidTr="007505D8">
        <w:trPr>
          <w:gridBefore w:val="1"/>
          <w:wBefore w:w="155" w:type="dxa"/>
          <w:trHeight w:val="185"/>
          <w:jc w:val="center"/>
        </w:trPr>
        <w:tc>
          <w:tcPr>
            <w:tcW w:w="9473" w:type="dxa"/>
            <w:gridSpan w:val="3"/>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vAlign w:val="center"/>
            <w:hideMark/>
          </w:tcPr>
          <w:p w14:paraId="1AB43626" w14:textId="47A5507C" w:rsidR="009F04D9" w:rsidRPr="009F04D9" w:rsidRDefault="009F04D9" w:rsidP="007757BA">
            <w:pPr>
              <w:spacing w:after="120" w:line="256" w:lineRule="auto"/>
              <w:jc w:val="both"/>
              <w:rPr>
                <w:rFonts w:ascii="Arial" w:eastAsia="Calibri" w:hAnsi="Arial" w:cs="Arial"/>
                <w:sz w:val="22"/>
                <w:szCs w:val="22"/>
                <w:lang w:val="en-GB" w:eastAsia="en-US"/>
              </w:rPr>
            </w:pPr>
            <w:r w:rsidRPr="009F04D9">
              <w:rPr>
                <w:rFonts w:ascii="Arial" w:eastAsia="Calibri" w:hAnsi="Arial" w:cs="Arial"/>
                <w:b/>
                <w:bCs/>
                <w:sz w:val="22"/>
                <w:szCs w:val="22"/>
                <w:lang w:val="en-GB" w:eastAsia="en-US"/>
              </w:rPr>
              <w:t xml:space="preserve">Output </w:t>
            </w:r>
            <w:r w:rsidRPr="009F04D9">
              <w:rPr>
                <w:rFonts w:ascii="Arial" w:hAnsi="Arial" w:cs="Arial"/>
                <w:b/>
                <w:bCs/>
                <w:sz w:val="22"/>
                <w:szCs w:val="22"/>
                <w:lang w:val="en-GB" w:eastAsia="en-US"/>
              </w:rPr>
              <w:t>N°</w:t>
            </w:r>
            <w:r w:rsidRPr="009F04D9">
              <w:rPr>
                <w:rFonts w:ascii="Arial" w:eastAsia="Calibri" w:hAnsi="Arial" w:cs="Arial"/>
                <w:b/>
                <w:bCs/>
                <w:sz w:val="22"/>
                <w:szCs w:val="22"/>
                <w:lang w:val="en-GB" w:eastAsia="en-US"/>
              </w:rPr>
              <w:t>4.1</w:t>
            </w:r>
            <w:r w:rsidR="002E38C2">
              <w:rPr>
                <w:rFonts w:ascii="Arial" w:eastAsia="Calibri" w:hAnsi="Arial" w:cs="Arial"/>
                <w:b/>
                <w:bCs/>
                <w:sz w:val="22"/>
                <w:szCs w:val="22"/>
                <w:lang w:val="en-GB" w:eastAsia="en-US"/>
              </w:rPr>
              <w:t>:</w:t>
            </w:r>
            <w:r w:rsidRPr="009F04D9">
              <w:rPr>
                <w:rFonts w:ascii="Arial" w:eastAsia="Calibri" w:hAnsi="Arial" w:cs="Arial"/>
                <w:sz w:val="22"/>
                <w:szCs w:val="22"/>
                <w:lang w:val="en-GB" w:eastAsia="en-US"/>
              </w:rPr>
              <w:t xml:space="preserve"> </w:t>
            </w:r>
            <w:r w:rsidR="007757BA">
              <w:rPr>
                <w:rFonts w:ascii="Arial" w:eastAsia="Calibri" w:hAnsi="Arial" w:cs="Arial"/>
                <w:sz w:val="22"/>
                <w:szCs w:val="22"/>
                <w:lang w:val="en-GB" w:eastAsia="en-US"/>
              </w:rPr>
              <w:t>C</w:t>
            </w:r>
            <w:r w:rsidRPr="009F04D9">
              <w:rPr>
                <w:rFonts w:ascii="Arial" w:eastAsia="Calibri" w:hAnsi="Arial" w:cs="Arial"/>
                <w:sz w:val="22"/>
                <w:szCs w:val="22"/>
                <w:lang w:val="en-GB" w:eastAsia="en-US"/>
              </w:rPr>
              <w:t xml:space="preserve">apacities </w:t>
            </w:r>
            <w:r w:rsidR="007757BA">
              <w:rPr>
                <w:rFonts w:ascii="Arial" w:eastAsia="Calibri" w:hAnsi="Arial" w:cs="Arial"/>
                <w:sz w:val="22"/>
                <w:szCs w:val="22"/>
                <w:lang w:val="en-GB" w:eastAsia="en-US"/>
              </w:rPr>
              <w:t xml:space="preserve">and skills </w:t>
            </w:r>
            <w:r w:rsidR="007757BA" w:rsidRPr="009F04D9">
              <w:rPr>
                <w:rFonts w:ascii="Arial" w:eastAsia="Calibri" w:hAnsi="Arial" w:cs="Arial"/>
                <w:sz w:val="22"/>
                <w:szCs w:val="22"/>
                <w:lang w:val="en-GB" w:eastAsia="en-US"/>
              </w:rPr>
              <w:t xml:space="preserve">of communities, groups and individuals </w:t>
            </w:r>
            <w:r w:rsidRPr="009F04D9">
              <w:rPr>
                <w:rFonts w:ascii="Arial" w:eastAsia="Calibri" w:hAnsi="Arial" w:cs="Arial"/>
                <w:sz w:val="22"/>
                <w:szCs w:val="22"/>
                <w:lang w:val="en-GB" w:eastAsia="en-US"/>
              </w:rPr>
              <w:t xml:space="preserve">to develop safeguarding plans for ICH </w:t>
            </w:r>
            <w:r w:rsidR="007757BA">
              <w:rPr>
                <w:rFonts w:ascii="Arial" w:eastAsia="Calibri" w:hAnsi="Arial" w:cs="Arial"/>
                <w:sz w:val="22"/>
                <w:szCs w:val="22"/>
                <w:lang w:val="en-GB" w:eastAsia="en-US"/>
              </w:rPr>
              <w:t>reinforced</w:t>
            </w:r>
            <w:r w:rsidR="00E422D0">
              <w:rPr>
                <w:rFonts w:ascii="Arial" w:eastAsia="Calibri" w:hAnsi="Arial" w:cs="Arial"/>
                <w:sz w:val="22"/>
                <w:szCs w:val="22"/>
                <w:lang w:val="en-GB" w:eastAsia="en-US"/>
              </w:rPr>
              <w:t>.</w:t>
            </w:r>
          </w:p>
        </w:tc>
      </w:tr>
      <w:tr w:rsidR="009F04D9" w:rsidRPr="00554C38" w14:paraId="330360C7" w14:textId="77777777" w:rsidTr="007505D8">
        <w:trPr>
          <w:gridBefore w:val="3"/>
          <w:wBefore w:w="310" w:type="dxa"/>
          <w:trHeight w:val="596"/>
          <w:jc w:val="center"/>
        </w:trPr>
        <w:tc>
          <w:tcPr>
            <w:tcW w:w="931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C2BAFC7" w14:textId="07289F0D" w:rsidR="009F04D9" w:rsidRPr="009F04D9" w:rsidRDefault="009F04D9" w:rsidP="007757BA">
            <w:pPr>
              <w:spacing w:line="257" w:lineRule="auto"/>
              <w:jc w:val="both"/>
              <w:rPr>
                <w:rFonts w:ascii="Arial" w:hAnsi="Arial" w:cs="Arial"/>
                <w:b/>
                <w:bCs/>
                <w:sz w:val="22"/>
                <w:szCs w:val="22"/>
                <w:lang w:val="en-GB" w:eastAsia="en-US"/>
              </w:rPr>
            </w:pPr>
            <w:r w:rsidRPr="009F04D9">
              <w:rPr>
                <w:rFonts w:ascii="Arial" w:hAnsi="Arial" w:cs="Arial"/>
                <w:b/>
                <w:bCs/>
                <w:sz w:val="22"/>
                <w:szCs w:val="22"/>
                <w:lang w:val="en-GB" w:eastAsia="en-US"/>
              </w:rPr>
              <w:t>Activity 1:</w:t>
            </w:r>
            <w:r w:rsidRPr="009F04D9">
              <w:rPr>
                <w:rFonts w:ascii="Arial" w:eastAsia="Calibri" w:hAnsi="Arial" w:cs="Arial"/>
                <w:sz w:val="22"/>
                <w:szCs w:val="22"/>
                <w:lang w:val="en-GB" w:eastAsia="en-US"/>
              </w:rPr>
              <w:t xml:space="preserve"> </w:t>
            </w:r>
            <w:r w:rsidR="007757BA">
              <w:rPr>
                <w:rFonts w:ascii="Arial" w:eastAsia="Calibri" w:hAnsi="Arial" w:cs="Arial"/>
                <w:sz w:val="22"/>
                <w:szCs w:val="22"/>
                <w:lang w:val="en-GB" w:eastAsia="en-US"/>
              </w:rPr>
              <w:t>Deliver t</w:t>
            </w:r>
            <w:r w:rsidRPr="009F04D9">
              <w:rPr>
                <w:rFonts w:ascii="Arial" w:eastAsia="Calibri" w:hAnsi="Arial" w:cs="Arial"/>
                <w:sz w:val="22"/>
                <w:szCs w:val="22"/>
                <w:lang w:val="en-GB" w:eastAsia="en-US"/>
              </w:rPr>
              <w:t xml:space="preserve">raining </w:t>
            </w:r>
            <w:r w:rsidR="007757BA">
              <w:rPr>
                <w:rFonts w:ascii="Arial" w:eastAsia="Calibri" w:hAnsi="Arial" w:cs="Arial"/>
                <w:sz w:val="22"/>
                <w:szCs w:val="22"/>
                <w:lang w:val="en-GB" w:eastAsia="en-US"/>
              </w:rPr>
              <w:t>to build capacities and skills on</w:t>
            </w:r>
            <w:r w:rsidR="007757BA" w:rsidRPr="009F04D9">
              <w:rPr>
                <w:rFonts w:ascii="Arial" w:eastAsia="Calibri" w:hAnsi="Arial" w:cs="Arial"/>
                <w:sz w:val="22"/>
                <w:szCs w:val="22"/>
                <w:lang w:val="en-GB" w:eastAsia="en-US"/>
              </w:rPr>
              <w:t xml:space="preserve"> </w:t>
            </w:r>
            <w:r w:rsidRPr="009F04D9">
              <w:rPr>
                <w:rFonts w:ascii="Arial" w:eastAsia="Calibri" w:hAnsi="Arial" w:cs="Arial"/>
                <w:sz w:val="22"/>
                <w:szCs w:val="22"/>
                <w:lang w:val="en-GB" w:eastAsia="en-US"/>
              </w:rPr>
              <w:t>community-based methods to elaborate safeguarding plans</w:t>
            </w:r>
            <w:r w:rsidR="007757BA">
              <w:rPr>
                <w:rFonts w:ascii="Arial" w:eastAsia="Calibri" w:hAnsi="Arial" w:cs="Arial"/>
                <w:sz w:val="22"/>
                <w:szCs w:val="22"/>
                <w:lang w:val="en-GB" w:eastAsia="en-US"/>
              </w:rPr>
              <w:t xml:space="preserve">, involving </w:t>
            </w:r>
            <w:r w:rsidRPr="009F04D9">
              <w:rPr>
                <w:rFonts w:ascii="Arial" w:eastAsia="Calibri" w:hAnsi="Arial" w:cs="Arial"/>
                <w:sz w:val="22"/>
                <w:szCs w:val="22"/>
                <w:lang w:val="en-GB" w:eastAsia="en-US"/>
              </w:rPr>
              <w:t>the communities, groups and individuals concerned</w:t>
            </w:r>
            <w:r w:rsidR="007757BA">
              <w:rPr>
                <w:rFonts w:ascii="Arial" w:eastAsia="Calibri" w:hAnsi="Arial" w:cs="Arial"/>
                <w:sz w:val="22"/>
                <w:szCs w:val="22"/>
                <w:lang w:val="en-GB" w:eastAsia="en-US"/>
              </w:rPr>
              <w:t xml:space="preserve"> on an inclusive basis and to the widest possible extent</w:t>
            </w:r>
            <w:r w:rsidR="00E422D0">
              <w:rPr>
                <w:rFonts w:ascii="Arial" w:eastAsia="Calibri" w:hAnsi="Arial" w:cs="Arial"/>
                <w:sz w:val="22"/>
                <w:szCs w:val="22"/>
                <w:lang w:val="en-GB" w:eastAsia="en-US"/>
              </w:rPr>
              <w:t>.</w:t>
            </w:r>
          </w:p>
        </w:tc>
      </w:tr>
      <w:tr w:rsidR="009F04D9" w:rsidRPr="00554C38" w14:paraId="76DAF179" w14:textId="77777777" w:rsidTr="007505D8">
        <w:trPr>
          <w:trHeight w:val="185"/>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23A472F5" w14:textId="53A5F04A" w:rsidR="009F04D9" w:rsidRPr="009F04D9" w:rsidRDefault="009F04D9" w:rsidP="009F04D9">
            <w:pPr>
              <w:keepNext/>
              <w:tabs>
                <w:tab w:val="center" w:pos="3780"/>
              </w:tabs>
              <w:autoSpaceDE w:val="0"/>
              <w:autoSpaceDN w:val="0"/>
              <w:adjustRightInd w:val="0"/>
              <w:spacing w:line="256" w:lineRule="auto"/>
              <w:jc w:val="both"/>
              <w:rPr>
                <w:rFonts w:ascii="Arial" w:hAnsi="Arial" w:cs="Arial"/>
                <w:b/>
                <w:bCs/>
                <w:sz w:val="22"/>
                <w:szCs w:val="22"/>
                <w:lang w:val="en-GB" w:eastAsia="en-US"/>
              </w:rPr>
            </w:pPr>
            <w:r w:rsidRPr="009F04D9">
              <w:rPr>
                <w:rFonts w:ascii="Arial" w:hAnsi="Arial" w:cs="Arial"/>
                <w:b/>
                <w:bCs/>
                <w:sz w:val="22"/>
                <w:szCs w:val="22"/>
                <w:lang w:val="en-GB" w:eastAsia="en-US"/>
              </w:rPr>
              <w:t>Outcome N°5</w:t>
            </w:r>
            <w:r w:rsidR="002E38C2">
              <w:rPr>
                <w:rFonts w:ascii="Arial" w:hAnsi="Arial" w:cs="Arial"/>
                <w:b/>
                <w:bCs/>
                <w:sz w:val="22"/>
                <w:szCs w:val="22"/>
                <w:lang w:val="en-GB" w:eastAsia="en-US"/>
              </w:rPr>
              <w:t>:</w:t>
            </w:r>
            <w:r w:rsidRPr="009F04D9">
              <w:rPr>
                <w:rFonts w:ascii="Arial" w:hAnsi="Arial" w:cs="Arial"/>
                <w:b/>
                <w:bCs/>
                <w:sz w:val="22"/>
                <w:szCs w:val="22"/>
                <w:lang w:val="en-GB" w:eastAsia="en-US"/>
              </w:rPr>
              <w:t xml:space="preserve"> </w:t>
            </w:r>
            <w:r w:rsidRPr="009F04D9">
              <w:rPr>
                <w:rFonts w:ascii="Arial" w:eastAsia="Calibri" w:hAnsi="Arial" w:cs="Arial"/>
                <w:sz w:val="22"/>
                <w:szCs w:val="22"/>
                <w:lang w:val="en-GB" w:eastAsia="en-US"/>
              </w:rPr>
              <w:t>States participate actively in the Convention’s mechanisms for international cooperation, including the International Assistance mechanism where relevant</w:t>
            </w:r>
            <w:r w:rsidR="007757BA">
              <w:rPr>
                <w:rFonts w:ascii="Arial" w:eastAsia="Calibri" w:hAnsi="Arial" w:cs="Arial"/>
                <w:sz w:val="22"/>
                <w:szCs w:val="22"/>
                <w:lang w:val="en-GB" w:eastAsia="en-US"/>
              </w:rPr>
              <w:t>.</w:t>
            </w:r>
          </w:p>
        </w:tc>
      </w:tr>
      <w:tr w:rsidR="009F04D9" w:rsidRPr="00554C38" w14:paraId="59BB4435" w14:textId="77777777" w:rsidTr="007505D8">
        <w:trPr>
          <w:gridBefore w:val="1"/>
          <w:wBefore w:w="155" w:type="dxa"/>
          <w:trHeight w:val="185"/>
          <w:jc w:val="center"/>
        </w:trPr>
        <w:tc>
          <w:tcPr>
            <w:tcW w:w="9473" w:type="dxa"/>
            <w:gridSpan w:val="3"/>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hideMark/>
          </w:tcPr>
          <w:p w14:paraId="486EB24E" w14:textId="5161CA8A" w:rsidR="009F04D9" w:rsidRPr="009F04D9" w:rsidRDefault="009F04D9" w:rsidP="00333B38">
            <w:pPr>
              <w:autoSpaceDE w:val="0"/>
              <w:autoSpaceDN w:val="0"/>
              <w:adjustRightInd w:val="0"/>
              <w:spacing w:line="256" w:lineRule="auto"/>
              <w:jc w:val="both"/>
              <w:rPr>
                <w:rFonts w:ascii="Arial" w:hAnsi="Arial" w:cs="Arial"/>
                <w:b/>
                <w:bCs/>
                <w:sz w:val="22"/>
                <w:szCs w:val="22"/>
                <w:lang w:val="en-GB" w:eastAsia="en-US"/>
              </w:rPr>
            </w:pPr>
            <w:r w:rsidRPr="009F04D9">
              <w:rPr>
                <w:rFonts w:ascii="Arial" w:hAnsi="Arial" w:cs="Arial"/>
                <w:b/>
                <w:bCs/>
                <w:sz w:val="22"/>
                <w:szCs w:val="22"/>
                <w:lang w:val="en-GB" w:eastAsia="en-US"/>
              </w:rPr>
              <w:t>Output N°5.1:</w:t>
            </w:r>
            <w:r w:rsidR="003E6D76">
              <w:rPr>
                <w:rFonts w:ascii="Arial" w:hAnsi="Arial" w:cs="Arial"/>
                <w:b/>
                <w:bCs/>
                <w:sz w:val="22"/>
                <w:szCs w:val="22"/>
                <w:lang w:val="en-GB" w:eastAsia="en-US"/>
              </w:rPr>
              <w:t xml:space="preserve"> </w:t>
            </w:r>
            <w:r w:rsidR="000F0B43">
              <w:rPr>
                <w:rFonts w:ascii="Arial" w:hAnsi="Arial" w:cs="Arial"/>
                <w:bCs/>
                <w:sz w:val="22"/>
                <w:szCs w:val="22"/>
                <w:lang w:val="en-GB" w:eastAsia="en-US"/>
              </w:rPr>
              <w:t>C</w:t>
            </w:r>
            <w:r w:rsidR="003E6D76">
              <w:rPr>
                <w:rFonts w:ascii="Arial" w:hAnsi="Arial" w:cs="Arial"/>
                <w:bCs/>
                <w:sz w:val="22"/>
                <w:szCs w:val="22"/>
                <w:lang w:val="en-GB" w:eastAsia="en-US"/>
              </w:rPr>
              <w:t xml:space="preserve">apacities </w:t>
            </w:r>
            <w:r w:rsidR="00BB320E">
              <w:rPr>
                <w:rFonts w:ascii="Arial" w:hAnsi="Arial" w:cs="Arial"/>
                <w:bCs/>
                <w:sz w:val="22"/>
                <w:szCs w:val="22"/>
                <w:lang w:val="en-GB" w:eastAsia="en-US"/>
              </w:rPr>
              <w:t>for participation</w:t>
            </w:r>
            <w:r w:rsidR="003E6D76">
              <w:rPr>
                <w:rFonts w:ascii="Arial" w:hAnsi="Arial" w:cs="Arial"/>
                <w:bCs/>
                <w:sz w:val="22"/>
                <w:szCs w:val="22"/>
                <w:lang w:val="en-GB" w:eastAsia="en-US"/>
              </w:rPr>
              <w:t xml:space="preserve"> in </w:t>
            </w:r>
            <w:r w:rsidRPr="009F04D9">
              <w:rPr>
                <w:rFonts w:ascii="Arial" w:eastAsia="Calibri" w:hAnsi="Arial" w:cs="Arial"/>
                <w:sz w:val="22"/>
                <w:szCs w:val="22"/>
                <w:lang w:val="en-GB" w:eastAsia="en-US"/>
              </w:rPr>
              <w:t>the international mechanisms of the Convention</w:t>
            </w:r>
            <w:r w:rsidR="003E6D76">
              <w:rPr>
                <w:rFonts w:ascii="Arial" w:eastAsia="Calibri" w:hAnsi="Arial" w:cs="Arial"/>
                <w:sz w:val="22"/>
                <w:szCs w:val="22"/>
                <w:lang w:val="en-GB" w:eastAsia="en-US"/>
              </w:rPr>
              <w:t xml:space="preserve">, including the preparation of </w:t>
            </w:r>
            <w:r w:rsidRPr="009F04D9">
              <w:rPr>
                <w:rFonts w:ascii="Arial" w:eastAsia="Calibri" w:hAnsi="Arial" w:cs="Arial"/>
                <w:sz w:val="22"/>
                <w:szCs w:val="22"/>
                <w:lang w:val="en-GB" w:eastAsia="en-US"/>
              </w:rPr>
              <w:t xml:space="preserve">International Assistance </w:t>
            </w:r>
            <w:r w:rsidR="003E6D76">
              <w:rPr>
                <w:rFonts w:ascii="Arial" w:eastAsia="Calibri" w:hAnsi="Arial" w:cs="Arial"/>
                <w:sz w:val="22"/>
                <w:szCs w:val="22"/>
                <w:lang w:val="en-GB" w:eastAsia="en-US"/>
              </w:rPr>
              <w:t xml:space="preserve">requests </w:t>
            </w:r>
            <w:r w:rsidR="00740A1A">
              <w:rPr>
                <w:rFonts w:ascii="Arial" w:eastAsia="Calibri" w:hAnsi="Arial" w:cs="Arial"/>
                <w:sz w:val="22"/>
                <w:szCs w:val="22"/>
                <w:lang w:val="en-GB" w:eastAsia="en-US"/>
              </w:rPr>
              <w:t>and/or</w:t>
            </w:r>
            <w:r w:rsidR="00740A1A" w:rsidRPr="009F04D9">
              <w:rPr>
                <w:rFonts w:ascii="Arial" w:eastAsia="Calibri" w:hAnsi="Arial" w:cs="Arial"/>
                <w:sz w:val="22"/>
                <w:szCs w:val="22"/>
                <w:lang w:val="en-GB" w:eastAsia="en-US"/>
              </w:rPr>
              <w:t xml:space="preserve"> </w:t>
            </w:r>
            <w:r w:rsidRPr="009F04D9">
              <w:rPr>
                <w:rFonts w:ascii="Arial" w:eastAsia="Calibri" w:hAnsi="Arial" w:cs="Arial"/>
                <w:sz w:val="22"/>
                <w:szCs w:val="22"/>
                <w:lang w:val="en-GB" w:eastAsia="en-US"/>
              </w:rPr>
              <w:t>nominations to the Lists</w:t>
            </w:r>
            <w:r w:rsidR="000F0B43">
              <w:rPr>
                <w:rFonts w:ascii="Arial" w:eastAsia="Calibri" w:hAnsi="Arial" w:cs="Arial"/>
                <w:sz w:val="22"/>
                <w:szCs w:val="22"/>
                <w:lang w:val="en-GB" w:eastAsia="en-US"/>
              </w:rPr>
              <w:t xml:space="preserve"> reinforced</w:t>
            </w:r>
            <w:r w:rsidR="00E422D0">
              <w:rPr>
                <w:rFonts w:ascii="Arial" w:eastAsia="Calibri" w:hAnsi="Arial" w:cs="Arial"/>
                <w:sz w:val="22"/>
                <w:szCs w:val="22"/>
                <w:lang w:val="en-GB" w:eastAsia="en-US"/>
              </w:rPr>
              <w:t>.</w:t>
            </w:r>
          </w:p>
        </w:tc>
      </w:tr>
      <w:tr w:rsidR="009F04D9" w:rsidRPr="00554C38" w14:paraId="7CC541CE" w14:textId="77777777" w:rsidTr="00333B38">
        <w:trPr>
          <w:gridBefore w:val="3"/>
          <w:wBefore w:w="846" w:type="dxa"/>
          <w:trHeight w:val="185"/>
          <w:jc w:val="center"/>
        </w:trPr>
        <w:tc>
          <w:tcPr>
            <w:tcW w:w="82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349859" w14:textId="1952962E" w:rsidR="009F04D9" w:rsidRPr="009F04D9" w:rsidRDefault="009F04D9" w:rsidP="00175FDA">
            <w:pPr>
              <w:autoSpaceDE w:val="0"/>
              <w:autoSpaceDN w:val="0"/>
              <w:adjustRightInd w:val="0"/>
              <w:spacing w:line="256" w:lineRule="auto"/>
              <w:jc w:val="both"/>
              <w:rPr>
                <w:rFonts w:ascii="Arial" w:hAnsi="Arial" w:cs="Arial"/>
                <w:b/>
                <w:bCs/>
                <w:sz w:val="22"/>
                <w:szCs w:val="22"/>
                <w:lang w:val="en-GB" w:eastAsia="en-US"/>
              </w:rPr>
            </w:pPr>
            <w:r w:rsidRPr="009F04D9">
              <w:rPr>
                <w:rFonts w:ascii="Arial" w:hAnsi="Arial" w:cs="Arial"/>
                <w:b/>
                <w:bCs/>
                <w:sz w:val="22"/>
                <w:szCs w:val="22"/>
                <w:lang w:val="en-GB" w:eastAsia="en-US"/>
              </w:rPr>
              <w:t xml:space="preserve">Activity </w:t>
            </w:r>
            <w:r w:rsidRPr="000663BD">
              <w:rPr>
                <w:rFonts w:ascii="Arial" w:hAnsi="Arial" w:cs="Arial"/>
                <w:b/>
                <w:bCs/>
                <w:sz w:val="22"/>
                <w:szCs w:val="22"/>
                <w:lang w:val="en-GB" w:eastAsia="en-US"/>
              </w:rPr>
              <w:t>1:</w:t>
            </w:r>
            <w:r w:rsidRPr="009F04D9">
              <w:rPr>
                <w:rFonts w:ascii="Arial" w:eastAsia="Calibri" w:hAnsi="Arial" w:cs="Arial"/>
                <w:sz w:val="22"/>
                <w:szCs w:val="22"/>
                <w:lang w:val="en-GB" w:eastAsia="en-US"/>
              </w:rPr>
              <w:t xml:space="preserve"> </w:t>
            </w:r>
            <w:r w:rsidR="00175FDA">
              <w:rPr>
                <w:rFonts w:ascii="Arial" w:eastAsia="Calibri" w:hAnsi="Arial" w:cs="Arial"/>
                <w:sz w:val="22"/>
                <w:szCs w:val="22"/>
                <w:lang w:val="en-GB" w:eastAsia="en-US"/>
              </w:rPr>
              <w:t xml:space="preserve">Conduct training workshops </w:t>
            </w:r>
            <w:r w:rsidRPr="00333B38">
              <w:rPr>
                <w:rFonts w:ascii="Arial" w:eastAsia="Calibri" w:hAnsi="Arial" w:cs="Arial"/>
                <w:sz w:val="22"/>
                <w:szCs w:val="22"/>
                <w:lang w:val="en-GB" w:eastAsia="en-US"/>
              </w:rPr>
              <w:t>to develop capacities</w:t>
            </w:r>
            <w:r w:rsidRPr="00175FDA">
              <w:rPr>
                <w:rFonts w:ascii="Arial" w:eastAsia="Calibri" w:hAnsi="Arial" w:cs="Arial"/>
                <w:sz w:val="22"/>
                <w:szCs w:val="22"/>
                <w:lang w:val="en-GB" w:eastAsia="en-US"/>
              </w:rPr>
              <w:t xml:space="preserve"> for participation in the international mechanisms of the Convention, including preparing International Assistance requests or nominations to the Lists</w:t>
            </w:r>
            <w:r w:rsidR="00E422D0">
              <w:rPr>
                <w:rFonts w:ascii="Arial" w:eastAsia="Calibri" w:hAnsi="Arial" w:cs="Arial"/>
                <w:sz w:val="22"/>
                <w:szCs w:val="22"/>
                <w:lang w:val="en-GB" w:eastAsia="en-US"/>
              </w:rPr>
              <w:t>.</w:t>
            </w:r>
          </w:p>
        </w:tc>
      </w:tr>
    </w:tbl>
    <w:p w14:paraId="367A73E0" w14:textId="77777777" w:rsidR="009F04D9" w:rsidRPr="007505D8" w:rsidRDefault="009F04D9" w:rsidP="009F04D9">
      <w:pPr>
        <w:jc w:val="both"/>
        <w:rPr>
          <w:rFonts w:ascii="Arial" w:eastAsia="Calibri" w:hAnsi="Arial" w:cs="Arial"/>
          <w:lang w:val="en-AU" w:eastAsia="en-US"/>
        </w:rPr>
      </w:pPr>
    </w:p>
    <w:p w14:paraId="12BC19CA" w14:textId="10580FE5" w:rsidR="009F04D9" w:rsidRPr="009F04D9" w:rsidRDefault="009F04D9" w:rsidP="007505D8">
      <w:pPr>
        <w:shd w:val="clear" w:color="auto" w:fill="0077D4"/>
        <w:tabs>
          <w:tab w:val="left" w:pos="567"/>
        </w:tabs>
        <w:snapToGrid w:val="0"/>
        <w:spacing w:after="240"/>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Implementation strategy</w:t>
      </w:r>
    </w:p>
    <w:p w14:paraId="553623D0" w14:textId="77777777" w:rsidR="009F04D9" w:rsidRPr="009F04D9" w:rsidRDefault="009F04D9" w:rsidP="009F04D9">
      <w:pPr>
        <w:autoSpaceDE w:val="0"/>
        <w:autoSpaceDN w:val="0"/>
        <w:adjustRightInd w:val="0"/>
        <w:spacing w:before="120" w:after="120"/>
        <w:jc w:val="both"/>
        <w:rPr>
          <w:rFonts w:ascii="Arial" w:eastAsia="Batang" w:hAnsi="Arial" w:cs="Arial"/>
          <w:sz w:val="22"/>
          <w:lang w:val="en-GB" w:eastAsia="en-US"/>
        </w:rPr>
      </w:pPr>
      <w:r w:rsidRPr="009F04D9">
        <w:rPr>
          <w:rFonts w:ascii="Arial" w:eastAsia="Calibri" w:hAnsi="Arial" w:cs="Arial"/>
          <w:sz w:val="22"/>
          <w:lang w:val="en-GB" w:eastAsia="en-US"/>
        </w:rPr>
        <w:t>The capacity-building process is steered by UNESCO’s network of field offices, in cooperation with national counterparts and with on-going technical support from the Intangible Cultural Heritage Section. States are provided with a diverse complement of interventions designed – according to each State’s needs – to strengthen its human and institutional capacities for safeguarding ICH. While workshops and training activities are the most visible features of the Programme, they are embedded within an integrated process of international cooperation and technical assistance to each beneficiary State.</w:t>
      </w:r>
    </w:p>
    <w:p w14:paraId="1908BCB4" w14:textId="1D668BFA" w:rsidR="009F04D9" w:rsidRPr="009F04D9" w:rsidRDefault="009F04D9" w:rsidP="009F04D9">
      <w:pPr>
        <w:autoSpaceDE w:val="0"/>
        <w:autoSpaceDN w:val="0"/>
        <w:adjustRightInd w:val="0"/>
        <w:spacing w:before="120" w:after="120"/>
        <w:jc w:val="both"/>
        <w:rPr>
          <w:rFonts w:ascii="Arial" w:eastAsia="Calibri" w:hAnsi="Arial" w:cs="Arial"/>
          <w:sz w:val="22"/>
          <w:lang w:val="en-GB" w:eastAsia="en-US"/>
        </w:rPr>
      </w:pPr>
      <w:r w:rsidRPr="009F04D9">
        <w:rPr>
          <w:rFonts w:ascii="Arial" w:eastAsia="Calibri" w:hAnsi="Arial" w:cs="Arial"/>
          <w:sz w:val="22"/>
          <w:lang w:val="en-GB" w:eastAsia="en-US"/>
        </w:rPr>
        <w:t>The Secretariat identifies beneficiary States by taking into account the needs and implementation capacities of Member States and UNESCO’s delivery capacity in each State. The regional or bilateral priorities of donors can also be taken into account. In some cases, a preliminary needs assessment is built into the project to guide the development of specific interventions; in other cases, such needs assessment will already have been completed using other funds.</w:t>
      </w:r>
    </w:p>
    <w:p w14:paraId="7F3C0C92" w14:textId="1A6510E5" w:rsidR="009F04D9" w:rsidRPr="009F04D9" w:rsidRDefault="009F04D9" w:rsidP="009F04D9">
      <w:pPr>
        <w:autoSpaceDE w:val="0"/>
        <w:autoSpaceDN w:val="0"/>
        <w:adjustRightInd w:val="0"/>
        <w:spacing w:before="120" w:after="120"/>
        <w:jc w:val="both"/>
        <w:rPr>
          <w:rFonts w:ascii="Arial" w:eastAsia="Calibri" w:hAnsi="Arial" w:cs="Arial"/>
          <w:snapToGrid w:val="0"/>
          <w:sz w:val="22"/>
          <w:szCs w:val="18"/>
          <w:lang w:val="en-GB" w:eastAsia="en-US"/>
        </w:rPr>
      </w:pPr>
      <w:r w:rsidRPr="009F04D9">
        <w:rPr>
          <w:rFonts w:ascii="Arial" w:eastAsia="Calibri" w:hAnsi="Arial" w:cs="Arial"/>
          <w:sz w:val="22"/>
          <w:lang w:val="en-GB" w:eastAsia="en-US"/>
        </w:rPr>
        <w:t>The Programme foresees establishing links with national development strategies, and United Nations Development Assistance Framework (UNDAF) and Common Country Assessment (CCA) processes</w:t>
      </w:r>
      <w:r w:rsidR="00EB3B58">
        <w:rPr>
          <w:rFonts w:ascii="Arial" w:eastAsia="Calibri" w:hAnsi="Arial" w:cs="Arial"/>
          <w:sz w:val="22"/>
          <w:lang w:val="en-GB" w:eastAsia="en-US"/>
        </w:rPr>
        <w:t>,</w:t>
      </w:r>
      <w:r w:rsidRPr="009F04D9">
        <w:rPr>
          <w:rFonts w:ascii="Arial" w:eastAsia="Calibri" w:hAnsi="Arial" w:cs="Arial"/>
          <w:sz w:val="22"/>
          <w:lang w:val="en-GB" w:eastAsia="en-US"/>
        </w:rPr>
        <w:t xml:space="preserve"> as part of the policy work</w:t>
      </w:r>
      <w:r w:rsidR="00F53467">
        <w:rPr>
          <w:rFonts w:ascii="Arial" w:eastAsia="Calibri" w:hAnsi="Arial" w:cs="Arial"/>
          <w:sz w:val="22"/>
          <w:lang w:val="en-GB" w:eastAsia="en-US"/>
        </w:rPr>
        <w:t>, which aims</w:t>
      </w:r>
      <w:r w:rsidRPr="009F04D9">
        <w:rPr>
          <w:rFonts w:ascii="Arial" w:eastAsia="Calibri" w:hAnsi="Arial" w:cs="Arial"/>
          <w:snapToGrid w:val="0"/>
          <w:sz w:val="22"/>
          <w:szCs w:val="18"/>
          <w:lang w:val="en-GB" w:eastAsia="en-US"/>
        </w:rPr>
        <w:t xml:space="preserve"> to create an environment supportive to safeguarding</w:t>
      </w:r>
      <w:r w:rsidR="00022DCB">
        <w:rPr>
          <w:rFonts w:ascii="Arial" w:eastAsia="Calibri" w:hAnsi="Arial" w:cs="Arial"/>
          <w:snapToGrid w:val="0"/>
          <w:sz w:val="22"/>
          <w:szCs w:val="18"/>
          <w:lang w:val="en-GB" w:eastAsia="en-US"/>
        </w:rPr>
        <w:t xml:space="preserve"> ICH</w:t>
      </w:r>
      <w:r w:rsidRPr="009F04D9">
        <w:rPr>
          <w:rFonts w:ascii="Arial" w:eastAsia="Calibri" w:hAnsi="Arial" w:cs="Arial"/>
          <w:snapToGrid w:val="0"/>
          <w:sz w:val="22"/>
          <w:szCs w:val="18"/>
          <w:lang w:val="en-GB" w:eastAsia="en-US"/>
        </w:rPr>
        <w:t xml:space="preserve"> and harness </w:t>
      </w:r>
      <w:r w:rsidR="00022DCB">
        <w:rPr>
          <w:rFonts w:ascii="Arial" w:eastAsia="Calibri" w:hAnsi="Arial" w:cs="Arial"/>
          <w:snapToGrid w:val="0"/>
          <w:sz w:val="22"/>
          <w:szCs w:val="18"/>
          <w:lang w:val="en-GB" w:eastAsia="en-US"/>
        </w:rPr>
        <w:t>its</w:t>
      </w:r>
      <w:r w:rsidR="00022DCB" w:rsidRPr="009F04D9">
        <w:rPr>
          <w:rFonts w:ascii="Arial" w:eastAsia="Calibri" w:hAnsi="Arial" w:cs="Arial"/>
          <w:snapToGrid w:val="0"/>
          <w:sz w:val="22"/>
          <w:szCs w:val="18"/>
          <w:lang w:val="en-GB" w:eastAsia="en-US"/>
        </w:rPr>
        <w:t xml:space="preserve"> </w:t>
      </w:r>
      <w:r w:rsidRPr="009F04D9">
        <w:rPr>
          <w:rFonts w:ascii="Arial" w:eastAsia="Calibri" w:hAnsi="Arial" w:cs="Arial"/>
          <w:snapToGrid w:val="0"/>
          <w:sz w:val="22"/>
          <w:szCs w:val="18"/>
          <w:lang w:val="en-GB" w:eastAsia="en-US"/>
        </w:rPr>
        <w:t>potential for sustainable development. Attention will be paid to the equal involvement of women and men as part of an inclusive approach outlined above.</w:t>
      </w:r>
    </w:p>
    <w:p w14:paraId="3DBB2C4F" w14:textId="2BB92585" w:rsidR="009F04D9" w:rsidRPr="009F04D9" w:rsidRDefault="009F04D9" w:rsidP="009F04D9">
      <w:pPr>
        <w:autoSpaceDE w:val="0"/>
        <w:autoSpaceDN w:val="0"/>
        <w:adjustRightInd w:val="0"/>
        <w:spacing w:before="120" w:after="120"/>
        <w:jc w:val="both"/>
        <w:rPr>
          <w:rFonts w:ascii="Arial" w:eastAsia="Calibri" w:hAnsi="Arial" w:cs="Arial"/>
          <w:snapToGrid w:val="0"/>
          <w:sz w:val="22"/>
          <w:szCs w:val="18"/>
          <w:lang w:val="en-GB" w:eastAsia="en-US"/>
        </w:rPr>
      </w:pPr>
      <w:r w:rsidRPr="009F04D9">
        <w:rPr>
          <w:rFonts w:ascii="Arial" w:eastAsia="Calibri" w:hAnsi="Arial" w:cs="Arial"/>
          <w:snapToGrid w:val="0"/>
          <w:sz w:val="22"/>
          <w:szCs w:val="18"/>
          <w:lang w:val="en-GB" w:eastAsia="en-US"/>
        </w:rPr>
        <w:t xml:space="preserve">Technical assistance will be delivered using content and materials developed by UNESCO as part of its capacity-building curriculum. UNESCO developed thematic training materials and guidance tools on a range of topics relevant for the effective implementation of the Convention, including guidance on policy development, </w:t>
      </w:r>
      <w:r w:rsidR="00462B68">
        <w:rPr>
          <w:rFonts w:ascii="Arial" w:eastAsia="Calibri" w:hAnsi="Arial" w:cs="Arial"/>
          <w:snapToGrid w:val="0"/>
          <w:sz w:val="22"/>
          <w:szCs w:val="18"/>
          <w:lang w:val="en-GB" w:eastAsia="en-US"/>
        </w:rPr>
        <w:t xml:space="preserve">community-based </w:t>
      </w:r>
      <w:r w:rsidRPr="009F04D9">
        <w:rPr>
          <w:rFonts w:ascii="Arial" w:eastAsia="Calibri" w:hAnsi="Arial" w:cs="Arial"/>
          <w:snapToGrid w:val="0"/>
          <w:sz w:val="22"/>
          <w:szCs w:val="18"/>
          <w:lang w:val="en-GB" w:eastAsia="en-US"/>
        </w:rPr>
        <w:t>inventorying, safeguarding plans, integrating ICH in sustainable development policies and programmes, gender, ethics and the international cooperation mechanisms. The materials are available online in several languages and translation will be built into a country project to support the localization of the curriculum where needed. The services are delivered through UNESCO’s network of trained facilitators, who are familiar with the specific country context and trained to use and adapt the UNESCO training materials.</w:t>
      </w:r>
    </w:p>
    <w:p w14:paraId="509FA27F" w14:textId="77777777" w:rsidR="009F04D9" w:rsidRPr="009F04D9" w:rsidRDefault="009F04D9" w:rsidP="007505D8">
      <w:pPr>
        <w:shd w:val="clear" w:color="auto" w:fill="0077D4"/>
        <w:tabs>
          <w:tab w:val="left" w:pos="567"/>
        </w:tabs>
        <w:snapToGrid w:val="0"/>
        <w:spacing w:before="240" w:after="240"/>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Stakeholders, beneficiaries and partners</w:t>
      </w:r>
    </w:p>
    <w:p w14:paraId="1729CD23" w14:textId="77777777" w:rsidR="009F04D9" w:rsidRPr="009F04D9" w:rsidRDefault="009F04D9" w:rsidP="009F04D9">
      <w:pPr>
        <w:spacing w:before="120" w:after="120"/>
        <w:jc w:val="both"/>
        <w:rPr>
          <w:rFonts w:ascii="Arial" w:eastAsia="Batang" w:hAnsi="Arial" w:cs="Arial"/>
          <w:sz w:val="22"/>
          <w:lang w:val="en-GB" w:eastAsia="en-US"/>
        </w:rPr>
      </w:pPr>
      <w:r w:rsidRPr="009F04D9">
        <w:rPr>
          <w:rFonts w:ascii="Arial" w:eastAsia="Calibri" w:hAnsi="Arial" w:cs="Arial"/>
          <w:sz w:val="22"/>
          <w:lang w:val="en-GB" w:eastAsia="en-US"/>
        </w:rPr>
        <w:t>Beneficiaries include the different actors involved in the decision-making, administration and practical aspects related to safeguarding ICH. For the policy component of the Programme, the primary beneficiaries are officials from ministries of culture and other ministries willing to integrate the safeguarding of ICH in their work. The training and advisory process may also include relevant institutes, NGOs, universities and community representatives. For the activities related to community-based inventorying and safeguarding, the primary beneficiaries are field workers and the groups and communities concerned.</w:t>
      </w:r>
    </w:p>
    <w:p w14:paraId="39AF79E1" w14:textId="77777777" w:rsidR="009F04D9" w:rsidRPr="009F04D9" w:rsidRDefault="009F04D9" w:rsidP="009F04D9">
      <w:pPr>
        <w:spacing w:before="120" w:after="120"/>
        <w:jc w:val="both"/>
        <w:rPr>
          <w:rFonts w:ascii="Arial" w:eastAsia="Calibri" w:hAnsi="Arial" w:cs="Arial"/>
          <w:sz w:val="22"/>
          <w:szCs w:val="20"/>
          <w:lang w:val="en-GB" w:eastAsia="en-US"/>
        </w:rPr>
      </w:pPr>
      <w:r w:rsidRPr="009F04D9">
        <w:rPr>
          <w:rFonts w:ascii="Arial" w:eastAsia="Calibri" w:hAnsi="Arial" w:cs="Arial"/>
          <w:sz w:val="22"/>
          <w:szCs w:val="20"/>
          <w:lang w:val="en-GB" w:eastAsia="en-US"/>
        </w:rPr>
        <w:t>Safeguarding ICH typically requires the intervention of stakeholders from diverse fields. To mobilize them is a great challenge as they are not always aware of the role they play or can play in safeguarding ICH. When UNESCO translates this global proposal into specific country proposals, such persons must be involved from the outset in the project design.</w:t>
      </w:r>
    </w:p>
    <w:p w14:paraId="1BE36F21" w14:textId="77777777" w:rsidR="009F04D9" w:rsidRPr="009F04D9" w:rsidRDefault="009F04D9" w:rsidP="009F04D9">
      <w:pPr>
        <w:spacing w:before="120" w:after="120"/>
        <w:jc w:val="both"/>
        <w:rPr>
          <w:rFonts w:ascii="Arial" w:eastAsia="Calibri" w:hAnsi="Arial" w:cs="Arial"/>
          <w:sz w:val="22"/>
          <w:lang w:val="en-GB" w:eastAsia="en-US"/>
        </w:rPr>
      </w:pPr>
      <w:r w:rsidRPr="009F04D9">
        <w:rPr>
          <w:rFonts w:ascii="Arial" w:eastAsia="Calibri" w:hAnsi="Arial" w:cs="Arial"/>
          <w:sz w:val="22"/>
          <w:lang w:val="en-GB" w:eastAsia="en-US"/>
        </w:rPr>
        <w:t>The Convention recognizes the critical – indeed, indispensable – role of communities in safeguarding their ICH. Therefore, all activities carried out under this Programme will be in line with the Convention’s Ethical Principles for Safeguarding Intangible Cultural Heritage and will obtain the free, prior and informed consent of the communities concerned.</w:t>
      </w:r>
      <w:r w:rsidRPr="009F04D9">
        <w:rPr>
          <w:rFonts w:ascii="Arial" w:eastAsia="Calibri" w:hAnsi="Arial" w:cs="Arial"/>
          <w:sz w:val="22"/>
          <w:vertAlign w:val="superscript"/>
          <w:lang w:val="en-GB" w:eastAsia="en-US"/>
        </w:rPr>
        <w:footnoteReference w:id="4"/>
      </w:r>
      <w:r w:rsidRPr="009F04D9">
        <w:rPr>
          <w:rFonts w:ascii="Arial" w:eastAsia="Calibri" w:hAnsi="Arial" w:cs="Arial"/>
          <w:sz w:val="22"/>
          <w:lang w:val="en-GB" w:eastAsia="en-US"/>
        </w:rPr>
        <w:t xml:space="preserve"> The Programme will take an inclusive approach to ensure the widest possible participation of relevant stakeholders in the design and implementation of safeguarding activities.</w:t>
      </w:r>
    </w:p>
    <w:p w14:paraId="7F2AF5EA" w14:textId="77777777" w:rsidR="009F04D9" w:rsidRPr="009F04D9" w:rsidRDefault="009F04D9" w:rsidP="007505D8">
      <w:pPr>
        <w:shd w:val="clear" w:color="auto" w:fill="0077D4"/>
        <w:tabs>
          <w:tab w:val="left" w:pos="567"/>
        </w:tabs>
        <w:snapToGrid w:val="0"/>
        <w:spacing w:before="240" w:after="240"/>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Risk analysis, sustainability and exit strategy</w:t>
      </w:r>
    </w:p>
    <w:p w14:paraId="2E29034D" w14:textId="77777777" w:rsidR="009F04D9" w:rsidRPr="009F04D9" w:rsidRDefault="009F04D9" w:rsidP="009F04D9">
      <w:pPr>
        <w:spacing w:before="120" w:after="120"/>
        <w:jc w:val="both"/>
        <w:rPr>
          <w:rFonts w:ascii="Arial" w:eastAsia="Batang" w:hAnsi="Arial" w:cs="Arial"/>
          <w:sz w:val="22"/>
          <w:szCs w:val="20"/>
          <w:lang w:val="en-GB" w:eastAsia="en-US"/>
        </w:rPr>
      </w:pPr>
      <w:r w:rsidRPr="009F04D9">
        <w:rPr>
          <w:rFonts w:ascii="Arial" w:eastAsia="Calibri" w:hAnsi="Arial" w:cs="Arial"/>
          <w:sz w:val="22"/>
          <w:szCs w:val="20"/>
          <w:lang w:val="en-GB" w:eastAsia="en-US"/>
        </w:rPr>
        <w:t>The Programme is designed to maximize its sustainability and multiplier effect. It aims to create in each beneficiary country a critical level of national capacity, both in government institutions and among key players from communities and civil society, constituting a sustainable foundation for safeguarding ICH and implementing the Convention. It takes a need-responsive approach, which is sensitive to each country context, thereby avoiding the risk of a one-size-fits-all approach.</w:t>
      </w:r>
    </w:p>
    <w:p w14:paraId="76706D06" w14:textId="6D20D875" w:rsidR="009F04D9" w:rsidRPr="009F04D9" w:rsidRDefault="00DB3D03" w:rsidP="009F04D9">
      <w:pPr>
        <w:spacing w:before="120" w:after="120"/>
        <w:jc w:val="both"/>
        <w:rPr>
          <w:rFonts w:ascii="Arial" w:eastAsia="Calibri" w:hAnsi="Arial" w:cs="Arial"/>
          <w:sz w:val="22"/>
          <w:lang w:val="en-GB" w:eastAsia="en-US"/>
        </w:rPr>
      </w:pPr>
      <w:r>
        <w:rPr>
          <w:rFonts w:ascii="Arial" w:eastAsia="Calibri" w:hAnsi="Arial" w:cs="Arial"/>
          <w:sz w:val="22"/>
          <w:lang w:val="en-GB" w:eastAsia="en-US"/>
        </w:rPr>
        <w:t>New ares of</w:t>
      </w:r>
      <w:r w:rsidR="009F04D9" w:rsidRPr="009F04D9">
        <w:rPr>
          <w:rFonts w:ascii="Arial" w:eastAsia="Calibri" w:hAnsi="Arial" w:cs="Arial"/>
          <w:sz w:val="22"/>
          <w:lang w:val="en-GB" w:eastAsia="en-US"/>
        </w:rPr>
        <w:t xml:space="preserve"> focus </w:t>
      </w:r>
      <w:r>
        <w:rPr>
          <w:rFonts w:ascii="Arial" w:eastAsia="Calibri" w:hAnsi="Arial" w:cs="Arial"/>
          <w:sz w:val="22"/>
          <w:lang w:val="en-GB" w:eastAsia="en-US"/>
        </w:rPr>
        <w:t>for</w:t>
      </w:r>
      <w:r w:rsidRPr="009F04D9">
        <w:rPr>
          <w:rFonts w:ascii="Arial" w:eastAsia="Calibri" w:hAnsi="Arial" w:cs="Arial"/>
          <w:sz w:val="22"/>
          <w:lang w:val="en-GB" w:eastAsia="en-US"/>
        </w:rPr>
        <w:t xml:space="preserve"> </w:t>
      </w:r>
      <w:r w:rsidR="009F04D9" w:rsidRPr="009F04D9">
        <w:rPr>
          <w:rFonts w:ascii="Arial" w:eastAsia="Calibri" w:hAnsi="Arial" w:cs="Arial"/>
          <w:sz w:val="22"/>
          <w:lang w:val="en-GB" w:eastAsia="en-US"/>
        </w:rPr>
        <w:t xml:space="preserve">the capacity-building Programme </w:t>
      </w:r>
      <w:r>
        <w:rPr>
          <w:rFonts w:ascii="Arial" w:eastAsia="Calibri" w:hAnsi="Arial" w:cs="Arial"/>
          <w:sz w:val="22"/>
          <w:lang w:val="en-GB" w:eastAsia="en-US"/>
        </w:rPr>
        <w:t>include</w:t>
      </w:r>
      <w:r w:rsidRPr="009F04D9">
        <w:rPr>
          <w:rFonts w:ascii="Arial" w:eastAsia="Calibri" w:hAnsi="Arial" w:cs="Arial"/>
          <w:sz w:val="22"/>
          <w:lang w:val="en-GB" w:eastAsia="en-US"/>
        </w:rPr>
        <w:t xml:space="preserve"> </w:t>
      </w:r>
      <w:r w:rsidR="009F04D9" w:rsidRPr="009F04D9">
        <w:rPr>
          <w:rFonts w:ascii="Arial" w:eastAsia="Calibri" w:hAnsi="Arial" w:cs="Arial"/>
          <w:sz w:val="22"/>
          <w:lang w:val="en-GB" w:eastAsia="en-US"/>
        </w:rPr>
        <w:t xml:space="preserve">the establishment of national networks of trainers </w:t>
      </w:r>
      <w:r>
        <w:rPr>
          <w:rFonts w:ascii="Arial" w:eastAsia="Calibri" w:hAnsi="Arial" w:cs="Arial"/>
          <w:sz w:val="22"/>
          <w:lang w:val="en-GB" w:eastAsia="en-US"/>
        </w:rPr>
        <w:t>and</w:t>
      </w:r>
      <w:r w:rsidR="009F04D9" w:rsidRPr="009F04D9">
        <w:rPr>
          <w:rFonts w:ascii="Arial" w:eastAsia="Calibri" w:hAnsi="Arial" w:cs="Arial"/>
          <w:sz w:val="22"/>
          <w:lang w:val="en-GB" w:eastAsia="en-US"/>
        </w:rPr>
        <w:t xml:space="preserve"> strengthening of relevant organizations or institutions, which can replicate capacity building by relying on internal expertise, built and strengthened through the Programme. This new</w:t>
      </w:r>
      <w:r>
        <w:rPr>
          <w:rFonts w:ascii="Arial" w:eastAsia="Calibri" w:hAnsi="Arial" w:cs="Arial"/>
          <w:sz w:val="22"/>
          <w:lang w:val="en-GB" w:eastAsia="en-US"/>
        </w:rPr>
        <w:t xml:space="preserve"> areas of</w:t>
      </w:r>
      <w:r w:rsidR="009F04D9" w:rsidRPr="009F04D9">
        <w:rPr>
          <w:rFonts w:ascii="Arial" w:eastAsia="Calibri" w:hAnsi="Arial" w:cs="Arial"/>
          <w:sz w:val="22"/>
          <w:lang w:val="en-GB" w:eastAsia="en-US"/>
        </w:rPr>
        <w:t xml:space="preserve"> focus </w:t>
      </w:r>
      <w:r>
        <w:rPr>
          <w:rFonts w:ascii="Arial" w:eastAsia="Calibri" w:hAnsi="Arial" w:cs="Arial"/>
          <w:sz w:val="22"/>
          <w:lang w:val="en-GB" w:eastAsia="en-US"/>
        </w:rPr>
        <w:t>are</w:t>
      </w:r>
      <w:r w:rsidRPr="009F04D9">
        <w:rPr>
          <w:rFonts w:ascii="Arial" w:eastAsia="Calibri" w:hAnsi="Arial" w:cs="Arial"/>
          <w:sz w:val="22"/>
          <w:lang w:val="en-GB" w:eastAsia="en-US"/>
        </w:rPr>
        <w:t xml:space="preserve"> </w:t>
      </w:r>
      <w:r w:rsidR="009F04D9" w:rsidRPr="009F04D9">
        <w:rPr>
          <w:rFonts w:ascii="Arial" w:eastAsia="Calibri" w:hAnsi="Arial" w:cs="Arial"/>
          <w:sz w:val="22"/>
          <w:lang w:val="en-GB" w:eastAsia="en-US"/>
        </w:rPr>
        <w:t>an important factor for the sustainability of the Programme.</w:t>
      </w:r>
    </w:p>
    <w:p w14:paraId="52136708" w14:textId="77777777" w:rsidR="009F04D9" w:rsidRPr="009F04D9" w:rsidRDefault="009F04D9" w:rsidP="009F04D9">
      <w:pPr>
        <w:spacing w:before="120" w:after="120"/>
        <w:jc w:val="both"/>
        <w:rPr>
          <w:rFonts w:ascii="Arial" w:eastAsia="Calibri" w:hAnsi="Arial" w:cs="Arial"/>
          <w:bCs/>
          <w:lang w:val="en-GB" w:eastAsia="en-US"/>
        </w:rPr>
      </w:pPr>
      <w:r w:rsidRPr="009F04D9">
        <w:rPr>
          <w:rFonts w:ascii="Arial" w:eastAsia="Calibri" w:hAnsi="Arial" w:cs="Arial"/>
          <w:sz w:val="22"/>
          <w:lang w:val="en-GB" w:eastAsia="en-US"/>
        </w:rPr>
        <w:t>The Programme seeks to strengthen institutional-level relations in countries through the identification of suitable institutional partners, including universities and research institutes, civil society organizations, and other UN agencies. By involving stakeholders from both the culture sector and other development fields, the Programme facilitates the integration of provisions for safeguarding ICH into larger development strategies and programmes, thereby further sustaining the viability of ICH and harnessing it for the well-being of communities and societies.</w:t>
      </w:r>
    </w:p>
    <w:p w14:paraId="4D646E74" w14:textId="77777777" w:rsidR="009F04D9" w:rsidRPr="009F04D9" w:rsidRDefault="009F04D9" w:rsidP="009F04D9">
      <w:pPr>
        <w:rPr>
          <w:rFonts w:ascii="Arial" w:hAnsi="Arial" w:cs="Arial"/>
          <w:b/>
          <w:snapToGrid w:val="0"/>
          <w:sz w:val="22"/>
          <w:szCs w:val="22"/>
          <w:u w:val="single"/>
          <w:lang w:val="en-GB" w:eastAsia="en-US"/>
        </w:rPr>
      </w:pPr>
      <w:r w:rsidRPr="009F04D9">
        <w:rPr>
          <w:rFonts w:ascii="Calibri" w:hAnsi="Calibri"/>
          <w:b/>
          <w:snapToGrid w:val="0"/>
          <w:lang w:val="en-US" w:eastAsia="en-US"/>
        </w:rPr>
        <w:br w:type="page"/>
      </w:r>
    </w:p>
    <w:p w14:paraId="20EE3C19" w14:textId="77777777" w:rsidR="009F04D9" w:rsidRPr="009F04D9" w:rsidRDefault="009F04D9" w:rsidP="009F04D9">
      <w:pPr>
        <w:keepNext/>
        <w:pageBreakBefore/>
        <w:autoSpaceDE w:val="0"/>
        <w:autoSpaceDN w:val="0"/>
        <w:adjustRightInd w:val="0"/>
        <w:spacing w:before="720" w:after="120"/>
        <w:jc w:val="center"/>
        <w:rPr>
          <w:rFonts w:ascii="Arial" w:hAnsi="Arial" w:cs="Arial"/>
          <w:b/>
          <w:snapToGrid w:val="0"/>
          <w:sz w:val="22"/>
          <w:szCs w:val="22"/>
          <w:u w:val="single"/>
          <w:lang w:val="en-GB" w:eastAsia="en-US"/>
        </w:rPr>
      </w:pPr>
      <w:r w:rsidRPr="009F04D9">
        <w:rPr>
          <w:rFonts w:ascii="Arial" w:hAnsi="Arial" w:cs="Arial"/>
          <w:b/>
          <w:snapToGrid w:val="0"/>
          <w:sz w:val="22"/>
          <w:szCs w:val="22"/>
          <w:u w:val="single"/>
          <w:lang w:val="en-GB" w:eastAsia="en-US"/>
        </w:rPr>
        <w:t>Funding priority 2</w:t>
      </w:r>
    </w:p>
    <w:p w14:paraId="6E844A65" w14:textId="77777777" w:rsidR="009F04D9" w:rsidRPr="009F04D9" w:rsidRDefault="009F04D9" w:rsidP="0032376B">
      <w:pPr>
        <w:spacing w:before="240" w:after="240"/>
        <w:rPr>
          <w:rFonts w:ascii="Calibri" w:eastAsia="Calibri" w:hAnsi="Calibri"/>
          <w:color w:val="FFFFFF"/>
          <w:sz w:val="100"/>
          <w:shd w:val="clear" w:color="auto" w:fill="0077D4"/>
          <w:lang w:val="en-GB" w:eastAsia="en-US"/>
        </w:rPr>
      </w:pPr>
      <w:r w:rsidRPr="009F04D9">
        <w:rPr>
          <w:rFonts w:ascii="Calibri" w:eastAsia="Calibri" w:hAnsi="Calibri"/>
          <w:color w:val="FFFFFF"/>
          <w:sz w:val="48"/>
          <w:szCs w:val="48"/>
          <w:shd w:val="clear" w:color="auto" w:fill="0077D4"/>
          <w:lang w:val="en-GB" w:eastAsia="en-US"/>
        </w:rPr>
        <w:t>Safeguarding intangible cultural heritage in formal and non-formal education</w:t>
      </w:r>
    </w:p>
    <w:tbl>
      <w:tblPr>
        <w:tblStyle w:val="TableGrid1"/>
        <w:tblW w:w="9638" w:type="dxa"/>
        <w:tblBorders>
          <w:top w:val="single" w:sz="2" w:space="0" w:color="FFFFFF"/>
          <w:left w:val="single" w:sz="2" w:space="0" w:color="FFFFFF"/>
          <w:bottom w:val="single" w:sz="2" w:space="0" w:color="FFFFFF"/>
          <w:right w:val="single" w:sz="2" w:space="0" w:color="FFFFFF"/>
          <w:insideH w:val="single" w:sz="2" w:space="0" w:color="C5192D"/>
          <w:insideV w:val="single" w:sz="2" w:space="0" w:color="0077D4"/>
        </w:tblBorders>
        <w:tblLayout w:type="fixed"/>
        <w:tblCellMar>
          <w:left w:w="0" w:type="dxa"/>
          <w:right w:w="0" w:type="dxa"/>
        </w:tblCellMar>
        <w:tblLook w:val="04A0" w:firstRow="1" w:lastRow="0" w:firstColumn="1" w:lastColumn="0" w:noHBand="0" w:noVBand="1"/>
      </w:tblPr>
      <w:tblGrid>
        <w:gridCol w:w="3685"/>
        <w:gridCol w:w="5953"/>
      </w:tblGrid>
      <w:tr w:rsidR="009F04D9" w:rsidRPr="00554C38" w14:paraId="1C98AC6F" w14:textId="77777777" w:rsidTr="00B370B0">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6426F130" w14:textId="77777777" w:rsidR="009F04D9" w:rsidRPr="009F04D9" w:rsidRDefault="009F04D9" w:rsidP="009F04D9">
            <w:pPr>
              <w:widowControl w:val="0"/>
              <w:autoSpaceDE w:val="0"/>
              <w:autoSpaceDN w:val="0"/>
              <w:adjustRightInd w:val="0"/>
              <w:spacing w:after="120"/>
              <w:rPr>
                <w:rFonts w:ascii="Arial" w:eastAsia="Calibri" w:hAnsi="Arial" w:cs="Arial"/>
                <w:b/>
                <w:color w:val="0070C0"/>
                <w:sz w:val="22"/>
                <w:szCs w:val="22"/>
                <w:lang w:val="en-GB"/>
              </w:rPr>
            </w:pPr>
            <w:r w:rsidRPr="009F04D9">
              <w:rPr>
                <w:rFonts w:ascii="Arial" w:hAnsi="Arial" w:cs="Arial"/>
                <w:b/>
                <w:color w:val="0070C0"/>
                <w:sz w:val="22"/>
                <w:szCs w:val="22"/>
                <w:lang w:val="en-GB"/>
              </w:rPr>
              <w:t>Geographical scope/benefitting country(ies):</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44FF98E0"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lang w:val="en-GB"/>
              </w:rPr>
            </w:pPr>
            <w:r w:rsidRPr="009F04D9">
              <w:rPr>
                <w:rFonts w:ascii="Arial" w:eastAsia="Calibri" w:hAnsi="Arial" w:cs="Arial"/>
                <w:sz w:val="22"/>
                <w:szCs w:val="22"/>
                <w:lang w:val="en-GB"/>
              </w:rPr>
              <w:t>Global Programme with country projects in all regions, in particular Africa</w:t>
            </w:r>
          </w:p>
        </w:tc>
      </w:tr>
      <w:tr w:rsidR="009F04D9" w:rsidRPr="009F04D9" w14:paraId="54AAEC9D" w14:textId="77777777" w:rsidTr="00B370B0">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281BD6BF"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lang w:val="en-GB"/>
              </w:rPr>
            </w:pPr>
            <w:r w:rsidRPr="009F04D9">
              <w:rPr>
                <w:rFonts w:ascii="Arial" w:hAnsi="Arial" w:cs="Arial"/>
                <w:b/>
                <w:color w:val="0070C0"/>
                <w:sz w:val="22"/>
                <w:szCs w:val="22"/>
                <w:lang w:val="en-GB"/>
              </w:rPr>
              <w:t>Duration (in months):</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4F0A2E9C"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lang w:val="en-GB"/>
              </w:rPr>
            </w:pPr>
            <w:r w:rsidRPr="009F04D9">
              <w:rPr>
                <w:rFonts w:ascii="Arial" w:eastAsia="Calibri" w:hAnsi="Arial" w:cs="Arial"/>
                <w:sz w:val="22"/>
                <w:szCs w:val="22"/>
                <w:lang w:val="en-GB"/>
              </w:rPr>
              <w:t>2018–2021</w:t>
            </w:r>
          </w:p>
        </w:tc>
      </w:tr>
      <w:tr w:rsidR="009F04D9" w:rsidRPr="00554C38" w14:paraId="47DB9F76" w14:textId="77777777" w:rsidTr="00B370B0">
        <w:trPr>
          <w:trHeight w:val="1388"/>
        </w:trPr>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3C4429FD" w14:textId="167BC935" w:rsidR="009F04D9" w:rsidRPr="009F04D9" w:rsidRDefault="00FD5F39" w:rsidP="009F04D9">
            <w:pPr>
              <w:widowControl w:val="0"/>
              <w:autoSpaceDE w:val="0"/>
              <w:autoSpaceDN w:val="0"/>
              <w:adjustRightInd w:val="0"/>
              <w:spacing w:after="120"/>
              <w:rPr>
                <w:rFonts w:ascii="Arial" w:hAnsi="Arial" w:cs="Arial"/>
                <w:b/>
                <w:color w:val="0070C0"/>
                <w:sz w:val="22"/>
                <w:szCs w:val="22"/>
                <w:lang w:val="en-GB"/>
              </w:rPr>
            </w:pPr>
            <w:r>
              <w:rPr>
                <w:rFonts w:ascii="Arial" w:hAnsi="Arial" w:cs="Arial"/>
                <w:b/>
                <w:color w:val="0070C0"/>
                <w:sz w:val="22"/>
                <w:szCs w:val="22"/>
                <w:lang w:val="en-GB"/>
              </w:rPr>
              <w:t xml:space="preserve">Name, Unit and contact details </w:t>
            </w:r>
            <w:r w:rsidR="009F04D9" w:rsidRPr="009F04D9">
              <w:rPr>
                <w:rFonts w:ascii="Arial" w:hAnsi="Arial" w:cs="Arial"/>
                <w:b/>
                <w:color w:val="0070C0"/>
                <w:sz w:val="22"/>
                <w:szCs w:val="22"/>
                <w:lang w:val="en-GB"/>
              </w:rPr>
              <w:t>of Project Officer(s):</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1E0B986B"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lang w:val="en-GB"/>
              </w:rPr>
            </w:pPr>
            <w:r w:rsidRPr="009F04D9">
              <w:rPr>
                <w:rFonts w:ascii="Arial" w:eastAsia="Calibri" w:hAnsi="Arial" w:cs="Arial"/>
                <w:sz w:val="22"/>
                <w:szCs w:val="22"/>
                <w:lang w:val="en-GB"/>
              </w:rPr>
              <w:t>Tim Curtis, Chief, Intangible Cultural Heritage Section and Secretary of the Convention for the Safeguarding of the Intangible Cultural Heritage</w:t>
            </w:r>
          </w:p>
          <w:p w14:paraId="3DE2FB9E" w14:textId="77777777" w:rsidR="009F04D9" w:rsidRPr="009F04D9" w:rsidRDefault="009F04D9" w:rsidP="009F04D9">
            <w:pPr>
              <w:widowControl w:val="0"/>
              <w:autoSpaceDE w:val="0"/>
              <w:autoSpaceDN w:val="0"/>
              <w:adjustRightInd w:val="0"/>
              <w:spacing w:after="120"/>
              <w:rPr>
                <w:rFonts w:ascii="Arial" w:eastAsia="Calibri" w:hAnsi="Arial" w:cs="Arial"/>
                <w:i/>
                <w:sz w:val="22"/>
                <w:szCs w:val="22"/>
              </w:rPr>
            </w:pPr>
            <w:r w:rsidRPr="009F04D9">
              <w:rPr>
                <w:rFonts w:ascii="Arial" w:eastAsia="Calibri" w:hAnsi="Arial" w:cs="Arial"/>
                <w:i/>
                <w:sz w:val="22"/>
                <w:szCs w:val="22"/>
              </w:rPr>
              <w:t xml:space="preserve">For each project under this global programme appropriate Education Sector colleagues will be involved from the design to the evaluation stage </w:t>
            </w:r>
          </w:p>
        </w:tc>
      </w:tr>
      <w:tr w:rsidR="009F04D9" w:rsidRPr="00554C38" w14:paraId="097F3527" w14:textId="77777777" w:rsidTr="00B370B0">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4F813B25"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lang w:val="en-GB"/>
              </w:rPr>
            </w:pPr>
            <w:r w:rsidRPr="009F04D9">
              <w:rPr>
                <w:rFonts w:ascii="Arial" w:hAnsi="Arial" w:cs="Arial"/>
                <w:b/>
                <w:color w:val="0070C0"/>
                <w:sz w:val="22"/>
                <w:szCs w:val="22"/>
                <w:lang w:val="en-GB"/>
              </w:rPr>
              <w:t>Partner(s) institutions:</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2BC6ED02"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lang w:val="en-GB"/>
              </w:rPr>
            </w:pPr>
            <w:r w:rsidRPr="009F04D9">
              <w:rPr>
                <w:rFonts w:ascii="Arial" w:eastAsia="Calibri" w:hAnsi="Arial" w:cs="Arial"/>
                <w:sz w:val="22"/>
                <w:szCs w:val="22"/>
                <w:lang w:val="en-GB"/>
              </w:rPr>
              <w:t>Ministries of Culture and of Education, relevant education institutions</w:t>
            </w:r>
          </w:p>
        </w:tc>
      </w:tr>
      <w:tr w:rsidR="009F04D9" w:rsidRPr="009F04D9" w14:paraId="55663566" w14:textId="77777777" w:rsidTr="00B370B0">
        <w:tc>
          <w:tcPr>
            <w:tcW w:w="3685" w:type="dxa"/>
            <w:tcBorders>
              <w:top w:val="single" w:sz="4" w:space="0" w:color="EEBBC0"/>
              <w:bottom w:val="single" w:sz="2" w:space="0" w:color="FFFFFF"/>
            </w:tcBorders>
            <w:shd w:val="clear" w:color="auto" w:fill="D8E2F4"/>
            <w:noWrap/>
            <w:tcMar>
              <w:top w:w="113" w:type="dxa"/>
              <w:left w:w="113" w:type="dxa"/>
              <w:right w:w="113" w:type="dxa"/>
            </w:tcMar>
          </w:tcPr>
          <w:p w14:paraId="7026E152"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lang w:val="en-GB"/>
              </w:rPr>
            </w:pPr>
            <w:r w:rsidRPr="009F04D9">
              <w:rPr>
                <w:rFonts w:ascii="Arial" w:hAnsi="Arial" w:cs="Arial"/>
                <w:b/>
                <w:color w:val="0070C0"/>
                <w:sz w:val="22"/>
                <w:szCs w:val="22"/>
                <w:lang w:val="en-GB"/>
              </w:rPr>
              <w:t>Tentative budget inclusive of Programme Support costs:</w:t>
            </w:r>
          </w:p>
        </w:tc>
        <w:tc>
          <w:tcPr>
            <w:tcW w:w="5953" w:type="dxa"/>
            <w:tcBorders>
              <w:top w:val="single" w:sz="4" w:space="0" w:color="EEBBC0"/>
              <w:bottom w:val="single" w:sz="2" w:space="0" w:color="FFFFFF"/>
            </w:tcBorders>
            <w:shd w:val="clear" w:color="auto" w:fill="ECF0FA"/>
            <w:noWrap/>
            <w:tcMar>
              <w:top w:w="113" w:type="dxa"/>
              <w:left w:w="113" w:type="dxa"/>
              <w:right w:w="113" w:type="dxa"/>
            </w:tcMar>
          </w:tcPr>
          <w:p w14:paraId="1E9F03EC" w14:textId="64CAE302" w:rsidR="009F04D9" w:rsidRPr="009F04D9" w:rsidRDefault="00E422D0" w:rsidP="009F04D9">
            <w:pPr>
              <w:widowControl w:val="0"/>
              <w:autoSpaceDE w:val="0"/>
              <w:autoSpaceDN w:val="0"/>
              <w:adjustRightInd w:val="0"/>
              <w:spacing w:after="120"/>
              <w:rPr>
                <w:rFonts w:ascii="Arial" w:eastAsia="Calibri" w:hAnsi="Arial" w:cs="Arial"/>
                <w:sz w:val="22"/>
                <w:szCs w:val="22"/>
                <w:lang w:val="en-GB"/>
              </w:rPr>
            </w:pPr>
            <w:r>
              <w:rPr>
                <w:rFonts w:ascii="Arial" w:eastAsia="Calibri" w:hAnsi="Arial" w:cs="Arial"/>
                <w:sz w:val="22"/>
                <w:szCs w:val="22"/>
                <w:lang w:val="en-GB"/>
              </w:rPr>
              <w:t>$US </w:t>
            </w:r>
            <w:r w:rsidR="009F04D9" w:rsidRPr="009F04D9">
              <w:rPr>
                <w:rFonts w:ascii="Arial" w:eastAsia="Calibri" w:hAnsi="Arial" w:cs="Arial"/>
                <w:sz w:val="22"/>
                <w:szCs w:val="22"/>
                <w:lang w:val="en-GB"/>
              </w:rPr>
              <w:t>2 Million for 4 years</w:t>
            </w:r>
          </w:p>
        </w:tc>
      </w:tr>
    </w:tbl>
    <w:p w14:paraId="4D1B5A87" w14:textId="77777777" w:rsidR="009F04D9" w:rsidRPr="009F04D9" w:rsidRDefault="009F04D9" w:rsidP="009F04D9">
      <w:pPr>
        <w:tabs>
          <w:tab w:val="left" w:pos="567"/>
        </w:tabs>
        <w:snapToGrid w:val="0"/>
        <w:spacing w:after="120" w:line="360" w:lineRule="auto"/>
        <w:rPr>
          <w:rFonts w:ascii="Arial" w:eastAsia="Calibri" w:hAnsi="Arial" w:cs="Arial"/>
          <w:sz w:val="28"/>
          <w:szCs w:val="28"/>
          <w:lang w:val="en-GB" w:eastAsia="en-US"/>
        </w:rPr>
      </w:pPr>
    </w:p>
    <w:p w14:paraId="2D6CCA08" w14:textId="77777777" w:rsidR="009F04D9" w:rsidRPr="009F04D9" w:rsidRDefault="009F04D9" w:rsidP="007505D8">
      <w:pPr>
        <w:shd w:val="clear" w:color="auto" w:fill="0077D4"/>
        <w:tabs>
          <w:tab w:val="left" w:pos="567"/>
        </w:tabs>
        <w:snapToGrid w:val="0"/>
        <w:spacing w:line="360" w:lineRule="auto"/>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Rationale and overall purpose</w:t>
      </w:r>
    </w:p>
    <w:p w14:paraId="418F5858" w14:textId="0ABC685C" w:rsidR="009F04D9" w:rsidRPr="009F04D9" w:rsidRDefault="00304B6A" w:rsidP="007505D8">
      <w:pPr>
        <w:spacing w:before="240" w:after="120"/>
        <w:jc w:val="both"/>
        <w:rPr>
          <w:rFonts w:ascii="Arial" w:eastAsia="Calibri" w:hAnsi="Arial" w:cs="Arial"/>
          <w:sz w:val="22"/>
          <w:szCs w:val="22"/>
          <w:lang w:val="en-GB" w:eastAsia="en-US"/>
        </w:rPr>
      </w:pPr>
      <w:r w:rsidRPr="009F04D9">
        <w:rPr>
          <w:rFonts w:ascii="Calibri" w:eastAsia="Calibri" w:hAnsi="Calibri"/>
          <w:noProof/>
          <w:color w:val="000000"/>
          <w:sz w:val="22"/>
          <w:szCs w:val="22"/>
          <w:lang w:val="en-US" w:eastAsia="ko-KR"/>
        </w:rPr>
        <mc:AlternateContent>
          <mc:Choice Requires="wps">
            <w:drawing>
              <wp:anchor distT="0" distB="0" distL="114300" distR="114300" simplePos="0" relativeHeight="251659264" behindDoc="1" locked="0" layoutInCell="1" allowOverlap="1" wp14:anchorId="7222B187" wp14:editId="037A0DFE">
                <wp:simplePos x="0" y="0"/>
                <wp:positionH relativeFrom="margin">
                  <wp:posOffset>2890520</wp:posOffset>
                </wp:positionH>
                <wp:positionV relativeFrom="paragraph">
                  <wp:posOffset>2377440</wp:posOffset>
                </wp:positionV>
                <wp:extent cx="2811145" cy="156845"/>
                <wp:effectExtent l="0" t="0" r="8255" b="0"/>
                <wp:wrapTight wrapText="bothSides">
                  <wp:wrapPolygon edited="0">
                    <wp:start x="0" y="0"/>
                    <wp:lineTo x="0" y="18364"/>
                    <wp:lineTo x="21517" y="18364"/>
                    <wp:lineTo x="21517"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811145" cy="156845"/>
                        </a:xfrm>
                        <a:prstGeom prst="rect">
                          <a:avLst/>
                        </a:prstGeom>
                        <a:solidFill>
                          <a:prstClr val="white"/>
                        </a:solidFill>
                        <a:ln>
                          <a:noFill/>
                        </a:ln>
                      </wps:spPr>
                      <wps:txbx>
                        <w:txbxContent>
                          <w:p w14:paraId="5A458062" w14:textId="77777777" w:rsidR="00865980" w:rsidRPr="009F04D9" w:rsidRDefault="00865980" w:rsidP="009F04D9">
                            <w:pPr>
                              <w:rPr>
                                <w:color w:val="0077D4"/>
                                <w:sz w:val="16"/>
                                <w:szCs w:val="16"/>
                              </w:rPr>
                            </w:pPr>
                            <w:r w:rsidRPr="009F04D9">
                              <w:rPr>
                                <w:color w:val="0077D4"/>
                                <w:sz w:val="16"/>
                                <w:szCs w:val="16"/>
                              </w:rPr>
                              <w:t>© UNESCO / Real Time 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2B187" id="Text Box 12" o:spid="_x0000_s1027" type="#_x0000_t202" style="position:absolute;left:0;text-align:left;margin-left:227.6pt;margin-top:187.2pt;width:221.35pt;height:12.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" stroked="f">
                <v:textbox inset="0,0,0,0">
                  <w:txbxContent>
                    <w:p w14:paraId="5A458062" w14:textId="77777777" w:rsidR="00865980" w:rsidRPr="009F04D9" w:rsidRDefault="00865980" w:rsidP="009F04D9">
                      <w:pPr>
                        <w:rPr>
                          <w:color w:val="0077D4"/>
                          <w:sz w:val="16"/>
                          <w:szCs w:val="16"/>
                        </w:rPr>
                      </w:pPr>
                      <w:r w:rsidRPr="009F04D9">
                        <w:rPr>
                          <w:color w:val="0077D4"/>
                          <w:sz w:val="16"/>
                          <w:szCs w:val="16"/>
                        </w:rPr>
                        <w:t>© UNESCO / Real Time Production</w:t>
                      </w:r>
                    </w:p>
                  </w:txbxContent>
                </v:textbox>
                <w10:wrap type="tight" anchorx="margin"/>
              </v:shape>
            </w:pict>
          </mc:Fallback>
        </mc:AlternateContent>
      </w:r>
      <w:r w:rsidRPr="009F04D9">
        <w:rPr>
          <w:rFonts w:ascii="Calibri" w:eastAsia="Calibri" w:hAnsi="Calibri"/>
          <w:noProof/>
          <w:sz w:val="22"/>
          <w:szCs w:val="22"/>
          <w:lang w:val="en-US" w:eastAsia="ko-KR"/>
        </w:rPr>
        <w:drawing>
          <wp:anchor distT="0" distB="0" distL="114300" distR="114300" simplePos="0" relativeHeight="251660288" behindDoc="0" locked="0" layoutInCell="1" allowOverlap="1" wp14:anchorId="2AEC2C0E" wp14:editId="5DB8C5B4">
            <wp:simplePos x="0" y="0"/>
            <wp:positionH relativeFrom="margin">
              <wp:posOffset>2867660</wp:posOffset>
            </wp:positionH>
            <wp:positionV relativeFrom="paragraph">
              <wp:posOffset>182880</wp:posOffset>
            </wp:positionV>
            <wp:extent cx="3242310" cy="2152015"/>
            <wp:effectExtent l="0" t="0" r="0" b="635"/>
            <wp:wrapSquare wrapText="bothSides"/>
            <wp:docPr id="13" name="Picture 13" descr="U:\CRE\02-ITH\Capacity-Building\Partnerships with ED\Learning with ICH for a sustainable future\Photo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E\02-ITH\Capacity-Building\Partnerships with ED\Learning with ICH for a sustainable future\Photos\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42310" cy="215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9F04D9" w:rsidRPr="009F04D9">
        <w:rPr>
          <w:rFonts w:ascii="Arial" w:eastAsia="Calibri" w:hAnsi="Arial" w:cs="Arial"/>
          <w:sz w:val="22"/>
          <w:szCs w:val="22"/>
          <w:lang w:val="en-GB" w:eastAsia="en-US"/>
        </w:rPr>
        <w:t>Education can play a valuable role in safeguarding intangible cultural heritage (ICH). This is why the 2003 Convention for the Safeguarding of the Intangible Cultural Heritage includes a reference to ‘transmission, particularly through formal and non-formal education’, as part of the proposed safeguarding measures (Article 2.3). In the context of the Convention, intergenerational transmission is a dynamic interactive process through which intangible cultural heritage is constantly recreated. The Convention calls on States Parties to ‘ensure recognition of, respect for, and enhancement of the intangible cultural heritage in society’ through education programmes (Article 14). Similarly, the 2030 Agenda for Sustainable Development advocates ‘promotion of a culture of peace and non-violence, global citizenship and appreciation of cultural diversity and of culture’s contribution to sustainable development’ as an important target to achieve Goal 4 on quality education and lifelong learning opportunities for all. Intangible cultural heritage can provide context-specific content and pedagogy for education programmes and thus act as a leverage to increase the relevance of education and improve learning outcomes. For example, education for sustainable development uses indigenous knowledge and ICH as a key resource for communities in understanding the environment, sustainably using its resource, assessing climate change impacts and adapting. In this regard, intangible cultural heritage is an incredibly rich resource, which is why UNESCO promotes learning and teaching through and about intangible cultural heritage in education programmes in all relevant disciplines.</w:t>
      </w:r>
    </w:p>
    <w:p w14:paraId="333CEDBA" w14:textId="201CFC4A" w:rsidR="009F04D9" w:rsidRPr="009F04D9" w:rsidRDefault="009F04D9" w:rsidP="007505D8">
      <w:pPr>
        <w:spacing w:before="120" w:after="12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The creative process of intergenerational transmission is essential for intangible cultural heritage safeguarding and the key requirement for its viability. In the past, intergenerational transmission happened mainly through traditional modes of transmission embedded in the daily lives of the people (a form of informal learning). However, these are increasingly disrupted for many reasons. In this changing context, educational responsibility and transmission of practices, knowledge and skills are no longer the prerogative of families and communities alone, but shared with public institutions. Hence, learning spaces, be they formal and non-formal education can play a key role for safeguarding intangible cultural heritage. However, typically education systems have not given due consideration to the important role they can play in safeguarding intangible cultural heritage nor have they harnessed the potential of intangible cultural heritage to improve education quality and relevance.</w:t>
      </w:r>
    </w:p>
    <w:p w14:paraId="4378D688" w14:textId="77777777" w:rsidR="009F04D9" w:rsidRPr="009F04D9" w:rsidRDefault="009F04D9" w:rsidP="007505D8">
      <w:pPr>
        <w:spacing w:before="120" w:after="12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While some experiences exist in this field, many countries, do not recognize this as integrating intangible cultural heritage in education or, in other cases, do not know how to go about safeguarding intangible cultural heritage through formal and non-formal education. UNESCO’s Regional Offices for Education and Field Offices have identified this area as one of the priority needs and demands for the regions, as discussed at a May 2017 strategic consultation meeting between the Education and Culture Sectors on integrating intangible heritage in education. There was a converged interest in this topic and considerable common ground for future intersectoral work, which the Regional Offices for Education and Field Offices will play a key role in implementing. As UNESCO is the lead agency for SDG 4 on quality inclusive education and the only agency with a special mandate in the field of culture, it is particularly well placed to address projects that combine these two fields.</w:t>
      </w:r>
    </w:p>
    <w:p w14:paraId="0DCAF0B5" w14:textId="655912B2" w:rsidR="009F04D9" w:rsidRPr="009F04D9" w:rsidRDefault="003B3E57" w:rsidP="007505D8">
      <w:pPr>
        <w:spacing w:before="120" w:after="120"/>
        <w:jc w:val="both"/>
        <w:rPr>
          <w:rFonts w:ascii="Arial" w:eastAsia="Calibri" w:hAnsi="Arial" w:cs="Arial"/>
          <w:sz w:val="22"/>
          <w:szCs w:val="22"/>
          <w:lang w:val="en-GB" w:eastAsia="en-US"/>
        </w:rPr>
      </w:pPr>
      <w:r>
        <w:rPr>
          <w:rFonts w:ascii="Arial" w:eastAsia="Calibri" w:hAnsi="Arial" w:cs="Arial"/>
          <w:sz w:val="22"/>
          <w:szCs w:val="22"/>
          <w:lang w:val="en-GB" w:eastAsia="en-US"/>
        </w:rPr>
        <w:t>T</w:t>
      </w:r>
      <w:r w:rsidR="009F04D9" w:rsidRPr="009F04D9">
        <w:rPr>
          <w:rFonts w:ascii="Arial" w:eastAsia="Calibri" w:hAnsi="Arial" w:cs="Arial"/>
          <w:sz w:val="22"/>
          <w:szCs w:val="22"/>
          <w:lang w:val="en-GB" w:eastAsia="en-US"/>
        </w:rPr>
        <w:t>here have been several initiatives at UNESCO on the intersections between culture and education</w:t>
      </w:r>
      <w:r w:rsidR="0099564B">
        <w:rPr>
          <w:rFonts w:ascii="Arial" w:eastAsia="Calibri" w:hAnsi="Arial" w:cs="Arial"/>
          <w:sz w:val="22"/>
          <w:szCs w:val="22"/>
          <w:lang w:val="en-GB" w:eastAsia="en-US"/>
        </w:rPr>
        <w:t>:</w:t>
      </w:r>
      <w:r w:rsidR="009F04D9" w:rsidRPr="009F04D9">
        <w:rPr>
          <w:rFonts w:ascii="Arial" w:eastAsia="Calibri" w:hAnsi="Arial" w:cs="Arial"/>
          <w:sz w:val="22"/>
          <w:szCs w:val="22"/>
          <w:lang w:val="en-GB" w:eastAsia="en-US"/>
        </w:rPr>
        <w:t xml:space="preserve"> </w:t>
      </w:r>
      <w:r w:rsidR="0099564B">
        <w:rPr>
          <w:rFonts w:ascii="Arial" w:eastAsia="Calibri" w:hAnsi="Arial" w:cs="Arial"/>
          <w:sz w:val="22"/>
          <w:szCs w:val="22"/>
          <w:lang w:val="en-GB" w:eastAsia="en-US"/>
        </w:rPr>
        <w:t>T</w:t>
      </w:r>
      <w:r w:rsidR="009F04D9" w:rsidRPr="009F04D9">
        <w:rPr>
          <w:rFonts w:ascii="Arial" w:eastAsia="Calibri" w:hAnsi="Arial" w:cs="Arial"/>
          <w:sz w:val="22"/>
          <w:szCs w:val="22"/>
          <w:lang w:val="en-GB" w:eastAsia="en-US"/>
        </w:rPr>
        <w:t>he programme will draw on lessons learned from projects that specifically focused on learning with and about intangible cultural heritage such as a recent pilot project in four countries in Asia-Pacific and projects carried out under the UNESCO programme on Local and Indigenous Knowledge Systems (LINKS). Other experiences, such as the work on indigenous knowledge and education policies in Latin America and a study on harnessing cultures to advance education in sub-Saharan Africa are useful for developing strategies to integrate intangible cultural heritage at the policy level. Building on these experiences, UNESCO will expand its work on integrating intangible cultural heritage in education in all regions and further address the connections with different education programme areas. For the programme to be successful, there will be strong collaboration between the Intangible Cultural Heritage Section and the Education Sector, with each bringing their corresponding expertise and know-how.</w:t>
      </w:r>
    </w:p>
    <w:p w14:paraId="3D81064D" w14:textId="77777777" w:rsidR="009F04D9" w:rsidRPr="009F04D9" w:rsidRDefault="009F04D9" w:rsidP="007505D8">
      <w:pPr>
        <w:shd w:val="clear" w:color="auto" w:fill="0077D4"/>
        <w:tabs>
          <w:tab w:val="left" w:pos="567"/>
        </w:tabs>
        <w:snapToGrid w:val="0"/>
        <w:spacing w:before="240" w:after="240" w:line="360" w:lineRule="auto"/>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Links with 2030 Agenda</w:t>
      </w:r>
    </w:p>
    <w:p w14:paraId="19DB9ACE" w14:textId="77777777" w:rsidR="009F04D9" w:rsidRPr="009F04D9" w:rsidRDefault="009F04D9" w:rsidP="007505D8">
      <w:pPr>
        <w:spacing w:before="120" w:after="120"/>
        <w:jc w:val="both"/>
        <w:rPr>
          <w:rFonts w:ascii="Arial" w:eastAsia="Calibri" w:hAnsi="Arial" w:cs="Arial"/>
          <w:noProof/>
          <w:sz w:val="28"/>
          <w:szCs w:val="28"/>
          <w:lang w:val="en-GB" w:eastAsia="en-US"/>
        </w:rPr>
      </w:pPr>
      <w:r w:rsidRPr="009F04D9">
        <w:rPr>
          <w:rFonts w:ascii="Calibri" w:eastAsia="Calibri" w:hAnsi="Calibri"/>
          <w:noProof/>
          <w:lang w:val="en-US" w:eastAsia="ko-KR"/>
        </w:rPr>
        <w:drawing>
          <wp:anchor distT="0" distB="0" distL="114300" distR="114300" simplePos="0" relativeHeight="251661312" behindDoc="0" locked="0" layoutInCell="1" allowOverlap="1" wp14:anchorId="0A5DF851" wp14:editId="5F79FF92">
            <wp:simplePos x="0" y="0"/>
            <wp:positionH relativeFrom="margin">
              <wp:posOffset>3810</wp:posOffset>
            </wp:positionH>
            <wp:positionV relativeFrom="paragraph">
              <wp:posOffset>146685</wp:posOffset>
            </wp:positionV>
            <wp:extent cx="990600" cy="990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sidRPr="009F04D9">
        <w:rPr>
          <w:rFonts w:ascii="Arial" w:eastAsia="Calibri" w:hAnsi="Arial" w:cs="Arial"/>
          <w:sz w:val="22"/>
          <w:szCs w:val="22"/>
          <w:lang w:val="en-GB" w:eastAsia="en-US"/>
        </w:rPr>
        <w:t>This programme will directly contribute to several sustainable development goals, especially SDG 4 that includes ‘By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 (4.7) as an important target to achieve quality education and lifelong learning opportunities for all. Integrating ICH in education can provide context-relevant content and pedagogy that can be integrated at all school levels, including for early childhood education (4.2) and for inclusion of the vulnerable, such as persons with disabilities, indigenous peoples and children in challenging situations (4.5). Several of the ICH domains in the 2003 Convention are directly linked to post-secondary education such as technical and vocational training (TVET) and many traditional occupations, knowledge and apprentice systems provide effective examples of developing technical and vocational skills. In this way, integrating ICH in TVET can help ensure access to affordable and quality technical and vocational training (4.3) and increase the number of youth and adults who have relevant skills, including technical and vocational skills, for employment, decent jobs and entrepreneurship (4.4). Intangible cultural heritage is therefore clearly an incredibly rich resource and leverage for attaining SDG 4.</w:t>
      </w:r>
    </w:p>
    <w:p w14:paraId="18CE9AB8" w14:textId="77777777" w:rsidR="009F04D9" w:rsidRPr="009F04D9" w:rsidRDefault="009F04D9" w:rsidP="007505D8">
      <w:pPr>
        <w:shd w:val="clear" w:color="auto" w:fill="0077D4"/>
        <w:tabs>
          <w:tab w:val="left" w:pos="567"/>
        </w:tabs>
        <w:snapToGrid w:val="0"/>
        <w:spacing w:before="240" w:after="240" w:line="360" w:lineRule="auto"/>
        <w:rPr>
          <w:rFonts w:ascii="Arial" w:hAnsi="Arial" w:cs="Arial"/>
          <w:sz w:val="28"/>
          <w:szCs w:val="28"/>
          <w:lang w:val="en-GB" w:eastAsia="en-US"/>
        </w:rPr>
      </w:pPr>
      <w:r w:rsidRPr="009F04D9">
        <w:rPr>
          <w:rFonts w:ascii="Arial" w:eastAsia="Calibri" w:hAnsi="Arial" w:cs="Arial"/>
          <w:color w:val="FFFFFF"/>
          <w:sz w:val="28"/>
          <w:szCs w:val="28"/>
          <w:lang w:val="en-GB" w:eastAsia="en-US"/>
        </w:rPr>
        <w:t>Summary of outcomes, outputs and activities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425"/>
        <w:gridCol w:w="8070"/>
      </w:tblGrid>
      <w:tr w:rsidR="009F04D9" w:rsidRPr="00554C38" w14:paraId="5B972CFE" w14:textId="77777777" w:rsidTr="005E220A">
        <w:trPr>
          <w:trHeight w:val="669"/>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3392DD"/>
            <w:tcMar>
              <w:top w:w="57" w:type="dxa"/>
              <w:left w:w="108" w:type="dxa"/>
              <w:bottom w:w="57" w:type="dxa"/>
              <w:right w:w="108" w:type="dxa"/>
            </w:tcMar>
          </w:tcPr>
          <w:p w14:paraId="49123C11" w14:textId="77777777" w:rsidR="009F04D9" w:rsidRPr="009F04D9" w:rsidRDefault="009F04D9" w:rsidP="009F04D9">
            <w:pPr>
              <w:rPr>
                <w:rFonts w:ascii="Arial" w:hAnsi="Arial" w:cs="Arial"/>
                <w:b/>
                <w:bCs/>
                <w:color w:val="0070C0"/>
                <w:sz w:val="22"/>
                <w:szCs w:val="22"/>
                <w:lang w:val="en-GB" w:eastAsia="en-US"/>
              </w:rPr>
            </w:pPr>
            <w:r w:rsidRPr="009F04D9">
              <w:rPr>
                <w:rFonts w:ascii="Arial" w:hAnsi="Arial" w:cs="Arial"/>
                <w:b/>
                <w:bCs/>
                <w:sz w:val="22"/>
                <w:szCs w:val="22"/>
                <w:lang w:val="en-GB" w:eastAsia="en-US"/>
              </w:rPr>
              <w:t xml:space="preserve">Outcome N°1: </w:t>
            </w:r>
            <w:r w:rsidRPr="009F04D9">
              <w:rPr>
                <w:rFonts w:ascii="Arial" w:hAnsi="Arial" w:cs="Arial"/>
                <w:bCs/>
                <w:sz w:val="22"/>
                <w:szCs w:val="22"/>
                <w:lang w:val="en-GB" w:eastAsia="en-US"/>
              </w:rPr>
              <w:t>Countries engage in action to safeguard intangible cultural heritage through formal and non-formal education and thereby improve educational quality and relevance.</w:t>
            </w:r>
          </w:p>
        </w:tc>
      </w:tr>
      <w:tr w:rsidR="009F04D9" w:rsidRPr="00554C38" w14:paraId="68060F57" w14:textId="77777777" w:rsidTr="005E220A">
        <w:trPr>
          <w:gridBefore w:val="1"/>
          <w:wBefore w:w="421" w:type="dxa"/>
          <w:trHeight w:val="185"/>
          <w:jc w:val="center"/>
        </w:trPr>
        <w:tc>
          <w:tcPr>
            <w:tcW w:w="8495" w:type="dxa"/>
            <w:gridSpan w:val="2"/>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tcPr>
          <w:p w14:paraId="51A5FDCA" w14:textId="252F1D18"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Output N°1: </w:t>
            </w:r>
            <w:r w:rsidRPr="009F04D9">
              <w:rPr>
                <w:rFonts w:ascii="Arial" w:hAnsi="Arial" w:cs="Arial"/>
                <w:bCs/>
                <w:sz w:val="22"/>
                <w:szCs w:val="22"/>
                <w:lang w:val="en-GB" w:eastAsia="en-US"/>
              </w:rPr>
              <w:t>Methods for integrating intangible cultural heritage in formal and non-formal education developed.</w:t>
            </w:r>
          </w:p>
        </w:tc>
      </w:tr>
      <w:tr w:rsidR="009F04D9" w:rsidRPr="00554C38" w14:paraId="224B623E"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875818" w14:textId="77777777"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Activity 1: </w:t>
            </w:r>
            <w:r w:rsidRPr="009F04D9">
              <w:rPr>
                <w:rFonts w:ascii="Arial" w:hAnsi="Arial" w:cs="Arial"/>
                <w:bCs/>
                <w:sz w:val="22"/>
                <w:szCs w:val="22"/>
                <w:lang w:val="en-GB" w:eastAsia="en-US"/>
              </w:rPr>
              <w:t>Undertake project(s) on integrating intangible cultural heritage in schools (from early childhood to secondary) based on the lessons learned from initial experiences in this field; projects can touch on themes, such as global citizenship education, education for sustainable development, and indigenous knowledge.</w:t>
            </w:r>
          </w:p>
        </w:tc>
      </w:tr>
      <w:tr w:rsidR="009F04D9" w:rsidRPr="00554C38" w14:paraId="6BDFE049"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04AFFA" w14:textId="77777777"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Activity 2: </w:t>
            </w:r>
            <w:r w:rsidRPr="009F04D9">
              <w:rPr>
                <w:rFonts w:ascii="Arial" w:hAnsi="Arial" w:cs="Arial"/>
                <w:bCs/>
                <w:sz w:val="22"/>
                <w:szCs w:val="22"/>
                <w:lang w:val="en-GB" w:eastAsia="en-US"/>
              </w:rPr>
              <w:t>Undertake project(s) on integrating intangible cultural heritage in non-formal education, such as community learning centres and literacy programmes, based on the lessons learned from initial experiences in this field; projects can touch on themes, such as global citizenship education, education for sustainable development, and indigenous knowledge.</w:t>
            </w:r>
          </w:p>
        </w:tc>
      </w:tr>
      <w:tr w:rsidR="009F04D9" w:rsidRPr="00554C38" w14:paraId="19687490"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6AC41E4" w14:textId="1B7BE0D0" w:rsidR="009F04D9" w:rsidRPr="009F04D9" w:rsidRDefault="009F04D9" w:rsidP="00E422D0">
            <w:pPr>
              <w:rPr>
                <w:rFonts w:ascii="Arial" w:hAnsi="Arial" w:cs="Arial"/>
                <w:b/>
                <w:bCs/>
                <w:sz w:val="22"/>
                <w:szCs w:val="22"/>
                <w:lang w:val="en-GB" w:eastAsia="en-US"/>
              </w:rPr>
            </w:pPr>
            <w:r w:rsidRPr="009F04D9">
              <w:rPr>
                <w:rFonts w:ascii="Arial" w:hAnsi="Arial" w:cs="Arial"/>
                <w:b/>
                <w:bCs/>
                <w:sz w:val="22"/>
                <w:szCs w:val="22"/>
                <w:lang w:val="en-GB" w:eastAsia="en-US"/>
              </w:rPr>
              <w:t xml:space="preserve">Activity 3: </w:t>
            </w:r>
            <w:r w:rsidRPr="009F04D9">
              <w:rPr>
                <w:rFonts w:ascii="Arial" w:hAnsi="Arial" w:cs="Arial"/>
                <w:bCs/>
                <w:sz w:val="22"/>
                <w:szCs w:val="22"/>
                <w:lang w:val="en-GB" w:eastAsia="en-US"/>
              </w:rPr>
              <w:t>Undertake project(s) on integrating intangible cultural heritage in post-secondary education, notably technical and vocational education and training</w:t>
            </w:r>
            <w:r w:rsidR="00E422D0">
              <w:rPr>
                <w:rFonts w:ascii="Arial" w:hAnsi="Arial" w:cs="Arial"/>
                <w:bCs/>
                <w:sz w:val="22"/>
                <w:szCs w:val="22"/>
                <w:lang w:val="en-GB" w:eastAsia="en-US"/>
              </w:rPr>
              <w:t xml:space="preserve"> </w:t>
            </w:r>
            <w:r w:rsidR="00E422D0" w:rsidRPr="009F04D9">
              <w:rPr>
                <w:rFonts w:ascii="Arial" w:hAnsi="Arial" w:cs="Arial"/>
                <w:bCs/>
                <w:sz w:val="22"/>
                <w:szCs w:val="22"/>
                <w:lang w:val="en-GB" w:eastAsia="en-US"/>
              </w:rPr>
              <w:t>(TVET)</w:t>
            </w:r>
            <w:r w:rsidRPr="009F04D9">
              <w:rPr>
                <w:rFonts w:ascii="Arial" w:hAnsi="Arial" w:cs="Arial"/>
                <w:bCs/>
                <w:sz w:val="22"/>
                <w:szCs w:val="22"/>
                <w:lang w:val="en-GB" w:eastAsia="en-US"/>
              </w:rPr>
              <w:t>, starting with consolidating information on the links between intangible cultural heritage and TVET and promising practices to develop context-specific approaches.</w:t>
            </w:r>
          </w:p>
        </w:tc>
      </w:tr>
      <w:tr w:rsidR="009F04D9" w:rsidRPr="00554C38" w14:paraId="2C56B8F5" w14:textId="77777777" w:rsidTr="005E220A">
        <w:trPr>
          <w:gridBefore w:val="1"/>
          <w:wBefore w:w="421" w:type="dxa"/>
          <w:trHeight w:val="597"/>
          <w:jc w:val="center"/>
        </w:trPr>
        <w:tc>
          <w:tcPr>
            <w:tcW w:w="8495" w:type="dxa"/>
            <w:gridSpan w:val="2"/>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tcPr>
          <w:p w14:paraId="574C7CA5" w14:textId="41FB95B0"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Output N°2: </w:t>
            </w:r>
            <w:r w:rsidRPr="009F04D9">
              <w:rPr>
                <w:rFonts w:ascii="Arial" w:eastAsia="Calibri" w:hAnsi="Arial" w:cs="Arial"/>
                <w:sz w:val="22"/>
                <w:szCs w:val="21"/>
                <w:lang w:val="en-US" w:eastAsia="en-US"/>
              </w:rPr>
              <w:t>Policy recommendations on integrating intangible cultural heritage as an integral part of quality education disseminated</w:t>
            </w:r>
            <w:r w:rsidR="00E422D0">
              <w:rPr>
                <w:rFonts w:ascii="Arial" w:eastAsia="Calibri" w:hAnsi="Arial" w:cs="Arial"/>
                <w:sz w:val="22"/>
                <w:szCs w:val="21"/>
                <w:lang w:val="en-US" w:eastAsia="en-US"/>
              </w:rPr>
              <w:t>.</w:t>
            </w:r>
          </w:p>
        </w:tc>
      </w:tr>
      <w:tr w:rsidR="009F04D9" w:rsidRPr="00554C38" w14:paraId="7471A42A"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60261E1" w14:textId="77777777"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Activity 1: </w:t>
            </w:r>
            <w:r w:rsidRPr="009F04D9">
              <w:rPr>
                <w:rFonts w:ascii="Arial" w:hAnsi="Arial" w:cs="Arial"/>
                <w:bCs/>
                <w:sz w:val="22"/>
                <w:szCs w:val="22"/>
                <w:lang w:val="en-GB" w:eastAsia="en-US"/>
              </w:rPr>
              <w:t>Analyse lessons learned from operational projects and consolidate recommendations for national and regional policy development, involving national counterparts and other relevant stakeholders.</w:t>
            </w:r>
          </w:p>
        </w:tc>
      </w:tr>
      <w:tr w:rsidR="009F04D9" w:rsidRPr="00554C38" w14:paraId="7D70E4F5"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B3DEA3" w14:textId="77777777"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Activity 2: </w:t>
            </w:r>
            <w:r w:rsidRPr="009F04D9">
              <w:rPr>
                <w:rFonts w:ascii="Arial" w:hAnsi="Arial" w:cs="Arial"/>
                <w:bCs/>
                <w:sz w:val="22"/>
                <w:szCs w:val="22"/>
                <w:lang w:val="en-GB" w:eastAsia="en-US"/>
              </w:rPr>
              <w:t>Disseminate recommendations to governments and other relevant stakeholders, using UNESCO networks.</w:t>
            </w:r>
          </w:p>
        </w:tc>
      </w:tr>
      <w:tr w:rsidR="009F04D9" w:rsidRPr="00554C38" w14:paraId="503F56D3"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0C91B9" w14:textId="77777777"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Activity 3: </w:t>
            </w:r>
            <w:r w:rsidRPr="009F04D9">
              <w:rPr>
                <w:rFonts w:ascii="Arial" w:hAnsi="Arial" w:cs="Arial"/>
                <w:bCs/>
                <w:sz w:val="22"/>
                <w:szCs w:val="22"/>
                <w:lang w:val="en-GB" w:eastAsia="en-US"/>
              </w:rPr>
              <w:t>Provide technical support to teacher and curriculum development initiatives based on lessons learned from operational projects.</w:t>
            </w:r>
          </w:p>
        </w:tc>
      </w:tr>
      <w:tr w:rsidR="009F04D9" w:rsidRPr="00554C38" w14:paraId="025B50EF" w14:textId="77777777" w:rsidTr="005E220A">
        <w:trPr>
          <w:gridBefore w:val="1"/>
          <w:wBefore w:w="421" w:type="dxa"/>
          <w:trHeight w:val="185"/>
          <w:jc w:val="center"/>
        </w:trPr>
        <w:tc>
          <w:tcPr>
            <w:tcW w:w="8495" w:type="dxa"/>
            <w:gridSpan w:val="2"/>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tcPr>
          <w:p w14:paraId="28F2B6CB" w14:textId="77777777" w:rsidR="009F04D9" w:rsidRPr="009F04D9" w:rsidRDefault="009F04D9" w:rsidP="009F04D9">
            <w:pPr>
              <w:rPr>
                <w:rFonts w:ascii="Arial" w:hAnsi="Arial" w:cs="Arial"/>
                <w:b/>
                <w:bCs/>
                <w:color w:val="3392DD"/>
                <w:sz w:val="22"/>
                <w:szCs w:val="22"/>
                <w:lang w:val="en-GB" w:eastAsia="en-US"/>
              </w:rPr>
            </w:pPr>
            <w:r w:rsidRPr="009F04D9">
              <w:rPr>
                <w:rFonts w:ascii="Arial" w:hAnsi="Arial" w:cs="Arial"/>
                <w:b/>
                <w:bCs/>
                <w:sz w:val="22"/>
                <w:szCs w:val="22"/>
                <w:lang w:val="en-GB" w:eastAsia="en-US"/>
              </w:rPr>
              <w:t xml:space="preserve">Output N°3: </w:t>
            </w:r>
            <w:r w:rsidRPr="009F04D9">
              <w:rPr>
                <w:rFonts w:ascii="Arial" w:hAnsi="Arial" w:cs="Arial"/>
                <w:bCs/>
                <w:sz w:val="22"/>
                <w:szCs w:val="22"/>
                <w:lang w:val="en-GB" w:eastAsia="en-US"/>
              </w:rPr>
              <w:t>Clearinghouse for integrating intangible cultural heritage in education facilitates information sharing.</w:t>
            </w:r>
          </w:p>
        </w:tc>
      </w:tr>
      <w:tr w:rsidR="009F04D9" w:rsidRPr="00554C38" w14:paraId="20887CE0"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3C835F" w14:textId="77777777"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Activity 1:</w:t>
            </w:r>
            <w:r w:rsidRPr="009F04D9">
              <w:rPr>
                <w:rFonts w:ascii="Arial" w:hAnsi="Arial" w:cs="Arial"/>
                <w:bCs/>
                <w:sz w:val="22"/>
                <w:szCs w:val="22"/>
                <w:lang w:val="en-GB" w:eastAsia="en-US"/>
              </w:rPr>
              <w:t xml:space="preserve"> Consolidate experiences and tools to facilitate sharing within and across countries.</w:t>
            </w:r>
          </w:p>
        </w:tc>
      </w:tr>
      <w:tr w:rsidR="009F04D9" w:rsidRPr="00554C38" w14:paraId="30C2979A"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2B7209" w14:textId="77777777" w:rsidR="009F04D9" w:rsidRPr="009F04D9" w:rsidRDefault="009F04D9" w:rsidP="009F04D9">
            <w:pPr>
              <w:rPr>
                <w:rFonts w:ascii="Arial" w:hAnsi="Arial" w:cs="Arial"/>
                <w:b/>
                <w:bCs/>
                <w:sz w:val="22"/>
                <w:szCs w:val="22"/>
                <w:lang w:val="en-GB" w:eastAsia="en-US"/>
              </w:rPr>
            </w:pPr>
            <w:r w:rsidRPr="009F04D9">
              <w:rPr>
                <w:rFonts w:ascii="Arial" w:hAnsi="Arial" w:cs="Arial"/>
                <w:b/>
                <w:bCs/>
                <w:sz w:val="22"/>
                <w:szCs w:val="22"/>
                <w:lang w:val="en-GB" w:eastAsia="en-US"/>
              </w:rPr>
              <w:t xml:space="preserve">Activity 2: </w:t>
            </w:r>
            <w:r w:rsidRPr="009F04D9">
              <w:rPr>
                <w:rFonts w:ascii="Arial" w:hAnsi="Arial" w:cs="Arial"/>
                <w:bCs/>
                <w:sz w:val="22"/>
                <w:szCs w:val="22"/>
                <w:lang w:val="en-GB" w:eastAsia="en-US"/>
              </w:rPr>
              <w:t>Provide input and direction to orient initiatives to integrate intangible cultural heritage in education, including assistance in monitoring SDG 4</w:t>
            </w:r>
          </w:p>
        </w:tc>
      </w:tr>
    </w:tbl>
    <w:p w14:paraId="343EC65A" w14:textId="6EEDF938" w:rsidR="009F04D9" w:rsidRPr="009F04D9" w:rsidRDefault="009F04D9" w:rsidP="009F04D9">
      <w:pPr>
        <w:spacing w:line="360" w:lineRule="auto"/>
        <w:jc w:val="both"/>
        <w:rPr>
          <w:rFonts w:ascii="Arial" w:eastAsia="Calibri" w:hAnsi="Arial" w:cs="Arial"/>
          <w:sz w:val="28"/>
          <w:szCs w:val="28"/>
          <w:lang w:val="en-GB" w:eastAsia="en-US"/>
        </w:rPr>
      </w:pPr>
    </w:p>
    <w:p w14:paraId="674C2CE4" w14:textId="77777777" w:rsidR="009F04D9" w:rsidRPr="009F04D9" w:rsidRDefault="009F04D9" w:rsidP="007505D8">
      <w:pPr>
        <w:keepNext/>
        <w:shd w:val="clear" w:color="auto" w:fill="0077D4"/>
        <w:tabs>
          <w:tab w:val="left" w:pos="567"/>
        </w:tabs>
        <w:snapToGrid w:val="0"/>
        <w:spacing w:line="360" w:lineRule="auto"/>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Implementation Strategy</w:t>
      </w:r>
    </w:p>
    <w:p w14:paraId="7063263E" w14:textId="64F1493E" w:rsidR="009F04D9" w:rsidRPr="009F04D9" w:rsidRDefault="009F04D9" w:rsidP="007505D8">
      <w:pPr>
        <w:spacing w:before="240" w:after="12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 xml:space="preserve">This programme covers a new area, the interface between intangible cultural heritage and quality education, for which neither sufficient guidance nor </w:t>
      </w:r>
      <w:r w:rsidR="00103491">
        <w:rPr>
          <w:rFonts w:ascii="Arial" w:eastAsia="Calibri" w:hAnsi="Arial" w:cs="Arial"/>
          <w:sz w:val="22"/>
          <w:szCs w:val="22"/>
          <w:lang w:val="en-GB" w:eastAsia="en-US"/>
        </w:rPr>
        <w:t xml:space="preserve">enough </w:t>
      </w:r>
      <w:r w:rsidRPr="009F04D9">
        <w:rPr>
          <w:rFonts w:ascii="Arial" w:eastAsia="Calibri" w:hAnsi="Arial" w:cs="Arial"/>
          <w:sz w:val="22"/>
          <w:szCs w:val="22"/>
          <w:lang w:val="en-GB" w:eastAsia="en-US"/>
        </w:rPr>
        <w:t>concrete examples exist so far and which covers virtually all levels of education and multiple themes and disciplines. Therefore, the programme implementation strategy focuses on developing, implementing and evaluating projects to demonstrate possibilities and options of how to integrate intangible cultural heritage effectively in education programmes. The implementation process will generate the knowledge, methods and tools that countries require to support the transmission of intangible cultural heritage through formal and non-formal education and thereby improve educational quality and relevance.</w:t>
      </w:r>
    </w:p>
    <w:p w14:paraId="26BF00FA" w14:textId="1B3F7FA2" w:rsidR="009F04D9" w:rsidRPr="009F04D9" w:rsidRDefault="009F04D9" w:rsidP="007505D8">
      <w:pPr>
        <w:spacing w:before="120" w:after="12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The operational project activities proposed will be developed and implemented at the country level in schools, non-formal education and post-secondary education programmes, notably TVET. UNESCO Regional Bureaus for Education and Field Offices will take the lead, in cooperation with UNESCO country offices (where relevant), national counterparts and UNESCO Education Institutes, and with on-going technical support from Headquarters. Projects will be tailored to the needs of each country, including whether they address formal or non-formal education programmes and what level of education they target (early childhood education, primary, secondary or post-secondary education), also addressing issues of langu</w:t>
      </w:r>
      <w:r w:rsidR="00103491">
        <w:rPr>
          <w:rFonts w:ascii="Arial" w:eastAsia="Calibri" w:hAnsi="Arial" w:cs="Arial"/>
          <w:sz w:val="22"/>
          <w:szCs w:val="22"/>
          <w:lang w:val="en-GB" w:eastAsia="en-US"/>
        </w:rPr>
        <w:t>age</w:t>
      </w:r>
      <w:r w:rsidRPr="009F04D9">
        <w:rPr>
          <w:rFonts w:ascii="Arial" w:eastAsia="Calibri" w:hAnsi="Arial" w:cs="Arial"/>
          <w:sz w:val="22"/>
          <w:szCs w:val="22"/>
          <w:lang w:val="en-GB" w:eastAsia="en-US"/>
        </w:rPr>
        <w:t xml:space="preserve">(s) of instruction. Operational projects can concentrate on a particular education theme such as </w:t>
      </w:r>
      <w:r w:rsidRPr="009F04D9">
        <w:rPr>
          <w:rFonts w:ascii="Arial" w:hAnsi="Arial" w:cs="Arial"/>
          <w:bCs/>
          <w:sz w:val="22"/>
          <w:szCs w:val="22"/>
          <w:lang w:val="en-GB" w:eastAsia="en-US"/>
        </w:rPr>
        <w:t>such as global citizenship education, education for sustainable development, or indigenous knowledge.</w:t>
      </w:r>
      <w:r w:rsidRPr="009F04D9">
        <w:rPr>
          <w:rFonts w:ascii="Arial" w:eastAsia="Calibri" w:hAnsi="Arial" w:cs="Arial"/>
          <w:sz w:val="22"/>
          <w:szCs w:val="22"/>
          <w:lang w:val="en-GB" w:eastAsia="en-US"/>
        </w:rPr>
        <w:t xml:space="preserve"> Building on experiences from the operational projects, UNESCO will analyse lessons learned and consolidate recommendations for national and regional policy development with national counterparts and other relevant stakeholders, which will then be disseminated using UNESCO networks. Finally, UNESCO will also provide technical support to teacher and curriculum development initiatives also based on lessons learned.</w:t>
      </w:r>
    </w:p>
    <w:p w14:paraId="08953264" w14:textId="77777777" w:rsidR="009F04D9" w:rsidRPr="009F04D9" w:rsidRDefault="009F04D9" w:rsidP="007505D8">
      <w:pPr>
        <w:spacing w:before="120" w:after="12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At the global level, UNESCO Headquarters will establish a clearinghouse for integrating intangible cultural heritage in education with input from the Regional Bureaus for Education, Field Offices and UNESCO Education Institutes. The clearinghouse will consolidate knowledge and tools that are developed through in-country initiatives and policy analysis, and then ensure that information is shared widely within and across countries. This sharing can help establish a collective knowledge of lessons learned and good practices that can help refine and inform future initiatives. Drawing on experiences from the field, at the global level UNESCO will be well positioned to provide input and direction to relevant education initiatives, including assistance in monitoring SDG 4.</w:t>
      </w:r>
    </w:p>
    <w:p w14:paraId="5EBAE950" w14:textId="77777777" w:rsidR="009F04D9" w:rsidRPr="009F04D9" w:rsidRDefault="009F04D9" w:rsidP="007505D8">
      <w:pPr>
        <w:spacing w:before="120" w:after="12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Attention will be paid to fair and equal engagement of</w:t>
      </w:r>
      <w:r w:rsidRPr="009F04D9">
        <w:rPr>
          <w:rFonts w:ascii="Arial" w:eastAsia="Calibri" w:hAnsi="Arial" w:cs="Arial"/>
          <w:sz w:val="22"/>
          <w:szCs w:val="22"/>
          <w:lang w:val="en-US" w:eastAsia="en-US"/>
        </w:rPr>
        <w:t xml:space="preserve"> all sectors and strata of society, including indigenous peoples, migrants, immigrants and refugees, people of different ages and gender, persons with disabilities and members of vulnerable groups </w:t>
      </w:r>
      <w:r w:rsidRPr="009F04D9">
        <w:rPr>
          <w:rFonts w:ascii="Arial" w:eastAsia="Calibri" w:hAnsi="Arial" w:cs="Arial"/>
          <w:sz w:val="22"/>
          <w:szCs w:val="22"/>
          <w:lang w:val="en-GB" w:eastAsia="en-US"/>
        </w:rPr>
        <w:t>in all activities and to applying a gender-responsive approach to specific activities when possible.</w:t>
      </w:r>
    </w:p>
    <w:p w14:paraId="43958ABD" w14:textId="77777777" w:rsidR="009F04D9" w:rsidRPr="009F04D9" w:rsidRDefault="009F04D9" w:rsidP="009F04D9">
      <w:pPr>
        <w:rPr>
          <w:rFonts w:ascii="Arial" w:eastAsia="Calibri" w:hAnsi="Arial" w:cs="Arial"/>
          <w:sz w:val="22"/>
          <w:szCs w:val="22"/>
          <w:lang w:val="en-GB" w:eastAsia="en-US"/>
        </w:rPr>
      </w:pPr>
      <w:r w:rsidRPr="009F04D9">
        <w:rPr>
          <w:rFonts w:ascii="Arial" w:eastAsia="Calibri" w:hAnsi="Arial" w:cs="Arial"/>
          <w:sz w:val="22"/>
          <w:szCs w:val="22"/>
          <w:lang w:val="en-GB" w:eastAsia="en-US"/>
        </w:rPr>
        <w:br w:type="page"/>
      </w:r>
    </w:p>
    <w:p w14:paraId="5AF844FB" w14:textId="77777777" w:rsidR="009F04D9" w:rsidRPr="009F04D9" w:rsidRDefault="009F04D9" w:rsidP="007505D8">
      <w:pPr>
        <w:shd w:val="clear" w:color="auto" w:fill="0077D4"/>
        <w:tabs>
          <w:tab w:val="left" w:pos="567"/>
        </w:tabs>
        <w:snapToGrid w:val="0"/>
        <w:spacing w:line="360" w:lineRule="auto"/>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Stakeholders, beneficiaries and partners</w:t>
      </w:r>
    </w:p>
    <w:p w14:paraId="017B469A" w14:textId="77777777" w:rsidR="009F04D9" w:rsidRPr="009F04D9" w:rsidRDefault="009F04D9" w:rsidP="007505D8">
      <w:pPr>
        <w:spacing w:before="240" w:after="12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Beneficiaries and stakeholders include different actors involved in safeguarding intangible cultural heritage (bearers, relevant institutions, culture ministries) and in education (schools, non-formal education programmes, education ministries, teacher-training institutions</w:t>
      </w:r>
      <w:r w:rsidRPr="009F04D9">
        <w:rPr>
          <w:rFonts w:ascii="Arial" w:eastAsia="Calibri" w:hAnsi="Arial" w:cs="Arial"/>
          <w:sz w:val="22"/>
          <w:szCs w:val="22"/>
          <w:lang w:val="en-US" w:eastAsia="en-US"/>
        </w:rPr>
        <w:t>, and the UNESCO Associated Schools Project Network</w:t>
      </w:r>
      <w:r w:rsidRPr="009F04D9">
        <w:rPr>
          <w:rFonts w:ascii="Arial" w:eastAsia="Calibri" w:hAnsi="Arial" w:cs="Arial"/>
          <w:sz w:val="22"/>
          <w:szCs w:val="22"/>
          <w:lang w:val="en-GB" w:eastAsia="en-US"/>
        </w:rPr>
        <w:t>). For activities directly happening in schools and other learning spaces, the primary beneficiaries are the learners and the wider communities concerned. For complementary activities, such as teacher development, policy analysis and the consolidation and sharing of information it will be teacher-training programmes, planners and policy makers. The Secretariat will identify beneficiary countries, taking into account the needs and implementation capacities of Member States and of UNESCO’s delivery capacity in each Member State; the regional or bilateral priorities of donors can also be taken into account.</w:t>
      </w:r>
    </w:p>
    <w:p w14:paraId="71502742" w14:textId="77777777" w:rsidR="009F04D9" w:rsidRPr="009F04D9" w:rsidRDefault="009F04D9" w:rsidP="007505D8">
      <w:pPr>
        <w:spacing w:before="120" w:after="24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The Convention recognizes the critical role of communities in safeguarding their intangible cultural heritage. Therefore, all activities carried out under this project will involve them and obtain their free, prior and informed consent, while also seizing opportunities of involving a wider range of relevant stakeholders.</w:t>
      </w:r>
    </w:p>
    <w:p w14:paraId="2AFEFA5A" w14:textId="77777777" w:rsidR="009F04D9" w:rsidRPr="009F04D9" w:rsidRDefault="009F04D9" w:rsidP="0032376B">
      <w:pPr>
        <w:shd w:val="clear" w:color="auto" w:fill="0077D4"/>
        <w:tabs>
          <w:tab w:val="left" w:pos="567"/>
        </w:tabs>
        <w:snapToGrid w:val="0"/>
        <w:spacing w:line="360" w:lineRule="auto"/>
        <w:rPr>
          <w:rFonts w:ascii="Arial" w:eastAsia="Calibri" w:hAnsi="Arial" w:cs="Arial"/>
          <w:color w:val="FFFFFF"/>
          <w:sz w:val="28"/>
          <w:szCs w:val="28"/>
          <w:lang w:val="en-GB" w:eastAsia="en-US"/>
        </w:rPr>
      </w:pPr>
      <w:r w:rsidRPr="009F04D9">
        <w:rPr>
          <w:rFonts w:ascii="Arial" w:eastAsia="Calibri" w:hAnsi="Arial" w:cs="Arial"/>
          <w:color w:val="FFFFFF"/>
          <w:sz w:val="28"/>
          <w:szCs w:val="28"/>
          <w:lang w:val="en-GB" w:eastAsia="en-US"/>
        </w:rPr>
        <w:t>Risk analysis, sustainability and exit strategy</w:t>
      </w:r>
    </w:p>
    <w:p w14:paraId="59F6DEC3" w14:textId="7A5DD02A" w:rsidR="009F04D9" w:rsidRPr="00BD7521" w:rsidRDefault="009F04D9" w:rsidP="00BD7521">
      <w:pPr>
        <w:spacing w:before="240" w:after="240"/>
        <w:jc w:val="both"/>
        <w:rPr>
          <w:rFonts w:ascii="Arial" w:eastAsia="Calibri" w:hAnsi="Arial" w:cs="Arial"/>
          <w:sz w:val="22"/>
          <w:szCs w:val="22"/>
          <w:lang w:val="en-GB" w:eastAsia="en-US"/>
        </w:rPr>
      </w:pPr>
      <w:r w:rsidRPr="009F04D9">
        <w:rPr>
          <w:rFonts w:ascii="Arial" w:eastAsia="Calibri" w:hAnsi="Arial" w:cs="Arial"/>
          <w:sz w:val="22"/>
          <w:szCs w:val="22"/>
          <w:lang w:val="en-GB" w:eastAsia="en-US"/>
        </w:rPr>
        <w:t>In the short term, the programme will engage States Parties in safeguarding action and strengthen capacities to support safeguarding in formal and non-formal education. Countries should have at their disposal access to expertise, guidance and concrete experiences that will allow the relevant stakeholders and communities on their territory to carry on this work / develop larger scale projects. Where relevant, guidance will include information on the possibilities of requesting international assistance from the Intangible Cultural Heritage Fund for this purpose.</w:t>
      </w:r>
    </w:p>
    <w:sectPr w:rsidR="009F04D9" w:rsidRPr="00BD7521" w:rsidSect="009115B4">
      <w:headerReference w:type="even" r:id="rId28"/>
      <w:headerReference w:type="default" r:id="rId29"/>
      <w:headerReference w:type="first" r:id="rId3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15E3" w14:textId="77777777" w:rsidR="00865980" w:rsidRDefault="00865980" w:rsidP="00655736">
      <w:r>
        <w:separator/>
      </w:r>
    </w:p>
  </w:endnote>
  <w:endnote w:type="continuationSeparator" w:id="0">
    <w:p w14:paraId="5524B6CD" w14:textId="77777777" w:rsidR="00865980" w:rsidRDefault="00865980"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63B20" w14:textId="77777777" w:rsidR="00865980" w:rsidRDefault="00865980" w:rsidP="00655736">
      <w:r>
        <w:separator/>
      </w:r>
    </w:p>
  </w:footnote>
  <w:footnote w:type="continuationSeparator" w:id="0">
    <w:p w14:paraId="1E128346" w14:textId="77777777" w:rsidR="00865980" w:rsidRDefault="00865980" w:rsidP="00655736">
      <w:r>
        <w:continuationSeparator/>
      </w:r>
    </w:p>
  </w:footnote>
  <w:footnote w:id="1">
    <w:p w14:paraId="3131AA90" w14:textId="77777777" w:rsidR="00865980" w:rsidRPr="00BD7521" w:rsidRDefault="00865980" w:rsidP="00BD7521">
      <w:pPr>
        <w:pStyle w:val="FootnoteText"/>
        <w:tabs>
          <w:tab w:val="left" w:pos="567"/>
        </w:tabs>
        <w:jc w:val="both"/>
        <w:rPr>
          <w:rFonts w:ascii="Arial" w:eastAsia="Batang" w:hAnsi="Arial" w:cs="Arial"/>
          <w:noProof/>
          <w:sz w:val="18"/>
          <w:szCs w:val="18"/>
          <w:lang w:val="en-US"/>
        </w:rPr>
      </w:pPr>
      <w:r w:rsidRPr="00BD7521">
        <w:rPr>
          <w:rStyle w:val="FootnoteReference"/>
          <w:rFonts w:ascii="Arial" w:hAnsi="Arial" w:cs="Arial"/>
          <w:noProof/>
          <w:sz w:val="18"/>
          <w:szCs w:val="18"/>
          <w:vertAlign w:val="baseline"/>
        </w:rPr>
        <w:footnoteRef/>
      </w:r>
      <w:r w:rsidRPr="00BD7521">
        <w:rPr>
          <w:rFonts w:ascii="Arial" w:hAnsi="Arial" w:cs="Arial"/>
          <w:noProof/>
          <w:sz w:val="18"/>
          <w:szCs w:val="18"/>
          <w:lang w:val="en-US"/>
        </w:rPr>
        <w:t>.</w:t>
      </w:r>
      <w:r w:rsidRPr="00BD7521">
        <w:rPr>
          <w:rFonts w:ascii="Arial" w:hAnsi="Arial" w:cs="Arial"/>
          <w:noProof/>
          <w:sz w:val="18"/>
          <w:szCs w:val="18"/>
          <w:lang w:val="en-US"/>
        </w:rPr>
        <w:tab/>
        <w:t>See for example the decision of the 2016 session of the Intergovernmental Committee (</w:t>
      </w:r>
      <w:hyperlink r:id="rId1" w:history="1">
        <w:r w:rsidRPr="00BD7521">
          <w:rPr>
            <w:rStyle w:val="Hyperlink"/>
            <w:rFonts w:ascii="Arial" w:hAnsi="Arial" w:cs="Arial"/>
            <w:noProof/>
            <w:sz w:val="18"/>
            <w:szCs w:val="18"/>
            <w:lang w:val="en-US"/>
          </w:rPr>
          <w:t>Decision 11.COM 5</w:t>
        </w:r>
      </w:hyperlink>
      <w:r w:rsidRPr="00BD7521">
        <w:rPr>
          <w:rFonts w:ascii="Arial" w:hAnsi="Arial" w:cs="Arial"/>
          <w:noProof/>
          <w:sz w:val="18"/>
          <w:szCs w:val="18"/>
          <w:lang w:val="en-US"/>
        </w:rPr>
        <w:t>).</w:t>
      </w:r>
    </w:p>
  </w:footnote>
  <w:footnote w:id="2">
    <w:p w14:paraId="59691E64" w14:textId="77777777" w:rsidR="00865980" w:rsidRPr="00BD7521" w:rsidRDefault="00865980" w:rsidP="00BD7521">
      <w:pPr>
        <w:pStyle w:val="FootnoteText"/>
        <w:tabs>
          <w:tab w:val="left" w:pos="567"/>
        </w:tabs>
        <w:jc w:val="both"/>
        <w:rPr>
          <w:rStyle w:val="FootnoteReference"/>
          <w:rFonts w:ascii="Arial" w:hAnsi="Arial" w:cs="Arial"/>
          <w:noProof/>
          <w:sz w:val="18"/>
          <w:szCs w:val="18"/>
          <w:vertAlign w:val="baseline"/>
        </w:rPr>
      </w:pPr>
      <w:r w:rsidRPr="00BD7521">
        <w:rPr>
          <w:rStyle w:val="FootnoteReference"/>
          <w:rFonts w:ascii="Arial" w:hAnsi="Arial" w:cs="Arial"/>
          <w:noProof/>
          <w:sz w:val="18"/>
          <w:szCs w:val="18"/>
          <w:vertAlign w:val="baseline"/>
        </w:rPr>
        <w:footnoteRef/>
      </w:r>
      <w:r w:rsidRPr="00BD7521">
        <w:rPr>
          <w:rStyle w:val="FootnoteReference"/>
          <w:rFonts w:ascii="Arial" w:hAnsi="Arial" w:cs="Arial"/>
          <w:noProof/>
          <w:sz w:val="18"/>
          <w:szCs w:val="18"/>
          <w:vertAlign w:val="baseline"/>
        </w:rPr>
        <w:t>.</w:t>
      </w:r>
      <w:r w:rsidRPr="00BD7521">
        <w:rPr>
          <w:rStyle w:val="FootnoteReference"/>
          <w:rFonts w:ascii="Arial" w:hAnsi="Arial" w:cs="Arial"/>
          <w:noProof/>
          <w:sz w:val="18"/>
          <w:szCs w:val="18"/>
          <w:vertAlign w:val="baseline"/>
        </w:rPr>
        <w:tab/>
        <w:t xml:space="preserve">See Chapter VI of the Operational Directives in the </w:t>
      </w:r>
      <w:hyperlink r:id="rId2" w:history="1">
        <w:r w:rsidRPr="00BD7521">
          <w:rPr>
            <w:rStyle w:val="FootnoteReference"/>
            <w:rFonts w:ascii="Arial" w:hAnsi="Arial" w:cs="Arial"/>
            <w:noProof/>
            <w:sz w:val="18"/>
            <w:szCs w:val="18"/>
            <w:vertAlign w:val="baseline"/>
          </w:rPr>
          <w:t>Basic Texts of the Convention, 2016 Edition</w:t>
        </w:r>
      </w:hyperlink>
      <w:r w:rsidRPr="00BD7521">
        <w:rPr>
          <w:rStyle w:val="FootnoteReference"/>
          <w:rFonts w:ascii="Arial" w:hAnsi="Arial" w:cs="Arial"/>
          <w:noProof/>
          <w:sz w:val="18"/>
          <w:szCs w:val="18"/>
          <w:vertAlign w:val="baseline"/>
        </w:rPr>
        <w:t>.</w:t>
      </w:r>
    </w:p>
  </w:footnote>
  <w:footnote w:id="3">
    <w:p w14:paraId="30BFD87E" w14:textId="77777777" w:rsidR="00865980" w:rsidRPr="00BD7521" w:rsidRDefault="00865980" w:rsidP="007505D8">
      <w:pPr>
        <w:pStyle w:val="FootnoteText"/>
        <w:tabs>
          <w:tab w:val="left" w:pos="567"/>
        </w:tabs>
        <w:ind w:left="567" w:hanging="567"/>
        <w:jc w:val="both"/>
        <w:rPr>
          <w:rFonts w:ascii="Arial" w:hAnsi="Arial" w:cs="Arial"/>
          <w:sz w:val="18"/>
          <w:szCs w:val="18"/>
        </w:rPr>
      </w:pPr>
      <w:r w:rsidRPr="00BD7521">
        <w:rPr>
          <w:rStyle w:val="FootnoteReference"/>
          <w:rFonts w:ascii="Arial" w:hAnsi="Arial" w:cs="Arial"/>
          <w:noProof/>
          <w:sz w:val="18"/>
          <w:szCs w:val="18"/>
          <w:vertAlign w:val="baseline"/>
        </w:rPr>
        <w:footnoteRef/>
      </w:r>
      <w:r w:rsidRPr="00BD7521">
        <w:rPr>
          <w:rStyle w:val="FootnoteReference"/>
          <w:rFonts w:ascii="Arial" w:hAnsi="Arial" w:cs="Arial"/>
          <w:noProof/>
          <w:sz w:val="18"/>
          <w:szCs w:val="18"/>
          <w:vertAlign w:val="baseline"/>
        </w:rPr>
        <w:t>.</w:t>
      </w:r>
      <w:r w:rsidRPr="00BD7521">
        <w:rPr>
          <w:rStyle w:val="FootnoteReference"/>
          <w:rFonts w:ascii="Arial" w:hAnsi="Arial" w:cs="Arial"/>
          <w:noProof/>
          <w:sz w:val="18"/>
          <w:szCs w:val="18"/>
          <w:vertAlign w:val="baseline"/>
        </w:rPr>
        <w:tab/>
        <w:t>References to ‘inclusive’, ‘inclusively’ or ‘on an inclusive basis’ should be understood to mean ‘inclusive of all sectors and strata of society, including indigenous peoples, migrants, immigrants and refugees, people of different ages and genders, persons with disabilities and members of vulnerable groups’ (cf. Operational Directives 174 and 194).</w:t>
      </w:r>
    </w:p>
  </w:footnote>
  <w:footnote w:id="4">
    <w:p w14:paraId="4AE11E68" w14:textId="77777777" w:rsidR="00865980" w:rsidRPr="00BD7521" w:rsidRDefault="00865980" w:rsidP="00BD7521">
      <w:pPr>
        <w:pStyle w:val="FootnoteText"/>
        <w:tabs>
          <w:tab w:val="left" w:pos="567"/>
        </w:tabs>
        <w:rPr>
          <w:rFonts w:ascii="Arial" w:hAnsi="Arial" w:cs="Arial"/>
          <w:sz w:val="18"/>
          <w:szCs w:val="18"/>
          <w:lang w:val="en-US" w:eastAsia="ko-KR"/>
        </w:rPr>
      </w:pPr>
      <w:r w:rsidRPr="00BD7521">
        <w:rPr>
          <w:rStyle w:val="FootnoteReference"/>
          <w:rFonts w:ascii="Arial" w:hAnsi="Arial" w:cs="Arial"/>
          <w:sz w:val="18"/>
          <w:szCs w:val="18"/>
          <w:vertAlign w:val="baseline"/>
        </w:rPr>
        <w:footnoteRef/>
      </w:r>
      <w:r w:rsidRPr="00BD7521">
        <w:rPr>
          <w:rFonts w:ascii="Arial" w:hAnsi="Arial" w:cs="Arial"/>
          <w:sz w:val="18"/>
          <w:szCs w:val="18"/>
          <w:lang w:val="en-US"/>
        </w:rPr>
        <w:t>.</w:t>
      </w:r>
      <w:r w:rsidRPr="00BD7521">
        <w:rPr>
          <w:rFonts w:ascii="Arial" w:hAnsi="Arial" w:cs="Arial"/>
          <w:sz w:val="18"/>
          <w:szCs w:val="18"/>
          <w:lang w:val="en-US"/>
        </w:rPr>
        <w:tab/>
      </w:r>
      <w:r w:rsidRPr="00BD7521">
        <w:rPr>
          <w:rFonts w:ascii="Arial" w:hAnsi="Arial" w:cs="Arial"/>
          <w:sz w:val="18"/>
          <w:szCs w:val="18"/>
          <w:lang w:val="en-US" w:eastAsia="ko-KR"/>
        </w:rPr>
        <w:t xml:space="preserve">See the </w:t>
      </w:r>
      <w:hyperlink r:id="rId3" w:history="1">
        <w:r w:rsidRPr="00BD7521">
          <w:rPr>
            <w:rStyle w:val="Hyperlink"/>
            <w:rFonts w:ascii="Arial" w:hAnsi="Arial" w:cs="Arial"/>
            <w:sz w:val="18"/>
            <w:szCs w:val="18"/>
            <w:lang w:val="en-US" w:eastAsia="ko-KR"/>
          </w:rPr>
          <w:t>Ethical Principles for Safeguarding Intangible Cultural Heritage</w:t>
        </w:r>
      </w:hyperlink>
      <w:r w:rsidRPr="00BD7521">
        <w:rPr>
          <w:rFonts w:ascii="Arial" w:hAnsi="Arial" w:cs="Arial"/>
          <w:sz w:val="18"/>
          <w:szCs w:val="18"/>
          <w:lang w:val="en-US" w:eastAsia="ko-K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6E9A" w14:textId="72001258" w:rsidR="00865980" w:rsidRPr="00C23A97" w:rsidRDefault="00865980">
    <w:pPr>
      <w:pStyle w:val="Header"/>
      <w:rPr>
        <w:rFonts w:ascii="Arial" w:hAnsi="Arial" w:cs="Arial"/>
        <w:lang w:val="en-GB"/>
      </w:rPr>
    </w:pPr>
    <w:r>
      <w:rPr>
        <w:rFonts w:ascii="Arial" w:hAnsi="Arial" w:cs="Arial"/>
        <w:sz w:val="20"/>
        <w:szCs w:val="20"/>
        <w:lang w:val="en-GB"/>
      </w:rPr>
      <w:t>ITH/17/12.COM</w:t>
    </w:r>
    <w:r w:rsidRPr="00C23A97">
      <w:rPr>
        <w:rFonts w:ascii="Arial" w:hAnsi="Arial" w:cs="Arial"/>
        <w:sz w:val="20"/>
        <w:szCs w:val="20"/>
        <w:lang w:val="en-GB"/>
      </w:rPr>
      <w:t>/</w:t>
    </w:r>
    <w:r>
      <w:rPr>
        <w:rFonts w:ascii="Arial" w:hAnsi="Arial" w:cs="Arial"/>
        <w:sz w:val="20"/>
        <w:szCs w:val="20"/>
        <w:lang w:val="en-GB"/>
      </w:rPr>
      <w:t>6</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554C38">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989F" w14:textId="02B4C265" w:rsidR="00865980" w:rsidRPr="0063300C" w:rsidRDefault="00865980" w:rsidP="0063300C">
    <w:pPr>
      <w:pStyle w:val="Header"/>
      <w:jc w:val="right"/>
      <w:rPr>
        <w:rFonts w:ascii="Arial" w:hAnsi="Arial" w:cs="Arial"/>
        <w:lang w:val="en-GB"/>
      </w:rPr>
    </w:pPr>
    <w:r>
      <w:rPr>
        <w:rFonts w:ascii="Arial" w:hAnsi="Arial" w:cs="Arial"/>
        <w:sz w:val="20"/>
        <w:szCs w:val="20"/>
        <w:lang w:val="en-GB"/>
      </w:rPr>
      <w:t>ITH/17/12.COM</w:t>
    </w:r>
    <w:r w:rsidRPr="00C23A97">
      <w:rPr>
        <w:rFonts w:ascii="Arial" w:hAnsi="Arial" w:cs="Arial"/>
        <w:sz w:val="20"/>
        <w:szCs w:val="20"/>
        <w:lang w:val="en-GB"/>
      </w:rPr>
      <w:t>/</w:t>
    </w:r>
    <w:r>
      <w:rPr>
        <w:rFonts w:ascii="Arial" w:hAnsi="Arial" w:cs="Arial"/>
        <w:sz w:val="20"/>
        <w:szCs w:val="20"/>
        <w:lang w:val="en-GB"/>
      </w:rPr>
      <w:t>6</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554C38">
      <w:rPr>
        <w:rStyle w:val="PageNumber"/>
        <w:rFonts w:ascii="Arial" w:hAnsi="Arial" w:cs="Arial"/>
        <w:noProof/>
        <w:sz w:val="20"/>
        <w:szCs w:val="20"/>
        <w:lang w:val="en-GB"/>
      </w:rPr>
      <w:t>5</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65E6" w14:textId="77777777" w:rsidR="00865980" w:rsidRPr="00F32C23" w:rsidRDefault="00865980" w:rsidP="000811A4">
    <w:pPr>
      <w:pStyle w:val="Header"/>
      <w:rPr>
        <w:lang w:val="en-GB"/>
      </w:rPr>
    </w:pPr>
    <w:r>
      <w:rPr>
        <w:noProof/>
        <w:lang w:val="en-US" w:eastAsia="ko-KR"/>
      </w:rPr>
      <w:drawing>
        <wp:anchor distT="0" distB="0" distL="114300" distR="114300" simplePos="0" relativeHeight="251659264" behindDoc="0" locked="0" layoutInCell="1" allowOverlap="1" wp14:anchorId="3F905301" wp14:editId="0760A08B">
          <wp:simplePos x="0" y="0"/>
          <wp:positionH relativeFrom="column">
            <wp:posOffset>-567690</wp:posOffset>
          </wp:positionH>
          <wp:positionV relativeFrom="page">
            <wp:posOffset>255905</wp:posOffset>
          </wp:positionV>
          <wp:extent cx="2228400" cy="1368000"/>
          <wp:effectExtent l="0" t="0" r="635" b="3810"/>
          <wp:wrapNone/>
          <wp:docPr id="7" name="Picture 7"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7E89E" w14:textId="7A38BDCB" w:rsidR="00865980" w:rsidRPr="00F30DC6" w:rsidRDefault="00865980" w:rsidP="000811A4">
    <w:pPr>
      <w:pStyle w:val="Header"/>
      <w:spacing w:after="520"/>
      <w:jc w:val="right"/>
      <w:rPr>
        <w:rFonts w:ascii="Arial" w:hAnsi="Arial" w:cs="Arial"/>
        <w:b/>
        <w:sz w:val="44"/>
        <w:szCs w:val="44"/>
        <w:lang w:val="en-GB"/>
      </w:rPr>
    </w:pPr>
    <w:r>
      <w:rPr>
        <w:rFonts w:ascii="Arial" w:hAnsi="Arial" w:cs="Arial"/>
        <w:b/>
        <w:sz w:val="44"/>
        <w:szCs w:val="44"/>
        <w:lang w:val="en-GB"/>
      </w:rPr>
      <w:t>12</w:t>
    </w:r>
    <w:r w:rsidRPr="00F30DC6">
      <w:rPr>
        <w:rFonts w:ascii="Arial" w:hAnsi="Arial" w:cs="Arial"/>
        <w:b/>
        <w:sz w:val="44"/>
        <w:szCs w:val="44"/>
        <w:lang w:val="en-GB"/>
      </w:rPr>
      <w:t xml:space="preserve"> COM</w:t>
    </w:r>
  </w:p>
  <w:p w14:paraId="14E3DADB" w14:textId="5129150D" w:rsidR="00865980" w:rsidRPr="005E220A" w:rsidRDefault="00865980" w:rsidP="000811A4">
    <w:pPr>
      <w:jc w:val="right"/>
      <w:rPr>
        <w:rFonts w:ascii="Arial" w:hAnsi="Arial" w:cs="Arial"/>
        <w:b/>
        <w:sz w:val="22"/>
        <w:szCs w:val="22"/>
        <w:lang w:val="en-GB"/>
      </w:rPr>
    </w:pPr>
    <w:r w:rsidRPr="005E220A">
      <w:rPr>
        <w:rFonts w:ascii="Arial" w:hAnsi="Arial" w:cs="Arial"/>
        <w:b/>
        <w:sz w:val="22"/>
        <w:szCs w:val="22"/>
        <w:lang w:val="en-GB"/>
      </w:rPr>
      <w:t>ITH/17/12.COM/6</w:t>
    </w:r>
  </w:p>
  <w:p w14:paraId="044FB4F1" w14:textId="211F13AF" w:rsidR="00865980" w:rsidRPr="002316D6" w:rsidRDefault="00865980" w:rsidP="000811A4">
    <w:pPr>
      <w:jc w:val="right"/>
      <w:rPr>
        <w:rFonts w:ascii="Arial" w:hAnsi="Arial" w:cs="Arial"/>
        <w:b/>
        <w:sz w:val="22"/>
        <w:szCs w:val="22"/>
        <w:lang w:val="en-GB"/>
      </w:rPr>
    </w:pPr>
    <w:r w:rsidRPr="005E220A">
      <w:rPr>
        <w:rFonts w:ascii="Arial" w:hAnsi="Arial" w:cs="Arial"/>
        <w:b/>
        <w:sz w:val="22"/>
        <w:szCs w:val="22"/>
        <w:lang w:val="en-GB"/>
      </w:rPr>
      <w:t xml:space="preserve">Paris, </w:t>
    </w:r>
    <w:r w:rsidR="00FD7182">
      <w:rPr>
        <w:rFonts w:ascii="Arial" w:hAnsi="Arial" w:cs="Arial"/>
        <w:b/>
        <w:sz w:val="22"/>
        <w:szCs w:val="22"/>
        <w:lang w:val="en-GB"/>
      </w:rPr>
      <w:t>1</w:t>
    </w:r>
    <w:r w:rsidRPr="005E220A">
      <w:rPr>
        <w:rFonts w:ascii="Arial" w:hAnsi="Arial" w:cs="Arial"/>
        <w:b/>
        <w:sz w:val="22"/>
        <w:szCs w:val="22"/>
        <w:lang w:val="en-GB"/>
      </w:rPr>
      <w:t> November</w:t>
    </w:r>
    <w:r w:rsidRPr="00604FE7">
      <w:rPr>
        <w:rFonts w:ascii="Arial" w:hAnsi="Arial" w:cs="Arial"/>
        <w:b/>
        <w:sz w:val="22"/>
        <w:szCs w:val="22"/>
        <w:lang w:val="en-GB"/>
      </w:rPr>
      <w:t> 2017</w:t>
    </w:r>
  </w:p>
  <w:p w14:paraId="01DF303F" w14:textId="2A4A5FAC" w:rsidR="00865980" w:rsidRDefault="00865980" w:rsidP="0014445F">
    <w:pPr>
      <w:jc w:val="right"/>
      <w:rPr>
        <w:rFonts w:ascii="Arial" w:hAnsi="Arial" w:cs="Arial"/>
        <w:b/>
        <w:sz w:val="22"/>
        <w:szCs w:val="22"/>
        <w:lang w:val="en-GB"/>
      </w:rPr>
    </w:pPr>
    <w:r w:rsidRPr="002316D6">
      <w:rPr>
        <w:rFonts w:ascii="Arial" w:hAnsi="Arial" w:cs="Arial"/>
        <w:b/>
        <w:sz w:val="22"/>
        <w:szCs w:val="22"/>
        <w:lang w:val="en-GB"/>
      </w:rPr>
      <w:t>Original: English</w:t>
    </w:r>
  </w:p>
  <w:p w14:paraId="024510AC" w14:textId="77777777" w:rsidR="00865980" w:rsidRDefault="00865980" w:rsidP="005E220A">
    <w:pPr>
      <w:ind w:right="440"/>
      <w:rPr>
        <w:rFonts w:ascii="Arial"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2FE"/>
    <w:multiLevelType w:val="multilevel"/>
    <w:tmpl w:val="0409001F"/>
    <w:lvl w:ilvl="0">
      <w:start w:val="1"/>
      <w:numFmt w:val="decimal"/>
      <w:lvlText w:val="%1."/>
      <w:lvlJc w:val="left"/>
      <w:pPr>
        <w:ind w:left="360" w:hanging="360"/>
      </w:pPr>
      <w:rPr>
        <w:rFonts w:hint="default"/>
        <w:b w:val="0"/>
        <w:i w:val="0"/>
        <w:color w:val="C5192D"/>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A76B9"/>
    <w:multiLevelType w:val="hybridMultilevel"/>
    <w:tmpl w:val="A4F2784A"/>
    <w:lvl w:ilvl="0" w:tplc="3208CFA2">
      <w:start w:val="1"/>
      <w:numFmt w:val="decimal"/>
      <w:pStyle w:val="Paragraph"/>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3B38A3"/>
    <w:multiLevelType w:val="hybridMultilevel"/>
    <w:tmpl w:val="F5A43CB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B37156"/>
    <w:multiLevelType w:val="hybridMultilevel"/>
    <w:tmpl w:val="9B021428"/>
    <w:lvl w:ilvl="0" w:tplc="07DCF292">
      <w:start w:val="1"/>
      <w:numFmt w:val="decimal"/>
      <w:pStyle w:val="Para"/>
      <w:lvlText w:val="%1."/>
      <w:lvlJc w:val="left"/>
      <w:pPr>
        <w:ind w:left="502" w:hanging="360"/>
      </w:pPr>
      <w:rPr>
        <w:rFonts w:hint="default"/>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408914F7"/>
    <w:multiLevelType w:val="hybridMultilevel"/>
    <w:tmpl w:val="E21AA7C0"/>
    <w:lvl w:ilvl="0" w:tplc="34BEA578">
      <w:start w:val="1"/>
      <w:numFmt w:val="decimal"/>
      <w:lvlText w:val="%1"/>
      <w:lvlJc w:val="left"/>
      <w:pPr>
        <w:ind w:left="288" w:hanging="288"/>
      </w:pPr>
      <w:rPr>
        <w:rFonts w:asciiTheme="minorHAnsi" w:hAnsiTheme="minorHAnsi" w:hint="default"/>
        <w:b w:val="0"/>
        <w:i w:val="0"/>
        <w:color w:val="C5192D"/>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0D14BDA"/>
    <w:multiLevelType w:val="hybridMultilevel"/>
    <w:tmpl w:val="39E2F77A"/>
    <w:lvl w:ilvl="0" w:tplc="04090005">
      <w:start w:val="1"/>
      <w:numFmt w:val="bullet"/>
      <w:lvlText w:val=""/>
      <w:lvlJc w:val="left"/>
      <w:pPr>
        <w:tabs>
          <w:tab w:val="num" w:pos="2160"/>
        </w:tabs>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8"/>
  </w:num>
  <w:num w:numId="7">
    <w:abstractNumId w:val="1"/>
  </w:num>
  <w:num w:numId="8">
    <w:abstractNumId w:val="1"/>
  </w:num>
  <w:num w:numId="9">
    <w:abstractNumId w:val="1"/>
  </w:num>
  <w:num w:numId="10">
    <w:abstractNumId w:val="1"/>
  </w:num>
  <w:num w:numId="11">
    <w:abstractNumId w:val="1"/>
  </w:num>
  <w:num w:numId="12">
    <w:abstractNumId w:val="10"/>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6"/>
  </w:num>
  <w:num w:numId="29">
    <w:abstractNumId w:val="3"/>
  </w:num>
  <w:num w:numId="30">
    <w:abstractNumId w:val="1"/>
  </w:num>
  <w:num w:numId="31">
    <w:abstractNumId w:val="6"/>
  </w:num>
  <w:num w:numId="32">
    <w:abstractNumId w:val="6"/>
  </w:num>
  <w:num w:numId="33">
    <w:abstractNumId w:val="4"/>
  </w:num>
  <w:num w:numId="34">
    <w:abstractNumId w:val="9"/>
  </w:num>
  <w:num w:numId="35">
    <w:abstractNumId w:val="0"/>
  </w:num>
  <w:num w:numId="3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39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D6"/>
    <w:rsid w:val="00001ACC"/>
    <w:rsid w:val="000048ED"/>
    <w:rsid w:val="00004E1C"/>
    <w:rsid w:val="000116E3"/>
    <w:rsid w:val="00013B92"/>
    <w:rsid w:val="00015D3B"/>
    <w:rsid w:val="00022DCB"/>
    <w:rsid w:val="00025F00"/>
    <w:rsid w:val="00027D32"/>
    <w:rsid w:val="00031E76"/>
    <w:rsid w:val="00033347"/>
    <w:rsid w:val="00033737"/>
    <w:rsid w:val="0003484B"/>
    <w:rsid w:val="00034A28"/>
    <w:rsid w:val="00036739"/>
    <w:rsid w:val="0004000F"/>
    <w:rsid w:val="00041A66"/>
    <w:rsid w:val="0005176E"/>
    <w:rsid w:val="00053503"/>
    <w:rsid w:val="0005570F"/>
    <w:rsid w:val="000610D7"/>
    <w:rsid w:val="00062D40"/>
    <w:rsid w:val="00063513"/>
    <w:rsid w:val="000663BD"/>
    <w:rsid w:val="00074F6C"/>
    <w:rsid w:val="00075433"/>
    <w:rsid w:val="000765F7"/>
    <w:rsid w:val="00077AB7"/>
    <w:rsid w:val="000811A4"/>
    <w:rsid w:val="00081CD8"/>
    <w:rsid w:val="00083398"/>
    <w:rsid w:val="00083EE8"/>
    <w:rsid w:val="00087751"/>
    <w:rsid w:val="000A0196"/>
    <w:rsid w:val="000A1E81"/>
    <w:rsid w:val="000A4F11"/>
    <w:rsid w:val="000A63DF"/>
    <w:rsid w:val="000A67F3"/>
    <w:rsid w:val="000A7F0E"/>
    <w:rsid w:val="000B0873"/>
    <w:rsid w:val="000B1C8F"/>
    <w:rsid w:val="000B5DED"/>
    <w:rsid w:val="000C0D61"/>
    <w:rsid w:val="000C140A"/>
    <w:rsid w:val="000C1D81"/>
    <w:rsid w:val="000C60CB"/>
    <w:rsid w:val="000C7B0B"/>
    <w:rsid w:val="000D0AE9"/>
    <w:rsid w:val="000D24A6"/>
    <w:rsid w:val="000D52AD"/>
    <w:rsid w:val="000E1943"/>
    <w:rsid w:val="000E4A44"/>
    <w:rsid w:val="000F0B43"/>
    <w:rsid w:val="000F3A3F"/>
    <w:rsid w:val="000F5D41"/>
    <w:rsid w:val="00102557"/>
    <w:rsid w:val="00103491"/>
    <w:rsid w:val="00104C26"/>
    <w:rsid w:val="0011139A"/>
    <w:rsid w:val="00114E71"/>
    <w:rsid w:val="00123244"/>
    <w:rsid w:val="00126646"/>
    <w:rsid w:val="00127F64"/>
    <w:rsid w:val="0013195F"/>
    <w:rsid w:val="0014445F"/>
    <w:rsid w:val="001473B9"/>
    <w:rsid w:val="00147FF7"/>
    <w:rsid w:val="00151926"/>
    <w:rsid w:val="00153A2D"/>
    <w:rsid w:val="0015780B"/>
    <w:rsid w:val="00163F91"/>
    <w:rsid w:val="001648F9"/>
    <w:rsid w:val="00164D56"/>
    <w:rsid w:val="00167B10"/>
    <w:rsid w:val="0017402F"/>
    <w:rsid w:val="00175FDA"/>
    <w:rsid w:val="00177E5A"/>
    <w:rsid w:val="00180E9E"/>
    <w:rsid w:val="0018242B"/>
    <w:rsid w:val="001926AD"/>
    <w:rsid w:val="00196386"/>
    <w:rsid w:val="00196C1B"/>
    <w:rsid w:val="001974E8"/>
    <w:rsid w:val="001A2AA6"/>
    <w:rsid w:val="001A2B7C"/>
    <w:rsid w:val="001B0F73"/>
    <w:rsid w:val="001B519A"/>
    <w:rsid w:val="001C2CB2"/>
    <w:rsid w:val="001C2DB7"/>
    <w:rsid w:val="001C6E03"/>
    <w:rsid w:val="001C787A"/>
    <w:rsid w:val="001D29B2"/>
    <w:rsid w:val="001D31EE"/>
    <w:rsid w:val="001D526B"/>
    <w:rsid w:val="001D5C04"/>
    <w:rsid w:val="001E1B5B"/>
    <w:rsid w:val="001E392E"/>
    <w:rsid w:val="001E725A"/>
    <w:rsid w:val="001F78FE"/>
    <w:rsid w:val="00204134"/>
    <w:rsid w:val="0020465C"/>
    <w:rsid w:val="00204A76"/>
    <w:rsid w:val="00206479"/>
    <w:rsid w:val="00210D96"/>
    <w:rsid w:val="00214AAD"/>
    <w:rsid w:val="00220FE6"/>
    <w:rsid w:val="00222A2D"/>
    <w:rsid w:val="00223029"/>
    <w:rsid w:val="00230309"/>
    <w:rsid w:val="002316D6"/>
    <w:rsid w:val="002346B5"/>
    <w:rsid w:val="00234745"/>
    <w:rsid w:val="00237464"/>
    <w:rsid w:val="002407AF"/>
    <w:rsid w:val="00243051"/>
    <w:rsid w:val="00243077"/>
    <w:rsid w:val="00246D36"/>
    <w:rsid w:val="00255C23"/>
    <w:rsid w:val="00255EC4"/>
    <w:rsid w:val="00257D60"/>
    <w:rsid w:val="00260CAC"/>
    <w:rsid w:val="0027119A"/>
    <w:rsid w:val="00271D74"/>
    <w:rsid w:val="0027466B"/>
    <w:rsid w:val="00276D20"/>
    <w:rsid w:val="002827DE"/>
    <w:rsid w:val="002838A5"/>
    <w:rsid w:val="002845E9"/>
    <w:rsid w:val="00285BB4"/>
    <w:rsid w:val="002906DE"/>
    <w:rsid w:val="002A1AB9"/>
    <w:rsid w:val="002A1BA9"/>
    <w:rsid w:val="002A1DFC"/>
    <w:rsid w:val="002A347E"/>
    <w:rsid w:val="002A3A7A"/>
    <w:rsid w:val="002A733B"/>
    <w:rsid w:val="002B165F"/>
    <w:rsid w:val="002C09E3"/>
    <w:rsid w:val="002D5CDA"/>
    <w:rsid w:val="002E38C2"/>
    <w:rsid w:val="002E5734"/>
    <w:rsid w:val="002E5A0A"/>
    <w:rsid w:val="002F1F61"/>
    <w:rsid w:val="002F4A64"/>
    <w:rsid w:val="002F520C"/>
    <w:rsid w:val="002F6A93"/>
    <w:rsid w:val="003013E9"/>
    <w:rsid w:val="00302083"/>
    <w:rsid w:val="003028BC"/>
    <w:rsid w:val="00304B6A"/>
    <w:rsid w:val="00305247"/>
    <w:rsid w:val="00307A06"/>
    <w:rsid w:val="003106F8"/>
    <w:rsid w:val="00312A11"/>
    <w:rsid w:val="0032376B"/>
    <w:rsid w:val="00324363"/>
    <w:rsid w:val="00333B38"/>
    <w:rsid w:val="003407D2"/>
    <w:rsid w:val="00342290"/>
    <w:rsid w:val="00342961"/>
    <w:rsid w:val="00344B58"/>
    <w:rsid w:val="00345CB4"/>
    <w:rsid w:val="00345D28"/>
    <w:rsid w:val="00351849"/>
    <w:rsid w:val="00366134"/>
    <w:rsid w:val="00367728"/>
    <w:rsid w:val="003753EE"/>
    <w:rsid w:val="00375D42"/>
    <w:rsid w:val="00376AC9"/>
    <w:rsid w:val="003845BE"/>
    <w:rsid w:val="00390F5D"/>
    <w:rsid w:val="003915D4"/>
    <w:rsid w:val="003A0335"/>
    <w:rsid w:val="003A2956"/>
    <w:rsid w:val="003B25CA"/>
    <w:rsid w:val="003B3E57"/>
    <w:rsid w:val="003C02B1"/>
    <w:rsid w:val="003C5240"/>
    <w:rsid w:val="003C69FD"/>
    <w:rsid w:val="003D069C"/>
    <w:rsid w:val="003D54A0"/>
    <w:rsid w:val="003D6DB6"/>
    <w:rsid w:val="003D7646"/>
    <w:rsid w:val="003E281A"/>
    <w:rsid w:val="003E6D76"/>
    <w:rsid w:val="003F06DB"/>
    <w:rsid w:val="003F113A"/>
    <w:rsid w:val="003F1C61"/>
    <w:rsid w:val="003F1C8D"/>
    <w:rsid w:val="003F3E63"/>
    <w:rsid w:val="003F6128"/>
    <w:rsid w:val="003F6554"/>
    <w:rsid w:val="003F7240"/>
    <w:rsid w:val="00402E1F"/>
    <w:rsid w:val="00403B4E"/>
    <w:rsid w:val="00407480"/>
    <w:rsid w:val="004103C6"/>
    <w:rsid w:val="00410501"/>
    <w:rsid w:val="00411715"/>
    <w:rsid w:val="00414643"/>
    <w:rsid w:val="00420316"/>
    <w:rsid w:val="00420B2E"/>
    <w:rsid w:val="00430E07"/>
    <w:rsid w:val="00432FC4"/>
    <w:rsid w:val="00435822"/>
    <w:rsid w:val="004421E5"/>
    <w:rsid w:val="00446CE0"/>
    <w:rsid w:val="00451613"/>
    <w:rsid w:val="00452284"/>
    <w:rsid w:val="00453340"/>
    <w:rsid w:val="00453DAC"/>
    <w:rsid w:val="00456B01"/>
    <w:rsid w:val="00457C8E"/>
    <w:rsid w:val="004620AF"/>
    <w:rsid w:val="00462B68"/>
    <w:rsid w:val="004720BC"/>
    <w:rsid w:val="00473936"/>
    <w:rsid w:val="0047461B"/>
    <w:rsid w:val="0048181C"/>
    <w:rsid w:val="004856CA"/>
    <w:rsid w:val="00487E67"/>
    <w:rsid w:val="00491900"/>
    <w:rsid w:val="0049705E"/>
    <w:rsid w:val="00497D0C"/>
    <w:rsid w:val="004A00FD"/>
    <w:rsid w:val="004A34A0"/>
    <w:rsid w:val="004A4AE4"/>
    <w:rsid w:val="004A65FE"/>
    <w:rsid w:val="004B33AC"/>
    <w:rsid w:val="004B6CCD"/>
    <w:rsid w:val="004C17C5"/>
    <w:rsid w:val="004C3CF2"/>
    <w:rsid w:val="004C447B"/>
    <w:rsid w:val="004C490A"/>
    <w:rsid w:val="004C60D9"/>
    <w:rsid w:val="004C654E"/>
    <w:rsid w:val="004C6929"/>
    <w:rsid w:val="004D1C9F"/>
    <w:rsid w:val="004D3376"/>
    <w:rsid w:val="004D6B1E"/>
    <w:rsid w:val="004D79B3"/>
    <w:rsid w:val="004D7E42"/>
    <w:rsid w:val="004E0400"/>
    <w:rsid w:val="004E1DA7"/>
    <w:rsid w:val="004E3A1A"/>
    <w:rsid w:val="004E4FC5"/>
    <w:rsid w:val="004E721A"/>
    <w:rsid w:val="004F2CCE"/>
    <w:rsid w:val="004F4A7D"/>
    <w:rsid w:val="005008A8"/>
    <w:rsid w:val="00507CA5"/>
    <w:rsid w:val="00511A01"/>
    <w:rsid w:val="005145B5"/>
    <w:rsid w:val="005155AD"/>
    <w:rsid w:val="00515F52"/>
    <w:rsid w:val="0052008C"/>
    <w:rsid w:val="0052059D"/>
    <w:rsid w:val="00525933"/>
    <w:rsid w:val="00526B7B"/>
    <w:rsid w:val="005308CE"/>
    <w:rsid w:val="00537311"/>
    <w:rsid w:val="00541367"/>
    <w:rsid w:val="00543B28"/>
    <w:rsid w:val="0054634F"/>
    <w:rsid w:val="00547F41"/>
    <w:rsid w:val="00550403"/>
    <w:rsid w:val="005519AA"/>
    <w:rsid w:val="00551B28"/>
    <w:rsid w:val="00552533"/>
    <w:rsid w:val="00554C38"/>
    <w:rsid w:val="00555D26"/>
    <w:rsid w:val="00556133"/>
    <w:rsid w:val="005572C0"/>
    <w:rsid w:val="00565409"/>
    <w:rsid w:val="00572DDF"/>
    <w:rsid w:val="0057439C"/>
    <w:rsid w:val="00575D0E"/>
    <w:rsid w:val="00591C59"/>
    <w:rsid w:val="00592561"/>
    <w:rsid w:val="005B0127"/>
    <w:rsid w:val="005B2FB4"/>
    <w:rsid w:val="005B4250"/>
    <w:rsid w:val="005B7A35"/>
    <w:rsid w:val="005C307A"/>
    <w:rsid w:val="005C3827"/>
    <w:rsid w:val="005C479C"/>
    <w:rsid w:val="005C4A45"/>
    <w:rsid w:val="005C4B73"/>
    <w:rsid w:val="005C6B37"/>
    <w:rsid w:val="005C7C64"/>
    <w:rsid w:val="005D218E"/>
    <w:rsid w:val="005E1D2B"/>
    <w:rsid w:val="005E220A"/>
    <w:rsid w:val="005E3982"/>
    <w:rsid w:val="005E4F5C"/>
    <w:rsid w:val="005E7074"/>
    <w:rsid w:val="005E7606"/>
    <w:rsid w:val="005E77D3"/>
    <w:rsid w:val="005F2AB3"/>
    <w:rsid w:val="005F2BAF"/>
    <w:rsid w:val="005F34C5"/>
    <w:rsid w:val="005F3BCA"/>
    <w:rsid w:val="005F3BFA"/>
    <w:rsid w:val="005F5D05"/>
    <w:rsid w:val="00600D93"/>
    <w:rsid w:val="0060476D"/>
    <w:rsid w:val="00604FE7"/>
    <w:rsid w:val="00606277"/>
    <w:rsid w:val="006147AE"/>
    <w:rsid w:val="00620606"/>
    <w:rsid w:val="006252F9"/>
    <w:rsid w:val="00627585"/>
    <w:rsid w:val="0063300C"/>
    <w:rsid w:val="00633521"/>
    <w:rsid w:val="00636A86"/>
    <w:rsid w:val="006515AD"/>
    <w:rsid w:val="006537C1"/>
    <w:rsid w:val="00653C5E"/>
    <w:rsid w:val="00655683"/>
    <w:rsid w:val="00655736"/>
    <w:rsid w:val="00656983"/>
    <w:rsid w:val="00657A4C"/>
    <w:rsid w:val="006606AC"/>
    <w:rsid w:val="00661E5A"/>
    <w:rsid w:val="0066211C"/>
    <w:rsid w:val="00663B8D"/>
    <w:rsid w:val="00666668"/>
    <w:rsid w:val="006713FC"/>
    <w:rsid w:val="00675FF9"/>
    <w:rsid w:val="006778D9"/>
    <w:rsid w:val="00686822"/>
    <w:rsid w:val="0068720E"/>
    <w:rsid w:val="00687394"/>
    <w:rsid w:val="00695187"/>
    <w:rsid w:val="00696C8D"/>
    <w:rsid w:val="006A02BD"/>
    <w:rsid w:val="006A092B"/>
    <w:rsid w:val="006A2AC2"/>
    <w:rsid w:val="006A3617"/>
    <w:rsid w:val="006B05BC"/>
    <w:rsid w:val="006B2D7D"/>
    <w:rsid w:val="006B4898"/>
    <w:rsid w:val="006B4E34"/>
    <w:rsid w:val="006C11AC"/>
    <w:rsid w:val="006C35E5"/>
    <w:rsid w:val="006C47D1"/>
    <w:rsid w:val="006C720A"/>
    <w:rsid w:val="006C76DD"/>
    <w:rsid w:val="006D026E"/>
    <w:rsid w:val="006D2A26"/>
    <w:rsid w:val="006D6246"/>
    <w:rsid w:val="006E361C"/>
    <w:rsid w:val="006E46E4"/>
    <w:rsid w:val="006E546A"/>
    <w:rsid w:val="006F09ED"/>
    <w:rsid w:val="00703A81"/>
    <w:rsid w:val="0070763A"/>
    <w:rsid w:val="00707F31"/>
    <w:rsid w:val="00710587"/>
    <w:rsid w:val="00717621"/>
    <w:rsid w:val="00717DA5"/>
    <w:rsid w:val="00725591"/>
    <w:rsid w:val="00731D57"/>
    <w:rsid w:val="00733E4C"/>
    <w:rsid w:val="00740A1A"/>
    <w:rsid w:val="0074144E"/>
    <w:rsid w:val="00742387"/>
    <w:rsid w:val="00744484"/>
    <w:rsid w:val="007455D4"/>
    <w:rsid w:val="00747566"/>
    <w:rsid w:val="007505D8"/>
    <w:rsid w:val="00753770"/>
    <w:rsid w:val="00762CD4"/>
    <w:rsid w:val="007637DB"/>
    <w:rsid w:val="00773188"/>
    <w:rsid w:val="007757BA"/>
    <w:rsid w:val="00776A3A"/>
    <w:rsid w:val="00782117"/>
    <w:rsid w:val="0078238B"/>
    <w:rsid w:val="00783011"/>
    <w:rsid w:val="00783782"/>
    <w:rsid w:val="00784B8C"/>
    <w:rsid w:val="007879E1"/>
    <w:rsid w:val="00793EF1"/>
    <w:rsid w:val="00795C9F"/>
    <w:rsid w:val="007A26F7"/>
    <w:rsid w:val="007A6D61"/>
    <w:rsid w:val="007B4A33"/>
    <w:rsid w:val="007C13C9"/>
    <w:rsid w:val="007C7B5B"/>
    <w:rsid w:val="007D098D"/>
    <w:rsid w:val="007D1F4F"/>
    <w:rsid w:val="007D2A03"/>
    <w:rsid w:val="007E1EF8"/>
    <w:rsid w:val="007E4E81"/>
    <w:rsid w:val="007F004F"/>
    <w:rsid w:val="007F244D"/>
    <w:rsid w:val="007F4328"/>
    <w:rsid w:val="007F7B0A"/>
    <w:rsid w:val="008019F5"/>
    <w:rsid w:val="00802369"/>
    <w:rsid w:val="00803D38"/>
    <w:rsid w:val="00803E22"/>
    <w:rsid w:val="00813254"/>
    <w:rsid w:val="008219D8"/>
    <w:rsid w:val="00823A11"/>
    <w:rsid w:val="008249F8"/>
    <w:rsid w:val="00825323"/>
    <w:rsid w:val="0083048A"/>
    <w:rsid w:val="00831802"/>
    <w:rsid w:val="0084663F"/>
    <w:rsid w:val="00852176"/>
    <w:rsid w:val="00853FBA"/>
    <w:rsid w:val="0085405E"/>
    <w:rsid w:val="0085414A"/>
    <w:rsid w:val="00854917"/>
    <w:rsid w:val="00854F20"/>
    <w:rsid w:val="0085734C"/>
    <w:rsid w:val="00857F21"/>
    <w:rsid w:val="008613FB"/>
    <w:rsid w:val="0086269D"/>
    <w:rsid w:val="0086543A"/>
    <w:rsid w:val="00865631"/>
    <w:rsid w:val="00865980"/>
    <w:rsid w:val="0086661A"/>
    <w:rsid w:val="00866FD4"/>
    <w:rsid w:val="008701D5"/>
    <w:rsid w:val="00870520"/>
    <w:rsid w:val="00871325"/>
    <w:rsid w:val="0087146D"/>
    <w:rsid w:val="008724E5"/>
    <w:rsid w:val="00872825"/>
    <w:rsid w:val="00877012"/>
    <w:rsid w:val="00877D54"/>
    <w:rsid w:val="00880000"/>
    <w:rsid w:val="00882F25"/>
    <w:rsid w:val="00883AFD"/>
    <w:rsid w:val="00883B07"/>
    <w:rsid w:val="00884A9D"/>
    <w:rsid w:val="0088512B"/>
    <w:rsid w:val="00886304"/>
    <w:rsid w:val="00886F92"/>
    <w:rsid w:val="0089557A"/>
    <w:rsid w:val="00895AE4"/>
    <w:rsid w:val="008A0C1E"/>
    <w:rsid w:val="008A2B2D"/>
    <w:rsid w:val="008A3D1F"/>
    <w:rsid w:val="008A4E1E"/>
    <w:rsid w:val="008A7B0B"/>
    <w:rsid w:val="008B5193"/>
    <w:rsid w:val="008B645E"/>
    <w:rsid w:val="008B782D"/>
    <w:rsid w:val="008C296C"/>
    <w:rsid w:val="008C3A75"/>
    <w:rsid w:val="008C7C8F"/>
    <w:rsid w:val="008D09FA"/>
    <w:rsid w:val="008D0FD7"/>
    <w:rsid w:val="008D35AE"/>
    <w:rsid w:val="008D4305"/>
    <w:rsid w:val="008E1A85"/>
    <w:rsid w:val="008E29A2"/>
    <w:rsid w:val="008E74D2"/>
    <w:rsid w:val="008E7CEC"/>
    <w:rsid w:val="008F0766"/>
    <w:rsid w:val="008F3003"/>
    <w:rsid w:val="008F4BF8"/>
    <w:rsid w:val="008F5A62"/>
    <w:rsid w:val="008F6F9E"/>
    <w:rsid w:val="008F7717"/>
    <w:rsid w:val="00904C09"/>
    <w:rsid w:val="009115B4"/>
    <w:rsid w:val="009163A7"/>
    <w:rsid w:val="009218C1"/>
    <w:rsid w:val="009255E0"/>
    <w:rsid w:val="009256B8"/>
    <w:rsid w:val="00927FF3"/>
    <w:rsid w:val="009356F8"/>
    <w:rsid w:val="00940654"/>
    <w:rsid w:val="009415B0"/>
    <w:rsid w:val="009426E5"/>
    <w:rsid w:val="00942CD5"/>
    <w:rsid w:val="00946D0B"/>
    <w:rsid w:val="00947FC7"/>
    <w:rsid w:val="00952365"/>
    <w:rsid w:val="00954301"/>
    <w:rsid w:val="00954A94"/>
    <w:rsid w:val="00955877"/>
    <w:rsid w:val="0098319F"/>
    <w:rsid w:val="00984D8E"/>
    <w:rsid w:val="00993051"/>
    <w:rsid w:val="00993A8F"/>
    <w:rsid w:val="00994B98"/>
    <w:rsid w:val="0099564B"/>
    <w:rsid w:val="009972B9"/>
    <w:rsid w:val="009979CA"/>
    <w:rsid w:val="009A18CD"/>
    <w:rsid w:val="009A364C"/>
    <w:rsid w:val="009A3B8C"/>
    <w:rsid w:val="009A53D7"/>
    <w:rsid w:val="009A59D1"/>
    <w:rsid w:val="009B27E7"/>
    <w:rsid w:val="009C18EF"/>
    <w:rsid w:val="009C2A90"/>
    <w:rsid w:val="009C3D10"/>
    <w:rsid w:val="009C44D2"/>
    <w:rsid w:val="009C4D37"/>
    <w:rsid w:val="009C75B1"/>
    <w:rsid w:val="009D0259"/>
    <w:rsid w:val="009D2276"/>
    <w:rsid w:val="009D5428"/>
    <w:rsid w:val="009D6530"/>
    <w:rsid w:val="009E1502"/>
    <w:rsid w:val="009E6572"/>
    <w:rsid w:val="009E74B8"/>
    <w:rsid w:val="009E7D44"/>
    <w:rsid w:val="009F04D9"/>
    <w:rsid w:val="009F64AF"/>
    <w:rsid w:val="009F7DE5"/>
    <w:rsid w:val="00A06274"/>
    <w:rsid w:val="00A105DC"/>
    <w:rsid w:val="00A115CD"/>
    <w:rsid w:val="00A12558"/>
    <w:rsid w:val="00A12880"/>
    <w:rsid w:val="00A13903"/>
    <w:rsid w:val="00A1622A"/>
    <w:rsid w:val="00A17C45"/>
    <w:rsid w:val="00A21E68"/>
    <w:rsid w:val="00A22592"/>
    <w:rsid w:val="00A22CAA"/>
    <w:rsid w:val="00A24907"/>
    <w:rsid w:val="00A25252"/>
    <w:rsid w:val="00A27F7E"/>
    <w:rsid w:val="00A3171A"/>
    <w:rsid w:val="00A34ED5"/>
    <w:rsid w:val="00A4210C"/>
    <w:rsid w:val="00A4292F"/>
    <w:rsid w:val="00A44B2E"/>
    <w:rsid w:val="00A45DBF"/>
    <w:rsid w:val="00A50610"/>
    <w:rsid w:val="00A52279"/>
    <w:rsid w:val="00A5307F"/>
    <w:rsid w:val="00A53500"/>
    <w:rsid w:val="00A6365B"/>
    <w:rsid w:val="00A641C2"/>
    <w:rsid w:val="00A72BD0"/>
    <w:rsid w:val="00A755A2"/>
    <w:rsid w:val="00A76B34"/>
    <w:rsid w:val="00A83B0C"/>
    <w:rsid w:val="00A91612"/>
    <w:rsid w:val="00A931CE"/>
    <w:rsid w:val="00A94833"/>
    <w:rsid w:val="00A951ED"/>
    <w:rsid w:val="00AA3331"/>
    <w:rsid w:val="00AA3784"/>
    <w:rsid w:val="00AA487E"/>
    <w:rsid w:val="00AA6660"/>
    <w:rsid w:val="00AB2BA7"/>
    <w:rsid w:val="00AB2C36"/>
    <w:rsid w:val="00AB36F4"/>
    <w:rsid w:val="00AB6DDE"/>
    <w:rsid w:val="00AB70B6"/>
    <w:rsid w:val="00AC3BC5"/>
    <w:rsid w:val="00AD1A86"/>
    <w:rsid w:val="00AE103E"/>
    <w:rsid w:val="00AE67BB"/>
    <w:rsid w:val="00AF0A07"/>
    <w:rsid w:val="00AF1CFC"/>
    <w:rsid w:val="00AF4AEC"/>
    <w:rsid w:val="00AF625E"/>
    <w:rsid w:val="00B039D6"/>
    <w:rsid w:val="00B12408"/>
    <w:rsid w:val="00B130D5"/>
    <w:rsid w:val="00B13BF5"/>
    <w:rsid w:val="00B16162"/>
    <w:rsid w:val="00B212F4"/>
    <w:rsid w:val="00B22DEE"/>
    <w:rsid w:val="00B24CE2"/>
    <w:rsid w:val="00B24D3A"/>
    <w:rsid w:val="00B3256F"/>
    <w:rsid w:val="00B33634"/>
    <w:rsid w:val="00B33883"/>
    <w:rsid w:val="00B36FA5"/>
    <w:rsid w:val="00B370B0"/>
    <w:rsid w:val="00B45DD6"/>
    <w:rsid w:val="00B57C44"/>
    <w:rsid w:val="00B61AC5"/>
    <w:rsid w:val="00B6759A"/>
    <w:rsid w:val="00B70741"/>
    <w:rsid w:val="00B804D2"/>
    <w:rsid w:val="00B81357"/>
    <w:rsid w:val="00B85368"/>
    <w:rsid w:val="00B941B4"/>
    <w:rsid w:val="00BA36C1"/>
    <w:rsid w:val="00BB04AF"/>
    <w:rsid w:val="00BB1958"/>
    <w:rsid w:val="00BB2AB7"/>
    <w:rsid w:val="00BB2D07"/>
    <w:rsid w:val="00BB320E"/>
    <w:rsid w:val="00BB34FD"/>
    <w:rsid w:val="00BB5C94"/>
    <w:rsid w:val="00BB6B32"/>
    <w:rsid w:val="00BC1783"/>
    <w:rsid w:val="00BC18CC"/>
    <w:rsid w:val="00BC1CC9"/>
    <w:rsid w:val="00BC3488"/>
    <w:rsid w:val="00BC6468"/>
    <w:rsid w:val="00BD02D9"/>
    <w:rsid w:val="00BD39BC"/>
    <w:rsid w:val="00BD3D67"/>
    <w:rsid w:val="00BD468F"/>
    <w:rsid w:val="00BD52C9"/>
    <w:rsid w:val="00BD52D2"/>
    <w:rsid w:val="00BD7294"/>
    <w:rsid w:val="00BD7521"/>
    <w:rsid w:val="00BE5499"/>
    <w:rsid w:val="00BE6354"/>
    <w:rsid w:val="00BF1878"/>
    <w:rsid w:val="00BF37F3"/>
    <w:rsid w:val="00BF6598"/>
    <w:rsid w:val="00C03F5F"/>
    <w:rsid w:val="00C05989"/>
    <w:rsid w:val="00C138D1"/>
    <w:rsid w:val="00C22DDD"/>
    <w:rsid w:val="00C23A97"/>
    <w:rsid w:val="00C23D11"/>
    <w:rsid w:val="00C272F0"/>
    <w:rsid w:val="00C31FA0"/>
    <w:rsid w:val="00C3219F"/>
    <w:rsid w:val="00C3403E"/>
    <w:rsid w:val="00C34427"/>
    <w:rsid w:val="00C42996"/>
    <w:rsid w:val="00C43F2C"/>
    <w:rsid w:val="00C44C01"/>
    <w:rsid w:val="00C466FF"/>
    <w:rsid w:val="00C47856"/>
    <w:rsid w:val="00C50D85"/>
    <w:rsid w:val="00C51020"/>
    <w:rsid w:val="00C51889"/>
    <w:rsid w:val="00C54497"/>
    <w:rsid w:val="00C55D28"/>
    <w:rsid w:val="00C64855"/>
    <w:rsid w:val="00C66DE7"/>
    <w:rsid w:val="00C70EA7"/>
    <w:rsid w:val="00C7516E"/>
    <w:rsid w:val="00C75770"/>
    <w:rsid w:val="00C75E87"/>
    <w:rsid w:val="00C81C1D"/>
    <w:rsid w:val="00C83800"/>
    <w:rsid w:val="00C859AD"/>
    <w:rsid w:val="00C91134"/>
    <w:rsid w:val="00CA1E37"/>
    <w:rsid w:val="00CA1FC7"/>
    <w:rsid w:val="00CA54CB"/>
    <w:rsid w:val="00CA56BB"/>
    <w:rsid w:val="00CB1C5D"/>
    <w:rsid w:val="00CC1055"/>
    <w:rsid w:val="00CC51E6"/>
    <w:rsid w:val="00CC7A25"/>
    <w:rsid w:val="00CD2978"/>
    <w:rsid w:val="00CD5DBA"/>
    <w:rsid w:val="00CE0BAC"/>
    <w:rsid w:val="00CF30B5"/>
    <w:rsid w:val="00CF394B"/>
    <w:rsid w:val="00D00B2B"/>
    <w:rsid w:val="00D00CC1"/>
    <w:rsid w:val="00D02474"/>
    <w:rsid w:val="00D02F84"/>
    <w:rsid w:val="00D06D0B"/>
    <w:rsid w:val="00D06FFA"/>
    <w:rsid w:val="00D12EDE"/>
    <w:rsid w:val="00D12F71"/>
    <w:rsid w:val="00D20115"/>
    <w:rsid w:val="00D20DE5"/>
    <w:rsid w:val="00D232C1"/>
    <w:rsid w:val="00D24877"/>
    <w:rsid w:val="00D27C61"/>
    <w:rsid w:val="00D318B2"/>
    <w:rsid w:val="00D32CBA"/>
    <w:rsid w:val="00D357D1"/>
    <w:rsid w:val="00D36800"/>
    <w:rsid w:val="00D3756A"/>
    <w:rsid w:val="00D40AAF"/>
    <w:rsid w:val="00D4542B"/>
    <w:rsid w:val="00D501F1"/>
    <w:rsid w:val="00D51D7F"/>
    <w:rsid w:val="00D55840"/>
    <w:rsid w:val="00D5742F"/>
    <w:rsid w:val="00D63EAC"/>
    <w:rsid w:val="00D664EF"/>
    <w:rsid w:val="00D70E1A"/>
    <w:rsid w:val="00D72036"/>
    <w:rsid w:val="00D7236A"/>
    <w:rsid w:val="00D751DC"/>
    <w:rsid w:val="00D800E3"/>
    <w:rsid w:val="00D820D6"/>
    <w:rsid w:val="00D8250F"/>
    <w:rsid w:val="00D83A74"/>
    <w:rsid w:val="00D853A4"/>
    <w:rsid w:val="00D86198"/>
    <w:rsid w:val="00D901E2"/>
    <w:rsid w:val="00D91ED8"/>
    <w:rsid w:val="00D934B4"/>
    <w:rsid w:val="00D94AD9"/>
    <w:rsid w:val="00D95C4C"/>
    <w:rsid w:val="00D97B2E"/>
    <w:rsid w:val="00DA36ED"/>
    <w:rsid w:val="00DA5D79"/>
    <w:rsid w:val="00DB29DB"/>
    <w:rsid w:val="00DB3D03"/>
    <w:rsid w:val="00DB4E1A"/>
    <w:rsid w:val="00DC286B"/>
    <w:rsid w:val="00DC4299"/>
    <w:rsid w:val="00DD769C"/>
    <w:rsid w:val="00DE1B10"/>
    <w:rsid w:val="00DE28AB"/>
    <w:rsid w:val="00DE34F1"/>
    <w:rsid w:val="00DE47F7"/>
    <w:rsid w:val="00DE6160"/>
    <w:rsid w:val="00DF24EF"/>
    <w:rsid w:val="00DF4942"/>
    <w:rsid w:val="00DF61FF"/>
    <w:rsid w:val="00E0235D"/>
    <w:rsid w:val="00E07F5C"/>
    <w:rsid w:val="00E13D0D"/>
    <w:rsid w:val="00E1432E"/>
    <w:rsid w:val="00E17031"/>
    <w:rsid w:val="00E234B6"/>
    <w:rsid w:val="00E328CA"/>
    <w:rsid w:val="00E34B12"/>
    <w:rsid w:val="00E3749D"/>
    <w:rsid w:val="00E422D0"/>
    <w:rsid w:val="00E4289F"/>
    <w:rsid w:val="00E469F4"/>
    <w:rsid w:val="00E4766E"/>
    <w:rsid w:val="00E57CF1"/>
    <w:rsid w:val="00E60366"/>
    <w:rsid w:val="00E627B1"/>
    <w:rsid w:val="00E64393"/>
    <w:rsid w:val="00E67EF9"/>
    <w:rsid w:val="00E70169"/>
    <w:rsid w:val="00E744F8"/>
    <w:rsid w:val="00E777E8"/>
    <w:rsid w:val="00E80FEF"/>
    <w:rsid w:val="00E84CC8"/>
    <w:rsid w:val="00E869A5"/>
    <w:rsid w:val="00E86A08"/>
    <w:rsid w:val="00E87F19"/>
    <w:rsid w:val="00E90A0B"/>
    <w:rsid w:val="00E9376C"/>
    <w:rsid w:val="00E94DE7"/>
    <w:rsid w:val="00E951BE"/>
    <w:rsid w:val="00EA0DD3"/>
    <w:rsid w:val="00EA335E"/>
    <w:rsid w:val="00EA44CC"/>
    <w:rsid w:val="00EA528C"/>
    <w:rsid w:val="00EA580C"/>
    <w:rsid w:val="00EA6EAA"/>
    <w:rsid w:val="00EA6F06"/>
    <w:rsid w:val="00EA7AED"/>
    <w:rsid w:val="00EB0CD4"/>
    <w:rsid w:val="00EB3B58"/>
    <w:rsid w:val="00EB5C98"/>
    <w:rsid w:val="00EC285D"/>
    <w:rsid w:val="00EC2A59"/>
    <w:rsid w:val="00EC48FD"/>
    <w:rsid w:val="00EC523D"/>
    <w:rsid w:val="00EC5C69"/>
    <w:rsid w:val="00EC6F8D"/>
    <w:rsid w:val="00EE21D0"/>
    <w:rsid w:val="00EE45E2"/>
    <w:rsid w:val="00EE4EA7"/>
    <w:rsid w:val="00EE6333"/>
    <w:rsid w:val="00EE669A"/>
    <w:rsid w:val="00EE77AD"/>
    <w:rsid w:val="00EF34E2"/>
    <w:rsid w:val="00EF5271"/>
    <w:rsid w:val="00EF750E"/>
    <w:rsid w:val="00F00BA4"/>
    <w:rsid w:val="00F06375"/>
    <w:rsid w:val="00F066B1"/>
    <w:rsid w:val="00F06F33"/>
    <w:rsid w:val="00F1050E"/>
    <w:rsid w:val="00F10FCA"/>
    <w:rsid w:val="00F140F7"/>
    <w:rsid w:val="00F1473A"/>
    <w:rsid w:val="00F147EA"/>
    <w:rsid w:val="00F1717C"/>
    <w:rsid w:val="00F17576"/>
    <w:rsid w:val="00F23239"/>
    <w:rsid w:val="00F25795"/>
    <w:rsid w:val="00F2702E"/>
    <w:rsid w:val="00F30DC6"/>
    <w:rsid w:val="00F32C23"/>
    <w:rsid w:val="00F41A50"/>
    <w:rsid w:val="00F42C01"/>
    <w:rsid w:val="00F45AEE"/>
    <w:rsid w:val="00F476A2"/>
    <w:rsid w:val="00F47872"/>
    <w:rsid w:val="00F53467"/>
    <w:rsid w:val="00F53DE9"/>
    <w:rsid w:val="00F54574"/>
    <w:rsid w:val="00F576CB"/>
    <w:rsid w:val="00F57816"/>
    <w:rsid w:val="00F6537D"/>
    <w:rsid w:val="00F66ED2"/>
    <w:rsid w:val="00F7035D"/>
    <w:rsid w:val="00F71A02"/>
    <w:rsid w:val="00F71C94"/>
    <w:rsid w:val="00F81D3A"/>
    <w:rsid w:val="00F83CAE"/>
    <w:rsid w:val="00F8476E"/>
    <w:rsid w:val="00F8614A"/>
    <w:rsid w:val="00F866D7"/>
    <w:rsid w:val="00F9608C"/>
    <w:rsid w:val="00F96F3D"/>
    <w:rsid w:val="00F97199"/>
    <w:rsid w:val="00FA0D63"/>
    <w:rsid w:val="00FA1904"/>
    <w:rsid w:val="00FA2A17"/>
    <w:rsid w:val="00FA3135"/>
    <w:rsid w:val="00FB1486"/>
    <w:rsid w:val="00FB1A36"/>
    <w:rsid w:val="00FD1226"/>
    <w:rsid w:val="00FD2F00"/>
    <w:rsid w:val="00FD3425"/>
    <w:rsid w:val="00FD585C"/>
    <w:rsid w:val="00FD5F39"/>
    <w:rsid w:val="00FD7182"/>
    <w:rsid w:val="00FE76CB"/>
    <w:rsid w:val="00FF147F"/>
    <w:rsid w:val="00FF2E7B"/>
    <w:rsid w:val="00FF3F9A"/>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28A103B4"/>
  <w15:docId w15:val="{A1DDFF2B-9C81-46D4-837B-75AE9567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character" w:customStyle="1" w:styleId="hps">
    <w:name w:val="hps"/>
    <w:rsid w:val="00027D32"/>
  </w:style>
  <w:style w:type="paragraph" w:customStyle="1" w:styleId="Paragraph">
    <w:name w:val="Paragraph"/>
    <w:basedOn w:val="Marge"/>
    <w:link w:val="ParagraphChar"/>
    <w:qFormat/>
    <w:rsid w:val="00027D32"/>
    <w:pPr>
      <w:numPr>
        <w:numId w:val="5"/>
      </w:numPr>
    </w:pPr>
    <w:rPr>
      <w:rFonts w:cs="Arial"/>
      <w:szCs w:val="22"/>
      <w:lang w:val="en-GB"/>
    </w:rPr>
  </w:style>
  <w:style w:type="character" w:customStyle="1" w:styleId="ParagraphChar">
    <w:name w:val="Paragraph Char"/>
    <w:link w:val="Paragraph"/>
    <w:rsid w:val="00027D32"/>
    <w:rPr>
      <w:rFonts w:ascii="Arial" w:eastAsia="Times New Roman" w:hAnsi="Arial" w:cs="Arial"/>
      <w:snapToGrid w:val="0"/>
      <w:sz w:val="22"/>
      <w:szCs w:val="22"/>
      <w:lang w:val="en-GB" w:eastAsia="en-US"/>
    </w:rPr>
  </w:style>
  <w:style w:type="paragraph" w:styleId="CommentText">
    <w:name w:val="annotation text"/>
    <w:basedOn w:val="Normal"/>
    <w:link w:val="CommentTextChar"/>
    <w:uiPriority w:val="99"/>
    <w:unhideWhenUsed/>
    <w:rsid w:val="00D55840"/>
    <w:rPr>
      <w:sz w:val="20"/>
      <w:szCs w:val="20"/>
    </w:rPr>
  </w:style>
  <w:style w:type="character" w:customStyle="1" w:styleId="CommentTextChar">
    <w:name w:val="Comment Text Char"/>
    <w:basedOn w:val="DefaultParagraphFont"/>
    <w:link w:val="CommentText"/>
    <w:uiPriority w:val="99"/>
    <w:rsid w:val="00D55840"/>
    <w:rPr>
      <w:rFonts w:ascii="Times New Roman" w:eastAsia="Times New Roman" w:hAnsi="Times New Roman"/>
    </w:rPr>
  </w:style>
  <w:style w:type="character" w:styleId="CommentReference">
    <w:name w:val="annotation reference"/>
    <w:basedOn w:val="DefaultParagraphFont"/>
    <w:uiPriority w:val="99"/>
    <w:semiHidden/>
    <w:unhideWhenUsed/>
    <w:rsid w:val="00F42C01"/>
    <w:rPr>
      <w:sz w:val="16"/>
      <w:szCs w:val="16"/>
    </w:rPr>
  </w:style>
  <w:style w:type="paragraph" w:styleId="CommentSubject">
    <w:name w:val="annotation subject"/>
    <w:basedOn w:val="CommentText"/>
    <w:next w:val="CommentText"/>
    <w:link w:val="CommentSubjectChar"/>
    <w:uiPriority w:val="99"/>
    <w:semiHidden/>
    <w:unhideWhenUsed/>
    <w:rsid w:val="00F42C01"/>
    <w:rPr>
      <w:b/>
      <w:bCs/>
    </w:rPr>
  </w:style>
  <w:style w:type="character" w:customStyle="1" w:styleId="CommentSubjectChar">
    <w:name w:val="Comment Subject Char"/>
    <w:basedOn w:val="CommentTextChar"/>
    <w:link w:val="CommentSubject"/>
    <w:uiPriority w:val="99"/>
    <w:semiHidden/>
    <w:rsid w:val="00F42C01"/>
    <w:rPr>
      <w:rFonts w:ascii="Times New Roman" w:eastAsia="Times New Roman" w:hAnsi="Times New Roman"/>
      <w:b/>
      <w:bCs/>
    </w:rPr>
  </w:style>
  <w:style w:type="paragraph" w:styleId="FootnoteText">
    <w:name w:val="footnote text"/>
    <w:basedOn w:val="Normal"/>
    <w:link w:val="FootnoteTextChar"/>
    <w:uiPriority w:val="99"/>
    <w:unhideWhenUsed/>
    <w:rsid w:val="007E4E81"/>
    <w:rPr>
      <w:sz w:val="20"/>
      <w:szCs w:val="20"/>
    </w:rPr>
  </w:style>
  <w:style w:type="character" w:customStyle="1" w:styleId="FootnoteTextChar">
    <w:name w:val="Footnote Text Char"/>
    <w:basedOn w:val="DefaultParagraphFont"/>
    <w:link w:val="FootnoteText"/>
    <w:uiPriority w:val="99"/>
    <w:rsid w:val="007E4E81"/>
    <w:rPr>
      <w:rFonts w:ascii="Times New Roman" w:eastAsia="Times New Roman" w:hAnsi="Times New Roman"/>
    </w:rPr>
  </w:style>
  <w:style w:type="character" w:styleId="FootnoteReference">
    <w:name w:val="footnote reference"/>
    <w:basedOn w:val="DefaultParagraphFont"/>
    <w:unhideWhenUsed/>
    <w:rsid w:val="007E4E81"/>
    <w:rPr>
      <w:vertAlign w:val="superscript"/>
    </w:rPr>
  </w:style>
  <w:style w:type="paragraph" w:styleId="Caption">
    <w:name w:val="caption"/>
    <w:basedOn w:val="Normal"/>
    <w:next w:val="Normal"/>
    <w:uiPriority w:val="35"/>
    <w:unhideWhenUsed/>
    <w:qFormat/>
    <w:rsid w:val="005E77D3"/>
    <w:pPr>
      <w:spacing w:after="200"/>
    </w:pPr>
    <w:rPr>
      <w:i/>
      <w:iCs/>
      <w:color w:val="1F497D" w:themeColor="text2"/>
      <w:sz w:val="18"/>
      <w:szCs w:val="18"/>
    </w:rPr>
  </w:style>
  <w:style w:type="paragraph" w:styleId="Revision">
    <w:name w:val="Revision"/>
    <w:hidden/>
    <w:uiPriority w:val="99"/>
    <w:semiHidden/>
    <w:rsid w:val="00556133"/>
    <w:rPr>
      <w:rFonts w:ascii="Times New Roman" w:eastAsia="Times New Roman" w:hAnsi="Times New Roman"/>
      <w:sz w:val="24"/>
      <w:szCs w:val="24"/>
    </w:rPr>
  </w:style>
  <w:style w:type="character" w:styleId="Hyperlink">
    <w:name w:val="Hyperlink"/>
    <w:basedOn w:val="DefaultParagraphFont"/>
    <w:uiPriority w:val="99"/>
    <w:unhideWhenUsed/>
    <w:rsid w:val="001C6E03"/>
    <w:rPr>
      <w:color w:val="0000FF" w:themeColor="hyperlink"/>
      <w:u w:val="single"/>
    </w:rPr>
  </w:style>
  <w:style w:type="character" w:styleId="FollowedHyperlink">
    <w:name w:val="FollowedHyperlink"/>
    <w:basedOn w:val="DefaultParagraphFont"/>
    <w:uiPriority w:val="99"/>
    <w:semiHidden/>
    <w:unhideWhenUsed/>
    <w:rsid w:val="005F34C5"/>
    <w:rPr>
      <w:color w:val="800080" w:themeColor="followedHyperlink"/>
      <w:u w:val="single"/>
    </w:rPr>
  </w:style>
  <w:style w:type="character" w:customStyle="1" w:styleId="ParaChar">
    <w:name w:val="Para Char"/>
    <w:link w:val="Para"/>
    <w:locked/>
    <w:rsid w:val="00260CAC"/>
    <w:rPr>
      <w:rFonts w:ascii="Arial" w:hAnsi="Arial"/>
    </w:rPr>
  </w:style>
  <w:style w:type="paragraph" w:customStyle="1" w:styleId="Para">
    <w:name w:val="Para"/>
    <w:basedOn w:val="Normal"/>
    <w:link w:val="ParaChar"/>
    <w:qFormat/>
    <w:rsid w:val="00260CAC"/>
    <w:pPr>
      <w:numPr>
        <w:numId w:val="6"/>
      </w:numPr>
      <w:spacing w:after="120" w:line="240" w:lineRule="exact"/>
      <w:jc w:val="both"/>
    </w:pPr>
    <w:rPr>
      <w:rFonts w:ascii="Arial" w:eastAsia="SimSun" w:hAnsi="Arial"/>
      <w:sz w:val="20"/>
      <w:szCs w:val="20"/>
    </w:rPr>
  </w:style>
  <w:style w:type="character" w:customStyle="1" w:styleId="shorttext">
    <w:name w:val="short_text"/>
    <w:basedOn w:val="DefaultParagraphFont"/>
    <w:rsid w:val="00E234B6"/>
  </w:style>
  <w:style w:type="character" w:customStyle="1" w:styleId="alt-edited1">
    <w:name w:val="alt-edited1"/>
    <w:basedOn w:val="DefaultParagraphFont"/>
    <w:rsid w:val="00E234B6"/>
    <w:rPr>
      <w:color w:val="4D90F0"/>
    </w:rPr>
  </w:style>
  <w:style w:type="paragraph" w:customStyle="1" w:styleId="Default">
    <w:name w:val="Default"/>
    <w:rsid w:val="0047393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C140A"/>
    <w:pPr>
      <w:ind w:left="720"/>
    </w:pPr>
    <w:rPr>
      <w:rFonts w:ascii="Calibri" w:eastAsiaTheme="minorHAnsi" w:hAnsi="Calibri"/>
      <w:sz w:val="22"/>
      <w:szCs w:val="22"/>
      <w:lang w:eastAsia="en-US"/>
    </w:rPr>
  </w:style>
  <w:style w:type="table" w:customStyle="1" w:styleId="TableGrid1">
    <w:name w:val="Table Grid1"/>
    <w:basedOn w:val="TableNormal"/>
    <w:next w:val="TableGrid"/>
    <w:uiPriority w:val="59"/>
    <w:rsid w:val="009F04D9"/>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492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05023425">
      <w:bodyDiv w:val="1"/>
      <w:marLeft w:val="0"/>
      <w:marRight w:val="0"/>
      <w:marTop w:val="0"/>
      <w:marBottom w:val="0"/>
      <w:divBdr>
        <w:top w:val="none" w:sz="0" w:space="0" w:color="auto"/>
        <w:left w:val="none" w:sz="0" w:space="0" w:color="auto"/>
        <w:bottom w:val="none" w:sz="0" w:space="0" w:color="auto"/>
        <w:right w:val="none" w:sz="0" w:space="0" w:color="auto"/>
      </w:divBdr>
    </w:div>
    <w:div w:id="1501432633">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31133160">
      <w:bodyDiv w:val="1"/>
      <w:marLeft w:val="0"/>
      <w:marRight w:val="0"/>
      <w:marTop w:val="0"/>
      <w:marBottom w:val="0"/>
      <w:divBdr>
        <w:top w:val="none" w:sz="0" w:space="0" w:color="auto"/>
        <w:left w:val="none" w:sz="0" w:space="0" w:color="auto"/>
        <w:bottom w:val="none" w:sz="0" w:space="0" w:color="auto"/>
        <w:right w:val="none" w:sz="0" w:space="0" w:color="auto"/>
      </w:divBdr>
    </w:div>
    <w:div w:id="164707971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3471518">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en/Decisions/9.COM/7" TargetMode="External"/><Relationship Id="rId13" Type="http://schemas.openxmlformats.org/officeDocument/2006/relationships/hyperlink" Target="https://ich.unesco.org/doc/src/ITH-17-12.COM-9-EN.docx" TargetMode="External"/><Relationship Id="rId18" Type="http://schemas.openxmlformats.org/officeDocument/2006/relationships/hyperlink" Target="https://ich.unesco.org/doc/src/ITH-17-12.COM-5.b-EN.docx"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ich.unesco.org/en/Decisions/9.COM/13.e" TargetMode="External"/><Relationship Id="rId7" Type="http://schemas.openxmlformats.org/officeDocument/2006/relationships/endnotes" Target="endnotes.xml"/><Relationship Id="rId12" Type="http://schemas.openxmlformats.org/officeDocument/2006/relationships/hyperlink" Target="https://ich.unesco.org/en/Decisions/11.COM/6" TargetMode="External"/><Relationship Id="rId17" Type="http://schemas.openxmlformats.org/officeDocument/2006/relationships/chart" Target="charts/chart2.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unesco.org/culture/ich/en/Resolutions/3.GA/9" TargetMode="External"/><Relationship Id="rId20" Type="http://schemas.openxmlformats.org/officeDocument/2006/relationships/hyperlink" Target="https://ich.unesco.org/en/Decisions/9.COM/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10-EN.docx"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ich.unesco.org/en/Decisions/11.COM/6" TargetMode="External"/><Relationship Id="rId28" Type="http://schemas.openxmlformats.org/officeDocument/2006/relationships/header" Target="header1.xml"/><Relationship Id="rId10" Type="http://schemas.openxmlformats.org/officeDocument/2006/relationships/hyperlink" Target="https://ich.unesco.org/doc/src/ITH-17-12.COM-5.a-EN.docx" TargetMode="External"/><Relationship Id="rId19" Type="http://schemas.openxmlformats.org/officeDocument/2006/relationships/hyperlink" Target="https://ich.unesco.org/en/Decisions/8.COM/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11.COM/6" TargetMode="External"/><Relationship Id="rId14" Type="http://schemas.openxmlformats.org/officeDocument/2006/relationships/hyperlink" Target="http://www.unesco.org/culture/ich/en/Decisions/7.COM/20.1" TargetMode="External"/><Relationship Id="rId22" Type="http://schemas.openxmlformats.org/officeDocument/2006/relationships/hyperlink" Target="https://ich.unesco.org/en/Decisions/10.COM/9" TargetMode="External"/><Relationship Id="rId27" Type="http://schemas.openxmlformats.org/officeDocument/2006/relationships/image" Target="media/image4.png"/><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ethics-and-ich-00866" TargetMode="External"/><Relationship Id="rId2" Type="http://schemas.openxmlformats.org/officeDocument/2006/relationships/hyperlink" Target="https://ich.unesco.org/doc/src/2003_Convention_Basic_Texts-_2016_version-EN.pdf" TargetMode="External"/><Relationship Id="rId1" Type="http://schemas.openxmlformats.org/officeDocument/2006/relationships/hyperlink" Target="https://ich.unesco.org/en/Decisions/11.COM/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hqfs\dfs\clt\CRE\02-ITH\Convention-Statutory%20Meetings\2017_STATUTORY%20MEETINGS\2017-11%2012.COM\Documents\06_12.COM_Voluntary%20Supplementary%20contributions%20to%20ICH%20Fund\Draft\Volontary%20Contibutions%20Evolution_2017140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7\2017-11%2012.COM\Documents\06_12.COM_Voluntary%20Supplementary%20contributions%20to%20ICH%20Fund\Draft\Volontary%20Contibutions%20Evolution_201724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8.4150957173629942E-2"/>
          <c:y val="9.2614326493859797E-2"/>
          <c:w val="0.64198865061087984"/>
          <c:h val="0.81346035212751688"/>
        </c:manualLayout>
      </c:layout>
      <c:barChart>
        <c:barDir val="col"/>
        <c:grouping val="stacked"/>
        <c:varyColors val="0"/>
        <c:ser>
          <c:idx val="2"/>
          <c:order val="1"/>
          <c:tx>
            <c:strRef>
              <c:f>'arranged table'!$E$7</c:f>
              <c:strCache>
                <c:ptCount val="1"/>
                <c:pt idx="0">
                  <c:v>Sub-Fund</c:v>
                </c:pt>
              </c:strCache>
            </c:strRef>
          </c:tx>
          <c:spPr>
            <a:pattFill prst="wdUpDiag">
              <a:fgClr>
                <a:schemeClr val="accent5">
                  <a:lumMod val="40000"/>
                  <a:lumOff val="60000"/>
                </a:schemeClr>
              </a:fgClr>
              <a:bgClr>
                <a:schemeClr val="bg1"/>
              </a:bgClr>
            </a:pattFill>
            <a:ln>
              <a:solidFill>
                <a:schemeClr val="accent1"/>
              </a:solidFill>
            </a:ln>
          </c:spPr>
          <c:invertIfNegative val="0"/>
          <c:cat>
            <c:strRef>
              <c:f>'arranged table'!$A$8:$B$10</c:f>
              <c:strCache>
                <c:ptCount val="3"/>
                <c:pt idx="0">
                  <c:v>36C/5 2012-13</c:v>
                </c:pt>
                <c:pt idx="1">
                  <c:v>37C/5 2014-15</c:v>
                </c:pt>
                <c:pt idx="2">
                  <c:v>38C/5 2016-17</c:v>
                </c:pt>
              </c:strCache>
            </c:strRef>
          </c:cat>
          <c:val>
            <c:numRef>
              <c:f>'arranged table'!$E$8:$E$10</c:f>
              <c:numCache>
                <c:formatCode>\$##0.00\ \ " M"</c:formatCode>
                <c:ptCount val="3"/>
                <c:pt idx="0">
                  <c:v>0</c:v>
                </c:pt>
                <c:pt idx="1">
                  <c:v>0</c:v>
                </c:pt>
                <c:pt idx="2">
                  <c:v>0</c:v>
                </c:pt>
              </c:numCache>
            </c:numRef>
          </c:val>
          <c:extLst>
            <c:ext xmlns:c16="http://schemas.microsoft.com/office/drawing/2014/chart" uri="{C3380CC4-5D6E-409C-BE32-E72D297353CC}">
              <c16:uniqueId val="{00000000-73DB-4B52-9431-8BFE49760023}"/>
            </c:ext>
          </c:extLst>
        </c:ser>
        <c:ser>
          <c:idx val="3"/>
          <c:order val="2"/>
          <c:tx>
            <c:strRef>
              <c:f>'arranged table'!$F$7</c:f>
              <c:strCache>
                <c:ptCount val="1"/>
                <c:pt idx="0">
                  <c:v>In-kind</c:v>
                </c:pt>
              </c:strCache>
            </c:strRef>
          </c:tx>
          <c:spPr>
            <a:pattFill prst="narHorz">
              <a:fgClr>
                <a:schemeClr val="bg1">
                  <a:lumMod val="65000"/>
                </a:schemeClr>
              </a:fgClr>
              <a:bgClr>
                <a:schemeClr val="bg1"/>
              </a:bgClr>
            </a:pattFill>
            <a:ln>
              <a:solidFill>
                <a:schemeClr val="accent1"/>
              </a:solidFill>
            </a:ln>
          </c:spPr>
          <c:invertIfNegative val="0"/>
          <c:cat>
            <c:strRef>
              <c:f>'arranged table'!$A$8:$B$10</c:f>
              <c:strCache>
                <c:ptCount val="3"/>
                <c:pt idx="0">
                  <c:v>36C/5 2012-13</c:v>
                </c:pt>
                <c:pt idx="1">
                  <c:v>37C/5 2014-15</c:v>
                </c:pt>
                <c:pt idx="2">
                  <c:v>38C/5 2016-17</c:v>
                </c:pt>
              </c:strCache>
            </c:strRef>
          </c:cat>
          <c:val>
            <c:numRef>
              <c:f>'arranged table'!$F$8:$F$10</c:f>
              <c:numCache>
                <c:formatCode>\$##0.00\ \ " M"</c:formatCode>
                <c:ptCount val="3"/>
                <c:pt idx="0">
                  <c:v>0</c:v>
                </c:pt>
                <c:pt idx="1">
                  <c:v>0</c:v>
                </c:pt>
                <c:pt idx="2">
                  <c:v>0</c:v>
                </c:pt>
              </c:numCache>
            </c:numRef>
          </c:val>
          <c:extLst>
            <c:ext xmlns:c16="http://schemas.microsoft.com/office/drawing/2014/chart" uri="{C3380CC4-5D6E-409C-BE32-E72D297353CC}">
              <c16:uniqueId val="{00000001-73DB-4B52-9431-8BFE49760023}"/>
            </c:ext>
          </c:extLst>
        </c:ser>
        <c:ser>
          <c:idx val="0"/>
          <c:order val="3"/>
          <c:tx>
            <c:strRef>
              <c:f>'arranged table'!$C$7</c:f>
              <c:strCache>
                <c:ptCount val="1"/>
                <c:pt idx="0">
                  <c:v>Earmarked funds</c:v>
                </c:pt>
              </c:strCache>
            </c:strRef>
          </c:tx>
          <c:spPr>
            <a:pattFill prst="pct90">
              <a:fgClr>
                <a:schemeClr val="accent2">
                  <a:lumMod val="60000"/>
                  <a:lumOff val="40000"/>
                </a:schemeClr>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table'!$A$8:$B$10</c:f>
              <c:strCache>
                <c:ptCount val="3"/>
                <c:pt idx="0">
                  <c:v>36C/5 2012-13</c:v>
                </c:pt>
                <c:pt idx="1">
                  <c:v>37C/5 2014-15</c:v>
                </c:pt>
                <c:pt idx="2">
                  <c:v>38C/5 2016-17</c:v>
                </c:pt>
              </c:strCache>
            </c:strRef>
          </c:cat>
          <c:val>
            <c:numRef>
              <c:f>'arranged table'!$C$8:$C$10</c:f>
              <c:numCache>
                <c:formatCode>\$##0.00\ \ " M"</c:formatCode>
                <c:ptCount val="3"/>
                <c:pt idx="0">
                  <c:v>2054561.51</c:v>
                </c:pt>
                <c:pt idx="1">
                  <c:v>1304184.82</c:v>
                </c:pt>
                <c:pt idx="2">
                  <c:v>110375</c:v>
                </c:pt>
              </c:numCache>
            </c:numRef>
          </c:val>
          <c:extLst>
            <c:ext xmlns:c16="http://schemas.microsoft.com/office/drawing/2014/chart" uri="{C3380CC4-5D6E-409C-BE32-E72D297353CC}">
              <c16:uniqueId val="{00000002-73DB-4B52-9431-8BFE49760023}"/>
            </c:ext>
          </c:extLst>
        </c:ser>
        <c:ser>
          <c:idx val="1"/>
          <c:order val="4"/>
          <c:tx>
            <c:strRef>
              <c:f>'arranged table'!$D$7</c:f>
              <c:strCache>
                <c:ptCount val="1"/>
                <c:pt idx="0">
                  <c:v>Funds-in-Trust</c:v>
                </c:pt>
              </c:strCache>
            </c:strRef>
          </c:tx>
          <c:spPr>
            <a:pattFill prst="pct5">
              <a:fgClr>
                <a:schemeClr val="tx2"/>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table'!$A$8:$B$10</c:f>
              <c:strCache>
                <c:ptCount val="3"/>
                <c:pt idx="0">
                  <c:v>36C/5 2012-13</c:v>
                </c:pt>
                <c:pt idx="1">
                  <c:v>37C/5 2014-15</c:v>
                </c:pt>
                <c:pt idx="2">
                  <c:v>38C/5 2016-17</c:v>
                </c:pt>
              </c:strCache>
            </c:strRef>
          </c:cat>
          <c:val>
            <c:numRef>
              <c:f>'arranged table'!$D$8:$D$10</c:f>
              <c:numCache>
                <c:formatCode>\$##0.00\ \ " M"</c:formatCode>
                <c:ptCount val="3"/>
                <c:pt idx="0">
                  <c:v>1513667</c:v>
                </c:pt>
                <c:pt idx="1">
                  <c:v>1606845.45</c:v>
                </c:pt>
                <c:pt idx="2">
                  <c:v>1579665.55</c:v>
                </c:pt>
              </c:numCache>
            </c:numRef>
          </c:val>
          <c:extLst>
            <c:ext xmlns:c16="http://schemas.microsoft.com/office/drawing/2014/chart" uri="{C3380CC4-5D6E-409C-BE32-E72D297353CC}">
              <c16:uniqueId val="{00000003-73DB-4B52-9431-8BFE49760023}"/>
            </c:ext>
          </c:extLst>
        </c:ser>
        <c:dLbls>
          <c:showLegendKey val="0"/>
          <c:showVal val="0"/>
          <c:showCatName val="0"/>
          <c:showSerName val="0"/>
          <c:showPercent val="0"/>
          <c:showBubbleSize val="0"/>
        </c:dLbls>
        <c:gapWidth val="0"/>
        <c:overlap val="100"/>
        <c:axId val="52916416"/>
        <c:axId val="52911936"/>
      </c:barChart>
      <c:lineChart>
        <c:grouping val="standard"/>
        <c:varyColors val="0"/>
        <c:ser>
          <c:idx val="4"/>
          <c:order val="0"/>
          <c:tx>
            <c:strRef>
              <c:f>'arranged table'!$G$7</c:f>
              <c:strCache>
                <c:ptCount val="1"/>
                <c:pt idx="0">
                  <c:v>Targeted amount by biennium</c:v>
                </c:pt>
              </c:strCache>
            </c:strRef>
          </c:tx>
          <c:spPr>
            <a:ln w="28575">
              <a:solidFill>
                <a:srgbClr val="C00000"/>
              </a:solid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73DB-4B52-9431-8BFE49760023}"/>
                </c:ext>
              </c:extLst>
            </c:dLbl>
            <c:dLbl>
              <c:idx val="1"/>
              <c:delete val="1"/>
              <c:extLst>
                <c:ext xmlns:c15="http://schemas.microsoft.com/office/drawing/2012/chart" uri="{CE6537A1-D6FC-4f65-9D91-7224C49458BB}"/>
                <c:ext xmlns:c16="http://schemas.microsoft.com/office/drawing/2014/chart" uri="{C3380CC4-5D6E-409C-BE32-E72D297353CC}">
                  <c16:uniqueId val="{00000005-73DB-4B52-9431-8BFE49760023}"/>
                </c:ext>
              </c:extLst>
            </c:dLbl>
            <c:dLbl>
              <c:idx val="2"/>
              <c:layout>
                <c:manualLayout>
                  <c:x val="-0.27031353553728038"/>
                  <c:y val="-5.1805554468620819E-2"/>
                </c:manualLayout>
              </c:layout>
              <c:tx>
                <c:rich>
                  <a:bodyPr/>
                  <a:lstStyle/>
                  <a:p>
                    <a:pPr>
                      <a:defRPr sz="800" b="1" i="0" u="none" strike="noStrike" baseline="0">
                        <a:solidFill>
                          <a:srgbClr val="993300"/>
                        </a:solidFill>
                        <a:latin typeface="Arial"/>
                        <a:ea typeface="Arial"/>
                        <a:cs typeface="Arial"/>
                      </a:defRPr>
                    </a:pPr>
                    <a:r>
                      <a:rPr lang="en-US"/>
                      <a:t>Biennial</a:t>
                    </a:r>
                    <a:r>
                      <a:rPr lang="en-US" baseline="0"/>
                      <a:t> t</a:t>
                    </a:r>
                    <a:r>
                      <a:rPr lang="en-US"/>
                      <a:t>arget: $3.0 M
(Decision 9.COM 7) </a:t>
                    </a:r>
                  </a:p>
                </c:rich>
              </c:tx>
              <c:spPr/>
              <c:dLblPos val="r"/>
              <c:showLegendKey val="0"/>
              <c:showVal val="0"/>
              <c:showCatName val="0"/>
              <c:showSerName val="0"/>
              <c:showPercent val="0"/>
              <c:showBubbleSize val="0"/>
              <c:extLst>
                <c:ext xmlns:c15="http://schemas.microsoft.com/office/drawing/2012/chart" uri="{CE6537A1-D6FC-4f65-9D91-7224C49458BB}">
                  <c15:layout>
                    <c:manualLayout>
                      <c:w val="0.27916258166233243"/>
                      <c:h val="9.8468924967868673E-2"/>
                    </c:manualLayout>
                  </c15:layout>
                </c:ext>
                <c:ext xmlns:c16="http://schemas.microsoft.com/office/drawing/2014/chart" uri="{C3380CC4-5D6E-409C-BE32-E72D297353CC}">
                  <c16:uniqueId val="{00000006-73DB-4B52-9431-8BFE49760023}"/>
                </c:ext>
              </c:extLst>
            </c:dLbl>
            <c:dLbl>
              <c:idx val="3"/>
              <c:delete val="1"/>
              <c:extLst>
                <c:ext xmlns:c15="http://schemas.microsoft.com/office/drawing/2012/chart" uri="{CE6537A1-D6FC-4f65-9D91-7224C49458BB}"/>
                <c:ext xmlns:c16="http://schemas.microsoft.com/office/drawing/2014/chart" uri="{C3380CC4-5D6E-409C-BE32-E72D297353CC}">
                  <c16:uniqueId val="{00000007-73DB-4B52-9431-8BFE49760023}"/>
                </c:ext>
              </c:extLst>
            </c:dLbl>
            <c:dLbl>
              <c:idx val="4"/>
              <c:delete val="1"/>
              <c:extLst>
                <c:ext xmlns:c15="http://schemas.microsoft.com/office/drawing/2012/chart" uri="{CE6537A1-D6FC-4f65-9D91-7224C49458BB}"/>
                <c:ext xmlns:c16="http://schemas.microsoft.com/office/drawing/2014/chart" uri="{C3380CC4-5D6E-409C-BE32-E72D297353CC}">
                  <c16:uniqueId val="{00000008-73DB-4B52-9431-8BFE49760023}"/>
                </c:ext>
              </c:extLst>
            </c:dLbl>
            <c:dLbl>
              <c:idx val="5"/>
              <c:delete val="1"/>
              <c:extLst>
                <c:ext xmlns:c15="http://schemas.microsoft.com/office/drawing/2012/chart" uri="{CE6537A1-D6FC-4f65-9D91-7224C49458BB}"/>
                <c:ext xmlns:c16="http://schemas.microsoft.com/office/drawing/2014/chart" uri="{C3380CC4-5D6E-409C-BE32-E72D297353CC}">
                  <c16:uniqueId val="{00000009-73DB-4B52-9431-8BFE49760023}"/>
                </c:ext>
              </c:extLst>
            </c:dLbl>
            <c:dLbl>
              <c:idx val="6"/>
              <c:layout>
                <c:manualLayout>
                  <c:x val="-0.15518367531813654"/>
                  <c:y val="-1.8376726631798762E-2"/>
                </c:manualLayout>
              </c:layout>
              <c:tx>
                <c:rich>
                  <a:bodyPr/>
                  <a:lstStyle/>
                  <a:p>
                    <a:pPr>
                      <a:defRPr sz="800" b="1" i="0" u="none" strike="noStrike" baseline="0">
                        <a:solidFill>
                          <a:srgbClr val="993300"/>
                        </a:solidFill>
                        <a:latin typeface="Arial"/>
                        <a:ea typeface="Arial"/>
                        <a:cs typeface="Arial"/>
                      </a:defRPr>
                    </a:pPr>
                    <a:r>
                      <a:rPr lang="fr-FR"/>
                      <a:t>$2.0 M (Resolution 3.GA 9)</a:t>
                    </a:r>
                  </a:p>
                </c:rich>
              </c:tx>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DB-4B52-9431-8BFE49760023}"/>
                </c:ext>
              </c:extLst>
            </c:dLbl>
            <c:spPr>
              <a:noFill/>
              <a:ln w="25400">
                <a:noFill/>
              </a:ln>
            </c:spPr>
            <c:txPr>
              <a:bodyPr wrap="square" lIns="38100" tIns="19050" rIns="38100" bIns="19050" anchor="ctr">
                <a:spAutoFit/>
              </a:bodyPr>
              <a:lstStyle/>
              <a:p>
                <a:pPr>
                  <a:defRPr sz="800" b="1" i="0" u="none" strike="noStrike" baseline="0">
                    <a:solidFill>
                      <a:srgbClr val="FF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'arranged table'!$G$8:$G$10</c:f>
              <c:numCache>
                <c:formatCode>\$##0.00\ \ " M"</c:formatCode>
                <c:ptCount val="3"/>
                <c:pt idx="0">
                  <c:v>3000000</c:v>
                </c:pt>
                <c:pt idx="1">
                  <c:v>3000000</c:v>
                </c:pt>
                <c:pt idx="2">
                  <c:v>3000000</c:v>
                </c:pt>
              </c:numCache>
            </c:numRef>
          </c:val>
          <c:smooth val="0"/>
          <c:extLst>
            <c:ext xmlns:c16="http://schemas.microsoft.com/office/drawing/2014/chart" uri="{C3380CC4-5D6E-409C-BE32-E72D297353CC}">
              <c16:uniqueId val="{0000000B-73DB-4B52-9431-8BFE49760023}"/>
            </c:ext>
          </c:extLst>
        </c:ser>
        <c:dLbls>
          <c:showLegendKey val="0"/>
          <c:showVal val="0"/>
          <c:showCatName val="0"/>
          <c:showSerName val="0"/>
          <c:showPercent val="0"/>
          <c:showBubbleSize val="0"/>
        </c:dLbls>
        <c:marker val="1"/>
        <c:smooth val="0"/>
        <c:axId val="52916416"/>
        <c:axId val="52911936"/>
      </c:lineChart>
      <c:catAx>
        <c:axId val="52916416"/>
        <c:scaling>
          <c:orientation val="minMax"/>
        </c:scaling>
        <c:delete val="0"/>
        <c:axPos val="b"/>
        <c:numFmt formatCode="General" sourceLinked="1"/>
        <c:majorTickMark val="out"/>
        <c:minorTickMark val="none"/>
        <c:tickLblPos val="nextTo"/>
        <c:txPr>
          <a:bodyPr rot="0" vert="horz"/>
          <a:lstStyle/>
          <a:p>
            <a:pPr>
              <a:defRPr sz="900" b="1" i="0" u="none" strike="noStrike" baseline="0">
                <a:solidFill>
                  <a:srgbClr val="000000"/>
                </a:solidFill>
                <a:latin typeface="Arial"/>
                <a:ea typeface="Arial"/>
                <a:cs typeface="Arial"/>
              </a:defRPr>
            </a:pPr>
            <a:endParaRPr lang="en-US"/>
          </a:p>
        </c:txPr>
        <c:crossAx val="52911936"/>
        <c:crossesAt val="0.1"/>
        <c:auto val="1"/>
        <c:lblAlgn val="ctr"/>
        <c:lblOffset val="100"/>
        <c:tickLblSkip val="1"/>
        <c:tickMarkSkip val="100"/>
        <c:noMultiLvlLbl val="0"/>
      </c:catAx>
      <c:valAx>
        <c:axId val="52911936"/>
        <c:scaling>
          <c:orientation val="minMax"/>
          <c:max val="4500000"/>
          <c:min val="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0,,&quot; M&quot;" sourceLinked="0"/>
        <c:majorTickMark val="out"/>
        <c:minorTickMark val="none"/>
        <c:tickLblPos val="nextTo"/>
        <c:txPr>
          <a:bodyPr rot="0" vert="horz"/>
          <a:lstStyle/>
          <a:p>
            <a:pPr>
              <a:defRPr sz="900" b="1" i="0" u="none" strike="noStrike" baseline="0">
                <a:solidFill>
                  <a:srgbClr val="000000"/>
                </a:solidFill>
                <a:latin typeface="Arial"/>
                <a:ea typeface="Arial"/>
                <a:cs typeface="Arial"/>
              </a:defRPr>
            </a:pPr>
            <a:endParaRPr lang="en-US"/>
          </a:p>
        </c:txPr>
        <c:crossAx val="52916416"/>
        <c:crosses val="autoZero"/>
        <c:crossBetween val="between"/>
        <c:majorUnit val="1000000"/>
        <c:minorUnit val="200000"/>
      </c:valAx>
      <c:spPr>
        <a:ln>
          <a:noFill/>
        </a:ln>
      </c:spPr>
    </c:plotArea>
    <c:legend>
      <c:legendPos val="r"/>
      <c:legendEntry>
        <c:idx val="2"/>
        <c:delete val="1"/>
      </c:legendEntry>
      <c:legendEntry>
        <c:idx val="3"/>
        <c:delete val="1"/>
      </c:legendEntry>
      <c:legendEntry>
        <c:idx val="4"/>
        <c:delete val="1"/>
      </c:legendEntry>
      <c:layout>
        <c:manualLayout>
          <c:xMode val="edge"/>
          <c:yMode val="edge"/>
          <c:x val="0.77260090750130506"/>
          <c:y val="0.63092061893426121"/>
          <c:w val="0.13073856274294829"/>
          <c:h val="0.17786424952694868"/>
        </c:manualLayout>
      </c:layout>
      <c:overlay val="0"/>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5.9157328415402374E-2"/>
          <c:y val="2.2460438999489536E-2"/>
          <c:w val="0.63427535500370136"/>
          <c:h val="0.90105155691679428"/>
        </c:manualLayout>
      </c:layout>
      <c:barChart>
        <c:barDir val="col"/>
        <c:grouping val="stacked"/>
        <c:varyColors val="0"/>
        <c:ser>
          <c:idx val="2"/>
          <c:order val="0"/>
          <c:tx>
            <c:strRef>
              <c:f>'arranged table'!$E$7</c:f>
              <c:strCache>
                <c:ptCount val="1"/>
                <c:pt idx="0">
                  <c:v>Sub-Fund</c:v>
                </c:pt>
              </c:strCache>
            </c:strRef>
          </c:tx>
          <c:spPr>
            <a:pattFill prst="lgCheck">
              <a:fgClr>
                <a:schemeClr val="accent5">
                  <a:lumMod val="40000"/>
                  <a:lumOff val="60000"/>
                </a:schemeClr>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table'!$A$11:$B$13</c:f>
              <c:strCache>
                <c:ptCount val="3"/>
                <c:pt idx="0">
                  <c:v>36C/5 2012-13</c:v>
                </c:pt>
                <c:pt idx="1">
                  <c:v>37C/5 2014-15</c:v>
                </c:pt>
                <c:pt idx="2">
                  <c:v>38C/5 2016-17</c:v>
                </c:pt>
              </c:strCache>
            </c:strRef>
          </c:cat>
          <c:val>
            <c:numRef>
              <c:f>'arranged table'!$E$11:$E$13</c:f>
              <c:numCache>
                <c:formatCode>\$##0.00\ \ " M"</c:formatCode>
                <c:ptCount val="3"/>
                <c:pt idx="0">
                  <c:v>403181</c:v>
                </c:pt>
                <c:pt idx="1">
                  <c:v>409248.63999999996</c:v>
                </c:pt>
                <c:pt idx="2">
                  <c:v>120286.2</c:v>
                </c:pt>
              </c:numCache>
            </c:numRef>
          </c:val>
          <c:extLst>
            <c:ext xmlns:c16="http://schemas.microsoft.com/office/drawing/2014/chart" uri="{C3380CC4-5D6E-409C-BE32-E72D297353CC}">
              <c16:uniqueId val="{00000000-BB73-42A9-ABDF-63271E08A16C}"/>
            </c:ext>
          </c:extLst>
        </c:ser>
        <c:ser>
          <c:idx val="3"/>
          <c:order val="1"/>
          <c:tx>
            <c:strRef>
              <c:f>'arranged table'!$F$7</c:f>
              <c:strCache>
                <c:ptCount val="1"/>
                <c:pt idx="0">
                  <c:v>In-kind for Staff</c:v>
                </c:pt>
              </c:strCache>
            </c:strRef>
          </c:tx>
          <c:spPr>
            <a:pattFill prst="narHorz">
              <a:fgClr>
                <a:schemeClr val="bg1">
                  <a:lumMod val="65000"/>
                </a:schemeClr>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table'!$A$11:$B$13</c:f>
              <c:strCache>
                <c:ptCount val="3"/>
                <c:pt idx="0">
                  <c:v>36C/5 2012-13</c:v>
                </c:pt>
                <c:pt idx="1">
                  <c:v>37C/5 2014-15</c:v>
                </c:pt>
                <c:pt idx="2">
                  <c:v>38C/5 2016-17</c:v>
                </c:pt>
              </c:strCache>
            </c:strRef>
          </c:cat>
          <c:val>
            <c:numRef>
              <c:f>'arranged table'!$F$11:$F$13</c:f>
              <c:numCache>
                <c:formatCode>\$##0.00\ \ " M"</c:formatCode>
                <c:ptCount val="3"/>
                <c:pt idx="0">
                  <c:v>369250</c:v>
                </c:pt>
                <c:pt idx="1">
                  <c:v>341640</c:v>
                </c:pt>
                <c:pt idx="2">
                  <c:v>217360</c:v>
                </c:pt>
              </c:numCache>
            </c:numRef>
          </c:val>
          <c:extLst>
            <c:ext xmlns:c16="http://schemas.microsoft.com/office/drawing/2014/chart" uri="{C3380CC4-5D6E-409C-BE32-E72D297353CC}">
              <c16:uniqueId val="{00000001-BB73-42A9-ABDF-63271E08A16C}"/>
            </c:ext>
          </c:extLst>
        </c:ser>
        <c:ser>
          <c:idx val="0"/>
          <c:order val="3"/>
          <c:tx>
            <c:strRef>
              <c:f>'arranged table'!$D$7</c:f>
              <c:strCache>
                <c:ptCount val="1"/>
                <c:pt idx="0">
                  <c:v>Funds-in-Trust</c:v>
                </c:pt>
              </c:strCache>
            </c:strRef>
          </c:tx>
          <c:spPr>
            <a:pattFill prst="pct5">
              <a:fgClr>
                <a:schemeClr val="accent1"/>
              </a:fgClr>
              <a:bgClr>
                <a:schemeClr val="bg1"/>
              </a:bgClr>
            </a:pattFill>
            <a:ln>
              <a:solidFill>
                <a:schemeClr val="accent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BB73-42A9-ABDF-63271E08A16C}"/>
                </c:ext>
              </c:extLst>
            </c:dLbl>
            <c:numFmt formatCode="\$##0.00,,&quot; M&quot;"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'arranged table'!$D$11:$D$13</c:f>
              <c:numCache>
                <c:formatCode>\$##0.00\ \ " M"</c:formatCode>
                <c:ptCount val="3"/>
                <c:pt idx="0">
                  <c:v>0</c:v>
                </c:pt>
                <c:pt idx="1">
                  <c:v>677668</c:v>
                </c:pt>
                <c:pt idx="2">
                  <c:v>192446</c:v>
                </c:pt>
              </c:numCache>
            </c:numRef>
          </c:val>
          <c:extLst>
            <c:ext xmlns:c16="http://schemas.microsoft.com/office/drawing/2014/chart" uri="{C3380CC4-5D6E-409C-BE32-E72D297353CC}">
              <c16:uniqueId val="{00000003-BB73-42A9-ABDF-63271E08A16C}"/>
            </c:ext>
          </c:extLst>
        </c:ser>
        <c:dLbls>
          <c:showLegendKey val="0"/>
          <c:showVal val="0"/>
          <c:showCatName val="0"/>
          <c:showSerName val="0"/>
          <c:showPercent val="0"/>
          <c:showBubbleSize val="0"/>
        </c:dLbls>
        <c:gapWidth val="0"/>
        <c:overlap val="100"/>
        <c:axId val="270466752"/>
        <c:axId val="270468432"/>
      </c:barChart>
      <c:lineChart>
        <c:grouping val="standard"/>
        <c:varyColors val="0"/>
        <c:ser>
          <c:idx val="4"/>
          <c:order val="2"/>
          <c:tx>
            <c:strRef>
              <c:f>'arranged table'!$G$7</c:f>
              <c:strCache>
                <c:ptCount val="1"/>
                <c:pt idx="0">
                  <c:v>Targeted amount by biennium</c:v>
                </c:pt>
              </c:strCache>
            </c:strRef>
          </c:tx>
          <c:spPr>
            <a:ln w="28575">
              <a:solidFill>
                <a:srgbClr val="C00000"/>
              </a:solid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BB73-42A9-ABDF-63271E08A16C}"/>
                </c:ext>
              </c:extLst>
            </c:dLbl>
            <c:dLbl>
              <c:idx val="1"/>
              <c:delete val="1"/>
              <c:extLst>
                <c:ext xmlns:c15="http://schemas.microsoft.com/office/drawing/2012/chart" uri="{CE6537A1-D6FC-4f65-9D91-7224C49458BB}"/>
                <c:ext xmlns:c16="http://schemas.microsoft.com/office/drawing/2014/chart" uri="{C3380CC4-5D6E-409C-BE32-E72D297353CC}">
                  <c16:uniqueId val="{00000005-BB73-42A9-ABDF-63271E08A16C}"/>
                </c:ext>
              </c:extLst>
            </c:dLbl>
            <c:dLbl>
              <c:idx val="2"/>
              <c:layout>
                <c:manualLayout>
                  <c:x val="-0.15242670711788406"/>
                  <c:y val="-5.9322040978299434E-2"/>
                </c:manualLayout>
              </c:layout>
              <c:tx>
                <c:rich>
                  <a:bodyPr/>
                  <a:lstStyle/>
                  <a:p>
                    <a:pPr>
                      <a:defRPr sz="800" b="1" i="0" u="none" strike="noStrike" baseline="0">
                        <a:solidFill>
                          <a:srgbClr val="993300"/>
                        </a:solidFill>
                        <a:latin typeface="Arial"/>
                        <a:ea typeface="Arial"/>
                        <a:cs typeface="Arial"/>
                      </a:defRPr>
                    </a:pPr>
                    <a:r>
                      <a:rPr lang="en-US"/>
                      <a:t>Target: $2.2 M
(Resolution 3.GA 9) </a:t>
                    </a:r>
                  </a:p>
                </c:rich>
              </c:tx>
              <c:numFmt formatCode="\$##0\.0..&quot; M&quot;" sourceLinked="0"/>
              <c:spPr/>
              <c:dLblPos val="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B73-42A9-ABDF-63271E08A16C}"/>
                </c:ext>
              </c:extLst>
            </c:dLbl>
            <c:dLbl>
              <c:idx val="3"/>
              <c:delete val="1"/>
              <c:extLst>
                <c:ext xmlns:c15="http://schemas.microsoft.com/office/drawing/2012/chart" uri="{CE6537A1-D6FC-4f65-9D91-7224C49458BB}"/>
                <c:ext xmlns:c16="http://schemas.microsoft.com/office/drawing/2014/chart" uri="{C3380CC4-5D6E-409C-BE32-E72D297353CC}">
                  <c16:uniqueId val="{00000007-BB73-42A9-ABDF-63271E08A16C}"/>
                </c:ext>
              </c:extLst>
            </c:dLbl>
            <c:dLbl>
              <c:idx val="4"/>
              <c:delete val="1"/>
              <c:extLst>
                <c:ext xmlns:c15="http://schemas.microsoft.com/office/drawing/2012/chart" uri="{CE6537A1-D6FC-4f65-9D91-7224C49458BB}"/>
                <c:ext xmlns:c16="http://schemas.microsoft.com/office/drawing/2014/chart" uri="{C3380CC4-5D6E-409C-BE32-E72D297353CC}">
                  <c16:uniqueId val="{00000008-BB73-42A9-ABDF-63271E08A16C}"/>
                </c:ext>
              </c:extLst>
            </c:dLbl>
            <c:dLbl>
              <c:idx val="5"/>
              <c:delete val="1"/>
              <c:extLst>
                <c:ext xmlns:c15="http://schemas.microsoft.com/office/drawing/2012/chart" uri="{CE6537A1-D6FC-4f65-9D91-7224C49458BB}"/>
                <c:ext xmlns:c16="http://schemas.microsoft.com/office/drawing/2014/chart" uri="{C3380CC4-5D6E-409C-BE32-E72D297353CC}">
                  <c16:uniqueId val="{00000009-BB73-42A9-ABDF-63271E08A16C}"/>
                </c:ext>
              </c:extLst>
            </c:dLbl>
            <c:dLbl>
              <c:idx val="6"/>
              <c:layout>
                <c:manualLayout>
                  <c:x val="-0.15518367531813654"/>
                  <c:y val="-1.8376726631798762E-2"/>
                </c:manualLayout>
              </c:layout>
              <c:tx>
                <c:rich>
                  <a:bodyPr/>
                  <a:lstStyle/>
                  <a:p>
                    <a:pPr>
                      <a:defRPr sz="800" b="1" i="0" u="none" strike="noStrike" baseline="0">
                        <a:solidFill>
                          <a:srgbClr val="993300"/>
                        </a:solidFill>
                        <a:latin typeface="Arial"/>
                        <a:ea typeface="Arial"/>
                        <a:cs typeface="Arial"/>
                      </a:defRPr>
                    </a:pPr>
                    <a:r>
                      <a:rPr lang="fr-FR"/>
                      <a:t>$2.0 M (Resolution 3.GA 9)</a:t>
                    </a:r>
                  </a:p>
                </c:rich>
              </c:tx>
              <c:numFmt formatCode="\$##0\.0..&quot; M&quot;" sourceLinked="0"/>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73-42A9-ABDF-63271E08A16C}"/>
                </c:ext>
              </c:extLst>
            </c:dLbl>
            <c:numFmt formatCode="\$##0\.0..&quot; M&quot;" sourceLinked="0"/>
            <c:spPr>
              <a:noFill/>
              <a:ln w="25400">
                <a:noFill/>
              </a:ln>
            </c:spPr>
            <c:txPr>
              <a:bodyPr wrap="square" lIns="38100" tIns="19050" rIns="38100" bIns="19050" anchor="ctr">
                <a:spAutoFit/>
              </a:bodyPr>
              <a:lstStyle/>
              <a:p>
                <a:pPr>
                  <a:defRPr sz="800" b="1" i="0" u="none" strike="noStrike" baseline="0">
                    <a:solidFill>
                      <a:srgbClr val="FF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'arranged table'!$G$11:$G$13</c:f>
              <c:numCache>
                <c:formatCode>\$##0.00\ \ " M"</c:formatCode>
                <c:ptCount val="3"/>
                <c:pt idx="0">
                  <c:v>2200000</c:v>
                </c:pt>
                <c:pt idx="1">
                  <c:v>2200000</c:v>
                </c:pt>
                <c:pt idx="2">
                  <c:v>2200000</c:v>
                </c:pt>
              </c:numCache>
            </c:numRef>
          </c:val>
          <c:smooth val="0"/>
          <c:extLst>
            <c:ext xmlns:c16="http://schemas.microsoft.com/office/drawing/2014/chart" uri="{C3380CC4-5D6E-409C-BE32-E72D297353CC}">
              <c16:uniqueId val="{0000000B-BB73-42A9-ABDF-63271E08A16C}"/>
            </c:ext>
          </c:extLst>
        </c:ser>
        <c:dLbls>
          <c:showLegendKey val="0"/>
          <c:showVal val="0"/>
          <c:showCatName val="0"/>
          <c:showSerName val="0"/>
          <c:showPercent val="0"/>
          <c:showBubbleSize val="0"/>
        </c:dLbls>
        <c:marker val="1"/>
        <c:smooth val="0"/>
        <c:axId val="270466752"/>
        <c:axId val="270468432"/>
      </c:lineChart>
      <c:catAx>
        <c:axId val="270466752"/>
        <c:scaling>
          <c:orientation val="minMax"/>
        </c:scaling>
        <c:delete val="0"/>
        <c:axPos val="b"/>
        <c:numFmt formatCode="General" sourceLinked="1"/>
        <c:majorTickMark val="out"/>
        <c:minorTickMark val="none"/>
        <c:tickLblPos val="nextTo"/>
        <c:txPr>
          <a:bodyPr rot="0" vert="horz"/>
          <a:lstStyle/>
          <a:p>
            <a:pPr>
              <a:defRPr sz="800" b="1" i="0" u="none" strike="noStrike" baseline="0">
                <a:solidFill>
                  <a:srgbClr val="000000"/>
                </a:solidFill>
                <a:latin typeface="Arial"/>
                <a:ea typeface="Arial"/>
                <a:cs typeface="Arial"/>
              </a:defRPr>
            </a:pPr>
            <a:endParaRPr lang="en-US"/>
          </a:p>
        </c:txPr>
        <c:crossAx val="270468432"/>
        <c:crossesAt val="0.1"/>
        <c:auto val="1"/>
        <c:lblAlgn val="ctr"/>
        <c:lblOffset val="100"/>
        <c:tickLblSkip val="1"/>
        <c:tickMarkSkip val="100"/>
        <c:noMultiLvlLbl val="0"/>
      </c:catAx>
      <c:valAx>
        <c:axId val="270468432"/>
        <c:scaling>
          <c:orientation val="minMax"/>
          <c:min val="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0,,&quot; M&quot;"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n-US"/>
          </a:p>
        </c:txPr>
        <c:crossAx val="270466752"/>
        <c:crosses val="autoZero"/>
        <c:crossBetween val="between"/>
        <c:majorUnit val="1000000"/>
        <c:minorUnit val="200000"/>
      </c:valAx>
    </c:plotArea>
    <c:legend>
      <c:legendPos val="r"/>
      <c:legendEntry>
        <c:idx val="3"/>
        <c:delete val="1"/>
      </c:legendEntry>
      <c:layout>
        <c:manualLayout>
          <c:xMode val="edge"/>
          <c:yMode val="edge"/>
          <c:x val="0.77295830809610344"/>
          <c:y val="0.5368848590895835"/>
          <c:w val="0.17282589676290461"/>
          <c:h val="0.36228213897505246"/>
        </c:manualLayout>
      </c:layout>
      <c:overlay val="0"/>
      <c:txPr>
        <a:bodyPr/>
        <a:lstStyle/>
        <a:p>
          <a:pPr>
            <a:defRPr sz="1050"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92BF5-F78C-42A6-A78B-B24BA49C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7498</Words>
  <Characters>42739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50137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Shin, Eunkyung</cp:lastModifiedBy>
  <cp:revision>10</cp:revision>
  <cp:lastPrinted>2017-10-17T15:39:00Z</cp:lastPrinted>
  <dcterms:created xsi:type="dcterms:W3CDTF">2017-11-01T14:47:00Z</dcterms:created>
  <dcterms:modified xsi:type="dcterms:W3CDTF">2017-11-02T09:18:00Z</dcterms:modified>
</cp:coreProperties>
</file>