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F50F1" w14:textId="67821069" w:rsidR="00EC6F8D" w:rsidRPr="00293C60" w:rsidRDefault="00EC6F8D" w:rsidP="00EC6F8D">
      <w:pPr>
        <w:spacing w:before="14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CONVENTION POUR LA SAUVEGARDE</w:t>
      </w:r>
      <w:r w:rsidR="00280CA8">
        <w:rPr>
          <w:rFonts w:ascii="Arial" w:hAnsi="Arial"/>
          <w:b/>
          <w:sz w:val="22"/>
          <w:szCs w:val="22"/>
        </w:rPr>
        <w:t xml:space="preserve"> DU</w:t>
      </w:r>
      <w:r>
        <w:rPr>
          <w:rFonts w:ascii="Arial" w:hAnsi="Arial"/>
          <w:b/>
          <w:sz w:val="22"/>
          <w:szCs w:val="22"/>
        </w:rPr>
        <w:br/>
        <w:t>PATRIMOINE CULTUREL IMMATÉRIEL</w:t>
      </w:r>
    </w:p>
    <w:p w14:paraId="7FA1285B" w14:textId="03BC85E8" w:rsidR="00EC6F8D" w:rsidRPr="00293C60" w:rsidRDefault="00EC6F8D" w:rsidP="00EC6F8D">
      <w:pPr>
        <w:spacing w:before="120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COMITÉ INTERGOUVERNEMENTAL DE </w:t>
      </w:r>
      <w:r w:rsidR="00280CA8">
        <w:rPr>
          <w:rFonts w:ascii="Arial" w:hAnsi="Arial"/>
          <w:b/>
          <w:sz w:val="22"/>
          <w:szCs w:val="22"/>
        </w:rPr>
        <w:t>SAUVEGARDE</w:t>
      </w:r>
      <w:r>
        <w:rPr>
          <w:rFonts w:ascii="Arial" w:hAnsi="Arial"/>
          <w:b/>
          <w:sz w:val="22"/>
          <w:szCs w:val="22"/>
        </w:rPr>
        <w:br/>
        <w:t>DU PATRIMOINE CULTUREL IMMATÉRIEL</w:t>
      </w:r>
    </w:p>
    <w:p w14:paraId="6496202B" w14:textId="77777777" w:rsidR="00EC6F8D" w:rsidRPr="00293C60" w:rsidRDefault="00C7433F" w:rsidP="00EC6F8D">
      <w:pPr>
        <w:spacing w:before="8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Douzième session</w:t>
      </w:r>
    </w:p>
    <w:p w14:paraId="6E5D0E39" w14:textId="77777777" w:rsidR="009D5428" w:rsidRPr="00337CEB" w:rsidRDefault="001D738F" w:rsidP="005E7074">
      <w:pPr>
        <w:jc w:val="center"/>
        <w:rPr>
          <w:rFonts w:ascii="Arial" w:eastAsiaTheme="minorEastAsia" w:hAnsi="Arial" w:cs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Île de </w:t>
      </w:r>
      <w:proofErr w:type="spellStart"/>
      <w:r>
        <w:rPr>
          <w:rFonts w:ascii="Arial" w:hAnsi="Arial"/>
          <w:b/>
          <w:sz w:val="22"/>
          <w:szCs w:val="22"/>
        </w:rPr>
        <w:t>Jeju</w:t>
      </w:r>
      <w:proofErr w:type="spellEnd"/>
      <w:r>
        <w:rPr>
          <w:rFonts w:ascii="Arial" w:hAnsi="Arial"/>
          <w:b/>
          <w:sz w:val="22"/>
          <w:szCs w:val="22"/>
        </w:rPr>
        <w:t>, République de Corée</w:t>
      </w:r>
    </w:p>
    <w:p w14:paraId="02F7A389" w14:textId="5F63600D" w:rsidR="00EC6F8D" w:rsidRPr="00337CEB" w:rsidRDefault="00337CEB" w:rsidP="00EC6F8D">
      <w:pPr>
        <w:jc w:val="center"/>
        <w:rPr>
          <w:rFonts w:ascii="Arial" w:eastAsiaTheme="minorEastAsia" w:hAnsi="Arial" w:cs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4</w:t>
      </w:r>
      <w:r w:rsidR="00F1442C">
        <w:rPr>
          <w:rFonts w:ascii="Arial" w:hAnsi="Arial"/>
          <w:b/>
          <w:sz w:val="22"/>
          <w:szCs w:val="22"/>
        </w:rPr>
        <w:t xml:space="preserve"> – </w:t>
      </w:r>
      <w:r>
        <w:rPr>
          <w:rFonts w:ascii="Arial" w:hAnsi="Arial"/>
          <w:b/>
          <w:sz w:val="22"/>
          <w:szCs w:val="22"/>
        </w:rPr>
        <w:t>9</w:t>
      </w:r>
      <w:r w:rsidR="00F1442C"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décembre 2017</w:t>
      </w:r>
    </w:p>
    <w:p w14:paraId="714977F0" w14:textId="7269CF20" w:rsidR="00EC6F8D" w:rsidRPr="001257F2" w:rsidRDefault="00EC6F8D" w:rsidP="00EC6F8D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257F2">
        <w:rPr>
          <w:rFonts w:ascii="Arial" w:hAnsi="Arial"/>
          <w:b/>
          <w:sz w:val="22"/>
          <w:szCs w:val="22"/>
          <w:u w:val="single"/>
        </w:rPr>
        <w:t>Point 5.a de l</w:t>
      </w:r>
      <w:r w:rsidR="00B35393">
        <w:rPr>
          <w:rFonts w:ascii="Arial" w:hAnsi="Arial"/>
          <w:b/>
          <w:sz w:val="22"/>
          <w:szCs w:val="22"/>
          <w:u w:val="single"/>
        </w:rPr>
        <w:t>’</w:t>
      </w:r>
      <w:r w:rsidRPr="001257F2">
        <w:rPr>
          <w:rFonts w:ascii="Arial" w:hAnsi="Arial"/>
          <w:b/>
          <w:sz w:val="22"/>
          <w:szCs w:val="22"/>
          <w:u w:val="single"/>
        </w:rPr>
        <w:t>ordre du jour provisoire :</w:t>
      </w:r>
    </w:p>
    <w:p w14:paraId="2A8B22BC" w14:textId="603BE127" w:rsidR="00EC6F8D" w:rsidRPr="00293C60" w:rsidRDefault="00573257" w:rsidP="00EC6F8D">
      <w:pPr>
        <w:pStyle w:val="Sansinterligne2"/>
        <w:spacing w:after="120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Rapport du Comité à l</w:t>
      </w:r>
      <w:r w:rsidR="00B35393">
        <w:rPr>
          <w:rFonts w:ascii="Arial" w:hAnsi="Arial"/>
          <w:b/>
          <w:sz w:val="22"/>
          <w:szCs w:val="22"/>
        </w:rPr>
        <w:t>’</w:t>
      </w:r>
      <w:r>
        <w:rPr>
          <w:rFonts w:ascii="Arial" w:hAnsi="Arial"/>
          <w:b/>
          <w:sz w:val="22"/>
          <w:szCs w:val="22"/>
        </w:rPr>
        <w:t>Assemblée générale</w:t>
      </w:r>
      <w:r>
        <w:rPr>
          <w:rFonts w:ascii="Arial" w:hAnsi="Arial"/>
          <w:b/>
          <w:sz w:val="22"/>
          <w:szCs w:val="22"/>
        </w:rPr>
        <w:br/>
        <w:t>sur ses activités (de janvier 2016 à décembre 2017)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EC6F8D" w:rsidRPr="00573257" w14:paraId="4A3F58AC" w14:textId="77777777" w:rsidTr="00EC6F8D">
        <w:trPr>
          <w:jc w:val="center"/>
        </w:trPr>
        <w:tc>
          <w:tcPr>
            <w:tcW w:w="5670" w:type="dxa"/>
            <w:vAlign w:val="center"/>
          </w:tcPr>
          <w:p w14:paraId="36C04A1C" w14:textId="77777777" w:rsidR="00EC6F8D" w:rsidRPr="00293C60" w:rsidRDefault="00EC6F8D" w:rsidP="00CA56BB">
            <w:pPr>
              <w:pStyle w:val="Sansinterligne1"/>
              <w:spacing w:before="200" w:after="20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Résumé</w:t>
            </w:r>
          </w:p>
          <w:p w14:paraId="09E7D66A" w14:textId="63652F7C" w:rsidR="00EC6F8D" w:rsidRPr="00293C60" w:rsidRDefault="00573257" w:rsidP="00CA56BB">
            <w:pPr>
              <w:pStyle w:val="Sansinterligne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</w:t>
            </w:r>
            <w:r w:rsidR="00B35393">
              <w:rPr>
                <w:rFonts w:ascii="Arial" w:hAnsi="Arial"/>
                <w:sz w:val="22"/>
                <w:szCs w:val="22"/>
              </w:rPr>
              <w:t>’</w:t>
            </w:r>
            <w:r>
              <w:rPr>
                <w:rFonts w:ascii="Arial" w:hAnsi="Arial"/>
                <w:sz w:val="22"/>
                <w:szCs w:val="22"/>
              </w:rPr>
              <w:t>article 30.1 de la Convention de 2003 pour la sauvegarde du patrimoine culturel immatériel prévoit que « sur la base de ses activités […] le Comité soumet un rapport à chaque session de l</w:t>
            </w:r>
            <w:r w:rsidR="00B35393">
              <w:rPr>
                <w:rFonts w:ascii="Arial" w:hAnsi="Arial"/>
                <w:sz w:val="22"/>
                <w:szCs w:val="22"/>
              </w:rPr>
              <w:t>’</w:t>
            </w:r>
            <w:r>
              <w:rPr>
                <w:rFonts w:ascii="Arial" w:hAnsi="Arial"/>
                <w:sz w:val="22"/>
                <w:szCs w:val="22"/>
              </w:rPr>
              <w:t>Assemblée générale ». Le présent document contient un projet de rapport sur les activités du Comité de janvier 2016 à décembre 2017 que le Comité pourrait souhaiter présenter à la septième session de l</w:t>
            </w:r>
            <w:r w:rsidR="00B35393">
              <w:rPr>
                <w:rFonts w:ascii="Arial" w:hAnsi="Arial"/>
                <w:sz w:val="22"/>
                <w:szCs w:val="22"/>
              </w:rPr>
              <w:t>’</w:t>
            </w:r>
            <w:r>
              <w:rPr>
                <w:rFonts w:ascii="Arial" w:hAnsi="Arial"/>
                <w:sz w:val="22"/>
                <w:szCs w:val="22"/>
              </w:rPr>
              <w:t>Assemblée générale.</w:t>
            </w:r>
          </w:p>
          <w:p w14:paraId="1E194380" w14:textId="77777777" w:rsidR="00EC6F8D" w:rsidRPr="00573257" w:rsidRDefault="00EC6F8D" w:rsidP="00CA56BB">
            <w:pPr>
              <w:pStyle w:val="Sansinterligne2"/>
              <w:spacing w:before="200" w:after="200"/>
              <w:jc w:val="both"/>
              <w:rPr>
                <w:rFonts w:ascii="Arial" w:eastAsiaTheme="minorEastAsia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Décision requise : </w:t>
            </w:r>
            <w:r>
              <w:rPr>
                <w:rFonts w:ascii="Arial" w:hAnsi="Arial"/>
                <w:bCs/>
                <w:sz w:val="22"/>
                <w:szCs w:val="22"/>
              </w:rPr>
              <w:t>paragraphe 4</w:t>
            </w:r>
          </w:p>
        </w:tc>
      </w:tr>
    </w:tbl>
    <w:p w14:paraId="7B3989C9" w14:textId="02A5A28D" w:rsidR="00081D63" w:rsidRPr="00AE18A1" w:rsidRDefault="00655736" w:rsidP="00081D63">
      <w:pPr>
        <w:pStyle w:val="Marge"/>
        <w:numPr>
          <w:ilvl w:val="0"/>
          <w:numId w:val="13"/>
        </w:numPr>
        <w:tabs>
          <w:tab w:val="clear" w:pos="720"/>
        </w:tabs>
        <w:spacing w:after="120"/>
        <w:ind w:left="567" w:hanging="567"/>
      </w:pPr>
      <w:r>
        <w:br w:type="page"/>
      </w:r>
      <w:r>
        <w:lastRenderedPageBreak/>
        <w:t>L</w:t>
      </w:r>
      <w:r w:rsidR="00B35393">
        <w:t>’</w:t>
      </w:r>
      <w:r>
        <w:t>article 30.1 de la Convention de 2003 pour la sauvegarde du patrimoine culturel immatériel prévoit que « sur la base de ses activités […] le Comité soumet un rapport à chaque session de l</w:t>
      </w:r>
      <w:r w:rsidR="00B35393">
        <w:t>’</w:t>
      </w:r>
      <w:r>
        <w:t>Assemblée générale ». L</w:t>
      </w:r>
      <w:r w:rsidR="00B35393">
        <w:t>’</w:t>
      </w:r>
      <w:r>
        <w:t>article 30.2 précise que « ce rapport est porté à la connaissance de la Conférence générale de l</w:t>
      </w:r>
      <w:r w:rsidR="00B35393">
        <w:t>’</w:t>
      </w:r>
      <w:r>
        <w:t>UNESCO ». Un projet de rapport est présenté ci-dessous, dans l</w:t>
      </w:r>
      <w:r w:rsidR="00B35393">
        <w:t>’</w:t>
      </w:r>
      <w:r>
        <w:t>annexe au projet de décisi</w:t>
      </w:r>
      <w:r>
        <w:rPr>
          <w:snapToGrid/>
          <w:szCs w:val="22"/>
        </w:rPr>
        <w:t>on.</w:t>
      </w:r>
    </w:p>
    <w:p w14:paraId="6967D2E9" w14:textId="388F83AF" w:rsidR="00081D63" w:rsidRPr="00EA5E6B" w:rsidRDefault="00D22167" w:rsidP="00EA5E6B">
      <w:pPr>
        <w:pStyle w:val="Marge"/>
        <w:numPr>
          <w:ilvl w:val="0"/>
          <w:numId w:val="13"/>
        </w:numPr>
        <w:tabs>
          <w:tab w:val="clear" w:pos="720"/>
        </w:tabs>
        <w:spacing w:after="120"/>
        <w:ind w:left="567" w:hanging="567"/>
      </w:pPr>
      <w:r>
        <w:t>Dans sa résolution 6.GA 5, l</w:t>
      </w:r>
      <w:r w:rsidR="00B35393">
        <w:t>’</w:t>
      </w:r>
      <w:r>
        <w:t>Assemblée générale a demandé au Comité « de soumettre un rapport sur ses activités pour la période entre janvier 2016 et décembre 2017 pour examen par l</w:t>
      </w:r>
      <w:r w:rsidR="00B35393">
        <w:t>’</w:t>
      </w:r>
      <w:r>
        <w:t>Assemblée générale à sa septième session et de [...] soumettre ses futurs rapports à un rythme biennal ». Ce rapport devra être actualisé avec des informations complémentaires sur les résultats de la douzième session du Comité.</w:t>
      </w:r>
    </w:p>
    <w:p w14:paraId="4F132E41" w14:textId="532EB9CC" w:rsidR="00081D63" w:rsidRPr="00345F73" w:rsidRDefault="00081D63" w:rsidP="00B35393">
      <w:pPr>
        <w:pStyle w:val="Marge"/>
        <w:numPr>
          <w:ilvl w:val="0"/>
          <w:numId w:val="13"/>
        </w:numPr>
        <w:tabs>
          <w:tab w:val="clear" w:pos="720"/>
        </w:tabs>
        <w:spacing w:after="120"/>
        <w:ind w:left="567" w:hanging="567"/>
      </w:pPr>
      <w:r>
        <w:t>Ce rapport doit être lu parallèlement aux rapports des États parties sur la mise en œuvre de la Convention et sur l</w:t>
      </w:r>
      <w:r w:rsidR="00B35393">
        <w:t>’</w:t>
      </w:r>
      <w:r>
        <w:t>état actuel des éléments inscrits sur la Liste représentative (</w:t>
      </w:r>
      <w:r w:rsidRPr="001257F2">
        <w:rPr>
          <w:szCs w:val="22"/>
        </w:rPr>
        <w:t>document</w:t>
      </w:r>
      <w:r w:rsidR="00AB5684" w:rsidRPr="001257F2">
        <w:rPr>
          <w:szCs w:val="22"/>
        </w:rPr>
        <w:t> </w:t>
      </w:r>
      <w:hyperlink r:id="rId8" w:history="1">
        <w:r w:rsidRPr="001257F2">
          <w:rPr>
            <w:rStyle w:val="Hyperlink"/>
            <w:szCs w:val="22"/>
          </w:rPr>
          <w:t>ITH/17/12.COM/8.</w:t>
        </w:r>
        <w:r w:rsidR="00130C5D" w:rsidRPr="001257F2">
          <w:rPr>
            <w:rStyle w:val="Hyperlink"/>
            <w:szCs w:val="22"/>
          </w:rPr>
          <w:t>b</w:t>
        </w:r>
      </w:hyperlink>
      <w:r w:rsidRPr="00345F73">
        <w:t>), aux rapports des États parties sur l</w:t>
      </w:r>
      <w:r w:rsidR="00B35393" w:rsidRPr="00345F73">
        <w:t>’</w:t>
      </w:r>
      <w:r w:rsidRPr="00345F73">
        <w:t>état actuel des éléments inscrits sur la Liste de sauvegarde urgente (</w:t>
      </w:r>
      <w:r w:rsidRPr="001257F2">
        <w:rPr>
          <w:szCs w:val="22"/>
        </w:rPr>
        <w:t>document </w:t>
      </w:r>
      <w:hyperlink r:id="rId9" w:history="1">
        <w:r w:rsidRPr="001257F2">
          <w:rPr>
            <w:rStyle w:val="Hyperlink"/>
            <w:szCs w:val="22"/>
          </w:rPr>
          <w:t>ITH/17/12.COM/8.</w:t>
        </w:r>
        <w:r w:rsidR="00B35393" w:rsidRPr="00345F73">
          <w:rPr>
            <w:rStyle w:val="Hyperlink"/>
            <w:szCs w:val="22"/>
          </w:rPr>
          <w:t>c</w:t>
        </w:r>
      </w:hyperlink>
      <w:r w:rsidRPr="00345F73">
        <w:t>), au rapport du Secrétariat sur ses activités (</w:t>
      </w:r>
      <w:r w:rsidRPr="001257F2">
        <w:rPr>
          <w:szCs w:val="22"/>
        </w:rPr>
        <w:t>document </w:t>
      </w:r>
      <w:hyperlink r:id="rId10" w:history="1">
        <w:r w:rsidRPr="001257F2">
          <w:rPr>
            <w:rStyle w:val="Hyperlink"/>
            <w:szCs w:val="22"/>
          </w:rPr>
          <w:t>ITH/17/12.COM/5.b</w:t>
        </w:r>
      </w:hyperlink>
      <w:r w:rsidRPr="00345F73">
        <w:t xml:space="preserve">), au rapport financier du Fonds du patrimoine culturel immatériel (annexe au </w:t>
      </w:r>
      <w:r w:rsidRPr="001257F2">
        <w:rPr>
          <w:szCs w:val="22"/>
        </w:rPr>
        <w:t xml:space="preserve">document </w:t>
      </w:r>
      <w:hyperlink r:id="rId11" w:history="1">
        <w:r w:rsidRPr="001257F2">
          <w:rPr>
            <w:rStyle w:val="Hyperlink"/>
            <w:szCs w:val="22"/>
          </w:rPr>
          <w:t>ITH/17/12.COM/</w:t>
        </w:r>
        <w:r w:rsidR="00130C5D" w:rsidRPr="001257F2">
          <w:rPr>
            <w:rStyle w:val="Hyperlink"/>
            <w:szCs w:val="22"/>
          </w:rPr>
          <w:t>7</w:t>
        </w:r>
      </w:hyperlink>
      <w:r w:rsidRPr="00345F73">
        <w:t>) et au suivi des recommandations du rapport du Commissaire aux comptes (</w:t>
      </w:r>
      <w:r w:rsidRPr="001257F2">
        <w:rPr>
          <w:szCs w:val="22"/>
        </w:rPr>
        <w:t xml:space="preserve">document </w:t>
      </w:r>
      <w:hyperlink r:id="rId12" w:history="1">
        <w:r w:rsidRPr="001257F2">
          <w:rPr>
            <w:rStyle w:val="Hyperlink"/>
            <w:szCs w:val="22"/>
          </w:rPr>
          <w:t>ITH/17/12.COM/1</w:t>
        </w:r>
        <w:r w:rsidR="00130C5D" w:rsidRPr="001257F2">
          <w:rPr>
            <w:rStyle w:val="Hyperlink"/>
            <w:szCs w:val="22"/>
          </w:rPr>
          <w:t>6</w:t>
        </w:r>
      </w:hyperlink>
      <w:r w:rsidRPr="00345F73">
        <w:t>).</w:t>
      </w:r>
    </w:p>
    <w:p w14:paraId="2DE245E3" w14:textId="77777777" w:rsidR="00D95C4C" w:rsidRPr="00EA528C" w:rsidRDefault="000B1C8F" w:rsidP="00081D63">
      <w:pPr>
        <w:pStyle w:val="COMPara"/>
        <w:numPr>
          <w:ilvl w:val="0"/>
          <w:numId w:val="13"/>
        </w:numPr>
        <w:ind w:left="567" w:hanging="567"/>
      </w:pPr>
      <w:r>
        <w:t>Le Comité souhaitera peut-être adopter la décision suivante :</w:t>
      </w:r>
    </w:p>
    <w:p w14:paraId="5C9FD9DF" w14:textId="62080D0A" w:rsidR="00D95C4C" w:rsidRPr="00081D63" w:rsidRDefault="004A34A0" w:rsidP="00041A66">
      <w:pPr>
        <w:pStyle w:val="COMTitleDecision"/>
        <w:rPr>
          <w:rFonts w:eastAsiaTheme="minorEastAsia"/>
        </w:rPr>
      </w:pPr>
      <w:r>
        <w:t>PROJET DE DÉCISION 12.COM 5.a</w:t>
      </w:r>
    </w:p>
    <w:p w14:paraId="7B7639FE" w14:textId="77777777" w:rsidR="00D95C4C" w:rsidRPr="00285BB4" w:rsidRDefault="00285BB4" w:rsidP="00285BB4">
      <w:pPr>
        <w:pStyle w:val="COMPreambulaDecisions"/>
        <w:rPr>
          <w:rFonts w:eastAsia="SimSun"/>
        </w:rPr>
      </w:pPr>
      <w:r>
        <w:t>Le Comité,</w:t>
      </w:r>
    </w:p>
    <w:p w14:paraId="019BBA64" w14:textId="3274FB04" w:rsidR="0057439C" w:rsidRPr="00345CB4" w:rsidRDefault="00D95C4C" w:rsidP="0027466B">
      <w:pPr>
        <w:pStyle w:val="COMParaDecision"/>
        <w:jc w:val="left"/>
      </w:pPr>
      <w:r>
        <w:t>Ayant examiné</w:t>
      </w:r>
      <w:r>
        <w:rPr>
          <w:u w:val="none"/>
        </w:rPr>
        <w:t xml:space="preserve"> le document ITH/17/12.COM/</w:t>
      </w:r>
      <w:proofErr w:type="gramStart"/>
      <w:r>
        <w:rPr>
          <w:u w:val="none"/>
        </w:rPr>
        <w:t>5.a</w:t>
      </w:r>
      <w:proofErr w:type="gramEnd"/>
      <w:r>
        <w:rPr>
          <w:u w:val="none"/>
        </w:rPr>
        <w:t>,</w:t>
      </w:r>
    </w:p>
    <w:p w14:paraId="4E4A3E35" w14:textId="429AB900" w:rsidR="0057439C" w:rsidRPr="00345CB4" w:rsidRDefault="0057439C" w:rsidP="0027466B">
      <w:pPr>
        <w:pStyle w:val="COMParaDecision"/>
        <w:jc w:val="left"/>
      </w:pPr>
      <w:r>
        <w:t>Rappelant</w:t>
      </w:r>
      <w:r>
        <w:rPr>
          <w:u w:val="none"/>
        </w:rPr>
        <w:t xml:space="preserve"> l</w:t>
      </w:r>
      <w:r w:rsidR="00B35393">
        <w:rPr>
          <w:u w:val="none"/>
        </w:rPr>
        <w:t>’</w:t>
      </w:r>
      <w:r>
        <w:rPr>
          <w:u w:val="none"/>
        </w:rPr>
        <w:t>article 30 de la Convention,</w:t>
      </w:r>
    </w:p>
    <w:p w14:paraId="114153B8" w14:textId="44B81270" w:rsidR="00D95C4C" w:rsidRPr="00345CB4" w:rsidRDefault="00E8094B" w:rsidP="0027466B">
      <w:pPr>
        <w:pStyle w:val="COMParaDecision"/>
        <w:jc w:val="left"/>
      </w:pPr>
      <w:r>
        <w:t>Accueille</w:t>
      </w:r>
      <w:r>
        <w:rPr>
          <w:u w:val="none"/>
        </w:rPr>
        <w:t xml:space="preserve"> les </w:t>
      </w:r>
      <w:r w:rsidR="00896981">
        <w:rPr>
          <w:u w:val="none"/>
        </w:rPr>
        <w:t xml:space="preserve">onze </w:t>
      </w:r>
      <w:r>
        <w:rPr>
          <w:u w:val="none"/>
        </w:rPr>
        <w:t>États qui ont ratifié la Convention depuis janvier 2016 ;</w:t>
      </w:r>
    </w:p>
    <w:p w14:paraId="12357E55" w14:textId="03BC3A5E" w:rsidR="00D95C4C" w:rsidRPr="00345CB4" w:rsidRDefault="00E8094B" w:rsidP="0027466B">
      <w:pPr>
        <w:pStyle w:val="COMParaDecision"/>
        <w:jc w:val="left"/>
      </w:pPr>
      <w:r>
        <w:t>Adopte</w:t>
      </w:r>
      <w:r>
        <w:rPr>
          <w:u w:val="none"/>
        </w:rPr>
        <w:t xml:space="preserve"> le rapport sur</w:t>
      </w:r>
      <w:r w:rsidR="00052B14">
        <w:rPr>
          <w:u w:val="none"/>
        </w:rPr>
        <w:t xml:space="preserve"> ses activités en 2016 et 2017.</w:t>
      </w:r>
    </w:p>
    <w:p w14:paraId="061AD171" w14:textId="77777777" w:rsidR="00E8094B" w:rsidRPr="00AE18A1" w:rsidRDefault="00E8094B" w:rsidP="00E8094B">
      <w:pPr>
        <w:pageBreakBefore/>
        <w:jc w:val="center"/>
      </w:pPr>
      <w:r>
        <w:rPr>
          <w:rFonts w:ascii="Arial" w:hAnsi="Arial"/>
          <w:b/>
          <w:bCs/>
          <w:sz w:val="22"/>
          <w:szCs w:val="22"/>
          <w:u w:val="single"/>
        </w:rPr>
        <w:lastRenderedPageBreak/>
        <w:t>ANNEXE</w:t>
      </w:r>
    </w:p>
    <w:p w14:paraId="4DE18C3B" w14:textId="75194EEF" w:rsidR="00E8094B" w:rsidRPr="00AE18A1" w:rsidRDefault="00E8094B" w:rsidP="00E8094B">
      <w:pPr>
        <w:spacing w:after="360"/>
        <w:jc w:val="center"/>
      </w:pPr>
      <w:r>
        <w:rPr>
          <w:rFonts w:ascii="Arial" w:hAnsi="Arial"/>
          <w:b/>
          <w:bCs/>
          <w:sz w:val="22"/>
          <w:szCs w:val="22"/>
        </w:rPr>
        <w:t>Projet de rapport du Comité à l</w:t>
      </w:r>
      <w:r w:rsidR="00B35393">
        <w:rPr>
          <w:rFonts w:ascii="Arial" w:hAnsi="Arial"/>
          <w:b/>
          <w:bCs/>
          <w:sz w:val="22"/>
          <w:szCs w:val="22"/>
        </w:rPr>
        <w:t>’</w:t>
      </w:r>
      <w:r>
        <w:rPr>
          <w:rFonts w:ascii="Arial" w:hAnsi="Arial"/>
          <w:b/>
          <w:bCs/>
          <w:sz w:val="22"/>
          <w:szCs w:val="22"/>
        </w:rPr>
        <w:t>Assemblée générale sur ses activités</w:t>
      </w:r>
    </w:p>
    <w:p w14:paraId="60CD8567" w14:textId="3713EA18" w:rsidR="00541FBB" w:rsidRPr="00AE18A1" w:rsidRDefault="00541FBB" w:rsidP="00B35393">
      <w:pPr>
        <w:pStyle w:val="Marge"/>
        <w:numPr>
          <w:ilvl w:val="0"/>
          <w:numId w:val="14"/>
        </w:numPr>
        <w:spacing w:after="120"/>
        <w:ind w:left="567" w:hanging="567"/>
      </w:pPr>
      <w:r>
        <w:t>Les fonctions du Comité sont définies dans la Convention de 2003 pour la sauvegarde du patrimoine culturel immatériel</w:t>
      </w:r>
      <w:r w:rsidR="00B35393">
        <w:t>,</w:t>
      </w:r>
      <w:r>
        <w:t xml:space="preserve"> et plus particulièrement dans l</w:t>
      </w:r>
      <w:r w:rsidR="00B35393">
        <w:t>’</w:t>
      </w:r>
      <w:r>
        <w:t>article 7. Ce rapport suit l</w:t>
      </w:r>
      <w:r w:rsidR="00B35393">
        <w:t>’</w:t>
      </w:r>
      <w:r>
        <w:t xml:space="preserve">ordre des fonctions décrites dans </w:t>
      </w:r>
      <w:r w:rsidR="00B35393">
        <w:t>l’</w:t>
      </w:r>
      <w:r>
        <w:t>article 7</w:t>
      </w:r>
      <w:r w:rsidR="00B35393">
        <w:t xml:space="preserve"> de la Convention</w:t>
      </w:r>
      <w:r>
        <w:t>.</w:t>
      </w:r>
    </w:p>
    <w:p w14:paraId="4783B5AE" w14:textId="681932E1" w:rsidR="00541FBB" w:rsidRPr="00541FBB" w:rsidRDefault="00541FBB" w:rsidP="00541FBB">
      <w:pPr>
        <w:pStyle w:val="Marge"/>
        <w:numPr>
          <w:ilvl w:val="0"/>
          <w:numId w:val="14"/>
        </w:numPr>
        <w:spacing w:after="120"/>
        <w:ind w:left="567" w:hanging="567"/>
        <w:rPr>
          <w:rFonts w:eastAsia="Arial" w:cs="Arial"/>
          <w:szCs w:val="22"/>
        </w:rPr>
      </w:pPr>
      <w:r>
        <w:t>En 2016, l</w:t>
      </w:r>
      <w:r w:rsidR="00B35393">
        <w:t>’</w:t>
      </w:r>
      <w:r>
        <w:t>Assemblée générale a renouvelé la moitié des vingt-quatre membres du Comité en élisant douze États parties pour un mandat de quatre ans. Pour la période allant de juin 2016 à juin 2018, les vingt-quatre membres du Comité étaient les suivants : Afghanistan, Algérie, Arménie, Autriche, Bulgarie, Colombie, Congo, Côte d</w:t>
      </w:r>
      <w:r w:rsidR="00B35393">
        <w:t>’</w:t>
      </w:r>
      <w:r>
        <w:t>Ivoire, Cuba, Chypre, Éthiopie, Guatemala, Hongrie, Inde, Liban, Maurice, Mongolie, Palestine, Philippines, République de Corée, Sainte-Lucie, Sénégal, Turquie et Zambie.</w:t>
      </w:r>
    </w:p>
    <w:p w14:paraId="22DDB851" w14:textId="0C174278" w:rsidR="00541FBB" w:rsidRPr="00AE18A1" w:rsidRDefault="00FC3270" w:rsidP="00541FBB">
      <w:pPr>
        <w:pStyle w:val="Marge"/>
        <w:numPr>
          <w:ilvl w:val="0"/>
          <w:numId w:val="14"/>
        </w:numPr>
        <w:spacing w:after="120"/>
        <w:ind w:left="567" w:hanging="567"/>
      </w:pPr>
      <w:r>
        <w:t>Pendant la période considérée, le Comité s</w:t>
      </w:r>
      <w:r w:rsidR="00B35393">
        <w:t>’</w:t>
      </w:r>
      <w:r>
        <w:t>est réuni deux fois : à Addis-Abeba, en Éthiopie, du 28 novembre au 4 décembre 2016 pour sa onzième session (11.COM), et sur l</w:t>
      </w:r>
      <w:r w:rsidR="00B35393">
        <w:t>’</w:t>
      </w:r>
      <w:r>
        <w:t xml:space="preserve">île de </w:t>
      </w:r>
      <w:proofErr w:type="spellStart"/>
      <w:r>
        <w:t>Jeju</w:t>
      </w:r>
      <w:proofErr w:type="spellEnd"/>
      <w:r>
        <w:t xml:space="preserve">, en République de Corée, </w:t>
      </w:r>
      <w:r w:rsidRPr="00345F73">
        <w:t xml:space="preserve">du </w:t>
      </w:r>
      <w:r w:rsidRPr="001257F2">
        <w:t>4 au 9 décembre 2017</w:t>
      </w:r>
      <w:r w:rsidRPr="00345F73">
        <w:t xml:space="preserve"> pour sa</w:t>
      </w:r>
      <w:r>
        <w:t xml:space="preserve"> douzième session (12.COM).</w:t>
      </w:r>
    </w:p>
    <w:p w14:paraId="2EF4C8AE" w14:textId="039CAE17" w:rsidR="00241AD0" w:rsidRPr="00AE18A1" w:rsidRDefault="00241AD0" w:rsidP="00B35393">
      <w:pPr>
        <w:pStyle w:val="Marge"/>
        <w:numPr>
          <w:ilvl w:val="0"/>
          <w:numId w:val="14"/>
        </w:numPr>
        <w:spacing w:after="120"/>
        <w:ind w:left="567" w:hanging="567"/>
      </w:pPr>
      <w:r>
        <w:t>Le Bureau de la onzième session du Comité a été élu lors de sa dixième session en décembre 2015 à Windhoek, en Namibie, et était composé de : M. </w:t>
      </w:r>
      <w:proofErr w:type="spellStart"/>
      <w:r>
        <w:t>Yonas</w:t>
      </w:r>
      <w:proofErr w:type="spellEnd"/>
      <w:r>
        <w:t xml:space="preserve"> Desta </w:t>
      </w:r>
      <w:proofErr w:type="spellStart"/>
      <w:r>
        <w:t>Tsegaye</w:t>
      </w:r>
      <w:proofErr w:type="spellEnd"/>
      <w:r>
        <w:t xml:space="preserve"> (Éthiopie) comme </w:t>
      </w:r>
      <w:r w:rsidR="00B35393">
        <w:t>Président </w:t>
      </w:r>
      <w:r>
        <w:t>; de la Turquie, de la Bulgarie, de Sainte-Lucie, de la République de Corée et de l</w:t>
      </w:r>
      <w:r w:rsidR="00B35393">
        <w:t>’</w:t>
      </w:r>
      <w:r>
        <w:t xml:space="preserve">Algérie comme </w:t>
      </w:r>
      <w:r w:rsidR="00B35393">
        <w:t>Vice</w:t>
      </w:r>
      <w:r>
        <w:t>-</w:t>
      </w:r>
      <w:r w:rsidR="00B35393">
        <w:t>Présidents </w:t>
      </w:r>
      <w:r>
        <w:t xml:space="preserve">; et de M. Murat </w:t>
      </w:r>
      <w:proofErr w:type="spellStart"/>
      <w:r>
        <w:t>Soğangöz</w:t>
      </w:r>
      <w:proofErr w:type="spellEnd"/>
      <w:r>
        <w:t xml:space="preserve"> (Turquie) comme </w:t>
      </w:r>
      <w:r w:rsidR="00B35393">
        <w:t>Rapporteur</w:t>
      </w:r>
      <w:r>
        <w:t>.</w:t>
      </w:r>
    </w:p>
    <w:p w14:paraId="7FC37919" w14:textId="130BE559" w:rsidR="00241AD0" w:rsidRPr="00AE18A1" w:rsidRDefault="00241AD0" w:rsidP="00B35393">
      <w:pPr>
        <w:pStyle w:val="Marge"/>
        <w:numPr>
          <w:ilvl w:val="0"/>
          <w:numId w:val="14"/>
        </w:numPr>
        <w:spacing w:after="120"/>
        <w:ind w:left="567" w:hanging="567"/>
      </w:pPr>
      <w:r>
        <w:t xml:space="preserve">Le Bureau de la douzième session </w:t>
      </w:r>
      <w:r w:rsidR="00B35393">
        <w:t xml:space="preserve">du Comité </w:t>
      </w:r>
      <w:r>
        <w:t xml:space="preserve">a été élu </w:t>
      </w:r>
      <w:r w:rsidR="00130C5D">
        <w:t>lors de sa</w:t>
      </w:r>
      <w:r>
        <w:t xml:space="preserve"> onzième session en décembre 2016 à Addis-Abeba, en Éthiopie, et était composé de : S.Exc. M. Byong-hyun Lee (République de Corée) comme </w:t>
      </w:r>
      <w:r w:rsidR="00B35393">
        <w:t>Président </w:t>
      </w:r>
      <w:r>
        <w:t>; de la Turquie, de la Bulgarie, de la Colombie, de la Côte d</w:t>
      </w:r>
      <w:r w:rsidR="00B35393">
        <w:t>’</w:t>
      </w:r>
      <w:r>
        <w:t xml:space="preserve">Ivoire et de la Palestine comme </w:t>
      </w:r>
      <w:r w:rsidR="00B35393">
        <w:t>Vice</w:t>
      </w:r>
      <w:r>
        <w:t>-</w:t>
      </w:r>
      <w:r w:rsidR="00B35393">
        <w:t>Présidents </w:t>
      </w:r>
      <w:r>
        <w:t>; et de M. </w:t>
      </w:r>
      <w:proofErr w:type="spellStart"/>
      <w:r>
        <w:t>Gábor</w:t>
      </w:r>
      <w:proofErr w:type="spellEnd"/>
      <w:r>
        <w:t xml:space="preserve"> </w:t>
      </w:r>
      <w:proofErr w:type="spellStart"/>
      <w:r>
        <w:t>Soós</w:t>
      </w:r>
      <w:proofErr w:type="spellEnd"/>
      <w:r>
        <w:t xml:space="preserve"> (Hongrie) comme </w:t>
      </w:r>
      <w:r w:rsidR="00B35393">
        <w:t>Rapporteur</w:t>
      </w:r>
      <w:r>
        <w:t>.</w:t>
      </w:r>
    </w:p>
    <w:p w14:paraId="0909B5A3" w14:textId="6B5F285A" w:rsidR="00AD0FD6" w:rsidRPr="00AE18A1" w:rsidRDefault="00AD0FD6" w:rsidP="00B35393">
      <w:pPr>
        <w:pStyle w:val="Marge"/>
        <w:numPr>
          <w:ilvl w:val="0"/>
          <w:numId w:val="14"/>
        </w:numPr>
        <w:spacing w:after="120"/>
        <w:ind w:left="567" w:hanging="567"/>
        <w:rPr>
          <w:highlight w:val="yellow"/>
        </w:rPr>
      </w:pPr>
      <w:r>
        <w:t>Le Bureau de la treizième session du Comité a été élu à la fin de sa douzième session en décembre 2017 sur l</w:t>
      </w:r>
      <w:r w:rsidR="00B35393">
        <w:t>’</w:t>
      </w:r>
      <w:r>
        <w:t xml:space="preserve">île de </w:t>
      </w:r>
      <w:proofErr w:type="spellStart"/>
      <w:r>
        <w:t>Jeju</w:t>
      </w:r>
      <w:proofErr w:type="spellEnd"/>
      <w:r>
        <w:t>, en République de Corée, et se compose de…</w:t>
      </w:r>
      <w:r>
        <w:br/>
      </w:r>
      <w:r>
        <w:rPr>
          <w:i/>
          <w:highlight w:val="yellow"/>
        </w:rPr>
        <w:t>[à mettre à jour]</w:t>
      </w:r>
    </w:p>
    <w:p w14:paraId="5489E3F0" w14:textId="3F350CE8" w:rsidR="00AD0FD6" w:rsidRPr="001257F2" w:rsidRDefault="00AD0FD6" w:rsidP="00AD0FD6">
      <w:pPr>
        <w:pStyle w:val="Marge"/>
        <w:numPr>
          <w:ilvl w:val="0"/>
          <w:numId w:val="14"/>
        </w:numPr>
        <w:spacing w:after="120"/>
        <w:ind w:left="567" w:hanging="567"/>
        <w:rPr>
          <w:i/>
        </w:rPr>
      </w:pPr>
      <w:r>
        <w:t>Le Bureau s</w:t>
      </w:r>
      <w:r w:rsidR="00B35393">
        <w:t>’</w:t>
      </w:r>
      <w:r>
        <w:t xml:space="preserve">est réuni </w:t>
      </w:r>
      <w:r w:rsidR="00130C5D">
        <w:t>quotidiennement</w:t>
      </w:r>
      <w:r>
        <w:t xml:space="preserve"> durant les sessions du Comité. Pendant la période considérée, il s</w:t>
      </w:r>
      <w:r w:rsidR="00B35393">
        <w:t>’</w:t>
      </w:r>
      <w:r>
        <w:t xml:space="preserve">est également réuni </w:t>
      </w:r>
      <w:r>
        <w:rPr>
          <w:highlight w:val="yellow"/>
        </w:rPr>
        <w:t>quatre fois</w:t>
      </w:r>
      <w:r>
        <w:t xml:space="preserve"> au siège de l</w:t>
      </w:r>
      <w:r w:rsidR="00B35393">
        <w:t>’</w:t>
      </w:r>
      <w:r>
        <w:t xml:space="preserve">UNESCO : le 2 juin 2016 (11.COM 2.BUR), le 20 octobre 2016 (11.COM 3.BUR), le 24 mai 2017 (12.COM 2.BUR) et le </w:t>
      </w:r>
      <w:r w:rsidR="00130C5D" w:rsidRPr="001257F2">
        <w:rPr>
          <w:szCs w:val="22"/>
        </w:rPr>
        <w:t>3</w:t>
      </w:r>
      <w:r w:rsidRPr="001257F2">
        <w:rPr>
          <w:szCs w:val="22"/>
        </w:rPr>
        <w:t> octobre 2017 (12.COM 4.BUR)</w:t>
      </w:r>
      <w:r w:rsidRPr="001257F2">
        <w:t>.</w:t>
      </w:r>
      <w:r w:rsidRPr="00345F73">
        <w:t xml:space="preserve"> Des consultations</w:t>
      </w:r>
      <w:r>
        <w:t xml:space="preserve"> par voie électronique ont également eu lieu en avril 2016 (11.COM 1.BUR), en juin 2016 (11.COM 2.BUR), de février à mars 2017 (12.COM 1.BUR), de mai à juin 2017 (12.COM 2.BUR) et </w:t>
      </w:r>
      <w:r w:rsidR="00130C5D">
        <w:t>d</w:t>
      </w:r>
      <w:r w:rsidR="00B35393">
        <w:t>’</w:t>
      </w:r>
      <w:r w:rsidR="00130C5D">
        <w:t xml:space="preserve">août à </w:t>
      </w:r>
      <w:r w:rsidR="00130C5D" w:rsidRPr="00345F73">
        <w:t>septembre</w:t>
      </w:r>
      <w:r w:rsidR="008C120E" w:rsidRPr="00345F73">
        <w:t xml:space="preserve"> </w:t>
      </w:r>
      <w:r w:rsidRPr="001257F2">
        <w:rPr>
          <w:szCs w:val="22"/>
        </w:rPr>
        <w:t>2017 (12.COM 3.BUR)</w:t>
      </w:r>
      <w:r w:rsidRPr="001257F2">
        <w:rPr>
          <w:i/>
        </w:rPr>
        <w:t>.</w:t>
      </w:r>
      <w:r w:rsidR="00A57C0A" w:rsidRPr="00A57C0A">
        <w:rPr>
          <w:i/>
          <w:highlight w:val="yellow"/>
        </w:rPr>
        <w:t xml:space="preserve"> </w:t>
      </w:r>
      <w:r w:rsidR="00A57C0A">
        <w:rPr>
          <w:i/>
          <w:highlight w:val="yellow"/>
        </w:rPr>
        <w:t>[</w:t>
      </w:r>
      <w:proofErr w:type="gramStart"/>
      <w:r w:rsidR="00A57C0A">
        <w:rPr>
          <w:i/>
          <w:highlight w:val="yellow"/>
        </w:rPr>
        <w:t>à</w:t>
      </w:r>
      <w:proofErr w:type="gramEnd"/>
      <w:r w:rsidR="00A57C0A">
        <w:rPr>
          <w:i/>
          <w:highlight w:val="yellow"/>
        </w:rPr>
        <w:t xml:space="preserve"> mettre à jour]</w:t>
      </w:r>
    </w:p>
    <w:p w14:paraId="48FA5118" w14:textId="4BAA9BAE" w:rsidR="00AD0FD6" w:rsidRPr="00AE18A1" w:rsidRDefault="00AD0FD6" w:rsidP="00B35393">
      <w:pPr>
        <w:pStyle w:val="Marge"/>
        <w:numPr>
          <w:ilvl w:val="0"/>
          <w:numId w:val="14"/>
        </w:numPr>
        <w:spacing w:after="120"/>
        <w:ind w:left="567" w:hanging="567"/>
        <w:rPr>
          <w:highlight w:val="yellow"/>
        </w:rPr>
      </w:pPr>
      <w:r>
        <w:t xml:space="preserve">Pendant la période </w:t>
      </w:r>
      <w:r w:rsidR="00B35393">
        <w:t>’</w:t>
      </w:r>
      <w:r w:rsidR="00130C5D">
        <w:t>considérée</w:t>
      </w:r>
      <w:r>
        <w:t xml:space="preserve">, le Comité et son Bureau ont examiné un total de </w:t>
      </w:r>
      <w:r>
        <w:rPr>
          <w:szCs w:val="22"/>
          <w:highlight w:val="yellow"/>
        </w:rPr>
        <w:t>quarante-six</w:t>
      </w:r>
      <w:r>
        <w:t xml:space="preserve"> points inscrits à leur ordre du jour, accompagnés de </w:t>
      </w:r>
      <w:r>
        <w:rPr>
          <w:szCs w:val="22"/>
          <w:highlight w:val="yellow"/>
        </w:rPr>
        <w:t>quarante-trois</w:t>
      </w:r>
      <w:r>
        <w:t xml:space="preserve"> documents de travail ou d</w:t>
      </w:r>
      <w:r w:rsidR="00B35393">
        <w:t>’</w:t>
      </w:r>
      <w:r>
        <w:t xml:space="preserve">information et de </w:t>
      </w:r>
      <w:r>
        <w:rPr>
          <w:szCs w:val="22"/>
          <w:highlight w:val="yellow"/>
        </w:rPr>
        <w:t>XXX</w:t>
      </w:r>
      <w:r>
        <w:t xml:space="preserve"> candidatures, demandes d</w:t>
      </w:r>
      <w:r w:rsidR="00B35393">
        <w:t>’</w:t>
      </w:r>
      <w:r>
        <w:t>assistance internationale, rapports soumis par des États parties ou demandes d</w:t>
      </w:r>
      <w:r w:rsidR="00B35393">
        <w:t>’</w:t>
      </w:r>
      <w:r>
        <w:t>accréditation d</w:t>
      </w:r>
      <w:r w:rsidR="00B35393">
        <w:t>’</w:t>
      </w:r>
      <w:r>
        <w:t>organisations non gouvernementales.</w:t>
      </w:r>
      <w:r>
        <w:rPr>
          <w:i/>
          <w:highlight w:val="yellow"/>
        </w:rPr>
        <w:t xml:space="preserve"> [</w:t>
      </w:r>
      <w:proofErr w:type="gramStart"/>
      <w:r>
        <w:rPr>
          <w:i/>
          <w:highlight w:val="yellow"/>
        </w:rPr>
        <w:t>à</w:t>
      </w:r>
      <w:proofErr w:type="gramEnd"/>
      <w:r>
        <w:rPr>
          <w:i/>
          <w:highlight w:val="yellow"/>
        </w:rPr>
        <w:t xml:space="preserve"> mettre à jour]</w:t>
      </w:r>
    </w:p>
    <w:p w14:paraId="4605D691" w14:textId="44615243" w:rsidR="00C233DD" w:rsidRPr="00AE18A1" w:rsidRDefault="00C233DD" w:rsidP="00AB5684">
      <w:pPr>
        <w:keepNext/>
        <w:numPr>
          <w:ilvl w:val="0"/>
          <w:numId w:val="15"/>
        </w:numPr>
        <w:spacing w:before="360" w:after="240"/>
        <w:ind w:left="567" w:hanging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Promouvoir les objectifs de la Convention, encourager et assurer le suivi de sa mise en œuvre, et donner des </w:t>
      </w:r>
      <w:r w:rsidR="008C120E">
        <w:rPr>
          <w:rFonts w:ascii="Arial" w:hAnsi="Arial"/>
          <w:b/>
          <w:sz w:val="22"/>
          <w:szCs w:val="22"/>
        </w:rPr>
        <w:t xml:space="preserve">orientations </w:t>
      </w:r>
      <w:r>
        <w:rPr>
          <w:rFonts w:ascii="Arial" w:hAnsi="Arial"/>
          <w:b/>
          <w:sz w:val="22"/>
          <w:szCs w:val="22"/>
        </w:rPr>
        <w:t xml:space="preserve">sur les mesures de sauvegarde et les bonnes </w:t>
      </w:r>
      <w:proofErr w:type="gramStart"/>
      <w:r>
        <w:rPr>
          <w:rFonts w:ascii="Arial" w:hAnsi="Arial"/>
          <w:b/>
          <w:sz w:val="22"/>
          <w:szCs w:val="22"/>
        </w:rPr>
        <w:t>pratiques</w:t>
      </w:r>
      <w:r>
        <w:rPr>
          <w:rFonts w:ascii="Arial" w:hAnsi="Arial"/>
          <w:sz w:val="22"/>
          <w:szCs w:val="22"/>
        </w:rPr>
        <w:t>(</w:t>
      </w:r>
      <w:proofErr w:type="gramEnd"/>
      <w:r>
        <w:rPr>
          <w:rFonts w:ascii="Arial" w:hAnsi="Arial"/>
          <w:sz w:val="22"/>
          <w:szCs w:val="22"/>
        </w:rPr>
        <w:t>article 7[a] et 7[b])</w:t>
      </w:r>
    </w:p>
    <w:p w14:paraId="69055223" w14:textId="77777777" w:rsidR="00C233DD" w:rsidRPr="00AE18A1" w:rsidRDefault="00C233DD" w:rsidP="00C233DD">
      <w:pPr>
        <w:pStyle w:val="ListParagraph"/>
        <w:keepNext/>
        <w:numPr>
          <w:ilvl w:val="0"/>
          <w:numId w:val="17"/>
        </w:numPr>
        <w:spacing w:before="240" w:after="120"/>
        <w:ind w:left="567" w:hanging="567"/>
        <w:rPr>
          <w:rFonts w:cs="Arial"/>
          <w:b/>
          <w:szCs w:val="22"/>
        </w:rPr>
      </w:pPr>
      <w:r>
        <w:rPr>
          <w:rFonts w:ascii="Arial" w:hAnsi="Arial"/>
          <w:b/>
          <w:sz w:val="22"/>
          <w:szCs w:val="22"/>
        </w:rPr>
        <w:t>Ratification</w:t>
      </w:r>
    </w:p>
    <w:p w14:paraId="0C2D0446" w14:textId="73494E71" w:rsidR="00C233DD" w:rsidRPr="00AE18A1" w:rsidRDefault="00345F73" w:rsidP="00B35393">
      <w:pPr>
        <w:pStyle w:val="Marge"/>
        <w:numPr>
          <w:ilvl w:val="0"/>
          <w:numId w:val="14"/>
        </w:numPr>
        <w:spacing w:after="120"/>
        <w:ind w:left="567" w:hanging="567"/>
        <w:rPr>
          <w:highlight w:val="yellow"/>
        </w:rPr>
      </w:pPr>
      <w:r>
        <w:rPr>
          <w:szCs w:val="22"/>
          <w:highlight w:val="yellow"/>
        </w:rPr>
        <w:t>Onze</w:t>
      </w:r>
      <w:r w:rsidR="0030731E">
        <w:rPr>
          <w:szCs w:val="22"/>
          <w:highlight w:val="yellow"/>
        </w:rPr>
        <w:t xml:space="preserve"> États </w:t>
      </w:r>
      <w:r w:rsidR="0030731E">
        <w:t>(</w:t>
      </w:r>
      <w:r w:rsidR="0030731E">
        <w:rPr>
          <w:szCs w:val="22"/>
          <w:highlight w:val="yellow"/>
        </w:rPr>
        <w:t>Cabo Verde, Îles Cook, Ghana, Guinée-Bissau, Malte, Saint-Kitts</w:t>
      </w:r>
      <w:r w:rsidR="00FA65E9">
        <w:rPr>
          <w:szCs w:val="22"/>
          <w:highlight w:val="yellow"/>
        </w:rPr>
        <w:t>-</w:t>
      </w:r>
      <w:r w:rsidR="0030731E">
        <w:rPr>
          <w:szCs w:val="22"/>
          <w:highlight w:val="yellow"/>
        </w:rPr>
        <w:t>et-Nevis, Soudan du Sud,</w:t>
      </w:r>
      <w:r w:rsidR="00EE3A9B">
        <w:rPr>
          <w:szCs w:val="22"/>
          <w:highlight w:val="yellow"/>
        </w:rPr>
        <w:t xml:space="preserve"> Suriname</w:t>
      </w:r>
      <w:r w:rsidR="00B35393">
        <w:rPr>
          <w:szCs w:val="22"/>
          <w:highlight w:val="yellow"/>
        </w:rPr>
        <w:t>,</w:t>
      </w:r>
      <w:r w:rsidR="0030731E">
        <w:rPr>
          <w:szCs w:val="22"/>
          <w:highlight w:val="yellow"/>
        </w:rPr>
        <w:t xml:space="preserve"> Thaïlande, Timor-Leste et Tuvalu</w:t>
      </w:r>
      <w:r w:rsidR="0030731E">
        <w:t>) ont ratifié la Convention entre janvier 2016 et décembre 2017. À la fin de l</w:t>
      </w:r>
      <w:r w:rsidR="00B35393">
        <w:t>’</w:t>
      </w:r>
      <w:r w:rsidR="0030731E">
        <w:t xml:space="preserve">année 2017, </w:t>
      </w:r>
      <w:r w:rsidR="0030731E">
        <w:rPr>
          <w:szCs w:val="22"/>
          <w:highlight w:val="yellow"/>
        </w:rPr>
        <w:t>17</w:t>
      </w:r>
      <w:r w:rsidR="00EE3A9B">
        <w:rPr>
          <w:szCs w:val="22"/>
          <w:highlight w:val="yellow"/>
        </w:rPr>
        <w:t>5</w:t>
      </w:r>
      <w:r w:rsidR="0030731E">
        <w:t xml:space="preserve"> États étaient </w:t>
      </w:r>
      <w:proofErr w:type="gramStart"/>
      <w:r w:rsidR="0030731E">
        <w:t>parties</w:t>
      </w:r>
      <w:proofErr w:type="gramEnd"/>
      <w:r w:rsidR="0030731E">
        <w:t xml:space="preserve"> à la Convention. </w:t>
      </w:r>
      <w:r w:rsidR="0030731E">
        <w:rPr>
          <w:i/>
          <w:highlight w:val="yellow"/>
        </w:rPr>
        <w:t>[</w:t>
      </w:r>
      <w:proofErr w:type="gramStart"/>
      <w:r w:rsidR="0030731E">
        <w:rPr>
          <w:i/>
          <w:highlight w:val="yellow"/>
        </w:rPr>
        <w:t>à</w:t>
      </w:r>
      <w:proofErr w:type="gramEnd"/>
      <w:r w:rsidR="0030731E">
        <w:rPr>
          <w:i/>
          <w:highlight w:val="yellow"/>
        </w:rPr>
        <w:t xml:space="preserve"> mettre à jour]</w:t>
      </w:r>
    </w:p>
    <w:p w14:paraId="12D92568" w14:textId="5E5330DF" w:rsidR="00AA5D90" w:rsidRDefault="00AA5D90" w:rsidP="00B74443">
      <w:pPr>
        <w:pStyle w:val="ListParagraph"/>
        <w:keepNext/>
        <w:numPr>
          <w:ilvl w:val="0"/>
          <w:numId w:val="17"/>
        </w:numPr>
        <w:spacing w:before="240" w:after="120"/>
        <w:ind w:left="567" w:hanging="567"/>
        <w:contextualSpacing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lastRenderedPageBreak/>
        <w:t>Bonne gouvernance facilitée par l</w:t>
      </w:r>
      <w:r w:rsidR="00B35393">
        <w:rPr>
          <w:rFonts w:ascii="Arial" w:hAnsi="Arial"/>
          <w:b/>
          <w:sz w:val="22"/>
          <w:szCs w:val="22"/>
        </w:rPr>
        <w:t>’</w:t>
      </w:r>
      <w:r>
        <w:rPr>
          <w:rFonts w:ascii="Arial" w:hAnsi="Arial"/>
          <w:b/>
          <w:sz w:val="22"/>
          <w:szCs w:val="22"/>
        </w:rPr>
        <w:t>amélioration des services de gestion des connaissances</w:t>
      </w:r>
    </w:p>
    <w:p w14:paraId="0E798691" w14:textId="57CD063B" w:rsidR="003B26A8" w:rsidRDefault="00F7100C" w:rsidP="003F21E6">
      <w:pPr>
        <w:pStyle w:val="ListParagraph"/>
        <w:numPr>
          <w:ilvl w:val="0"/>
          <w:numId w:val="14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Le Comité </w:t>
      </w:r>
      <w:r w:rsidR="00B35393">
        <w:rPr>
          <w:rFonts w:ascii="Arial" w:hAnsi="Arial"/>
          <w:sz w:val="22"/>
          <w:szCs w:val="22"/>
        </w:rPr>
        <w:t>reste attaché à</w:t>
      </w:r>
      <w:r>
        <w:rPr>
          <w:rFonts w:ascii="Arial" w:hAnsi="Arial"/>
          <w:sz w:val="22"/>
          <w:szCs w:val="22"/>
        </w:rPr>
        <w:t xml:space="preserve"> la bonne gouvernance de la Convention et </w:t>
      </w:r>
      <w:r w:rsidR="00B35393">
        <w:rPr>
          <w:rFonts w:ascii="Arial" w:hAnsi="Arial"/>
          <w:sz w:val="22"/>
          <w:szCs w:val="22"/>
        </w:rPr>
        <w:t xml:space="preserve">aux </w:t>
      </w:r>
      <w:r>
        <w:rPr>
          <w:rFonts w:ascii="Arial" w:hAnsi="Arial"/>
          <w:sz w:val="22"/>
          <w:szCs w:val="22"/>
        </w:rPr>
        <w:t xml:space="preserve">éventuelles améliorations à apporter </w:t>
      </w:r>
      <w:r w:rsidR="00B35393">
        <w:rPr>
          <w:rFonts w:ascii="Arial" w:hAnsi="Arial"/>
          <w:sz w:val="22"/>
          <w:szCs w:val="22"/>
        </w:rPr>
        <w:t>à cette fin</w:t>
      </w:r>
      <w:r>
        <w:rPr>
          <w:rFonts w:ascii="Arial" w:hAnsi="Arial"/>
          <w:sz w:val="22"/>
          <w:szCs w:val="22"/>
        </w:rPr>
        <w:t xml:space="preserve">. </w:t>
      </w:r>
      <w:r w:rsidR="00B35393">
        <w:rPr>
          <w:rFonts w:ascii="Arial" w:hAnsi="Arial"/>
          <w:sz w:val="22"/>
          <w:szCs w:val="22"/>
        </w:rPr>
        <w:t>Conformément aux</w:t>
      </w:r>
      <w:r>
        <w:rPr>
          <w:rFonts w:ascii="Arial" w:hAnsi="Arial"/>
          <w:sz w:val="22"/>
          <w:szCs w:val="22"/>
        </w:rPr>
        <w:t xml:space="preserve"> efforts </w:t>
      </w:r>
      <w:r w:rsidR="00B35393">
        <w:rPr>
          <w:rFonts w:ascii="Arial" w:hAnsi="Arial"/>
          <w:sz w:val="22"/>
          <w:szCs w:val="22"/>
        </w:rPr>
        <w:t>déployés pour</w:t>
      </w:r>
      <w:r>
        <w:rPr>
          <w:rFonts w:ascii="Arial" w:hAnsi="Arial"/>
          <w:sz w:val="22"/>
          <w:szCs w:val="22"/>
        </w:rPr>
        <w:t xml:space="preserve"> améliorer la gouvernance de l</w:t>
      </w:r>
      <w:r w:rsidR="00B35393"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UNESCO et de</w:t>
      </w:r>
      <w:r w:rsidR="00EE3A9B">
        <w:rPr>
          <w:rFonts w:ascii="Arial" w:hAnsi="Arial"/>
          <w:sz w:val="22"/>
          <w:szCs w:val="22"/>
        </w:rPr>
        <w:t xml:space="preserve"> ses</w:t>
      </w:r>
      <w:r>
        <w:rPr>
          <w:rFonts w:ascii="Arial" w:hAnsi="Arial"/>
          <w:sz w:val="22"/>
          <w:szCs w:val="22"/>
        </w:rPr>
        <w:t xml:space="preserve"> fonds, programmes et entités rattachés, et pour répondre à l</w:t>
      </w:r>
      <w:r w:rsidR="00B35393"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invitation de la Conférence générale (38 C/résolution 101), le Comité intergouvernemental</w:t>
      </w:r>
      <w:r w:rsidR="00B35393" w:rsidRPr="00B35393">
        <w:rPr>
          <w:rFonts w:ascii="Arial" w:hAnsi="Arial"/>
          <w:sz w:val="22"/>
          <w:szCs w:val="22"/>
        </w:rPr>
        <w:t xml:space="preserve"> </w:t>
      </w:r>
      <w:r w:rsidR="00B35393">
        <w:rPr>
          <w:rFonts w:ascii="Arial" w:hAnsi="Arial"/>
          <w:sz w:val="22"/>
          <w:szCs w:val="22"/>
        </w:rPr>
        <w:t>a examiné</w:t>
      </w:r>
      <w:r>
        <w:rPr>
          <w:rFonts w:ascii="Arial" w:hAnsi="Arial"/>
          <w:sz w:val="22"/>
          <w:szCs w:val="22"/>
        </w:rPr>
        <w:t xml:space="preserve"> à sa onzième session, un point relatif au suivi des recommandations du rapport du Commissaire aux comptes qui figure dans le document 38 C/23 de la Conférence générale. </w:t>
      </w:r>
      <w:r w:rsidR="006B6DF9">
        <w:rPr>
          <w:rFonts w:ascii="Arial" w:hAnsi="Arial"/>
          <w:sz w:val="22"/>
          <w:szCs w:val="22"/>
        </w:rPr>
        <w:t xml:space="preserve">Le Comité </w:t>
      </w:r>
      <w:r>
        <w:rPr>
          <w:rFonts w:ascii="Arial" w:hAnsi="Arial"/>
          <w:sz w:val="22"/>
          <w:szCs w:val="22"/>
        </w:rPr>
        <w:t xml:space="preserve">a notamment examiné les mesures </w:t>
      </w:r>
      <w:r w:rsidR="00B35393">
        <w:rPr>
          <w:rFonts w:ascii="Arial" w:hAnsi="Arial"/>
          <w:sz w:val="22"/>
          <w:szCs w:val="22"/>
        </w:rPr>
        <w:t>déjà</w:t>
      </w:r>
      <w:r>
        <w:rPr>
          <w:rFonts w:ascii="Arial" w:hAnsi="Arial"/>
          <w:sz w:val="22"/>
          <w:szCs w:val="22"/>
        </w:rPr>
        <w:t xml:space="preserve"> prises et celles qui sont </w:t>
      </w:r>
      <w:r w:rsidR="00B35393">
        <w:rPr>
          <w:rFonts w:ascii="Arial" w:hAnsi="Arial"/>
          <w:sz w:val="22"/>
          <w:szCs w:val="22"/>
        </w:rPr>
        <w:t xml:space="preserve">prévues </w:t>
      </w:r>
      <w:r>
        <w:rPr>
          <w:rFonts w:ascii="Arial" w:hAnsi="Arial"/>
          <w:sz w:val="22"/>
          <w:szCs w:val="22"/>
        </w:rPr>
        <w:t xml:space="preserve">pour améliorer la gouvernance de la Convention. Conformément à sa </w:t>
      </w:r>
      <w:hyperlink r:id="rId13" w:history="1">
        <w:r w:rsidRPr="00345F73">
          <w:rPr>
            <w:rStyle w:val="Hyperlink"/>
            <w:rFonts w:ascii="Arial" w:hAnsi="Arial"/>
            <w:sz w:val="22"/>
            <w:szCs w:val="22"/>
          </w:rPr>
          <w:t>décision</w:t>
        </w:r>
        <w:r w:rsidR="00AB5684" w:rsidRPr="00345F73">
          <w:rPr>
            <w:rStyle w:val="Hyperlink"/>
            <w:rFonts w:ascii="Arial" w:hAnsi="Arial"/>
            <w:sz w:val="22"/>
            <w:szCs w:val="22"/>
          </w:rPr>
          <w:t> </w:t>
        </w:r>
        <w:r w:rsidRPr="00345F73">
          <w:rPr>
            <w:rStyle w:val="Hyperlink"/>
            <w:rFonts w:ascii="Arial" w:hAnsi="Arial"/>
            <w:sz w:val="22"/>
            <w:szCs w:val="22"/>
          </w:rPr>
          <w:t>1</w:t>
        </w:r>
        <w:r w:rsidRPr="00345F73">
          <w:rPr>
            <w:rStyle w:val="Hyperlink"/>
            <w:rFonts w:ascii="Arial" w:hAnsi="Arial"/>
            <w:sz w:val="22"/>
            <w:szCs w:val="22"/>
          </w:rPr>
          <w:t>1.COM 7</w:t>
        </w:r>
      </w:hyperlink>
      <w:r>
        <w:rPr>
          <w:rFonts w:ascii="Arial" w:hAnsi="Arial"/>
          <w:sz w:val="22"/>
          <w:szCs w:val="22"/>
        </w:rPr>
        <w:t xml:space="preserve">, le Comité a transmis au </w:t>
      </w:r>
      <w:r w:rsidR="00B35393">
        <w:rPr>
          <w:rFonts w:ascii="Arial" w:hAnsi="Arial"/>
          <w:sz w:val="22"/>
          <w:szCs w:val="22"/>
        </w:rPr>
        <w:t xml:space="preserve">Président </w:t>
      </w:r>
      <w:r>
        <w:rPr>
          <w:rFonts w:ascii="Arial" w:hAnsi="Arial"/>
          <w:sz w:val="22"/>
          <w:szCs w:val="22"/>
        </w:rPr>
        <w:t xml:space="preserve">du groupe de travail à composition non limitée sur la gouvernance un rapport sur </w:t>
      </w:r>
      <w:r w:rsidR="00B35393">
        <w:rPr>
          <w:rFonts w:ascii="Arial" w:hAnsi="Arial"/>
          <w:sz w:val="22"/>
          <w:szCs w:val="22"/>
        </w:rPr>
        <w:t>l’état d’avancement</w:t>
      </w:r>
      <w:r>
        <w:rPr>
          <w:rFonts w:ascii="Arial" w:hAnsi="Arial"/>
          <w:sz w:val="22"/>
          <w:szCs w:val="22"/>
        </w:rPr>
        <w:t xml:space="preserve"> des réformes et des </w:t>
      </w:r>
      <w:r w:rsidR="00E329FC">
        <w:rPr>
          <w:rFonts w:ascii="Arial" w:hAnsi="Arial"/>
          <w:sz w:val="22"/>
          <w:szCs w:val="22"/>
        </w:rPr>
        <w:t>actions</w:t>
      </w:r>
      <w:r w:rsidR="00B35393">
        <w:rPr>
          <w:rFonts w:ascii="Arial" w:hAnsi="Arial"/>
          <w:sz w:val="22"/>
          <w:szCs w:val="22"/>
        </w:rPr>
        <w:t xml:space="preserve"> envisagées</w:t>
      </w:r>
      <w:r>
        <w:rPr>
          <w:rFonts w:ascii="Arial" w:hAnsi="Arial"/>
          <w:sz w:val="22"/>
          <w:szCs w:val="22"/>
        </w:rPr>
        <w:t xml:space="preserve"> ou en cours (</w:t>
      </w:r>
      <w:r w:rsidR="00B35393">
        <w:rPr>
          <w:rFonts w:ascii="Arial" w:hAnsi="Arial"/>
          <w:sz w:val="22"/>
          <w:szCs w:val="22"/>
        </w:rPr>
        <w:t xml:space="preserve">figurant dans les </w:t>
      </w:r>
      <w:r>
        <w:rPr>
          <w:rFonts w:ascii="Arial" w:hAnsi="Arial"/>
          <w:sz w:val="22"/>
          <w:szCs w:val="22"/>
        </w:rPr>
        <w:t>annexe</w:t>
      </w:r>
      <w:r w:rsidR="00B35393">
        <w:rPr>
          <w:rFonts w:ascii="Arial" w:hAnsi="Arial"/>
          <w:sz w:val="22"/>
          <w:szCs w:val="22"/>
        </w:rPr>
        <w:t>s</w:t>
      </w:r>
      <w:r>
        <w:rPr>
          <w:rFonts w:ascii="Arial" w:hAnsi="Arial"/>
          <w:sz w:val="22"/>
          <w:szCs w:val="22"/>
        </w:rPr>
        <w:t xml:space="preserve"> des documents </w:t>
      </w:r>
      <w:hyperlink r:id="rId14" w:history="1">
        <w:r w:rsidRPr="00345F73">
          <w:rPr>
            <w:rStyle w:val="Hyperlink"/>
            <w:rFonts w:ascii="Arial" w:hAnsi="Arial"/>
            <w:sz w:val="22"/>
            <w:szCs w:val="22"/>
          </w:rPr>
          <w:t>ITH</w:t>
        </w:r>
        <w:r w:rsidRPr="00345F73">
          <w:rPr>
            <w:rStyle w:val="Hyperlink"/>
            <w:rFonts w:ascii="Arial" w:hAnsi="Arial"/>
            <w:sz w:val="22"/>
            <w:szCs w:val="22"/>
          </w:rPr>
          <w:t>/</w:t>
        </w:r>
        <w:r w:rsidRPr="00345F73">
          <w:rPr>
            <w:rStyle w:val="Hyperlink"/>
            <w:rFonts w:ascii="Arial" w:hAnsi="Arial"/>
            <w:sz w:val="22"/>
            <w:szCs w:val="22"/>
          </w:rPr>
          <w:t>16/11.COM/7</w:t>
        </w:r>
      </w:hyperlink>
      <w:r>
        <w:rPr>
          <w:rFonts w:ascii="Arial" w:hAnsi="Arial"/>
          <w:sz w:val="22"/>
          <w:szCs w:val="22"/>
        </w:rPr>
        <w:t xml:space="preserve"> et </w:t>
      </w:r>
      <w:hyperlink r:id="rId15" w:history="1">
        <w:r w:rsidRPr="00345F73">
          <w:rPr>
            <w:rStyle w:val="Hyperlink"/>
            <w:rFonts w:ascii="Arial" w:hAnsi="Arial"/>
            <w:sz w:val="22"/>
            <w:szCs w:val="22"/>
          </w:rPr>
          <w:t>ITH/16/11.CO</w:t>
        </w:r>
        <w:r w:rsidRPr="00345F73">
          <w:rPr>
            <w:rStyle w:val="Hyperlink"/>
            <w:rFonts w:ascii="Arial" w:hAnsi="Arial"/>
            <w:sz w:val="22"/>
            <w:szCs w:val="22"/>
          </w:rPr>
          <w:t>M</w:t>
        </w:r>
        <w:r w:rsidRPr="00345F73">
          <w:rPr>
            <w:rStyle w:val="Hyperlink"/>
            <w:rFonts w:ascii="Arial" w:hAnsi="Arial"/>
            <w:sz w:val="22"/>
            <w:szCs w:val="22"/>
          </w:rPr>
          <w:t>/5</w:t>
        </w:r>
      </w:hyperlink>
      <w:r>
        <w:rPr>
          <w:rFonts w:ascii="Arial" w:hAnsi="Arial"/>
          <w:sz w:val="22"/>
          <w:szCs w:val="22"/>
        </w:rPr>
        <w:t>).</w:t>
      </w:r>
    </w:p>
    <w:p w14:paraId="7616D554" w14:textId="296F41EE" w:rsidR="004D3222" w:rsidRDefault="006B7D58" w:rsidP="00FA31FB">
      <w:pPr>
        <w:pStyle w:val="ListParagraph"/>
        <w:numPr>
          <w:ilvl w:val="0"/>
          <w:numId w:val="14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Le système de gestion des connaissances de la Convention est un outil indispensable pour assurer et améliorer la </w:t>
      </w:r>
      <w:r w:rsidR="006B6DF9">
        <w:rPr>
          <w:rFonts w:ascii="Arial" w:hAnsi="Arial"/>
          <w:sz w:val="22"/>
          <w:szCs w:val="22"/>
        </w:rPr>
        <w:t xml:space="preserve">bonne </w:t>
      </w:r>
      <w:r>
        <w:rPr>
          <w:rFonts w:ascii="Arial" w:hAnsi="Arial"/>
          <w:sz w:val="22"/>
          <w:szCs w:val="22"/>
        </w:rPr>
        <w:t>gouvernance de la Convention. C</w:t>
      </w:r>
      <w:r w:rsidR="00B35393"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est une source unique d</w:t>
      </w:r>
      <w:r w:rsidR="00B35393"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informations accessible à toutes les parties intéressées et un outil de travail fondamental pour ses organes directeurs et consultatifs ainsi que son Secrétariat. Cependant, pour s</w:t>
      </w:r>
      <w:r w:rsidR="00B35393"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 xml:space="preserve">adapter </w:t>
      </w:r>
      <w:r w:rsidR="00B35393">
        <w:rPr>
          <w:rFonts w:ascii="Arial" w:hAnsi="Arial"/>
          <w:sz w:val="22"/>
          <w:szCs w:val="22"/>
        </w:rPr>
        <w:t>à</w:t>
      </w:r>
      <w:r>
        <w:rPr>
          <w:rFonts w:ascii="Arial" w:hAnsi="Arial"/>
          <w:sz w:val="22"/>
          <w:szCs w:val="22"/>
        </w:rPr>
        <w:t xml:space="preserve"> la réalité </w:t>
      </w:r>
      <w:r w:rsidR="00B35393">
        <w:rPr>
          <w:rFonts w:ascii="Arial" w:hAnsi="Arial"/>
          <w:sz w:val="22"/>
          <w:szCs w:val="22"/>
        </w:rPr>
        <w:t xml:space="preserve">en constante évolution </w:t>
      </w:r>
      <w:r>
        <w:rPr>
          <w:rFonts w:ascii="Arial" w:hAnsi="Arial"/>
          <w:sz w:val="22"/>
          <w:szCs w:val="22"/>
        </w:rPr>
        <w:t>de la Convention et répondre à l</w:t>
      </w:r>
      <w:r w:rsidR="00B35393"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 xml:space="preserve">évolution des demandes </w:t>
      </w:r>
      <w:r w:rsidR="00B35393">
        <w:rPr>
          <w:rFonts w:ascii="Arial" w:hAnsi="Arial"/>
          <w:sz w:val="22"/>
          <w:szCs w:val="22"/>
        </w:rPr>
        <w:t>d’un large éventail de</w:t>
      </w:r>
      <w:r>
        <w:rPr>
          <w:rFonts w:ascii="Arial" w:hAnsi="Arial"/>
          <w:sz w:val="22"/>
          <w:szCs w:val="22"/>
        </w:rPr>
        <w:t xml:space="preserve"> parties prenantes, </w:t>
      </w:r>
      <w:r w:rsidR="00B35393">
        <w:rPr>
          <w:rFonts w:ascii="Arial" w:hAnsi="Arial"/>
          <w:sz w:val="22"/>
          <w:szCs w:val="22"/>
        </w:rPr>
        <w:t xml:space="preserve">le </w:t>
      </w:r>
      <w:r>
        <w:rPr>
          <w:rFonts w:ascii="Arial" w:hAnsi="Arial"/>
          <w:sz w:val="22"/>
          <w:szCs w:val="22"/>
        </w:rPr>
        <w:t xml:space="preserve">système de gestion des connaissances doit être </w:t>
      </w:r>
      <w:r w:rsidR="00FA31FB">
        <w:rPr>
          <w:rFonts w:ascii="Arial" w:hAnsi="Arial"/>
          <w:sz w:val="22"/>
          <w:szCs w:val="22"/>
        </w:rPr>
        <w:t xml:space="preserve">constamment </w:t>
      </w:r>
      <w:r>
        <w:rPr>
          <w:rFonts w:ascii="Arial" w:hAnsi="Arial"/>
          <w:sz w:val="22"/>
          <w:szCs w:val="22"/>
        </w:rPr>
        <w:t>amélioré.</w:t>
      </w:r>
    </w:p>
    <w:p w14:paraId="20BE2433" w14:textId="7199EB57" w:rsidR="00AA5D90" w:rsidRPr="00B74443" w:rsidRDefault="00557D60" w:rsidP="00FA31FB">
      <w:pPr>
        <w:pStyle w:val="ListParagraph"/>
        <w:numPr>
          <w:ilvl w:val="0"/>
          <w:numId w:val="14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Dans sa résolution 6.GA 9, l</w:t>
      </w:r>
      <w:r w:rsidR="00B35393"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Assemblée générale a approuvé un Plan d</w:t>
      </w:r>
      <w:r w:rsidR="00B35393"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 xml:space="preserve">utilisation des ressources du Fonds du patrimoine culturel immatériel [ci-après le Fonds] pour la période allant du 1er janvier 2016 au 31 décembre 2017, qui attribuait 20 % du budget (1 590 746 dollars des États-Unis) aux « autres fonctions du Comité ». Par sa </w:t>
      </w:r>
      <w:hyperlink r:id="rId16" w:history="1">
        <w:r>
          <w:rPr>
            <w:rStyle w:val="Hyperlink"/>
            <w:rFonts w:ascii="Arial" w:hAnsi="Arial"/>
            <w:sz w:val="22"/>
            <w:szCs w:val="22"/>
          </w:rPr>
          <w:t>décision</w:t>
        </w:r>
        <w:r w:rsidR="00AB5684">
          <w:rPr>
            <w:rStyle w:val="Hyperlink"/>
            <w:rFonts w:ascii="Arial" w:hAnsi="Arial"/>
            <w:sz w:val="22"/>
            <w:szCs w:val="22"/>
          </w:rPr>
          <w:t> </w:t>
        </w:r>
        <w:r>
          <w:rPr>
            <w:rStyle w:val="Hyperlink"/>
            <w:rFonts w:ascii="Arial" w:hAnsi="Arial"/>
            <w:sz w:val="22"/>
            <w:szCs w:val="22"/>
          </w:rPr>
          <w:t>10.</w:t>
        </w:r>
        <w:r>
          <w:rPr>
            <w:rStyle w:val="Hyperlink"/>
            <w:rFonts w:ascii="Arial" w:hAnsi="Arial"/>
            <w:sz w:val="22"/>
            <w:szCs w:val="22"/>
          </w:rPr>
          <w:t>C</w:t>
        </w:r>
        <w:r>
          <w:rPr>
            <w:rStyle w:val="Hyperlink"/>
            <w:rFonts w:ascii="Arial" w:hAnsi="Arial"/>
            <w:sz w:val="22"/>
            <w:szCs w:val="22"/>
          </w:rPr>
          <w:t>OM 8</w:t>
        </w:r>
      </w:hyperlink>
      <w:r>
        <w:rPr>
          <w:rFonts w:ascii="Arial" w:hAnsi="Arial"/>
          <w:sz w:val="22"/>
          <w:szCs w:val="22"/>
        </w:rPr>
        <w:t>, le Comité a délégué à son Bureau le pouvoir de décider de l</w:t>
      </w:r>
      <w:r w:rsidR="00B35393"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 xml:space="preserve">utilisation des fonds alloués au titre de </w:t>
      </w:r>
      <w:r w:rsidR="00FA31FB">
        <w:rPr>
          <w:rFonts w:ascii="Arial" w:hAnsi="Arial"/>
          <w:sz w:val="22"/>
          <w:szCs w:val="22"/>
        </w:rPr>
        <w:t>cette ligne</w:t>
      </w:r>
      <w:r>
        <w:rPr>
          <w:rFonts w:ascii="Arial" w:hAnsi="Arial"/>
          <w:sz w:val="22"/>
          <w:szCs w:val="22"/>
        </w:rPr>
        <w:t xml:space="preserve"> du Plan, sur la base de propositions spécifiques à préparer par le Secrétariat. Reconnaissant l</w:t>
      </w:r>
      <w:r w:rsidR="00B35393"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importance du système de gestion des connaissances, le Bureau a approuvé un montant de 386 900 dollars des États-Unis pour la période allant de janvier 2016 à décembre 2017</w:t>
      </w:r>
      <w:r w:rsidR="00917BE9" w:rsidRPr="00B74443">
        <w:rPr>
          <w:rStyle w:val="FootnoteReference"/>
          <w:rFonts w:ascii="Arial" w:hAnsi="Arial" w:cs="Arial"/>
          <w:sz w:val="22"/>
          <w:szCs w:val="22"/>
          <w:lang w:val="en-GB"/>
        </w:rPr>
        <w:footnoteReference w:id="1"/>
      </w:r>
      <w:r>
        <w:rPr>
          <w:rFonts w:ascii="Arial" w:hAnsi="Arial"/>
          <w:sz w:val="22"/>
          <w:szCs w:val="22"/>
        </w:rPr>
        <w:t xml:space="preserve"> pour des activités destinées à améliorer l</w:t>
      </w:r>
      <w:r w:rsidR="00B35393"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accessibilité, l</w:t>
      </w:r>
      <w:r w:rsidR="00B35393"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exploitabilité et les fonctionnalités de ce système. Des informations détaillées sur les résultats de ces activités jusqu</w:t>
      </w:r>
      <w:r w:rsidR="00B35393"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 xml:space="preserve">en juin 2017 sont </w:t>
      </w:r>
      <w:r w:rsidR="00FA31FB">
        <w:rPr>
          <w:rFonts w:ascii="Arial" w:hAnsi="Arial"/>
          <w:sz w:val="22"/>
          <w:szCs w:val="22"/>
        </w:rPr>
        <w:t xml:space="preserve">incluses </w:t>
      </w:r>
      <w:r>
        <w:rPr>
          <w:rFonts w:ascii="Arial" w:hAnsi="Arial"/>
          <w:sz w:val="22"/>
          <w:szCs w:val="22"/>
        </w:rPr>
        <w:t>dans le rapport du Secrétariat au Comité (</w:t>
      </w:r>
      <w:r w:rsidRPr="001257F2">
        <w:rPr>
          <w:rFonts w:ascii="Arial" w:hAnsi="Arial"/>
          <w:sz w:val="22"/>
          <w:szCs w:val="22"/>
        </w:rPr>
        <w:t xml:space="preserve">document </w:t>
      </w:r>
      <w:hyperlink r:id="rId17" w:history="1">
        <w:r w:rsidRPr="001257F2">
          <w:rPr>
            <w:rStyle w:val="Hyperlink"/>
            <w:rFonts w:ascii="Arial" w:hAnsi="Arial"/>
            <w:sz w:val="22"/>
            <w:szCs w:val="22"/>
          </w:rPr>
          <w:t>ITH/17/12</w:t>
        </w:r>
        <w:r w:rsidRPr="001257F2">
          <w:rPr>
            <w:rStyle w:val="Hyperlink"/>
            <w:rFonts w:ascii="Arial" w:hAnsi="Arial"/>
            <w:sz w:val="22"/>
            <w:szCs w:val="22"/>
          </w:rPr>
          <w:t>.</w:t>
        </w:r>
        <w:r w:rsidRPr="001257F2">
          <w:rPr>
            <w:rStyle w:val="Hyperlink"/>
            <w:rFonts w:ascii="Arial" w:hAnsi="Arial"/>
            <w:sz w:val="22"/>
            <w:szCs w:val="22"/>
          </w:rPr>
          <w:t>COM/5.b</w:t>
        </w:r>
      </w:hyperlink>
      <w:r w:rsidRPr="00345F73">
        <w:rPr>
          <w:rFonts w:ascii="Arial" w:hAnsi="Arial"/>
          <w:sz w:val="22"/>
          <w:szCs w:val="22"/>
        </w:rPr>
        <w:t>).</w:t>
      </w:r>
    </w:p>
    <w:p w14:paraId="3609B910" w14:textId="784A3639" w:rsidR="00C233DD" w:rsidRPr="00AE18A1" w:rsidRDefault="00C233DD" w:rsidP="00FA31FB">
      <w:pPr>
        <w:pStyle w:val="ListParagraph"/>
        <w:keepNext/>
        <w:numPr>
          <w:ilvl w:val="0"/>
          <w:numId w:val="17"/>
        </w:numPr>
        <w:spacing w:before="240" w:after="120"/>
        <w:ind w:left="567" w:hanging="567"/>
        <w:contextualSpacing w:val="0"/>
        <w:rPr>
          <w:rFonts w:cs="Arial"/>
          <w:b/>
          <w:szCs w:val="22"/>
        </w:rPr>
      </w:pPr>
      <w:r>
        <w:rPr>
          <w:rFonts w:ascii="Arial" w:hAnsi="Arial"/>
          <w:b/>
          <w:sz w:val="22"/>
          <w:szCs w:val="22"/>
        </w:rPr>
        <w:t xml:space="preserve">Consolidation du programme de renforcement des capacités et </w:t>
      </w:r>
      <w:r w:rsidR="00FA31FB">
        <w:rPr>
          <w:rFonts w:ascii="Arial" w:hAnsi="Arial"/>
          <w:b/>
          <w:sz w:val="22"/>
          <w:szCs w:val="22"/>
        </w:rPr>
        <w:t xml:space="preserve">orientations </w:t>
      </w:r>
      <w:r>
        <w:rPr>
          <w:rFonts w:ascii="Arial" w:hAnsi="Arial"/>
          <w:b/>
          <w:sz w:val="22"/>
          <w:szCs w:val="22"/>
        </w:rPr>
        <w:t>sur les mesures de sauvegarde et les bonnes pratiques</w:t>
      </w:r>
    </w:p>
    <w:p w14:paraId="3B0D0525" w14:textId="2C80F0CB" w:rsidR="0029262D" w:rsidRPr="00151987" w:rsidRDefault="00C233DD" w:rsidP="001257F2">
      <w:pPr>
        <w:pStyle w:val="Marge"/>
        <w:numPr>
          <w:ilvl w:val="0"/>
          <w:numId w:val="14"/>
        </w:numPr>
        <w:tabs>
          <w:tab w:val="clear" w:pos="928"/>
        </w:tabs>
        <w:spacing w:after="120"/>
        <w:ind w:left="567" w:hanging="567"/>
        <w:rPr>
          <w:rStyle w:val="hps"/>
          <w:rFonts w:ascii="Times New Roman" w:hAnsi="Times New Roman"/>
          <w:snapToGrid/>
          <w:sz w:val="24"/>
          <w:lang w:eastAsia="fr-FR"/>
        </w:rPr>
      </w:pPr>
      <w:r>
        <w:t xml:space="preserve">Le Comité continue de considérer le renforcement des capacités comme une priorité, étant convaincu </w:t>
      </w:r>
      <w:r w:rsidR="00B35393">
        <w:t>’</w:t>
      </w:r>
      <w:r w:rsidR="006B6DF9">
        <w:t>qu</w:t>
      </w:r>
      <w:r w:rsidR="00B35393">
        <w:t>’</w:t>
      </w:r>
      <w:r w:rsidR="006B6DF9">
        <w:t>une</w:t>
      </w:r>
      <w:r>
        <w:t xml:space="preserve"> mise en œuvre</w:t>
      </w:r>
      <w:r w:rsidR="006B6DF9">
        <w:t xml:space="preserve"> efficace</w:t>
      </w:r>
      <w:r>
        <w:t xml:space="preserve"> de la Convention dépend d</w:t>
      </w:r>
      <w:r w:rsidR="00B35393">
        <w:t>’</w:t>
      </w:r>
      <w:r>
        <w:t>une connaissance et d</w:t>
      </w:r>
      <w:r w:rsidR="00B35393">
        <w:t>’</w:t>
      </w:r>
      <w:r>
        <w:t xml:space="preserve">une compréhension approfondies de celle-ci et de ses concepts, mesures et mécanismes. Le Bureau du Comité a donc alloué un total de 817 346 dollars des États-Unis – soit 51 % de la ligne « autres fonctions du Comité » – à ce titre pour la période allant de janvier 2016 à décembre 2017. Les activités proposées dans </w:t>
      </w:r>
      <w:r w:rsidR="00FA31FB">
        <w:t xml:space="preserve">le </w:t>
      </w:r>
      <w:r>
        <w:t xml:space="preserve">cadre </w:t>
      </w:r>
      <w:r w:rsidR="00FA31FB">
        <w:t xml:space="preserve">de cette ligne visent à répondre à </w:t>
      </w:r>
      <w:r>
        <w:t xml:space="preserve">un certain nombre de besoins transversaux, notamment : </w:t>
      </w:r>
      <w:r>
        <w:rPr>
          <w:rStyle w:val="hps"/>
        </w:rPr>
        <w:t>(i) le renforcement du réseau d</w:t>
      </w:r>
      <w:r w:rsidR="00B35393">
        <w:rPr>
          <w:rStyle w:val="hps"/>
        </w:rPr>
        <w:t>’</w:t>
      </w:r>
      <w:r>
        <w:rPr>
          <w:rStyle w:val="hps"/>
        </w:rPr>
        <w:t>experts facilitateurs, (ii) l</w:t>
      </w:r>
      <w:r w:rsidR="00B35393">
        <w:rPr>
          <w:rStyle w:val="hps"/>
        </w:rPr>
        <w:t>’</w:t>
      </w:r>
      <w:r>
        <w:rPr>
          <w:rStyle w:val="hps"/>
        </w:rPr>
        <w:t>élaboration de contenus, de formats et de supports adéquats, (iii) le suivi, l</w:t>
      </w:r>
      <w:r w:rsidR="00B35393">
        <w:rPr>
          <w:rStyle w:val="hps"/>
        </w:rPr>
        <w:t>’</w:t>
      </w:r>
      <w:r>
        <w:rPr>
          <w:rStyle w:val="hps"/>
        </w:rPr>
        <w:t>évaluation et l</w:t>
      </w:r>
      <w:r w:rsidR="00B35393">
        <w:rPr>
          <w:rStyle w:val="hps"/>
        </w:rPr>
        <w:t>’</w:t>
      </w:r>
      <w:r>
        <w:rPr>
          <w:rStyle w:val="hps"/>
        </w:rPr>
        <w:t>adaptation de la stratégie, (iv) </w:t>
      </w:r>
      <w:r w:rsidR="00FA31FB">
        <w:t>le développement</w:t>
      </w:r>
      <w:r>
        <w:t xml:space="preserve"> d</w:t>
      </w:r>
      <w:r w:rsidR="00B35393">
        <w:t>’</w:t>
      </w:r>
      <w:r>
        <w:t>autres moyens</w:t>
      </w:r>
      <w:r w:rsidR="008A35DC">
        <w:t xml:space="preserve"> </w:t>
      </w:r>
      <w:r>
        <w:t>de partager les expériences en matière de sauvegarde</w:t>
      </w:r>
      <w:r w:rsidR="008C120E">
        <w:t>,</w:t>
      </w:r>
      <w:r>
        <w:t xml:space="preserve"> </w:t>
      </w:r>
      <w:r w:rsidR="008A35DC">
        <w:t xml:space="preserve">moins lourds </w:t>
      </w:r>
      <w:r>
        <w:t>que le Registre des bonnes pratiques de sauvegarde, et (v) </w:t>
      </w:r>
      <w:r w:rsidR="00FA31FB">
        <w:t>l’élaboration</w:t>
      </w:r>
      <w:r>
        <w:t xml:space="preserve"> de directives </w:t>
      </w:r>
      <w:r w:rsidR="00FA31FB">
        <w:t xml:space="preserve">sur les </w:t>
      </w:r>
      <w:r>
        <w:t>inventaires</w:t>
      </w:r>
      <w:r>
        <w:rPr>
          <w:rStyle w:val="hps"/>
        </w:rPr>
        <w:t>.</w:t>
      </w:r>
    </w:p>
    <w:p w14:paraId="770DF3FE" w14:textId="74668E4D" w:rsidR="0029262D" w:rsidRPr="00CA0753" w:rsidRDefault="0029262D" w:rsidP="001257F2">
      <w:pPr>
        <w:pStyle w:val="Marge"/>
        <w:numPr>
          <w:ilvl w:val="0"/>
          <w:numId w:val="14"/>
        </w:numPr>
        <w:tabs>
          <w:tab w:val="clear" w:pos="928"/>
        </w:tabs>
        <w:spacing w:after="120"/>
        <w:ind w:left="567" w:hanging="567"/>
        <w:rPr>
          <w:rFonts w:cs="Arial"/>
          <w:szCs w:val="22"/>
        </w:rPr>
      </w:pPr>
      <w:r>
        <w:rPr>
          <w:rStyle w:val="hps"/>
        </w:rPr>
        <w:t xml:space="preserve">Les fonds </w:t>
      </w:r>
      <w:r>
        <w:t>alloués</w:t>
      </w:r>
      <w:r>
        <w:rPr>
          <w:rStyle w:val="hps"/>
        </w:rPr>
        <w:t xml:space="preserve"> aux « autres fonctions du Comité » permettent de développer et de maintenir </w:t>
      </w:r>
      <w:r w:rsidR="001F27E0">
        <w:rPr>
          <w:rStyle w:val="hps"/>
        </w:rPr>
        <w:t>les fonctions globales</w:t>
      </w:r>
      <w:r>
        <w:rPr>
          <w:rStyle w:val="hps"/>
        </w:rPr>
        <w:t xml:space="preserve"> nécessaires à la bonne </w:t>
      </w:r>
      <w:r w:rsidR="001F27E0">
        <w:rPr>
          <w:rStyle w:val="hps"/>
        </w:rPr>
        <w:t xml:space="preserve">exécution </w:t>
      </w:r>
      <w:r>
        <w:rPr>
          <w:rStyle w:val="hps"/>
        </w:rPr>
        <w:t xml:space="preserve">du programme, tandis que sa mise en œuvre </w:t>
      </w:r>
      <w:r w:rsidR="001F27E0">
        <w:rPr>
          <w:rStyle w:val="hps"/>
        </w:rPr>
        <w:t xml:space="preserve">au niveau des pays </w:t>
      </w:r>
      <w:r>
        <w:rPr>
          <w:rStyle w:val="hps"/>
        </w:rPr>
        <w:t xml:space="preserve">est rendue possible </w:t>
      </w:r>
      <w:r w:rsidR="001F27E0">
        <w:rPr>
          <w:rStyle w:val="hps"/>
        </w:rPr>
        <w:t xml:space="preserve">grâce à des </w:t>
      </w:r>
      <w:r>
        <w:rPr>
          <w:rStyle w:val="hps"/>
        </w:rPr>
        <w:t>contributions spécifiques versées au</w:t>
      </w:r>
      <w:r w:rsidR="001F27E0">
        <w:rPr>
          <w:rStyle w:val="hps"/>
        </w:rPr>
        <w:t>x</w:t>
      </w:r>
      <w:r>
        <w:rPr>
          <w:rStyle w:val="hps"/>
        </w:rPr>
        <w:t xml:space="preserve"> Fonds et </w:t>
      </w:r>
      <w:r w:rsidR="001F27E0">
        <w:rPr>
          <w:rStyle w:val="hps"/>
        </w:rPr>
        <w:t xml:space="preserve">aux </w:t>
      </w:r>
      <w:r>
        <w:rPr>
          <w:rStyle w:val="hps"/>
        </w:rPr>
        <w:t xml:space="preserve">accords de fonds-en-dépôt. </w:t>
      </w:r>
      <w:r>
        <w:t xml:space="preserve">Des informations détaillées sur les résultats des activités approuvées par le Bureau à cet égard figurent dans le rapport du Secrétariat au Comité (document </w:t>
      </w:r>
      <w:hyperlink r:id="rId18" w:history="1">
        <w:r w:rsidRPr="00F03619">
          <w:rPr>
            <w:rStyle w:val="Hyperlink"/>
          </w:rPr>
          <w:t>ITH/17/12.COM</w:t>
        </w:r>
        <w:r w:rsidRPr="00F03619">
          <w:rPr>
            <w:rStyle w:val="Hyperlink"/>
          </w:rPr>
          <w:t>/</w:t>
        </w:r>
        <w:r w:rsidRPr="00F03619">
          <w:rPr>
            <w:rStyle w:val="Hyperlink"/>
          </w:rPr>
          <w:t>5.b</w:t>
        </w:r>
      </w:hyperlink>
      <w:r>
        <w:t>), qui examine également la situation concernant la mise en œuvre des programmes de renforcement des capacités au niveau des pays.</w:t>
      </w:r>
    </w:p>
    <w:p w14:paraId="319B93EF" w14:textId="24838F7C" w:rsidR="00920B3A" w:rsidRPr="00EF0BE8" w:rsidRDefault="00920B3A" w:rsidP="00EF0BE8">
      <w:pPr>
        <w:pStyle w:val="ListParagraph"/>
        <w:keepNext/>
        <w:numPr>
          <w:ilvl w:val="0"/>
          <w:numId w:val="17"/>
        </w:numPr>
        <w:spacing w:before="240" w:after="120"/>
        <w:ind w:left="567" w:hanging="567"/>
        <w:contextualSpacing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Cadre global de résultats</w:t>
      </w:r>
    </w:p>
    <w:p w14:paraId="4EF2E08C" w14:textId="78CF3FA1" w:rsidR="00920B3A" w:rsidRPr="00CA0753" w:rsidRDefault="00920B3A" w:rsidP="001F27E0">
      <w:pPr>
        <w:pStyle w:val="Marge"/>
        <w:numPr>
          <w:ilvl w:val="0"/>
          <w:numId w:val="14"/>
        </w:numPr>
        <w:spacing w:after="120"/>
        <w:ind w:left="567" w:hanging="567"/>
      </w:pPr>
      <w:r>
        <w:t xml:space="preserve">Le Comité a réaffirmé son engagement </w:t>
      </w:r>
      <w:r w:rsidR="001F27E0">
        <w:t xml:space="preserve">à </w:t>
      </w:r>
      <w:r>
        <w:t xml:space="preserve">améliorer la mise en œuvre et le suivi de la Convention en poursuivant le </w:t>
      </w:r>
      <w:r w:rsidR="001F27E0">
        <w:t xml:space="preserve">processus d’élaboration </w:t>
      </w:r>
      <w:r>
        <w:t>d</w:t>
      </w:r>
      <w:r w:rsidR="00B35393">
        <w:t>’</w:t>
      </w:r>
      <w:r>
        <w:t>un cadre global de résultats, initiative qui fait suite aux recommandations de l</w:t>
      </w:r>
      <w:r w:rsidR="00B35393">
        <w:t>’</w:t>
      </w:r>
      <w:r>
        <w:t>évaluation de 2013 du Service d</w:t>
      </w:r>
      <w:r w:rsidR="00B35393">
        <w:t>’</w:t>
      </w:r>
      <w:r>
        <w:t>évaluation et d</w:t>
      </w:r>
      <w:r w:rsidR="00B35393">
        <w:t>’</w:t>
      </w:r>
      <w:r>
        <w:t>audit de l</w:t>
      </w:r>
      <w:r w:rsidR="00B35393">
        <w:t>’</w:t>
      </w:r>
      <w:r>
        <w:t>UNESCO concernant le travail normatif du Secteur de la culture de l</w:t>
      </w:r>
      <w:r w:rsidR="00B35393">
        <w:t>’</w:t>
      </w:r>
      <w:r>
        <w:t>Organisation. À sa onzième session, le Comité a salué les résultats d</w:t>
      </w:r>
      <w:r w:rsidR="00B35393">
        <w:t>’</w:t>
      </w:r>
      <w:r>
        <w:t>une réunion préliminaire d</w:t>
      </w:r>
      <w:r w:rsidR="00B35393">
        <w:t>’</w:t>
      </w:r>
      <w:r>
        <w:t>experts qui s</w:t>
      </w:r>
      <w:r w:rsidR="00B35393">
        <w:t>’</w:t>
      </w:r>
      <w:r>
        <w:t xml:space="preserve">est tenue sur ce thème à Beijing, en Chine, en septembre 2016 (voir le document </w:t>
      </w:r>
      <w:hyperlink r:id="rId19" w:history="1">
        <w:r>
          <w:rPr>
            <w:rStyle w:val="Hyperlink"/>
          </w:rPr>
          <w:t>ITH/16/11.COM</w:t>
        </w:r>
        <w:r>
          <w:rPr>
            <w:rStyle w:val="Hyperlink"/>
          </w:rPr>
          <w:t>/</w:t>
        </w:r>
        <w:r>
          <w:rPr>
            <w:rStyle w:val="Hyperlink"/>
          </w:rPr>
          <w:t>14</w:t>
        </w:r>
      </w:hyperlink>
      <w:r>
        <w:t>). À partir des conclusions de cette réunion</w:t>
      </w:r>
      <w:r w:rsidR="001F27E0">
        <w:t xml:space="preserve"> d’experts</w:t>
      </w:r>
      <w:r>
        <w:t>, un groupe de travail intergouvernemental à composition non limitée s</w:t>
      </w:r>
      <w:r w:rsidR="00B35393">
        <w:t>’</w:t>
      </w:r>
      <w:r>
        <w:t xml:space="preserve">est ensuite réuni en Chengdu, en Chine, en juin 2017. </w:t>
      </w:r>
      <w:r>
        <w:rPr>
          <w:szCs w:val="22"/>
          <w:highlight w:val="yellow"/>
        </w:rPr>
        <w:t xml:space="preserve">Le Comité a examiné un projet de proposition de cadre de résultats à sa douzième session (document </w:t>
      </w:r>
      <w:hyperlink r:id="rId20" w:history="1">
        <w:r w:rsidRPr="001F69A7">
          <w:rPr>
            <w:rStyle w:val="Hyperlink"/>
            <w:szCs w:val="22"/>
            <w:highlight w:val="yellow"/>
          </w:rPr>
          <w:t>ITH/17/12.</w:t>
        </w:r>
        <w:r w:rsidRPr="001F69A7">
          <w:rPr>
            <w:rStyle w:val="Hyperlink"/>
            <w:szCs w:val="22"/>
            <w:highlight w:val="yellow"/>
          </w:rPr>
          <w:t>C</w:t>
        </w:r>
        <w:r w:rsidRPr="001F69A7">
          <w:rPr>
            <w:rStyle w:val="Hyperlink"/>
            <w:szCs w:val="22"/>
            <w:highlight w:val="yellow"/>
          </w:rPr>
          <w:t>OM/9</w:t>
        </w:r>
      </w:hyperlink>
      <w:r>
        <w:rPr>
          <w:szCs w:val="22"/>
          <w:highlight w:val="yellow"/>
        </w:rPr>
        <w:t>), qu</w:t>
      </w:r>
      <w:r w:rsidR="00B35393">
        <w:rPr>
          <w:szCs w:val="22"/>
          <w:highlight w:val="yellow"/>
        </w:rPr>
        <w:t>’</w:t>
      </w:r>
      <w:r>
        <w:rPr>
          <w:szCs w:val="22"/>
          <w:highlight w:val="yellow"/>
        </w:rPr>
        <w:t>il a transmis à l</w:t>
      </w:r>
      <w:r w:rsidR="00B35393">
        <w:rPr>
          <w:szCs w:val="22"/>
          <w:highlight w:val="yellow"/>
        </w:rPr>
        <w:t>’</w:t>
      </w:r>
      <w:r>
        <w:rPr>
          <w:szCs w:val="22"/>
          <w:highlight w:val="yellow"/>
        </w:rPr>
        <w:t xml:space="preserve">Assemblée générale pour examen / avec une recommandation en vue de son adoption à sa septième session. </w:t>
      </w:r>
      <w:r>
        <w:rPr>
          <w:i/>
          <w:highlight w:val="yellow"/>
        </w:rPr>
        <w:t>[</w:t>
      </w:r>
      <w:proofErr w:type="gramStart"/>
      <w:r>
        <w:rPr>
          <w:i/>
          <w:highlight w:val="yellow"/>
        </w:rPr>
        <w:t>à</w:t>
      </w:r>
      <w:proofErr w:type="gramEnd"/>
      <w:r>
        <w:rPr>
          <w:i/>
          <w:highlight w:val="yellow"/>
        </w:rPr>
        <w:t xml:space="preserve"> mettre à jour]</w:t>
      </w:r>
    </w:p>
    <w:p w14:paraId="0DE2F4B6" w14:textId="07424B2E" w:rsidR="00920B3A" w:rsidRPr="00920B3A" w:rsidRDefault="003D39C9" w:rsidP="003D39C9">
      <w:pPr>
        <w:pStyle w:val="Marge"/>
        <w:numPr>
          <w:ilvl w:val="0"/>
          <w:numId w:val="14"/>
        </w:numPr>
        <w:spacing w:after="120"/>
        <w:ind w:left="567" w:hanging="567"/>
      </w:pPr>
      <w:r>
        <w:t>Le</w:t>
      </w:r>
      <w:r w:rsidR="0014023A">
        <w:t xml:space="preserve"> généreux soutien du gouvernement de la République populaire de Chine (décisions</w:t>
      </w:r>
      <w:r w:rsidR="00AB5684">
        <w:t> </w:t>
      </w:r>
      <w:hyperlink r:id="rId21" w:history="1">
        <w:r w:rsidR="0014023A">
          <w:rPr>
            <w:rStyle w:val="Hyperlink"/>
          </w:rPr>
          <w:t>10.COM</w:t>
        </w:r>
        <w:r w:rsidR="0014023A">
          <w:rPr>
            <w:rStyle w:val="Hyperlink"/>
          </w:rPr>
          <w:t> </w:t>
        </w:r>
        <w:r w:rsidR="0014023A">
          <w:rPr>
            <w:rStyle w:val="Hyperlink"/>
          </w:rPr>
          <w:t>9</w:t>
        </w:r>
      </w:hyperlink>
      <w:r w:rsidR="0014023A">
        <w:t xml:space="preserve"> et </w:t>
      </w:r>
      <w:hyperlink r:id="rId22" w:history="1">
        <w:r w:rsidR="0014023A">
          <w:rPr>
            <w:rStyle w:val="Hyperlink"/>
          </w:rPr>
          <w:t>11.C</w:t>
        </w:r>
        <w:r w:rsidR="0014023A">
          <w:rPr>
            <w:rStyle w:val="Hyperlink"/>
          </w:rPr>
          <w:t>O</w:t>
        </w:r>
        <w:r w:rsidR="0014023A">
          <w:rPr>
            <w:rStyle w:val="Hyperlink"/>
          </w:rPr>
          <w:t>M 6</w:t>
        </w:r>
      </w:hyperlink>
      <w:r w:rsidR="0014023A">
        <w:t xml:space="preserve">), </w:t>
      </w:r>
      <w:r>
        <w:t>d’un montant total de 150</w:t>
      </w:r>
      <w:r w:rsidR="00F03619">
        <w:t> </w:t>
      </w:r>
      <w:r>
        <w:t xml:space="preserve">000 dollars des </w:t>
      </w:r>
      <w:r>
        <w:rPr>
          <w:rFonts w:cs="Arial"/>
        </w:rPr>
        <w:t>É</w:t>
      </w:r>
      <w:r>
        <w:t xml:space="preserve">tats-Unis, </w:t>
      </w:r>
      <w:r w:rsidR="0014023A">
        <w:t>a permis d</w:t>
      </w:r>
      <w:r w:rsidR="00B35393">
        <w:t>’</w:t>
      </w:r>
      <w:r w:rsidR="0014023A">
        <w:t>organiser la réunion préliminaire d</w:t>
      </w:r>
      <w:r w:rsidR="00B35393">
        <w:t>’</w:t>
      </w:r>
      <w:r w:rsidR="0014023A">
        <w:t>experts ainsi que celle du groupe de travail intergouvernemental à composition non limitée.</w:t>
      </w:r>
    </w:p>
    <w:p w14:paraId="5B6D922E" w14:textId="3B099D5C" w:rsidR="00FD7395" w:rsidRPr="00151987" w:rsidRDefault="00FD7395" w:rsidP="00151987">
      <w:pPr>
        <w:pStyle w:val="ListParagraph"/>
        <w:keepNext/>
        <w:numPr>
          <w:ilvl w:val="0"/>
          <w:numId w:val="17"/>
        </w:numPr>
        <w:spacing w:before="240" w:after="120"/>
        <w:ind w:left="567" w:hanging="567"/>
        <w:contextualSpacing w:val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Sensibilisation et diffusion</w:t>
      </w:r>
    </w:p>
    <w:p w14:paraId="2B83F156" w14:textId="498B20DF" w:rsidR="004708B0" w:rsidRPr="00EF0BE8" w:rsidRDefault="00FB7277" w:rsidP="001F27E0">
      <w:pPr>
        <w:pStyle w:val="ListParagraph"/>
        <w:numPr>
          <w:ilvl w:val="0"/>
          <w:numId w:val="14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Sensibiliser à l</w:t>
      </w:r>
      <w:r w:rsidR="00B35393"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 xml:space="preserve">importance du patrimoine culturel immatériel et </w:t>
      </w:r>
      <w:r w:rsidR="001F27E0">
        <w:rPr>
          <w:rFonts w:ascii="Arial" w:hAnsi="Arial"/>
          <w:sz w:val="22"/>
          <w:szCs w:val="22"/>
        </w:rPr>
        <w:t xml:space="preserve">en </w:t>
      </w:r>
      <w:r>
        <w:rPr>
          <w:rFonts w:ascii="Arial" w:hAnsi="Arial"/>
          <w:sz w:val="22"/>
          <w:szCs w:val="22"/>
        </w:rPr>
        <w:t xml:space="preserve">assurer </w:t>
      </w:r>
      <w:r w:rsidR="001F27E0">
        <w:rPr>
          <w:rFonts w:ascii="Arial" w:hAnsi="Arial"/>
          <w:sz w:val="22"/>
          <w:szCs w:val="22"/>
        </w:rPr>
        <w:t>l’</w:t>
      </w:r>
      <w:r>
        <w:rPr>
          <w:rFonts w:ascii="Arial" w:hAnsi="Arial"/>
          <w:sz w:val="22"/>
          <w:szCs w:val="22"/>
        </w:rPr>
        <w:t>appréciation mutuelle est l</w:t>
      </w:r>
      <w:r w:rsidR="00B35393"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 xml:space="preserve">un des </w:t>
      </w:r>
      <w:r w:rsidR="001F27E0">
        <w:rPr>
          <w:rFonts w:ascii="Arial" w:hAnsi="Arial"/>
          <w:sz w:val="22"/>
          <w:szCs w:val="22"/>
        </w:rPr>
        <w:t xml:space="preserve">objectifs </w:t>
      </w:r>
      <w:r>
        <w:rPr>
          <w:rFonts w:ascii="Arial" w:hAnsi="Arial"/>
          <w:sz w:val="22"/>
          <w:szCs w:val="22"/>
        </w:rPr>
        <w:t xml:space="preserve">de la Convention, </w:t>
      </w:r>
      <w:r w:rsidR="00584282">
        <w:rPr>
          <w:rFonts w:ascii="Arial" w:hAnsi="Arial"/>
          <w:sz w:val="22"/>
          <w:szCs w:val="22"/>
        </w:rPr>
        <w:t>pour lequel</w:t>
      </w:r>
      <w:r>
        <w:rPr>
          <w:rFonts w:ascii="Arial" w:hAnsi="Arial"/>
          <w:sz w:val="22"/>
          <w:szCs w:val="22"/>
        </w:rPr>
        <w:t xml:space="preserve"> le Bureau a alloué 336 500 dollars des États-Unis pour la période allant de janvier 2016 à décembre 2017. Les activités approuvées consistaient notamment à : (i) élaborer une stratégie de communication et d</w:t>
      </w:r>
      <w:r w:rsidR="00B35393"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information visant à promouvoir les objectifs de la Convention, (ii) favoriser l</w:t>
      </w:r>
      <w:r w:rsidR="00B35393"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intégration du patrimoine culturel immatériel dans les cursus universitaires, dans des domaines tels que les études sur le patrimoine, les politiques culturelles, les études sur le développement, etc., (iii)</w:t>
      </w:r>
      <w:r w:rsidR="00F03619" w:rsidRPr="001257F2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mener une consultation sur la manière d</w:t>
      </w:r>
      <w:r w:rsidR="00B35393"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 xml:space="preserve">intégrer le patrimoine culturel immatériel dans les programmes de formation des enseignants et des éducateurs. En outre, dans sa </w:t>
      </w:r>
      <w:hyperlink r:id="rId23" w:history="1">
        <w:r>
          <w:rPr>
            <w:rStyle w:val="Hyperlink"/>
            <w:rFonts w:ascii="Arial" w:hAnsi="Arial"/>
            <w:sz w:val="22"/>
            <w:szCs w:val="22"/>
          </w:rPr>
          <w:t>décision</w:t>
        </w:r>
        <w:r w:rsidR="00AB5684">
          <w:rPr>
            <w:rStyle w:val="Hyperlink"/>
            <w:rFonts w:ascii="Arial" w:hAnsi="Arial"/>
            <w:sz w:val="22"/>
            <w:szCs w:val="22"/>
          </w:rPr>
          <w:t> </w:t>
        </w:r>
        <w:r>
          <w:rPr>
            <w:rStyle w:val="Hyperlink"/>
            <w:rFonts w:ascii="Arial" w:hAnsi="Arial"/>
            <w:sz w:val="22"/>
            <w:szCs w:val="22"/>
          </w:rPr>
          <w:t>1</w:t>
        </w:r>
        <w:r>
          <w:rPr>
            <w:rStyle w:val="Hyperlink"/>
            <w:rFonts w:ascii="Arial" w:hAnsi="Arial"/>
            <w:sz w:val="22"/>
            <w:szCs w:val="22"/>
          </w:rPr>
          <w:t>1.COM 5</w:t>
        </w:r>
      </w:hyperlink>
      <w:r>
        <w:rPr>
          <w:rFonts w:ascii="Arial" w:hAnsi="Arial"/>
          <w:sz w:val="22"/>
          <w:szCs w:val="22"/>
        </w:rPr>
        <w:t>, le Comité a invité le Secrétariat à étendre la portée et la visibilité de ses activités. Des informations détaillées sur les résultats de ces activités jusqu</w:t>
      </w:r>
      <w:r w:rsidR="00B35393"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 xml:space="preserve">en juin 2017 sont </w:t>
      </w:r>
      <w:r w:rsidR="001F27E0">
        <w:rPr>
          <w:rFonts w:ascii="Arial" w:hAnsi="Arial"/>
          <w:sz w:val="22"/>
          <w:szCs w:val="22"/>
        </w:rPr>
        <w:t xml:space="preserve">incluses </w:t>
      </w:r>
      <w:r>
        <w:rPr>
          <w:rFonts w:ascii="Arial" w:hAnsi="Arial"/>
          <w:sz w:val="22"/>
          <w:szCs w:val="22"/>
        </w:rPr>
        <w:t>dans le rapport du Secrétariat au Comité (</w:t>
      </w:r>
      <w:r w:rsidRPr="001257F2">
        <w:rPr>
          <w:rFonts w:ascii="Arial" w:hAnsi="Arial"/>
          <w:sz w:val="22"/>
          <w:szCs w:val="22"/>
        </w:rPr>
        <w:t xml:space="preserve">document </w:t>
      </w:r>
      <w:hyperlink r:id="rId24" w:history="1">
        <w:r w:rsidRPr="001257F2">
          <w:rPr>
            <w:rStyle w:val="Hyperlink"/>
            <w:rFonts w:ascii="Arial" w:hAnsi="Arial"/>
            <w:sz w:val="22"/>
            <w:szCs w:val="22"/>
          </w:rPr>
          <w:t>ITH/17/12.</w:t>
        </w:r>
        <w:r w:rsidRPr="001257F2">
          <w:rPr>
            <w:rStyle w:val="Hyperlink"/>
            <w:rFonts w:ascii="Arial" w:hAnsi="Arial"/>
            <w:sz w:val="22"/>
            <w:szCs w:val="22"/>
          </w:rPr>
          <w:t>C</w:t>
        </w:r>
        <w:r w:rsidRPr="001257F2">
          <w:rPr>
            <w:rStyle w:val="Hyperlink"/>
            <w:rFonts w:ascii="Arial" w:hAnsi="Arial"/>
            <w:sz w:val="22"/>
            <w:szCs w:val="22"/>
          </w:rPr>
          <w:t>OM/5.b</w:t>
        </w:r>
      </w:hyperlink>
      <w:r w:rsidRPr="001F69A7">
        <w:rPr>
          <w:rFonts w:ascii="Arial" w:hAnsi="Arial"/>
          <w:sz w:val="22"/>
          <w:szCs w:val="22"/>
        </w:rPr>
        <w:t>).</w:t>
      </w:r>
    </w:p>
    <w:p w14:paraId="1384B1F3" w14:textId="2DC812AE" w:rsidR="00C233DD" w:rsidRPr="00AE18A1" w:rsidRDefault="00C233DD" w:rsidP="00C233DD">
      <w:pPr>
        <w:keepNext/>
        <w:numPr>
          <w:ilvl w:val="0"/>
          <w:numId w:val="15"/>
        </w:numPr>
        <w:tabs>
          <w:tab w:val="clear" w:pos="720"/>
        </w:tabs>
        <w:spacing w:before="360" w:after="24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Préparation d</w:t>
      </w:r>
      <w:r w:rsidR="00B35393">
        <w:rPr>
          <w:rFonts w:ascii="Arial" w:hAnsi="Arial"/>
          <w:b/>
          <w:sz w:val="22"/>
          <w:szCs w:val="22"/>
        </w:rPr>
        <w:t>’</w:t>
      </w:r>
      <w:r>
        <w:rPr>
          <w:rFonts w:ascii="Arial" w:hAnsi="Arial"/>
          <w:b/>
          <w:sz w:val="22"/>
          <w:szCs w:val="22"/>
        </w:rPr>
        <w:t>un projet de plan d</w:t>
      </w:r>
      <w:r w:rsidR="00B35393">
        <w:rPr>
          <w:rFonts w:ascii="Arial" w:hAnsi="Arial"/>
          <w:b/>
          <w:sz w:val="22"/>
          <w:szCs w:val="22"/>
        </w:rPr>
        <w:t>’</w:t>
      </w:r>
      <w:r>
        <w:rPr>
          <w:rFonts w:ascii="Arial" w:hAnsi="Arial"/>
          <w:b/>
          <w:sz w:val="22"/>
          <w:szCs w:val="22"/>
        </w:rPr>
        <w:t>utilisation des ressources du Fonds et augmentation des ressources du Fonds</w:t>
      </w:r>
      <w:r>
        <w:rPr>
          <w:rFonts w:ascii="Arial" w:hAnsi="Arial"/>
          <w:sz w:val="22"/>
          <w:szCs w:val="22"/>
        </w:rPr>
        <w:t xml:space="preserve"> (articles 7[c] et 7[d])</w:t>
      </w:r>
    </w:p>
    <w:p w14:paraId="64AB75D7" w14:textId="07788F1C" w:rsidR="00C233DD" w:rsidRPr="00CA0753" w:rsidRDefault="00C233DD">
      <w:pPr>
        <w:pStyle w:val="Marge"/>
        <w:numPr>
          <w:ilvl w:val="0"/>
          <w:numId w:val="14"/>
        </w:numPr>
        <w:spacing w:after="120"/>
        <w:ind w:left="567" w:hanging="567"/>
      </w:pPr>
      <w:r>
        <w:t>Le Comité devra soumettre à la septième session de l</w:t>
      </w:r>
      <w:r w:rsidR="00B35393">
        <w:t>’</w:t>
      </w:r>
      <w:r>
        <w:t>Assemblée générale un plan d</w:t>
      </w:r>
      <w:r w:rsidR="00B35393">
        <w:t>’</w:t>
      </w:r>
      <w:r>
        <w:t xml:space="preserve">utilisation des ressources du Fonds pour la période allant du 1er janvier 2018 au 31 décembre 2019 et le premier semestre 2020. </w:t>
      </w:r>
      <w:r>
        <w:rPr>
          <w:szCs w:val="22"/>
          <w:highlight w:val="yellow"/>
        </w:rPr>
        <w:t xml:space="preserve">Ce plan introduit une </w:t>
      </w:r>
      <w:r w:rsidR="00B050C1">
        <w:rPr>
          <w:szCs w:val="22"/>
          <w:highlight w:val="yellow"/>
        </w:rPr>
        <w:t xml:space="preserve">nouvelle approche </w:t>
      </w:r>
      <w:r>
        <w:rPr>
          <w:szCs w:val="22"/>
          <w:highlight w:val="yellow"/>
        </w:rPr>
        <w:t>par rapport au plan proposé et adopté pour la période 2016</w:t>
      </w:r>
      <w:r>
        <w:rPr>
          <w:szCs w:val="22"/>
          <w:highlight w:val="yellow"/>
        </w:rPr>
        <w:noBreakHyphen/>
        <w:t xml:space="preserve">2017 et aux plans adoptés antérieurement. Il propose en particulier des mesures </w:t>
      </w:r>
      <w:r w:rsidR="001F27E0">
        <w:rPr>
          <w:szCs w:val="22"/>
          <w:highlight w:val="yellow"/>
        </w:rPr>
        <w:t>visant à accroître</w:t>
      </w:r>
      <w:r>
        <w:rPr>
          <w:szCs w:val="22"/>
          <w:highlight w:val="yellow"/>
        </w:rPr>
        <w:t xml:space="preserve"> l</w:t>
      </w:r>
      <w:r w:rsidR="00B35393">
        <w:rPr>
          <w:szCs w:val="22"/>
          <w:highlight w:val="yellow"/>
        </w:rPr>
        <w:t>’</w:t>
      </w:r>
      <w:r>
        <w:rPr>
          <w:szCs w:val="22"/>
          <w:highlight w:val="yellow"/>
        </w:rPr>
        <w:t xml:space="preserve">utilisation du Fonds. Le plus gros pourcentage </w:t>
      </w:r>
      <w:r w:rsidR="001F27E0">
        <w:rPr>
          <w:szCs w:val="22"/>
          <w:highlight w:val="yellow"/>
        </w:rPr>
        <w:t xml:space="preserve">continue à être </w:t>
      </w:r>
      <w:r>
        <w:rPr>
          <w:szCs w:val="22"/>
          <w:highlight w:val="yellow"/>
        </w:rPr>
        <w:t>consacré à l</w:t>
      </w:r>
      <w:r w:rsidR="00B35393">
        <w:rPr>
          <w:szCs w:val="22"/>
          <w:highlight w:val="yellow"/>
        </w:rPr>
        <w:t>’</w:t>
      </w:r>
      <w:r>
        <w:rPr>
          <w:szCs w:val="22"/>
          <w:highlight w:val="yellow"/>
        </w:rPr>
        <w:t xml:space="preserve">assistance internationale. Ce plan </w:t>
      </w:r>
      <w:r w:rsidR="004D4E88">
        <w:rPr>
          <w:szCs w:val="22"/>
          <w:highlight w:val="yellow"/>
        </w:rPr>
        <w:t>peut être consulté</w:t>
      </w:r>
      <w:r>
        <w:rPr>
          <w:szCs w:val="22"/>
          <w:highlight w:val="yellow"/>
        </w:rPr>
        <w:t xml:space="preserve"> dans le document de travail correspondant du Comité : le document </w:t>
      </w:r>
      <w:hyperlink r:id="rId25" w:history="1">
        <w:r w:rsidRPr="001F69A7">
          <w:rPr>
            <w:rStyle w:val="Hyperlink"/>
            <w:szCs w:val="22"/>
            <w:highlight w:val="yellow"/>
          </w:rPr>
          <w:t>ITH/17/</w:t>
        </w:r>
        <w:r w:rsidRPr="001F69A7">
          <w:rPr>
            <w:rStyle w:val="Hyperlink"/>
            <w:szCs w:val="22"/>
            <w:highlight w:val="yellow"/>
          </w:rPr>
          <w:t>1</w:t>
        </w:r>
        <w:r w:rsidRPr="001F69A7">
          <w:rPr>
            <w:rStyle w:val="Hyperlink"/>
            <w:szCs w:val="22"/>
            <w:highlight w:val="yellow"/>
          </w:rPr>
          <w:t>2.COM/</w:t>
        </w:r>
        <w:r w:rsidR="00B050C1" w:rsidRPr="001F69A7">
          <w:rPr>
            <w:rStyle w:val="Hyperlink"/>
            <w:szCs w:val="22"/>
            <w:highlight w:val="yellow"/>
          </w:rPr>
          <w:t>7</w:t>
        </w:r>
      </w:hyperlink>
      <w:r w:rsidR="00A57C0A" w:rsidRPr="00A57C0A">
        <w:rPr>
          <w:rStyle w:val="Hyperlink"/>
          <w:color w:val="auto"/>
          <w:szCs w:val="22"/>
          <w:highlight w:val="yellow"/>
          <w:u w:val="none"/>
        </w:rPr>
        <w:t>.</w:t>
      </w:r>
      <w:r>
        <w:rPr>
          <w:szCs w:val="22"/>
          <w:highlight w:val="yellow"/>
        </w:rPr>
        <w:t xml:space="preserve"> </w:t>
      </w:r>
      <w:r>
        <w:rPr>
          <w:i/>
          <w:highlight w:val="yellow"/>
        </w:rPr>
        <w:t>[à mettre à jour]</w:t>
      </w:r>
    </w:p>
    <w:p w14:paraId="20D4ACA6" w14:textId="666A74AA" w:rsidR="00C233DD" w:rsidRPr="00017706" w:rsidRDefault="0023670B" w:rsidP="00FA56A3">
      <w:pPr>
        <w:pStyle w:val="Marge"/>
        <w:numPr>
          <w:ilvl w:val="0"/>
          <w:numId w:val="14"/>
        </w:numPr>
        <w:spacing w:after="120"/>
        <w:ind w:left="567" w:hanging="567"/>
      </w:pPr>
      <w:r>
        <w:t xml:space="preserve">Pendant la période considérée, le Fonds a reçu des contributions volontaires supplémentaires de 510 375 dollars des États-Unis de la République populaire de Chine, de la République de Corée et des Pays-Bas, destinées à </w:t>
      </w:r>
      <w:r w:rsidR="00FA56A3">
        <w:t xml:space="preserve">financer </w:t>
      </w:r>
      <w:r>
        <w:t xml:space="preserve">trois projets </w:t>
      </w:r>
      <w:r w:rsidR="00FA56A3">
        <w:t>distincts</w:t>
      </w:r>
      <w:r>
        <w:t xml:space="preserve">. Le sous-fonds du Fonds, </w:t>
      </w:r>
      <w:r w:rsidR="00FA56A3">
        <w:t xml:space="preserve">exclusivement </w:t>
      </w:r>
      <w:r>
        <w:t>dédié au renforcement des ressources humaines du Secrétariat, a également reçu des contributions de 12</w:t>
      </w:r>
      <w:r w:rsidR="00F03619">
        <w:t>0</w:t>
      </w:r>
      <w:r>
        <w:t> </w:t>
      </w:r>
      <w:r w:rsidR="00F03619">
        <w:t>286</w:t>
      </w:r>
      <w:r>
        <w:t> dollars des États-Unis pendant cette même période.</w:t>
      </w:r>
      <w:r>
        <w:rPr>
          <w:i/>
          <w:highlight w:val="yellow"/>
        </w:rPr>
        <w:t xml:space="preserve"> [</w:t>
      </w:r>
      <w:proofErr w:type="gramStart"/>
      <w:r>
        <w:rPr>
          <w:i/>
          <w:highlight w:val="yellow"/>
        </w:rPr>
        <w:t>à</w:t>
      </w:r>
      <w:proofErr w:type="gramEnd"/>
      <w:r>
        <w:rPr>
          <w:i/>
          <w:highlight w:val="yellow"/>
        </w:rPr>
        <w:t xml:space="preserve"> mettre à jour]</w:t>
      </w:r>
    </w:p>
    <w:p w14:paraId="19F0133B" w14:textId="5AE4920C" w:rsidR="00C233DD" w:rsidRPr="00A630D7" w:rsidRDefault="00C233DD" w:rsidP="00C401ED">
      <w:pPr>
        <w:pStyle w:val="Marge"/>
        <w:numPr>
          <w:ilvl w:val="0"/>
          <w:numId w:val="14"/>
        </w:numPr>
        <w:spacing w:after="120"/>
        <w:ind w:left="567" w:hanging="567"/>
        <w:rPr>
          <w:rFonts w:eastAsia="Arial" w:cs="Arial"/>
          <w:szCs w:val="22"/>
        </w:rPr>
      </w:pPr>
      <w:r>
        <w:t xml:space="preserve">Le </w:t>
      </w:r>
      <w:r w:rsidRPr="001F69A7">
        <w:t xml:space="preserve">document </w:t>
      </w:r>
      <w:hyperlink r:id="rId26" w:history="1">
        <w:r w:rsidRPr="001257F2">
          <w:rPr>
            <w:rStyle w:val="Hyperlink"/>
            <w:szCs w:val="22"/>
          </w:rPr>
          <w:t>ITH/17/12.</w:t>
        </w:r>
        <w:r w:rsidRPr="001257F2">
          <w:rPr>
            <w:rStyle w:val="Hyperlink"/>
            <w:szCs w:val="22"/>
          </w:rPr>
          <w:t>C</w:t>
        </w:r>
        <w:r w:rsidRPr="001257F2">
          <w:rPr>
            <w:rStyle w:val="Hyperlink"/>
            <w:szCs w:val="22"/>
          </w:rPr>
          <w:t>OM/7</w:t>
        </w:r>
      </w:hyperlink>
      <w:r w:rsidRPr="001F69A7">
        <w:t xml:space="preserve"> comprend, en </w:t>
      </w:r>
      <w:r w:rsidRPr="001257F2">
        <w:rPr>
          <w:szCs w:val="22"/>
        </w:rPr>
        <w:t>annexe II (a)</w:t>
      </w:r>
      <w:r w:rsidRPr="001F69A7">
        <w:t xml:space="preserve">, une liste de ces contributions pour la période du </w:t>
      </w:r>
      <w:r w:rsidRPr="001257F2">
        <w:rPr>
          <w:szCs w:val="22"/>
        </w:rPr>
        <w:t>1er janvier 2016 au 30 juin 2017</w:t>
      </w:r>
      <w:r w:rsidRPr="001F69A7">
        <w:t xml:space="preserve"> ainsi qu</w:t>
      </w:r>
      <w:r w:rsidR="00B35393" w:rsidRPr="001F69A7">
        <w:t>’</w:t>
      </w:r>
      <w:r w:rsidRPr="001F69A7">
        <w:t xml:space="preserve">un état des recettes et des dépenses en </w:t>
      </w:r>
      <w:r w:rsidRPr="001257F2">
        <w:rPr>
          <w:szCs w:val="22"/>
        </w:rPr>
        <w:t>annexe I</w:t>
      </w:r>
      <w:r w:rsidR="001F69A7" w:rsidRPr="001F69A7">
        <w:rPr>
          <w:szCs w:val="22"/>
        </w:rPr>
        <w:t>I</w:t>
      </w:r>
      <w:r w:rsidRPr="001F69A7">
        <w:t>.</w:t>
      </w:r>
      <w:r>
        <w:t xml:space="preserve"> Le </w:t>
      </w:r>
      <w:r w:rsidRPr="00BB0CBD">
        <w:t xml:space="preserve">document </w:t>
      </w:r>
      <w:hyperlink r:id="rId27" w:history="1">
        <w:r w:rsidRPr="001257F2">
          <w:rPr>
            <w:rStyle w:val="Hyperlink"/>
            <w:szCs w:val="22"/>
          </w:rPr>
          <w:t>ITH/17/</w:t>
        </w:r>
        <w:r w:rsidRPr="001257F2">
          <w:rPr>
            <w:rStyle w:val="Hyperlink"/>
            <w:szCs w:val="22"/>
          </w:rPr>
          <w:t>1</w:t>
        </w:r>
        <w:r w:rsidRPr="001257F2">
          <w:rPr>
            <w:rStyle w:val="Hyperlink"/>
            <w:szCs w:val="22"/>
          </w:rPr>
          <w:t>2.COM/6</w:t>
        </w:r>
      </w:hyperlink>
      <w:r>
        <w:t xml:space="preserve"> comprend, en </w:t>
      </w:r>
      <w:r w:rsidRPr="001257F2">
        <w:rPr>
          <w:szCs w:val="22"/>
        </w:rPr>
        <w:t>annexe I</w:t>
      </w:r>
      <w:r w:rsidRPr="001257F2">
        <w:t>, u</w:t>
      </w:r>
      <w:r>
        <w:t xml:space="preserve">ne liste des contributions volontaires versées au Fonds et au sous-fonds depuis la onzième session du Comité, pour la période allant </w:t>
      </w:r>
      <w:r w:rsidRPr="001257F2">
        <w:rPr>
          <w:highlight w:val="yellow"/>
        </w:rPr>
        <w:t>d</w:t>
      </w:r>
      <w:r w:rsidR="00B35393" w:rsidRPr="001257F2">
        <w:rPr>
          <w:highlight w:val="yellow"/>
        </w:rPr>
        <w:t>’</w:t>
      </w:r>
      <w:r w:rsidRPr="001257F2">
        <w:rPr>
          <w:szCs w:val="22"/>
          <w:highlight w:val="yellow"/>
        </w:rPr>
        <w:t>octobre 2016 à octobre 2017</w:t>
      </w:r>
      <w:r w:rsidRPr="001257F2">
        <w:rPr>
          <w:highlight w:val="yellow"/>
        </w:rPr>
        <w:t xml:space="preserve">. </w:t>
      </w:r>
      <w:r w:rsidRPr="001257F2">
        <w:rPr>
          <w:szCs w:val="22"/>
          <w:highlight w:val="yellow"/>
        </w:rPr>
        <w:t>Afin d</w:t>
      </w:r>
      <w:r w:rsidR="00B35393" w:rsidRPr="001257F2">
        <w:rPr>
          <w:szCs w:val="22"/>
          <w:highlight w:val="yellow"/>
        </w:rPr>
        <w:t>’</w:t>
      </w:r>
      <w:r w:rsidRPr="001257F2">
        <w:rPr>
          <w:szCs w:val="22"/>
          <w:highlight w:val="yellow"/>
        </w:rPr>
        <w:t xml:space="preserve">informer les donateurs du manque de financement pour atteindre les objectifs de la Convention, notamment ceux du programme </w:t>
      </w:r>
      <w:r w:rsidR="004D4E88" w:rsidRPr="001257F2">
        <w:rPr>
          <w:szCs w:val="22"/>
          <w:highlight w:val="yellow"/>
        </w:rPr>
        <w:t xml:space="preserve">global </w:t>
      </w:r>
      <w:r w:rsidRPr="001257F2">
        <w:rPr>
          <w:szCs w:val="22"/>
          <w:highlight w:val="yellow"/>
        </w:rPr>
        <w:t xml:space="preserve">de renforcement des capacités au niveau des pays, le Secrétariat a </w:t>
      </w:r>
      <w:r w:rsidR="00C401ED" w:rsidRPr="001257F2">
        <w:rPr>
          <w:szCs w:val="22"/>
          <w:highlight w:val="yellow"/>
        </w:rPr>
        <w:t xml:space="preserve">identifié deux principales priorités de financement </w:t>
      </w:r>
      <w:r w:rsidR="00C73626" w:rsidRPr="001257F2">
        <w:rPr>
          <w:szCs w:val="22"/>
          <w:highlight w:val="yellow"/>
        </w:rPr>
        <w:t xml:space="preserve">pour </w:t>
      </w:r>
      <w:r w:rsidRPr="001257F2">
        <w:rPr>
          <w:szCs w:val="22"/>
          <w:highlight w:val="yellow"/>
        </w:rPr>
        <w:t xml:space="preserve">la Convention de 2003 pour la période 2018-2021 </w:t>
      </w:r>
      <w:r w:rsidR="00C401ED" w:rsidRPr="001257F2">
        <w:rPr>
          <w:szCs w:val="22"/>
          <w:highlight w:val="yellow"/>
        </w:rPr>
        <w:t>Ces priorités</w:t>
      </w:r>
      <w:r w:rsidRPr="001257F2">
        <w:rPr>
          <w:szCs w:val="22"/>
          <w:highlight w:val="yellow"/>
        </w:rPr>
        <w:t xml:space="preserve"> </w:t>
      </w:r>
      <w:r w:rsidR="00C401ED" w:rsidRPr="001257F2">
        <w:rPr>
          <w:szCs w:val="22"/>
          <w:highlight w:val="yellow"/>
        </w:rPr>
        <w:t xml:space="preserve">ont </w:t>
      </w:r>
      <w:r w:rsidRPr="001257F2">
        <w:rPr>
          <w:szCs w:val="22"/>
          <w:highlight w:val="yellow"/>
        </w:rPr>
        <w:t>été approuvée</w:t>
      </w:r>
      <w:r w:rsidR="00C401ED" w:rsidRPr="001257F2">
        <w:rPr>
          <w:szCs w:val="22"/>
          <w:highlight w:val="yellow"/>
        </w:rPr>
        <w:t>s</w:t>
      </w:r>
      <w:r w:rsidRPr="001257F2">
        <w:rPr>
          <w:szCs w:val="22"/>
          <w:highlight w:val="yellow"/>
        </w:rPr>
        <w:t xml:space="preserve"> par le Comité à sa douzième session en décembre 2017 (décision 12.COM </w:t>
      </w:r>
      <w:r w:rsidR="00C73626" w:rsidRPr="001257F2">
        <w:rPr>
          <w:szCs w:val="22"/>
          <w:highlight w:val="yellow"/>
        </w:rPr>
        <w:t>6</w:t>
      </w:r>
      <w:r w:rsidRPr="001257F2">
        <w:rPr>
          <w:szCs w:val="22"/>
          <w:highlight w:val="yellow"/>
        </w:rPr>
        <w:t>) en tant que cadre dans lequel il pourra accepter des contributions volontaires supplémentaires sans autorisation expresse</w:t>
      </w:r>
      <w:r w:rsidR="00C73626" w:rsidRPr="001257F2">
        <w:rPr>
          <w:szCs w:val="22"/>
          <w:highlight w:val="yellow"/>
        </w:rPr>
        <w:t xml:space="preserve"> [</w:t>
      </w:r>
      <w:r w:rsidR="00C73626" w:rsidRPr="001257F2">
        <w:rPr>
          <w:i/>
          <w:szCs w:val="22"/>
          <w:highlight w:val="yellow"/>
        </w:rPr>
        <w:t>à mettre à jour</w:t>
      </w:r>
      <w:r w:rsidR="00C73626" w:rsidRPr="001257F2">
        <w:rPr>
          <w:szCs w:val="22"/>
          <w:highlight w:val="yellow"/>
        </w:rPr>
        <w:t>].</w:t>
      </w:r>
    </w:p>
    <w:p w14:paraId="2A1E7761" w14:textId="0DC3AD34" w:rsidR="00C233DD" w:rsidRPr="00AE18A1" w:rsidRDefault="00C233DD" w:rsidP="00C73626">
      <w:pPr>
        <w:keepNext/>
        <w:numPr>
          <w:ilvl w:val="0"/>
          <w:numId w:val="15"/>
        </w:numPr>
        <w:tabs>
          <w:tab w:val="clear" w:pos="720"/>
        </w:tabs>
        <w:spacing w:before="360" w:after="240"/>
        <w:ind w:left="567" w:hanging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Préparation de</w:t>
      </w:r>
      <w:r w:rsidR="00B050C1">
        <w:rPr>
          <w:rFonts w:ascii="Arial" w:hAnsi="Arial"/>
          <w:b/>
          <w:sz w:val="22"/>
          <w:szCs w:val="22"/>
        </w:rPr>
        <w:t>s</w:t>
      </w:r>
      <w:r>
        <w:rPr>
          <w:rFonts w:ascii="Arial" w:hAnsi="Arial"/>
          <w:b/>
          <w:sz w:val="22"/>
          <w:szCs w:val="22"/>
        </w:rPr>
        <w:t xml:space="preserve"> </w:t>
      </w:r>
      <w:r w:rsidR="00C73626">
        <w:rPr>
          <w:rFonts w:ascii="Arial" w:hAnsi="Arial"/>
          <w:b/>
          <w:sz w:val="22"/>
          <w:szCs w:val="22"/>
        </w:rPr>
        <w:t xml:space="preserve">Directives </w:t>
      </w:r>
      <w:r>
        <w:rPr>
          <w:rFonts w:ascii="Arial" w:hAnsi="Arial"/>
          <w:b/>
          <w:sz w:val="22"/>
          <w:szCs w:val="22"/>
        </w:rPr>
        <w:t>opérationnelles pour la mise en œuvre de la Convention</w:t>
      </w:r>
      <w:r>
        <w:rPr>
          <w:rFonts w:ascii="Arial" w:hAnsi="Arial"/>
          <w:sz w:val="22"/>
          <w:szCs w:val="22"/>
        </w:rPr>
        <w:t xml:space="preserve"> (article 7[e])</w:t>
      </w:r>
    </w:p>
    <w:p w14:paraId="6DD69FE0" w14:textId="369B13F6" w:rsidR="00C233DD" w:rsidRPr="00151987" w:rsidRDefault="00C233DD">
      <w:pPr>
        <w:pStyle w:val="Marge"/>
        <w:numPr>
          <w:ilvl w:val="0"/>
          <w:numId w:val="14"/>
        </w:numPr>
        <w:spacing w:after="120"/>
        <w:ind w:left="567" w:hanging="567"/>
        <w:rPr>
          <w:rFonts w:eastAsia="Arial" w:cs="Arial"/>
          <w:i/>
          <w:szCs w:val="22"/>
          <w:highlight w:val="yellow"/>
        </w:rPr>
      </w:pPr>
      <w:r>
        <w:rPr>
          <w:szCs w:val="22"/>
          <w:highlight w:val="yellow"/>
        </w:rPr>
        <w:t xml:space="preserve">Pendant la période </w:t>
      </w:r>
      <w:r w:rsidR="00B050C1">
        <w:rPr>
          <w:szCs w:val="22"/>
          <w:highlight w:val="yellow"/>
        </w:rPr>
        <w:t>considérée</w:t>
      </w:r>
      <w:r>
        <w:rPr>
          <w:szCs w:val="22"/>
          <w:highlight w:val="yellow"/>
        </w:rPr>
        <w:t>, le Comité a recommandé à l</w:t>
      </w:r>
      <w:r w:rsidR="00B35393">
        <w:rPr>
          <w:szCs w:val="22"/>
          <w:highlight w:val="yellow"/>
        </w:rPr>
        <w:t>’</w:t>
      </w:r>
      <w:r>
        <w:rPr>
          <w:szCs w:val="22"/>
          <w:highlight w:val="yellow"/>
        </w:rPr>
        <w:t>Assemblée générale d</w:t>
      </w:r>
      <w:r w:rsidR="00B35393">
        <w:rPr>
          <w:szCs w:val="22"/>
          <w:highlight w:val="yellow"/>
        </w:rPr>
        <w:t>’</w:t>
      </w:r>
      <w:r>
        <w:rPr>
          <w:szCs w:val="22"/>
          <w:highlight w:val="yellow"/>
        </w:rPr>
        <w:t>approuver de nouvelles directives ou des amendements aux Directives opérationnelles pour la mise en œuvre de la Convention concernant les sujets suivants :</w:t>
      </w:r>
    </w:p>
    <w:p w14:paraId="5DC033D5" w14:textId="68701968" w:rsidR="00C233DD" w:rsidRPr="00151987" w:rsidRDefault="005078D8" w:rsidP="00C73626">
      <w:pPr>
        <w:pStyle w:val="Marge"/>
        <w:numPr>
          <w:ilvl w:val="0"/>
          <w:numId w:val="16"/>
        </w:numPr>
        <w:spacing w:after="60"/>
        <w:ind w:left="851" w:hanging="284"/>
        <w:rPr>
          <w:rFonts w:eastAsia="Arial" w:cs="Arial"/>
          <w:szCs w:val="22"/>
          <w:highlight w:val="yellow"/>
        </w:rPr>
      </w:pPr>
      <w:r>
        <w:rPr>
          <w:szCs w:val="22"/>
          <w:highlight w:val="yellow"/>
        </w:rPr>
        <w:t xml:space="preserve">Mécanisme de rapports périodiques </w:t>
      </w:r>
      <w:r w:rsidR="00C73626">
        <w:rPr>
          <w:szCs w:val="22"/>
          <w:highlight w:val="yellow"/>
        </w:rPr>
        <w:t>pour évoluer vers</w:t>
      </w:r>
      <w:r>
        <w:rPr>
          <w:szCs w:val="22"/>
          <w:highlight w:val="yellow"/>
        </w:rPr>
        <w:t xml:space="preserve"> un cycle régional de rapports nationaux</w:t>
      </w:r>
      <w:r w:rsidR="00C73626">
        <w:rPr>
          <w:szCs w:val="22"/>
          <w:highlight w:val="yellow"/>
        </w:rPr>
        <w:t xml:space="preserve"> [</w:t>
      </w:r>
      <w:r w:rsidR="00C73626">
        <w:rPr>
          <w:i/>
          <w:szCs w:val="22"/>
          <w:highlight w:val="yellow"/>
        </w:rPr>
        <w:t>à mettre à jour</w:t>
      </w:r>
      <w:r w:rsidR="004D4E88">
        <w:rPr>
          <w:szCs w:val="22"/>
          <w:highlight w:val="yellow"/>
        </w:rPr>
        <w:t>]</w:t>
      </w:r>
    </w:p>
    <w:p w14:paraId="7EE9E3AD" w14:textId="2F8B8885" w:rsidR="00C233DD" w:rsidRPr="00AE18A1" w:rsidRDefault="00C233DD" w:rsidP="00C73626">
      <w:pPr>
        <w:keepNext/>
        <w:numPr>
          <w:ilvl w:val="0"/>
          <w:numId w:val="15"/>
        </w:numPr>
        <w:tabs>
          <w:tab w:val="clear" w:pos="720"/>
        </w:tabs>
        <w:spacing w:before="360" w:after="240"/>
        <w:ind w:left="567" w:hanging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Examen des </w:t>
      </w:r>
      <w:r w:rsidR="00C73626">
        <w:rPr>
          <w:rFonts w:ascii="Arial" w:hAnsi="Arial"/>
          <w:b/>
          <w:sz w:val="22"/>
          <w:szCs w:val="22"/>
        </w:rPr>
        <w:t xml:space="preserve">Rapports </w:t>
      </w:r>
      <w:r>
        <w:rPr>
          <w:rFonts w:ascii="Arial" w:hAnsi="Arial"/>
          <w:b/>
          <w:sz w:val="22"/>
          <w:szCs w:val="22"/>
        </w:rPr>
        <w:t>périodiques</w:t>
      </w:r>
      <w:r>
        <w:rPr>
          <w:rFonts w:ascii="Arial" w:hAnsi="Arial"/>
          <w:sz w:val="22"/>
          <w:szCs w:val="22"/>
        </w:rPr>
        <w:t xml:space="preserve"> (article 7[f])</w:t>
      </w:r>
    </w:p>
    <w:p w14:paraId="63FDE591" w14:textId="6FFC2574" w:rsidR="00A14644" w:rsidRPr="00B74443" w:rsidRDefault="00C233DD" w:rsidP="00C73626">
      <w:pPr>
        <w:pStyle w:val="Marge"/>
        <w:numPr>
          <w:ilvl w:val="0"/>
          <w:numId w:val="14"/>
        </w:numPr>
        <w:spacing w:after="120"/>
        <w:ind w:left="567" w:hanging="567"/>
        <w:rPr>
          <w:rFonts w:eastAsia="Arial"/>
        </w:rPr>
      </w:pPr>
      <w:r>
        <w:t xml:space="preserve">La </w:t>
      </w:r>
      <w:hyperlink r:id="rId28" w:history="1">
        <w:r>
          <w:rPr>
            <w:color w:val="0000FF"/>
            <w:szCs w:val="22"/>
            <w:u w:val="single"/>
          </w:rPr>
          <w:t>Convent</w:t>
        </w:r>
        <w:r>
          <w:rPr>
            <w:color w:val="0000FF"/>
            <w:szCs w:val="22"/>
            <w:u w:val="single"/>
          </w:rPr>
          <w:t>i</w:t>
        </w:r>
        <w:r>
          <w:rPr>
            <w:color w:val="0000FF"/>
            <w:szCs w:val="22"/>
            <w:u w:val="single"/>
          </w:rPr>
          <w:t>on</w:t>
        </w:r>
      </w:hyperlink>
      <w:r>
        <w:t xml:space="preserve"> stipule, à l</w:t>
      </w:r>
      <w:r w:rsidR="00B35393">
        <w:t>’</w:t>
      </w:r>
      <w:r>
        <w:t xml:space="preserve">article 29, que les États parties doivent présenter au Comité des rapports sur les </w:t>
      </w:r>
      <w:r w:rsidR="00C73626">
        <w:t xml:space="preserve">dispositions </w:t>
      </w:r>
      <w:r>
        <w:t xml:space="preserve">législatives, réglementaires </w:t>
      </w:r>
      <w:r w:rsidR="00C73626">
        <w:t xml:space="preserve">ou </w:t>
      </w:r>
      <w:r>
        <w:t>autres prises pour la mise en œuvre de la Convention et, à l</w:t>
      </w:r>
      <w:r w:rsidR="00B35393">
        <w:t>’</w:t>
      </w:r>
      <w:r>
        <w:t>article 30, que « sur la base de ses activités et des rapports des États parties […] le Comité soumet un rapport à chaque session de l</w:t>
      </w:r>
      <w:r w:rsidR="00B35393">
        <w:t>’</w:t>
      </w:r>
      <w:r>
        <w:t>Assemblée générale ». Pendant la période considérée, le Comité a examiné dix-sept rapports d</w:t>
      </w:r>
      <w:r w:rsidR="00B35393">
        <w:t>’</w:t>
      </w:r>
      <w:r>
        <w:t>États parties relatifs à la mise en œuvre de la Convention au niveau national (</w:t>
      </w:r>
      <w:r w:rsidR="00E624F3">
        <w:fldChar w:fldCharType="begin"/>
      </w:r>
      <w:r w:rsidR="00E624F3">
        <w:instrText xml:space="preserve"> HYPERLINK "https://ich.unesco.org/fr/9a-rapports-periodiques-00857" </w:instrText>
      </w:r>
      <w:r w:rsidR="00E624F3">
        <w:fldChar w:fldCharType="separate"/>
      </w:r>
      <w:r>
        <w:rPr>
          <w:rStyle w:val="Hyperlink"/>
        </w:rPr>
        <w:t>si</w:t>
      </w:r>
      <w:r>
        <w:rPr>
          <w:rStyle w:val="Hyperlink"/>
        </w:rPr>
        <w:t>x</w:t>
      </w:r>
      <w:r w:rsidR="00E624F3">
        <w:rPr>
          <w:rStyle w:val="Hyperlink"/>
        </w:rPr>
        <w:fldChar w:fldCharType="end"/>
      </w:r>
      <w:r>
        <w:t xml:space="preserve"> en 2016 </w:t>
      </w:r>
      <w:r w:rsidRPr="00A57C0A">
        <w:t xml:space="preserve">et </w:t>
      </w:r>
      <w:hyperlink r:id="rId29" w:history="1">
        <w:r w:rsidRPr="00A57C0A">
          <w:rPr>
            <w:rStyle w:val="Hyperlink"/>
          </w:rPr>
          <w:t>on</w:t>
        </w:r>
        <w:r w:rsidRPr="00A57C0A">
          <w:rPr>
            <w:rStyle w:val="Hyperlink"/>
          </w:rPr>
          <w:t>z</w:t>
        </w:r>
        <w:r w:rsidRPr="00A57C0A">
          <w:rPr>
            <w:rStyle w:val="Hyperlink"/>
          </w:rPr>
          <w:t>e</w:t>
        </w:r>
      </w:hyperlink>
      <w:r w:rsidRPr="00A57C0A">
        <w:t xml:space="preserve"> en</w:t>
      </w:r>
      <w:r>
        <w:t xml:space="preserve"> 2017) et dix-huit rapports sur l</w:t>
      </w:r>
      <w:r w:rsidR="00B35393">
        <w:t>’</w:t>
      </w:r>
      <w:r>
        <w:t>état d</w:t>
      </w:r>
      <w:r w:rsidR="00B35393">
        <w:t>’</w:t>
      </w:r>
      <w:r>
        <w:t>éléments inscrits sur la Liste de sauvegarde urgente (</w:t>
      </w:r>
      <w:hyperlink r:id="rId30" w:history="1">
        <w:r>
          <w:rPr>
            <w:rStyle w:val="Hyperlink"/>
          </w:rPr>
          <w:t>s</w:t>
        </w:r>
        <w:r>
          <w:rPr>
            <w:rStyle w:val="Hyperlink"/>
          </w:rPr>
          <w:t>i</w:t>
        </w:r>
        <w:r>
          <w:rPr>
            <w:rStyle w:val="Hyperlink"/>
          </w:rPr>
          <w:t>x</w:t>
        </w:r>
      </w:hyperlink>
      <w:r>
        <w:t xml:space="preserve"> en 2016 et </w:t>
      </w:r>
      <w:hyperlink r:id="rId31" w:history="1">
        <w:r w:rsidRPr="00E624F3">
          <w:rPr>
            <w:rStyle w:val="Hyperlink"/>
          </w:rPr>
          <w:t>dou</w:t>
        </w:r>
        <w:r w:rsidRPr="00E624F3">
          <w:rPr>
            <w:rStyle w:val="Hyperlink"/>
          </w:rPr>
          <w:t>z</w:t>
        </w:r>
        <w:r w:rsidRPr="00E624F3">
          <w:rPr>
            <w:rStyle w:val="Hyperlink"/>
          </w:rPr>
          <w:t>e</w:t>
        </w:r>
      </w:hyperlink>
      <w:r w:rsidRPr="00E624F3">
        <w:t xml:space="preserve"> en</w:t>
      </w:r>
      <w:r>
        <w:t xml:space="preserve"> 2017)</w:t>
      </w:r>
      <w:r w:rsidR="004D4E88">
        <w:t>.</w:t>
      </w:r>
      <w:r>
        <w:t xml:space="preserve"> </w:t>
      </w:r>
      <w:r>
        <w:rPr>
          <w:i/>
          <w:szCs w:val="22"/>
          <w:highlight w:val="yellow"/>
        </w:rPr>
        <w:t>[</w:t>
      </w:r>
      <w:proofErr w:type="gramStart"/>
      <w:r>
        <w:rPr>
          <w:i/>
          <w:szCs w:val="22"/>
          <w:highlight w:val="yellow"/>
        </w:rPr>
        <w:t>à</w:t>
      </w:r>
      <w:proofErr w:type="gramEnd"/>
      <w:r>
        <w:rPr>
          <w:i/>
          <w:szCs w:val="22"/>
          <w:highlight w:val="yellow"/>
        </w:rPr>
        <w:t xml:space="preserve"> joindre en annexe]</w:t>
      </w:r>
    </w:p>
    <w:p w14:paraId="6DD06AA4" w14:textId="0556EC73" w:rsidR="00C233DD" w:rsidRPr="00AE18A1" w:rsidRDefault="00C233DD" w:rsidP="00C73626">
      <w:pPr>
        <w:pStyle w:val="Marge"/>
        <w:numPr>
          <w:ilvl w:val="0"/>
          <w:numId w:val="14"/>
        </w:numPr>
        <w:spacing w:after="120"/>
        <w:ind w:left="567" w:hanging="567"/>
        <w:rPr>
          <w:rFonts w:eastAsia="Arial"/>
        </w:rPr>
      </w:pPr>
      <w:r>
        <w:t>Le Comité continue de faire face à de nombreux retards dans la remise des rapports par les États parties. Pour le cycle 2017, par exemple, quarante-quatre des soixante-sept rapports attendus n</w:t>
      </w:r>
      <w:r w:rsidR="00B35393">
        <w:t>’</w:t>
      </w:r>
      <w:r>
        <w:t xml:space="preserve">ont pas été </w:t>
      </w:r>
      <w:r w:rsidR="00C73626">
        <w:t>soumis</w:t>
      </w:r>
      <w:r>
        <w:t xml:space="preserve">. Un aperçu détaillé ainsi </w:t>
      </w:r>
      <w:r w:rsidR="00C73626">
        <w:t>que des</w:t>
      </w:r>
      <w:r>
        <w:t xml:space="preserve"> résumé</w:t>
      </w:r>
      <w:r w:rsidR="00C73626">
        <w:t>s</w:t>
      </w:r>
      <w:r>
        <w:t xml:space="preserve"> </w:t>
      </w:r>
      <w:r w:rsidR="00C73626">
        <w:t xml:space="preserve">pour </w:t>
      </w:r>
      <w:r>
        <w:t xml:space="preserve">chaque rapport figurent dans les documents de travail correspondants du Comité : les documents </w:t>
      </w:r>
      <w:hyperlink r:id="rId32" w:history="1">
        <w:r>
          <w:rPr>
            <w:rStyle w:val="Hyperlink"/>
          </w:rPr>
          <w:t>ITH/16/11.CO</w:t>
        </w:r>
        <w:r>
          <w:rPr>
            <w:rStyle w:val="Hyperlink"/>
          </w:rPr>
          <w:t>M</w:t>
        </w:r>
        <w:r>
          <w:rPr>
            <w:rStyle w:val="Hyperlink"/>
          </w:rPr>
          <w:t>/9.a</w:t>
        </w:r>
      </w:hyperlink>
      <w:r>
        <w:t xml:space="preserve">, </w:t>
      </w:r>
      <w:hyperlink r:id="rId33" w:history="1">
        <w:r>
          <w:rPr>
            <w:rStyle w:val="Hyperlink"/>
          </w:rPr>
          <w:t>ITH/16/11.C</w:t>
        </w:r>
        <w:r>
          <w:rPr>
            <w:rStyle w:val="Hyperlink"/>
          </w:rPr>
          <w:t>O</w:t>
        </w:r>
        <w:r>
          <w:rPr>
            <w:rStyle w:val="Hyperlink"/>
          </w:rPr>
          <w:t>M/9.b</w:t>
        </w:r>
      </w:hyperlink>
      <w:r w:rsidRPr="009A1D81">
        <w:t xml:space="preserve">, </w:t>
      </w:r>
      <w:hyperlink r:id="rId34" w:history="1">
        <w:r w:rsidRPr="001257F2">
          <w:rPr>
            <w:rStyle w:val="Hyperlink"/>
            <w:szCs w:val="22"/>
          </w:rPr>
          <w:t>ITH/17/12.CO</w:t>
        </w:r>
        <w:r w:rsidRPr="001257F2">
          <w:rPr>
            <w:rStyle w:val="Hyperlink"/>
            <w:szCs w:val="22"/>
          </w:rPr>
          <w:t>M</w:t>
        </w:r>
        <w:r w:rsidRPr="001257F2">
          <w:rPr>
            <w:rStyle w:val="Hyperlink"/>
            <w:szCs w:val="22"/>
          </w:rPr>
          <w:t>/8.</w:t>
        </w:r>
        <w:r w:rsidR="00B050C1" w:rsidRPr="001257F2">
          <w:rPr>
            <w:rStyle w:val="Hyperlink"/>
            <w:szCs w:val="22"/>
          </w:rPr>
          <w:t>b</w:t>
        </w:r>
      </w:hyperlink>
      <w:r w:rsidRPr="009A1D81">
        <w:t xml:space="preserve"> et </w:t>
      </w:r>
      <w:hyperlink r:id="rId35" w:history="1">
        <w:r w:rsidRPr="001257F2">
          <w:rPr>
            <w:rStyle w:val="Hyperlink"/>
            <w:szCs w:val="22"/>
          </w:rPr>
          <w:t>ITH/17/12.</w:t>
        </w:r>
        <w:r w:rsidRPr="001257F2">
          <w:rPr>
            <w:rStyle w:val="Hyperlink"/>
            <w:szCs w:val="22"/>
          </w:rPr>
          <w:t>C</w:t>
        </w:r>
        <w:r w:rsidRPr="001257F2">
          <w:rPr>
            <w:rStyle w:val="Hyperlink"/>
            <w:szCs w:val="22"/>
          </w:rPr>
          <w:t>OM/8.</w:t>
        </w:r>
        <w:r w:rsidR="00B050C1" w:rsidRPr="001257F2">
          <w:rPr>
            <w:rStyle w:val="Hyperlink"/>
            <w:szCs w:val="22"/>
          </w:rPr>
          <w:t>c</w:t>
        </w:r>
      </w:hyperlink>
      <w:r>
        <w:t>.</w:t>
      </w:r>
    </w:p>
    <w:p w14:paraId="6F980D16" w14:textId="5980FC0D" w:rsidR="00C233DD" w:rsidRPr="00AE18A1" w:rsidRDefault="00C233DD" w:rsidP="00C73626">
      <w:pPr>
        <w:keepNext/>
        <w:numPr>
          <w:ilvl w:val="0"/>
          <w:numId w:val="15"/>
        </w:numPr>
        <w:tabs>
          <w:tab w:val="clear" w:pos="720"/>
        </w:tabs>
        <w:spacing w:before="360" w:after="240"/>
        <w:ind w:left="567" w:hanging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Inscriptions sur les listes de la Convention, sélection des bonnes pratiques de sauvegarde et </w:t>
      </w:r>
      <w:r w:rsidR="00C73626">
        <w:rPr>
          <w:rFonts w:ascii="Arial" w:hAnsi="Arial"/>
          <w:b/>
          <w:sz w:val="22"/>
          <w:szCs w:val="22"/>
        </w:rPr>
        <w:t xml:space="preserve">octroi </w:t>
      </w:r>
      <w:r>
        <w:rPr>
          <w:rFonts w:ascii="Arial" w:hAnsi="Arial"/>
          <w:b/>
          <w:sz w:val="22"/>
          <w:szCs w:val="22"/>
        </w:rPr>
        <w:t>de l</w:t>
      </w:r>
      <w:r w:rsidR="00B35393">
        <w:rPr>
          <w:rFonts w:ascii="Arial" w:hAnsi="Arial"/>
          <w:b/>
          <w:sz w:val="22"/>
          <w:szCs w:val="22"/>
        </w:rPr>
        <w:t>’</w:t>
      </w:r>
      <w:r>
        <w:rPr>
          <w:rFonts w:ascii="Arial" w:hAnsi="Arial"/>
          <w:b/>
          <w:sz w:val="22"/>
          <w:szCs w:val="22"/>
        </w:rPr>
        <w:t>assistance internationale</w:t>
      </w:r>
      <w:r>
        <w:rPr>
          <w:rFonts w:ascii="Arial" w:hAnsi="Arial"/>
          <w:sz w:val="22"/>
          <w:szCs w:val="22"/>
        </w:rPr>
        <w:t xml:space="preserve"> (article 7[g])</w:t>
      </w:r>
    </w:p>
    <w:p w14:paraId="373AFA68" w14:textId="2BB07A64" w:rsidR="00C233DD" w:rsidRPr="00AE18A1" w:rsidRDefault="00A06AF0" w:rsidP="00F17533">
      <w:pPr>
        <w:pStyle w:val="Marge"/>
        <w:numPr>
          <w:ilvl w:val="0"/>
          <w:numId w:val="14"/>
        </w:numPr>
        <w:spacing w:after="120"/>
        <w:ind w:left="567" w:hanging="567"/>
        <w:rPr>
          <w:i/>
        </w:rPr>
      </w:pPr>
      <w:r>
        <w:t xml:space="preserve">Pendant la période </w:t>
      </w:r>
      <w:r w:rsidR="00B050C1">
        <w:t>considérée</w:t>
      </w:r>
      <w:r>
        <w:t xml:space="preserve">, le Comité a examiné </w:t>
      </w:r>
      <w:r w:rsidR="00F17533" w:rsidRPr="001257F2">
        <w:rPr>
          <w:highlight w:val="yellow"/>
        </w:rPr>
        <w:t>cent</w:t>
      </w:r>
      <w:r w:rsidR="00F17533">
        <w:t> </w:t>
      </w:r>
      <w:r>
        <w:t xml:space="preserve">dossiers et inscrit un total de </w:t>
      </w:r>
      <w:r w:rsidR="00F17533" w:rsidRPr="001257F2">
        <w:rPr>
          <w:szCs w:val="22"/>
          <w:highlight w:val="yellow"/>
        </w:rPr>
        <w:t>trente-sept</w:t>
      </w:r>
      <w:r w:rsidR="00F17533">
        <w:t xml:space="preserve"> </w:t>
      </w:r>
      <w:r>
        <w:t xml:space="preserve">éléments sur les listes de la Convention : </w:t>
      </w:r>
      <w:r w:rsidR="00F17533" w:rsidRPr="001257F2">
        <w:rPr>
          <w:szCs w:val="22"/>
          <w:highlight w:val="yellow"/>
        </w:rPr>
        <w:t>quatre</w:t>
      </w:r>
      <w:r w:rsidR="00F17533">
        <w:t> </w:t>
      </w:r>
      <w:r>
        <w:t xml:space="preserve">éléments sur la Liste du patrimoine culturel immatériel nécessitant une sauvegarde urgente et </w:t>
      </w:r>
      <w:r w:rsidR="00F17533" w:rsidRPr="001257F2">
        <w:rPr>
          <w:szCs w:val="22"/>
          <w:highlight w:val="yellow"/>
        </w:rPr>
        <w:t>trente-trois</w:t>
      </w:r>
      <w:r w:rsidR="00F17533">
        <w:t> </w:t>
      </w:r>
      <w:r>
        <w:t>éléments sur la Liste représentative du patrimoine culturel immatériel de l</w:t>
      </w:r>
      <w:r w:rsidR="00B35393">
        <w:t>’</w:t>
      </w:r>
      <w:r>
        <w:t xml:space="preserve">humanité. Durant </w:t>
      </w:r>
      <w:r w:rsidR="00C73626">
        <w:t xml:space="preserve">la </w:t>
      </w:r>
      <w:r>
        <w:t>période</w:t>
      </w:r>
      <w:r w:rsidR="00C73626">
        <w:t xml:space="preserve"> considérée</w:t>
      </w:r>
      <w:r>
        <w:t xml:space="preserve">, le Comité a également sélectionné </w:t>
      </w:r>
      <w:r>
        <w:rPr>
          <w:szCs w:val="22"/>
          <w:highlight w:val="yellow"/>
        </w:rPr>
        <w:t>cinq</w:t>
      </w:r>
      <w:r>
        <w:t xml:space="preserve"> bonnes pratiques de sauvegarde. Pour la première fois, à sa onzième session, le Comité a approuvé une demande d</w:t>
      </w:r>
      <w:r w:rsidR="00B35393">
        <w:t>’</w:t>
      </w:r>
      <w:r>
        <w:t>assistance internationale qui a été examinée en même temps qu</w:t>
      </w:r>
      <w:r w:rsidR="00B35393">
        <w:t>’</w:t>
      </w:r>
      <w:r>
        <w:t xml:space="preserve">une candidature à la Liste de sauvegarde urgente afin de </w:t>
      </w:r>
      <w:r w:rsidR="00C73626">
        <w:t xml:space="preserve">soutenir la mise en œuvre </w:t>
      </w:r>
      <w:r>
        <w:t>du plan de sauvegarde proposé, pour un montant de 238 970 dollars des États-Unis. De plus</w:t>
      </w:r>
      <w:r>
        <w:rPr>
          <w:highlight w:val="yellow"/>
        </w:rPr>
        <w:t>, à sa douzième session, le Comité a pour la première fois mené une réflexion et une évaluation au sujet du retrait d</w:t>
      </w:r>
      <w:r w:rsidR="00B35393">
        <w:rPr>
          <w:highlight w:val="yellow"/>
        </w:rPr>
        <w:t>’</w:t>
      </w:r>
      <w:r>
        <w:rPr>
          <w:highlight w:val="yellow"/>
        </w:rPr>
        <w:t xml:space="preserve">un élément de </w:t>
      </w:r>
      <w:r>
        <w:t>la Liste de sauvegarde urgente</w:t>
      </w:r>
      <w:r>
        <w:rPr>
          <w:highlight w:val="yellow"/>
        </w:rPr>
        <w:t xml:space="preserve"> </w:t>
      </w:r>
      <w:r w:rsidR="00C73626">
        <w:rPr>
          <w:highlight w:val="yellow"/>
        </w:rPr>
        <w:t>et</w:t>
      </w:r>
      <w:r>
        <w:rPr>
          <w:highlight w:val="yellow"/>
        </w:rPr>
        <w:t xml:space="preserve"> son transfert vers la Liste représentative. </w:t>
      </w:r>
      <w:r>
        <w:rPr>
          <w:i/>
          <w:highlight w:val="yellow"/>
        </w:rPr>
        <w:t>[</w:t>
      </w:r>
      <w:proofErr w:type="gramStart"/>
      <w:r>
        <w:rPr>
          <w:i/>
          <w:highlight w:val="yellow"/>
        </w:rPr>
        <w:t>à</w:t>
      </w:r>
      <w:proofErr w:type="gramEnd"/>
      <w:r>
        <w:rPr>
          <w:i/>
          <w:highlight w:val="yellow"/>
        </w:rPr>
        <w:t xml:space="preserve"> mettre à jour]</w:t>
      </w:r>
    </w:p>
    <w:p w14:paraId="6CA53388" w14:textId="42368653" w:rsidR="00C233DD" w:rsidRPr="00AE18A1" w:rsidRDefault="00462D41" w:rsidP="00294800">
      <w:pPr>
        <w:pStyle w:val="Marge"/>
        <w:numPr>
          <w:ilvl w:val="0"/>
          <w:numId w:val="14"/>
        </w:numPr>
        <w:spacing w:after="120"/>
        <w:ind w:left="567" w:hanging="567"/>
        <w:rPr>
          <w:rFonts w:eastAsia="Arial" w:cs="Arial"/>
          <w:szCs w:val="22"/>
        </w:rPr>
      </w:pPr>
      <w:r>
        <w:t xml:space="preserve">Depuis </w:t>
      </w:r>
      <w:r w:rsidR="00294800">
        <w:t xml:space="preserve">2014, date à laquelle </w:t>
      </w:r>
      <w:r>
        <w:t>l</w:t>
      </w:r>
      <w:r w:rsidR="00B35393">
        <w:t>’</w:t>
      </w:r>
      <w:r>
        <w:t>Assemblée générale a approuvé les amendements aux Directives opérationnelles visant à créer un seul « Organe d</w:t>
      </w:r>
      <w:r w:rsidR="00B35393">
        <w:t>’</w:t>
      </w:r>
      <w:r>
        <w:t>évaluation » (six experts représentant les États parties à la Convention non membres du Comité et six organisations non gouvernementales accréditées), le Comité a continué de constituer l</w:t>
      </w:r>
      <w:r w:rsidR="00B35393">
        <w:t>’</w:t>
      </w:r>
      <w:r>
        <w:t>Organe d</w:t>
      </w:r>
      <w:r w:rsidR="00B35393">
        <w:t>’</w:t>
      </w:r>
      <w:r>
        <w:t>évaluation lors de ses onzième et douzième sessions en renouvelant trois sièges à chaque cycle.</w:t>
      </w:r>
    </w:p>
    <w:p w14:paraId="39F2B26B" w14:textId="5CEEFFFE" w:rsidR="0053318C" w:rsidRDefault="00462D41" w:rsidP="00294800">
      <w:pPr>
        <w:pStyle w:val="Marge"/>
        <w:numPr>
          <w:ilvl w:val="0"/>
          <w:numId w:val="14"/>
        </w:numPr>
        <w:spacing w:after="120"/>
        <w:ind w:left="567" w:hanging="567"/>
        <w:rPr>
          <w:i/>
        </w:rPr>
      </w:pPr>
      <w:r>
        <w:t xml:space="preserve">Suite à la recommandation formulée par le Comité dans sa </w:t>
      </w:r>
      <w:hyperlink r:id="rId36" w:history="1">
        <w:r>
          <w:rPr>
            <w:rStyle w:val="Hyperlink"/>
          </w:rPr>
          <w:t>décision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>10.COM 15.c</w:t>
        </w:r>
      </w:hyperlink>
      <w:r>
        <w:t>, en juin</w:t>
      </w:r>
      <w:r w:rsidR="003026A0">
        <w:t> </w:t>
      </w:r>
      <w:r>
        <w:t>2016, l</w:t>
      </w:r>
      <w:r w:rsidR="00B35393">
        <w:t>’</w:t>
      </w:r>
      <w:r>
        <w:t>Assemblée générale a approuvé les amendements des Directives opérationnelles afin de faire passer les demandes d</w:t>
      </w:r>
      <w:r w:rsidR="00B35393">
        <w:t>’</w:t>
      </w:r>
      <w:r>
        <w:t xml:space="preserve">assistance internationale pouvant être approuvées par le Bureau du Comité de 25 000 dollars des États-Unis à 100 000 dollars des États-Unis. Ainsi, durant la période </w:t>
      </w:r>
      <w:r w:rsidR="0092482E">
        <w:t>considérée</w:t>
      </w:r>
      <w:r>
        <w:t xml:space="preserve">, le Comité (pour les demandes supérieures à 100 000 dollars des États-Unis) </w:t>
      </w:r>
      <w:r w:rsidR="00294800">
        <w:t xml:space="preserve">ou </w:t>
      </w:r>
      <w:r>
        <w:t>le Bureau (pour les demandes jusqu</w:t>
      </w:r>
      <w:r w:rsidR="00B35393">
        <w:t>’</w:t>
      </w:r>
      <w:r>
        <w:t>à 100 000 dollars des États-Unis et les demandes d</w:t>
      </w:r>
      <w:r w:rsidR="00B35393">
        <w:t>’</w:t>
      </w:r>
      <w:r>
        <w:t xml:space="preserve">urgence) ont approuvé un total de </w:t>
      </w:r>
      <w:r w:rsidR="003026A0">
        <w:rPr>
          <w:szCs w:val="22"/>
          <w:highlight w:val="yellow"/>
        </w:rPr>
        <w:t xml:space="preserve">quinze </w:t>
      </w:r>
      <w:r>
        <w:rPr>
          <w:szCs w:val="22"/>
          <w:highlight w:val="yellow"/>
        </w:rPr>
        <w:t>demandes d</w:t>
      </w:r>
      <w:r w:rsidR="00B35393">
        <w:rPr>
          <w:szCs w:val="22"/>
          <w:highlight w:val="yellow"/>
        </w:rPr>
        <w:t>’</w:t>
      </w:r>
      <w:r>
        <w:rPr>
          <w:szCs w:val="22"/>
          <w:highlight w:val="yellow"/>
        </w:rPr>
        <w:t xml:space="preserve">assistance internationale sur </w:t>
      </w:r>
      <w:r w:rsidR="002700D6">
        <w:rPr>
          <w:szCs w:val="22"/>
          <w:highlight w:val="yellow"/>
        </w:rPr>
        <w:t>vingt-et-un</w:t>
      </w:r>
      <w:r>
        <w:rPr>
          <w:szCs w:val="22"/>
          <w:highlight w:val="yellow"/>
        </w:rPr>
        <w:t>,</w:t>
      </w:r>
      <w:r>
        <w:t xml:space="preserve"> pour un montant total de </w:t>
      </w:r>
      <w:r w:rsidR="003026A0" w:rsidRPr="001257F2">
        <w:rPr>
          <w:highlight w:val="yellow"/>
        </w:rPr>
        <w:t>1 206 565</w:t>
      </w:r>
      <w:r w:rsidRPr="001257F2">
        <w:rPr>
          <w:szCs w:val="22"/>
          <w:highlight w:val="yellow"/>
        </w:rPr>
        <w:t> </w:t>
      </w:r>
      <w:r>
        <w:rPr>
          <w:szCs w:val="22"/>
          <w:highlight w:val="yellow"/>
        </w:rPr>
        <w:t>dollars des États-Unis</w:t>
      </w:r>
      <w:r>
        <w:t xml:space="preserve"> (voir également dans le document </w:t>
      </w:r>
      <w:hyperlink r:id="rId37" w:history="1">
        <w:r w:rsidRPr="001257F2">
          <w:rPr>
            <w:rStyle w:val="Hyperlink"/>
            <w:szCs w:val="22"/>
          </w:rPr>
          <w:t>ITH/1</w:t>
        </w:r>
        <w:r w:rsidRPr="001257F2">
          <w:rPr>
            <w:rStyle w:val="Hyperlink"/>
          </w:rPr>
          <w:t>7/1</w:t>
        </w:r>
        <w:r w:rsidRPr="001257F2">
          <w:rPr>
            <w:rStyle w:val="Hyperlink"/>
          </w:rPr>
          <w:t>2</w:t>
        </w:r>
        <w:r w:rsidRPr="001257F2">
          <w:rPr>
            <w:rStyle w:val="Hyperlink"/>
          </w:rPr>
          <w:t>.COM/8.</w:t>
        </w:r>
        <w:r w:rsidR="0092482E" w:rsidRPr="001257F2">
          <w:rPr>
            <w:rStyle w:val="Hyperlink"/>
          </w:rPr>
          <w:t>a</w:t>
        </w:r>
      </w:hyperlink>
      <w:r>
        <w:t xml:space="preserve"> le rapport sur l</w:t>
      </w:r>
      <w:r w:rsidR="00B35393">
        <w:t>’</w:t>
      </w:r>
      <w:r>
        <w:t>utilisation de l</w:t>
      </w:r>
      <w:r w:rsidR="00B35393">
        <w:t>’</w:t>
      </w:r>
      <w:r>
        <w:t xml:space="preserve">assistance internationale par les États parties). Au total, </w:t>
      </w:r>
      <w:r w:rsidRPr="001257F2">
        <w:rPr>
          <w:highlight w:val="yellow"/>
        </w:rPr>
        <w:t>douze</w:t>
      </w:r>
      <w:r>
        <w:t xml:space="preserve"> pays ont reçu une assistance financière du Fonds pendant cette période. </w:t>
      </w:r>
      <w:r>
        <w:rPr>
          <w:i/>
          <w:highlight w:val="yellow"/>
        </w:rPr>
        <w:t>[</w:t>
      </w:r>
      <w:proofErr w:type="gramStart"/>
      <w:r>
        <w:rPr>
          <w:i/>
          <w:highlight w:val="yellow"/>
        </w:rPr>
        <w:t>à</w:t>
      </w:r>
      <w:proofErr w:type="gramEnd"/>
      <w:r>
        <w:rPr>
          <w:i/>
          <w:highlight w:val="yellow"/>
        </w:rPr>
        <w:t xml:space="preserve"> mettre à jour]</w:t>
      </w:r>
    </w:p>
    <w:p w14:paraId="407D92C4" w14:textId="59306408" w:rsidR="00E531A7" w:rsidRPr="003C20A5" w:rsidRDefault="00E531A7">
      <w:pPr>
        <w:pStyle w:val="Marge"/>
        <w:numPr>
          <w:ilvl w:val="0"/>
          <w:numId w:val="14"/>
        </w:numPr>
        <w:spacing w:after="120"/>
        <w:ind w:left="567" w:hanging="567"/>
        <w:rPr>
          <w:rFonts w:eastAsia="Arial"/>
        </w:rPr>
      </w:pPr>
      <w:r>
        <w:t xml:space="preserve">À la onzième session du Comité, plusieurs États membres et non membres du Comité ont fait part de leur préoccupation </w:t>
      </w:r>
      <w:r w:rsidR="004D4E88">
        <w:t>quant aux prises de</w:t>
      </w:r>
      <w:r>
        <w:t xml:space="preserve"> décisions </w:t>
      </w:r>
      <w:r w:rsidR="00294800">
        <w:t>concernant le processus</w:t>
      </w:r>
      <w:r>
        <w:t xml:space="preserve"> </w:t>
      </w:r>
      <w:r w:rsidR="00294800">
        <w:t>d’</w:t>
      </w:r>
      <w:r>
        <w:t>inscriptions</w:t>
      </w:r>
      <w:bookmarkStart w:id="0" w:name="_GoBack"/>
      <w:bookmarkEnd w:id="0"/>
      <w:r w:rsidR="00294800">
        <w:t xml:space="preserve"> et de </w:t>
      </w:r>
      <w:r>
        <w:t xml:space="preserve">sélections et, en particulier, au nombre très élevé </w:t>
      </w:r>
      <w:r w:rsidR="00294800">
        <w:t>d’inversions</w:t>
      </w:r>
      <w:r>
        <w:t xml:space="preserve"> (71 % - 17 sur 24) des recommandations de l</w:t>
      </w:r>
      <w:r w:rsidR="00B35393">
        <w:t>’</w:t>
      </w:r>
      <w:r>
        <w:t>Organe d</w:t>
      </w:r>
      <w:r w:rsidR="00B35393">
        <w:t>’</w:t>
      </w:r>
      <w:r>
        <w:t xml:space="preserve">évaluation. En réponse à ces préoccupations, le Comité a établi un groupe de travail informel ad hoc </w:t>
      </w:r>
      <w:r w:rsidR="00294800">
        <w:t>chargé d</w:t>
      </w:r>
      <w:proofErr w:type="gramStart"/>
      <w:r w:rsidR="00294800">
        <w:t>’</w:t>
      </w:r>
      <w:r>
        <w:t>«</w:t>
      </w:r>
      <w:proofErr w:type="gramEnd"/>
      <w:r>
        <w:t> examiner les questions relatives à la consultation et au dialogue entre l</w:t>
      </w:r>
      <w:r w:rsidR="00B35393">
        <w:t>’</w:t>
      </w:r>
      <w:r>
        <w:t>Organe d</w:t>
      </w:r>
      <w:r w:rsidR="00B35393">
        <w:t>’</w:t>
      </w:r>
      <w:r>
        <w:t>évaluation et les États soumissionnaires [et] la procédure de prise de décision du Comité sur les candidatures, propositions et demandes ». Il a en outre demandé au Secrétariat de « proposer, à la prochaine session du Comité, une procédure qui inclurait une étape intermédiaire dans l</w:t>
      </w:r>
      <w:r w:rsidR="00B35393">
        <w:t>’</w:t>
      </w:r>
      <w:r>
        <w:t>évaluation des dossiers, permettant ainsi aux États soumissionnaires de répondre à des recommandations préliminaires que l</w:t>
      </w:r>
      <w:r w:rsidR="00B35393">
        <w:t>’</w:t>
      </w:r>
      <w:r>
        <w:t>Organe d</w:t>
      </w:r>
      <w:r w:rsidR="00B35393">
        <w:t>’</w:t>
      </w:r>
      <w:r>
        <w:t>évaluation aurait préalablement adressées au Secrétariat » (</w:t>
      </w:r>
      <w:hyperlink r:id="rId38" w:history="1">
        <w:r w:rsidRPr="009A1D81">
          <w:rPr>
            <w:rStyle w:val="Hyperlink"/>
          </w:rPr>
          <w:t>décisi</w:t>
        </w:r>
        <w:r w:rsidRPr="009A1D81">
          <w:rPr>
            <w:rStyle w:val="Hyperlink"/>
          </w:rPr>
          <w:t>o</w:t>
        </w:r>
        <w:r w:rsidRPr="009A1D81">
          <w:rPr>
            <w:rStyle w:val="Hyperlink"/>
          </w:rPr>
          <w:t>n 11.COM 10</w:t>
        </w:r>
      </w:hyperlink>
      <w:r>
        <w:t>). Ce groupe s</w:t>
      </w:r>
      <w:r w:rsidR="00B35393">
        <w:t>’</w:t>
      </w:r>
      <w:r>
        <w:t xml:space="preserve">est réuni à cinq reprises pendant la période considérée : lors de trois réunions avec les États membres du Comité et de deux réunions à composition non limitée. Un aperçu détaillé des résultats de ces réunions </w:t>
      </w:r>
      <w:r w:rsidR="00294800">
        <w:t>et de</w:t>
      </w:r>
      <w:r>
        <w:t xml:space="preserve"> la proposition du Secrétariat figurent respectivement dans les documents de travail </w:t>
      </w:r>
      <w:hyperlink r:id="rId39" w:history="1">
        <w:r w:rsidRPr="001257F2">
          <w:rPr>
            <w:rStyle w:val="Hyperlink"/>
            <w:szCs w:val="22"/>
          </w:rPr>
          <w:t>ITH/17/12.COM/</w:t>
        </w:r>
        <w:r w:rsidR="00562C04" w:rsidRPr="001257F2">
          <w:rPr>
            <w:rStyle w:val="Hyperlink"/>
            <w:szCs w:val="22"/>
          </w:rPr>
          <w:t>13</w:t>
        </w:r>
      </w:hyperlink>
      <w:r w:rsidRPr="003C20A5">
        <w:t xml:space="preserve"> et </w:t>
      </w:r>
      <w:hyperlink r:id="rId40" w:history="1">
        <w:r w:rsidRPr="001257F2">
          <w:rPr>
            <w:rStyle w:val="Hyperlink"/>
            <w:szCs w:val="22"/>
          </w:rPr>
          <w:t>ITH/17/12.CO</w:t>
        </w:r>
        <w:r w:rsidRPr="001257F2">
          <w:rPr>
            <w:rStyle w:val="Hyperlink"/>
            <w:szCs w:val="22"/>
          </w:rPr>
          <w:t>M</w:t>
        </w:r>
        <w:r w:rsidRPr="001257F2">
          <w:rPr>
            <w:rStyle w:val="Hyperlink"/>
            <w:szCs w:val="22"/>
          </w:rPr>
          <w:t>/</w:t>
        </w:r>
        <w:r w:rsidR="00562C04" w:rsidRPr="001257F2">
          <w:rPr>
            <w:rStyle w:val="Hyperlink"/>
            <w:szCs w:val="22"/>
          </w:rPr>
          <w:t>12</w:t>
        </w:r>
      </w:hyperlink>
      <w:r w:rsidRPr="003C20A5">
        <w:t>.</w:t>
      </w:r>
    </w:p>
    <w:sectPr w:rsidR="00E531A7" w:rsidRPr="003C20A5" w:rsidSect="00655736">
      <w:headerReference w:type="even" r:id="rId41"/>
      <w:headerReference w:type="default" r:id="rId42"/>
      <w:headerReference w:type="first" r:id="rId43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97A47" w14:textId="77777777" w:rsidR="00E329FC" w:rsidRDefault="00E329FC" w:rsidP="00655736">
      <w:r>
        <w:separator/>
      </w:r>
    </w:p>
  </w:endnote>
  <w:endnote w:type="continuationSeparator" w:id="0">
    <w:p w14:paraId="2ACEDCB6" w14:textId="77777777" w:rsidR="00E329FC" w:rsidRDefault="00E329FC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011BA5" w14:textId="77777777" w:rsidR="00E329FC" w:rsidRDefault="00E329FC" w:rsidP="00655736">
      <w:r>
        <w:separator/>
      </w:r>
    </w:p>
  </w:footnote>
  <w:footnote w:type="continuationSeparator" w:id="0">
    <w:p w14:paraId="6761D976" w14:textId="77777777" w:rsidR="00E329FC" w:rsidRDefault="00E329FC" w:rsidP="00655736">
      <w:r>
        <w:continuationSeparator/>
      </w:r>
    </w:p>
  </w:footnote>
  <w:footnote w:id="1">
    <w:p w14:paraId="37023C0C" w14:textId="33E3963C" w:rsidR="00E329FC" w:rsidRPr="005E2351" w:rsidRDefault="00E329FC" w:rsidP="00F1442C">
      <w:pPr>
        <w:pStyle w:val="FootnoteText"/>
        <w:tabs>
          <w:tab w:val="left" w:pos="567"/>
        </w:tabs>
      </w:pPr>
      <w:r w:rsidRPr="00130C5D">
        <w:rPr>
          <w:rStyle w:val="FootnoteReference"/>
          <w:vertAlign w:val="baseline"/>
        </w:rPr>
        <w:footnoteRef/>
      </w:r>
      <w:r>
        <w:t>.</w:t>
      </w:r>
      <w:r>
        <w:tab/>
        <w:t xml:space="preserve">Pour plus de détails sur les indicateurs et les résultats, consulter le document </w:t>
      </w:r>
      <w:hyperlink r:id="rId1" w:history="1">
        <w:r>
          <w:rPr>
            <w:rStyle w:val="Hyperlink"/>
          </w:rPr>
          <w:t>ITH/16/11.</w:t>
        </w:r>
        <w:r>
          <w:rPr>
            <w:rStyle w:val="Hyperlink"/>
          </w:rPr>
          <w:t>C</w:t>
        </w:r>
        <w:r>
          <w:rPr>
            <w:rStyle w:val="Hyperlink"/>
          </w:rPr>
          <w:t>OM 2.BUR/1</w:t>
        </w:r>
      </w:hyperlink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B432A" w14:textId="57983BDC" w:rsidR="00E329FC" w:rsidRPr="00C23A97" w:rsidRDefault="00E329FC">
    <w:pPr>
      <w:pStyle w:val="Header"/>
      <w:rPr>
        <w:rFonts w:ascii="Arial" w:hAnsi="Arial" w:cs="Arial"/>
      </w:rPr>
    </w:pPr>
    <w:r>
      <w:rPr>
        <w:rFonts w:ascii="Arial" w:hAnsi="Arial"/>
        <w:sz w:val="20"/>
        <w:szCs w:val="20"/>
      </w:rPr>
      <w:t xml:space="preserve">ITH/17/12.COM/5.a – page </w:t>
    </w:r>
    <w:r w:rsidRPr="00C23A97">
      <w:rPr>
        <w:rStyle w:val="PageNumber"/>
        <w:rFonts w:ascii="Arial" w:hAnsi="Arial" w:cs="Arial"/>
        <w:sz w:val="20"/>
        <w:szCs w:val="20"/>
      </w:rPr>
      <w:fldChar w:fldCharType="begin"/>
    </w:r>
    <w:r w:rsidRPr="00C23A97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C23A97">
      <w:rPr>
        <w:rStyle w:val="PageNumber"/>
        <w:rFonts w:ascii="Arial" w:hAnsi="Arial" w:cs="Arial"/>
        <w:sz w:val="20"/>
        <w:szCs w:val="20"/>
      </w:rPr>
      <w:fldChar w:fldCharType="separate"/>
    </w:r>
    <w:r w:rsidR="00E624F3">
      <w:rPr>
        <w:rStyle w:val="PageNumber"/>
        <w:rFonts w:ascii="Arial" w:hAnsi="Arial" w:cs="Arial"/>
        <w:noProof/>
        <w:sz w:val="20"/>
        <w:szCs w:val="20"/>
      </w:rPr>
      <w:t>6</w:t>
    </w:r>
    <w:r w:rsidRPr="00C23A97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1C21D" w14:textId="6A19C5C9" w:rsidR="00E329FC" w:rsidRPr="0063300C" w:rsidRDefault="00E329FC" w:rsidP="0063300C">
    <w:pPr>
      <w:pStyle w:val="Header"/>
      <w:jc w:val="right"/>
      <w:rPr>
        <w:rFonts w:ascii="Arial" w:hAnsi="Arial" w:cs="Arial"/>
      </w:rPr>
    </w:pPr>
    <w:r>
      <w:rPr>
        <w:rFonts w:ascii="Arial" w:hAnsi="Arial"/>
        <w:sz w:val="20"/>
        <w:szCs w:val="20"/>
      </w:rPr>
      <w:t xml:space="preserve">ITH/17/12.COM/5.a – page </w:t>
    </w:r>
    <w:r w:rsidRPr="0063300C">
      <w:rPr>
        <w:rStyle w:val="PageNumber"/>
        <w:rFonts w:ascii="Arial" w:hAnsi="Arial" w:cs="Arial"/>
        <w:sz w:val="20"/>
        <w:szCs w:val="20"/>
      </w:rPr>
      <w:fldChar w:fldCharType="begin"/>
    </w:r>
    <w:r w:rsidRPr="0063300C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63300C">
      <w:rPr>
        <w:rStyle w:val="PageNumber"/>
        <w:rFonts w:ascii="Arial" w:hAnsi="Arial" w:cs="Arial"/>
        <w:sz w:val="20"/>
        <w:szCs w:val="20"/>
      </w:rPr>
      <w:fldChar w:fldCharType="separate"/>
    </w:r>
    <w:r w:rsidR="00E624F3">
      <w:rPr>
        <w:rStyle w:val="PageNumber"/>
        <w:rFonts w:ascii="Arial" w:hAnsi="Arial" w:cs="Arial"/>
        <w:noProof/>
        <w:sz w:val="20"/>
        <w:szCs w:val="20"/>
      </w:rPr>
      <w:t>7</w:t>
    </w:r>
    <w:r w:rsidRPr="0063300C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2B9DB" w14:textId="4E5DBAF1" w:rsidR="00E329FC" w:rsidRPr="00F32C23" w:rsidRDefault="00E329FC">
    <w:pPr>
      <w:pStyle w:val="Header"/>
    </w:pPr>
    <w:r>
      <w:rPr>
        <w:noProof/>
        <w:lang w:val="en-US" w:eastAsia="ko-KR"/>
      </w:rPr>
      <w:drawing>
        <wp:anchor distT="0" distB="0" distL="114300" distR="114300" simplePos="0" relativeHeight="251659264" behindDoc="0" locked="0" layoutInCell="1" allowOverlap="1" wp14:anchorId="7CD98E55" wp14:editId="230A2FBB">
          <wp:simplePos x="0" y="0"/>
          <wp:positionH relativeFrom="page">
            <wp:posOffset>342265</wp:posOffset>
          </wp:positionH>
          <wp:positionV relativeFrom="page">
            <wp:posOffset>255905</wp:posOffset>
          </wp:positionV>
          <wp:extent cx="2037600" cy="1530000"/>
          <wp:effectExtent l="0" t="0" r="1270" b="0"/>
          <wp:wrapNone/>
          <wp:docPr id="1" name="Picture 15" descr="unesco_logo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unesco_logo_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7600" cy="153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90FC1E" w14:textId="77777777" w:rsidR="00E329FC" w:rsidRPr="00F30DC6" w:rsidRDefault="00E329FC" w:rsidP="00655736">
    <w:pPr>
      <w:pStyle w:val="Header"/>
      <w:spacing w:after="520"/>
      <w:jc w:val="right"/>
      <w:rPr>
        <w:rFonts w:ascii="Arial" w:hAnsi="Arial" w:cs="Arial"/>
        <w:b/>
        <w:sz w:val="44"/>
        <w:szCs w:val="44"/>
      </w:rPr>
    </w:pPr>
    <w:r>
      <w:rPr>
        <w:rFonts w:ascii="Arial" w:hAnsi="Arial"/>
        <w:b/>
        <w:sz w:val="44"/>
        <w:szCs w:val="44"/>
      </w:rPr>
      <w:t>12 COM</w:t>
    </w:r>
  </w:p>
  <w:p w14:paraId="3F250AE0" w14:textId="54B2F2C3" w:rsidR="00E329FC" w:rsidRPr="00DA3F7B" w:rsidRDefault="00E329FC" w:rsidP="00655736">
    <w:pPr>
      <w:jc w:val="right"/>
      <w:rPr>
        <w:rFonts w:ascii="Arial" w:eastAsiaTheme="minorEastAsia" w:hAnsi="Arial" w:cs="Arial"/>
        <w:b/>
        <w:sz w:val="22"/>
        <w:szCs w:val="22"/>
      </w:rPr>
    </w:pPr>
    <w:r>
      <w:rPr>
        <w:rFonts w:ascii="Arial" w:hAnsi="Arial"/>
        <w:b/>
        <w:sz w:val="22"/>
        <w:szCs w:val="22"/>
      </w:rPr>
      <w:t>ITH/17/12.COM/</w:t>
    </w:r>
    <w:proofErr w:type="gramStart"/>
    <w:r>
      <w:rPr>
        <w:rFonts w:ascii="Arial" w:hAnsi="Arial"/>
        <w:b/>
        <w:sz w:val="22"/>
        <w:szCs w:val="22"/>
      </w:rPr>
      <w:t>5.a</w:t>
    </w:r>
    <w:proofErr w:type="gramEnd"/>
  </w:p>
  <w:p w14:paraId="0B1F1682" w14:textId="307A6D69" w:rsidR="00E329FC" w:rsidRPr="00337CEB" w:rsidRDefault="00E329FC" w:rsidP="00655736">
    <w:pPr>
      <w:jc w:val="right"/>
      <w:rPr>
        <w:rFonts w:ascii="Arial" w:eastAsiaTheme="minorEastAsia" w:hAnsi="Arial" w:cs="Arial"/>
        <w:b/>
        <w:sz w:val="22"/>
        <w:szCs w:val="22"/>
      </w:rPr>
    </w:pPr>
    <w:r>
      <w:rPr>
        <w:rFonts w:ascii="Arial" w:hAnsi="Arial"/>
        <w:b/>
        <w:sz w:val="22"/>
        <w:szCs w:val="22"/>
      </w:rPr>
      <w:t xml:space="preserve">Paris, le </w:t>
    </w:r>
    <w:r w:rsidR="00896981">
      <w:rPr>
        <w:rFonts w:ascii="Arial" w:hAnsi="Arial"/>
        <w:b/>
        <w:sz w:val="22"/>
        <w:szCs w:val="22"/>
      </w:rPr>
      <w:t>6</w:t>
    </w:r>
    <w:r w:rsidR="00345F73">
      <w:rPr>
        <w:rFonts w:ascii="Arial" w:hAnsi="Arial"/>
        <w:b/>
        <w:sz w:val="22"/>
        <w:szCs w:val="22"/>
      </w:rPr>
      <w:t xml:space="preserve"> novembre</w:t>
    </w:r>
    <w:r>
      <w:rPr>
        <w:rFonts w:ascii="Arial" w:hAnsi="Arial"/>
        <w:b/>
        <w:sz w:val="22"/>
        <w:szCs w:val="22"/>
      </w:rPr>
      <w:t> 2017</w:t>
    </w:r>
  </w:p>
  <w:p w14:paraId="42AF389E" w14:textId="77777777" w:rsidR="00E329FC" w:rsidRPr="00DA3F7B" w:rsidRDefault="00E329FC" w:rsidP="000048ED">
    <w:pPr>
      <w:jc w:val="right"/>
      <w:rPr>
        <w:rFonts w:ascii="Arial" w:eastAsiaTheme="minorEastAsia" w:hAnsi="Arial" w:cs="Arial"/>
        <w:b/>
        <w:sz w:val="22"/>
        <w:szCs w:val="22"/>
      </w:rPr>
    </w:pPr>
    <w:r>
      <w:rPr>
        <w:rFonts w:ascii="Arial" w:hAnsi="Arial"/>
        <w:b/>
        <w:sz w:val="22"/>
        <w:szCs w:val="22"/>
      </w:rPr>
      <w:t>Original : anglais</w:t>
    </w:r>
  </w:p>
  <w:p w14:paraId="571BD280" w14:textId="77777777" w:rsidR="00E329FC" w:rsidRPr="001257F2" w:rsidRDefault="00E329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B"/>
    <w:multiLevelType w:val="multilevel"/>
    <w:tmpl w:val="52DE94A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2E411C8"/>
    <w:multiLevelType w:val="hybridMultilevel"/>
    <w:tmpl w:val="AFC481B0"/>
    <w:lvl w:ilvl="0" w:tplc="CF1ACF6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4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F7B6D05"/>
    <w:multiLevelType w:val="hybridMultilevel"/>
    <w:tmpl w:val="4C4EE242"/>
    <w:lvl w:ilvl="0" w:tplc="42E600F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AB35019"/>
    <w:multiLevelType w:val="multilevel"/>
    <w:tmpl w:val="F4A297D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Arial" w:eastAsia="Arial" w:hAnsi="Arial" w:cs="Arial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F07BFE"/>
    <w:multiLevelType w:val="hybridMultilevel"/>
    <w:tmpl w:val="E24AD55A"/>
    <w:lvl w:ilvl="0" w:tplc="76CAC304">
      <w:start w:val="1"/>
      <w:numFmt w:val="decimal"/>
      <w:pStyle w:val="COM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97A4DB1"/>
    <w:multiLevelType w:val="hybridMultilevel"/>
    <w:tmpl w:val="1F36D964"/>
    <w:lvl w:ilvl="0" w:tplc="918ACE6A">
      <w:start w:val="1"/>
      <w:numFmt w:val="decimal"/>
      <w:pStyle w:val="COMParaDecis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AC30BD2"/>
    <w:multiLevelType w:val="hybridMultilevel"/>
    <w:tmpl w:val="2F02E984"/>
    <w:lvl w:ilvl="0" w:tplc="DFC65752">
      <w:start w:val="1"/>
      <w:numFmt w:val="upperRoman"/>
      <w:pStyle w:val="Heading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E410AE"/>
    <w:multiLevelType w:val="hybridMultilevel"/>
    <w:tmpl w:val="FC284EC2"/>
    <w:lvl w:ilvl="0" w:tplc="DD9A1A16">
      <w:start w:val="1"/>
      <w:numFmt w:val="decimal"/>
      <w:lvlText w:val="%1."/>
      <w:lvlJc w:val="left"/>
      <w:pPr>
        <w:ind w:left="1779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3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5E3447DA"/>
    <w:multiLevelType w:val="hybridMultilevel"/>
    <w:tmpl w:val="699E37AA"/>
    <w:lvl w:ilvl="0" w:tplc="E08849BA">
      <w:start w:val="1"/>
      <w:numFmt w:val="decimal"/>
      <w:pStyle w:val="5GAparabodytext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4"/>
  </w:num>
  <w:num w:numId="4">
    <w:abstractNumId w:val="17"/>
  </w:num>
  <w:num w:numId="5">
    <w:abstractNumId w:val="16"/>
  </w:num>
  <w:num w:numId="6">
    <w:abstractNumId w:val="3"/>
  </w:num>
  <w:num w:numId="7">
    <w:abstractNumId w:val="5"/>
  </w:num>
  <w:num w:numId="8">
    <w:abstractNumId w:val="13"/>
  </w:num>
  <w:num w:numId="9">
    <w:abstractNumId w:val="8"/>
  </w:num>
  <w:num w:numId="10">
    <w:abstractNumId w:val="10"/>
  </w:num>
  <w:num w:numId="11">
    <w:abstractNumId w:val="12"/>
  </w:num>
  <w:num w:numId="12">
    <w:abstractNumId w:val="11"/>
  </w:num>
  <w:num w:numId="13">
    <w:abstractNumId w:val="0"/>
  </w:num>
  <w:num w:numId="14">
    <w:abstractNumId w:val="7"/>
  </w:num>
  <w:num w:numId="15">
    <w:abstractNumId w:val="1"/>
  </w:num>
  <w:num w:numId="16">
    <w:abstractNumId w:val="6"/>
  </w:num>
  <w:num w:numId="17">
    <w:abstractNumId w:val="2"/>
  </w:num>
  <w:num w:numId="18">
    <w:abstractNumId w:val="14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542"/>
    <w:rsid w:val="000048ED"/>
    <w:rsid w:val="000155C1"/>
    <w:rsid w:val="00017706"/>
    <w:rsid w:val="00041A66"/>
    <w:rsid w:val="0005176E"/>
    <w:rsid w:val="00052B14"/>
    <w:rsid w:val="0006206C"/>
    <w:rsid w:val="00062BB2"/>
    <w:rsid w:val="000765F7"/>
    <w:rsid w:val="00077AB7"/>
    <w:rsid w:val="00081CD8"/>
    <w:rsid w:val="00081D63"/>
    <w:rsid w:val="000851AA"/>
    <w:rsid w:val="00097FEF"/>
    <w:rsid w:val="000A7A60"/>
    <w:rsid w:val="000A7F0E"/>
    <w:rsid w:val="000B1C8F"/>
    <w:rsid w:val="000C0714"/>
    <w:rsid w:val="000C0D61"/>
    <w:rsid w:val="000C57B1"/>
    <w:rsid w:val="000D7F10"/>
    <w:rsid w:val="000E0D96"/>
    <w:rsid w:val="000F3A3F"/>
    <w:rsid w:val="00102557"/>
    <w:rsid w:val="00106D04"/>
    <w:rsid w:val="00113F05"/>
    <w:rsid w:val="001257F2"/>
    <w:rsid w:val="00130C5D"/>
    <w:rsid w:val="0014023A"/>
    <w:rsid w:val="00142D1F"/>
    <w:rsid w:val="00144C64"/>
    <w:rsid w:val="00151987"/>
    <w:rsid w:val="001551B5"/>
    <w:rsid w:val="00164D56"/>
    <w:rsid w:val="00167922"/>
    <w:rsid w:val="00167B10"/>
    <w:rsid w:val="0017402F"/>
    <w:rsid w:val="00174E57"/>
    <w:rsid w:val="0018310E"/>
    <w:rsid w:val="00185331"/>
    <w:rsid w:val="0018795E"/>
    <w:rsid w:val="00194526"/>
    <w:rsid w:val="00196C1B"/>
    <w:rsid w:val="001B0F73"/>
    <w:rsid w:val="001C2DB7"/>
    <w:rsid w:val="001D5C04"/>
    <w:rsid w:val="001D738F"/>
    <w:rsid w:val="001D76B1"/>
    <w:rsid w:val="001E672B"/>
    <w:rsid w:val="001F1AAA"/>
    <w:rsid w:val="001F20C7"/>
    <w:rsid w:val="001F26CF"/>
    <w:rsid w:val="001F27E0"/>
    <w:rsid w:val="001F69A7"/>
    <w:rsid w:val="002120DC"/>
    <w:rsid w:val="00212EB3"/>
    <w:rsid w:val="002224BB"/>
    <w:rsid w:val="00222A2D"/>
    <w:rsid w:val="00223029"/>
    <w:rsid w:val="00234745"/>
    <w:rsid w:val="0023670B"/>
    <w:rsid w:val="002407AF"/>
    <w:rsid w:val="00241AD0"/>
    <w:rsid w:val="00255FD5"/>
    <w:rsid w:val="002700D6"/>
    <w:rsid w:val="00271A1A"/>
    <w:rsid w:val="00272324"/>
    <w:rsid w:val="00272ADF"/>
    <w:rsid w:val="0027466B"/>
    <w:rsid w:val="002802B0"/>
    <w:rsid w:val="00280CA8"/>
    <w:rsid w:val="002838A5"/>
    <w:rsid w:val="00285BB4"/>
    <w:rsid w:val="0029262D"/>
    <w:rsid w:val="0029460B"/>
    <w:rsid w:val="00294800"/>
    <w:rsid w:val="002B0431"/>
    <w:rsid w:val="002C09E3"/>
    <w:rsid w:val="002C2C72"/>
    <w:rsid w:val="002F3DA0"/>
    <w:rsid w:val="003026A0"/>
    <w:rsid w:val="003057E1"/>
    <w:rsid w:val="0030731E"/>
    <w:rsid w:val="00316B3C"/>
    <w:rsid w:val="0031756C"/>
    <w:rsid w:val="00334C4B"/>
    <w:rsid w:val="00335F4E"/>
    <w:rsid w:val="00337CEB"/>
    <w:rsid w:val="00344B58"/>
    <w:rsid w:val="00344BAF"/>
    <w:rsid w:val="0034539A"/>
    <w:rsid w:val="00345CB4"/>
    <w:rsid w:val="00345F73"/>
    <w:rsid w:val="003704D8"/>
    <w:rsid w:val="00370A83"/>
    <w:rsid w:val="00375D42"/>
    <w:rsid w:val="00387F78"/>
    <w:rsid w:val="003A159C"/>
    <w:rsid w:val="003B252D"/>
    <w:rsid w:val="003B26A8"/>
    <w:rsid w:val="003C0DF0"/>
    <w:rsid w:val="003C20A5"/>
    <w:rsid w:val="003C7826"/>
    <w:rsid w:val="003D069C"/>
    <w:rsid w:val="003D39C9"/>
    <w:rsid w:val="003D7646"/>
    <w:rsid w:val="003F113A"/>
    <w:rsid w:val="003F21E6"/>
    <w:rsid w:val="003F3E12"/>
    <w:rsid w:val="003F3E63"/>
    <w:rsid w:val="003F53A5"/>
    <w:rsid w:val="00407480"/>
    <w:rsid w:val="00414643"/>
    <w:rsid w:val="00424AB4"/>
    <w:rsid w:val="00427901"/>
    <w:rsid w:val="004421E5"/>
    <w:rsid w:val="00452284"/>
    <w:rsid w:val="00457C8E"/>
    <w:rsid w:val="00462D41"/>
    <w:rsid w:val="004708B0"/>
    <w:rsid w:val="004856CA"/>
    <w:rsid w:val="00487E67"/>
    <w:rsid w:val="00490E89"/>
    <w:rsid w:val="0049705E"/>
    <w:rsid w:val="004972E2"/>
    <w:rsid w:val="004A34A0"/>
    <w:rsid w:val="004B0622"/>
    <w:rsid w:val="004B6A94"/>
    <w:rsid w:val="004D3222"/>
    <w:rsid w:val="004D4E88"/>
    <w:rsid w:val="004E2A5C"/>
    <w:rsid w:val="005008A8"/>
    <w:rsid w:val="005078D8"/>
    <w:rsid w:val="005136D1"/>
    <w:rsid w:val="0051732B"/>
    <w:rsid w:val="00526497"/>
    <w:rsid w:val="00526B7B"/>
    <w:rsid w:val="005308CE"/>
    <w:rsid w:val="0053318C"/>
    <w:rsid w:val="00536078"/>
    <w:rsid w:val="00541FBB"/>
    <w:rsid w:val="0054653D"/>
    <w:rsid w:val="00555185"/>
    <w:rsid w:val="00557D60"/>
    <w:rsid w:val="00562C04"/>
    <w:rsid w:val="00573257"/>
    <w:rsid w:val="0057439C"/>
    <w:rsid w:val="00584282"/>
    <w:rsid w:val="0058743B"/>
    <w:rsid w:val="005909D8"/>
    <w:rsid w:val="005B0127"/>
    <w:rsid w:val="005B6910"/>
    <w:rsid w:val="005B7A35"/>
    <w:rsid w:val="005C4B73"/>
    <w:rsid w:val="005D696B"/>
    <w:rsid w:val="005E1D2B"/>
    <w:rsid w:val="005E7074"/>
    <w:rsid w:val="005F26AC"/>
    <w:rsid w:val="005F2BAF"/>
    <w:rsid w:val="00600D93"/>
    <w:rsid w:val="00625D6F"/>
    <w:rsid w:val="0063300C"/>
    <w:rsid w:val="006376D6"/>
    <w:rsid w:val="00655736"/>
    <w:rsid w:val="00663B8D"/>
    <w:rsid w:val="00682C97"/>
    <w:rsid w:val="00686059"/>
    <w:rsid w:val="00690A2C"/>
    <w:rsid w:val="00692183"/>
    <w:rsid w:val="00696C8D"/>
    <w:rsid w:val="006A2AC2"/>
    <w:rsid w:val="006A3617"/>
    <w:rsid w:val="006B6DF9"/>
    <w:rsid w:val="006B7D58"/>
    <w:rsid w:val="006C7FB0"/>
    <w:rsid w:val="006E46E4"/>
    <w:rsid w:val="006F0100"/>
    <w:rsid w:val="006F6FD4"/>
    <w:rsid w:val="00717DA5"/>
    <w:rsid w:val="007268BA"/>
    <w:rsid w:val="00727946"/>
    <w:rsid w:val="00734102"/>
    <w:rsid w:val="00744484"/>
    <w:rsid w:val="00747566"/>
    <w:rsid w:val="007646C8"/>
    <w:rsid w:val="00773188"/>
    <w:rsid w:val="00783782"/>
    <w:rsid w:val="00784B8C"/>
    <w:rsid w:val="007879E1"/>
    <w:rsid w:val="00790700"/>
    <w:rsid w:val="007914D1"/>
    <w:rsid w:val="00797EC1"/>
    <w:rsid w:val="007A2D07"/>
    <w:rsid w:val="007C31A3"/>
    <w:rsid w:val="0081503C"/>
    <w:rsid w:val="00823A11"/>
    <w:rsid w:val="00830458"/>
    <w:rsid w:val="0083098C"/>
    <w:rsid w:val="00831432"/>
    <w:rsid w:val="008341FF"/>
    <w:rsid w:val="008468E1"/>
    <w:rsid w:val="00850034"/>
    <w:rsid w:val="00853D32"/>
    <w:rsid w:val="0085405E"/>
    <w:rsid w:val="0085414A"/>
    <w:rsid w:val="0086269D"/>
    <w:rsid w:val="0086543A"/>
    <w:rsid w:val="008724E5"/>
    <w:rsid w:val="00884A9D"/>
    <w:rsid w:val="0088512B"/>
    <w:rsid w:val="00896981"/>
    <w:rsid w:val="008A2B2D"/>
    <w:rsid w:val="008A35DC"/>
    <w:rsid w:val="008A4E1E"/>
    <w:rsid w:val="008A7BB3"/>
    <w:rsid w:val="008B4E06"/>
    <w:rsid w:val="008C120E"/>
    <w:rsid w:val="008C1E3F"/>
    <w:rsid w:val="008C296C"/>
    <w:rsid w:val="008D378B"/>
    <w:rsid w:val="008D4305"/>
    <w:rsid w:val="008D6D2A"/>
    <w:rsid w:val="008E17BB"/>
    <w:rsid w:val="008E1A85"/>
    <w:rsid w:val="0090037C"/>
    <w:rsid w:val="00905920"/>
    <w:rsid w:val="00906A6F"/>
    <w:rsid w:val="00906CC4"/>
    <w:rsid w:val="00915C74"/>
    <w:rsid w:val="009163A7"/>
    <w:rsid w:val="00917BE9"/>
    <w:rsid w:val="00920B3A"/>
    <w:rsid w:val="0092482E"/>
    <w:rsid w:val="00946D0B"/>
    <w:rsid w:val="00955877"/>
    <w:rsid w:val="00960447"/>
    <w:rsid w:val="009A18CD"/>
    <w:rsid w:val="009A19CA"/>
    <w:rsid w:val="009A1D81"/>
    <w:rsid w:val="009C445B"/>
    <w:rsid w:val="009D5428"/>
    <w:rsid w:val="009E2BF6"/>
    <w:rsid w:val="009F0911"/>
    <w:rsid w:val="009F4235"/>
    <w:rsid w:val="009F47E5"/>
    <w:rsid w:val="009F7856"/>
    <w:rsid w:val="00A01A56"/>
    <w:rsid w:val="00A06AF0"/>
    <w:rsid w:val="00A116E9"/>
    <w:rsid w:val="00A12558"/>
    <w:rsid w:val="00A13903"/>
    <w:rsid w:val="00A14644"/>
    <w:rsid w:val="00A258F6"/>
    <w:rsid w:val="00A34ED5"/>
    <w:rsid w:val="00A45DBF"/>
    <w:rsid w:val="00A54C5F"/>
    <w:rsid w:val="00A57C0A"/>
    <w:rsid w:val="00A67285"/>
    <w:rsid w:val="00A755A2"/>
    <w:rsid w:val="00A8033D"/>
    <w:rsid w:val="00A90EE5"/>
    <w:rsid w:val="00AA5D90"/>
    <w:rsid w:val="00AA6660"/>
    <w:rsid w:val="00AB2C36"/>
    <w:rsid w:val="00AB5684"/>
    <w:rsid w:val="00AB6DDE"/>
    <w:rsid w:val="00AB70B6"/>
    <w:rsid w:val="00AD0FD6"/>
    <w:rsid w:val="00AD1A86"/>
    <w:rsid w:val="00AD518E"/>
    <w:rsid w:val="00AD5E6E"/>
    <w:rsid w:val="00AD7B07"/>
    <w:rsid w:val="00AE0BFE"/>
    <w:rsid w:val="00AE103E"/>
    <w:rsid w:val="00AE15C2"/>
    <w:rsid w:val="00AF0A07"/>
    <w:rsid w:val="00AF23BB"/>
    <w:rsid w:val="00AF4AEC"/>
    <w:rsid w:val="00AF625E"/>
    <w:rsid w:val="00B050C1"/>
    <w:rsid w:val="00B176B1"/>
    <w:rsid w:val="00B25D0F"/>
    <w:rsid w:val="00B35393"/>
    <w:rsid w:val="00B369FB"/>
    <w:rsid w:val="00B42B54"/>
    <w:rsid w:val="00B51DD8"/>
    <w:rsid w:val="00B74443"/>
    <w:rsid w:val="00B771A9"/>
    <w:rsid w:val="00B83749"/>
    <w:rsid w:val="00BA35AC"/>
    <w:rsid w:val="00BA5E46"/>
    <w:rsid w:val="00BB04AF"/>
    <w:rsid w:val="00BB0951"/>
    <w:rsid w:val="00BB0CBD"/>
    <w:rsid w:val="00BC04BF"/>
    <w:rsid w:val="00BD52C9"/>
    <w:rsid w:val="00BE6354"/>
    <w:rsid w:val="00BF7EA3"/>
    <w:rsid w:val="00C05DE5"/>
    <w:rsid w:val="00C138D1"/>
    <w:rsid w:val="00C13A81"/>
    <w:rsid w:val="00C233DD"/>
    <w:rsid w:val="00C23A97"/>
    <w:rsid w:val="00C24DA6"/>
    <w:rsid w:val="00C3276E"/>
    <w:rsid w:val="00C338DF"/>
    <w:rsid w:val="00C401ED"/>
    <w:rsid w:val="00C407DA"/>
    <w:rsid w:val="00C56F51"/>
    <w:rsid w:val="00C64855"/>
    <w:rsid w:val="00C70EA7"/>
    <w:rsid w:val="00C71FD4"/>
    <w:rsid w:val="00C73626"/>
    <w:rsid w:val="00C7433F"/>
    <w:rsid w:val="00C7516E"/>
    <w:rsid w:val="00C75770"/>
    <w:rsid w:val="00CA0753"/>
    <w:rsid w:val="00CA5338"/>
    <w:rsid w:val="00CA56BB"/>
    <w:rsid w:val="00CB0542"/>
    <w:rsid w:val="00CC0E05"/>
    <w:rsid w:val="00CD65BD"/>
    <w:rsid w:val="00D00B2B"/>
    <w:rsid w:val="00D079F3"/>
    <w:rsid w:val="00D22167"/>
    <w:rsid w:val="00D22E25"/>
    <w:rsid w:val="00D24877"/>
    <w:rsid w:val="00D43683"/>
    <w:rsid w:val="00D51757"/>
    <w:rsid w:val="00D72AE5"/>
    <w:rsid w:val="00D8250F"/>
    <w:rsid w:val="00D90916"/>
    <w:rsid w:val="00D95C4C"/>
    <w:rsid w:val="00DA36ED"/>
    <w:rsid w:val="00DA3F7B"/>
    <w:rsid w:val="00DE34F1"/>
    <w:rsid w:val="00DE6160"/>
    <w:rsid w:val="00DF0146"/>
    <w:rsid w:val="00DF4942"/>
    <w:rsid w:val="00E0037F"/>
    <w:rsid w:val="00E07578"/>
    <w:rsid w:val="00E12F57"/>
    <w:rsid w:val="00E1377D"/>
    <w:rsid w:val="00E20CC3"/>
    <w:rsid w:val="00E244E1"/>
    <w:rsid w:val="00E329FC"/>
    <w:rsid w:val="00E34B78"/>
    <w:rsid w:val="00E37A0F"/>
    <w:rsid w:val="00E45D2E"/>
    <w:rsid w:val="00E52135"/>
    <w:rsid w:val="00E531A7"/>
    <w:rsid w:val="00E57637"/>
    <w:rsid w:val="00E624F3"/>
    <w:rsid w:val="00E627B1"/>
    <w:rsid w:val="00E63049"/>
    <w:rsid w:val="00E65680"/>
    <w:rsid w:val="00E70169"/>
    <w:rsid w:val="00E75C6A"/>
    <w:rsid w:val="00E8094B"/>
    <w:rsid w:val="00E9376C"/>
    <w:rsid w:val="00E961D2"/>
    <w:rsid w:val="00EA261B"/>
    <w:rsid w:val="00EA335E"/>
    <w:rsid w:val="00EA41DD"/>
    <w:rsid w:val="00EA528C"/>
    <w:rsid w:val="00EA580C"/>
    <w:rsid w:val="00EA5E6B"/>
    <w:rsid w:val="00EC6F8D"/>
    <w:rsid w:val="00ED1628"/>
    <w:rsid w:val="00ED6E7E"/>
    <w:rsid w:val="00EE3A9B"/>
    <w:rsid w:val="00EE49F4"/>
    <w:rsid w:val="00EF0BE8"/>
    <w:rsid w:val="00EF34E2"/>
    <w:rsid w:val="00F03619"/>
    <w:rsid w:val="00F065F7"/>
    <w:rsid w:val="00F107DF"/>
    <w:rsid w:val="00F1442C"/>
    <w:rsid w:val="00F17533"/>
    <w:rsid w:val="00F2297F"/>
    <w:rsid w:val="00F2499C"/>
    <w:rsid w:val="00F30DC6"/>
    <w:rsid w:val="00F32C23"/>
    <w:rsid w:val="00F34F12"/>
    <w:rsid w:val="00F53DE9"/>
    <w:rsid w:val="00F54753"/>
    <w:rsid w:val="00F576CB"/>
    <w:rsid w:val="00F63D3C"/>
    <w:rsid w:val="00F7035D"/>
    <w:rsid w:val="00F7100C"/>
    <w:rsid w:val="00F71A02"/>
    <w:rsid w:val="00F7210A"/>
    <w:rsid w:val="00F802BB"/>
    <w:rsid w:val="00FA0D63"/>
    <w:rsid w:val="00FA11C7"/>
    <w:rsid w:val="00FA31FB"/>
    <w:rsid w:val="00FA56A3"/>
    <w:rsid w:val="00FA65E9"/>
    <w:rsid w:val="00FA7D08"/>
    <w:rsid w:val="00FB6700"/>
    <w:rsid w:val="00FB7277"/>
    <w:rsid w:val="00FC3270"/>
    <w:rsid w:val="00FD006E"/>
    <w:rsid w:val="00FD1226"/>
    <w:rsid w:val="00FD1EA0"/>
    <w:rsid w:val="00FD7395"/>
    <w:rsid w:val="00FF4830"/>
    <w:rsid w:val="00FF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0FBE585D"/>
  <w15:docId w15:val="{1577F60F-5D00-4F8B-AC0A-049981536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COM Heading"/>
    <w:basedOn w:val="Normal"/>
    <w:next w:val="Normal"/>
    <w:link w:val="Heading4Ch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fr-FR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COM Heading Char"/>
    <w:link w:val="Heading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</w:rPr>
  </w:style>
  <w:style w:type="paragraph" w:customStyle="1" w:styleId="COMPara">
    <w:name w:val="COM Para"/>
    <w:qFormat/>
    <w:rsid w:val="00345CB4"/>
    <w:pPr>
      <w:numPr>
        <w:numId w:val="9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eastAsia="en-US"/>
    </w:rPr>
  </w:style>
  <w:style w:type="paragraph" w:customStyle="1" w:styleId="COMTitleDecision">
    <w:name w:val="COM Title Decis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</w:rPr>
  </w:style>
  <w:style w:type="paragraph" w:customStyle="1" w:styleId="COMPreambulaDecisions">
    <w:name w:val="COM Preambula Decisions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</w:rPr>
  </w:style>
  <w:style w:type="paragraph" w:customStyle="1" w:styleId="COMParaDecision">
    <w:name w:val="COM Para Decis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</w:rPr>
  </w:style>
  <w:style w:type="character" w:styleId="Hyperlink">
    <w:name w:val="Hyperlink"/>
    <w:uiPriority w:val="99"/>
    <w:unhideWhenUsed/>
    <w:rsid w:val="00081D63"/>
    <w:rPr>
      <w:color w:val="0000FF"/>
      <w:u w:val="single"/>
    </w:rPr>
  </w:style>
  <w:style w:type="paragraph" w:styleId="ListParagraph">
    <w:name w:val="List Paragraph"/>
    <w:basedOn w:val="Normal"/>
    <w:qFormat/>
    <w:rsid w:val="00C233D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C233DD"/>
    <w:pPr>
      <w:spacing w:before="60" w:after="60"/>
      <w:jc w:val="both"/>
    </w:pPr>
    <w:rPr>
      <w:rFonts w:ascii="Arial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233DD"/>
    <w:rPr>
      <w:rFonts w:ascii="Arial" w:eastAsia="Times New Roman" w:hAnsi="Arial"/>
      <w:lang w:val="fr-FR"/>
    </w:rPr>
  </w:style>
  <w:style w:type="character" w:styleId="FootnoteReference">
    <w:name w:val="footnote reference"/>
    <w:uiPriority w:val="99"/>
    <w:unhideWhenUsed/>
    <w:rsid w:val="00C233DD"/>
    <w:rPr>
      <w:vertAlign w:val="superscript"/>
    </w:rPr>
  </w:style>
  <w:style w:type="character" w:customStyle="1" w:styleId="hps">
    <w:name w:val="hps"/>
    <w:rsid w:val="00C233DD"/>
  </w:style>
  <w:style w:type="character" w:styleId="CommentReference">
    <w:name w:val="annotation reference"/>
    <w:basedOn w:val="DefaultParagraphFont"/>
    <w:uiPriority w:val="99"/>
    <w:semiHidden/>
    <w:unhideWhenUsed/>
    <w:rsid w:val="00D72A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2A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2AE5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2A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AE5"/>
    <w:rPr>
      <w:rFonts w:ascii="Times New Roman" w:eastAsia="Times New Roman" w:hAnsi="Times New Roman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057E1"/>
    <w:rPr>
      <w:color w:val="800080" w:themeColor="followedHyperlink"/>
      <w:u w:val="single"/>
    </w:rPr>
  </w:style>
  <w:style w:type="paragraph" w:customStyle="1" w:styleId="wiki-text">
    <w:name w:val="wiki-text"/>
    <w:basedOn w:val="Normal"/>
    <w:rsid w:val="00E531A7"/>
    <w:pPr>
      <w:spacing w:before="100" w:beforeAutospacing="1" w:after="100" w:afterAutospacing="1"/>
    </w:pPr>
    <w:rPr>
      <w:lang w:eastAsia="en-GB"/>
    </w:rPr>
  </w:style>
  <w:style w:type="paragraph" w:customStyle="1" w:styleId="5GAparabodytext">
    <w:name w:val="5GA para body text"/>
    <w:basedOn w:val="Normal"/>
    <w:autoRedefine/>
    <w:qFormat/>
    <w:rsid w:val="0029262D"/>
    <w:pPr>
      <w:numPr>
        <w:numId w:val="18"/>
      </w:numPr>
      <w:tabs>
        <w:tab w:val="left" w:pos="567"/>
      </w:tabs>
      <w:snapToGrid w:val="0"/>
      <w:spacing w:after="120"/>
      <w:jc w:val="both"/>
    </w:pPr>
    <w:rPr>
      <w:rFonts w:ascii="Arial" w:hAnsi="Arial" w:cs="Arial"/>
      <w:snapToGrid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1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ch.unesco.org/fr/D%C3%A9cisions/11.COM/7" TargetMode="External"/><Relationship Id="rId18" Type="http://schemas.openxmlformats.org/officeDocument/2006/relationships/hyperlink" Target="https://ich.unesco.org/doc/src/ITH-17-12.COM-5.b-FR.docx" TargetMode="External"/><Relationship Id="rId26" Type="http://schemas.openxmlformats.org/officeDocument/2006/relationships/hyperlink" Target="https://ich.unesco.org/doc/src/ITH-17-12.COM-7-FR.docx" TargetMode="External"/><Relationship Id="rId39" Type="http://schemas.openxmlformats.org/officeDocument/2006/relationships/hyperlink" Target="https://ich.unesco.org/doc/src/ITH-17-12.COM-13-FR.docx" TargetMode="External"/><Relationship Id="rId21" Type="http://schemas.openxmlformats.org/officeDocument/2006/relationships/hyperlink" Target="https://ich.unesco.org/fr/Decisions/10.COM/9" TargetMode="External"/><Relationship Id="rId34" Type="http://schemas.openxmlformats.org/officeDocument/2006/relationships/hyperlink" Target="https://ich.unesco.org/doc/src/ITH-17-12.COM-8.b-FR.docx" TargetMode="External"/><Relationship Id="rId42" Type="http://schemas.openxmlformats.org/officeDocument/2006/relationships/header" Target="head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ich.unesco.org/fr/Decisions/10.COM/8" TargetMode="External"/><Relationship Id="rId29" Type="http://schemas.openxmlformats.org/officeDocument/2006/relationships/hyperlink" Target="https://ich.unesco.org/fr/8b-rapports-periodiques-0092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ch.unesco.org/doc/src/ITH-17-12.COM-7-FR.docx" TargetMode="External"/><Relationship Id="rId24" Type="http://schemas.openxmlformats.org/officeDocument/2006/relationships/hyperlink" Target="https://ich.unesco.org/doc/src/ITH-17-12.COM-5.b-FR.docx" TargetMode="External"/><Relationship Id="rId32" Type="http://schemas.openxmlformats.org/officeDocument/2006/relationships/hyperlink" Target="https://ich.unesco.org/doc/src/ITH-16-11.COM-9.a-FR.docx" TargetMode="External"/><Relationship Id="rId37" Type="http://schemas.openxmlformats.org/officeDocument/2006/relationships/hyperlink" Target="https://ich.unesco.org/doc/src/ITH-17-12.COM-8.a-FR.docx" TargetMode="External"/><Relationship Id="rId40" Type="http://schemas.openxmlformats.org/officeDocument/2006/relationships/hyperlink" Target="https://ich.unesco.org/doc/src/ITH-17-12.COM-12-FR.docx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ich.unesco.org/doc/src/ITH-16-11.COM-5-FR.docx" TargetMode="External"/><Relationship Id="rId23" Type="http://schemas.openxmlformats.org/officeDocument/2006/relationships/hyperlink" Target="https://ich.unesco.org/fr/decisions/11.COM/5?dec=decisions&amp;ref_decision=11.COM" TargetMode="External"/><Relationship Id="rId28" Type="http://schemas.openxmlformats.org/officeDocument/2006/relationships/hyperlink" Target="https://ich.unesco.org/fr/convention" TargetMode="External"/><Relationship Id="rId36" Type="http://schemas.openxmlformats.org/officeDocument/2006/relationships/hyperlink" Target="https://ich.unesco.org/fr/Decisions/10.COM/15.c" TargetMode="External"/><Relationship Id="rId10" Type="http://schemas.openxmlformats.org/officeDocument/2006/relationships/hyperlink" Target="https://ich.unesco.org/doc/src/ITH-17-12.COM-5.b-FR.docx" TargetMode="External"/><Relationship Id="rId19" Type="http://schemas.openxmlformats.org/officeDocument/2006/relationships/hyperlink" Target="https://ich.unesco.org/doc/src/ITH-16-11.COM-14-FR.docx" TargetMode="External"/><Relationship Id="rId31" Type="http://schemas.openxmlformats.org/officeDocument/2006/relationships/hyperlink" Target="https://ich.unesco.org/fr/8c-rapports-periodiques-lsu-00922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ch.unesco.org/doc/src/ITH-17-12.COM-8.c-FR.docx" TargetMode="External"/><Relationship Id="rId14" Type="http://schemas.openxmlformats.org/officeDocument/2006/relationships/hyperlink" Target="https://ich.unesco.org/doc/src/ITH-16-11.COM-7-FR.docx" TargetMode="External"/><Relationship Id="rId22" Type="http://schemas.openxmlformats.org/officeDocument/2006/relationships/hyperlink" Target="https://ich.unesco.org/fr/Decisions/11.COM/6" TargetMode="External"/><Relationship Id="rId27" Type="http://schemas.openxmlformats.org/officeDocument/2006/relationships/hyperlink" Target="https://ich.unesco.org/doc/src/ITH-17-12.COM-6-FR.docx" TargetMode="External"/><Relationship Id="rId30" Type="http://schemas.openxmlformats.org/officeDocument/2006/relationships/hyperlink" Target="https://ich.unesco.org/fr/9b-rapports-periodiques-lsu-00858" TargetMode="External"/><Relationship Id="rId35" Type="http://schemas.openxmlformats.org/officeDocument/2006/relationships/hyperlink" Target="https://ich.unesco.org/doc/src/ITH-17-12.COM-8.c-FR.docx" TargetMode="External"/><Relationship Id="rId43" Type="http://schemas.openxmlformats.org/officeDocument/2006/relationships/header" Target="header3.xml"/><Relationship Id="rId8" Type="http://schemas.openxmlformats.org/officeDocument/2006/relationships/hyperlink" Target="https://ich.unesco.org/doc/src/ITH-17-12.COM-8.b-FR.docx" TargetMode="External"/><Relationship Id="rId3" Type="http://schemas.openxmlformats.org/officeDocument/2006/relationships/styles" Target="styles.xml"/><Relationship Id="rId12" Type="http://schemas.openxmlformats.org/officeDocument/2006/relationships/hyperlink" Target="https://ich.unesco.org/doc/src/ITH-17-12.COM-16-FR.docx" TargetMode="External"/><Relationship Id="rId17" Type="http://schemas.openxmlformats.org/officeDocument/2006/relationships/hyperlink" Target="https://ich.unesco.org/doc/src/ITH-17-12.COM-5.b-FR.docx" TargetMode="External"/><Relationship Id="rId25" Type="http://schemas.openxmlformats.org/officeDocument/2006/relationships/hyperlink" Target="https://ich.unesco.org/doc/src/ITH-17-12.COM-7-FR.docx" TargetMode="External"/><Relationship Id="rId33" Type="http://schemas.openxmlformats.org/officeDocument/2006/relationships/hyperlink" Target="https://ich.unesco.org/doc/src/ITH-16-11.COM-9.b-FR.docx" TargetMode="External"/><Relationship Id="rId38" Type="http://schemas.openxmlformats.org/officeDocument/2006/relationships/hyperlink" Target="https://ich.unesco.org/fr/Decisions/11.COM/10" TargetMode="External"/><Relationship Id="rId20" Type="http://schemas.openxmlformats.org/officeDocument/2006/relationships/hyperlink" Target="https://ich.unesco.org/doc/src/ITH-17-12.COM-9-FR.docx" TargetMode="External"/><Relationship Id="rId41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ch.unesco.org/doc/src/ITH-16-11.COM_2.BUR-1_FR.docx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5_STATUTORY%20MEETINGS\2015-11_10COM-Windhoek\Documents\0_Templates\10%20COM_Working%20document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73A12-FDA2-4A1C-86BE-3B38D73BB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 COM_Working document_EN.dotx</Template>
  <TotalTime>6</TotalTime>
  <Pages>7</Pages>
  <Words>3419</Words>
  <Characters>19490</Characters>
  <Application>Microsoft Office Word</Application>
  <DocSecurity>0</DocSecurity>
  <Lines>162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22864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Shin, Eunkyung</dc:creator>
  <cp:lastModifiedBy>Shin, Eunkyung</cp:lastModifiedBy>
  <cp:revision>5</cp:revision>
  <cp:lastPrinted>2017-08-01T09:51:00Z</cp:lastPrinted>
  <dcterms:created xsi:type="dcterms:W3CDTF">2017-11-06T10:20:00Z</dcterms:created>
  <dcterms:modified xsi:type="dcterms:W3CDTF">2017-11-06T15:14:00Z</dcterms:modified>
</cp:coreProperties>
</file>