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E02DF" w14:textId="4A922DDB" w:rsidR="00EC6F8D" w:rsidRPr="00293C60" w:rsidRDefault="00EC6F8D" w:rsidP="00EC6F8D">
      <w:pPr>
        <w:spacing w:before="1440"/>
        <w:jc w:val="center"/>
        <w:rPr>
          <w:rFonts w:ascii="Arial" w:hAnsi="Arial" w:cs="Arial"/>
          <w:b/>
          <w:sz w:val="22"/>
          <w:szCs w:val="22"/>
        </w:rPr>
      </w:pPr>
      <w:r>
        <w:rPr>
          <w:rFonts w:ascii="Arial" w:hAnsi="Arial"/>
          <w:b/>
          <w:sz w:val="22"/>
          <w:szCs w:val="22"/>
        </w:rPr>
        <w:t>CONVENTION POUR LA SAUVEGARDE</w:t>
      </w:r>
      <w:r w:rsidR="00162F5B">
        <w:rPr>
          <w:rFonts w:ascii="Arial" w:hAnsi="Arial"/>
          <w:b/>
          <w:sz w:val="22"/>
          <w:szCs w:val="22"/>
        </w:rPr>
        <w:t xml:space="preserve"> DU</w:t>
      </w:r>
      <w:r>
        <w:rPr>
          <w:rFonts w:ascii="Arial" w:hAnsi="Arial"/>
          <w:b/>
          <w:sz w:val="22"/>
          <w:szCs w:val="22"/>
        </w:rPr>
        <w:br/>
        <w:t>PATRIMOINE CULTUREL IMMATÉRIEL</w:t>
      </w:r>
    </w:p>
    <w:p w14:paraId="2250EDEB" w14:textId="4F300D6A"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 SAUVEGARDE</w:t>
      </w:r>
      <w:r w:rsidR="00162F5B">
        <w:rPr>
          <w:rFonts w:ascii="Arial" w:hAnsi="Arial"/>
          <w:b/>
          <w:sz w:val="22"/>
          <w:szCs w:val="22"/>
        </w:rPr>
        <w:br/>
      </w:r>
      <w:r>
        <w:rPr>
          <w:rFonts w:ascii="Arial" w:hAnsi="Arial"/>
          <w:b/>
          <w:sz w:val="22"/>
          <w:szCs w:val="22"/>
        </w:rPr>
        <w:t>DU PATRIMOINE CULTUREL IMMATÉRIEL</w:t>
      </w:r>
    </w:p>
    <w:p w14:paraId="15C42019" w14:textId="77777777" w:rsidR="00EC6F8D" w:rsidRPr="00293C60" w:rsidRDefault="00C7433F" w:rsidP="00EC6F8D">
      <w:pPr>
        <w:spacing w:before="840"/>
        <w:jc w:val="center"/>
        <w:rPr>
          <w:rFonts w:ascii="Arial" w:hAnsi="Arial" w:cs="Arial"/>
          <w:b/>
          <w:sz w:val="22"/>
          <w:szCs w:val="22"/>
        </w:rPr>
      </w:pPr>
      <w:r>
        <w:rPr>
          <w:rFonts w:ascii="Arial" w:hAnsi="Arial"/>
          <w:b/>
          <w:sz w:val="22"/>
          <w:szCs w:val="22"/>
        </w:rPr>
        <w:t>Douzième session</w:t>
      </w:r>
    </w:p>
    <w:p w14:paraId="20101CC0" w14:textId="77777777" w:rsidR="009D5428" w:rsidRPr="00337CEB" w:rsidRDefault="002351A6" w:rsidP="005E7074">
      <w:pPr>
        <w:jc w:val="center"/>
        <w:rPr>
          <w:rFonts w:ascii="Arial" w:eastAsiaTheme="minorEastAsia" w:hAnsi="Arial" w:cs="Arial"/>
          <w:b/>
          <w:sz w:val="22"/>
          <w:szCs w:val="22"/>
        </w:rPr>
      </w:pPr>
      <w:r>
        <w:rPr>
          <w:rFonts w:ascii="Arial" w:hAnsi="Arial"/>
          <w:b/>
          <w:sz w:val="22"/>
          <w:szCs w:val="22"/>
        </w:rPr>
        <w:t xml:space="preserve">Île de </w:t>
      </w:r>
      <w:proofErr w:type="spellStart"/>
      <w:r>
        <w:rPr>
          <w:rFonts w:ascii="Arial" w:hAnsi="Arial"/>
          <w:b/>
          <w:sz w:val="22"/>
          <w:szCs w:val="22"/>
        </w:rPr>
        <w:t>Jeju</w:t>
      </w:r>
      <w:proofErr w:type="spellEnd"/>
      <w:r>
        <w:rPr>
          <w:rFonts w:ascii="Arial" w:hAnsi="Arial"/>
          <w:b/>
          <w:sz w:val="22"/>
          <w:szCs w:val="22"/>
        </w:rPr>
        <w:t>, République de Corée</w:t>
      </w:r>
    </w:p>
    <w:p w14:paraId="252BB809" w14:textId="2B554798" w:rsidR="00EC6F8D" w:rsidRPr="00337CEB" w:rsidRDefault="00337CEB" w:rsidP="00EC6F8D">
      <w:pPr>
        <w:jc w:val="center"/>
        <w:rPr>
          <w:rFonts w:ascii="Arial" w:eastAsiaTheme="minorEastAsia" w:hAnsi="Arial" w:cs="Arial"/>
          <w:b/>
          <w:sz w:val="22"/>
          <w:szCs w:val="22"/>
        </w:rPr>
      </w:pPr>
      <w:r>
        <w:rPr>
          <w:rFonts w:ascii="Arial" w:hAnsi="Arial"/>
          <w:b/>
          <w:sz w:val="22"/>
          <w:szCs w:val="22"/>
        </w:rPr>
        <w:t xml:space="preserve">4 </w:t>
      </w:r>
      <w:r w:rsidR="00162F5B">
        <w:rPr>
          <w:rFonts w:ascii="Arial" w:hAnsi="Arial"/>
          <w:b/>
          <w:sz w:val="22"/>
          <w:szCs w:val="22"/>
        </w:rPr>
        <w:t>–</w:t>
      </w:r>
      <w:r>
        <w:rPr>
          <w:rFonts w:ascii="Arial" w:hAnsi="Arial"/>
          <w:b/>
          <w:sz w:val="22"/>
          <w:szCs w:val="22"/>
        </w:rPr>
        <w:t xml:space="preserve"> 9</w:t>
      </w:r>
      <w:r w:rsidR="00162F5B">
        <w:rPr>
          <w:rFonts w:ascii="Arial" w:hAnsi="Arial"/>
          <w:b/>
          <w:sz w:val="22"/>
          <w:szCs w:val="22"/>
        </w:rPr>
        <w:t xml:space="preserve"> </w:t>
      </w:r>
      <w:r>
        <w:rPr>
          <w:rFonts w:ascii="Arial" w:hAnsi="Arial"/>
          <w:b/>
          <w:sz w:val="22"/>
          <w:szCs w:val="22"/>
        </w:rPr>
        <w:t>décembre 2017</w:t>
      </w:r>
    </w:p>
    <w:p w14:paraId="193FF349" w14:textId="01A863A2" w:rsidR="00EC6F8D" w:rsidRPr="00293C60" w:rsidRDefault="00EC6F8D" w:rsidP="00EC6F8D">
      <w:pPr>
        <w:pStyle w:val="Sansinterligne2"/>
        <w:spacing w:before="1200"/>
        <w:jc w:val="center"/>
        <w:rPr>
          <w:rFonts w:ascii="Arial" w:hAnsi="Arial" w:cs="Arial"/>
          <w:b/>
          <w:sz w:val="22"/>
          <w:szCs w:val="22"/>
        </w:rPr>
      </w:pPr>
      <w:r>
        <w:rPr>
          <w:rFonts w:ascii="Arial" w:hAnsi="Arial"/>
          <w:b/>
          <w:sz w:val="22"/>
          <w:szCs w:val="22"/>
          <w:u w:val="single"/>
        </w:rPr>
        <w:t xml:space="preserve">Point </w:t>
      </w:r>
      <w:r w:rsidRPr="00D01211">
        <w:rPr>
          <w:rFonts w:ascii="Arial" w:hAnsi="Arial"/>
          <w:b/>
          <w:sz w:val="22"/>
          <w:szCs w:val="22"/>
          <w:u w:val="single"/>
        </w:rPr>
        <w:t>16</w:t>
      </w:r>
      <w:r>
        <w:rPr>
          <w:rFonts w:ascii="Arial" w:hAnsi="Arial"/>
          <w:b/>
          <w:sz w:val="22"/>
          <w:szCs w:val="22"/>
          <w:u w:val="single"/>
        </w:rPr>
        <w:t xml:space="preserve"> de l</w:t>
      </w:r>
      <w:r w:rsidR="008C7013">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4564EBF8" w14:textId="79E54209" w:rsidR="00EC6F8D" w:rsidRPr="00293C60" w:rsidRDefault="00FA3869" w:rsidP="00EC6F8D">
      <w:pPr>
        <w:pStyle w:val="Sansinterligne2"/>
        <w:spacing w:after="1200"/>
        <w:jc w:val="center"/>
        <w:rPr>
          <w:rFonts w:ascii="Arial" w:hAnsi="Arial" w:cs="Arial"/>
          <w:b/>
          <w:sz w:val="22"/>
          <w:szCs w:val="22"/>
        </w:rPr>
      </w:pPr>
      <w:r>
        <w:rPr>
          <w:rFonts w:ascii="Arial" w:hAnsi="Arial"/>
          <w:b/>
          <w:sz w:val="22"/>
          <w:szCs w:val="22"/>
        </w:rPr>
        <w:t>Suivi des recommandations du rapport du Commissaire aux comptes « Rapport d’audit de la gouvernance de l’UNESCO et des entités, fonds et programmes rattachés </w:t>
      </w:r>
      <w:r w:rsidR="00CD3F2F">
        <w:rPr>
          <w:rFonts w:ascii="Arial" w:hAnsi="Arial"/>
          <w:b/>
          <w:sz w:val="22"/>
          <w:szCs w:val="22"/>
        </w:rPr>
        <w:t>»</w:t>
      </w:r>
      <w:r w:rsidR="00CD3F2F">
        <w:rPr>
          <w:rFonts w:ascii="Arial" w:hAnsi="Arial"/>
          <w:b/>
          <w:sz w:val="22"/>
          <w:szCs w:val="22"/>
        </w:rPr>
        <w:br/>
      </w:r>
      <w:r>
        <w:rPr>
          <w:rFonts w:ascii="Arial" w:hAnsi="Arial"/>
          <w:b/>
          <w:sz w:val="22"/>
          <w:szCs w:val="22"/>
        </w:rPr>
        <w:t>(Document 38 C/23)</w:t>
      </w:r>
    </w:p>
    <w:tbl>
      <w:tblPr>
        <w:tblW w:w="6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0"/>
      </w:tblGrid>
      <w:tr w:rsidR="00EC6F8D" w:rsidRPr="006D753E" w14:paraId="5DE02CDC" w14:textId="77777777" w:rsidTr="00115DD2">
        <w:trPr>
          <w:jc w:val="center"/>
        </w:trPr>
        <w:tc>
          <w:tcPr>
            <w:tcW w:w="6380" w:type="dxa"/>
            <w:vAlign w:val="center"/>
          </w:tcPr>
          <w:p w14:paraId="4BBD68A0" w14:textId="77777777"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3C63B2AB" w14:textId="11565882" w:rsidR="006D753E" w:rsidRDefault="00B30007" w:rsidP="00115DD2">
            <w:pPr>
              <w:pStyle w:val="Sansinterligne1"/>
              <w:spacing w:before="120"/>
              <w:jc w:val="both"/>
              <w:rPr>
                <w:rFonts w:ascii="Arial" w:hAnsi="Arial" w:cs="Arial"/>
                <w:sz w:val="22"/>
                <w:szCs w:val="22"/>
              </w:rPr>
            </w:pPr>
            <w:r>
              <w:rPr>
                <w:rFonts w:ascii="Arial" w:hAnsi="Arial"/>
                <w:sz w:val="22"/>
                <w:szCs w:val="22"/>
              </w:rPr>
              <w:t>Suite à la Résolution 38 C/101 de la Conférence générale de l’UNESCO, le Comité a inscrit à l’ordre du jour de sa onzième session l’examen du suivi des recommandations du rapport du Commissaire aux comptes « Rapport d’audit de la gouvernance de l’UNESCO et des entités, fonds et programmes rattachés ». Dans sa Décision 11.COM 7, le Comité a demandé au Secrétariat d’inclure une nouvelle fois ce point à l’ordre du jour de sa douzième session afin de le présenter à la septième session de l’Assemblée générale des États parties à la Convention.</w:t>
            </w:r>
          </w:p>
          <w:p w14:paraId="7FCFB1AD" w14:textId="6F17EEF3" w:rsidR="00EC6F8D" w:rsidRPr="00293C60" w:rsidRDefault="00EC6F8D" w:rsidP="00665073">
            <w:pPr>
              <w:pStyle w:val="Sansinterligne1"/>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w:t>
            </w:r>
            <w:r w:rsidR="00EF46CF">
              <w:rPr>
                <w:rFonts w:ascii="Arial" w:hAnsi="Arial"/>
                <w:bCs/>
                <w:sz w:val="22"/>
                <w:szCs w:val="22"/>
              </w:rPr>
              <w:t xml:space="preserve"> 6</w:t>
            </w:r>
          </w:p>
        </w:tc>
      </w:tr>
    </w:tbl>
    <w:p w14:paraId="7C25ED3A" w14:textId="47B92728" w:rsidR="00630658" w:rsidRDefault="00655736" w:rsidP="00FE5027">
      <w:pPr>
        <w:pStyle w:val="COMPara"/>
        <w:ind w:left="567" w:hanging="567"/>
        <w:jc w:val="both"/>
      </w:pPr>
      <w:r>
        <w:br w:type="page"/>
      </w:r>
      <w:r>
        <w:lastRenderedPageBreak/>
        <w:t xml:space="preserve">La </w:t>
      </w:r>
      <w:hyperlink r:id="rId8" w:history="1">
        <w:r w:rsidRPr="00162F5B">
          <w:rPr>
            <w:rStyle w:val="Hyperlink"/>
          </w:rPr>
          <w:t>Résolu</w:t>
        </w:r>
        <w:r w:rsidRPr="00162F5B">
          <w:rPr>
            <w:rStyle w:val="Hyperlink"/>
          </w:rPr>
          <w:t>t</w:t>
        </w:r>
        <w:r w:rsidRPr="00162F5B">
          <w:rPr>
            <w:rStyle w:val="Hyperlink"/>
          </w:rPr>
          <w:t>ion 38 C/101</w:t>
        </w:r>
      </w:hyperlink>
      <w:r>
        <w:t xml:space="preserve"> de la Conférence générale de l’UNESCO a établi un groupe de travail à composition non limitée chargé d’examiner les procédures et les méthodes de travail des organes directeurs de l’UNESCO afin d’exploiter les possibilités de renforcer la synergie, l’harmonisation, l’efficacité et l’impact, sur la base des propositions émanant des États membres, du rapport d’a</w:t>
      </w:r>
      <w:bookmarkStart w:id="0" w:name="_GoBack"/>
      <w:bookmarkEnd w:id="0"/>
      <w:r>
        <w:t xml:space="preserve">udit du </w:t>
      </w:r>
      <w:r w:rsidRPr="00D67501">
        <w:t>Commissaire aux comptes</w:t>
      </w:r>
      <w:r>
        <w:t xml:space="preserve"> </w:t>
      </w:r>
      <w:r w:rsidR="00D67501">
        <w:t>de</w:t>
      </w:r>
      <w:r>
        <w:t xml:space="preserve"> la gouvernance de l’UNESCO, des évaluations et audits pertinents menés par le Service d</w:t>
      </w:r>
      <w:r w:rsidR="008C7013">
        <w:t>’</w:t>
      </w:r>
      <w:r>
        <w:t>évaluation et d</w:t>
      </w:r>
      <w:r w:rsidR="008C7013">
        <w:t>’</w:t>
      </w:r>
      <w:r>
        <w:t>audit (IOS), ainsi que des décisions et résolutions antérieures en rapport avec la gouvernance. Elle a également invité tous les programmes intergouvernementaux, comités et organes des conventions à inscrire à leur ordre du jour, si possible en 2016, un point relatif au suivi des recommandations du rapport du Commissaire aux comptes (</w:t>
      </w:r>
      <w:hyperlink r:id="rId9" w:history="1">
        <w:r>
          <w:rPr>
            <w:rStyle w:val="Hyperlink"/>
          </w:rPr>
          <w:t>document 3</w:t>
        </w:r>
        <w:r>
          <w:rPr>
            <w:rStyle w:val="Hyperlink"/>
          </w:rPr>
          <w:t>8</w:t>
        </w:r>
        <w:r>
          <w:rPr>
            <w:rStyle w:val="Hyperlink"/>
          </w:rPr>
          <w:t> C/23</w:t>
        </w:r>
      </w:hyperlink>
      <w:r>
        <w:t>), à prendre des mesures concrètes pour améliorer leur gouvernance, et à rendre compte de leurs propositions au président du groupe de travail à composition non limitée.</w:t>
      </w:r>
    </w:p>
    <w:p w14:paraId="24DE338D" w14:textId="251FFA02" w:rsidR="00932BD2" w:rsidRPr="00115DD2" w:rsidRDefault="00B8426E" w:rsidP="00FE5027">
      <w:pPr>
        <w:pStyle w:val="COMPara"/>
        <w:ind w:left="567" w:hanging="567"/>
        <w:jc w:val="both"/>
      </w:pPr>
      <w:r>
        <w:t xml:space="preserve">En conséquence, le suivi des recommandations du rapport du Commissaire aux comptes a été inscrit à l’ordre du jour et examiné par le Comité à l’occasion de sa onzième session en 2016 (voir document </w:t>
      </w:r>
      <w:hyperlink r:id="rId10" w:history="1">
        <w:r w:rsidRPr="00162F5B">
          <w:rPr>
            <w:rStyle w:val="Hyperlink"/>
          </w:rPr>
          <w:t>ITH/16/1</w:t>
        </w:r>
        <w:r w:rsidRPr="00162F5B">
          <w:rPr>
            <w:rStyle w:val="Hyperlink"/>
          </w:rPr>
          <w:t>1</w:t>
        </w:r>
        <w:r w:rsidRPr="00162F5B">
          <w:rPr>
            <w:rStyle w:val="Hyperlink"/>
          </w:rPr>
          <w:t>.COM/7</w:t>
        </w:r>
      </w:hyperlink>
      <w:r>
        <w:t xml:space="preserve">). Dans sa </w:t>
      </w:r>
      <w:hyperlink r:id="rId11" w:history="1">
        <w:r w:rsidRPr="00162F5B">
          <w:rPr>
            <w:rStyle w:val="Hyperlink"/>
          </w:rPr>
          <w:t>décision 11.COM 7</w:t>
        </w:r>
      </w:hyperlink>
      <w:r>
        <w:t xml:space="preserve">, le Comité a pris note des efforts et des mesures prises pour améliorer et rationaliser les méthodes de travail des organes directeurs de la Convention de 2003 conformément aux recommandations du Commissaire aux comptes et d’IOS en la matière. Il a également demandé au Secrétariat d’inclure ce point à l’ordre du jour de sa douzième session afin de le présenter à la septième session de l’Assemblée générale des États parties. Par ailleurs, le Comité a transmis </w:t>
      </w:r>
      <w:r w:rsidR="00D67501">
        <w:t xml:space="preserve">un rapport sur l’état des réformes prévues ou en cours </w:t>
      </w:r>
      <w:r>
        <w:t>au président du groupe de travail à composition non limitée sur la gouvernance, les procédures et les méthodes de travail des organes directeurs.</w:t>
      </w:r>
    </w:p>
    <w:p w14:paraId="6134AFF7" w14:textId="17CE1B41" w:rsidR="007569A6" w:rsidRPr="00041A66" w:rsidRDefault="007569A6" w:rsidP="00FE5027">
      <w:pPr>
        <w:pStyle w:val="COMPara"/>
        <w:ind w:left="567" w:hanging="567"/>
        <w:jc w:val="both"/>
      </w:pPr>
      <w:r>
        <w:t>Deux sous-groupes ont été établis par le groupe de travail à composition non limitée : le sous-groupe 1 chargé d’examiner la structure, la composition et les méthodes de travail des organes directeurs (Conférence générale et Conseil exécutif) et le sous-groupe 2 chargé d’examiner la structure, la composition et les méthodes de travail des organes internationaux et intergouvernementaux de l’UNESCO.</w:t>
      </w:r>
    </w:p>
    <w:p w14:paraId="2C757D8C" w14:textId="319300D4" w:rsidR="00CA0DD9" w:rsidRPr="008C7013" w:rsidRDefault="00603CB1" w:rsidP="00CA0DD9">
      <w:pPr>
        <w:pStyle w:val="COMPara"/>
        <w:ind w:left="567" w:hanging="567"/>
        <w:jc w:val="both"/>
      </w:pPr>
      <w:r w:rsidRPr="008C7013">
        <w:t>Le groupe de travail à composition non limitée et ses deux sous-groupes se sont réunis à plusieurs reprises en 2016 et 2017</w:t>
      </w:r>
      <w:r w:rsidR="00CA0DD9" w:rsidRPr="008C7013">
        <w:t xml:space="preserve"> et se sont mis d’accord sur une série de recommandations et de bonnes pratiques à soumettre au Conseil exécutif lors de sa 202</w:t>
      </w:r>
      <w:r w:rsidR="00CA0DD9" w:rsidRPr="00396F60">
        <w:rPr>
          <w:vertAlign w:val="superscript"/>
        </w:rPr>
        <w:t>e</w:t>
      </w:r>
      <w:r w:rsidR="00CA0DD9" w:rsidRPr="008C7013">
        <w:rPr>
          <w:vertAlign w:val="superscript"/>
        </w:rPr>
        <w:t>me</w:t>
      </w:r>
      <w:r w:rsidR="00CA0DD9" w:rsidRPr="008C7013">
        <w:t xml:space="preserve"> session (</w:t>
      </w:r>
      <w:hyperlink r:id="rId12" w:history="1">
        <w:r w:rsidR="00CA0DD9" w:rsidRPr="002A6CA6">
          <w:rPr>
            <w:rStyle w:val="Hyperlink"/>
          </w:rPr>
          <w:t>202</w:t>
        </w:r>
        <w:r w:rsidR="003A2362" w:rsidRPr="002A6CA6">
          <w:rPr>
            <w:rStyle w:val="Hyperlink"/>
          </w:rPr>
          <w:t xml:space="preserve"> </w:t>
        </w:r>
        <w:r w:rsidR="00CA0DD9" w:rsidRPr="002A6CA6">
          <w:rPr>
            <w:rStyle w:val="Hyperlink"/>
          </w:rPr>
          <w:t>EX/21</w:t>
        </w:r>
      </w:hyperlink>
      <w:r w:rsidR="00CA0DD9" w:rsidRPr="008C7013">
        <w:t>). Le Conseil exécutif a, à son tour, soumis ses recommandations à l’Assemblée générale lors de sa trente-neuvième session.</w:t>
      </w:r>
    </w:p>
    <w:p w14:paraId="76109BF0" w14:textId="1C706AA6" w:rsidR="003A2362" w:rsidRPr="008C7013" w:rsidRDefault="00603CB1" w:rsidP="00D72710">
      <w:pPr>
        <w:pStyle w:val="COMPara"/>
        <w:keepNext/>
        <w:ind w:left="567" w:hanging="567"/>
        <w:jc w:val="both"/>
      </w:pPr>
      <w:r w:rsidRPr="008C7013">
        <w:t>S'agissant de la Convention de 2003 pour la sauvegarde du patrimoine culturel immatériel, le sous-groupe 2</w:t>
      </w:r>
      <w:r w:rsidRPr="008C7013">
        <w:rPr>
          <w:rStyle w:val="FootnoteReference"/>
        </w:rPr>
        <w:footnoteReference w:id="1"/>
      </w:r>
      <w:r w:rsidRPr="008C7013">
        <w:t xml:space="preserve"> </w:t>
      </w:r>
      <w:r w:rsidR="00E2099E" w:rsidRPr="008C7013">
        <w:t xml:space="preserve">a recommandé de renforcer les procédures de décision et la crédibilité du Comité, tout en prenant note de la création d’un groupe ad hoc pour s’occuper de ces questions. De plus, il a qualifié de bonne pratique l’initiative visant à développer un cadre global de résultats pour la Convention, les mécanismes de rapport </w:t>
      </w:r>
      <w:r w:rsidR="0009785E" w:rsidRPr="008C7013">
        <w:t xml:space="preserve">périodique </w:t>
      </w:r>
      <w:r w:rsidR="00E2099E" w:rsidRPr="008C7013">
        <w:t>de la Convention seront alignés avec celui-ci.</w:t>
      </w:r>
    </w:p>
    <w:p w14:paraId="4EA32B6B" w14:textId="77777777" w:rsidR="00D95C4C" w:rsidRPr="00EA528C" w:rsidRDefault="000B1C8F" w:rsidP="00D72710">
      <w:pPr>
        <w:pStyle w:val="COMPara"/>
        <w:keepNext/>
        <w:ind w:left="567" w:hanging="567"/>
        <w:jc w:val="both"/>
      </w:pPr>
      <w:r>
        <w:t>Le Comité souhaitera peut-être adopter la décision suivante :</w:t>
      </w:r>
    </w:p>
    <w:p w14:paraId="64C58EE5" w14:textId="7AE360C0" w:rsidR="00D95C4C" w:rsidRPr="00FD624F" w:rsidRDefault="004A34A0" w:rsidP="00041A66">
      <w:pPr>
        <w:pStyle w:val="COMTitleDecision"/>
        <w:rPr>
          <w:rFonts w:eastAsia="SimSun"/>
        </w:rPr>
      </w:pPr>
      <w:r>
        <w:t xml:space="preserve">PROJET DE DÉCISION 12.COM </w:t>
      </w:r>
      <w:r w:rsidRPr="00D01211">
        <w:t>16</w:t>
      </w:r>
    </w:p>
    <w:p w14:paraId="0A07DE08" w14:textId="77777777" w:rsidR="00D95C4C" w:rsidRPr="00285BB4" w:rsidRDefault="00285BB4" w:rsidP="00285BB4">
      <w:pPr>
        <w:pStyle w:val="COMPreambulaDecisions"/>
        <w:rPr>
          <w:rFonts w:eastAsia="SimSun"/>
        </w:rPr>
      </w:pPr>
      <w:r>
        <w:t>Le Comité,</w:t>
      </w:r>
    </w:p>
    <w:p w14:paraId="6ADD8F87" w14:textId="0003A86E" w:rsidR="0057439C" w:rsidRPr="00345CB4" w:rsidRDefault="00D95C4C" w:rsidP="006A13E4">
      <w:pPr>
        <w:pStyle w:val="COMParaDecision"/>
      </w:pPr>
      <w:r>
        <w:t>Ayant examiné</w:t>
      </w:r>
      <w:r>
        <w:rPr>
          <w:u w:val="none"/>
        </w:rPr>
        <w:t xml:space="preserve"> le document ITH/17/12.COM/</w:t>
      </w:r>
      <w:r w:rsidRPr="00D01211">
        <w:rPr>
          <w:u w:val="none"/>
        </w:rPr>
        <w:t>16</w:t>
      </w:r>
      <w:r>
        <w:rPr>
          <w:u w:val="none"/>
        </w:rPr>
        <w:t>,</w:t>
      </w:r>
    </w:p>
    <w:p w14:paraId="50D817D7" w14:textId="2B978863" w:rsidR="0057439C" w:rsidRPr="002B0E8D" w:rsidRDefault="0057439C" w:rsidP="006A13E4">
      <w:pPr>
        <w:pStyle w:val="COMParaDecision"/>
      </w:pPr>
      <w:r>
        <w:t>Rappelant</w:t>
      </w:r>
      <w:r>
        <w:rPr>
          <w:u w:val="none"/>
        </w:rPr>
        <w:t xml:space="preserve"> la décision 11.COM 7 et les mesures prévues </w:t>
      </w:r>
      <w:r w:rsidR="00896349">
        <w:rPr>
          <w:u w:val="none"/>
        </w:rPr>
        <w:t xml:space="preserve">et en cours </w:t>
      </w:r>
      <w:r>
        <w:rPr>
          <w:u w:val="none"/>
        </w:rPr>
        <w:t>par les organes directeurs de la Convention pour évaluer, améliorer et rationaliser leurs méthodes de travail,</w:t>
      </w:r>
    </w:p>
    <w:p w14:paraId="4C590D75" w14:textId="62927EB5" w:rsidR="007569A6" w:rsidRPr="00754626" w:rsidRDefault="00CD664A" w:rsidP="00CD664A">
      <w:pPr>
        <w:pStyle w:val="COMParaDecision"/>
      </w:pPr>
      <w:r>
        <w:t>Prend note</w:t>
      </w:r>
      <w:r>
        <w:rPr>
          <w:u w:val="none"/>
        </w:rPr>
        <w:t xml:space="preserve"> des efforts et des mesures prises pour améliorer et rationaliser les méthodes de travail des organes directeurs de la Convention de 2003 conformément aux recommandations du Commissaire aux comptes et d</w:t>
      </w:r>
      <w:r w:rsidR="008C7013">
        <w:rPr>
          <w:u w:val="none"/>
        </w:rPr>
        <w:t>’</w:t>
      </w:r>
      <w:r>
        <w:rPr>
          <w:u w:val="none"/>
        </w:rPr>
        <w:t>IOS en la matière</w:t>
      </w:r>
      <w:r w:rsidR="00162F5B">
        <w:rPr>
          <w:u w:val="none"/>
        </w:rPr>
        <w:t> ;</w:t>
      </w:r>
    </w:p>
    <w:p w14:paraId="0C39803E" w14:textId="748AE321" w:rsidR="009A5F53" w:rsidRPr="005107C9" w:rsidRDefault="007569A6" w:rsidP="00D01211">
      <w:pPr>
        <w:pStyle w:val="COMParaDecision"/>
      </w:pPr>
      <w:r>
        <w:t>Note également</w:t>
      </w:r>
      <w:r>
        <w:rPr>
          <w:u w:val="none"/>
        </w:rPr>
        <w:t xml:space="preserve"> l</w:t>
      </w:r>
      <w:r w:rsidR="0009785E">
        <w:rPr>
          <w:u w:val="none"/>
        </w:rPr>
        <w:t>a</w:t>
      </w:r>
      <w:r>
        <w:rPr>
          <w:u w:val="none"/>
        </w:rPr>
        <w:t xml:space="preserve"> recommandation et </w:t>
      </w:r>
      <w:r w:rsidR="0009785E">
        <w:rPr>
          <w:u w:val="none"/>
        </w:rPr>
        <w:t xml:space="preserve">la </w:t>
      </w:r>
      <w:r>
        <w:rPr>
          <w:u w:val="none"/>
        </w:rPr>
        <w:t>bonne pratique concernant la Convention pour la sauvegarde du patrimoine culturel immatériel, présentées par le sous-groupe 2 du groupe de travail à composition non limitée sur la gouvernance.</w:t>
      </w:r>
    </w:p>
    <w:sectPr w:rsidR="009A5F53" w:rsidRPr="005107C9" w:rsidSect="0018027B">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B53E" w14:textId="77777777" w:rsidR="000E0A56" w:rsidRDefault="000E0A56" w:rsidP="00655736">
      <w:r>
        <w:separator/>
      </w:r>
    </w:p>
  </w:endnote>
  <w:endnote w:type="continuationSeparator" w:id="0">
    <w:p w14:paraId="7B4D31BC" w14:textId="77777777" w:rsidR="000E0A56" w:rsidRDefault="000E0A5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7210" w14:textId="77777777" w:rsidR="000E0A56" w:rsidRDefault="000E0A56" w:rsidP="00655736">
      <w:r>
        <w:separator/>
      </w:r>
    </w:p>
  </w:footnote>
  <w:footnote w:type="continuationSeparator" w:id="0">
    <w:p w14:paraId="28C430DF" w14:textId="77777777" w:rsidR="000E0A56" w:rsidRDefault="000E0A56" w:rsidP="00655736">
      <w:r>
        <w:continuationSeparator/>
      </w:r>
    </w:p>
  </w:footnote>
  <w:footnote w:id="1">
    <w:p w14:paraId="7DD5C1A3" w14:textId="05C82722" w:rsidR="00603CB1" w:rsidRPr="00C96583" w:rsidRDefault="00603CB1" w:rsidP="00B30007">
      <w:pPr>
        <w:pStyle w:val="FootnoteText"/>
        <w:ind w:left="567" w:hanging="567"/>
        <w:jc w:val="both"/>
        <w:rPr>
          <w:rFonts w:ascii="Arial" w:eastAsiaTheme="minorEastAsia" w:hAnsi="Arial" w:cs="Arial"/>
        </w:rPr>
      </w:pPr>
      <w:r w:rsidRPr="00D01211">
        <w:rPr>
          <w:rStyle w:val="FootnoteReference"/>
          <w:rFonts w:ascii="Arial" w:hAnsi="Arial" w:cs="Arial"/>
          <w:sz w:val="18"/>
          <w:vertAlign w:val="baseline"/>
        </w:rPr>
        <w:footnoteRef/>
      </w:r>
      <w:r w:rsidRPr="00D01211">
        <w:rPr>
          <w:rFonts w:ascii="Arial" w:hAnsi="Arial"/>
          <w:sz w:val="18"/>
        </w:rPr>
        <w:t>.</w:t>
      </w:r>
      <w:r w:rsidRPr="00D01211">
        <w:rPr>
          <w:rFonts w:ascii="Arial" w:hAnsi="Arial"/>
          <w:sz w:val="18"/>
        </w:rPr>
        <w:tab/>
        <w:t>Pour consulter les résumés informels des réunions et les</w:t>
      </w:r>
      <w:r w:rsidR="007B012E">
        <w:rPr>
          <w:rFonts w:ascii="Arial" w:hAnsi="Arial"/>
          <w:sz w:val="18"/>
        </w:rPr>
        <w:t xml:space="preserve"> projets </w:t>
      </w:r>
      <w:r w:rsidR="007B012E" w:rsidRPr="008C7013">
        <w:rPr>
          <w:rFonts w:ascii="Arial" w:hAnsi="Arial"/>
          <w:sz w:val="18"/>
        </w:rPr>
        <w:t>de</w:t>
      </w:r>
      <w:r w:rsidRPr="008C7013">
        <w:rPr>
          <w:rFonts w:ascii="Arial" w:hAnsi="Arial"/>
          <w:sz w:val="18"/>
        </w:rPr>
        <w:t xml:space="preserve"> </w:t>
      </w:r>
      <w:r w:rsidRPr="00396F60">
        <w:rPr>
          <w:rFonts w:ascii="Arial" w:hAnsi="Arial"/>
          <w:sz w:val="18"/>
        </w:rPr>
        <w:t>recommandation</w:t>
      </w:r>
      <w:r w:rsidRPr="00D01211">
        <w:rPr>
          <w:rFonts w:ascii="Arial" w:hAnsi="Arial"/>
          <w:sz w:val="18"/>
        </w:rPr>
        <w:t xml:space="preserve"> du sous-groupe 2 du groupe de travail à composition non limitée sur la gouvernance, les procédures et les méthodes de travail des organes directeurs de l</w:t>
      </w:r>
      <w:r w:rsidR="008C7013">
        <w:rPr>
          <w:rFonts w:ascii="Arial" w:hAnsi="Arial"/>
          <w:sz w:val="18"/>
        </w:rPr>
        <w:t>’</w:t>
      </w:r>
      <w:r w:rsidRPr="00D01211">
        <w:rPr>
          <w:rFonts w:ascii="Arial" w:hAnsi="Arial"/>
          <w:sz w:val="18"/>
        </w:rPr>
        <w:t xml:space="preserve">UNESCO, </w:t>
      </w:r>
      <w:r w:rsidR="00896349" w:rsidRPr="00D01211">
        <w:rPr>
          <w:rFonts w:ascii="Arial" w:hAnsi="Arial"/>
          <w:sz w:val="18"/>
        </w:rPr>
        <w:t>veuillez consulter</w:t>
      </w:r>
      <w:r w:rsidRPr="00D01211">
        <w:rPr>
          <w:rFonts w:ascii="Arial" w:hAnsi="Arial"/>
          <w:sz w:val="18"/>
        </w:rPr>
        <w:t xml:space="preserve"> le site : </w:t>
      </w:r>
      <w:hyperlink r:id="rId1" w:history="1">
        <w:r w:rsidR="002A6CA6" w:rsidRPr="004066B9">
          <w:rPr>
            <w:rStyle w:val="Hyperlink"/>
            <w:rFonts w:ascii="Arial" w:hAnsi="Arial"/>
            <w:sz w:val="18"/>
          </w:rPr>
          <w:t>http://www.unesco.org/new/fr/general-conference-39th/working-group-on-governance/sub-group-2/</w:t>
        </w:r>
      </w:hyperlink>
      <w:r w:rsidR="002A6CA6">
        <w:rPr>
          <w:rFonts w:ascii="Arial" w:hAnsi="Arial"/>
          <w:sz w:val="18"/>
        </w:rPr>
        <w:t xml:space="preserve"> </w:t>
      </w:r>
      <w:r w:rsidRPr="00D01211">
        <w:rPr>
          <w:rFonts w:ascii="Arial" w:hAnsi="Arial"/>
          <w:sz w:val="18"/>
        </w:rPr>
        <w:t xml:space="preserve">(consulté pour la dernière fois </w:t>
      </w:r>
      <w:r w:rsidRPr="002A6CA6">
        <w:rPr>
          <w:rFonts w:ascii="Arial" w:hAnsi="Arial"/>
          <w:sz w:val="18"/>
        </w:rPr>
        <w:t xml:space="preserve">le </w:t>
      </w:r>
      <w:r w:rsidR="00DE710D" w:rsidRPr="002A6CA6">
        <w:rPr>
          <w:rFonts w:ascii="Arial" w:hAnsi="Arial"/>
          <w:sz w:val="18"/>
        </w:rPr>
        <w:t xml:space="preserve">27 </w:t>
      </w:r>
      <w:r w:rsidRPr="002A6CA6">
        <w:rPr>
          <w:rFonts w:ascii="Arial" w:hAnsi="Arial"/>
          <w:sz w:val="18"/>
        </w:rPr>
        <w:t>octobre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6FF0" w14:textId="725CD3FB" w:rsidR="00D95C4C" w:rsidRPr="00C23A97" w:rsidRDefault="00CB0542">
    <w:pPr>
      <w:pStyle w:val="Header"/>
      <w:rPr>
        <w:rFonts w:ascii="Arial" w:hAnsi="Arial" w:cs="Arial"/>
      </w:rPr>
    </w:pPr>
    <w:r>
      <w:rPr>
        <w:rFonts w:ascii="Arial" w:hAnsi="Arial"/>
        <w:sz w:val="20"/>
        <w:szCs w:val="20"/>
      </w:rPr>
      <w:t>ITH/17/12.COM/</w:t>
    </w:r>
    <w:r w:rsidRPr="00D01211">
      <w:rPr>
        <w:rFonts w:ascii="Arial" w:hAnsi="Arial"/>
        <w:sz w:val="20"/>
        <w:szCs w:val="20"/>
      </w:rPr>
      <w:t>16</w:t>
    </w:r>
    <w:r>
      <w:rPr>
        <w:rFonts w:ascii="Arial" w:hAnsi="Arial"/>
        <w:sz w:val="20"/>
        <w:szCs w:val="20"/>
      </w:rPr>
      <w:t xml:space="preserve"> –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2A6CA6">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0A03" w14:textId="71A16FED" w:rsidR="00D95C4C" w:rsidRPr="0063300C" w:rsidRDefault="0053318C" w:rsidP="0063300C">
    <w:pPr>
      <w:pStyle w:val="Header"/>
      <w:jc w:val="right"/>
      <w:rPr>
        <w:rFonts w:ascii="Arial" w:hAnsi="Arial" w:cs="Arial"/>
      </w:rPr>
    </w:pPr>
    <w:r>
      <w:rPr>
        <w:rFonts w:ascii="Arial" w:hAnsi="Arial"/>
        <w:sz w:val="20"/>
        <w:szCs w:val="20"/>
      </w:rPr>
      <w:t>ITH/17/12.COM/</w:t>
    </w:r>
    <w:r w:rsidRPr="00D01211">
      <w:rPr>
        <w:rFonts w:ascii="Arial" w:hAnsi="Arial"/>
        <w:sz w:val="20"/>
        <w:szCs w:val="20"/>
      </w:rPr>
      <w:t>16</w:t>
    </w:r>
    <w:r>
      <w:rPr>
        <w:rFonts w:ascii="Arial" w:hAnsi="Arial"/>
        <w:sz w:val="20"/>
        <w:szCs w:val="20"/>
      </w:rPr>
      <w:t xml:space="preserve"> –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2A6CA6">
      <w:rPr>
        <w:rStyle w:val="PageNumber"/>
        <w:rFonts w:ascii="Arial" w:hAnsi="Arial" w:cs="Arial"/>
        <w:noProof/>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C26D" w14:textId="0F384F58" w:rsidR="00D95C4C" w:rsidRPr="00F32C23" w:rsidRDefault="00162F5B">
    <w:pPr>
      <w:pStyle w:val="Header"/>
    </w:pPr>
    <w:r>
      <w:rPr>
        <w:noProof/>
        <w:lang w:val="en-US" w:eastAsia="ko-KR"/>
      </w:rPr>
      <w:drawing>
        <wp:anchor distT="0" distB="0" distL="114300" distR="114300" simplePos="0" relativeHeight="251659776" behindDoc="0" locked="0" layoutInCell="1" allowOverlap="1" wp14:anchorId="5E718924" wp14:editId="0A0D2D93">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ABD84" w14:textId="77777777" w:rsidR="00D95C4C" w:rsidRPr="005107C9" w:rsidRDefault="00337CEB" w:rsidP="00655736">
    <w:pPr>
      <w:pStyle w:val="Header"/>
      <w:spacing w:after="520"/>
      <w:jc w:val="right"/>
      <w:rPr>
        <w:rFonts w:ascii="Arial" w:hAnsi="Arial" w:cs="Arial"/>
        <w:b/>
        <w:sz w:val="44"/>
        <w:szCs w:val="44"/>
        <w:lang w:val="en-US"/>
      </w:rPr>
    </w:pPr>
    <w:r w:rsidRPr="005107C9">
      <w:rPr>
        <w:rFonts w:ascii="Arial" w:hAnsi="Arial"/>
        <w:b/>
        <w:sz w:val="44"/>
        <w:szCs w:val="44"/>
        <w:lang w:val="en-US"/>
      </w:rPr>
      <w:t>12 COM</w:t>
    </w:r>
  </w:p>
  <w:p w14:paraId="24155CB4" w14:textId="1062122F" w:rsidR="00D95C4C" w:rsidRPr="005107C9" w:rsidRDefault="00337CEB" w:rsidP="00655736">
    <w:pPr>
      <w:jc w:val="right"/>
      <w:rPr>
        <w:rFonts w:ascii="Arial" w:hAnsi="Arial" w:cs="Arial"/>
        <w:b/>
        <w:sz w:val="22"/>
        <w:szCs w:val="22"/>
        <w:lang w:val="en-US"/>
      </w:rPr>
    </w:pPr>
    <w:r w:rsidRPr="005107C9">
      <w:rPr>
        <w:rFonts w:ascii="Arial" w:hAnsi="Arial"/>
        <w:b/>
        <w:sz w:val="22"/>
        <w:szCs w:val="22"/>
        <w:lang w:val="en-US"/>
      </w:rPr>
      <w:t>ITH/17/12.COM/</w:t>
    </w:r>
    <w:r w:rsidRPr="00D01211">
      <w:rPr>
        <w:rFonts w:ascii="Arial" w:hAnsi="Arial"/>
        <w:b/>
        <w:sz w:val="22"/>
        <w:szCs w:val="22"/>
        <w:lang w:val="en-US"/>
      </w:rPr>
      <w:t>16</w:t>
    </w:r>
  </w:p>
  <w:p w14:paraId="62922082" w14:textId="6C0973A6" w:rsidR="00D95C4C" w:rsidRPr="005107C9" w:rsidRDefault="00D95C4C" w:rsidP="00655736">
    <w:pPr>
      <w:jc w:val="right"/>
      <w:rPr>
        <w:rFonts w:ascii="Arial" w:eastAsiaTheme="minorEastAsia" w:hAnsi="Arial" w:cs="Arial"/>
        <w:b/>
        <w:sz w:val="22"/>
        <w:szCs w:val="22"/>
        <w:lang w:val="en-US"/>
      </w:rPr>
    </w:pPr>
    <w:r w:rsidRPr="005107C9">
      <w:rPr>
        <w:rFonts w:ascii="Arial" w:hAnsi="Arial"/>
        <w:b/>
        <w:sz w:val="22"/>
        <w:szCs w:val="22"/>
        <w:lang w:val="en-US"/>
      </w:rPr>
      <w:t xml:space="preserve">Paris, le </w:t>
    </w:r>
    <w:r w:rsidR="003F51D3">
      <w:rPr>
        <w:rFonts w:ascii="Arial" w:hAnsi="Arial"/>
        <w:b/>
        <w:sz w:val="22"/>
        <w:szCs w:val="22"/>
        <w:lang w:val="en-US"/>
      </w:rPr>
      <w:t xml:space="preserve">31 </w:t>
    </w:r>
    <w:proofErr w:type="spellStart"/>
    <w:r w:rsidR="003F51D3">
      <w:rPr>
        <w:rFonts w:ascii="Arial" w:hAnsi="Arial"/>
        <w:b/>
        <w:sz w:val="22"/>
        <w:szCs w:val="22"/>
        <w:lang w:val="en-US"/>
      </w:rPr>
      <w:t>octobre</w:t>
    </w:r>
    <w:proofErr w:type="spellEnd"/>
    <w:r w:rsidRPr="005107C9">
      <w:rPr>
        <w:rFonts w:ascii="Arial" w:hAnsi="Arial"/>
        <w:b/>
        <w:sz w:val="22"/>
        <w:szCs w:val="22"/>
        <w:lang w:val="en-US"/>
      </w:rPr>
      <w:t> 2017</w:t>
    </w:r>
  </w:p>
  <w:p w14:paraId="1AF60122" w14:textId="77777777" w:rsidR="00D95C4C" w:rsidRPr="00F32C23" w:rsidRDefault="00D95C4C" w:rsidP="000048ED">
    <w:pPr>
      <w:jc w:val="right"/>
      <w:rPr>
        <w:rFonts w:ascii="Arial" w:hAnsi="Arial" w:cs="Arial"/>
        <w:b/>
        <w:sz w:val="22"/>
        <w:szCs w:val="22"/>
      </w:rPr>
    </w:pPr>
    <w:r>
      <w:rPr>
        <w:rFonts w:ascii="Arial" w:hAnsi="Arial"/>
        <w:b/>
        <w:sz w:val="22"/>
        <w:szCs w:val="22"/>
      </w:rPr>
      <w:t xml:space="preserve">Original : </w:t>
    </w:r>
    <w:r w:rsidRPr="00D01211">
      <w:rPr>
        <w:rFonts w:ascii="Arial" w:hAnsi="Arial"/>
        <w:b/>
        <w:sz w:val="22"/>
        <w:szCs w:val="22"/>
      </w:rPr>
      <w:t>anglais</w:t>
    </w:r>
  </w:p>
  <w:p w14:paraId="6A962A06" w14:textId="77777777" w:rsidR="00D95C4C" w:rsidRPr="00F32C23" w:rsidRDefault="00D95C4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E55A97"/>
    <w:multiLevelType w:val="hybridMultilevel"/>
    <w:tmpl w:val="520C2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C20C8"/>
    <w:multiLevelType w:val="hybridMultilevel"/>
    <w:tmpl w:val="14B22E02"/>
    <w:lvl w:ilvl="0" w:tplc="6846D580">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163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13"/>
  </w:num>
  <w:num w:numId="5">
    <w:abstractNumId w:val="12"/>
  </w:num>
  <w:num w:numId="6">
    <w:abstractNumId w:val="0"/>
  </w:num>
  <w:num w:numId="7">
    <w:abstractNumId w:val="2"/>
  </w:num>
  <w:num w:numId="8">
    <w:abstractNumId w:val="10"/>
  </w:num>
  <w:num w:numId="9">
    <w:abstractNumId w:val="5"/>
  </w:num>
  <w:num w:numId="10">
    <w:abstractNumId w:val="7"/>
  </w:num>
  <w:num w:numId="11">
    <w:abstractNumId w:val="9"/>
  </w:num>
  <w:num w:numId="12">
    <w:abstractNumId w:val="8"/>
  </w:num>
  <w:num w:numId="13">
    <w:abstractNumId w:val="3"/>
  </w:num>
  <w:num w:numId="14">
    <w:abstractNumId w:val="4"/>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26CE"/>
    <w:rsid w:val="000048ED"/>
    <w:rsid w:val="00041A66"/>
    <w:rsid w:val="0005176E"/>
    <w:rsid w:val="00053220"/>
    <w:rsid w:val="00063A1C"/>
    <w:rsid w:val="000661C5"/>
    <w:rsid w:val="0006652B"/>
    <w:rsid w:val="000765F7"/>
    <w:rsid w:val="00077AB7"/>
    <w:rsid w:val="00081CD8"/>
    <w:rsid w:val="00084EBB"/>
    <w:rsid w:val="0009785E"/>
    <w:rsid w:val="000A7199"/>
    <w:rsid w:val="000A7F0E"/>
    <w:rsid w:val="000B1C8F"/>
    <w:rsid w:val="000C0D61"/>
    <w:rsid w:val="000D4DF2"/>
    <w:rsid w:val="000E0A56"/>
    <w:rsid w:val="000E6601"/>
    <w:rsid w:val="000F3A3F"/>
    <w:rsid w:val="00102557"/>
    <w:rsid w:val="00115DD2"/>
    <w:rsid w:val="00162F5B"/>
    <w:rsid w:val="00164D56"/>
    <w:rsid w:val="00167B10"/>
    <w:rsid w:val="0017402F"/>
    <w:rsid w:val="0018027B"/>
    <w:rsid w:val="00196C1B"/>
    <w:rsid w:val="001A6099"/>
    <w:rsid w:val="001B0F73"/>
    <w:rsid w:val="001C2DB7"/>
    <w:rsid w:val="001D5C04"/>
    <w:rsid w:val="001E3E65"/>
    <w:rsid w:val="001F26CF"/>
    <w:rsid w:val="001F43EE"/>
    <w:rsid w:val="00222A2D"/>
    <w:rsid w:val="00223029"/>
    <w:rsid w:val="00234745"/>
    <w:rsid w:val="002351A6"/>
    <w:rsid w:val="002407AF"/>
    <w:rsid w:val="002621BE"/>
    <w:rsid w:val="0027466B"/>
    <w:rsid w:val="002838A5"/>
    <w:rsid w:val="00285BB4"/>
    <w:rsid w:val="002A6CA6"/>
    <w:rsid w:val="002B0E8D"/>
    <w:rsid w:val="002C09E3"/>
    <w:rsid w:val="002D32DC"/>
    <w:rsid w:val="002E0FF5"/>
    <w:rsid w:val="00300FAF"/>
    <w:rsid w:val="00312716"/>
    <w:rsid w:val="00337CEB"/>
    <w:rsid w:val="00344B58"/>
    <w:rsid w:val="0034539A"/>
    <w:rsid w:val="00345CB4"/>
    <w:rsid w:val="00375D42"/>
    <w:rsid w:val="00396F60"/>
    <w:rsid w:val="003A2362"/>
    <w:rsid w:val="003D069C"/>
    <w:rsid w:val="003D7646"/>
    <w:rsid w:val="003F113A"/>
    <w:rsid w:val="003F3E63"/>
    <w:rsid w:val="003F51D3"/>
    <w:rsid w:val="00407480"/>
    <w:rsid w:val="00414643"/>
    <w:rsid w:val="004421E5"/>
    <w:rsid w:val="00452284"/>
    <w:rsid w:val="00457C8E"/>
    <w:rsid w:val="00464F07"/>
    <w:rsid w:val="00473E25"/>
    <w:rsid w:val="00475887"/>
    <w:rsid w:val="004856CA"/>
    <w:rsid w:val="00487E67"/>
    <w:rsid w:val="00495B64"/>
    <w:rsid w:val="0049705E"/>
    <w:rsid w:val="004A34A0"/>
    <w:rsid w:val="004C3CA4"/>
    <w:rsid w:val="004C7C59"/>
    <w:rsid w:val="004F2361"/>
    <w:rsid w:val="005008A8"/>
    <w:rsid w:val="005107C9"/>
    <w:rsid w:val="00526B7B"/>
    <w:rsid w:val="005308CE"/>
    <w:rsid w:val="0053318C"/>
    <w:rsid w:val="00543E1A"/>
    <w:rsid w:val="00562682"/>
    <w:rsid w:val="0057439C"/>
    <w:rsid w:val="005953C2"/>
    <w:rsid w:val="005B0127"/>
    <w:rsid w:val="005B7A35"/>
    <w:rsid w:val="005C4B73"/>
    <w:rsid w:val="005E1D2B"/>
    <w:rsid w:val="005E7074"/>
    <w:rsid w:val="005F2BAF"/>
    <w:rsid w:val="00600D93"/>
    <w:rsid w:val="00603CB1"/>
    <w:rsid w:val="00615487"/>
    <w:rsid w:val="0062046B"/>
    <w:rsid w:val="006212EA"/>
    <w:rsid w:val="00623D45"/>
    <w:rsid w:val="00630658"/>
    <w:rsid w:val="0063300C"/>
    <w:rsid w:val="00647AE1"/>
    <w:rsid w:val="00655736"/>
    <w:rsid w:val="00663B8D"/>
    <w:rsid w:val="00665073"/>
    <w:rsid w:val="00696C8D"/>
    <w:rsid w:val="006A13E4"/>
    <w:rsid w:val="006A2AC2"/>
    <w:rsid w:val="006A3617"/>
    <w:rsid w:val="006B4418"/>
    <w:rsid w:val="006C0EEB"/>
    <w:rsid w:val="006D753E"/>
    <w:rsid w:val="006E46E4"/>
    <w:rsid w:val="00717DA5"/>
    <w:rsid w:val="00744484"/>
    <w:rsid w:val="00747566"/>
    <w:rsid w:val="00754626"/>
    <w:rsid w:val="007569A6"/>
    <w:rsid w:val="00773188"/>
    <w:rsid w:val="00780D32"/>
    <w:rsid w:val="00783782"/>
    <w:rsid w:val="00784B8C"/>
    <w:rsid w:val="007879E1"/>
    <w:rsid w:val="007B012E"/>
    <w:rsid w:val="00823A11"/>
    <w:rsid w:val="00826395"/>
    <w:rsid w:val="00835FDA"/>
    <w:rsid w:val="008455CC"/>
    <w:rsid w:val="008521B8"/>
    <w:rsid w:val="0085405E"/>
    <w:rsid w:val="0085414A"/>
    <w:rsid w:val="0086269D"/>
    <w:rsid w:val="0086543A"/>
    <w:rsid w:val="008724E5"/>
    <w:rsid w:val="00884A9D"/>
    <w:rsid w:val="0088512B"/>
    <w:rsid w:val="00894A9F"/>
    <w:rsid w:val="00896349"/>
    <w:rsid w:val="008A2B2D"/>
    <w:rsid w:val="008A4E1E"/>
    <w:rsid w:val="008C296C"/>
    <w:rsid w:val="008C7013"/>
    <w:rsid w:val="008D4305"/>
    <w:rsid w:val="008E1A85"/>
    <w:rsid w:val="009163A7"/>
    <w:rsid w:val="00932BD2"/>
    <w:rsid w:val="00946D0B"/>
    <w:rsid w:val="00955877"/>
    <w:rsid w:val="009605B5"/>
    <w:rsid w:val="009A18CD"/>
    <w:rsid w:val="009A5F53"/>
    <w:rsid w:val="009B3A8C"/>
    <w:rsid w:val="009C60BC"/>
    <w:rsid w:val="009D5428"/>
    <w:rsid w:val="00A12558"/>
    <w:rsid w:val="00A13903"/>
    <w:rsid w:val="00A211FD"/>
    <w:rsid w:val="00A34ED5"/>
    <w:rsid w:val="00A45DBF"/>
    <w:rsid w:val="00A537E1"/>
    <w:rsid w:val="00A755A2"/>
    <w:rsid w:val="00AA6660"/>
    <w:rsid w:val="00AB2C36"/>
    <w:rsid w:val="00AB6DDE"/>
    <w:rsid w:val="00AB70B6"/>
    <w:rsid w:val="00AD1A86"/>
    <w:rsid w:val="00AE103E"/>
    <w:rsid w:val="00AF0A07"/>
    <w:rsid w:val="00AF4AEC"/>
    <w:rsid w:val="00AF625E"/>
    <w:rsid w:val="00B30007"/>
    <w:rsid w:val="00B8426E"/>
    <w:rsid w:val="00BB04AF"/>
    <w:rsid w:val="00BD52C9"/>
    <w:rsid w:val="00BE6354"/>
    <w:rsid w:val="00C10169"/>
    <w:rsid w:val="00C138D1"/>
    <w:rsid w:val="00C23A97"/>
    <w:rsid w:val="00C37B4B"/>
    <w:rsid w:val="00C64855"/>
    <w:rsid w:val="00C70EA7"/>
    <w:rsid w:val="00C7433F"/>
    <w:rsid w:val="00C7516E"/>
    <w:rsid w:val="00C75770"/>
    <w:rsid w:val="00C96583"/>
    <w:rsid w:val="00CA0DD9"/>
    <w:rsid w:val="00CA12CA"/>
    <w:rsid w:val="00CA56BB"/>
    <w:rsid w:val="00CB0542"/>
    <w:rsid w:val="00CD3F2F"/>
    <w:rsid w:val="00CD664A"/>
    <w:rsid w:val="00D00B2B"/>
    <w:rsid w:val="00D01211"/>
    <w:rsid w:val="00D24877"/>
    <w:rsid w:val="00D57A97"/>
    <w:rsid w:val="00D660EF"/>
    <w:rsid w:val="00D67501"/>
    <w:rsid w:val="00D72710"/>
    <w:rsid w:val="00D73E38"/>
    <w:rsid w:val="00D8250F"/>
    <w:rsid w:val="00D95C4C"/>
    <w:rsid w:val="00DA3646"/>
    <w:rsid w:val="00DA36ED"/>
    <w:rsid w:val="00DD0442"/>
    <w:rsid w:val="00DD7413"/>
    <w:rsid w:val="00DE34F1"/>
    <w:rsid w:val="00DE6160"/>
    <w:rsid w:val="00DE710D"/>
    <w:rsid w:val="00DF4942"/>
    <w:rsid w:val="00E2099E"/>
    <w:rsid w:val="00E244E1"/>
    <w:rsid w:val="00E627B1"/>
    <w:rsid w:val="00E70169"/>
    <w:rsid w:val="00E91341"/>
    <w:rsid w:val="00E9376C"/>
    <w:rsid w:val="00EA335E"/>
    <w:rsid w:val="00EA528C"/>
    <w:rsid w:val="00EA580C"/>
    <w:rsid w:val="00EC6F8D"/>
    <w:rsid w:val="00EE49F4"/>
    <w:rsid w:val="00EE6783"/>
    <w:rsid w:val="00EF34E2"/>
    <w:rsid w:val="00EF46CF"/>
    <w:rsid w:val="00F30DC6"/>
    <w:rsid w:val="00F32C23"/>
    <w:rsid w:val="00F342E7"/>
    <w:rsid w:val="00F53DE9"/>
    <w:rsid w:val="00F576CB"/>
    <w:rsid w:val="00F7035D"/>
    <w:rsid w:val="00F71A02"/>
    <w:rsid w:val="00F81068"/>
    <w:rsid w:val="00FA0D63"/>
    <w:rsid w:val="00FA3869"/>
    <w:rsid w:val="00FD1226"/>
    <w:rsid w:val="00FE5027"/>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1DDC88"/>
  <w15:docId w15:val="{AE4A106E-7E16-48E3-9729-D5BE9C85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7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basedOn w:val="DefaultParagraphFont"/>
    <w:uiPriority w:val="99"/>
    <w:unhideWhenUsed/>
    <w:rsid w:val="00932BD2"/>
    <w:rPr>
      <w:color w:val="0000FF" w:themeColor="hyperlink"/>
      <w:u w:val="single"/>
    </w:rPr>
  </w:style>
  <w:style w:type="character" w:styleId="CommentReference">
    <w:name w:val="annotation reference"/>
    <w:basedOn w:val="DefaultParagraphFont"/>
    <w:uiPriority w:val="99"/>
    <w:semiHidden/>
    <w:unhideWhenUsed/>
    <w:rsid w:val="00475887"/>
    <w:rPr>
      <w:sz w:val="16"/>
      <w:szCs w:val="16"/>
    </w:rPr>
  </w:style>
  <w:style w:type="paragraph" w:styleId="CommentText">
    <w:name w:val="annotation text"/>
    <w:basedOn w:val="Normal"/>
    <w:link w:val="CommentTextChar"/>
    <w:uiPriority w:val="99"/>
    <w:semiHidden/>
    <w:unhideWhenUsed/>
    <w:rsid w:val="00475887"/>
    <w:rPr>
      <w:sz w:val="20"/>
      <w:szCs w:val="20"/>
    </w:rPr>
  </w:style>
  <w:style w:type="character" w:customStyle="1" w:styleId="CommentTextChar">
    <w:name w:val="Comment Text Char"/>
    <w:basedOn w:val="DefaultParagraphFont"/>
    <w:link w:val="CommentText"/>
    <w:uiPriority w:val="99"/>
    <w:semiHidden/>
    <w:rsid w:val="0047588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887"/>
    <w:rPr>
      <w:b/>
      <w:bCs/>
    </w:rPr>
  </w:style>
  <w:style w:type="character" w:customStyle="1" w:styleId="CommentSubjectChar">
    <w:name w:val="Comment Subject Char"/>
    <w:basedOn w:val="CommentTextChar"/>
    <w:link w:val="CommentSubject"/>
    <w:uiPriority w:val="99"/>
    <w:semiHidden/>
    <w:rsid w:val="00475887"/>
    <w:rPr>
      <w:rFonts w:ascii="Times New Roman" w:eastAsia="Times New Roman" w:hAnsi="Times New Roman"/>
      <w:b/>
      <w:bCs/>
    </w:rPr>
  </w:style>
  <w:style w:type="paragraph" w:styleId="FootnoteText">
    <w:name w:val="footnote text"/>
    <w:basedOn w:val="Normal"/>
    <w:link w:val="FootnoteTextChar"/>
    <w:uiPriority w:val="99"/>
    <w:semiHidden/>
    <w:unhideWhenUsed/>
    <w:rsid w:val="00C96583"/>
    <w:rPr>
      <w:sz w:val="20"/>
      <w:szCs w:val="20"/>
    </w:rPr>
  </w:style>
  <w:style w:type="character" w:customStyle="1" w:styleId="FootnoteTextChar">
    <w:name w:val="Footnote Text Char"/>
    <w:basedOn w:val="DefaultParagraphFont"/>
    <w:link w:val="FootnoteText"/>
    <w:uiPriority w:val="99"/>
    <w:semiHidden/>
    <w:rsid w:val="00C96583"/>
    <w:rPr>
      <w:rFonts w:ascii="Times New Roman" w:eastAsia="Times New Roman" w:hAnsi="Times New Roman"/>
    </w:rPr>
  </w:style>
  <w:style w:type="character" w:styleId="FootnoteReference">
    <w:name w:val="footnote reference"/>
    <w:basedOn w:val="DefaultParagraphFont"/>
    <w:uiPriority w:val="99"/>
    <w:semiHidden/>
    <w:unhideWhenUsed/>
    <w:rsid w:val="00C96583"/>
    <w:rPr>
      <w:vertAlign w:val="superscript"/>
    </w:rPr>
  </w:style>
  <w:style w:type="paragraph" w:customStyle="1" w:styleId="Default">
    <w:name w:val="Default"/>
    <w:rsid w:val="00780D32"/>
    <w:pPr>
      <w:autoSpaceDE w:val="0"/>
      <w:autoSpaceDN w:val="0"/>
      <w:adjustRightInd w:val="0"/>
    </w:pPr>
    <w:rPr>
      <w:rFonts w:ascii="Century Gothic" w:eastAsiaTheme="minorEastAsia" w:hAnsi="Century Gothic" w:cs="Century Gothic"/>
      <w:color w:val="000000"/>
      <w:sz w:val="24"/>
      <w:szCs w:val="24"/>
      <w:lang w:eastAsia="en-US"/>
    </w:rPr>
  </w:style>
  <w:style w:type="paragraph" w:styleId="ListParagraph">
    <w:name w:val="List Paragraph"/>
    <w:basedOn w:val="Normal"/>
    <w:uiPriority w:val="34"/>
    <w:qFormat/>
    <w:rsid w:val="00780D32"/>
    <w:pPr>
      <w:spacing w:after="160" w:line="259" w:lineRule="auto"/>
      <w:ind w:left="720"/>
      <w:contextualSpacing/>
    </w:pPr>
    <w:rPr>
      <w:rFonts w:asciiTheme="minorHAnsi" w:eastAsiaTheme="minorEastAsia" w:hAnsiTheme="minorHAnsi" w:cstheme="minorBidi"/>
      <w:sz w:val="22"/>
      <w:szCs w:val="22"/>
      <w:lang w:eastAsia="en-US"/>
    </w:rPr>
  </w:style>
  <w:style w:type="paragraph" w:styleId="Revision">
    <w:name w:val="Revision"/>
    <w:hidden/>
    <w:uiPriority w:val="99"/>
    <w:semiHidden/>
    <w:rsid w:val="00115DD2"/>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63A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new/fileadmin/MULTIMEDIA/HQ/GBS/38GC/pdf/101_Resolution_Fr.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nesdoc.unesco.org/images/0025/002590/259083f.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C3%A9cisions/11.COM/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doc/src/ITH-16-11.COM-7-FR.docx" TargetMode="External"/><Relationship Id="rId4" Type="http://schemas.openxmlformats.org/officeDocument/2006/relationships/settings" Target="settings.xml"/><Relationship Id="rId9" Type="http://schemas.openxmlformats.org/officeDocument/2006/relationships/hyperlink" Target="http://unesdoc.unesco.org/images/0023/002352/235207f.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new/fr/general-conference-39th/working-group-on-governance/sub-group-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FFE3-34E6-43CF-9EEB-B5D5CFF2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TotalTime>
  <Pages>3</Pages>
  <Words>809</Words>
  <Characters>4613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3</cp:revision>
  <cp:lastPrinted>2017-08-23T12:47:00Z</cp:lastPrinted>
  <dcterms:created xsi:type="dcterms:W3CDTF">2017-10-31T10:01:00Z</dcterms:created>
  <dcterms:modified xsi:type="dcterms:W3CDTF">2017-10-31T10:06:00Z</dcterms:modified>
</cp:coreProperties>
</file>