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E02DF" w14:textId="77777777" w:rsidR="00EC6F8D" w:rsidRPr="00293C60" w:rsidRDefault="00EC6F8D" w:rsidP="00EC6F8D">
      <w:pPr>
        <w:spacing w:before="1440"/>
        <w:jc w:val="center"/>
        <w:rPr>
          <w:rFonts w:ascii="Arial" w:hAnsi="Arial" w:cs="Arial"/>
          <w:b/>
          <w:sz w:val="22"/>
          <w:szCs w:val="22"/>
          <w:lang w:val="en-GB"/>
        </w:rPr>
      </w:pPr>
      <w:r w:rsidRPr="00293C60">
        <w:rPr>
          <w:rFonts w:ascii="Arial" w:hAnsi="Arial" w:cs="Arial"/>
          <w:b/>
          <w:sz w:val="22"/>
          <w:szCs w:val="22"/>
          <w:lang w:val="en-GB"/>
        </w:rPr>
        <w:t xml:space="preserve">CONVENTION FOR THE SAFEGUARDING OF THE </w:t>
      </w:r>
      <w:r w:rsidRPr="00293C60">
        <w:rPr>
          <w:rFonts w:ascii="Arial" w:hAnsi="Arial" w:cs="Arial"/>
          <w:b/>
          <w:sz w:val="22"/>
          <w:szCs w:val="22"/>
          <w:lang w:val="en-GB"/>
        </w:rPr>
        <w:br/>
        <w:t>INTANGIBLE CULTURAL HERITAGE</w:t>
      </w:r>
    </w:p>
    <w:p w14:paraId="2250EDEB" w14:textId="77777777" w:rsidR="00EC6F8D" w:rsidRPr="00293C60" w:rsidRDefault="00EC6F8D" w:rsidP="00EC6F8D">
      <w:pPr>
        <w:spacing w:before="1200"/>
        <w:jc w:val="center"/>
        <w:rPr>
          <w:rFonts w:ascii="Arial" w:hAnsi="Arial" w:cs="Arial"/>
          <w:b/>
          <w:sz w:val="22"/>
          <w:szCs w:val="22"/>
          <w:lang w:val="en-GB"/>
        </w:rPr>
      </w:pPr>
      <w:r w:rsidRPr="00293C60">
        <w:rPr>
          <w:rFonts w:ascii="Arial" w:hAnsi="Arial" w:cs="Arial"/>
          <w:b/>
          <w:sz w:val="22"/>
          <w:szCs w:val="22"/>
          <w:lang w:val="en-GB"/>
        </w:rPr>
        <w:t>INTERGOVERNMENTAL COMMITTEE FOR THE</w:t>
      </w:r>
      <w:r w:rsidRPr="00293C60">
        <w:rPr>
          <w:rFonts w:ascii="Arial" w:hAnsi="Arial" w:cs="Arial"/>
          <w:b/>
          <w:sz w:val="22"/>
          <w:szCs w:val="22"/>
          <w:lang w:val="en-GB"/>
        </w:rPr>
        <w:br/>
        <w:t>SAFEGUARDING OF THE INTANGIBLE CULTURAL HERITAGE</w:t>
      </w:r>
    </w:p>
    <w:p w14:paraId="15C42019" w14:textId="77777777" w:rsidR="00EC6F8D" w:rsidRPr="00293C60" w:rsidRDefault="00C7433F" w:rsidP="00EC6F8D">
      <w:pPr>
        <w:spacing w:before="840"/>
        <w:jc w:val="center"/>
        <w:rPr>
          <w:rFonts w:ascii="Arial" w:hAnsi="Arial" w:cs="Arial"/>
          <w:b/>
          <w:sz w:val="22"/>
          <w:szCs w:val="22"/>
          <w:lang w:val="en-GB"/>
        </w:rPr>
      </w:pPr>
      <w:r>
        <w:rPr>
          <w:rFonts w:ascii="Arial" w:eastAsiaTheme="minorEastAsia" w:hAnsi="Arial" w:cs="Arial" w:hint="eastAsia"/>
          <w:b/>
          <w:sz w:val="22"/>
          <w:szCs w:val="22"/>
          <w:lang w:val="en-GB" w:eastAsia="ko-KR"/>
        </w:rPr>
        <w:t>Twelf</w:t>
      </w:r>
      <w:r w:rsidR="00CB0542">
        <w:rPr>
          <w:rFonts w:ascii="Arial" w:hAnsi="Arial" w:cs="Arial"/>
          <w:b/>
          <w:sz w:val="22"/>
          <w:szCs w:val="22"/>
          <w:lang w:val="en-GB"/>
        </w:rPr>
        <w:t>th</w:t>
      </w:r>
      <w:r w:rsidR="00EC6F8D">
        <w:rPr>
          <w:rFonts w:ascii="Arial" w:hAnsi="Arial" w:cs="Arial"/>
          <w:b/>
          <w:sz w:val="22"/>
          <w:szCs w:val="22"/>
          <w:lang w:val="en-GB"/>
        </w:rPr>
        <w:t xml:space="preserve"> </w:t>
      </w:r>
      <w:r w:rsidR="00EC6F8D" w:rsidRPr="00293C60">
        <w:rPr>
          <w:rFonts w:ascii="Arial" w:hAnsi="Arial" w:cs="Arial"/>
          <w:b/>
          <w:sz w:val="22"/>
          <w:szCs w:val="22"/>
          <w:lang w:val="en-GB"/>
        </w:rPr>
        <w:t>session</w:t>
      </w:r>
    </w:p>
    <w:p w14:paraId="20101CC0" w14:textId="77777777" w:rsidR="009D5428" w:rsidRPr="00337CEB" w:rsidRDefault="002351A6" w:rsidP="005E7074">
      <w:pPr>
        <w:jc w:val="center"/>
        <w:rPr>
          <w:rFonts w:ascii="Arial" w:eastAsiaTheme="minorEastAsia" w:hAnsi="Arial" w:cs="Arial"/>
          <w:b/>
          <w:sz w:val="22"/>
          <w:szCs w:val="22"/>
          <w:lang w:val="en-GB" w:eastAsia="ko-KR"/>
        </w:rPr>
      </w:pPr>
      <w:proofErr w:type="spellStart"/>
      <w:r>
        <w:rPr>
          <w:rFonts w:ascii="Arial" w:eastAsiaTheme="minorEastAsia" w:hAnsi="Arial" w:cs="Arial" w:hint="eastAsia"/>
          <w:b/>
          <w:sz w:val="22"/>
          <w:szCs w:val="22"/>
          <w:lang w:val="en-GB" w:eastAsia="ko-KR"/>
        </w:rPr>
        <w:t>Jeju</w:t>
      </w:r>
      <w:proofErr w:type="spellEnd"/>
      <w:r>
        <w:rPr>
          <w:rFonts w:ascii="Arial" w:eastAsiaTheme="minorEastAsia" w:hAnsi="Arial" w:cs="Arial" w:hint="eastAsia"/>
          <w:b/>
          <w:sz w:val="22"/>
          <w:szCs w:val="22"/>
          <w:lang w:val="en-GB" w:eastAsia="ko-KR"/>
        </w:rPr>
        <w:t xml:space="preserve"> Island</w:t>
      </w:r>
      <w:r w:rsidR="00CB0542">
        <w:rPr>
          <w:rFonts w:ascii="Arial" w:hAnsi="Arial" w:cs="Arial"/>
          <w:b/>
          <w:sz w:val="22"/>
          <w:szCs w:val="22"/>
          <w:lang w:val="en-GB"/>
        </w:rPr>
        <w:t xml:space="preserve">, </w:t>
      </w:r>
      <w:r w:rsidR="00337CEB">
        <w:rPr>
          <w:rFonts w:ascii="Arial" w:eastAsiaTheme="minorEastAsia" w:hAnsi="Arial" w:cs="Arial" w:hint="eastAsia"/>
          <w:b/>
          <w:sz w:val="22"/>
          <w:szCs w:val="22"/>
          <w:lang w:val="en-GB" w:eastAsia="ko-KR"/>
        </w:rPr>
        <w:t>Republic of Korea</w:t>
      </w:r>
    </w:p>
    <w:p w14:paraId="252BB809" w14:textId="77777777" w:rsidR="00EC6F8D" w:rsidRPr="00337CEB" w:rsidRDefault="00337CEB" w:rsidP="00EC6F8D">
      <w:pPr>
        <w:jc w:val="center"/>
        <w:rPr>
          <w:rFonts w:ascii="Arial" w:eastAsiaTheme="minorEastAsia" w:hAnsi="Arial" w:cs="Arial"/>
          <w:b/>
          <w:sz w:val="22"/>
          <w:szCs w:val="22"/>
          <w:lang w:val="en-GB" w:eastAsia="ko-KR"/>
        </w:rPr>
      </w:pPr>
      <w:proofErr w:type="gramStart"/>
      <w:r>
        <w:rPr>
          <w:rFonts w:ascii="Arial" w:eastAsiaTheme="minorEastAsia" w:hAnsi="Arial" w:cs="Arial" w:hint="eastAsia"/>
          <w:b/>
          <w:sz w:val="22"/>
          <w:szCs w:val="22"/>
          <w:lang w:val="en-GB" w:eastAsia="ko-KR"/>
        </w:rPr>
        <w:t>4</w:t>
      </w:r>
      <w:proofErr w:type="gramEnd"/>
      <w:r w:rsidR="00EC6F8D" w:rsidRPr="00EC6F8D">
        <w:rPr>
          <w:rFonts w:ascii="Arial" w:hAnsi="Arial" w:cs="Arial"/>
          <w:b/>
          <w:sz w:val="22"/>
          <w:szCs w:val="22"/>
          <w:lang w:val="en-GB"/>
        </w:rPr>
        <w:t xml:space="preserve"> to </w:t>
      </w:r>
      <w:r w:rsidR="00FA3869">
        <w:rPr>
          <w:rFonts w:ascii="Arial" w:eastAsiaTheme="minorEastAsia" w:hAnsi="Arial" w:cs="Arial" w:hint="eastAsia"/>
          <w:b/>
          <w:sz w:val="22"/>
          <w:szCs w:val="22"/>
          <w:lang w:val="en-GB" w:eastAsia="ko-KR"/>
        </w:rPr>
        <w:t>9</w:t>
      </w:r>
      <w:r>
        <w:rPr>
          <w:rFonts w:ascii="Arial" w:hAnsi="Arial" w:cs="Arial"/>
          <w:b/>
          <w:sz w:val="22"/>
          <w:szCs w:val="22"/>
          <w:lang w:val="en-GB"/>
        </w:rPr>
        <w:t xml:space="preserve"> December 201</w:t>
      </w:r>
      <w:r>
        <w:rPr>
          <w:rFonts w:ascii="Arial" w:eastAsiaTheme="minorEastAsia" w:hAnsi="Arial" w:cs="Arial" w:hint="eastAsia"/>
          <w:b/>
          <w:sz w:val="22"/>
          <w:szCs w:val="22"/>
          <w:lang w:val="en-GB" w:eastAsia="ko-KR"/>
        </w:rPr>
        <w:t>7</w:t>
      </w:r>
    </w:p>
    <w:p w14:paraId="193FF349" w14:textId="2612DDED" w:rsidR="00EC6F8D" w:rsidRPr="00293C60" w:rsidRDefault="00EC6F8D" w:rsidP="00EC6F8D">
      <w:pPr>
        <w:pStyle w:val="Sansinterligne2"/>
        <w:spacing w:before="1200"/>
        <w:jc w:val="center"/>
        <w:rPr>
          <w:rFonts w:ascii="Arial" w:hAnsi="Arial" w:cs="Arial"/>
          <w:b/>
          <w:sz w:val="22"/>
          <w:szCs w:val="22"/>
          <w:lang w:val="en-GB"/>
        </w:rPr>
      </w:pPr>
      <w:r w:rsidRPr="00293C60">
        <w:rPr>
          <w:rFonts w:ascii="Arial" w:hAnsi="Arial" w:cs="Arial"/>
          <w:b/>
          <w:sz w:val="22"/>
          <w:szCs w:val="22"/>
          <w:u w:val="single"/>
          <w:lang w:val="en-GB"/>
        </w:rPr>
        <w:t xml:space="preserve">Item </w:t>
      </w:r>
      <w:r w:rsidR="00FA3869" w:rsidRPr="001B371B">
        <w:rPr>
          <w:rFonts w:ascii="Arial" w:hAnsi="Arial" w:cs="Arial"/>
          <w:b/>
          <w:sz w:val="22"/>
          <w:szCs w:val="22"/>
          <w:u w:val="single"/>
          <w:lang w:val="en-GB"/>
        </w:rPr>
        <w:t>1</w:t>
      </w:r>
      <w:r w:rsidR="00894A9F" w:rsidRPr="001B371B">
        <w:rPr>
          <w:rFonts w:ascii="Arial" w:hAnsi="Arial" w:cs="Arial"/>
          <w:b/>
          <w:sz w:val="22"/>
          <w:szCs w:val="22"/>
          <w:u w:val="single"/>
          <w:lang w:val="en-GB"/>
        </w:rPr>
        <w:t>6</w:t>
      </w:r>
      <w:r w:rsidRPr="00293C60">
        <w:rPr>
          <w:rFonts w:ascii="Arial" w:hAnsi="Arial" w:cs="Arial"/>
          <w:b/>
          <w:sz w:val="22"/>
          <w:szCs w:val="22"/>
          <w:u w:val="single"/>
          <w:lang w:val="en-GB"/>
        </w:rPr>
        <w:t xml:space="preserve"> of the Provisional Agenda</w:t>
      </w:r>
      <w:r w:rsidRPr="00293C60">
        <w:rPr>
          <w:rFonts w:ascii="Arial" w:hAnsi="Arial" w:cs="Arial"/>
          <w:b/>
          <w:sz w:val="22"/>
          <w:szCs w:val="22"/>
          <w:lang w:val="en-GB"/>
        </w:rPr>
        <w:t>:</w:t>
      </w:r>
    </w:p>
    <w:p w14:paraId="4564EBF8" w14:textId="55790C37" w:rsidR="00EC6F8D" w:rsidRPr="00293C60" w:rsidRDefault="00FA3869" w:rsidP="00EC6F8D">
      <w:pPr>
        <w:pStyle w:val="Sansinterligne2"/>
        <w:spacing w:after="1200"/>
        <w:jc w:val="center"/>
        <w:rPr>
          <w:rFonts w:ascii="Arial" w:hAnsi="Arial" w:cs="Arial"/>
          <w:b/>
          <w:sz w:val="22"/>
          <w:szCs w:val="22"/>
          <w:lang w:val="en-GB"/>
        </w:rPr>
      </w:pPr>
      <w:r w:rsidRPr="00330480">
        <w:rPr>
          <w:rFonts w:ascii="Arial" w:hAnsi="Arial" w:cs="Arial"/>
          <w:b/>
          <w:sz w:val="22"/>
          <w:szCs w:val="22"/>
          <w:lang w:val="en-GB"/>
        </w:rPr>
        <w:t>Follow-up to the recommenda</w:t>
      </w:r>
      <w:r>
        <w:rPr>
          <w:rFonts w:ascii="Arial" w:hAnsi="Arial" w:cs="Arial"/>
          <w:b/>
          <w:sz w:val="22"/>
          <w:szCs w:val="22"/>
          <w:lang w:val="en-GB"/>
        </w:rPr>
        <w:t>tions of the External Auditor’s</w:t>
      </w:r>
      <w:r>
        <w:rPr>
          <w:rFonts w:ascii="Arial" w:hAnsi="Arial" w:cs="Arial"/>
          <w:b/>
          <w:sz w:val="22"/>
          <w:szCs w:val="22"/>
          <w:lang w:val="en-GB"/>
        </w:rPr>
        <w:br/>
      </w:r>
      <w:r w:rsidRPr="00330480">
        <w:rPr>
          <w:rFonts w:ascii="Arial" w:hAnsi="Arial" w:cs="Arial"/>
          <w:b/>
          <w:sz w:val="22"/>
          <w:szCs w:val="22"/>
          <w:lang w:val="en-GB"/>
        </w:rPr>
        <w:t>‘Report on the governance of UNESCO and dependant funds, programmes and entities’ (Document 38</w:t>
      </w:r>
      <w:r w:rsidR="00B30007">
        <w:rPr>
          <w:rFonts w:ascii="Arial" w:hAnsi="Arial" w:cs="Arial"/>
          <w:b/>
          <w:sz w:val="22"/>
          <w:szCs w:val="22"/>
          <w:lang w:val="en-GB"/>
        </w:rPr>
        <w:t xml:space="preserve"> </w:t>
      </w:r>
      <w:r w:rsidRPr="00330480">
        <w:rPr>
          <w:rFonts w:ascii="Arial" w:hAnsi="Arial" w:cs="Arial"/>
          <w:b/>
          <w:sz w:val="22"/>
          <w:szCs w:val="22"/>
          <w:lang w:val="en-GB"/>
        </w:rPr>
        <w:t>C/23)</w:t>
      </w:r>
    </w:p>
    <w:tbl>
      <w:tblPr>
        <w:tblW w:w="63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80"/>
      </w:tblGrid>
      <w:tr w:rsidR="00EC6F8D" w:rsidRPr="006D753E" w14:paraId="5DE02CDC" w14:textId="77777777" w:rsidTr="00115DD2">
        <w:trPr>
          <w:jc w:val="center"/>
        </w:trPr>
        <w:tc>
          <w:tcPr>
            <w:tcW w:w="6380" w:type="dxa"/>
            <w:vAlign w:val="center"/>
          </w:tcPr>
          <w:p w14:paraId="4BBD68A0" w14:textId="77777777" w:rsidR="00EC6F8D" w:rsidRPr="00293C60" w:rsidRDefault="00EC6F8D" w:rsidP="00CA56BB">
            <w:pPr>
              <w:pStyle w:val="Sansinterligne1"/>
              <w:spacing w:before="200" w:after="200"/>
              <w:jc w:val="center"/>
              <w:rPr>
                <w:rFonts w:ascii="Arial" w:hAnsi="Arial" w:cs="Arial"/>
                <w:b/>
                <w:sz w:val="22"/>
                <w:szCs w:val="22"/>
                <w:lang w:val="en-GB"/>
              </w:rPr>
            </w:pPr>
            <w:r w:rsidRPr="00293C60">
              <w:rPr>
                <w:rFonts w:ascii="Arial" w:hAnsi="Arial" w:cs="Arial"/>
                <w:b/>
                <w:sz w:val="22"/>
                <w:szCs w:val="22"/>
                <w:lang w:val="en-GB"/>
              </w:rPr>
              <w:t>Summary</w:t>
            </w:r>
          </w:p>
          <w:p w14:paraId="3C63B2AB" w14:textId="0460D4F2" w:rsidR="006D753E" w:rsidRDefault="00B30007" w:rsidP="00115DD2">
            <w:pPr>
              <w:pStyle w:val="Sansinterligne1"/>
              <w:spacing w:before="120"/>
              <w:jc w:val="both"/>
              <w:rPr>
                <w:rFonts w:ascii="Arial" w:hAnsi="Arial" w:cs="Arial"/>
                <w:sz w:val="22"/>
                <w:szCs w:val="22"/>
                <w:lang w:val="en-GB"/>
              </w:rPr>
            </w:pPr>
            <w:r>
              <w:rPr>
                <w:rFonts w:ascii="Arial" w:hAnsi="Arial" w:cs="Arial"/>
                <w:sz w:val="22"/>
                <w:szCs w:val="22"/>
                <w:lang w:val="en-GB"/>
              </w:rPr>
              <w:t xml:space="preserve">In accordance with </w:t>
            </w:r>
            <w:r w:rsidR="000E6601" w:rsidRPr="00DA7318">
              <w:rPr>
                <w:rFonts w:ascii="Arial" w:hAnsi="Arial" w:cs="Arial"/>
                <w:sz w:val="22"/>
                <w:szCs w:val="22"/>
                <w:lang w:val="en-GB"/>
              </w:rPr>
              <w:t xml:space="preserve">Resolution </w:t>
            </w:r>
            <w:r w:rsidR="00CA12CA" w:rsidRPr="00DA7318">
              <w:rPr>
                <w:rFonts w:ascii="Arial" w:hAnsi="Arial" w:cs="Arial"/>
                <w:sz w:val="22"/>
                <w:szCs w:val="22"/>
                <w:lang w:val="en-GB"/>
              </w:rPr>
              <w:t>38 C/101</w:t>
            </w:r>
            <w:r w:rsidR="00CA12CA">
              <w:rPr>
                <w:rFonts w:ascii="Arial" w:hAnsi="Arial" w:cs="Arial"/>
                <w:sz w:val="22"/>
                <w:szCs w:val="22"/>
                <w:lang w:val="en-GB"/>
              </w:rPr>
              <w:t xml:space="preserve"> of the </w:t>
            </w:r>
            <w:r w:rsidR="00CA12CA" w:rsidRPr="00DA7318">
              <w:rPr>
                <w:rFonts w:ascii="Arial" w:hAnsi="Arial" w:cs="Arial"/>
                <w:sz w:val="22"/>
                <w:szCs w:val="22"/>
                <w:lang w:val="en-GB"/>
              </w:rPr>
              <w:t>General Conference of UNESCO</w:t>
            </w:r>
            <w:r w:rsidR="00CA12CA">
              <w:rPr>
                <w:rFonts w:ascii="Arial" w:hAnsi="Arial" w:cs="Arial"/>
                <w:sz w:val="22"/>
                <w:szCs w:val="22"/>
                <w:lang w:val="en-GB"/>
              </w:rPr>
              <w:t>,</w:t>
            </w:r>
            <w:r w:rsidR="00CA12CA" w:rsidRPr="00DA7318">
              <w:rPr>
                <w:rFonts w:ascii="Arial" w:hAnsi="Arial" w:cs="Arial"/>
                <w:sz w:val="22"/>
                <w:szCs w:val="22"/>
                <w:lang w:val="en-GB"/>
              </w:rPr>
              <w:t xml:space="preserve"> </w:t>
            </w:r>
            <w:r w:rsidR="00CA12CA">
              <w:rPr>
                <w:rFonts w:ascii="Arial" w:hAnsi="Arial" w:cs="Arial"/>
                <w:sz w:val="22"/>
                <w:szCs w:val="22"/>
                <w:lang w:val="en-GB"/>
              </w:rPr>
              <w:t xml:space="preserve">the Committee examined </w:t>
            </w:r>
            <w:r>
              <w:rPr>
                <w:rFonts w:ascii="Arial" w:hAnsi="Arial" w:cs="Arial"/>
                <w:sz w:val="22"/>
                <w:szCs w:val="22"/>
                <w:lang w:val="en-GB"/>
              </w:rPr>
              <w:t xml:space="preserve">at its eleventh session </w:t>
            </w:r>
            <w:r w:rsidR="00FA3869" w:rsidRPr="00DA7318">
              <w:rPr>
                <w:rFonts w:ascii="Arial" w:hAnsi="Arial" w:cs="Arial"/>
                <w:sz w:val="22"/>
                <w:szCs w:val="22"/>
                <w:lang w:val="en-GB"/>
              </w:rPr>
              <w:t>an item concerning the follow-up to the recommendations of the External Auditor’s ‘Report on the governance of UNESCO and dependant funds, programmes and entities’</w:t>
            </w:r>
            <w:r w:rsidR="006D753E">
              <w:rPr>
                <w:rFonts w:ascii="Arial" w:hAnsi="Arial" w:cs="Arial"/>
                <w:sz w:val="22"/>
                <w:szCs w:val="22"/>
                <w:lang w:val="en-GB"/>
              </w:rPr>
              <w:t>. By its Decision 11.COM 7, the Committee</w:t>
            </w:r>
            <w:r w:rsidR="00CA12CA">
              <w:rPr>
                <w:rFonts w:ascii="Arial" w:hAnsi="Arial" w:cs="Arial"/>
                <w:sz w:val="22"/>
                <w:szCs w:val="22"/>
                <w:lang w:val="en-GB"/>
              </w:rPr>
              <w:t xml:space="preserve"> requested </w:t>
            </w:r>
            <w:r w:rsidR="00A211FD">
              <w:rPr>
                <w:rFonts w:ascii="Arial" w:hAnsi="Arial" w:cs="Arial"/>
                <w:sz w:val="22"/>
                <w:szCs w:val="22"/>
                <w:lang w:val="en-GB"/>
              </w:rPr>
              <w:t xml:space="preserve">that </w:t>
            </w:r>
            <w:r w:rsidR="00CA12CA">
              <w:rPr>
                <w:rFonts w:ascii="Arial" w:hAnsi="Arial" w:cs="Arial"/>
                <w:sz w:val="22"/>
                <w:szCs w:val="22"/>
                <w:lang w:val="en-GB"/>
              </w:rPr>
              <w:t xml:space="preserve">the Secretariat </w:t>
            </w:r>
            <w:r w:rsidR="00CA12CA" w:rsidRPr="00115DD2">
              <w:rPr>
                <w:rFonts w:ascii="Arial" w:hAnsi="Arial" w:cs="Arial"/>
                <w:sz w:val="22"/>
                <w:szCs w:val="22"/>
                <w:lang w:val="en-GB"/>
              </w:rPr>
              <w:t>include this item</w:t>
            </w:r>
            <w:r w:rsidR="006D753E">
              <w:rPr>
                <w:rFonts w:ascii="Arial" w:hAnsi="Arial" w:cs="Arial"/>
                <w:sz w:val="22"/>
                <w:szCs w:val="22"/>
                <w:lang w:val="en-GB"/>
              </w:rPr>
              <w:t xml:space="preserve"> again</w:t>
            </w:r>
            <w:r w:rsidR="00CA12CA" w:rsidRPr="00115DD2">
              <w:rPr>
                <w:rFonts w:ascii="Arial" w:hAnsi="Arial" w:cs="Arial"/>
                <w:sz w:val="22"/>
                <w:szCs w:val="22"/>
                <w:lang w:val="en-GB"/>
              </w:rPr>
              <w:t xml:space="preserve"> on the agenda of its twelfth session</w:t>
            </w:r>
            <w:r w:rsidR="00A211FD">
              <w:rPr>
                <w:rFonts w:ascii="Arial" w:hAnsi="Arial" w:cs="Arial"/>
                <w:sz w:val="22"/>
                <w:szCs w:val="22"/>
                <w:lang w:val="en-GB"/>
              </w:rPr>
              <w:t>,</w:t>
            </w:r>
            <w:r w:rsidR="00CA12CA" w:rsidRPr="00115DD2">
              <w:rPr>
                <w:rFonts w:ascii="Arial" w:hAnsi="Arial" w:cs="Arial"/>
                <w:sz w:val="22"/>
                <w:szCs w:val="22"/>
                <w:lang w:val="en-GB"/>
              </w:rPr>
              <w:t xml:space="preserve"> with a view to present</w:t>
            </w:r>
            <w:r w:rsidR="00A211FD">
              <w:rPr>
                <w:rFonts w:ascii="Arial" w:hAnsi="Arial" w:cs="Arial"/>
                <w:sz w:val="22"/>
                <w:szCs w:val="22"/>
                <w:lang w:val="en-GB"/>
              </w:rPr>
              <w:t>ing</w:t>
            </w:r>
            <w:r w:rsidR="00CA12CA" w:rsidRPr="00115DD2">
              <w:rPr>
                <w:rFonts w:ascii="Arial" w:hAnsi="Arial" w:cs="Arial"/>
                <w:sz w:val="22"/>
                <w:szCs w:val="22"/>
                <w:lang w:val="en-GB"/>
              </w:rPr>
              <w:t xml:space="preserve"> it to the seventh session of the General Assembly of States Parties</w:t>
            </w:r>
            <w:r w:rsidR="000026CE">
              <w:rPr>
                <w:rFonts w:ascii="Arial" w:hAnsi="Arial" w:cs="Arial"/>
                <w:sz w:val="22"/>
                <w:szCs w:val="22"/>
                <w:lang w:val="en-GB"/>
              </w:rPr>
              <w:t xml:space="preserve"> to the Convention</w:t>
            </w:r>
            <w:r w:rsidR="00FA3869" w:rsidRPr="00DA7318">
              <w:rPr>
                <w:rFonts w:ascii="Arial" w:hAnsi="Arial" w:cs="Arial"/>
                <w:sz w:val="22"/>
                <w:szCs w:val="22"/>
                <w:lang w:val="en-GB"/>
              </w:rPr>
              <w:t>.</w:t>
            </w:r>
          </w:p>
          <w:p w14:paraId="7FCFB1AD" w14:textId="7EE1B20B" w:rsidR="00EC6F8D" w:rsidRPr="00293C60" w:rsidRDefault="00EC6F8D" w:rsidP="00A34AB8">
            <w:pPr>
              <w:pStyle w:val="Sansinterligne1"/>
              <w:spacing w:before="200" w:after="200"/>
              <w:jc w:val="both"/>
              <w:rPr>
                <w:rFonts w:ascii="Arial" w:hAnsi="Arial" w:cs="Arial"/>
                <w:b/>
                <w:sz w:val="22"/>
                <w:szCs w:val="22"/>
                <w:lang w:val="en-GB"/>
              </w:rPr>
            </w:pPr>
            <w:r w:rsidRPr="00293C60">
              <w:rPr>
                <w:rFonts w:ascii="Arial" w:hAnsi="Arial" w:cs="Arial"/>
                <w:b/>
                <w:sz w:val="22"/>
                <w:szCs w:val="22"/>
                <w:lang w:val="en-GB"/>
              </w:rPr>
              <w:t xml:space="preserve">Decision required: </w:t>
            </w:r>
            <w:r w:rsidRPr="00293C60">
              <w:rPr>
                <w:rFonts w:ascii="Arial" w:hAnsi="Arial" w:cs="Arial"/>
                <w:bCs/>
                <w:sz w:val="22"/>
                <w:szCs w:val="22"/>
                <w:lang w:val="en-GB"/>
              </w:rPr>
              <w:t xml:space="preserve">paragraph </w:t>
            </w:r>
            <w:r w:rsidR="00AB15F5">
              <w:rPr>
                <w:rFonts w:ascii="Arial" w:hAnsi="Arial" w:cs="Arial"/>
                <w:bCs/>
                <w:sz w:val="22"/>
                <w:szCs w:val="22"/>
                <w:lang w:val="en-GB"/>
              </w:rPr>
              <w:t>6</w:t>
            </w:r>
          </w:p>
        </w:tc>
      </w:tr>
    </w:tbl>
    <w:p w14:paraId="7C25ED3A" w14:textId="46B9F2AE" w:rsidR="00630658" w:rsidRDefault="00655736" w:rsidP="00FE5027">
      <w:pPr>
        <w:pStyle w:val="COMPara"/>
        <w:ind w:left="567" w:hanging="567"/>
        <w:jc w:val="both"/>
      </w:pPr>
      <w:r w:rsidRPr="00414643">
        <w:br w:type="page"/>
      </w:r>
      <w:r w:rsidR="00A211FD">
        <w:lastRenderedPageBreak/>
        <w:t xml:space="preserve">By its </w:t>
      </w:r>
      <w:hyperlink r:id="rId8" w:history="1">
        <w:r w:rsidR="00A211FD" w:rsidRPr="00AB15F5">
          <w:rPr>
            <w:rStyle w:val="Hyperlink"/>
          </w:rPr>
          <w:t>Resolution 38 C</w:t>
        </w:r>
        <w:r w:rsidR="00A211FD" w:rsidRPr="00AB15F5">
          <w:rPr>
            <w:rStyle w:val="Hyperlink"/>
          </w:rPr>
          <w:t>/</w:t>
        </w:r>
        <w:r w:rsidR="00A211FD" w:rsidRPr="00AB15F5">
          <w:rPr>
            <w:rStyle w:val="Hyperlink"/>
          </w:rPr>
          <w:t>101</w:t>
        </w:r>
      </w:hyperlink>
      <w:r w:rsidR="00A211FD">
        <w:t>, t</w:t>
      </w:r>
      <w:r w:rsidR="00630658">
        <w:t xml:space="preserve">he General Conference of UNESCO </w:t>
      </w:r>
      <w:r w:rsidR="009C60BC">
        <w:t>established an open-ended working group with the mandate to examine the procedures and working methods of the governing bodies of UNESCO</w:t>
      </w:r>
      <w:r w:rsidR="000026CE">
        <w:t xml:space="preserve"> with the objective to harness the potential for great</w:t>
      </w:r>
      <w:r w:rsidR="00835FDA">
        <w:t>er</w:t>
      </w:r>
      <w:r w:rsidR="000026CE">
        <w:t xml:space="preserve"> synergy, harmonization, efficiency and impact</w:t>
      </w:r>
      <w:r w:rsidR="006D753E">
        <w:t xml:space="preserve">. </w:t>
      </w:r>
      <w:r w:rsidR="009605B5">
        <w:t xml:space="preserve">Its method of examination </w:t>
      </w:r>
      <w:proofErr w:type="gramStart"/>
      <w:r w:rsidR="009605B5">
        <w:t>would be</w:t>
      </w:r>
      <w:r w:rsidR="005953C2">
        <w:t xml:space="preserve"> </w:t>
      </w:r>
      <w:r w:rsidR="009C60BC">
        <w:t>bas</w:t>
      </w:r>
      <w:r w:rsidR="005953C2">
        <w:t>ed</w:t>
      </w:r>
      <w:proofErr w:type="gramEnd"/>
      <w:r w:rsidR="009C60BC">
        <w:t xml:space="preserve"> o</w:t>
      </w:r>
      <w:r w:rsidR="005953C2">
        <w:t>n</w:t>
      </w:r>
      <w:r w:rsidR="009C60BC">
        <w:t xml:space="preserve"> the proposals received from Member States, the External Auditor’s report on the governance of UNESCO, relevant evaluations and audits by the Internal Oversight Service (IOS), as well as previous decisions and resolutions related to governance. </w:t>
      </w:r>
      <w:proofErr w:type="gramStart"/>
      <w:r w:rsidR="005953C2">
        <w:t>B</w:t>
      </w:r>
      <w:r w:rsidR="00630658">
        <w:t xml:space="preserve">y the same </w:t>
      </w:r>
      <w:r w:rsidR="005953C2">
        <w:t>resolution,</w:t>
      </w:r>
      <w:r w:rsidR="00630658">
        <w:t xml:space="preserve"> </w:t>
      </w:r>
      <w:r w:rsidR="005953C2">
        <w:t>the General Conference</w:t>
      </w:r>
      <w:r w:rsidR="00630658">
        <w:t xml:space="preserve"> invited all intergovernmental programmes, committees and organs of the Conventions to inscribe, in 2016 if feasible</w:t>
      </w:r>
      <w:bookmarkStart w:id="0" w:name="_GoBack"/>
      <w:bookmarkEnd w:id="0"/>
      <w:r w:rsidR="00630658">
        <w:t>, an item on their agenda concerning the follow-up to the recommendations of the External Auditor’s report</w:t>
      </w:r>
      <w:r w:rsidR="000026CE">
        <w:t xml:space="preserve"> </w:t>
      </w:r>
      <w:r w:rsidR="000026CE" w:rsidRPr="00800175">
        <w:t>(</w:t>
      </w:r>
      <w:hyperlink r:id="rId9" w:history="1">
        <w:r w:rsidR="000026CE">
          <w:rPr>
            <w:rStyle w:val="Hyperlink"/>
          </w:rPr>
          <w:t>d</w:t>
        </w:r>
        <w:r w:rsidR="000026CE" w:rsidRPr="001C126F">
          <w:rPr>
            <w:rStyle w:val="Hyperlink"/>
          </w:rPr>
          <w:t>ocumen</w:t>
        </w:r>
        <w:r w:rsidR="000026CE" w:rsidRPr="001C126F">
          <w:rPr>
            <w:rStyle w:val="Hyperlink"/>
          </w:rPr>
          <w:t>t</w:t>
        </w:r>
        <w:r w:rsidR="000026CE">
          <w:rPr>
            <w:rStyle w:val="Hyperlink"/>
          </w:rPr>
          <w:t> </w:t>
        </w:r>
        <w:r w:rsidR="000026CE" w:rsidRPr="001C126F">
          <w:rPr>
            <w:rStyle w:val="Hyperlink"/>
          </w:rPr>
          <w:t>38 C/23</w:t>
        </w:r>
      </w:hyperlink>
      <w:r w:rsidR="000026CE" w:rsidRPr="00800175">
        <w:t>)</w:t>
      </w:r>
      <w:r w:rsidR="00630658">
        <w:t xml:space="preserve">, to improve their governance </w:t>
      </w:r>
      <w:r w:rsidR="00A211FD">
        <w:t>through</w:t>
      </w:r>
      <w:r w:rsidR="00630658">
        <w:t xml:space="preserve"> concrete measures, and to report on their proposals to the Chairperson of the open-ended working group.</w:t>
      </w:r>
      <w:proofErr w:type="gramEnd"/>
    </w:p>
    <w:p w14:paraId="24DE338D" w14:textId="33784DCD" w:rsidR="00932BD2" w:rsidRPr="00115DD2" w:rsidRDefault="00B8426E" w:rsidP="00FE5027">
      <w:pPr>
        <w:pStyle w:val="COMPara"/>
        <w:ind w:left="567" w:hanging="567"/>
        <w:jc w:val="both"/>
      </w:pPr>
      <w:r>
        <w:t>According</w:t>
      </w:r>
      <w:r w:rsidR="00B30007">
        <w:t>ly</w:t>
      </w:r>
      <w:r>
        <w:t xml:space="preserve">, </w:t>
      </w:r>
      <w:r w:rsidR="007569A6">
        <w:t>the follow-up to the recommendations of the External Auditor’s report</w:t>
      </w:r>
      <w:r w:rsidR="00C10169">
        <w:t xml:space="preserve"> was inscribed on the agenda</w:t>
      </w:r>
      <w:r w:rsidR="004C7C59">
        <w:t xml:space="preserve"> </w:t>
      </w:r>
      <w:r w:rsidR="0062046B">
        <w:t xml:space="preserve">of </w:t>
      </w:r>
      <w:r w:rsidR="004C7C59">
        <w:t>and examined by</w:t>
      </w:r>
      <w:r w:rsidR="00C10169">
        <w:t xml:space="preserve"> the Committee during its eleventh session in 2016 (see </w:t>
      </w:r>
      <w:r w:rsidR="00C075C3">
        <w:t>d</w:t>
      </w:r>
      <w:r w:rsidR="00C10169">
        <w:t xml:space="preserve">ocument </w:t>
      </w:r>
      <w:hyperlink r:id="rId10" w:history="1">
        <w:r w:rsidR="00C10169" w:rsidRPr="00AB15F5">
          <w:rPr>
            <w:rStyle w:val="Hyperlink"/>
          </w:rPr>
          <w:t>ITH/16/11.</w:t>
        </w:r>
        <w:r w:rsidR="00C10169" w:rsidRPr="00AB15F5">
          <w:rPr>
            <w:rStyle w:val="Hyperlink"/>
          </w:rPr>
          <w:t>C</w:t>
        </w:r>
        <w:r w:rsidR="00C10169" w:rsidRPr="00AB15F5">
          <w:rPr>
            <w:rStyle w:val="Hyperlink"/>
          </w:rPr>
          <w:t>OM/7</w:t>
        </w:r>
      </w:hyperlink>
      <w:r w:rsidR="00C10169">
        <w:t>).</w:t>
      </w:r>
      <w:r w:rsidR="00C37B4B">
        <w:t xml:space="preserve"> </w:t>
      </w:r>
      <w:r w:rsidR="00C10169">
        <w:t xml:space="preserve">In its </w:t>
      </w:r>
      <w:hyperlink r:id="rId11" w:history="1">
        <w:r w:rsidR="00647AE1" w:rsidRPr="00AB15F5">
          <w:rPr>
            <w:rStyle w:val="Hyperlink"/>
          </w:rPr>
          <w:t>Decision 11.COM 7</w:t>
        </w:r>
      </w:hyperlink>
      <w:r w:rsidR="00647AE1">
        <w:t>, the Committee</w:t>
      </w:r>
      <w:r w:rsidR="00473E25">
        <w:t xml:space="preserve"> t</w:t>
      </w:r>
      <w:r w:rsidR="00932BD2">
        <w:t xml:space="preserve">ook note of the efforts </w:t>
      </w:r>
      <w:r w:rsidR="00932BD2" w:rsidRPr="00630658">
        <w:rPr>
          <w:lang w:val="en-US"/>
        </w:rPr>
        <w:t xml:space="preserve">and steps already undertaken </w:t>
      </w:r>
      <w:r w:rsidR="00932BD2" w:rsidRPr="00C37B4B">
        <w:rPr>
          <w:lang w:val="en-US"/>
        </w:rPr>
        <w:t xml:space="preserve">to improve and </w:t>
      </w:r>
      <w:r w:rsidR="00932BD2" w:rsidRPr="00F16921">
        <w:rPr>
          <w:lang w:val="en-US"/>
        </w:rPr>
        <w:t>streamline the</w:t>
      </w:r>
      <w:r w:rsidR="00932BD2" w:rsidRPr="00C37B4B">
        <w:rPr>
          <w:lang w:val="en-US"/>
        </w:rPr>
        <w:t xml:space="preserve"> working methods of the governing organs of the 2003 Convention</w:t>
      </w:r>
      <w:r w:rsidR="00A211FD">
        <w:rPr>
          <w:lang w:val="en-US"/>
        </w:rPr>
        <w:t>,</w:t>
      </w:r>
      <w:r w:rsidR="00932BD2" w:rsidRPr="00C37B4B">
        <w:rPr>
          <w:lang w:val="en-US"/>
        </w:rPr>
        <w:t xml:space="preserve"> in line with the Recommendations by the External Auditor and </w:t>
      </w:r>
      <w:r w:rsidR="00300FAF">
        <w:rPr>
          <w:lang w:val="en-US"/>
        </w:rPr>
        <w:t xml:space="preserve">the </w:t>
      </w:r>
      <w:r w:rsidR="00932BD2" w:rsidRPr="00C37B4B">
        <w:rPr>
          <w:lang w:val="en-US"/>
        </w:rPr>
        <w:t>IOS</w:t>
      </w:r>
      <w:r w:rsidR="00EE6783">
        <w:rPr>
          <w:lang w:val="en-US"/>
        </w:rPr>
        <w:t xml:space="preserve"> in this regard</w:t>
      </w:r>
      <w:r w:rsidR="00932BD2" w:rsidRPr="00473E25">
        <w:rPr>
          <w:lang w:val="en-US"/>
        </w:rPr>
        <w:t>.</w:t>
      </w:r>
      <w:r w:rsidR="004C7C59">
        <w:rPr>
          <w:lang w:val="en-US"/>
        </w:rPr>
        <w:t xml:space="preserve"> By the same decision, the Committee </w:t>
      </w:r>
      <w:r w:rsidR="004C7C59">
        <w:t>requested</w:t>
      </w:r>
      <w:r w:rsidR="00A211FD">
        <w:t xml:space="preserve"> that</w:t>
      </w:r>
      <w:r w:rsidR="004C7C59">
        <w:t xml:space="preserve"> the Secretaria</w:t>
      </w:r>
      <w:r w:rsidR="00A211FD">
        <w:t>t</w:t>
      </w:r>
      <w:r w:rsidR="004C7C59">
        <w:t xml:space="preserve"> </w:t>
      </w:r>
      <w:r w:rsidR="004C7C59" w:rsidRPr="004539A5">
        <w:t>include this item on the agenda of its twelfth session with a view to present</w:t>
      </w:r>
      <w:r w:rsidR="00A211FD">
        <w:t>ing</w:t>
      </w:r>
      <w:r w:rsidR="004C7C59" w:rsidRPr="004539A5">
        <w:t xml:space="preserve"> it to the seventh session of the General Assembly of States Partie</w:t>
      </w:r>
      <w:r w:rsidR="004C7C59">
        <w:t>s</w:t>
      </w:r>
      <w:r w:rsidR="004C7C59" w:rsidRPr="00DA7318">
        <w:t>.</w:t>
      </w:r>
      <w:r w:rsidRPr="00B8426E">
        <w:t xml:space="preserve"> </w:t>
      </w:r>
      <w:r w:rsidR="007569A6">
        <w:t xml:space="preserve">Furthermore, </w:t>
      </w:r>
      <w:r>
        <w:t xml:space="preserve">the Committee </w:t>
      </w:r>
      <w:r w:rsidRPr="00630658">
        <w:rPr>
          <w:lang w:val="en-US"/>
        </w:rPr>
        <w:t xml:space="preserve">transmitted a report on the status of </w:t>
      </w:r>
      <w:r w:rsidRPr="00C37B4B">
        <w:rPr>
          <w:lang w:val="en-US"/>
        </w:rPr>
        <w:t>the foreseen or ongoing reforms to the</w:t>
      </w:r>
      <w:r>
        <w:rPr>
          <w:lang w:val="en-US"/>
        </w:rPr>
        <w:t xml:space="preserve"> Chairperson of the</w:t>
      </w:r>
      <w:r w:rsidRPr="00630658">
        <w:rPr>
          <w:lang w:val="en-US"/>
        </w:rPr>
        <w:t xml:space="preserve"> </w:t>
      </w:r>
      <w:r w:rsidR="00D660EF">
        <w:rPr>
          <w:lang w:val="en-US"/>
        </w:rPr>
        <w:t>o</w:t>
      </w:r>
      <w:r w:rsidRPr="00630658">
        <w:rPr>
          <w:lang w:val="en-US"/>
        </w:rPr>
        <w:t xml:space="preserve">pen-ended </w:t>
      </w:r>
      <w:r w:rsidR="00D660EF">
        <w:rPr>
          <w:lang w:val="en-US"/>
        </w:rPr>
        <w:t>w</w:t>
      </w:r>
      <w:r w:rsidRPr="00630658">
        <w:rPr>
          <w:lang w:val="en-US"/>
        </w:rPr>
        <w:t xml:space="preserve">orking </w:t>
      </w:r>
      <w:r w:rsidR="00D660EF">
        <w:rPr>
          <w:lang w:val="en-US"/>
        </w:rPr>
        <w:t>g</w:t>
      </w:r>
      <w:r w:rsidRPr="00630658">
        <w:rPr>
          <w:lang w:val="en-US"/>
        </w:rPr>
        <w:t xml:space="preserve">roup on the </w:t>
      </w:r>
      <w:r w:rsidR="00D660EF">
        <w:rPr>
          <w:lang w:val="en-US"/>
        </w:rPr>
        <w:t>g</w:t>
      </w:r>
      <w:r w:rsidRPr="00630658">
        <w:rPr>
          <w:lang w:val="en-US"/>
        </w:rPr>
        <w:t>overnance</w:t>
      </w:r>
      <w:r w:rsidR="00D660EF">
        <w:rPr>
          <w:lang w:val="en-US"/>
        </w:rPr>
        <w:t>,</w:t>
      </w:r>
      <w:r w:rsidRPr="00630658">
        <w:rPr>
          <w:lang w:val="en-US"/>
        </w:rPr>
        <w:t xml:space="preserve"> </w:t>
      </w:r>
      <w:r w:rsidR="00D660EF">
        <w:rPr>
          <w:lang w:val="en-US"/>
        </w:rPr>
        <w:t>p</w:t>
      </w:r>
      <w:r w:rsidRPr="00630658">
        <w:rPr>
          <w:lang w:val="en-US"/>
        </w:rPr>
        <w:t xml:space="preserve">rocedures and </w:t>
      </w:r>
      <w:r w:rsidR="00D660EF">
        <w:rPr>
          <w:lang w:val="en-US"/>
        </w:rPr>
        <w:t>w</w:t>
      </w:r>
      <w:r w:rsidRPr="00630658">
        <w:rPr>
          <w:lang w:val="en-US"/>
        </w:rPr>
        <w:t xml:space="preserve">orking </w:t>
      </w:r>
      <w:r w:rsidR="00D660EF">
        <w:rPr>
          <w:lang w:val="en-US"/>
        </w:rPr>
        <w:t>m</w:t>
      </w:r>
      <w:r w:rsidRPr="00630658">
        <w:rPr>
          <w:lang w:val="en-US"/>
        </w:rPr>
        <w:t xml:space="preserve">ethods of the </w:t>
      </w:r>
      <w:r w:rsidR="00D660EF">
        <w:rPr>
          <w:lang w:val="en-US"/>
        </w:rPr>
        <w:t>g</w:t>
      </w:r>
      <w:r w:rsidRPr="00630658">
        <w:rPr>
          <w:lang w:val="en-US"/>
        </w:rPr>
        <w:t xml:space="preserve">overning </w:t>
      </w:r>
      <w:r w:rsidR="00D660EF">
        <w:rPr>
          <w:lang w:val="en-US"/>
        </w:rPr>
        <w:t>b</w:t>
      </w:r>
      <w:r w:rsidRPr="00630658">
        <w:rPr>
          <w:lang w:val="en-US"/>
        </w:rPr>
        <w:t>odies</w:t>
      </w:r>
      <w:r>
        <w:rPr>
          <w:lang w:val="en-US"/>
        </w:rPr>
        <w:t>.</w:t>
      </w:r>
    </w:p>
    <w:p w14:paraId="6134AFF7" w14:textId="17CE1B41" w:rsidR="007569A6" w:rsidRPr="00041A66" w:rsidRDefault="007569A6" w:rsidP="00FE5027">
      <w:pPr>
        <w:pStyle w:val="COMPara"/>
        <w:ind w:left="567" w:hanging="567"/>
        <w:jc w:val="both"/>
      </w:pPr>
      <w:r>
        <w:t>The open-ended working group</w:t>
      </w:r>
      <w:r w:rsidR="000026CE">
        <w:t xml:space="preserve"> itself</w:t>
      </w:r>
      <w:r>
        <w:t xml:space="preserve"> established two sub groups: Sub-Group 1, responsible for examining the ‘structure, composition and methods of work of the Governing Bodies (General Conference and Executive Board)’, and Sub-Group 2, responsible for examining the ‘Structure, composition and methods of work of UNESCO’s international and intergovernmental bodies’.</w:t>
      </w:r>
    </w:p>
    <w:p w14:paraId="2887356E" w14:textId="77777777" w:rsidR="00E2340A" w:rsidRPr="00272CB7" w:rsidRDefault="00603CB1" w:rsidP="00E2340A">
      <w:pPr>
        <w:pStyle w:val="COMPara"/>
        <w:ind w:left="567" w:hanging="567"/>
        <w:jc w:val="both"/>
      </w:pPr>
      <w:r>
        <w:t>The open-ended working group and its two sub-groups held several meetings in 2016 and 2017</w:t>
      </w:r>
      <w:r w:rsidR="00E2340A">
        <w:t xml:space="preserve"> and concluded to a number of recommendations and good practices</w:t>
      </w:r>
      <w:r w:rsidR="00E2340A" w:rsidRPr="00E2340A">
        <w:t xml:space="preserve"> </w:t>
      </w:r>
      <w:r w:rsidR="00E2340A" w:rsidRPr="005A4154">
        <w:t>presented to the Executive Board at its 202nd session</w:t>
      </w:r>
      <w:r w:rsidR="00E2340A">
        <w:t xml:space="preserve"> (</w:t>
      </w:r>
      <w:hyperlink r:id="rId12" w:history="1">
        <w:r w:rsidR="00E2340A" w:rsidRPr="00610AC4">
          <w:rPr>
            <w:rStyle w:val="Hyperlink"/>
          </w:rPr>
          <w:t>20</w:t>
        </w:r>
        <w:r w:rsidR="00E2340A" w:rsidRPr="00610AC4">
          <w:rPr>
            <w:rStyle w:val="Hyperlink"/>
          </w:rPr>
          <w:t>2</w:t>
        </w:r>
        <w:r w:rsidR="00E2340A" w:rsidRPr="00610AC4">
          <w:rPr>
            <w:rStyle w:val="Hyperlink"/>
          </w:rPr>
          <w:t> EX/21</w:t>
        </w:r>
      </w:hyperlink>
      <w:r w:rsidR="00E2340A">
        <w:t>)</w:t>
      </w:r>
      <w:r>
        <w:t xml:space="preserve">. </w:t>
      </w:r>
      <w:r w:rsidR="00E2340A" w:rsidRPr="00272CB7">
        <w:rPr>
          <w:lang w:val="en-US"/>
        </w:rPr>
        <w:t>The Executive Board in turn ma</w:t>
      </w:r>
      <w:r w:rsidR="00E2340A">
        <w:rPr>
          <w:lang w:val="en-US"/>
        </w:rPr>
        <w:t>de</w:t>
      </w:r>
      <w:r w:rsidR="00E2340A" w:rsidRPr="00272CB7">
        <w:rPr>
          <w:lang w:val="en-US"/>
        </w:rPr>
        <w:t xml:space="preserve"> </w:t>
      </w:r>
      <w:r w:rsidR="00E2340A" w:rsidRPr="00272CB7">
        <w:t>its recommendations to the General Conference at its thirty-ninth session.</w:t>
      </w:r>
    </w:p>
    <w:p w14:paraId="570B21C7" w14:textId="3F62AEA2" w:rsidR="005830F4" w:rsidRDefault="00623D45" w:rsidP="001B371B">
      <w:pPr>
        <w:pStyle w:val="COMPara"/>
        <w:ind w:left="567" w:hanging="567"/>
        <w:jc w:val="both"/>
      </w:pPr>
      <w:r>
        <w:t>With regard to the</w:t>
      </w:r>
      <w:r w:rsidR="00D660EF">
        <w:t xml:space="preserve"> 2003</w:t>
      </w:r>
      <w:r>
        <w:t xml:space="preserve"> Convention for the Safeguarding of the Intangible Cultural Heritag</w:t>
      </w:r>
      <w:r w:rsidR="00D660EF">
        <w:t>e</w:t>
      </w:r>
      <w:r>
        <w:t xml:space="preserve">, </w:t>
      </w:r>
      <w:r w:rsidR="00603CB1">
        <w:t>Sub-Group 2</w:t>
      </w:r>
      <w:r w:rsidR="00603CB1">
        <w:rPr>
          <w:rStyle w:val="FootnoteReference"/>
        </w:rPr>
        <w:footnoteReference w:id="1"/>
      </w:r>
      <w:r w:rsidR="00603CB1">
        <w:t xml:space="preserve"> </w:t>
      </w:r>
      <w:r w:rsidR="00202507" w:rsidRPr="00E30DFE">
        <w:t xml:space="preserve">recommended </w:t>
      </w:r>
      <w:r w:rsidR="00202507">
        <w:t>strengthening</w:t>
      </w:r>
      <w:r w:rsidR="00202507" w:rsidRPr="00E30DFE">
        <w:t xml:space="preserve"> the decision-making procedures and credibility of the Committee </w:t>
      </w:r>
      <w:r w:rsidR="00202507">
        <w:t>while</w:t>
      </w:r>
      <w:r w:rsidR="00202507" w:rsidRPr="00E30DFE">
        <w:t xml:space="preserve"> taking due note of the ad hoc working group established to address these issues</w:t>
      </w:r>
      <w:r w:rsidR="00202507">
        <w:t>.</w:t>
      </w:r>
      <w:r w:rsidR="00202507" w:rsidDel="00202507">
        <w:t xml:space="preserve"> </w:t>
      </w:r>
      <w:r w:rsidR="00202507">
        <w:t xml:space="preserve">Furthermore, it </w:t>
      </w:r>
      <w:r w:rsidR="009377D6">
        <w:t>recognised</w:t>
      </w:r>
      <w:r w:rsidR="003440D5">
        <w:t xml:space="preserve"> as a good practice, </w:t>
      </w:r>
      <w:r w:rsidR="00D660EF" w:rsidRPr="001B371B">
        <w:t xml:space="preserve">the </w:t>
      </w:r>
      <w:r w:rsidR="000A7199" w:rsidRPr="001B371B">
        <w:t xml:space="preserve">initiative to develop an overall results framework </w:t>
      </w:r>
      <w:r w:rsidR="009377D6">
        <w:t xml:space="preserve">for the Convention </w:t>
      </w:r>
      <w:r w:rsidR="003440D5">
        <w:t xml:space="preserve">to which </w:t>
      </w:r>
      <w:r w:rsidR="00202507">
        <w:t xml:space="preserve">the reporting mechanisms of the Convention </w:t>
      </w:r>
      <w:proofErr w:type="gramStart"/>
      <w:r w:rsidR="003440D5">
        <w:t>would be aligned</w:t>
      </w:r>
      <w:proofErr w:type="gramEnd"/>
      <w:r w:rsidR="00AE2770">
        <w:t>.</w:t>
      </w:r>
    </w:p>
    <w:p w14:paraId="4EA32B6B" w14:textId="77777777" w:rsidR="00D95C4C" w:rsidRPr="00EA528C" w:rsidRDefault="000B1C8F" w:rsidP="001B371B">
      <w:pPr>
        <w:pStyle w:val="COMPara"/>
        <w:ind w:left="567" w:hanging="567"/>
        <w:jc w:val="both"/>
      </w:pPr>
      <w:r w:rsidRPr="000B1C8F">
        <w:t xml:space="preserve">The Committee may wish </w:t>
      </w:r>
      <w:r>
        <w:t>to adopt the following decision</w:t>
      </w:r>
      <w:r w:rsidR="00D95C4C" w:rsidRPr="00EA528C">
        <w:t>:</w:t>
      </w:r>
    </w:p>
    <w:p w14:paraId="64C58EE5" w14:textId="7AE360C0" w:rsidR="00D95C4C" w:rsidRPr="00FD624F" w:rsidRDefault="004A34A0" w:rsidP="00041A66">
      <w:pPr>
        <w:pStyle w:val="COMTitleDecision"/>
        <w:rPr>
          <w:rFonts w:eastAsia="SimSun"/>
        </w:rPr>
      </w:pPr>
      <w:r>
        <w:t xml:space="preserve">DRAFT </w:t>
      </w:r>
      <w:r w:rsidR="00CB0542">
        <w:t>DECISION 1</w:t>
      </w:r>
      <w:r w:rsidR="00337CEB">
        <w:rPr>
          <w:rFonts w:eastAsiaTheme="minorEastAsia" w:hint="eastAsia"/>
          <w:lang w:eastAsia="ko-KR"/>
        </w:rPr>
        <w:t>2</w:t>
      </w:r>
      <w:r w:rsidR="00EC6F8D">
        <w:t>.COM</w:t>
      </w:r>
      <w:r w:rsidR="00D95C4C" w:rsidRPr="00FD624F">
        <w:t xml:space="preserve"> </w:t>
      </w:r>
      <w:r w:rsidR="00DD0442" w:rsidRPr="001B371B">
        <w:t>1</w:t>
      </w:r>
      <w:r w:rsidR="00894A9F" w:rsidRPr="001B371B">
        <w:t>6</w:t>
      </w:r>
    </w:p>
    <w:p w14:paraId="0A07DE08" w14:textId="77777777" w:rsidR="00D95C4C" w:rsidRPr="00285BB4" w:rsidRDefault="00285BB4" w:rsidP="00285BB4">
      <w:pPr>
        <w:pStyle w:val="COMPreambulaDecisions"/>
        <w:rPr>
          <w:rFonts w:eastAsia="SimSun"/>
        </w:rPr>
      </w:pPr>
      <w:r w:rsidRPr="00285BB4">
        <w:t>The Committee,</w:t>
      </w:r>
    </w:p>
    <w:p w14:paraId="6ADD8F87" w14:textId="0003A86E" w:rsidR="0057439C" w:rsidRPr="00345CB4" w:rsidRDefault="00D95C4C" w:rsidP="006A13E4">
      <w:pPr>
        <w:pStyle w:val="COMParaDecision"/>
      </w:pPr>
      <w:r w:rsidRPr="00345CB4">
        <w:t>Having examined</w:t>
      </w:r>
      <w:r w:rsidRPr="00F32C23">
        <w:rPr>
          <w:u w:val="none"/>
        </w:rPr>
        <w:t xml:space="preserve"> doc</w:t>
      </w:r>
      <w:r w:rsidR="00CB0542">
        <w:rPr>
          <w:u w:val="none"/>
        </w:rPr>
        <w:t>ument ITH/1</w:t>
      </w:r>
      <w:r w:rsidR="00337CEB">
        <w:rPr>
          <w:rFonts w:eastAsiaTheme="minorEastAsia" w:hint="eastAsia"/>
          <w:u w:val="none"/>
          <w:lang w:eastAsia="ko-KR"/>
        </w:rPr>
        <w:t>7</w:t>
      </w:r>
      <w:r w:rsidR="00337CEB">
        <w:rPr>
          <w:u w:val="none"/>
        </w:rPr>
        <w:t>/1</w:t>
      </w:r>
      <w:r w:rsidR="00337CEB">
        <w:rPr>
          <w:rFonts w:eastAsiaTheme="minorEastAsia" w:hint="eastAsia"/>
          <w:u w:val="none"/>
          <w:lang w:eastAsia="ko-KR"/>
        </w:rPr>
        <w:t>2</w:t>
      </w:r>
      <w:r w:rsidR="00EC6F8D" w:rsidRPr="00F32C23">
        <w:rPr>
          <w:u w:val="none"/>
        </w:rPr>
        <w:t>.COM</w:t>
      </w:r>
      <w:r w:rsidR="004A34A0" w:rsidRPr="00F32C23">
        <w:rPr>
          <w:u w:val="none"/>
        </w:rPr>
        <w:t>/</w:t>
      </w:r>
      <w:r w:rsidR="002621BE" w:rsidRPr="001B371B">
        <w:rPr>
          <w:u w:val="none"/>
        </w:rPr>
        <w:t>1</w:t>
      </w:r>
      <w:r w:rsidR="00894A9F" w:rsidRPr="001B371B">
        <w:rPr>
          <w:u w:val="none"/>
        </w:rPr>
        <w:t>6</w:t>
      </w:r>
      <w:r w:rsidRPr="00F32C23">
        <w:rPr>
          <w:u w:val="none"/>
        </w:rPr>
        <w:t>,</w:t>
      </w:r>
    </w:p>
    <w:p w14:paraId="50D817D7" w14:textId="24ACDC3E" w:rsidR="0057439C" w:rsidRPr="002B0E8D" w:rsidRDefault="0057439C" w:rsidP="006A13E4">
      <w:pPr>
        <w:pStyle w:val="COMParaDecision"/>
      </w:pPr>
      <w:r w:rsidRPr="00345CB4">
        <w:t>Recalling</w:t>
      </w:r>
      <w:r w:rsidR="005B7A35" w:rsidRPr="00F32C23">
        <w:rPr>
          <w:u w:val="none"/>
        </w:rPr>
        <w:t xml:space="preserve"> </w:t>
      </w:r>
      <w:r w:rsidR="0006652B">
        <w:rPr>
          <w:u w:val="none"/>
        </w:rPr>
        <w:t>Decision 11.COM 7</w:t>
      </w:r>
      <w:r w:rsidR="0006652B">
        <w:rPr>
          <w:u w:val="none"/>
          <w:lang w:val="en-US"/>
        </w:rPr>
        <w:t xml:space="preserve"> and the ongoing and foreseen actions taken by the governing bodies of the Convention to assess, improve and </w:t>
      </w:r>
      <w:r w:rsidR="0006652B" w:rsidRPr="00F16921">
        <w:rPr>
          <w:u w:val="none"/>
          <w:lang w:val="en-US"/>
        </w:rPr>
        <w:t xml:space="preserve">streamline </w:t>
      </w:r>
      <w:r w:rsidR="0006652B">
        <w:rPr>
          <w:u w:val="none"/>
          <w:lang w:val="en-US"/>
        </w:rPr>
        <w:t>their working methods</w:t>
      </w:r>
      <w:r w:rsidRPr="00F32C23">
        <w:rPr>
          <w:u w:val="none"/>
        </w:rPr>
        <w:t>,</w:t>
      </w:r>
    </w:p>
    <w:p w14:paraId="4C590D75" w14:textId="4F69F664" w:rsidR="007569A6" w:rsidRPr="00754626" w:rsidRDefault="00CD664A" w:rsidP="00CD664A">
      <w:pPr>
        <w:pStyle w:val="COMParaDecision"/>
      </w:pPr>
      <w:r w:rsidRPr="00DA7318">
        <w:t>Takes note</w:t>
      </w:r>
      <w:r w:rsidRPr="00DA7318">
        <w:rPr>
          <w:u w:val="none"/>
        </w:rPr>
        <w:t xml:space="preserve"> of the efforts and steps already undertaken with a view to improv</w:t>
      </w:r>
      <w:r w:rsidR="001A6099">
        <w:rPr>
          <w:u w:val="none"/>
        </w:rPr>
        <w:t>ing</w:t>
      </w:r>
      <w:r w:rsidRPr="00DA7318">
        <w:rPr>
          <w:u w:val="none"/>
        </w:rPr>
        <w:t xml:space="preserve"> and </w:t>
      </w:r>
      <w:r w:rsidRPr="00F16921">
        <w:rPr>
          <w:u w:val="none"/>
        </w:rPr>
        <w:t>streamlin</w:t>
      </w:r>
      <w:r w:rsidR="001A6099" w:rsidRPr="00F16921">
        <w:rPr>
          <w:u w:val="none"/>
        </w:rPr>
        <w:t>ing</w:t>
      </w:r>
      <w:r w:rsidRPr="00DA7318">
        <w:rPr>
          <w:u w:val="none"/>
        </w:rPr>
        <w:t xml:space="preserve"> the working methods of the governing organs of the 2003 Convention</w:t>
      </w:r>
      <w:r w:rsidR="001A6099">
        <w:rPr>
          <w:u w:val="none"/>
        </w:rPr>
        <w:t>,</w:t>
      </w:r>
      <w:r w:rsidRPr="00DA7318">
        <w:rPr>
          <w:u w:val="none"/>
        </w:rPr>
        <w:t xml:space="preserve"> in line with the Recommendations by the External Auditor and </w:t>
      </w:r>
      <w:r w:rsidR="001A6099">
        <w:rPr>
          <w:u w:val="none"/>
        </w:rPr>
        <w:t xml:space="preserve">the </w:t>
      </w:r>
      <w:r w:rsidRPr="00DA7318">
        <w:rPr>
          <w:u w:val="none"/>
        </w:rPr>
        <w:t>IOS on this matter</w:t>
      </w:r>
      <w:r w:rsidR="00AB15F5">
        <w:rPr>
          <w:u w:val="none"/>
        </w:rPr>
        <w:t>;</w:t>
      </w:r>
    </w:p>
    <w:p w14:paraId="0C39803E" w14:textId="03E8C2D6" w:rsidR="009A5F53" w:rsidRPr="001B371B" w:rsidRDefault="007569A6" w:rsidP="001B371B">
      <w:pPr>
        <w:pStyle w:val="COMParaDecision"/>
        <w:rPr>
          <w:lang w:val="en-US"/>
        </w:rPr>
      </w:pPr>
      <w:r w:rsidRPr="00754626">
        <w:t>Takes further note</w:t>
      </w:r>
      <w:r w:rsidRPr="00754626">
        <w:rPr>
          <w:u w:val="none"/>
        </w:rPr>
        <w:t xml:space="preserve"> of the recommendation and good practice</w:t>
      </w:r>
      <w:r>
        <w:rPr>
          <w:u w:val="none"/>
        </w:rPr>
        <w:t xml:space="preserve"> regarding the Convention for the Safeguarding of the Intangible Cultural </w:t>
      </w:r>
      <w:r w:rsidR="00B30007">
        <w:rPr>
          <w:u w:val="none"/>
        </w:rPr>
        <w:t>H</w:t>
      </w:r>
      <w:r>
        <w:rPr>
          <w:u w:val="none"/>
        </w:rPr>
        <w:t>eritage</w:t>
      </w:r>
      <w:r w:rsidRPr="00754626">
        <w:rPr>
          <w:u w:val="none"/>
        </w:rPr>
        <w:t xml:space="preserve"> presented by the Sub-Group 2 </w:t>
      </w:r>
      <w:r>
        <w:rPr>
          <w:u w:val="none"/>
        </w:rPr>
        <w:t xml:space="preserve">of </w:t>
      </w:r>
      <w:r w:rsidRPr="00754626">
        <w:rPr>
          <w:u w:val="none"/>
        </w:rPr>
        <w:t>open-ended working group</w:t>
      </w:r>
      <w:r>
        <w:rPr>
          <w:u w:val="none"/>
        </w:rPr>
        <w:t xml:space="preserve"> on governance.</w:t>
      </w:r>
    </w:p>
    <w:sectPr w:rsidR="009A5F53" w:rsidRPr="001B371B" w:rsidSect="0018027B">
      <w:headerReference w:type="even" r:id="rId13"/>
      <w:headerReference w:type="default" r:id="rId14"/>
      <w:headerReference w:type="first" r:id="rId1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49DDF" w14:textId="77777777" w:rsidR="00CB0542" w:rsidRDefault="00CB0542" w:rsidP="00655736">
      <w:r>
        <w:separator/>
      </w:r>
    </w:p>
  </w:endnote>
  <w:endnote w:type="continuationSeparator" w:id="0">
    <w:p w14:paraId="4DB40C2B" w14:textId="77777777" w:rsidR="00CB0542" w:rsidRDefault="00CB0542"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13C2A7" w14:textId="77777777" w:rsidR="00CB0542" w:rsidRDefault="00CB0542" w:rsidP="00655736">
      <w:r>
        <w:separator/>
      </w:r>
    </w:p>
  </w:footnote>
  <w:footnote w:type="continuationSeparator" w:id="0">
    <w:p w14:paraId="3DFA34C1" w14:textId="77777777" w:rsidR="00CB0542" w:rsidRDefault="00CB0542" w:rsidP="00655736">
      <w:r>
        <w:continuationSeparator/>
      </w:r>
    </w:p>
  </w:footnote>
  <w:footnote w:id="1">
    <w:p w14:paraId="7DD5C1A3" w14:textId="4080D59F" w:rsidR="00603CB1" w:rsidRPr="001B371B" w:rsidRDefault="00603CB1" w:rsidP="00B30007">
      <w:pPr>
        <w:pStyle w:val="FootnoteText"/>
        <w:ind w:left="567" w:hanging="567"/>
        <w:jc w:val="both"/>
        <w:rPr>
          <w:rFonts w:ascii="Arial" w:eastAsiaTheme="minorEastAsia" w:hAnsi="Arial" w:cs="Arial"/>
          <w:sz w:val="18"/>
          <w:lang w:val="en-US" w:eastAsia="ko-KR"/>
        </w:rPr>
      </w:pPr>
      <w:r w:rsidRPr="001B371B">
        <w:rPr>
          <w:rStyle w:val="FootnoteReference"/>
          <w:rFonts w:ascii="Arial" w:hAnsi="Arial" w:cs="Arial"/>
          <w:sz w:val="18"/>
          <w:vertAlign w:val="baseline"/>
        </w:rPr>
        <w:footnoteRef/>
      </w:r>
      <w:r w:rsidR="00B30007" w:rsidRPr="001B371B">
        <w:rPr>
          <w:rFonts w:ascii="Arial" w:hAnsi="Arial" w:cs="Arial"/>
          <w:sz w:val="18"/>
          <w:lang w:val="en-US"/>
        </w:rPr>
        <w:t>.</w:t>
      </w:r>
      <w:r w:rsidR="00B30007" w:rsidRPr="001B371B">
        <w:rPr>
          <w:rFonts w:ascii="Arial" w:hAnsi="Arial" w:cs="Arial"/>
          <w:sz w:val="18"/>
          <w:lang w:val="en-US"/>
        </w:rPr>
        <w:tab/>
      </w:r>
      <w:r w:rsidRPr="001B371B">
        <w:rPr>
          <w:rFonts w:ascii="Arial" w:hAnsi="Arial" w:cs="Arial"/>
          <w:sz w:val="18"/>
          <w:lang w:val="en-US"/>
        </w:rPr>
        <w:t xml:space="preserve">For the informal summary of the meetings of Sub-Group 2 of the open-ended working group on </w:t>
      </w:r>
      <w:r w:rsidR="00D660EF" w:rsidRPr="001B371B">
        <w:rPr>
          <w:rFonts w:ascii="Arial" w:hAnsi="Arial" w:cs="Arial"/>
          <w:sz w:val="18"/>
          <w:lang w:val="en-US"/>
        </w:rPr>
        <w:t xml:space="preserve">the </w:t>
      </w:r>
      <w:r w:rsidRPr="001B371B">
        <w:rPr>
          <w:rFonts w:ascii="Arial" w:hAnsi="Arial" w:cs="Arial"/>
          <w:sz w:val="18"/>
          <w:lang w:val="en-US"/>
        </w:rPr>
        <w:t xml:space="preserve">governance, procedures and working methods of the governing bodies of UNESCO as well as its </w:t>
      </w:r>
      <w:r w:rsidR="00610AC4">
        <w:rPr>
          <w:rFonts w:ascii="Arial" w:hAnsi="Arial" w:cs="Arial"/>
          <w:sz w:val="18"/>
          <w:lang w:val="en-US"/>
        </w:rPr>
        <w:t xml:space="preserve">draft </w:t>
      </w:r>
      <w:r w:rsidRPr="001B371B">
        <w:rPr>
          <w:rFonts w:ascii="Arial" w:hAnsi="Arial" w:cs="Arial"/>
          <w:sz w:val="18"/>
          <w:lang w:val="en-US"/>
        </w:rPr>
        <w:t xml:space="preserve">recommendations, see: </w:t>
      </w:r>
      <w:hyperlink r:id="rId1" w:history="1">
        <w:r w:rsidR="00AB15F5" w:rsidRPr="00A34AB8">
          <w:rPr>
            <w:rStyle w:val="Hyperlink"/>
            <w:rFonts w:ascii="Arial" w:hAnsi="Arial" w:cs="Arial"/>
            <w:sz w:val="18"/>
            <w:lang w:val="en-US"/>
          </w:rPr>
          <w:t>http://www.unesco.org/new/en/general-conference-39th/working-group-on-governance/sub-group-2/</w:t>
        </w:r>
      </w:hyperlink>
      <w:r w:rsidR="00EA0852">
        <w:rPr>
          <w:rFonts w:ascii="Arial" w:hAnsi="Arial" w:cs="Arial"/>
          <w:sz w:val="18"/>
          <w:lang w:val="en-US"/>
        </w:rPr>
        <w:br/>
      </w:r>
      <w:r w:rsidRPr="001B371B">
        <w:rPr>
          <w:rFonts w:ascii="Arial" w:hAnsi="Arial" w:cs="Arial"/>
          <w:sz w:val="18"/>
          <w:lang w:val="en-US"/>
        </w:rPr>
        <w:t xml:space="preserve">(last accessed </w:t>
      </w:r>
      <w:r w:rsidRPr="00E8034D">
        <w:rPr>
          <w:rFonts w:ascii="Arial" w:hAnsi="Arial" w:cs="Arial"/>
          <w:sz w:val="18"/>
          <w:lang w:val="en-US"/>
        </w:rPr>
        <w:t xml:space="preserve">on </w:t>
      </w:r>
      <w:r w:rsidR="00610AC4" w:rsidRPr="00E8034D">
        <w:rPr>
          <w:rFonts w:ascii="Arial" w:hAnsi="Arial" w:cs="Arial"/>
          <w:sz w:val="18"/>
          <w:lang w:val="en-US"/>
        </w:rPr>
        <w:t>27</w:t>
      </w:r>
      <w:r w:rsidRPr="00E8034D">
        <w:rPr>
          <w:rFonts w:ascii="Arial" w:hAnsi="Arial" w:cs="Arial"/>
          <w:sz w:val="18"/>
          <w:lang w:val="en-US"/>
        </w:rPr>
        <w:t xml:space="preserve"> October 2017</w:t>
      </w:r>
      <w:r w:rsidRPr="001B371B">
        <w:rPr>
          <w:rFonts w:ascii="Arial" w:hAnsi="Arial" w:cs="Arial"/>
          <w:sz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A6FF0" w14:textId="618EE8F4" w:rsidR="00D95C4C" w:rsidRPr="00C23A97" w:rsidRDefault="00CB0542">
    <w:pPr>
      <w:pStyle w:val="Header"/>
      <w:rPr>
        <w:rFonts w:ascii="Arial" w:hAnsi="Arial" w:cs="Arial"/>
        <w:lang w:val="en-GB"/>
      </w:rPr>
    </w:pPr>
    <w:r>
      <w:rPr>
        <w:rFonts w:ascii="Arial" w:hAnsi="Arial" w:cs="Arial"/>
        <w:sz w:val="20"/>
        <w:szCs w:val="20"/>
        <w:lang w:val="en-GB"/>
      </w:rPr>
      <w:t>ITH/1</w:t>
    </w:r>
    <w:r w:rsidR="00337CEB">
      <w:rPr>
        <w:rFonts w:ascii="Arial" w:eastAsiaTheme="minorEastAsia" w:hAnsi="Arial" w:cs="Arial" w:hint="eastAsia"/>
        <w:sz w:val="20"/>
        <w:szCs w:val="20"/>
        <w:lang w:val="en-GB" w:eastAsia="ko-KR"/>
      </w:rPr>
      <w:t>7</w:t>
    </w:r>
    <w:r>
      <w:rPr>
        <w:rFonts w:ascii="Arial" w:hAnsi="Arial" w:cs="Arial"/>
        <w:sz w:val="20"/>
        <w:szCs w:val="20"/>
        <w:lang w:val="en-GB"/>
      </w:rPr>
      <w:t>/1</w:t>
    </w:r>
    <w:r w:rsidR="00337CEB">
      <w:rPr>
        <w:rFonts w:ascii="Arial" w:eastAsiaTheme="minorEastAsia" w:hAnsi="Arial" w:cs="Arial" w:hint="eastAsia"/>
        <w:sz w:val="20"/>
        <w:szCs w:val="20"/>
        <w:lang w:val="en-GB" w:eastAsia="ko-KR"/>
      </w:rPr>
      <w:t>2</w:t>
    </w:r>
    <w:r w:rsidR="00EC6F8D">
      <w:rPr>
        <w:rFonts w:ascii="Arial" w:hAnsi="Arial" w:cs="Arial"/>
        <w:sz w:val="20"/>
        <w:szCs w:val="20"/>
        <w:lang w:val="en-GB"/>
      </w:rPr>
      <w:t>.COM</w:t>
    </w:r>
    <w:r w:rsidR="00D95C4C" w:rsidRPr="00C23A97">
      <w:rPr>
        <w:rFonts w:ascii="Arial" w:hAnsi="Arial" w:cs="Arial"/>
        <w:sz w:val="20"/>
        <w:szCs w:val="20"/>
        <w:lang w:val="en-GB"/>
      </w:rPr>
      <w:t>/</w:t>
    </w:r>
    <w:r w:rsidR="00FA3869" w:rsidRPr="001B371B">
      <w:rPr>
        <w:rFonts w:ascii="Arial" w:hAnsi="Arial" w:cs="Arial"/>
        <w:sz w:val="20"/>
        <w:szCs w:val="20"/>
        <w:lang w:val="en-GB"/>
      </w:rPr>
      <w:t>1</w:t>
    </w:r>
    <w:r w:rsidR="00894A9F" w:rsidRPr="001B371B">
      <w:rPr>
        <w:rFonts w:ascii="Arial" w:hAnsi="Arial" w:cs="Arial"/>
        <w:sz w:val="20"/>
        <w:szCs w:val="20"/>
        <w:lang w:val="en-GB"/>
      </w:rPr>
      <w:t>6</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E8034D">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730A03" w14:textId="7417F5B9" w:rsidR="00D95C4C" w:rsidRPr="0063300C" w:rsidRDefault="0053318C" w:rsidP="0063300C">
    <w:pPr>
      <w:pStyle w:val="Header"/>
      <w:jc w:val="right"/>
      <w:rPr>
        <w:rFonts w:ascii="Arial" w:hAnsi="Arial" w:cs="Arial"/>
        <w:lang w:val="en-GB"/>
      </w:rPr>
    </w:pPr>
    <w:r>
      <w:rPr>
        <w:rFonts w:ascii="Arial" w:hAnsi="Arial" w:cs="Arial"/>
        <w:sz w:val="20"/>
        <w:szCs w:val="20"/>
        <w:lang w:val="en-GB"/>
      </w:rPr>
      <w:t>ITH/17/12</w:t>
    </w:r>
    <w:r w:rsidR="00EC6F8D">
      <w:rPr>
        <w:rFonts w:ascii="Arial" w:hAnsi="Arial" w:cs="Arial"/>
        <w:sz w:val="20"/>
        <w:szCs w:val="20"/>
        <w:lang w:val="en-GB"/>
      </w:rPr>
      <w:t>.COM</w:t>
    </w:r>
    <w:r w:rsidR="004A34A0" w:rsidRPr="0063300C">
      <w:rPr>
        <w:rFonts w:ascii="Arial" w:hAnsi="Arial" w:cs="Arial"/>
        <w:sz w:val="20"/>
        <w:szCs w:val="20"/>
        <w:lang w:val="en-GB"/>
      </w:rPr>
      <w:t>/</w:t>
    </w:r>
    <w:r w:rsidR="00FA3869" w:rsidRPr="001B371B">
      <w:rPr>
        <w:rFonts w:ascii="Arial" w:hAnsi="Arial" w:cs="Arial"/>
        <w:sz w:val="20"/>
        <w:szCs w:val="20"/>
        <w:lang w:val="en-GB"/>
      </w:rPr>
      <w:t>1</w:t>
    </w:r>
    <w:r w:rsidR="00894A9F" w:rsidRPr="001B371B">
      <w:rPr>
        <w:rFonts w:ascii="Arial" w:hAnsi="Arial" w:cs="Arial"/>
        <w:sz w:val="20"/>
        <w:szCs w:val="20"/>
        <w:lang w:val="en-GB"/>
      </w:rPr>
      <w:t>6</w:t>
    </w:r>
    <w:r w:rsidR="004A34A0" w:rsidRPr="0063300C">
      <w:rPr>
        <w:rFonts w:ascii="Arial" w:hAnsi="Arial" w:cs="Arial"/>
        <w:sz w:val="20"/>
        <w:szCs w:val="20"/>
        <w:lang w:val="en-GB"/>
      </w:rPr>
      <w:t xml:space="preserve"> –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E8034D">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7C26D" w14:textId="77777777" w:rsidR="00D95C4C" w:rsidRPr="00F32C23" w:rsidRDefault="00955877">
    <w:pPr>
      <w:pStyle w:val="Header"/>
      <w:rPr>
        <w:lang w:val="en-GB"/>
      </w:rPr>
    </w:pPr>
    <w:r>
      <w:rPr>
        <w:noProof/>
        <w:lang w:val="en-US" w:eastAsia="ko-KR"/>
      </w:rPr>
      <w:drawing>
        <wp:anchor distT="0" distB="0" distL="114300" distR="114300" simplePos="0" relativeHeight="251657728" behindDoc="0" locked="0" layoutInCell="1" allowOverlap="1" wp14:anchorId="6AD79FC5" wp14:editId="6D19476B">
          <wp:simplePos x="0" y="0"/>
          <wp:positionH relativeFrom="column">
            <wp:posOffset>-567690</wp:posOffset>
          </wp:positionH>
          <wp:positionV relativeFrom="paragraph">
            <wp:posOffset>3810</wp:posOffset>
          </wp:positionV>
          <wp:extent cx="2228215" cy="1367790"/>
          <wp:effectExtent l="0" t="0" r="635" b="3810"/>
          <wp:wrapNone/>
          <wp:docPr id="4"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ABD84" w14:textId="77777777" w:rsidR="00D95C4C" w:rsidRPr="00F30DC6" w:rsidRDefault="00337CEB" w:rsidP="00655736">
    <w:pPr>
      <w:pStyle w:val="Header"/>
      <w:spacing w:after="520"/>
      <w:jc w:val="right"/>
      <w:rPr>
        <w:rFonts w:ascii="Arial" w:hAnsi="Arial" w:cs="Arial"/>
        <w:b/>
        <w:sz w:val="44"/>
        <w:szCs w:val="44"/>
        <w:lang w:val="en-GB"/>
      </w:rPr>
    </w:pPr>
    <w:r>
      <w:rPr>
        <w:rFonts w:ascii="Arial" w:hAnsi="Arial" w:cs="Arial"/>
        <w:b/>
        <w:sz w:val="44"/>
        <w:szCs w:val="44"/>
        <w:lang w:val="en-GB"/>
      </w:rPr>
      <w:t>1</w:t>
    </w:r>
    <w:r>
      <w:rPr>
        <w:rFonts w:ascii="Arial" w:eastAsiaTheme="minorEastAsia" w:hAnsi="Arial" w:cs="Arial" w:hint="eastAsia"/>
        <w:b/>
        <w:sz w:val="44"/>
        <w:szCs w:val="44"/>
        <w:lang w:val="en-GB" w:eastAsia="ko-KR"/>
      </w:rPr>
      <w:t>2</w:t>
    </w:r>
    <w:r w:rsidR="00EC6F8D" w:rsidRPr="00F30DC6">
      <w:rPr>
        <w:rFonts w:ascii="Arial" w:hAnsi="Arial" w:cs="Arial"/>
        <w:b/>
        <w:sz w:val="44"/>
        <w:szCs w:val="44"/>
        <w:lang w:val="en-GB"/>
      </w:rPr>
      <w:t xml:space="preserve"> COM</w:t>
    </w:r>
  </w:p>
  <w:p w14:paraId="24155CB4" w14:textId="1062122F" w:rsidR="00D95C4C" w:rsidRPr="009D5428" w:rsidRDefault="00337CEB" w:rsidP="00655736">
    <w:pPr>
      <w:jc w:val="right"/>
      <w:rPr>
        <w:rFonts w:ascii="Arial" w:hAnsi="Arial" w:cs="Arial"/>
        <w:b/>
        <w:sz w:val="22"/>
        <w:szCs w:val="22"/>
        <w:lang w:val="en-GB"/>
      </w:rPr>
    </w:pPr>
    <w:r>
      <w:rPr>
        <w:rFonts w:ascii="Arial" w:hAnsi="Arial" w:cs="Arial"/>
        <w:b/>
        <w:sz w:val="22"/>
        <w:szCs w:val="22"/>
        <w:lang w:val="en-GB"/>
      </w:rPr>
      <w:t>ITH/1</w:t>
    </w:r>
    <w:r>
      <w:rPr>
        <w:rFonts w:ascii="Arial" w:eastAsiaTheme="minorEastAsia" w:hAnsi="Arial" w:cs="Arial" w:hint="eastAsia"/>
        <w:b/>
        <w:sz w:val="22"/>
        <w:szCs w:val="22"/>
        <w:lang w:val="en-GB" w:eastAsia="ko-KR"/>
      </w:rPr>
      <w:t>7</w:t>
    </w:r>
    <w:r w:rsidR="00D95C4C" w:rsidRPr="009D5428">
      <w:rPr>
        <w:rFonts w:ascii="Arial" w:hAnsi="Arial" w:cs="Arial"/>
        <w:b/>
        <w:sz w:val="22"/>
        <w:szCs w:val="22"/>
        <w:lang w:val="en-GB"/>
      </w:rPr>
      <w:t>/</w:t>
    </w:r>
    <w:r w:rsidR="00CB0542">
      <w:rPr>
        <w:rFonts w:ascii="Arial" w:hAnsi="Arial" w:cs="Arial"/>
        <w:b/>
        <w:sz w:val="22"/>
        <w:szCs w:val="22"/>
        <w:lang w:val="en-GB"/>
      </w:rPr>
      <w:t>1</w:t>
    </w:r>
    <w:r>
      <w:rPr>
        <w:rFonts w:ascii="Arial" w:eastAsiaTheme="minorEastAsia" w:hAnsi="Arial" w:cs="Arial" w:hint="eastAsia"/>
        <w:b/>
        <w:sz w:val="22"/>
        <w:szCs w:val="22"/>
        <w:lang w:val="en-GB" w:eastAsia="ko-KR"/>
      </w:rPr>
      <w:t>2</w:t>
    </w:r>
    <w:r w:rsidR="00D95C4C" w:rsidRPr="009D5428">
      <w:rPr>
        <w:rFonts w:ascii="Arial" w:hAnsi="Arial" w:cs="Arial"/>
        <w:b/>
        <w:sz w:val="22"/>
        <w:szCs w:val="22"/>
        <w:lang w:val="en-GB"/>
      </w:rPr>
      <w:t>.</w:t>
    </w:r>
    <w:r w:rsidR="00EC6F8D" w:rsidRPr="009D5428">
      <w:rPr>
        <w:rFonts w:ascii="Arial" w:hAnsi="Arial" w:cs="Arial"/>
        <w:b/>
        <w:sz w:val="22"/>
        <w:szCs w:val="22"/>
        <w:lang w:val="en-GB"/>
      </w:rPr>
      <w:t>COM</w:t>
    </w:r>
    <w:r w:rsidR="00D95C4C" w:rsidRPr="009D5428">
      <w:rPr>
        <w:rFonts w:ascii="Arial" w:hAnsi="Arial" w:cs="Arial"/>
        <w:b/>
        <w:sz w:val="22"/>
        <w:szCs w:val="22"/>
        <w:lang w:val="en-GB"/>
      </w:rPr>
      <w:t>/</w:t>
    </w:r>
    <w:r w:rsidR="00FA3869" w:rsidRPr="001B371B">
      <w:rPr>
        <w:rFonts w:ascii="Arial" w:hAnsi="Arial" w:cs="Arial"/>
        <w:b/>
        <w:sz w:val="22"/>
        <w:szCs w:val="22"/>
        <w:lang w:val="en-GB"/>
      </w:rPr>
      <w:t>1</w:t>
    </w:r>
    <w:r w:rsidR="00894A9F" w:rsidRPr="001B371B">
      <w:rPr>
        <w:rFonts w:ascii="Arial" w:hAnsi="Arial" w:cs="Arial"/>
        <w:b/>
        <w:sz w:val="22"/>
        <w:szCs w:val="22"/>
        <w:lang w:val="en-GB"/>
      </w:rPr>
      <w:t>6</w:t>
    </w:r>
  </w:p>
  <w:p w14:paraId="62922082" w14:textId="3B5580D2" w:rsidR="00D95C4C" w:rsidRPr="00337CEB" w:rsidRDefault="00D95C4C" w:rsidP="00655736">
    <w:pPr>
      <w:jc w:val="right"/>
      <w:rPr>
        <w:rFonts w:ascii="Arial" w:eastAsiaTheme="minorEastAsia" w:hAnsi="Arial" w:cs="Arial"/>
        <w:b/>
        <w:sz w:val="22"/>
        <w:szCs w:val="22"/>
        <w:lang w:val="en-GB" w:eastAsia="ko-KR"/>
      </w:rPr>
    </w:pPr>
    <w:r w:rsidRPr="009D5428">
      <w:rPr>
        <w:rFonts w:ascii="Arial" w:hAnsi="Arial" w:cs="Arial"/>
        <w:b/>
        <w:sz w:val="22"/>
        <w:szCs w:val="22"/>
        <w:lang w:val="en-GB"/>
      </w:rPr>
      <w:t xml:space="preserve">Paris, </w:t>
    </w:r>
    <w:r w:rsidR="007955F1">
      <w:rPr>
        <w:rFonts w:ascii="Arial" w:hAnsi="Arial" w:cs="Arial"/>
        <w:b/>
        <w:sz w:val="22"/>
        <w:szCs w:val="22"/>
        <w:lang w:val="en-GB"/>
      </w:rPr>
      <w:t>31 Octo</w:t>
    </w:r>
    <w:r w:rsidR="00EA0852">
      <w:rPr>
        <w:rFonts w:ascii="Arial" w:hAnsi="Arial" w:cs="Arial"/>
        <w:b/>
        <w:sz w:val="22"/>
        <w:szCs w:val="22"/>
        <w:lang w:val="en-GB"/>
      </w:rPr>
      <w:t>ber</w:t>
    </w:r>
    <w:r w:rsidR="00EA0852" w:rsidRPr="00F32C23">
      <w:rPr>
        <w:rFonts w:ascii="Arial" w:hAnsi="Arial" w:cs="Arial"/>
        <w:b/>
        <w:sz w:val="22"/>
        <w:szCs w:val="22"/>
        <w:lang w:val="en-GB"/>
      </w:rPr>
      <w:t xml:space="preserve"> </w:t>
    </w:r>
    <w:r w:rsidR="00337CEB">
      <w:rPr>
        <w:rFonts w:ascii="Arial" w:hAnsi="Arial" w:cs="Arial"/>
        <w:b/>
        <w:sz w:val="22"/>
        <w:szCs w:val="22"/>
        <w:lang w:val="en-GB"/>
      </w:rPr>
      <w:t>201</w:t>
    </w:r>
    <w:r w:rsidR="00337CEB">
      <w:rPr>
        <w:rFonts w:ascii="Arial" w:eastAsiaTheme="minorEastAsia" w:hAnsi="Arial" w:cs="Arial" w:hint="eastAsia"/>
        <w:b/>
        <w:sz w:val="22"/>
        <w:szCs w:val="22"/>
        <w:lang w:val="en-GB" w:eastAsia="ko-KR"/>
      </w:rPr>
      <w:t>7</w:t>
    </w:r>
  </w:p>
  <w:p w14:paraId="1AF60122" w14:textId="77777777" w:rsidR="00D95C4C" w:rsidRPr="00F32C23" w:rsidRDefault="00D95C4C" w:rsidP="000048ED">
    <w:pPr>
      <w:jc w:val="right"/>
      <w:rPr>
        <w:rFonts w:ascii="Arial" w:hAnsi="Arial" w:cs="Arial"/>
        <w:b/>
        <w:sz w:val="22"/>
        <w:szCs w:val="22"/>
        <w:lang w:val="en-GB"/>
      </w:rPr>
    </w:pPr>
    <w:r w:rsidRPr="00F32C23">
      <w:rPr>
        <w:rFonts w:ascii="Arial" w:hAnsi="Arial" w:cs="Arial"/>
        <w:b/>
        <w:sz w:val="22"/>
        <w:szCs w:val="22"/>
        <w:lang w:val="en-GB"/>
      </w:rPr>
      <w:t xml:space="preserve">Original: </w:t>
    </w:r>
    <w:r w:rsidR="00FA3869" w:rsidRPr="001B371B">
      <w:rPr>
        <w:rFonts w:ascii="Arial" w:hAnsi="Arial" w:cs="Arial"/>
        <w:b/>
        <w:sz w:val="22"/>
        <w:szCs w:val="22"/>
        <w:lang w:val="en-GB"/>
      </w:rPr>
      <w:t>English</w:t>
    </w:r>
  </w:p>
  <w:p w14:paraId="6A962A06" w14:textId="77777777" w:rsidR="00D95C4C" w:rsidRPr="00F32C23" w:rsidRDefault="00D95C4C">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1"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AE55A97"/>
    <w:multiLevelType w:val="hybridMultilevel"/>
    <w:tmpl w:val="520C2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8C20C8"/>
    <w:multiLevelType w:val="hybridMultilevel"/>
    <w:tmpl w:val="14B22E02"/>
    <w:lvl w:ilvl="0" w:tplc="6846D580">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0"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1"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2"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6"/>
  </w:num>
  <w:num w:numId="3">
    <w:abstractNumId w:val="1"/>
  </w:num>
  <w:num w:numId="4">
    <w:abstractNumId w:val="13"/>
  </w:num>
  <w:num w:numId="5">
    <w:abstractNumId w:val="12"/>
  </w:num>
  <w:num w:numId="6">
    <w:abstractNumId w:val="0"/>
  </w:num>
  <w:num w:numId="7">
    <w:abstractNumId w:val="2"/>
  </w:num>
  <w:num w:numId="8">
    <w:abstractNumId w:val="10"/>
  </w:num>
  <w:num w:numId="9">
    <w:abstractNumId w:val="5"/>
  </w:num>
  <w:num w:numId="10">
    <w:abstractNumId w:val="7"/>
  </w:num>
  <w:num w:numId="11">
    <w:abstractNumId w:val="9"/>
  </w:num>
  <w:num w:numId="12">
    <w:abstractNumId w:val="8"/>
  </w:num>
  <w:num w:numId="13">
    <w:abstractNumId w:val="3"/>
  </w:num>
  <w:num w:numId="14">
    <w:abstractNumId w:val="4"/>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798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542"/>
    <w:rsid w:val="000026CE"/>
    <w:rsid w:val="000048ED"/>
    <w:rsid w:val="00041A66"/>
    <w:rsid w:val="0005176E"/>
    <w:rsid w:val="000661C5"/>
    <w:rsid w:val="0006652B"/>
    <w:rsid w:val="000765F7"/>
    <w:rsid w:val="00077AB7"/>
    <w:rsid w:val="00081CD8"/>
    <w:rsid w:val="00084EBB"/>
    <w:rsid w:val="000A7199"/>
    <w:rsid w:val="000A7F0E"/>
    <w:rsid w:val="000B1C8F"/>
    <w:rsid w:val="000C0D61"/>
    <w:rsid w:val="000D4DF2"/>
    <w:rsid w:val="000E6601"/>
    <w:rsid w:val="000F3A3F"/>
    <w:rsid w:val="00102557"/>
    <w:rsid w:val="00115DD2"/>
    <w:rsid w:val="00164D56"/>
    <w:rsid w:val="00167B10"/>
    <w:rsid w:val="0017402F"/>
    <w:rsid w:val="0018027B"/>
    <w:rsid w:val="00196C1B"/>
    <w:rsid w:val="001A6099"/>
    <w:rsid w:val="001B0F73"/>
    <w:rsid w:val="001B371B"/>
    <w:rsid w:val="001C2DB7"/>
    <w:rsid w:val="001D5C04"/>
    <w:rsid w:val="001F26CF"/>
    <w:rsid w:val="001F43EE"/>
    <w:rsid w:val="00202507"/>
    <w:rsid w:val="00222A2D"/>
    <w:rsid w:val="00223029"/>
    <w:rsid w:val="00234745"/>
    <w:rsid w:val="002351A6"/>
    <w:rsid w:val="002407AF"/>
    <w:rsid w:val="002621BE"/>
    <w:rsid w:val="0027466B"/>
    <w:rsid w:val="002838A5"/>
    <w:rsid w:val="00285BB4"/>
    <w:rsid w:val="00291ACF"/>
    <w:rsid w:val="002B0E8D"/>
    <w:rsid w:val="002B4511"/>
    <w:rsid w:val="002C09E3"/>
    <w:rsid w:val="002D32DC"/>
    <w:rsid w:val="002E0FF5"/>
    <w:rsid w:val="00300FAF"/>
    <w:rsid w:val="00312716"/>
    <w:rsid w:val="00337CEB"/>
    <w:rsid w:val="003440D5"/>
    <w:rsid w:val="00344B58"/>
    <w:rsid w:val="0034539A"/>
    <w:rsid w:val="00345CB4"/>
    <w:rsid w:val="00371698"/>
    <w:rsid w:val="00375D42"/>
    <w:rsid w:val="003B61E7"/>
    <w:rsid w:val="003D069C"/>
    <w:rsid w:val="003D7646"/>
    <w:rsid w:val="003F113A"/>
    <w:rsid w:val="003F3E63"/>
    <w:rsid w:val="00407480"/>
    <w:rsid w:val="00414643"/>
    <w:rsid w:val="004421E5"/>
    <w:rsid w:val="00452284"/>
    <w:rsid w:val="00457C8E"/>
    <w:rsid w:val="00464F07"/>
    <w:rsid w:val="00473E25"/>
    <w:rsid w:val="00475887"/>
    <w:rsid w:val="004856CA"/>
    <w:rsid w:val="00487E67"/>
    <w:rsid w:val="00495B64"/>
    <w:rsid w:val="0049705E"/>
    <w:rsid w:val="004A34A0"/>
    <w:rsid w:val="004C3CA4"/>
    <w:rsid w:val="004C7C59"/>
    <w:rsid w:val="004F2361"/>
    <w:rsid w:val="005008A8"/>
    <w:rsid w:val="00526B7B"/>
    <w:rsid w:val="005308CE"/>
    <w:rsid w:val="0053318C"/>
    <w:rsid w:val="00543E1A"/>
    <w:rsid w:val="00562682"/>
    <w:rsid w:val="0057439C"/>
    <w:rsid w:val="005830F4"/>
    <w:rsid w:val="005953C2"/>
    <w:rsid w:val="005B0127"/>
    <w:rsid w:val="005B7A35"/>
    <w:rsid w:val="005C4B73"/>
    <w:rsid w:val="005E1D2B"/>
    <w:rsid w:val="005E7074"/>
    <w:rsid w:val="005F2BAF"/>
    <w:rsid w:val="00600D93"/>
    <w:rsid w:val="00603CB1"/>
    <w:rsid w:val="00610AC4"/>
    <w:rsid w:val="00615487"/>
    <w:rsid w:val="0062046B"/>
    <w:rsid w:val="006212EA"/>
    <w:rsid w:val="00623D45"/>
    <w:rsid w:val="00630658"/>
    <w:rsid w:val="0063300C"/>
    <w:rsid w:val="00647AE1"/>
    <w:rsid w:val="00655736"/>
    <w:rsid w:val="00663B8D"/>
    <w:rsid w:val="00696C8D"/>
    <w:rsid w:val="006A13E4"/>
    <w:rsid w:val="006A2AC2"/>
    <w:rsid w:val="006A3617"/>
    <w:rsid w:val="006B4418"/>
    <w:rsid w:val="006D753E"/>
    <w:rsid w:val="006E46E4"/>
    <w:rsid w:val="00717DA5"/>
    <w:rsid w:val="00744484"/>
    <w:rsid w:val="00747566"/>
    <w:rsid w:val="00754626"/>
    <w:rsid w:val="007569A6"/>
    <w:rsid w:val="00773188"/>
    <w:rsid w:val="00780D32"/>
    <w:rsid w:val="00783782"/>
    <w:rsid w:val="00784B8C"/>
    <w:rsid w:val="007879E1"/>
    <w:rsid w:val="007955F1"/>
    <w:rsid w:val="00823A11"/>
    <w:rsid w:val="00826395"/>
    <w:rsid w:val="00834F1A"/>
    <w:rsid w:val="00835FDA"/>
    <w:rsid w:val="008455CC"/>
    <w:rsid w:val="008521B8"/>
    <w:rsid w:val="0085405E"/>
    <w:rsid w:val="0085414A"/>
    <w:rsid w:val="0086269D"/>
    <w:rsid w:val="0086543A"/>
    <w:rsid w:val="008724E5"/>
    <w:rsid w:val="00884A9D"/>
    <w:rsid w:val="0088512B"/>
    <w:rsid w:val="00894A9F"/>
    <w:rsid w:val="008A2B2D"/>
    <w:rsid w:val="008A4E1E"/>
    <w:rsid w:val="008C296C"/>
    <w:rsid w:val="008D4305"/>
    <w:rsid w:val="008E1A85"/>
    <w:rsid w:val="0090165F"/>
    <w:rsid w:val="009163A7"/>
    <w:rsid w:val="00932BD2"/>
    <w:rsid w:val="009377D6"/>
    <w:rsid w:val="00946D0B"/>
    <w:rsid w:val="00955877"/>
    <w:rsid w:val="009605B5"/>
    <w:rsid w:val="00971E39"/>
    <w:rsid w:val="009A18CD"/>
    <w:rsid w:val="009A5F53"/>
    <w:rsid w:val="009B3A8C"/>
    <w:rsid w:val="009C60BC"/>
    <w:rsid w:val="009D5428"/>
    <w:rsid w:val="009F767E"/>
    <w:rsid w:val="00A12558"/>
    <w:rsid w:val="00A13903"/>
    <w:rsid w:val="00A211FD"/>
    <w:rsid w:val="00A34AB8"/>
    <w:rsid w:val="00A34ED5"/>
    <w:rsid w:val="00A45DBF"/>
    <w:rsid w:val="00A537E1"/>
    <w:rsid w:val="00A755A2"/>
    <w:rsid w:val="00A829BA"/>
    <w:rsid w:val="00A85067"/>
    <w:rsid w:val="00AA6660"/>
    <w:rsid w:val="00AB15F5"/>
    <w:rsid w:val="00AB2C36"/>
    <w:rsid w:val="00AB6DDE"/>
    <w:rsid w:val="00AB70B6"/>
    <w:rsid w:val="00AD1A86"/>
    <w:rsid w:val="00AE103E"/>
    <w:rsid w:val="00AE2770"/>
    <w:rsid w:val="00AF0A07"/>
    <w:rsid w:val="00AF4AEC"/>
    <w:rsid w:val="00AF625E"/>
    <w:rsid w:val="00B30007"/>
    <w:rsid w:val="00B8426E"/>
    <w:rsid w:val="00BB04AF"/>
    <w:rsid w:val="00BD52C9"/>
    <w:rsid w:val="00BE6354"/>
    <w:rsid w:val="00C075C3"/>
    <w:rsid w:val="00C10169"/>
    <w:rsid w:val="00C10729"/>
    <w:rsid w:val="00C138D1"/>
    <w:rsid w:val="00C23A97"/>
    <w:rsid w:val="00C37B4B"/>
    <w:rsid w:val="00C64855"/>
    <w:rsid w:val="00C70EA7"/>
    <w:rsid w:val="00C7433F"/>
    <w:rsid w:val="00C7516E"/>
    <w:rsid w:val="00C75770"/>
    <w:rsid w:val="00C96583"/>
    <w:rsid w:val="00CA12CA"/>
    <w:rsid w:val="00CA56BB"/>
    <w:rsid w:val="00CB0542"/>
    <w:rsid w:val="00CD664A"/>
    <w:rsid w:val="00D00B2B"/>
    <w:rsid w:val="00D24877"/>
    <w:rsid w:val="00D57A97"/>
    <w:rsid w:val="00D660EF"/>
    <w:rsid w:val="00D72710"/>
    <w:rsid w:val="00D73E38"/>
    <w:rsid w:val="00D8250F"/>
    <w:rsid w:val="00D95C4C"/>
    <w:rsid w:val="00DA3646"/>
    <w:rsid w:val="00DA36ED"/>
    <w:rsid w:val="00DD0442"/>
    <w:rsid w:val="00DD7413"/>
    <w:rsid w:val="00DE34F1"/>
    <w:rsid w:val="00DE6160"/>
    <w:rsid w:val="00DF4942"/>
    <w:rsid w:val="00DF61FC"/>
    <w:rsid w:val="00E2340A"/>
    <w:rsid w:val="00E244E1"/>
    <w:rsid w:val="00E627B1"/>
    <w:rsid w:val="00E70169"/>
    <w:rsid w:val="00E8034D"/>
    <w:rsid w:val="00E9376C"/>
    <w:rsid w:val="00EA0852"/>
    <w:rsid w:val="00EA335E"/>
    <w:rsid w:val="00EA528C"/>
    <w:rsid w:val="00EA580C"/>
    <w:rsid w:val="00EC6F8D"/>
    <w:rsid w:val="00EE49F4"/>
    <w:rsid w:val="00EE6783"/>
    <w:rsid w:val="00EE7DAE"/>
    <w:rsid w:val="00EF34E2"/>
    <w:rsid w:val="00F16921"/>
    <w:rsid w:val="00F3021A"/>
    <w:rsid w:val="00F30DC6"/>
    <w:rsid w:val="00F32C23"/>
    <w:rsid w:val="00F342E7"/>
    <w:rsid w:val="00F53DE9"/>
    <w:rsid w:val="00F576CB"/>
    <w:rsid w:val="00F7035D"/>
    <w:rsid w:val="00F71A02"/>
    <w:rsid w:val="00FA0D63"/>
    <w:rsid w:val="00FA3869"/>
    <w:rsid w:val="00FD1226"/>
    <w:rsid w:val="00FE5027"/>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B1DDC88"/>
  <w15:docId w15:val="{9787BF5D-BA5E-483E-BFB9-F7F7B535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5CB4"/>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3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ind w:left="1134" w:hanging="567"/>
      <w:jc w:val="both"/>
    </w:pPr>
    <w:rPr>
      <w:rFonts w:ascii="Arial" w:eastAsia="SimSun" w:hAnsi="Arial" w:cs="Arial"/>
      <w:sz w:val="22"/>
      <w:szCs w:val="22"/>
      <w:u w:val="single"/>
      <w:lang w:val="en-GB"/>
    </w:rPr>
  </w:style>
  <w:style w:type="character" w:styleId="Hyperlink">
    <w:name w:val="Hyperlink"/>
    <w:basedOn w:val="DefaultParagraphFont"/>
    <w:uiPriority w:val="99"/>
    <w:unhideWhenUsed/>
    <w:rsid w:val="00932BD2"/>
    <w:rPr>
      <w:color w:val="0000FF" w:themeColor="hyperlink"/>
      <w:u w:val="single"/>
    </w:rPr>
  </w:style>
  <w:style w:type="character" w:styleId="CommentReference">
    <w:name w:val="annotation reference"/>
    <w:basedOn w:val="DefaultParagraphFont"/>
    <w:uiPriority w:val="99"/>
    <w:semiHidden/>
    <w:unhideWhenUsed/>
    <w:rsid w:val="00475887"/>
    <w:rPr>
      <w:sz w:val="16"/>
      <w:szCs w:val="16"/>
    </w:rPr>
  </w:style>
  <w:style w:type="paragraph" w:styleId="CommentText">
    <w:name w:val="annotation text"/>
    <w:basedOn w:val="Normal"/>
    <w:link w:val="CommentTextChar"/>
    <w:uiPriority w:val="99"/>
    <w:semiHidden/>
    <w:unhideWhenUsed/>
    <w:rsid w:val="00475887"/>
    <w:rPr>
      <w:sz w:val="20"/>
      <w:szCs w:val="20"/>
    </w:rPr>
  </w:style>
  <w:style w:type="character" w:customStyle="1" w:styleId="CommentTextChar">
    <w:name w:val="Comment Text Char"/>
    <w:basedOn w:val="DefaultParagraphFont"/>
    <w:link w:val="CommentText"/>
    <w:uiPriority w:val="99"/>
    <w:semiHidden/>
    <w:rsid w:val="0047588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75887"/>
    <w:rPr>
      <w:b/>
      <w:bCs/>
    </w:rPr>
  </w:style>
  <w:style w:type="character" w:customStyle="1" w:styleId="CommentSubjectChar">
    <w:name w:val="Comment Subject Char"/>
    <w:basedOn w:val="CommentTextChar"/>
    <w:link w:val="CommentSubject"/>
    <w:uiPriority w:val="99"/>
    <w:semiHidden/>
    <w:rsid w:val="00475887"/>
    <w:rPr>
      <w:rFonts w:ascii="Times New Roman" w:eastAsia="Times New Roman" w:hAnsi="Times New Roman"/>
      <w:b/>
      <w:bCs/>
    </w:rPr>
  </w:style>
  <w:style w:type="paragraph" w:styleId="FootnoteText">
    <w:name w:val="footnote text"/>
    <w:basedOn w:val="Normal"/>
    <w:link w:val="FootnoteTextChar"/>
    <w:uiPriority w:val="99"/>
    <w:semiHidden/>
    <w:unhideWhenUsed/>
    <w:rsid w:val="00C96583"/>
    <w:rPr>
      <w:sz w:val="20"/>
      <w:szCs w:val="20"/>
    </w:rPr>
  </w:style>
  <w:style w:type="character" w:customStyle="1" w:styleId="FootnoteTextChar">
    <w:name w:val="Footnote Text Char"/>
    <w:basedOn w:val="DefaultParagraphFont"/>
    <w:link w:val="FootnoteText"/>
    <w:uiPriority w:val="99"/>
    <w:semiHidden/>
    <w:rsid w:val="00C96583"/>
    <w:rPr>
      <w:rFonts w:ascii="Times New Roman" w:eastAsia="Times New Roman" w:hAnsi="Times New Roman"/>
    </w:rPr>
  </w:style>
  <w:style w:type="character" w:styleId="FootnoteReference">
    <w:name w:val="footnote reference"/>
    <w:basedOn w:val="DefaultParagraphFont"/>
    <w:uiPriority w:val="99"/>
    <w:semiHidden/>
    <w:unhideWhenUsed/>
    <w:rsid w:val="00C96583"/>
    <w:rPr>
      <w:vertAlign w:val="superscript"/>
    </w:rPr>
  </w:style>
  <w:style w:type="paragraph" w:customStyle="1" w:styleId="Default">
    <w:name w:val="Default"/>
    <w:rsid w:val="00780D32"/>
    <w:pPr>
      <w:autoSpaceDE w:val="0"/>
      <w:autoSpaceDN w:val="0"/>
      <w:adjustRightInd w:val="0"/>
    </w:pPr>
    <w:rPr>
      <w:rFonts w:ascii="Century Gothic" w:eastAsiaTheme="minorEastAsia" w:hAnsi="Century Gothic" w:cs="Century Gothic"/>
      <w:color w:val="000000"/>
      <w:sz w:val="24"/>
      <w:szCs w:val="24"/>
      <w:lang w:eastAsia="en-US"/>
    </w:rPr>
  </w:style>
  <w:style w:type="paragraph" w:styleId="ListParagraph">
    <w:name w:val="List Paragraph"/>
    <w:basedOn w:val="Normal"/>
    <w:uiPriority w:val="34"/>
    <w:qFormat/>
    <w:rsid w:val="00780D32"/>
    <w:pPr>
      <w:spacing w:after="160" w:line="259" w:lineRule="auto"/>
      <w:ind w:left="720"/>
      <w:contextualSpacing/>
    </w:pPr>
    <w:rPr>
      <w:rFonts w:asciiTheme="minorHAnsi" w:eastAsiaTheme="minorEastAsia" w:hAnsiTheme="minorHAnsi" w:cstheme="minorBidi"/>
      <w:sz w:val="22"/>
      <w:szCs w:val="22"/>
      <w:lang w:eastAsia="en-US"/>
    </w:rPr>
  </w:style>
  <w:style w:type="paragraph" w:styleId="Revision">
    <w:name w:val="Revision"/>
    <w:hidden/>
    <w:uiPriority w:val="99"/>
    <w:semiHidden/>
    <w:rsid w:val="00115DD2"/>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C075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nesco.org/new/fileadmin/MULTIMEDIA/HQ/GBS/38GC/pdf/101_Resolution.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nesdoc.unesco.org/images/0025/002590/259083e.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en/Decisions/11.COM/7"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ich.unesco.org/doc/src/ITH-16-11.COM-7-EN.docx" TargetMode="External"/><Relationship Id="rId4" Type="http://schemas.openxmlformats.org/officeDocument/2006/relationships/settings" Target="settings.xml"/><Relationship Id="rId9" Type="http://schemas.openxmlformats.org/officeDocument/2006/relationships/hyperlink" Target="http://unesdoc.unesco.org/images/0023/002352/235207e.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new/en/general-conference-39th/working-group-on-governance/sub-group-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730F8-91C7-483A-94B3-018F98E06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document_EN.dotx</Template>
  <TotalTime>4</TotalTime>
  <Pages>3</Pages>
  <Words>784</Words>
  <Characters>4469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Shin, Eunkyung</dc:creator>
  <cp:lastModifiedBy>Shin, Eunkyung</cp:lastModifiedBy>
  <cp:revision>3</cp:revision>
  <cp:lastPrinted>2017-10-30T15:22:00Z</cp:lastPrinted>
  <dcterms:created xsi:type="dcterms:W3CDTF">2017-10-31T10:01:00Z</dcterms:created>
  <dcterms:modified xsi:type="dcterms:W3CDTF">2017-10-31T10:06:00Z</dcterms:modified>
</cp:coreProperties>
</file>