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1596D" w14:textId="5A132286" w:rsidR="00EC6F8D" w:rsidRPr="00293C60" w:rsidRDefault="00EC6F8D" w:rsidP="00EC6F8D">
      <w:pPr>
        <w:spacing w:before="1440"/>
        <w:jc w:val="center"/>
        <w:rPr>
          <w:rFonts w:ascii="Arial" w:hAnsi="Arial" w:cs="Arial"/>
          <w:b/>
          <w:sz w:val="22"/>
          <w:szCs w:val="22"/>
        </w:rPr>
      </w:pPr>
      <w:r>
        <w:rPr>
          <w:rFonts w:ascii="Arial" w:hAnsi="Arial"/>
          <w:b/>
          <w:sz w:val="22"/>
          <w:szCs w:val="22"/>
        </w:rPr>
        <w:t>CONVENTION POUR LA SAUVEGARDE</w:t>
      </w:r>
      <w:r w:rsidR="005F2349">
        <w:rPr>
          <w:rFonts w:ascii="Arial" w:hAnsi="Arial"/>
          <w:b/>
          <w:sz w:val="22"/>
          <w:szCs w:val="22"/>
        </w:rPr>
        <w:t xml:space="preserve"> DU</w:t>
      </w:r>
      <w:bookmarkStart w:id="0" w:name="_GoBack"/>
      <w:bookmarkEnd w:id="0"/>
      <w:r>
        <w:rPr>
          <w:rFonts w:ascii="Arial" w:hAnsi="Arial"/>
          <w:b/>
          <w:sz w:val="22"/>
          <w:szCs w:val="22"/>
        </w:rPr>
        <w:br/>
        <w:t>PATRIMOINE CULTUREL IMMATÉRIEL</w:t>
      </w:r>
    </w:p>
    <w:p w14:paraId="79A05827" w14:textId="77777777" w:rsidR="00EC6F8D" w:rsidRPr="00293C60" w:rsidRDefault="00EC6F8D" w:rsidP="00EC6F8D">
      <w:pPr>
        <w:spacing w:before="1200"/>
        <w:jc w:val="center"/>
        <w:rPr>
          <w:rFonts w:ascii="Arial" w:hAnsi="Arial" w:cs="Arial"/>
          <w:b/>
          <w:sz w:val="22"/>
          <w:szCs w:val="22"/>
        </w:rPr>
      </w:pPr>
      <w:r>
        <w:rPr>
          <w:rFonts w:ascii="Arial" w:hAnsi="Arial"/>
          <w:b/>
          <w:sz w:val="22"/>
          <w:szCs w:val="22"/>
        </w:rPr>
        <w:t>COMITÉ INTERGOUVERNEMENTAL DE SAUVEGARDE</w:t>
      </w:r>
      <w:r>
        <w:rPr>
          <w:rFonts w:ascii="Arial" w:hAnsi="Arial"/>
          <w:b/>
          <w:sz w:val="22"/>
          <w:szCs w:val="22"/>
        </w:rPr>
        <w:br/>
        <w:t>DU PATRIMOINE CULTUREL IMMATÉRIEL</w:t>
      </w:r>
    </w:p>
    <w:p w14:paraId="1762BACB" w14:textId="77777777" w:rsidR="00EC6F8D" w:rsidRPr="00293C60" w:rsidRDefault="00C7433F" w:rsidP="00EC6F8D">
      <w:pPr>
        <w:spacing w:before="840"/>
        <w:jc w:val="center"/>
        <w:rPr>
          <w:rFonts w:ascii="Arial" w:hAnsi="Arial" w:cs="Arial"/>
          <w:b/>
          <w:sz w:val="22"/>
          <w:szCs w:val="22"/>
        </w:rPr>
      </w:pPr>
      <w:r>
        <w:rPr>
          <w:rFonts w:ascii="Arial" w:hAnsi="Arial"/>
          <w:b/>
          <w:sz w:val="22"/>
          <w:szCs w:val="22"/>
        </w:rPr>
        <w:t>Douzième session</w:t>
      </w:r>
    </w:p>
    <w:p w14:paraId="41A4C381" w14:textId="77777777" w:rsidR="009D5428" w:rsidRPr="00337CEB" w:rsidRDefault="002351A6" w:rsidP="005E7074">
      <w:pPr>
        <w:jc w:val="center"/>
        <w:rPr>
          <w:rFonts w:ascii="Arial" w:eastAsiaTheme="minorEastAsia" w:hAnsi="Arial" w:cs="Arial"/>
          <w:b/>
          <w:sz w:val="22"/>
          <w:szCs w:val="22"/>
        </w:rPr>
      </w:pPr>
      <w:r>
        <w:rPr>
          <w:rFonts w:ascii="Arial" w:hAnsi="Arial"/>
          <w:b/>
          <w:sz w:val="22"/>
          <w:szCs w:val="22"/>
        </w:rPr>
        <w:t xml:space="preserve">Île de </w:t>
      </w:r>
      <w:proofErr w:type="spellStart"/>
      <w:r>
        <w:rPr>
          <w:rFonts w:ascii="Arial" w:hAnsi="Arial"/>
          <w:b/>
          <w:sz w:val="22"/>
          <w:szCs w:val="22"/>
        </w:rPr>
        <w:t>Jeju</w:t>
      </w:r>
      <w:proofErr w:type="spellEnd"/>
      <w:r>
        <w:rPr>
          <w:rFonts w:ascii="Arial" w:hAnsi="Arial"/>
          <w:b/>
          <w:sz w:val="22"/>
          <w:szCs w:val="22"/>
        </w:rPr>
        <w:t>, République de Corée</w:t>
      </w:r>
    </w:p>
    <w:p w14:paraId="68ED09D2" w14:textId="77777777" w:rsidR="00EC6F8D" w:rsidRPr="00337CEB" w:rsidRDefault="00337CEB" w:rsidP="00EC6F8D">
      <w:pPr>
        <w:jc w:val="center"/>
        <w:rPr>
          <w:rFonts w:ascii="Arial" w:eastAsiaTheme="minorEastAsia" w:hAnsi="Arial" w:cs="Arial"/>
          <w:b/>
          <w:sz w:val="22"/>
          <w:szCs w:val="22"/>
        </w:rPr>
      </w:pPr>
      <w:r>
        <w:rPr>
          <w:rFonts w:ascii="Arial" w:hAnsi="Arial"/>
          <w:b/>
          <w:sz w:val="22"/>
          <w:szCs w:val="22"/>
        </w:rPr>
        <w:t>4 – 9 décembre 2017</w:t>
      </w:r>
    </w:p>
    <w:p w14:paraId="689EB4F3" w14:textId="2B205A47" w:rsidR="00EC6F8D" w:rsidRPr="00293C60" w:rsidRDefault="00EC6F8D" w:rsidP="00EC6F8D">
      <w:pPr>
        <w:pStyle w:val="Sansinterligne2"/>
        <w:spacing w:before="1200"/>
        <w:jc w:val="center"/>
        <w:rPr>
          <w:rFonts w:ascii="Arial" w:hAnsi="Arial" w:cs="Arial"/>
          <w:b/>
          <w:sz w:val="22"/>
          <w:szCs w:val="22"/>
        </w:rPr>
      </w:pPr>
      <w:r>
        <w:rPr>
          <w:rFonts w:ascii="Arial" w:hAnsi="Arial"/>
          <w:b/>
          <w:sz w:val="22"/>
          <w:szCs w:val="22"/>
          <w:u w:val="single"/>
        </w:rPr>
        <w:t>Point 12 de l</w:t>
      </w:r>
      <w:r w:rsidR="00BD0B93">
        <w:rPr>
          <w:rFonts w:ascii="Arial" w:hAnsi="Arial"/>
          <w:b/>
          <w:sz w:val="22"/>
          <w:szCs w:val="22"/>
          <w:u w:val="single"/>
        </w:rPr>
        <w:t>’</w:t>
      </w:r>
      <w:r>
        <w:rPr>
          <w:rFonts w:ascii="Arial" w:hAnsi="Arial"/>
          <w:b/>
          <w:sz w:val="22"/>
          <w:szCs w:val="22"/>
          <w:u w:val="single"/>
        </w:rPr>
        <w:t>ordre du jour provisoire</w:t>
      </w:r>
      <w:r>
        <w:rPr>
          <w:rFonts w:ascii="Arial" w:hAnsi="Arial"/>
          <w:b/>
          <w:sz w:val="22"/>
          <w:szCs w:val="22"/>
        </w:rPr>
        <w:t> :</w:t>
      </w:r>
    </w:p>
    <w:p w14:paraId="2B90AB31" w14:textId="75BBCE40" w:rsidR="00EC6F8D" w:rsidRPr="00293C60" w:rsidRDefault="008D3CF7" w:rsidP="00EC6F8D">
      <w:pPr>
        <w:pStyle w:val="Sansinterligne2"/>
        <w:spacing w:after="1200"/>
        <w:jc w:val="center"/>
        <w:rPr>
          <w:rFonts w:ascii="Arial" w:hAnsi="Arial" w:cs="Arial"/>
          <w:b/>
          <w:sz w:val="22"/>
          <w:szCs w:val="22"/>
        </w:rPr>
      </w:pPr>
      <w:r>
        <w:rPr>
          <w:rFonts w:ascii="Arial" w:hAnsi="Arial"/>
          <w:b/>
          <w:sz w:val="22"/>
          <w:szCs w:val="22"/>
        </w:rPr>
        <w:t>Procédures pour faciliter le dialogue entre</w:t>
      </w:r>
      <w:r>
        <w:rPr>
          <w:rFonts w:ascii="Arial" w:hAnsi="Arial"/>
          <w:b/>
          <w:sz w:val="22"/>
          <w:szCs w:val="22"/>
        </w:rPr>
        <w:br/>
        <w:t>l</w:t>
      </w:r>
      <w:r w:rsidR="00BD0B93">
        <w:rPr>
          <w:rFonts w:ascii="Arial" w:hAnsi="Arial"/>
          <w:b/>
          <w:sz w:val="22"/>
          <w:szCs w:val="22"/>
        </w:rPr>
        <w:t>’</w:t>
      </w:r>
      <w:r>
        <w:rPr>
          <w:rFonts w:ascii="Arial" w:hAnsi="Arial"/>
          <w:b/>
          <w:sz w:val="22"/>
          <w:szCs w:val="22"/>
        </w:rPr>
        <w:t>Organe d</w:t>
      </w:r>
      <w:r w:rsidR="00BD0B93">
        <w:rPr>
          <w:rFonts w:ascii="Arial" w:hAnsi="Arial"/>
          <w:b/>
          <w:sz w:val="22"/>
          <w:szCs w:val="22"/>
        </w:rPr>
        <w:t>’</w:t>
      </w:r>
      <w:r>
        <w:rPr>
          <w:rFonts w:ascii="Arial" w:hAnsi="Arial"/>
          <w:b/>
          <w:sz w:val="22"/>
          <w:szCs w:val="22"/>
        </w:rPr>
        <w:t>évaluation et l</w:t>
      </w:r>
      <w:r w:rsidR="00BD0B93">
        <w:rPr>
          <w:rFonts w:ascii="Arial" w:hAnsi="Arial"/>
          <w:b/>
          <w:sz w:val="22"/>
          <w:szCs w:val="22"/>
        </w:rPr>
        <w:t>’</w:t>
      </w:r>
      <w:r>
        <w:rPr>
          <w:rFonts w:ascii="Arial" w:hAnsi="Arial"/>
          <w:b/>
          <w:sz w:val="22"/>
          <w:szCs w:val="22"/>
        </w:rPr>
        <w:t>(les) État(s) soumissionnaire(s)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8D3CF7" w14:paraId="57941F51" w14:textId="77777777" w:rsidTr="00EC6F8D">
        <w:trPr>
          <w:jc w:val="center"/>
        </w:trPr>
        <w:tc>
          <w:tcPr>
            <w:tcW w:w="5670" w:type="dxa"/>
            <w:vAlign w:val="center"/>
          </w:tcPr>
          <w:p w14:paraId="68043344" w14:textId="77777777" w:rsidR="00EC6F8D" w:rsidRPr="00293C60" w:rsidRDefault="00EC6F8D" w:rsidP="00CA56BB">
            <w:pPr>
              <w:pStyle w:val="Sansinterligne1"/>
              <w:spacing w:before="200" w:after="200"/>
              <w:jc w:val="center"/>
              <w:rPr>
                <w:rFonts w:ascii="Arial" w:hAnsi="Arial" w:cs="Arial"/>
                <w:b/>
                <w:sz w:val="22"/>
                <w:szCs w:val="22"/>
              </w:rPr>
            </w:pPr>
            <w:r>
              <w:rPr>
                <w:rFonts w:ascii="Arial" w:hAnsi="Arial"/>
                <w:b/>
                <w:sz w:val="22"/>
                <w:szCs w:val="22"/>
              </w:rPr>
              <w:t>Résumé</w:t>
            </w:r>
          </w:p>
          <w:p w14:paraId="7B3D3375" w14:textId="29C65628" w:rsidR="00BB0575" w:rsidRPr="00293C60" w:rsidRDefault="00BB0575" w:rsidP="00BB0575">
            <w:pPr>
              <w:pStyle w:val="Sansinterligne1"/>
              <w:jc w:val="both"/>
              <w:rPr>
                <w:rFonts w:ascii="Arial" w:hAnsi="Arial" w:cs="Arial"/>
                <w:bCs/>
                <w:sz w:val="22"/>
                <w:szCs w:val="22"/>
              </w:rPr>
            </w:pPr>
            <w:r>
              <w:rPr>
                <w:rFonts w:ascii="Arial" w:hAnsi="Arial"/>
                <w:sz w:val="22"/>
                <w:szCs w:val="22"/>
              </w:rPr>
              <w:t>Lors de sa onzième session en 2016, le Comité a demandé au Secrétariat de proposer, pour examen au cours de la présente session, une procédure pour l</w:t>
            </w:r>
            <w:r w:rsidR="00BD0B93">
              <w:rPr>
                <w:rFonts w:ascii="Arial" w:hAnsi="Arial"/>
                <w:sz w:val="22"/>
                <w:szCs w:val="22"/>
              </w:rPr>
              <w:t>’</w:t>
            </w:r>
            <w:r>
              <w:rPr>
                <w:rFonts w:ascii="Arial" w:hAnsi="Arial"/>
                <w:sz w:val="22"/>
                <w:szCs w:val="22"/>
              </w:rPr>
              <w:t>évaluation des dossiers permettant aux États soumissionnaires de répondre aux recommandations préliminaires qui seraient formulées par l</w:t>
            </w:r>
            <w:r w:rsidR="00BD0B93">
              <w:rPr>
                <w:rFonts w:ascii="Arial" w:hAnsi="Arial"/>
                <w:sz w:val="22"/>
                <w:szCs w:val="22"/>
              </w:rPr>
              <w:t>’</w:t>
            </w:r>
            <w:r>
              <w:rPr>
                <w:rFonts w:ascii="Arial" w:hAnsi="Arial"/>
                <w:sz w:val="22"/>
                <w:szCs w:val="22"/>
              </w:rPr>
              <w:t>Organe d</w:t>
            </w:r>
            <w:r w:rsidR="00BD0B93">
              <w:rPr>
                <w:rFonts w:ascii="Arial" w:hAnsi="Arial"/>
                <w:sz w:val="22"/>
                <w:szCs w:val="22"/>
              </w:rPr>
              <w:t>’</w:t>
            </w:r>
            <w:r>
              <w:rPr>
                <w:rFonts w:ascii="Arial" w:hAnsi="Arial"/>
                <w:sz w:val="22"/>
                <w:szCs w:val="22"/>
              </w:rPr>
              <w:t>évaluation. Le présent document propose donc une procédure, ainsi que des projets d</w:t>
            </w:r>
            <w:r w:rsidR="00BD0B93">
              <w:rPr>
                <w:rFonts w:ascii="Arial" w:hAnsi="Arial"/>
                <w:sz w:val="22"/>
                <w:szCs w:val="22"/>
              </w:rPr>
              <w:t>’</w:t>
            </w:r>
            <w:r>
              <w:rPr>
                <w:rFonts w:ascii="Arial" w:hAnsi="Arial"/>
                <w:sz w:val="22"/>
                <w:szCs w:val="22"/>
              </w:rPr>
              <w:t>amendements aux Directives opérationnelles à cet égard, que le Comité souhaitera peut-être recommander à l</w:t>
            </w:r>
            <w:r w:rsidR="00BD0B93">
              <w:rPr>
                <w:rFonts w:ascii="Arial" w:hAnsi="Arial"/>
                <w:sz w:val="22"/>
                <w:szCs w:val="22"/>
              </w:rPr>
              <w:t>’</w:t>
            </w:r>
            <w:r>
              <w:rPr>
                <w:rFonts w:ascii="Arial" w:hAnsi="Arial"/>
                <w:sz w:val="22"/>
                <w:szCs w:val="22"/>
              </w:rPr>
              <w:t>Assemblée générale pour adoption.</w:t>
            </w:r>
          </w:p>
          <w:p w14:paraId="334ACC80" w14:textId="6094F6DC" w:rsidR="00EC6F8D" w:rsidRPr="00293C60" w:rsidRDefault="00EC6F8D" w:rsidP="00D513A4">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 9</w:t>
            </w:r>
          </w:p>
        </w:tc>
      </w:tr>
    </w:tbl>
    <w:p w14:paraId="0733DF32" w14:textId="11766408" w:rsidR="001D1746" w:rsidRDefault="00655736" w:rsidP="001D1746">
      <w:pPr>
        <w:pStyle w:val="COMPara"/>
        <w:jc w:val="both"/>
      </w:pPr>
      <w:r>
        <w:br w:type="page"/>
      </w:r>
      <w:r>
        <w:lastRenderedPageBreak/>
        <w:t xml:space="preserve">Lors de sa onzième session, le Comité intergouvernemental de sauvegarde du patrimoine culturel immatériel (« le Comité ») a mené deux actions interdépendantes en vertu de la </w:t>
      </w:r>
      <w:hyperlink r:id="rId8" w:history="1">
        <w:r>
          <w:rPr>
            <w:rStyle w:val="Hyperlink"/>
          </w:rPr>
          <w:t>décision 11.COM 10</w:t>
        </w:r>
      </w:hyperlink>
      <w:r>
        <w:t>. D</w:t>
      </w:r>
      <w:r w:rsidR="00BD0B93">
        <w:t>’</w:t>
      </w:r>
      <w:r>
        <w:t>une part, le Comité a demandé au Secrétariat de « proposer, à la prochaine session du Comité, une procédure qui inclurait une étape intermédiaire dans l</w:t>
      </w:r>
      <w:r w:rsidR="00BD0B93">
        <w:t>’</w:t>
      </w:r>
      <w:r>
        <w:t>évaluation des dossiers, permettant ainsi aux États soumissionnaires de répondre à des recommandations préliminaires que l</w:t>
      </w:r>
      <w:r w:rsidR="00BD0B93">
        <w:t>’</w:t>
      </w:r>
      <w:r>
        <w:t>Organe d</w:t>
      </w:r>
      <w:r w:rsidR="00BD0B93">
        <w:t>’</w:t>
      </w:r>
      <w:r>
        <w:t>évaluation aurait préalablement adressées au Secrétariat » (paragraphe 12). Le présent document propose donc une procédure, ainsi que des projets d</w:t>
      </w:r>
      <w:r w:rsidR="00BD0B93">
        <w:t>’</w:t>
      </w:r>
      <w:r>
        <w:t>amendements aux Directives opérationnelles nécessaires pour la mettre en œuvre, que le Comité souhaitera peut-être recommander à l</w:t>
      </w:r>
      <w:r w:rsidR="00BD0B93">
        <w:t>’</w:t>
      </w:r>
      <w:r>
        <w:t>Assemblée générale pour adoption.</w:t>
      </w:r>
    </w:p>
    <w:p w14:paraId="4F9F2819" w14:textId="39A44CCF" w:rsidR="00DA0F7F" w:rsidRDefault="005E3C2D" w:rsidP="00DA0F7F">
      <w:pPr>
        <w:pStyle w:val="COMPara"/>
        <w:jc w:val="both"/>
      </w:pPr>
      <w:r>
        <w:t>Par la même décision, le Comité a mis en place un groupe de travail informel ad hoc pour « examiner les questions relatives à la consultation et au dialogue entre l</w:t>
      </w:r>
      <w:r w:rsidR="00BD0B93">
        <w:t>’</w:t>
      </w:r>
      <w:r>
        <w:t>Organe d</w:t>
      </w:r>
      <w:r w:rsidR="00BD0B93">
        <w:t>’</w:t>
      </w:r>
      <w:r>
        <w:t>évaluation et les États soumissionnaires, la procédure de prise de décision du Comité sur les candidatures, propositions et demandes » (paragraphe 13). Les conclusions du groupe de travail ad hoc sont détaillées dans son rapport (</w:t>
      </w:r>
      <w:r w:rsidRPr="00DA7123">
        <w:t xml:space="preserve">document </w:t>
      </w:r>
      <w:hyperlink r:id="rId9" w:history="1">
        <w:r w:rsidRPr="00DA7123">
          <w:rPr>
            <w:rStyle w:val="Hyperlink"/>
          </w:rPr>
          <w:t>ITH/17/12.COM/13</w:t>
        </w:r>
      </w:hyperlink>
      <w:r>
        <w:t>).</w:t>
      </w:r>
    </w:p>
    <w:p w14:paraId="1BECD4F7" w14:textId="071B6A26" w:rsidR="00DA0F7F" w:rsidRDefault="00DA0F7F" w:rsidP="00DA0F7F">
      <w:pPr>
        <w:pStyle w:val="COMPara"/>
        <w:jc w:val="both"/>
      </w:pPr>
      <w:r>
        <w:t>Ces actions ont été suscitées par le nombre sans précédent de décisions prises par le Comité à l</w:t>
      </w:r>
      <w:r w:rsidR="00BD0B93">
        <w:t>’</w:t>
      </w:r>
      <w:r>
        <w:t>égard des candidatures, propositions et demandes qui allaient à l</w:t>
      </w:r>
      <w:r w:rsidR="00BD0B93">
        <w:t>’</w:t>
      </w:r>
      <w:r>
        <w:t>encontre des recommandations de l</w:t>
      </w:r>
      <w:r w:rsidR="00BD0B93">
        <w:t>’</w:t>
      </w:r>
      <w:r>
        <w:t>Organe d</w:t>
      </w:r>
      <w:r w:rsidR="00BD0B93">
        <w:t>’</w:t>
      </w:r>
      <w:r>
        <w:t>évaluation pour le cycle de 2016. Le Comité a décidé d</w:t>
      </w:r>
      <w:r w:rsidR="00BD0B93">
        <w:t>’</w:t>
      </w:r>
      <w:r>
        <w:t>inscrire ou de sélectionner dix-sept dossiers sur vingt-quatre (soit 71 pour cent) alors que les recommandations de l</w:t>
      </w:r>
      <w:r w:rsidR="00BD0B93">
        <w:t>’</w:t>
      </w:r>
      <w:r>
        <w:t>Organe d</w:t>
      </w:r>
      <w:r w:rsidR="00BD0B93">
        <w:t>’</w:t>
      </w:r>
      <w:r>
        <w:t>évaluation concernant ces dossiers n</w:t>
      </w:r>
      <w:r w:rsidR="00BD0B93">
        <w:t>’</w:t>
      </w:r>
      <w:r>
        <w:t>étaient pas favorables. Le Comité a considéré à plusieurs reprises que ces recommandations négatives avaient été formulées en raison d</w:t>
      </w:r>
      <w:r w:rsidR="00BD0B93">
        <w:t>’</w:t>
      </w:r>
      <w:r>
        <w:t>un manque d</w:t>
      </w:r>
      <w:r w:rsidR="00BD0B93">
        <w:t>’</w:t>
      </w:r>
      <w:r>
        <w:t>informations mineures ou d</w:t>
      </w:r>
      <w:r w:rsidR="00BD0B93">
        <w:t>’</w:t>
      </w:r>
      <w:r>
        <w:t>ordre technique. Au cours de cette session, de nombreux délégués se sont par ailleurs inquiétés du fait que la procédure ne prévoit à l</w:t>
      </w:r>
      <w:r w:rsidR="00BD0B93">
        <w:t>’</w:t>
      </w:r>
      <w:r>
        <w:t>heure actuelle aucun mécanisme permettant aux États soumissionnaires de répondre aux préoccupations soulevées par l</w:t>
      </w:r>
      <w:r w:rsidR="00BD0B93">
        <w:t>’</w:t>
      </w:r>
      <w:r>
        <w:t>Organe d</w:t>
      </w:r>
      <w:r w:rsidR="00BD0B93">
        <w:t>’</w:t>
      </w:r>
      <w:r>
        <w:t>évaluation avant que leurs dossiers soient soumis au Comité.</w:t>
      </w:r>
    </w:p>
    <w:p w14:paraId="43D1B469" w14:textId="083B6A4C" w:rsidR="00BE608C" w:rsidRDefault="00BE608C" w:rsidP="008F13F2">
      <w:pPr>
        <w:pStyle w:val="COMPara"/>
        <w:jc w:val="both"/>
      </w:pPr>
      <w:r>
        <w:t xml:space="preserve">Selon le </w:t>
      </w:r>
      <w:r w:rsidR="00BD0B93">
        <w:t>chapitre </w:t>
      </w:r>
      <w:r>
        <w:t>I.15 des Directives opérationnelles, le calendrier établi pour les derniers cycles prévoit que l</w:t>
      </w:r>
      <w:r w:rsidR="00BD0B93">
        <w:t>’</w:t>
      </w:r>
      <w:r>
        <w:t>Organe d</w:t>
      </w:r>
      <w:r w:rsidR="00BD0B93">
        <w:t>’</w:t>
      </w:r>
      <w:r>
        <w:t>évaluation se réunisse trois fois par cycle. La première réunion, qui a lieu en février/mars, correspond à une session d</w:t>
      </w:r>
      <w:r w:rsidR="00BD0B93">
        <w:t>’</w:t>
      </w:r>
      <w:r>
        <w:t>orientation impliquant une présentation des dossiers à examiner, une révision des critères et des méthodes de travail de l</w:t>
      </w:r>
      <w:r w:rsidR="00BD0B93">
        <w:t>’</w:t>
      </w:r>
      <w:r>
        <w:t>Organe d</w:t>
      </w:r>
      <w:r w:rsidR="00BD0B93">
        <w:t>’</w:t>
      </w:r>
      <w:r>
        <w:t>évaluation ainsi que l</w:t>
      </w:r>
      <w:r w:rsidR="00BD0B93">
        <w:t>’</w:t>
      </w:r>
      <w:r>
        <w:t>élection du Président, du Vice-président et du Rapporteur. Pendant les dix à douze semaines qui suivent cette réunion, les douze membres de l</w:t>
      </w:r>
      <w:r w:rsidR="00BD0B93">
        <w:t>’</w:t>
      </w:r>
      <w:r>
        <w:t>organe évaluent individuellement la cinquantaine de dossiers proposés. L</w:t>
      </w:r>
      <w:r w:rsidR="00BD0B93">
        <w:t>’</w:t>
      </w:r>
      <w:r>
        <w:t>organe se réunit une deuxième fois en juin pour une évaluation collective, critère par critère, de chaque dossier, afin de parvenir à un consensus en tant que groupe, et pour discuter des questions transversales. Immédiatement après cette deuxième réunion, le Rapporteur commence à rédiger le rapport de l</w:t>
      </w:r>
      <w:r w:rsidR="00BD0B93">
        <w:t>’</w:t>
      </w:r>
      <w:r>
        <w:t>Organe d</w:t>
      </w:r>
      <w:r w:rsidR="00BD0B93">
        <w:t>’</w:t>
      </w:r>
      <w:r>
        <w:t>évaluation destiné au Comité en consultation avec le Président et avec l</w:t>
      </w:r>
      <w:r w:rsidR="00BD0B93">
        <w:t>’</w:t>
      </w:r>
      <w:r>
        <w:t>aide du Secrétariat. La troisième réunion a lieu en septembre. Elle vise à examiner le projet de rapport de l</w:t>
      </w:r>
      <w:r w:rsidR="00BD0B93">
        <w:t>’</w:t>
      </w:r>
      <w:r>
        <w:t>Organe d</w:t>
      </w:r>
      <w:r w:rsidR="00BD0B93">
        <w:t>’</w:t>
      </w:r>
      <w:r>
        <w:t>évaluation pour arrêter définitivement la formulation des recommandations relatives à chaque dossier, ainsi que le rapport général sur les travaux de l</w:t>
      </w:r>
      <w:r w:rsidR="00BD0B93">
        <w:t>’</w:t>
      </w:r>
      <w:r>
        <w:t>Organe d</w:t>
      </w:r>
      <w:r w:rsidR="00BD0B93">
        <w:t>’</w:t>
      </w:r>
      <w:r>
        <w:t>évaluation.</w:t>
      </w:r>
    </w:p>
    <w:p w14:paraId="69A50CFB" w14:textId="7612BD97" w:rsidR="0028143E" w:rsidRDefault="007B373D" w:rsidP="0028143E">
      <w:pPr>
        <w:pStyle w:val="COMPara"/>
        <w:jc w:val="both"/>
      </w:pPr>
      <w:r>
        <w:t>Ce processus, qui combine des évaluations individuelles et collectives au fil de trois réunions, s</w:t>
      </w:r>
      <w:r w:rsidR="00BD0B93">
        <w:t>’</w:t>
      </w:r>
      <w:r>
        <w:t>est avéré utile pour garantir que l</w:t>
      </w:r>
      <w:r w:rsidR="00BD0B93">
        <w:t>’</w:t>
      </w:r>
      <w:r>
        <w:t>évaluation de chaque dossier repose sur l</w:t>
      </w:r>
      <w:r w:rsidR="00BD0B93">
        <w:t>’</w:t>
      </w:r>
      <w:r>
        <w:t>équilibre géographique des membres de l</w:t>
      </w:r>
      <w:r w:rsidR="00BD0B93">
        <w:t>’</w:t>
      </w:r>
      <w:r>
        <w:t>organe élus au sein de chaque groupe électoral de l</w:t>
      </w:r>
      <w:r w:rsidR="00BD0B93">
        <w:t>’</w:t>
      </w:r>
      <w:r>
        <w:t>UNESCO, tout en permettant à l</w:t>
      </w:r>
      <w:r w:rsidR="00BD0B93">
        <w:t>’</w:t>
      </w:r>
      <w:r>
        <w:t>organe de s</w:t>
      </w:r>
      <w:r w:rsidR="00BD0B93">
        <w:t>’</w:t>
      </w:r>
      <w:r>
        <w:t>exprimer d</w:t>
      </w:r>
      <w:r w:rsidR="00BD0B93">
        <w:t>’</w:t>
      </w:r>
      <w:r>
        <w:t>une seule voix. En outre, l</w:t>
      </w:r>
      <w:r w:rsidR="00BD0B93">
        <w:t>’</w:t>
      </w:r>
      <w:r>
        <w:t>expérience a montré que le temps alloué à chacune des étapes précédemment mentionnées est juste suffisant pour évaluer la cinquantaine de dossiers soumis. Le problème est qu</w:t>
      </w:r>
      <w:r w:rsidR="00BD0B93">
        <w:t>’</w:t>
      </w:r>
      <w:r>
        <w:t>il est nécessaire de permettre aux États soumissionnaires de répondre aux questions posées par l</w:t>
      </w:r>
      <w:r w:rsidR="00BD0B93">
        <w:t>’</w:t>
      </w:r>
      <w:r>
        <w:t>Organe d</w:t>
      </w:r>
      <w:r w:rsidR="00BD0B93">
        <w:t>’</w:t>
      </w:r>
      <w:r>
        <w:t>évaluation dans le cadre du cycle d</w:t>
      </w:r>
      <w:r w:rsidR="00BD0B93">
        <w:t>’</w:t>
      </w:r>
      <w:r>
        <w:t>évaluation.</w:t>
      </w:r>
    </w:p>
    <w:p w14:paraId="03DF4429" w14:textId="4941A12D" w:rsidR="00572A5B" w:rsidRDefault="00CE3635" w:rsidP="00270C70">
      <w:pPr>
        <w:pStyle w:val="COMPara"/>
        <w:jc w:val="both"/>
      </w:pPr>
      <w:r>
        <w:t>À la suite d</w:t>
      </w:r>
      <w:r w:rsidR="00BD0B93">
        <w:t>’</w:t>
      </w:r>
      <w:r>
        <w:t>échanges avec le groupe de travail ad hoc informel, le Secrétariat souhaite proposer d</w:t>
      </w:r>
      <w:r w:rsidR="00BD0B93">
        <w:t>’</w:t>
      </w:r>
      <w:r>
        <w:t>élire les membres de l</w:t>
      </w:r>
      <w:r w:rsidR="00BD0B93">
        <w:t>’</w:t>
      </w:r>
      <w:r>
        <w:t>Organe d</w:t>
      </w:r>
      <w:r w:rsidR="00BD0B93">
        <w:t>’</w:t>
      </w:r>
      <w:r>
        <w:t>évaluation immédiatement après une réunion de l</w:t>
      </w:r>
      <w:r w:rsidR="00BD0B93">
        <w:t>’</w:t>
      </w:r>
      <w:r>
        <w:t>Assemblée générale tous les deux ans, et non chaque année, et de renouveler la moitié des membres plutôt qu</w:t>
      </w:r>
      <w:r w:rsidR="00BD0B93">
        <w:t>’</w:t>
      </w:r>
      <w:r>
        <w:t>un quart. La première réunion de l</w:t>
      </w:r>
      <w:r w:rsidR="00BD0B93">
        <w:t>’</w:t>
      </w:r>
      <w:r>
        <w:t>Organe d</w:t>
      </w:r>
      <w:r w:rsidR="00BD0B93">
        <w:t>’</w:t>
      </w:r>
      <w:r>
        <w:t>évaluation nouvellement élu pourrait ainsi avoir lieu en septembre les années où se réunit l</w:t>
      </w:r>
      <w:r w:rsidR="00BD0B93">
        <w:t>’</w:t>
      </w:r>
      <w:r>
        <w:t xml:space="preserve">Assemblée générale, </w:t>
      </w:r>
      <w:r>
        <w:lastRenderedPageBreak/>
        <w:t>immédiatement après la dernière réunion de l</w:t>
      </w:r>
      <w:r w:rsidR="00BD0B93">
        <w:t>’</w:t>
      </w:r>
      <w:r>
        <w:t>Organe d</w:t>
      </w:r>
      <w:r w:rsidR="00BD0B93">
        <w:t>’</w:t>
      </w:r>
      <w:r>
        <w:t>évaluation du cycle en cours. Les membres de l</w:t>
      </w:r>
      <w:r w:rsidR="00BD0B93">
        <w:t>’</w:t>
      </w:r>
      <w:r>
        <w:t xml:space="preserve">organe pourraient commencer à préparer leurs évaluations individuelles en décembre/janvier – après que les dossiers achevés en septembre </w:t>
      </w:r>
      <w:r w:rsidR="00232337">
        <w:t xml:space="preserve">ont </w:t>
      </w:r>
      <w:r>
        <w:t>été traduits – pour la réunion suivante prévue en avril. Toutes les questions que l</w:t>
      </w:r>
      <w:r w:rsidR="00BD0B93">
        <w:t>’</w:t>
      </w:r>
      <w:r>
        <w:t>Organe d</w:t>
      </w:r>
      <w:r w:rsidR="00BD0B93">
        <w:t>’</w:t>
      </w:r>
      <w:r>
        <w:t>évaluation pourrait vouloir adresser à un État soumissionnaire seraient alors communiquées par écrit aux États soumissionnaires concernés afin qu</w:t>
      </w:r>
      <w:r w:rsidR="00BD0B93">
        <w:t>’</w:t>
      </w:r>
      <w:r>
        <w:t>ils puissent envoyer une réponse écrite dans les trois semaines suivant la date d</w:t>
      </w:r>
      <w:r w:rsidR="00BD0B93">
        <w:t>’</w:t>
      </w:r>
      <w:r>
        <w:t>envoi du courrier par le Secrétariat. Le Secrétariat traduira si nécessaire les questions de l</w:t>
      </w:r>
      <w:r w:rsidR="00BD0B93">
        <w:t>’</w:t>
      </w:r>
      <w:r>
        <w:t>Organe d</w:t>
      </w:r>
      <w:r w:rsidR="00BD0B93">
        <w:t>’</w:t>
      </w:r>
      <w:r>
        <w:t>évaluation et les réponses des États soumissionnaires dans l</w:t>
      </w:r>
      <w:r w:rsidR="00BD0B93">
        <w:t>’</w:t>
      </w:r>
      <w:r>
        <w:t>autre langue de travail du Comité. Lors de sa deuxième réunion, l</w:t>
      </w:r>
      <w:r w:rsidR="00BD0B93">
        <w:t>’</w:t>
      </w:r>
      <w:r>
        <w:t>Organe d</w:t>
      </w:r>
      <w:r w:rsidR="00BD0B93">
        <w:t>’</w:t>
      </w:r>
      <w:r>
        <w:t>évaluation prendrait en compte ces réponses au moment de formuler définitivement ses recommandations au Comité. À l</w:t>
      </w:r>
      <w:r w:rsidR="00BD0B93">
        <w:t>’</w:t>
      </w:r>
      <w:r>
        <w:t>occasion de la présentation de cette proposition le 10 mai 2017, puis lors de la session ouverte du groupe de travail ad hoc le 2 juin 2017, ce dernier s</w:t>
      </w:r>
      <w:r w:rsidR="00BD0B93">
        <w:t>’</w:t>
      </w:r>
      <w:r>
        <w:t>est déclaré satisfait de cette proposition. L</w:t>
      </w:r>
      <w:r w:rsidR="00BD0B93">
        <w:t>’</w:t>
      </w:r>
      <w:r>
        <w:t>ajout d</w:t>
      </w:r>
      <w:r w:rsidR="00BD0B93">
        <w:t>’</w:t>
      </w:r>
      <w:r>
        <w:t>une étape dans le cycle d</w:t>
      </w:r>
      <w:r w:rsidR="00BD0B93">
        <w:t>’</w:t>
      </w:r>
      <w:r>
        <w:t>évaluation supposerait néanmoins que le Secrétariat assume une charge de travail supplémentaire pour permettre les échanges de courriers, et leur traduction, dans un délai court. Le nouveau processus de dialogue nécessiterait soit une modification des méthodes de travail pour certains autres mécanismes statutaires, soit des ressources humaines supplémentaires pour le Secrétariat qui peine déjà à satisfaire les différentes obligations statutaires qui lui incombent dans le cadre de la Convention. Une représentation graphique simple de la proposition de calendrier pour le cycle de candidature révisé figure à l</w:t>
      </w:r>
      <w:r w:rsidR="00BD0B93">
        <w:t>’</w:t>
      </w:r>
      <w:r>
        <w:t>annexe II du présent document.</w:t>
      </w:r>
    </w:p>
    <w:p w14:paraId="1BA0FF32" w14:textId="6E69BDA7" w:rsidR="00F11434" w:rsidRPr="006D677A" w:rsidRDefault="00C37CFC" w:rsidP="006E47BC">
      <w:pPr>
        <w:pStyle w:val="COMPara"/>
        <w:jc w:val="both"/>
      </w:pPr>
      <w:r>
        <w:t>Dans la pratique, modifier le calendrier de l</w:t>
      </w:r>
      <w:r w:rsidR="00BD0B93">
        <w:t>’</w:t>
      </w:r>
      <w:r>
        <w:t>élection des membres de l</w:t>
      </w:r>
      <w:r w:rsidR="00BD0B93">
        <w:t>’</w:t>
      </w:r>
      <w:r>
        <w:t>Organe d</w:t>
      </w:r>
      <w:r w:rsidR="00BD0B93">
        <w:t>’</w:t>
      </w:r>
      <w:r>
        <w:t>évaluation nécessiterait une période de transition jusqu</w:t>
      </w:r>
      <w:r w:rsidR="00BD0B93">
        <w:t>’</w:t>
      </w:r>
      <w:r>
        <w:t>au terme du mandat de tous les membres actuels. Il est proposé que, immédiatement après la septième session de l</w:t>
      </w:r>
      <w:r w:rsidR="00BD0B93">
        <w:t>’</w:t>
      </w:r>
      <w:r>
        <w:t>Assemblée générale en 2018, le Comité élise trois nouveaux membres pour un mandat de quatre ans (2019-2022) et trois nouveaux membres pour un mandat de trois ans (2020-2022). Après la huitième session de l</w:t>
      </w:r>
      <w:r w:rsidR="00BD0B93">
        <w:t>’</w:t>
      </w:r>
      <w:r>
        <w:t>Assemblée générale en 2020, le Comité élirait trois nouveaux membres pour un mandat de quatre ans (2021-2024) et trois nouveaux membres pour un mandat de trois ans (2022-2024).</w:t>
      </w:r>
    </w:p>
    <w:p w14:paraId="03855195" w14:textId="091C5D97" w:rsidR="00B6091D" w:rsidRPr="00CE51CF" w:rsidRDefault="00A5217F" w:rsidP="008C1F2D">
      <w:pPr>
        <w:pStyle w:val="COMPara"/>
        <w:jc w:val="both"/>
      </w:pPr>
      <w:r>
        <w:t>La création d</w:t>
      </w:r>
      <w:r w:rsidR="00BD0B93">
        <w:t>’</w:t>
      </w:r>
      <w:r>
        <w:t>une étape intermédiaire dans le cycle d</w:t>
      </w:r>
      <w:r w:rsidR="00BD0B93">
        <w:t>’</w:t>
      </w:r>
      <w:r>
        <w:t>évaluation, conformément à la méthode proposée dans ce document, nécessiterait d</w:t>
      </w:r>
      <w:r w:rsidR="00BD0B93">
        <w:t>’</w:t>
      </w:r>
      <w:r>
        <w:t>apporter des amendements aux Directives opérationnelles. Ces amendements sont présentés en annexe. Les modifications proposées portent sur la révision du calendrier pour le cycle d</w:t>
      </w:r>
      <w:r w:rsidR="00BD0B93">
        <w:t>’</w:t>
      </w:r>
      <w:r>
        <w:t>évaluation et une nouvelle méthode pour l</w:t>
      </w:r>
      <w:r w:rsidR="00BD0B93">
        <w:t>’</w:t>
      </w:r>
      <w:r>
        <w:t>élection des membres de l</w:t>
      </w:r>
      <w:r w:rsidR="00BD0B93">
        <w:t>’</w:t>
      </w:r>
      <w:r>
        <w:t>Organe d</w:t>
      </w:r>
      <w:r w:rsidR="00BD0B93">
        <w:t>’</w:t>
      </w:r>
      <w:r>
        <w:t>évaluation.</w:t>
      </w:r>
    </w:p>
    <w:p w14:paraId="2C977F2C" w14:textId="77777777" w:rsidR="00D95C4C" w:rsidRPr="00EA528C" w:rsidRDefault="000B1C8F" w:rsidP="00166534">
      <w:pPr>
        <w:pStyle w:val="COMPara"/>
        <w:keepNext/>
      </w:pPr>
      <w:r>
        <w:t>Le Comité souhaitera peut-être adopter la décision suivante :</w:t>
      </w:r>
    </w:p>
    <w:p w14:paraId="4AF67DBF" w14:textId="77777777" w:rsidR="00D95C4C" w:rsidRPr="00FD624F" w:rsidRDefault="004A34A0" w:rsidP="00041A66">
      <w:pPr>
        <w:pStyle w:val="COMTitleDecision"/>
        <w:rPr>
          <w:rFonts w:eastAsia="SimSun"/>
        </w:rPr>
      </w:pPr>
      <w:r>
        <w:t>PROJET DE DÉCISION 12.COM 12</w:t>
      </w:r>
    </w:p>
    <w:p w14:paraId="6D42DC27" w14:textId="77777777" w:rsidR="00D95C4C" w:rsidRPr="00285BB4" w:rsidRDefault="00285BB4" w:rsidP="00285BB4">
      <w:pPr>
        <w:pStyle w:val="COMPreambulaDecisions"/>
        <w:rPr>
          <w:rFonts w:eastAsia="SimSun"/>
        </w:rPr>
      </w:pPr>
      <w:r>
        <w:t>Le Comité,</w:t>
      </w:r>
    </w:p>
    <w:p w14:paraId="3904C738" w14:textId="77777777" w:rsidR="0057439C" w:rsidRPr="00345CB4" w:rsidRDefault="00D95C4C" w:rsidP="00E23E29">
      <w:pPr>
        <w:pStyle w:val="COMParaDecision"/>
        <w:ind w:left="1134" w:hanging="567"/>
        <w:jc w:val="left"/>
      </w:pPr>
      <w:r>
        <w:t>Ayant examiné</w:t>
      </w:r>
      <w:r>
        <w:rPr>
          <w:u w:val="none"/>
        </w:rPr>
        <w:t xml:space="preserve"> le document ITH/17/12.COM/12,</w:t>
      </w:r>
    </w:p>
    <w:p w14:paraId="075B7D59" w14:textId="0A96F2E1" w:rsidR="0057439C" w:rsidRPr="00CE51CF" w:rsidRDefault="0057439C" w:rsidP="00E23E29">
      <w:pPr>
        <w:pStyle w:val="COMParaDecision"/>
        <w:ind w:left="1134" w:hanging="567"/>
        <w:jc w:val="left"/>
      </w:pPr>
      <w:r>
        <w:t>Rappelant</w:t>
      </w:r>
      <w:r>
        <w:rPr>
          <w:u w:val="none"/>
        </w:rPr>
        <w:t xml:space="preserve"> sa </w:t>
      </w:r>
      <w:hyperlink r:id="rId10" w:history="1">
        <w:r w:rsidRPr="005F2349">
          <w:rPr>
            <w:rStyle w:val="Hyperlink"/>
          </w:rPr>
          <w:t>décision 11.COM 10</w:t>
        </w:r>
      </w:hyperlink>
      <w:r>
        <w:rPr>
          <w:u w:val="none"/>
        </w:rPr>
        <w:t>,</w:t>
      </w:r>
    </w:p>
    <w:p w14:paraId="61738173" w14:textId="2F554310" w:rsidR="009E6887" w:rsidRPr="00802E8F" w:rsidRDefault="009E6887" w:rsidP="009E6887">
      <w:pPr>
        <w:numPr>
          <w:ilvl w:val="0"/>
          <w:numId w:val="10"/>
        </w:numPr>
        <w:autoSpaceDE w:val="0"/>
        <w:autoSpaceDN w:val="0"/>
        <w:adjustRightInd w:val="0"/>
        <w:spacing w:before="120" w:after="120"/>
        <w:ind w:left="1134" w:hanging="567"/>
        <w:jc w:val="both"/>
        <w:rPr>
          <w:rFonts w:ascii="Arial" w:hAnsi="Arial" w:cs="Arial"/>
          <w:sz w:val="22"/>
          <w:szCs w:val="22"/>
        </w:rPr>
      </w:pPr>
      <w:r>
        <w:rPr>
          <w:rFonts w:ascii="Arial" w:hAnsi="Arial"/>
          <w:sz w:val="22"/>
          <w:szCs w:val="22"/>
          <w:u w:val="single"/>
        </w:rPr>
        <w:t>Rappelant également</w:t>
      </w:r>
      <w:r>
        <w:rPr>
          <w:rFonts w:ascii="Arial" w:hAnsi="Arial"/>
          <w:sz w:val="22"/>
          <w:szCs w:val="22"/>
        </w:rPr>
        <w:t xml:space="preserve"> les </w:t>
      </w:r>
      <w:r w:rsidR="00BD0B93">
        <w:rPr>
          <w:rFonts w:ascii="Arial" w:hAnsi="Arial"/>
          <w:sz w:val="22"/>
          <w:szCs w:val="22"/>
        </w:rPr>
        <w:t>chapitres </w:t>
      </w:r>
      <w:r>
        <w:rPr>
          <w:rFonts w:ascii="Arial" w:hAnsi="Arial"/>
          <w:sz w:val="22"/>
          <w:szCs w:val="22"/>
        </w:rPr>
        <w:t xml:space="preserve">I.8 et </w:t>
      </w:r>
      <w:r w:rsidR="00BD0B93">
        <w:rPr>
          <w:rFonts w:ascii="Arial" w:hAnsi="Arial"/>
          <w:sz w:val="22"/>
          <w:szCs w:val="22"/>
        </w:rPr>
        <w:t>I</w:t>
      </w:r>
      <w:r>
        <w:rPr>
          <w:rFonts w:ascii="Arial" w:hAnsi="Arial"/>
          <w:sz w:val="22"/>
          <w:szCs w:val="22"/>
        </w:rPr>
        <w:t>.10 des Directives opérationnelles,</w:t>
      </w:r>
    </w:p>
    <w:p w14:paraId="5BE4762E" w14:textId="26746477" w:rsidR="0057439C" w:rsidRPr="00DA0F7F" w:rsidRDefault="001F6520" w:rsidP="00E23E29">
      <w:pPr>
        <w:pStyle w:val="COMParaDecision"/>
        <w:ind w:left="1134" w:hanging="567"/>
        <w:jc w:val="left"/>
      </w:pPr>
      <w:r>
        <w:t>Prenant en compte</w:t>
      </w:r>
      <w:r>
        <w:rPr>
          <w:u w:val="none"/>
        </w:rPr>
        <w:t xml:space="preserve"> les débats du groupe de travail ad hoc informel,</w:t>
      </w:r>
    </w:p>
    <w:p w14:paraId="66969B0D" w14:textId="49DA5437" w:rsidR="00D8250F" w:rsidRPr="00CE51CF" w:rsidRDefault="00402755" w:rsidP="00E23E29">
      <w:pPr>
        <w:pStyle w:val="COMParaDecision"/>
        <w:ind w:left="1134" w:hanging="567"/>
        <w:jc w:val="left"/>
      </w:pPr>
      <w:r>
        <w:t>Recommande</w:t>
      </w:r>
      <w:r>
        <w:rPr>
          <w:u w:val="none"/>
        </w:rPr>
        <w:t xml:space="preserve"> à l</w:t>
      </w:r>
      <w:r w:rsidR="00BD0B93">
        <w:rPr>
          <w:u w:val="none"/>
        </w:rPr>
        <w:t>’</w:t>
      </w:r>
      <w:r>
        <w:rPr>
          <w:u w:val="none"/>
        </w:rPr>
        <w:t>Assemblée générale de revoir les Directives opérationnelles pour la mise en œuvre de la Convention, telles qu</w:t>
      </w:r>
      <w:r w:rsidR="00BD0B93">
        <w:rPr>
          <w:u w:val="none"/>
        </w:rPr>
        <w:t>’</w:t>
      </w:r>
      <w:r>
        <w:rPr>
          <w:u w:val="none"/>
        </w:rPr>
        <w:t>annexées à la présente décision.</w:t>
      </w:r>
    </w:p>
    <w:p w14:paraId="3AC7217B" w14:textId="77777777" w:rsidR="003C1886" w:rsidRDefault="003C1886" w:rsidP="001F26CF">
      <w:pPr>
        <w:pStyle w:val="COMParaDecision"/>
        <w:numPr>
          <w:ilvl w:val="0"/>
          <w:numId w:val="0"/>
        </w:numPr>
        <w:jc w:val="left"/>
      </w:pPr>
    </w:p>
    <w:p w14:paraId="045C4AC6" w14:textId="77777777" w:rsidR="00402755" w:rsidRDefault="00402755" w:rsidP="001F26CF">
      <w:pPr>
        <w:pStyle w:val="COMParaDecision"/>
        <w:numPr>
          <w:ilvl w:val="0"/>
          <w:numId w:val="0"/>
        </w:numPr>
        <w:jc w:val="left"/>
        <w:sectPr w:rsidR="00402755" w:rsidSect="00655736">
          <w:headerReference w:type="even" r:id="rId11"/>
          <w:headerReference w:type="default" r:id="rId12"/>
          <w:headerReference w:type="first" r:id="rId13"/>
          <w:pgSz w:w="11906" w:h="16838" w:code="9"/>
          <w:pgMar w:top="1418" w:right="1134" w:bottom="1134" w:left="1134" w:header="397" w:footer="284" w:gutter="0"/>
          <w:cols w:space="708"/>
          <w:titlePg/>
          <w:docGrid w:linePitch="360"/>
        </w:sectPr>
      </w:pPr>
    </w:p>
    <w:p w14:paraId="63AD2E4C" w14:textId="294BE242" w:rsidR="003C1886" w:rsidRPr="003C1886" w:rsidRDefault="003C1886" w:rsidP="003C1886">
      <w:pPr>
        <w:pStyle w:val="COMParaDecision"/>
        <w:numPr>
          <w:ilvl w:val="0"/>
          <w:numId w:val="0"/>
        </w:numPr>
        <w:spacing w:after="360"/>
        <w:jc w:val="center"/>
        <w:rPr>
          <w:b/>
          <w:sz w:val="24"/>
        </w:rPr>
      </w:pPr>
      <w:r>
        <w:rPr>
          <w:b/>
          <w:sz w:val="24"/>
        </w:rPr>
        <w:lastRenderedPageBreak/>
        <w:t>ANNEXE 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1991"/>
        <w:gridCol w:w="4589"/>
        <w:gridCol w:w="597"/>
        <w:gridCol w:w="2114"/>
        <w:gridCol w:w="4360"/>
      </w:tblGrid>
      <w:tr w:rsidR="00C97D62" w:rsidRPr="00757B3D" w14:paraId="1FA01D04" w14:textId="77777777" w:rsidTr="00CE51CF">
        <w:trPr>
          <w:tblHeader/>
        </w:trPr>
        <w:tc>
          <w:tcPr>
            <w:tcW w:w="222" w:type="pct"/>
            <w:shd w:val="pct10" w:color="auto" w:fill="auto"/>
          </w:tcPr>
          <w:p w14:paraId="05D6056F" w14:textId="77777777" w:rsidR="003C1886" w:rsidRPr="00757B3D" w:rsidRDefault="003C1886" w:rsidP="001B1652">
            <w:pPr>
              <w:pStyle w:val="COMParaDecision"/>
              <w:numPr>
                <w:ilvl w:val="0"/>
                <w:numId w:val="0"/>
              </w:numPr>
              <w:jc w:val="right"/>
              <w:rPr>
                <w:b/>
                <w:u w:val="none"/>
              </w:rPr>
            </w:pPr>
          </w:p>
        </w:tc>
        <w:tc>
          <w:tcPr>
            <w:tcW w:w="2303" w:type="pct"/>
            <w:gridSpan w:val="2"/>
            <w:shd w:val="pct10" w:color="auto" w:fill="auto"/>
          </w:tcPr>
          <w:p w14:paraId="7E9B3568" w14:textId="77777777" w:rsidR="003C1886" w:rsidRPr="00757B3D" w:rsidRDefault="003C1886" w:rsidP="001B1652">
            <w:pPr>
              <w:pStyle w:val="COMParaDecision"/>
              <w:numPr>
                <w:ilvl w:val="0"/>
                <w:numId w:val="0"/>
              </w:numPr>
              <w:spacing w:before="120"/>
              <w:jc w:val="left"/>
              <w:rPr>
                <w:b/>
              </w:rPr>
            </w:pPr>
            <w:r>
              <w:rPr>
                <w:b/>
              </w:rPr>
              <w:t>Directives opérationnelles</w:t>
            </w:r>
          </w:p>
        </w:tc>
        <w:tc>
          <w:tcPr>
            <w:tcW w:w="209" w:type="pct"/>
            <w:shd w:val="pct10" w:color="auto" w:fill="auto"/>
          </w:tcPr>
          <w:p w14:paraId="235CDEEE" w14:textId="77777777" w:rsidR="003C1886" w:rsidRPr="00757B3D" w:rsidRDefault="003C1886" w:rsidP="001B1652">
            <w:pPr>
              <w:pStyle w:val="COMParaDecision"/>
              <w:numPr>
                <w:ilvl w:val="0"/>
                <w:numId w:val="0"/>
              </w:numPr>
              <w:jc w:val="right"/>
              <w:rPr>
                <w:b/>
                <w:u w:val="none"/>
              </w:rPr>
            </w:pPr>
          </w:p>
        </w:tc>
        <w:tc>
          <w:tcPr>
            <w:tcW w:w="2266" w:type="pct"/>
            <w:gridSpan w:val="2"/>
            <w:shd w:val="pct10" w:color="auto" w:fill="auto"/>
          </w:tcPr>
          <w:p w14:paraId="3CE10596" w14:textId="77777777" w:rsidR="003C1886" w:rsidRPr="00757B3D" w:rsidRDefault="003C1886" w:rsidP="001B1652">
            <w:pPr>
              <w:pStyle w:val="COMParaDecision"/>
              <w:numPr>
                <w:ilvl w:val="0"/>
                <w:numId w:val="0"/>
              </w:numPr>
              <w:spacing w:before="120"/>
              <w:jc w:val="left"/>
              <w:rPr>
                <w:b/>
              </w:rPr>
            </w:pPr>
            <w:r>
              <w:rPr>
                <w:b/>
              </w:rPr>
              <w:t>Modifications proposées</w:t>
            </w:r>
          </w:p>
        </w:tc>
      </w:tr>
      <w:tr w:rsidR="00554E8A" w:rsidRPr="003C1886" w14:paraId="5077EE15" w14:textId="77777777" w:rsidTr="00CE51CF">
        <w:tc>
          <w:tcPr>
            <w:tcW w:w="222" w:type="pct"/>
          </w:tcPr>
          <w:p w14:paraId="5C85EDE8" w14:textId="77777777" w:rsidR="00554E8A" w:rsidRPr="00554E8A" w:rsidRDefault="00554E8A" w:rsidP="001B1652">
            <w:pPr>
              <w:pStyle w:val="COMParaDecision"/>
              <w:numPr>
                <w:ilvl w:val="0"/>
                <w:numId w:val="0"/>
              </w:numPr>
              <w:spacing w:before="120"/>
              <w:jc w:val="right"/>
              <w:rPr>
                <w:b/>
                <w:u w:val="none"/>
              </w:rPr>
            </w:pPr>
            <w:r>
              <w:rPr>
                <w:b/>
                <w:u w:val="none"/>
              </w:rPr>
              <w:t>I.8</w:t>
            </w:r>
          </w:p>
        </w:tc>
        <w:tc>
          <w:tcPr>
            <w:tcW w:w="2303" w:type="pct"/>
            <w:gridSpan w:val="2"/>
          </w:tcPr>
          <w:p w14:paraId="1904B3C0" w14:textId="77777777" w:rsidR="00554E8A" w:rsidRPr="00554E8A" w:rsidRDefault="00554E8A" w:rsidP="001B1652">
            <w:pPr>
              <w:pStyle w:val="COMParaDecision"/>
              <w:numPr>
                <w:ilvl w:val="0"/>
                <w:numId w:val="0"/>
              </w:numPr>
              <w:spacing w:before="120"/>
              <w:jc w:val="left"/>
              <w:rPr>
                <w:b/>
                <w:u w:val="none"/>
              </w:rPr>
            </w:pPr>
            <w:r>
              <w:rPr>
                <w:b/>
                <w:u w:val="none"/>
              </w:rPr>
              <w:t>Évaluation des dossiers</w:t>
            </w:r>
          </w:p>
        </w:tc>
        <w:tc>
          <w:tcPr>
            <w:tcW w:w="209" w:type="pct"/>
          </w:tcPr>
          <w:p w14:paraId="647097C0" w14:textId="77777777" w:rsidR="00554E8A" w:rsidRPr="00554E8A" w:rsidRDefault="00554E8A" w:rsidP="001B1652">
            <w:pPr>
              <w:pStyle w:val="COMParaDecision"/>
              <w:numPr>
                <w:ilvl w:val="0"/>
                <w:numId w:val="0"/>
              </w:numPr>
              <w:spacing w:before="120"/>
              <w:jc w:val="right"/>
              <w:rPr>
                <w:b/>
                <w:u w:val="none"/>
              </w:rPr>
            </w:pPr>
            <w:r>
              <w:rPr>
                <w:b/>
                <w:u w:val="none"/>
              </w:rPr>
              <w:t>I.8</w:t>
            </w:r>
          </w:p>
        </w:tc>
        <w:tc>
          <w:tcPr>
            <w:tcW w:w="2266" w:type="pct"/>
            <w:gridSpan w:val="2"/>
          </w:tcPr>
          <w:p w14:paraId="4E7A9A22" w14:textId="77777777" w:rsidR="00554E8A" w:rsidRPr="00554E8A" w:rsidRDefault="00554E8A" w:rsidP="001B1652">
            <w:pPr>
              <w:pStyle w:val="COMParaDecision"/>
              <w:numPr>
                <w:ilvl w:val="0"/>
                <w:numId w:val="0"/>
              </w:numPr>
              <w:spacing w:before="120"/>
              <w:jc w:val="left"/>
              <w:rPr>
                <w:b/>
                <w:u w:val="none"/>
              </w:rPr>
            </w:pPr>
            <w:r>
              <w:rPr>
                <w:b/>
                <w:u w:val="none"/>
              </w:rPr>
              <w:t>Évaluation des dossiers</w:t>
            </w:r>
          </w:p>
        </w:tc>
      </w:tr>
      <w:tr w:rsidR="00A85F14" w:rsidRPr="00F12738" w14:paraId="46F6B205" w14:textId="77777777" w:rsidTr="00CE51CF">
        <w:tc>
          <w:tcPr>
            <w:tcW w:w="222" w:type="pct"/>
          </w:tcPr>
          <w:p w14:paraId="23F56C67" w14:textId="77777777" w:rsidR="00A85F14" w:rsidRDefault="00A85F14" w:rsidP="001B1652">
            <w:pPr>
              <w:pStyle w:val="COMParaDecision"/>
              <w:numPr>
                <w:ilvl w:val="0"/>
                <w:numId w:val="0"/>
              </w:numPr>
              <w:spacing w:before="120"/>
              <w:jc w:val="right"/>
              <w:rPr>
                <w:u w:val="none"/>
              </w:rPr>
            </w:pPr>
          </w:p>
        </w:tc>
        <w:tc>
          <w:tcPr>
            <w:tcW w:w="2303" w:type="pct"/>
            <w:gridSpan w:val="2"/>
          </w:tcPr>
          <w:p w14:paraId="194C7DEB" w14:textId="77777777" w:rsidR="00A85F14" w:rsidRPr="00A85F14" w:rsidRDefault="00A85F14" w:rsidP="00A85F14">
            <w:pPr>
              <w:pStyle w:val="COMParaDecision"/>
              <w:numPr>
                <w:ilvl w:val="0"/>
                <w:numId w:val="0"/>
              </w:numPr>
              <w:spacing w:before="120"/>
              <w:rPr>
                <w:u w:val="none"/>
              </w:rPr>
            </w:pPr>
          </w:p>
        </w:tc>
        <w:tc>
          <w:tcPr>
            <w:tcW w:w="209" w:type="pct"/>
          </w:tcPr>
          <w:p w14:paraId="26875353" w14:textId="0D839AC8" w:rsidR="00A85F14" w:rsidRDefault="00781E38" w:rsidP="001B1652">
            <w:pPr>
              <w:pStyle w:val="COMParaDecision"/>
              <w:numPr>
                <w:ilvl w:val="0"/>
                <w:numId w:val="0"/>
              </w:numPr>
              <w:spacing w:before="120"/>
              <w:jc w:val="right"/>
              <w:rPr>
                <w:u w:val="none"/>
              </w:rPr>
            </w:pPr>
            <w:r>
              <w:rPr>
                <w:u w:val="none"/>
              </w:rPr>
              <w:t>26</w:t>
            </w:r>
            <w:r w:rsidR="00CE7856">
              <w:rPr>
                <w:u w:val="none"/>
              </w:rPr>
              <w:t>.</w:t>
            </w:r>
            <w:r>
              <w:rPr>
                <w:u w:val="none"/>
              </w:rPr>
              <w:t>-27.</w:t>
            </w:r>
          </w:p>
        </w:tc>
        <w:tc>
          <w:tcPr>
            <w:tcW w:w="2266" w:type="pct"/>
            <w:gridSpan w:val="2"/>
          </w:tcPr>
          <w:p w14:paraId="30945E69" w14:textId="77777777" w:rsidR="00A85F14" w:rsidRPr="00554E8A" w:rsidRDefault="00AE3DE4" w:rsidP="000D4D43">
            <w:pPr>
              <w:pStyle w:val="COMParaDecision"/>
              <w:numPr>
                <w:ilvl w:val="0"/>
                <w:numId w:val="0"/>
              </w:numPr>
              <w:spacing w:before="120"/>
              <w:rPr>
                <w:u w:val="none"/>
              </w:rPr>
            </w:pPr>
            <w:r>
              <w:rPr>
                <w:u w:val="none"/>
              </w:rPr>
              <w:t>[Aucun changement]</w:t>
            </w:r>
          </w:p>
        </w:tc>
      </w:tr>
      <w:tr w:rsidR="00554E8A" w:rsidRPr="008F13F2" w14:paraId="67B586E4" w14:textId="77777777" w:rsidTr="008C1F2D">
        <w:tc>
          <w:tcPr>
            <w:tcW w:w="222" w:type="pct"/>
          </w:tcPr>
          <w:p w14:paraId="0118356C" w14:textId="77777777" w:rsidR="00554E8A" w:rsidRDefault="00554E8A" w:rsidP="00A85F14">
            <w:pPr>
              <w:pStyle w:val="COMParaDecision"/>
              <w:numPr>
                <w:ilvl w:val="0"/>
                <w:numId w:val="0"/>
              </w:numPr>
              <w:jc w:val="right"/>
              <w:rPr>
                <w:u w:val="none"/>
              </w:rPr>
            </w:pPr>
            <w:r>
              <w:rPr>
                <w:u w:val="none"/>
              </w:rPr>
              <w:t>28.</w:t>
            </w:r>
          </w:p>
        </w:tc>
        <w:tc>
          <w:tcPr>
            <w:tcW w:w="2303" w:type="pct"/>
            <w:gridSpan w:val="2"/>
          </w:tcPr>
          <w:p w14:paraId="18C62E47" w14:textId="0FCD238D" w:rsidR="00554E8A" w:rsidRDefault="00554E8A" w:rsidP="008C1F2D">
            <w:pPr>
              <w:pStyle w:val="COMParaDecision"/>
              <w:numPr>
                <w:ilvl w:val="0"/>
                <w:numId w:val="0"/>
              </w:numPr>
              <w:rPr>
                <w:u w:val="none"/>
              </w:rPr>
            </w:pPr>
            <w:r>
              <w:rPr>
                <w:u w:val="none"/>
              </w:rPr>
              <w:t>La durée des fonctions d</w:t>
            </w:r>
            <w:r w:rsidR="00BD0B93">
              <w:rPr>
                <w:u w:val="none"/>
              </w:rPr>
              <w:t>’</w:t>
            </w:r>
            <w:r>
              <w:rPr>
                <w:u w:val="none"/>
              </w:rPr>
              <w:t>un membre de l</w:t>
            </w:r>
            <w:r w:rsidR="00BD0B93">
              <w:rPr>
                <w:u w:val="none"/>
              </w:rPr>
              <w:t>’</w:t>
            </w:r>
            <w:r>
              <w:rPr>
                <w:u w:val="none"/>
              </w:rPr>
              <w:t>Organe d</w:t>
            </w:r>
            <w:r w:rsidR="00BD0B93">
              <w:rPr>
                <w:u w:val="none"/>
              </w:rPr>
              <w:t>’</w:t>
            </w:r>
            <w:r>
              <w:rPr>
                <w:u w:val="none"/>
              </w:rPr>
              <w:t>évaluation ne doit pas dépasser quatre ans. Chaque année, le Comité procède au renouvellement d</w:t>
            </w:r>
            <w:r w:rsidR="00BD0B93">
              <w:rPr>
                <w:u w:val="none"/>
              </w:rPr>
              <w:t>’</w:t>
            </w:r>
            <w:r>
              <w:rPr>
                <w:u w:val="none"/>
              </w:rPr>
              <w:t>un quart des membres de l</w:t>
            </w:r>
            <w:r w:rsidR="00BD0B93">
              <w:rPr>
                <w:u w:val="none"/>
              </w:rPr>
              <w:t>’</w:t>
            </w:r>
            <w:r>
              <w:rPr>
                <w:u w:val="none"/>
              </w:rPr>
              <w:t>Organe d</w:t>
            </w:r>
            <w:r w:rsidR="00BD0B93">
              <w:rPr>
                <w:u w:val="none"/>
              </w:rPr>
              <w:t>’</w:t>
            </w:r>
            <w:r>
              <w:rPr>
                <w:u w:val="none"/>
              </w:rPr>
              <w:t>évaluation. Au moins trois mois avant l</w:t>
            </w:r>
            <w:r w:rsidR="00BD0B93">
              <w:rPr>
                <w:u w:val="none"/>
              </w:rPr>
              <w:t>’</w:t>
            </w:r>
            <w:r>
              <w:rPr>
                <w:u w:val="none"/>
              </w:rPr>
              <w:t>ouverture de la session du Comité, le Secrétariat en informe les États parties au sein de chaque groupe électoral ayant un siège vacant à pourvoir. Jusqu</w:t>
            </w:r>
            <w:r w:rsidR="00BD0B93">
              <w:rPr>
                <w:u w:val="none"/>
              </w:rPr>
              <w:t>’</w:t>
            </w:r>
            <w:r>
              <w:rPr>
                <w:u w:val="none"/>
              </w:rPr>
              <w:t>à trois candidatures doivent être envoyées au Secrétariat par le Président du groupe électoral concerné au moins six semaines avant l</w:t>
            </w:r>
            <w:r w:rsidR="00BD0B93">
              <w:rPr>
                <w:u w:val="none"/>
              </w:rPr>
              <w:t>’</w:t>
            </w:r>
            <w:r>
              <w:rPr>
                <w:u w:val="none"/>
              </w:rPr>
              <w:t>ouverture de la session. Une fois nommés par le Comité, les membres de l</w:t>
            </w:r>
            <w:r w:rsidR="00BD0B93">
              <w:rPr>
                <w:u w:val="none"/>
              </w:rPr>
              <w:t>’</w:t>
            </w:r>
            <w:r>
              <w:rPr>
                <w:u w:val="none"/>
              </w:rPr>
              <w:t>Organe d</w:t>
            </w:r>
            <w:r w:rsidR="00BD0B93">
              <w:rPr>
                <w:u w:val="none"/>
              </w:rPr>
              <w:t>’</w:t>
            </w:r>
            <w:r>
              <w:rPr>
                <w:u w:val="none"/>
              </w:rPr>
              <w:t>évaluation doivent agir de manière impartiale dans l</w:t>
            </w:r>
            <w:r w:rsidR="00BD0B93">
              <w:rPr>
                <w:u w:val="none"/>
              </w:rPr>
              <w:t>’</w:t>
            </w:r>
            <w:r>
              <w:rPr>
                <w:u w:val="none"/>
              </w:rPr>
              <w:t>intérêt de tous les États parties et de la Convention.</w:t>
            </w:r>
          </w:p>
        </w:tc>
        <w:tc>
          <w:tcPr>
            <w:tcW w:w="209" w:type="pct"/>
          </w:tcPr>
          <w:p w14:paraId="05EA1C8F" w14:textId="77777777" w:rsidR="00554E8A" w:rsidRDefault="00554E8A" w:rsidP="00A85F14">
            <w:pPr>
              <w:pStyle w:val="COMParaDecision"/>
              <w:numPr>
                <w:ilvl w:val="0"/>
                <w:numId w:val="0"/>
              </w:numPr>
              <w:jc w:val="right"/>
              <w:rPr>
                <w:u w:val="none"/>
              </w:rPr>
            </w:pPr>
            <w:r>
              <w:rPr>
                <w:u w:val="none"/>
              </w:rPr>
              <w:t>28.</w:t>
            </w:r>
          </w:p>
        </w:tc>
        <w:tc>
          <w:tcPr>
            <w:tcW w:w="2266" w:type="pct"/>
            <w:gridSpan w:val="2"/>
          </w:tcPr>
          <w:p w14:paraId="015652DD" w14:textId="3EA2000A" w:rsidR="00554E8A" w:rsidRDefault="00554E8A" w:rsidP="00A85F14">
            <w:pPr>
              <w:pStyle w:val="COMParaDecision"/>
              <w:numPr>
                <w:ilvl w:val="0"/>
                <w:numId w:val="0"/>
              </w:numPr>
              <w:rPr>
                <w:u w:val="none"/>
              </w:rPr>
            </w:pPr>
            <w:r>
              <w:rPr>
                <w:u w:val="none"/>
              </w:rPr>
              <w:t>La durée des fonctions d</w:t>
            </w:r>
            <w:r w:rsidR="00BD0B93">
              <w:rPr>
                <w:u w:val="none"/>
              </w:rPr>
              <w:t>’</w:t>
            </w:r>
            <w:r>
              <w:rPr>
                <w:u w:val="none"/>
              </w:rPr>
              <w:t>un membre de l</w:t>
            </w:r>
            <w:r w:rsidR="00BD0B93">
              <w:rPr>
                <w:u w:val="none"/>
              </w:rPr>
              <w:t>’</w:t>
            </w:r>
            <w:r>
              <w:rPr>
                <w:u w:val="none"/>
              </w:rPr>
              <w:t>Organe d</w:t>
            </w:r>
            <w:r w:rsidR="00BD0B93">
              <w:rPr>
                <w:u w:val="none"/>
              </w:rPr>
              <w:t>’</w:t>
            </w:r>
            <w:r>
              <w:rPr>
                <w:u w:val="none"/>
              </w:rPr>
              <w:t xml:space="preserve">évaluation ne doit pas dépasser quatre ans. </w:t>
            </w:r>
            <w:r>
              <w:rPr>
                <w:b/>
              </w:rPr>
              <w:t>Tous les deux ans</w:t>
            </w:r>
            <w:r>
              <w:rPr>
                <w:u w:val="none"/>
              </w:rPr>
              <w:t xml:space="preserve">, </w:t>
            </w:r>
            <w:r>
              <w:rPr>
                <w:b/>
              </w:rPr>
              <w:t>immédiatement après une session ordinaire de l</w:t>
            </w:r>
            <w:r w:rsidR="00BD0B93">
              <w:rPr>
                <w:b/>
              </w:rPr>
              <w:t>’</w:t>
            </w:r>
            <w:r>
              <w:rPr>
                <w:b/>
              </w:rPr>
              <w:t xml:space="preserve">Assemblée générale, </w:t>
            </w:r>
            <w:r>
              <w:rPr>
                <w:u w:val="none"/>
              </w:rPr>
              <w:t xml:space="preserve">le Comité </w:t>
            </w:r>
            <w:r>
              <w:rPr>
                <w:b/>
              </w:rPr>
              <w:t xml:space="preserve">se réunit pour renouveler </w:t>
            </w:r>
            <w:r>
              <w:rPr>
                <w:strike/>
                <w:u w:val="none"/>
              </w:rPr>
              <w:t>un quart</w:t>
            </w:r>
            <w:r>
              <w:rPr>
                <w:u w:val="none"/>
              </w:rPr>
              <w:t xml:space="preserve"> </w:t>
            </w:r>
            <w:r>
              <w:rPr>
                <w:b/>
              </w:rPr>
              <w:t>la moitié</w:t>
            </w:r>
            <w:r>
              <w:rPr>
                <w:u w:val="none"/>
              </w:rPr>
              <w:t xml:space="preserve"> des membres de l</w:t>
            </w:r>
            <w:r w:rsidR="00BD0B93">
              <w:rPr>
                <w:u w:val="none"/>
              </w:rPr>
              <w:t>’</w:t>
            </w:r>
            <w:r>
              <w:rPr>
                <w:u w:val="none"/>
              </w:rPr>
              <w:t>Organe d</w:t>
            </w:r>
            <w:r w:rsidR="00BD0B93">
              <w:rPr>
                <w:u w:val="none"/>
              </w:rPr>
              <w:t>’</w:t>
            </w:r>
            <w:r>
              <w:rPr>
                <w:u w:val="none"/>
              </w:rPr>
              <w:t>évaluation. Au moins trois mois avant l</w:t>
            </w:r>
            <w:r w:rsidR="00BD0B93">
              <w:rPr>
                <w:u w:val="none"/>
              </w:rPr>
              <w:t>’</w:t>
            </w:r>
            <w:r>
              <w:rPr>
                <w:u w:val="none"/>
              </w:rPr>
              <w:t xml:space="preserve">ouverture de la session </w:t>
            </w:r>
            <w:r>
              <w:rPr>
                <w:strike/>
                <w:u w:val="none"/>
              </w:rPr>
              <w:t>du Comité</w:t>
            </w:r>
            <w:r>
              <w:rPr>
                <w:u w:val="none"/>
              </w:rPr>
              <w:t xml:space="preserve"> </w:t>
            </w:r>
            <w:r>
              <w:rPr>
                <w:b/>
              </w:rPr>
              <w:t>de l</w:t>
            </w:r>
            <w:r w:rsidR="00BD0B93">
              <w:rPr>
                <w:b/>
              </w:rPr>
              <w:t>’</w:t>
            </w:r>
            <w:r>
              <w:rPr>
                <w:b/>
              </w:rPr>
              <w:t>Assemblée générale</w:t>
            </w:r>
            <w:r>
              <w:rPr>
                <w:u w:val="none"/>
              </w:rPr>
              <w:t>, le Secrétariat en informe les États parties au sein de chaque groupe électoral ayant un siège vacant à pourvoir. Jusqu</w:t>
            </w:r>
            <w:r w:rsidR="00BD0B93">
              <w:rPr>
                <w:u w:val="none"/>
              </w:rPr>
              <w:t>’</w:t>
            </w:r>
            <w:r>
              <w:rPr>
                <w:u w:val="none"/>
              </w:rPr>
              <w:t>à trois candidatures doivent être envoyées au Secrétariat par le Président du groupe électoral concerné au moins six semaines avant l</w:t>
            </w:r>
            <w:r w:rsidR="00BD0B93">
              <w:rPr>
                <w:u w:val="none"/>
              </w:rPr>
              <w:t>’</w:t>
            </w:r>
            <w:r>
              <w:rPr>
                <w:u w:val="none"/>
              </w:rPr>
              <w:t>ouverture de la session. Une fois nommés par le Comité, les membres de l</w:t>
            </w:r>
            <w:r w:rsidR="00BD0B93">
              <w:rPr>
                <w:u w:val="none"/>
              </w:rPr>
              <w:t>’</w:t>
            </w:r>
            <w:r>
              <w:rPr>
                <w:u w:val="none"/>
              </w:rPr>
              <w:t>Organe d</w:t>
            </w:r>
            <w:r w:rsidR="00BD0B93">
              <w:rPr>
                <w:u w:val="none"/>
              </w:rPr>
              <w:t>’</w:t>
            </w:r>
            <w:r>
              <w:rPr>
                <w:u w:val="none"/>
              </w:rPr>
              <w:t>évaluation doivent agir de manière impartiale dans l</w:t>
            </w:r>
            <w:r w:rsidR="00BD0B93">
              <w:rPr>
                <w:u w:val="none"/>
              </w:rPr>
              <w:t>’</w:t>
            </w:r>
            <w:r>
              <w:rPr>
                <w:u w:val="none"/>
              </w:rPr>
              <w:t>intérêt de tous les États parties et de la Convention.</w:t>
            </w:r>
          </w:p>
        </w:tc>
      </w:tr>
      <w:tr w:rsidR="00AE3DE4" w:rsidRPr="00F12738" w14:paraId="0C9083D5" w14:textId="77777777" w:rsidTr="00CE51CF">
        <w:tc>
          <w:tcPr>
            <w:tcW w:w="222" w:type="pct"/>
          </w:tcPr>
          <w:p w14:paraId="60B7743C" w14:textId="77777777" w:rsidR="00AE3DE4" w:rsidRDefault="00AE3DE4" w:rsidP="00AE3DE4">
            <w:pPr>
              <w:pStyle w:val="COMParaDecision"/>
              <w:numPr>
                <w:ilvl w:val="0"/>
                <w:numId w:val="0"/>
              </w:numPr>
              <w:jc w:val="right"/>
              <w:rPr>
                <w:u w:val="none"/>
              </w:rPr>
            </w:pPr>
          </w:p>
        </w:tc>
        <w:tc>
          <w:tcPr>
            <w:tcW w:w="2303" w:type="pct"/>
            <w:gridSpan w:val="2"/>
          </w:tcPr>
          <w:p w14:paraId="78F31B7A" w14:textId="77777777" w:rsidR="00AE3DE4" w:rsidRPr="00710D7C" w:rsidRDefault="00AE3DE4" w:rsidP="00AE3DE4">
            <w:pPr>
              <w:pStyle w:val="COMParaDecision"/>
              <w:numPr>
                <w:ilvl w:val="0"/>
                <w:numId w:val="0"/>
              </w:numPr>
              <w:rPr>
                <w:u w:val="none"/>
              </w:rPr>
            </w:pPr>
          </w:p>
        </w:tc>
        <w:tc>
          <w:tcPr>
            <w:tcW w:w="209" w:type="pct"/>
          </w:tcPr>
          <w:p w14:paraId="217216ED" w14:textId="71E2FCBA" w:rsidR="00AE3DE4" w:rsidRDefault="006165EC" w:rsidP="00781E38">
            <w:pPr>
              <w:pStyle w:val="COMParaDecision"/>
              <w:numPr>
                <w:ilvl w:val="0"/>
                <w:numId w:val="0"/>
              </w:numPr>
              <w:jc w:val="right"/>
              <w:rPr>
                <w:u w:val="none"/>
              </w:rPr>
            </w:pPr>
            <w:r>
              <w:rPr>
                <w:u w:val="none"/>
              </w:rPr>
              <w:t>29</w:t>
            </w:r>
            <w:r w:rsidR="00CE7856">
              <w:rPr>
                <w:u w:val="none"/>
              </w:rPr>
              <w:t>.</w:t>
            </w:r>
            <w:r>
              <w:rPr>
                <w:u w:val="none"/>
              </w:rPr>
              <w:t>-31.</w:t>
            </w:r>
          </w:p>
        </w:tc>
        <w:tc>
          <w:tcPr>
            <w:tcW w:w="2266" w:type="pct"/>
            <w:gridSpan w:val="2"/>
          </w:tcPr>
          <w:p w14:paraId="30E64276" w14:textId="77777777" w:rsidR="00AE3DE4" w:rsidRPr="00554E8A" w:rsidRDefault="006165EC" w:rsidP="00AE3DE4">
            <w:pPr>
              <w:pStyle w:val="COMParaDecision"/>
              <w:numPr>
                <w:ilvl w:val="0"/>
                <w:numId w:val="0"/>
              </w:numPr>
              <w:rPr>
                <w:u w:val="none"/>
              </w:rPr>
            </w:pPr>
            <w:r>
              <w:rPr>
                <w:u w:val="none"/>
              </w:rPr>
              <w:t>[Aucun changement]</w:t>
            </w:r>
          </w:p>
        </w:tc>
      </w:tr>
      <w:tr w:rsidR="00024515" w:rsidRPr="003C1886" w14:paraId="2925CE2B" w14:textId="77777777" w:rsidTr="00CE51CF">
        <w:tc>
          <w:tcPr>
            <w:tcW w:w="222" w:type="pct"/>
          </w:tcPr>
          <w:p w14:paraId="1F1E497D" w14:textId="77777777" w:rsidR="00024515" w:rsidRPr="00554E8A" w:rsidRDefault="00024515" w:rsidP="00024515">
            <w:pPr>
              <w:pStyle w:val="COMParaDecision"/>
              <w:numPr>
                <w:ilvl w:val="0"/>
                <w:numId w:val="0"/>
              </w:numPr>
              <w:spacing w:before="120"/>
              <w:jc w:val="right"/>
              <w:rPr>
                <w:b/>
                <w:u w:val="none"/>
              </w:rPr>
            </w:pPr>
            <w:r>
              <w:rPr>
                <w:b/>
                <w:u w:val="none"/>
              </w:rPr>
              <w:t>I.15</w:t>
            </w:r>
          </w:p>
        </w:tc>
        <w:tc>
          <w:tcPr>
            <w:tcW w:w="2303" w:type="pct"/>
            <w:gridSpan w:val="2"/>
          </w:tcPr>
          <w:p w14:paraId="67F60258" w14:textId="67E8610A" w:rsidR="00024515" w:rsidRPr="00554E8A" w:rsidRDefault="00024515" w:rsidP="00024515">
            <w:pPr>
              <w:pStyle w:val="COMParaDecision"/>
              <w:numPr>
                <w:ilvl w:val="0"/>
                <w:numId w:val="0"/>
              </w:numPr>
              <w:spacing w:before="120"/>
              <w:jc w:val="left"/>
              <w:rPr>
                <w:b/>
                <w:u w:val="none"/>
              </w:rPr>
            </w:pPr>
            <w:r>
              <w:rPr>
                <w:b/>
                <w:u w:val="none"/>
              </w:rPr>
              <w:t>Calendrier – Vue d</w:t>
            </w:r>
            <w:r w:rsidR="00BD0B93">
              <w:rPr>
                <w:b/>
                <w:u w:val="none"/>
              </w:rPr>
              <w:t>’</w:t>
            </w:r>
            <w:r>
              <w:rPr>
                <w:b/>
                <w:u w:val="none"/>
              </w:rPr>
              <w:t>ensemble des procédures</w:t>
            </w:r>
          </w:p>
        </w:tc>
        <w:tc>
          <w:tcPr>
            <w:tcW w:w="209" w:type="pct"/>
          </w:tcPr>
          <w:p w14:paraId="63C4E42D" w14:textId="77777777" w:rsidR="00024515" w:rsidRPr="00554E8A" w:rsidRDefault="00024515" w:rsidP="00024515">
            <w:pPr>
              <w:pStyle w:val="COMParaDecision"/>
              <w:numPr>
                <w:ilvl w:val="0"/>
                <w:numId w:val="0"/>
              </w:numPr>
              <w:spacing w:before="120"/>
              <w:jc w:val="right"/>
              <w:rPr>
                <w:b/>
                <w:u w:val="none"/>
              </w:rPr>
            </w:pPr>
            <w:r>
              <w:rPr>
                <w:b/>
                <w:u w:val="none"/>
              </w:rPr>
              <w:t>I.15</w:t>
            </w:r>
          </w:p>
        </w:tc>
        <w:tc>
          <w:tcPr>
            <w:tcW w:w="2266" w:type="pct"/>
            <w:gridSpan w:val="2"/>
          </w:tcPr>
          <w:p w14:paraId="13727601" w14:textId="58DF9B91" w:rsidR="00024515" w:rsidRPr="00554E8A" w:rsidRDefault="00024515" w:rsidP="00024515">
            <w:pPr>
              <w:pStyle w:val="COMParaDecision"/>
              <w:numPr>
                <w:ilvl w:val="0"/>
                <w:numId w:val="0"/>
              </w:numPr>
              <w:spacing w:before="120"/>
              <w:jc w:val="left"/>
              <w:rPr>
                <w:b/>
              </w:rPr>
            </w:pPr>
            <w:r>
              <w:rPr>
                <w:b/>
                <w:u w:val="none"/>
              </w:rPr>
              <w:t>Calendrier – Vue d</w:t>
            </w:r>
            <w:r w:rsidR="00BD0B93">
              <w:rPr>
                <w:b/>
                <w:u w:val="none"/>
              </w:rPr>
              <w:t>’</w:t>
            </w:r>
            <w:r>
              <w:rPr>
                <w:b/>
                <w:u w:val="none"/>
              </w:rPr>
              <w:t>ensemble des procédures</w:t>
            </w:r>
          </w:p>
        </w:tc>
      </w:tr>
      <w:tr w:rsidR="00024515" w:rsidRPr="0009414C" w14:paraId="1882E634" w14:textId="77777777" w:rsidTr="00CE51CF">
        <w:tc>
          <w:tcPr>
            <w:tcW w:w="222" w:type="pct"/>
          </w:tcPr>
          <w:p w14:paraId="2A631E3D" w14:textId="77777777" w:rsidR="00024515" w:rsidRDefault="00024515" w:rsidP="00024515">
            <w:pPr>
              <w:pStyle w:val="COMParaDecision"/>
              <w:numPr>
                <w:ilvl w:val="0"/>
                <w:numId w:val="0"/>
              </w:numPr>
              <w:spacing w:before="120"/>
              <w:jc w:val="right"/>
              <w:rPr>
                <w:u w:val="none"/>
              </w:rPr>
            </w:pPr>
          </w:p>
        </w:tc>
        <w:tc>
          <w:tcPr>
            <w:tcW w:w="697" w:type="pct"/>
          </w:tcPr>
          <w:p w14:paraId="378BE31A" w14:textId="77777777" w:rsidR="00024515" w:rsidRDefault="00024515" w:rsidP="00024515">
            <w:pPr>
              <w:pStyle w:val="COMParaDecision"/>
              <w:numPr>
                <w:ilvl w:val="0"/>
                <w:numId w:val="0"/>
              </w:numPr>
              <w:spacing w:before="120"/>
              <w:jc w:val="right"/>
              <w:rPr>
                <w:u w:val="none"/>
              </w:rPr>
            </w:pPr>
          </w:p>
        </w:tc>
        <w:tc>
          <w:tcPr>
            <w:tcW w:w="1606" w:type="pct"/>
          </w:tcPr>
          <w:p w14:paraId="0C94273A" w14:textId="77777777" w:rsidR="00024515" w:rsidRDefault="00024515" w:rsidP="00024515">
            <w:pPr>
              <w:pStyle w:val="COMParaDecision"/>
              <w:numPr>
                <w:ilvl w:val="0"/>
                <w:numId w:val="0"/>
              </w:numPr>
              <w:spacing w:before="120"/>
              <w:jc w:val="left"/>
              <w:rPr>
                <w:u w:val="none"/>
              </w:rPr>
            </w:pPr>
          </w:p>
        </w:tc>
        <w:tc>
          <w:tcPr>
            <w:tcW w:w="209" w:type="pct"/>
          </w:tcPr>
          <w:p w14:paraId="2AB19A30" w14:textId="77777777" w:rsidR="00024515" w:rsidRDefault="00024515" w:rsidP="00024515">
            <w:pPr>
              <w:pStyle w:val="COMParaDecision"/>
              <w:numPr>
                <w:ilvl w:val="0"/>
                <w:numId w:val="0"/>
              </w:numPr>
              <w:spacing w:before="120"/>
              <w:jc w:val="right"/>
              <w:rPr>
                <w:u w:val="none"/>
              </w:rPr>
            </w:pPr>
            <w:r>
              <w:rPr>
                <w:u w:val="none"/>
              </w:rPr>
              <w:t>54.</w:t>
            </w:r>
          </w:p>
        </w:tc>
        <w:tc>
          <w:tcPr>
            <w:tcW w:w="740" w:type="pct"/>
          </w:tcPr>
          <w:p w14:paraId="7A74ED2A" w14:textId="77777777" w:rsidR="00024515" w:rsidRPr="00474AAE" w:rsidRDefault="00024515" w:rsidP="00024515">
            <w:pPr>
              <w:pStyle w:val="COMParaDecision"/>
              <w:numPr>
                <w:ilvl w:val="0"/>
                <w:numId w:val="0"/>
              </w:numPr>
              <w:spacing w:before="120"/>
              <w:jc w:val="left"/>
              <w:rPr>
                <w:u w:val="none"/>
              </w:rPr>
            </w:pPr>
            <w:r>
              <w:rPr>
                <w:u w:val="none"/>
              </w:rPr>
              <w:t>[Aucun changement]</w:t>
            </w:r>
          </w:p>
        </w:tc>
        <w:tc>
          <w:tcPr>
            <w:tcW w:w="1526" w:type="pct"/>
          </w:tcPr>
          <w:p w14:paraId="72BB5A44" w14:textId="77777777" w:rsidR="00024515" w:rsidRPr="00C97D62" w:rsidRDefault="00024515" w:rsidP="00024515">
            <w:pPr>
              <w:pStyle w:val="COMParaDecision"/>
              <w:numPr>
                <w:ilvl w:val="0"/>
                <w:numId w:val="0"/>
              </w:numPr>
              <w:spacing w:before="120"/>
              <w:jc w:val="left"/>
              <w:rPr>
                <w:u w:val="none"/>
              </w:rPr>
            </w:pPr>
          </w:p>
        </w:tc>
      </w:tr>
      <w:tr w:rsidR="00024515" w:rsidRPr="0009414C" w14:paraId="3D4D440A" w14:textId="77777777" w:rsidTr="00CE51CF">
        <w:tc>
          <w:tcPr>
            <w:tcW w:w="222" w:type="pct"/>
          </w:tcPr>
          <w:p w14:paraId="70C62A56" w14:textId="77777777" w:rsidR="00024515" w:rsidRPr="0009414C" w:rsidRDefault="00024515" w:rsidP="00024515">
            <w:pPr>
              <w:pStyle w:val="COMParaDecision"/>
              <w:numPr>
                <w:ilvl w:val="0"/>
                <w:numId w:val="0"/>
              </w:numPr>
              <w:spacing w:before="120"/>
              <w:jc w:val="right"/>
              <w:rPr>
                <w:u w:val="none"/>
              </w:rPr>
            </w:pPr>
            <w:r>
              <w:rPr>
                <w:u w:val="none"/>
              </w:rPr>
              <w:t>55.</w:t>
            </w:r>
          </w:p>
        </w:tc>
        <w:tc>
          <w:tcPr>
            <w:tcW w:w="697" w:type="pct"/>
          </w:tcPr>
          <w:p w14:paraId="7D531016" w14:textId="77777777" w:rsidR="00024515" w:rsidRPr="0009414C" w:rsidRDefault="00024515" w:rsidP="00024515">
            <w:pPr>
              <w:pStyle w:val="COMParaDecision"/>
              <w:numPr>
                <w:ilvl w:val="0"/>
                <w:numId w:val="0"/>
              </w:numPr>
              <w:spacing w:before="120"/>
              <w:jc w:val="right"/>
              <w:rPr>
                <w:u w:val="none"/>
              </w:rPr>
            </w:pPr>
            <w:r>
              <w:rPr>
                <w:u w:val="none"/>
              </w:rPr>
              <w:t>Phase 2 :</w:t>
            </w:r>
          </w:p>
        </w:tc>
        <w:tc>
          <w:tcPr>
            <w:tcW w:w="1606" w:type="pct"/>
          </w:tcPr>
          <w:p w14:paraId="769D1D17" w14:textId="77777777" w:rsidR="00024515" w:rsidRPr="0009414C" w:rsidRDefault="00024515" w:rsidP="00024515">
            <w:pPr>
              <w:pStyle w:val="COMParaDecision"/>
              <w:numPr>
                <w:ilvl w:val="0"/>
                <w:numId w:val="0"/>
              </w:numPr>
              <w:spacing w:before="120"/>
              <w:jc w:val="left"/>
              <w:rPr>
                <w:u w:val="none"/>
              </w:rPr>
            </w:pPr>
            <w:r>
              <w:rPr>
                <w:u w:val="none"/>
              </w:rPr>
              <w:t>Évaluation</w:t>
            </w:r>
          </w:p>
        </w:tc>
        <w:tc>
          <w:tcPr>
            <w:tcW w:w="209" w:type="pct"/>
          </w:tcPr>
          <w:p w14:paraId="0471FA5D" w14:textId="77777777" w:rsidR="00024515" w:rsidRPr="00474AAE" w:rsidRDefault="00024515" w:rsidP="00024515">
            <w:pPr>
              <w:pStyle w:val="COMParaDecision"/>
              <w:numPr>
                <w:ilvl w:val="0"/>
                <w:numId w:val="0"/>
              </w:numPr>
              <w:spacing w:before="120"/>
              <w:jc w:val="right"/>
              <w:rPr>
                <w:u w:val="none"/>
              </w:rPr>
            </w:pPr>
            <w:r>
              <w:rPr>
                <w:u w:val="none"/>
              </w:rPr>
              <w:t>55.</w:t>
            </w:r>
          </w:p>
        </w:tc>
        <w:tc>
          <w:tcPr>
            <w:tcW w:w="740" w:type="pct"/>
          </w:tcPr>
          <w:p w14:paraId="239E70C4" w14:textId="77777777" w:rsidR="00024515" w:rsidRPr="00474AAE" w:rsidRDefault="00024515" w:rsidP="00024515">
            <w:pPr>
              <w:pStyle w:val="COMParaDecision"/>
              <w:numPr>
                <w:ilvl w:val="0"/>
                <w:numId w:val="0"/>
              </w:numPr>
              <w:spacing w:before="120"/>
              <w:jc w:val="right"/>
              <w:rPr>
                <w:u w:val="none"/>
              </w:rPr>
            </w:pPr>
            <w:r>
              <w:rPr>
                <w:u w:val="none"/>
              </w:rPr>
              <w:t>Phase 2 :</w:t>
            </w:r>
          </w:p>
        </w:tc>
        <w:tc>
          <w:tcPr>
            <w:tcW w:w="1526" w:type="pct"/>
          </w:tcPr>
          <w:p w14:paraId="1058E4C6" w14:textId="77777777" w:rsidR="00024515" w:rsidRPr="00C97D62" w:rsidRDefault="00024515" w:rsidP="00024515">
            <w:pPr>
              <w:pStyle w:val="COMParaDecision"/>
              <w:numPr>
                <w:ilvl w:val="0"/>
                <w:numId w:val="0"/>
              </w:numPr>
              <w:spacing w:before="120"/>
              <w:jc w:val="left"/>
              <w:rPr>
                <w:u w:val="none"/>
              </w:rPr>
            </w:pPr>
            <w:r>
              <w:rPr>
                <w:u w:val="none"/>
              </w:rPr>
              <w:t>Évaluation</w:t>
            </w:r>
          </w:p>
        </w:tc>
      </w:tr>
      <w:tr w:rsidR="00024515" w:rsidRPr="008F13F2" w14:paraId="1C997C51" w14:textId="77777777" w:rsidTr="00CE51CF">
        <w:tc>
          <w:tcPr>
            <w:tcW w:w="222" w:type="pct"/>
          </w:tcPr>
          <w:p w14:paraId="583811BE" w14:textId="77777777" w:rsidR="00024515" w:rsidRDefault="00024515" w:rsidP="00024515">
            <w:pPr>
              <w:pStyle w:val="COMParaDecision"/>
              <w:numPr>
                <w:ilvl w:val="0"/>
                <w:numId w:val="0"/>
              </w:numPr>
              <w:spacing w:before="120"/>
              <w:jc w:val="right"/>
              <w:rPr>
                <w:u w:val="none"/>
              </w:rPr>
            </w:pPr>
          </w:p>
        </w:tc>
        <w:tc>
          <w:tcPr>
            <w:tcW w:w="697" w:type="pct"/>
          </w:tcPr>
          <w:p w14:paraId="7A0D8541" w14:textId="77777777" w:rsidR="00024515" w:rsidRDefault="00024515" w:rsidP="00024515">
            <w:pPr>
              <w:pStyle w:val="COMParaDecision"/>
              <w:numPr>
                <w:ilvl w:val="0"/>
                <w:numId w:val="0"/>
              </w:numPr>
              <w:spacing w:before="120"/>
              <w:jc w:val="right"/>
              <w:rPr>
                <w:u w:val="none"/>
              </w:rPr>
            </w:pPr>
          </w:p>
        </w:tc>
        <w:tc>
          <w:tcPr>
            <w:tcW w:w="1606" w:type="pct"/>
          </w:tcPr>
          <w:p w14:paraId="73BE09A5" w14:textId="77777777" w:rsidR="00024515" w:rsidRDefault="00024515" w:rsidP="00024515">
            <w:pPr>
              <w:pStyle w:val="COMParaDecision"/>
              <w:numPr>
                <w:ilvl w:val="0"/>
                <w:numId w:val="0"/>
              </w:numPr>
              <w:spacing w:before="120"/>
              <w:jc w:val="left"/>
              <w:rPr>
                <w:u w:val="none"/>
              </w:rPr>
            </w:pPr>
          </w:p>
        </w:tc>
        <w:tc>
          <w:tcPr>
            <w:tcW w:w="209" w:type="pct"/>
          </w:tcPr>
          <w:p w14:paraId="5C84E2AB" w14:textId="77777777" w:rsidR="00024515" w:rsidRDefault="00024515" w:rsidP="00024515">
            <w:pPr>
              <w:pStyle w:val="COMParaDecision"/>
              <w:numPr>
                <w:ilvl w:val="0"/>
                <w:numId w:val="0"/>
              </w:numPr>
              <w:spacing w:before="120"/>
              <w:jc w:val="right"/>
              <w:rPr>
                <w:u w:val="none"/>
              </w:rPr>
            </w:pPr>
          </w:p>
        </w:tc>
        <w:tc>
          <w:tcPr>
            <w:tcW w:w="740" w:type="pct"/>
          </w:tcPr>
          <w:p w14:paraId="70F8B154" w14:textId="77777777" w:rsidR="00024515" w:rsidRPr="00F37497" w:rsidRDefault="00024515" w:rsidP="00024515">
            <w:pPr>
              <w:pStyle w:val="COMParaDecision"/>
              <w:numPr>
                <w:ilvl w:val="0"/>
                <w:numId w:val="0"/>
              </w:numPr>
              <w:spacing w:before="120"/>
              <w:jc w:val="right"/>
              <w:rPr>
                <w:b/>
              </w:rPr>
            </w:pPr>
            <w:r>
              <w:rPr>
                <w:b/>
              </w:rPr>
              <w:t>Septembre année 1</w:t>
            </w:r>
          </w:p>
        </w:tc>
        <w:tc>
          <w:tcPr>
            <w:tcW w:w="1526" w:type="pct"/>
          </w:tcPr>
          <w:p w14:paraId="0FB7E359" w14:textId="521A01C0" w:rsidR="00024515" w:rsidRPr="00F37497" w:rsidRDefault="00A97590" w:rsidP="00A97590">
            <w:pPr>
              <w:pStyle w:val="COMParaDecision"/>
              <w:numPr>
                <w:ilvl w:val="0"/>
                <w:numId w:val="0"/>
              </w:numPr>
              <w:spacing w:before="120"/>
              <w:jc w:val="left"/>
              <w:rPr>
                <w:b/>
              </w:rPr>
            </w:pPr>
            <w:r>
              <w:rPr>
                <w:b/>
              </w:rPr>
              <w:t>Réunion d</w:t>
            </w:r>
            <w:r w:rsidR="00BD0B93">
              <w:rPr>
                <w:b/>
              </w:rPr>
              <w:t>’</w:t>
            </w:r>
            <w:r>
              <w:rPr>
                <w:b/>
              </w:rPr>
              <w:t>orientation et élection du Président, du Vice-président et du Rapporteur de l</w:t>
            </w:r>
            <w:r w:rsidR="00BD0B93">
              <w:rPr>
                <w:b/>
              </w:rPr>
              <w:t>’</w:t>
            </w:r>
            <w:r>
              <w:rPr>
                <w:b/>
              </w:rPr>
              <w:t>Organe d</w:t>
            </w:r>
            <w:r w:rsidR="00BD0B93">
              <w:rPr>
                <w:b/>
              </w:rPr>
              <w:t>’</w:t>
            </w:r>
            <w:r>
              <w:rPr>
                <w:b/>
              </w:rPr>
              <w:t>évaluation.</w:t>
            </w:r>
          </w:p>
        </w:tc>
      </w:tr>
      <w:tr w:rsidR="00024515" w:rsidRPr="008F13F2" w14:paraId="081B1801" w14:textId="77777777" w:rsidTr="00CE51CF">
        <w:tc>
          <w:tcPr>
            <w:tcW w:w="222" w:type="pct"/>
          </w:tcPr>
          <w:p w14:paraId="4742DEA1" w14:textId="77777777" w:rsidR="00024515" w:rsidRDefault="00024515" w:rsidP="00024515">
            <w:pPr>
              <w:pStyle w:val="COMParaDecision"/>
              <w:numPr>
                <w:ilvl w:val="0"/>
                <w:numId w:val="0"/>
              </w:numPr>
              <w:spacing w:before="120"/>
              <w:jc w:val="right"/>
              <w:rPr>
                <w:u w:val="none"/>
              </w:rPr>
            </w:pPr>
          </w:p>
        </w:tc>
        <w:tc>
          <w:tcPr>
            <w:tcW w:w="697" w:type="pct"/>
          </w:tcPr>
          <w:p w14:paraId="6B63B0F6" w14:textId="77777777" w:rsidR="00024515" w:rsidRDefault="00024515" w:rsidP="00024515">
            <w:pPr>
              <w:pStyle w:val="COMParaDecision"/>
              <w:numPr>
                <w:ilvl w:val="0"/>
                <w:numId w:val="0"/>
              </w:numPr>
              <w:spacing w:before="120"/>
              <w:jc w:val="right"/>
              <w:rPr>
                <w:u w:val="none"/>
              </w:rPr>
            </w:pPr>
            <w:r>
              <w:rPr>
                <w:u w:val="none"/>
              </w:rPr>
              <w:t>décembre année 1</w:t>
            </w:r>
            <w:r>
              <w:rPr>
                <w:u w:val="none"/>
              </w:rPr>
              <w:br/>
              <w:t>à mai année 2</w:t>
            </w:r>
          </w:p>
        </w:tc>
        <w:tc>
          <w:tcPr>
            <w:tcW w:w="1606" w:type="pct"/>
          </w:tcPr>
          <w:p w14:paraId="6A88AB7A" w14:textId="1142E4AA" w:rsidR="00024515" w:rsidRDefault="00024515" w:rsidP="00024515">
            <w:pPr>
              <w:pStyle w:val="COMParaDecision"/>
              <w:numPr>
                <w:ilvl w:val="0"/>
                <w:numId w:val="0"/>
              </w:numPr>
              <w:spacing w:before="120"/>
              <w:jc w:val="left"/>
              <w:rPr>
                <w:u w:val="none"/>
              </w:rPr>
            </w:pPr>
            <w:r>
              <w:rPr>
                <w:u w:val="none"/>
              </w:rPr>
              <w:t>Évaluation des dossiers par l</w:t>
            </w:r>
            <w:r w:rsidR="00BD0B93">
              <w:rPr>
                <w:u w:val="none"/>
              </w:rPr>
              <w:t>’</w:t>
            </w:r>
            <w:r>
              <w:rPr>
                <w:u w:val="none"/>
              </w:rPr>
              <w:t>Organe d</w:t>
            </w:r>
            <w:r w:rsidR="00BD0B93">
              <w:rPr>
                <w:u w:val="none"/>
              </w:rPr>
              <w:t>’</w:t>
            </w:r>
            <w:r>
              <w:rPr>
                <w:u w:val="none"/>
              </w:rPr>
              <w:t>évaluation.</w:t>
            </w:r>
          </w:p>
        </w:tc>
        <w:tc>
          <w:tcPr>
            <w:tcW w:w="209" w:type="pct"/>
          </w:tcPr>
          <w:p w14:paraId="1827468F" w14:textId="77777777" w:rsidR="00024515" w:rsidRDefault="00024515" w:rsidP="00024515">
            <w:pPr>
              <w:pStyle w:val="COMParaDecision"/>
              <w:numPr>
                <w:ilvl w:val="0"/>
                <w:numId w:val="0"/>
              </w:numPr>
              <w:spacing w:before="120"/>
              <w:jc w:val="right"/>
              <w:rPr>
                <w:u w:val="none"/>
              </w:rPr>
            </w:pPr>
          </w:p>
        </w:tc>
        <w:tc>
          <w:tcPr>
            <w:tcW w:w="740" w:type="pct"/>
          </w:tcPr>
          <w:p w14:paraId="35CA8A41" w14:textId="4E4B1491" w:rsidR="00024515" w:rsidRPr="00450A45" w:rsidRDefault="00024515" w:rsidP="006E46D8">
            <w:pPr>
              <w:pStyle w:val="COMParaDecision"/>
              <w:numPr>
                <w:ilvl w:val="0"/>
                <w:numId w:val="0"/>
              </w:numPr>
              <w:spacing w:before="120"/>
              <w:jc w:val="right"/>
              <w:rPr>
                <w:u w:val="none"/>
              </w:rPr>
            </w:pPr>
            <w:r>
              <w:rPr>
                <w:u w:val="none"/>
              </w:rPr>
              <w:t>décembre année 1</w:t>
            </w:r>
            <w:r>
              <w:rPr>
                <w:u w:val="none"/>
              </w:rPr>
              <w:br/>
              <w:t xml:space="preserve">à </w:t>
            </w:r>
            <w:r>
              <w:rPr>
                <w:strike/>
                <w:u w:val="none"/>
              </w:rPr>
              <w:t>mai</w:t>
            </w:r>
            <w:r>
              <w:rPr>
                <w:u w:val="none"/>
              </w:rPr>
              <w:t xml:space="preserve"> </w:t>
            </w:r>
            <w:r>
              <w:rPr>
                <w:b/>
              </w:rPr>
              <w:t>avril</w:t>
            </w:r>
            <w:r>
              <w:rPr>
                <w:u w:val="none"/>
              </w:rPr>
              <w:t xml:space="preserve"> année2</w:t>
            </w:r>
          </w:p>
        </w:tc>
        <w:tc>
          <w:tcPr>
            <w:tcW w:w="1526" w:type="pct"/>
          </w:tcPr>
          <w:p w14:paraId="3626C332" w14:textId="695C88C6" w:rsidR="00024515" w:rsidRPr="00607D97" w:rsidRDefault="00400108" w:rsidP="000E2CB7">
            <w:pPr>
              <w:pStyle w:val="COMParaDecision"/>
              <w:numPr>
                <w:ilvl w:val="0"/>
                <w:numId w:val="0"/>
              </w:numPr>
              <w:spacing w:before="120"/>
              <w:jc w:val="left"/>
              <w:rPr>
                <w:u w:val="none"/>
              </w:rPr>
            </w:pPr>
            <w:r>
              <w:rPr>
                <w:u w:val="none"/>
              </w:rPr>
              <w:t xml:space="preserve">Évaluation </w:t>
            </w:r>
            <w:r>
              <w:rPr>
                <w:b/>
              </w:rPr>
              <w:t>individuelle</w:t>
            </w:r>
            <w:r>
              <w:rPr>
                <w:u w:val="none"/>
              </w:rPr>
              <w:t xml:space="preserve"> des dossiers par les </w:t>
            </w:r>
            <w:r>
              <w:rPr>
                <w:b/>
              </w:rPr>
              <w:t>membres</w:t>
            </w:r>
            <w:r>
              <w:rPr>
                <w:u w:val="none"/>
              </w:rPr>
              <w:t xml:space="preserve"> de l</w:t>
            </w:r>
            <w:r w:rsidR="00BD0B93">
              <w:rPr>
                <w:u w:val="none"/>
              </w:rPr>
              <w:t>’</w:t>
            </w:r>
            <w:r>
              <w:rPr>
                <w:u w:val="none"/>
              </w:rPr>
              <w:t>Organe d</w:t>
            </w:r>
            <w:r w:rsidR="00BD0B93">
              <w:rPr>
                <w:u w:val="none"/>
              </w:rPr>
              <w:t>’</w:t>
            </w:r>
            <w:r>
              <w:rPr>
                <w:u w:val="none"/>
              </w:rPr>
              <w:t>évaluation.</w:t>
            </w:r>
          </w:p>
        </w:tc>
      </w:tr>
      <w:tr w:rsidR="00024515" w:rsidRPr="008F13F2" w14:paraId="0D5FF819" w14:textId="77777777" w:rsidTr="00CE51CF">
        <w:tc>
          <w:tcPr>
            <w:tcW w:w="222" w:type="pct"/>
          </w:tcPr>
          <w:p w14:paraId="127492BE" w14:textId="77777777" w:rsidR="00024515" w:rsidRDefault="00024515" w:rsidP="00024515">
            <w:pPr>
              <w:pStyle w:val="COMParaDecision"/>
              <w:numPr>
                <w:ilvl w:val="0"/>
                <w:numId w:val="0"/>
              </w:numPr>
              <w:spacing w:before="120"/>
              <w:jc w:val="right"/>
              <w:rPr>
                <w:u w:val="none"/>
              </w:rPr>
            </w:pPr>
          </w:p>
        </w:tc>
        <w:tc>
          <w:tcPr>
            <w:tcW w:w="697" w:type="pct"/>
          </w:tcPr>
          <w:p w14:paraId="1D2E353A" w14:textId="69F42CC8" w:rsidR="00024515" w:rsidRDefault="00024515" w:rsidP="004E046F">
            <w:pPr>
              <w:pStyle w:val="COMParaDecision"/>
              <w:numPr>
                <w:ilvl w:val="0"/>
                <w:numId w:val="0"/>
              </w:numPr>
              <w:spacing w:before="120"/>
              <w:jc w:val="right"/>
              <w:rPr>
                <w:u w:val="none"/>
              </w:rPr>
            </w:pPr>
            <w:r>
              <w:rPr>
                <w:u w:val="none"/>
              </w:rPr>
              <w:t>avril – juin</w:t>
            </w:r>
            <w:r w:rsidR="004E046F">
              <w:rPr>
                <w:u w:val="none"/>
              </w:rPr>
              <w:br/>
            </w:r>
            <w:r>
              <w:rPr>
                <w:u w:val="none"/>
              </w:rPr>
              <w:t>année</w:t>
            </w:r>
            <w:r w:rsidR="004E046F">
              <w:rPr>
                <w:u w:val="none"/>
                <w:lang w:val="en-US"/>
              </w:rPr>
              <w:t> </w:t>
            </w:r>
            <w:r>
              <w:rPr>
                <w:u w:val="none"/>
              </w:rPr>
              <w:t>2</w:t>
            </w:r>
          </w:p>
        </w:tc>
        <w:tc>
          <w:tcPr>
            <w:tcW w:w="1606" w:type="pct"/>
          </w:tcPr>
          <w:p w14:paraId="10BCC060" w14:textId="413C8EF5" w:rsidR="00024515" w:rsidRDefault="00024515" w:rsidP="00024515">
            <w:pPr>
              <w:pStyle w:val="COMParaDecision"/>
              <w:numPr>
                <w:ilvl w:val="0"/>
                <w:numId w:val="0"/>
              </w:numPr>
              <w:spacing w:before="120"/>
              <w:jc w:val="left"/>
              <w:rPr>
                <w:u w:val="none"/>
              </w:rPr>
            </w:pPr>
            <w:r>
              <w:rPr>
                <w:u w:val="none"/>
              </w:rPr>
              <w:t>Réunion d</w:t>
            </w:r>
            <w:r w:rsidR="00BD0B93">
              <w:rPr>
                <w:u w:val="none"/>
              </w:rPr>
              <w:t>’</w:t>
            </w:r>
            <w:r>
              <w:rPr>
                <w:u w:val="none"/>
              </w:rPr>
              <w:t>évaluation finale par l</w:t>
            </w:r>
            <w:r w:rsidR="00BD0B93">
              <w:rPr>
                <w:u w:val="none"/>
              </w:rPr>
              <w:t>’</w:t>
            </w:r>
            <w:r>
              <w:rPr>
                <w:u w:val="none"/>
              </w:rPr>
              <w:t>Organe d</w:t>
            </w:r>
            <w:r w:rsidR="00BD0B93">
              <w:rPr>
                <w:u w:val="none"/>
              </w:rPr>
              <w:t>’</w:t>
            </w:r>
            <w:r>
              <w:rPr>
                <w:u w:val="none"/>
              </w:rPr>
              <w:t>évaluation.</w:t>
            </w:r>
          </w:p>
        </w:tc>
        <w:tc>
          <w:tcPr>
            <w:tcW w:w="209" w:type="pct"/>
          </w:tcPr>
          <w:p w14:paraId="342CCF3C" w14:textId="77777777" w:rsidR="00024515" w:rsidRDefault="00024515" w:rsidP="00024515">
            <w:pPr>
              <w:pStyle w:val="COMParaDecision"/>
              <w:numPr>
                <w:ilvl w:val="0"/>
                <w:numId w:val="0"/>
              </w:numPr>
              <w:spacing w:before="120"/>
              <w:jc w:val="right"/>
              <w:rPr>
                <w:u w:val="none"/>
              </w:rPr>
            </w:pPr>
          </w:p>
        </w:tc>
        <w:tc>
          <w:tcPr>
            <w:tcW w:w="740" w:type="pct"/>
          </w:tcPr>
          <w:p w14:paraId="3616F8A7" w14:textId="62C40BC3" w:rsidR="00024515" w:rsidRDefault="000E1D33" w:rsidP="00024515">
            <w:pPr>
              <w:pStyle w:val="COMParaDecision"/>
              <w:numPr>
                <w:ilvl w:val="0"/>
                <w:numId w:val="0"/>
              </w:numPr>
              <w:spacing w:before="120"/>
              <w:jc w:val="right"/>
              <w:rPr>
                <w:u w:val="none"/>
              </w:rPr>
            </w:pPr>
            <w:r>
              <w:rPr>
                <w:u w:val="none"/>
              </w:rPr>
              <w:t xml:space="preserve">au plus tard en avril </w:t>
            </w:r>
            <w:r>
              <w:rPr>
                <w:strike/>
                <w:u w:val="none"/>
              </w:rPr>
              <w:t>– juin</w:t>
            </w:r>
            <w:r>
              <w:rPr>
                <w:u w:val="none"/>
              </w:rPr>
              <w:br/>
              <w:t>année 2</w:t>
            </w:r>
          </w:p>
        </w:tc>
        <w:tc>
          <w:tcPr>
            <w:tcW w:w="1526" w:type="pct"/>
          </w:tcPr>
          <w:p w14:paraId="2A4DFFED" w14:textId="59D80B85" w:rsidR="00024515" w:rsidRDefault="00024515" w:rsidP="000E1D33">
            <w:pPr>
              <w:pStyle w:val="COMParaDecision"/>
              <w:numPr>
                <w:ilvl w:val="0"/>
                <w:numId w:val="0"/>
              </w:numPr>
              <w:spacing w:before="120"/>
              <w:jc w:val="left"/>
              <w:rPr>
                <w:u w:val="none"/>
              </w:rPr>
            </w:pPr>
            <w:r>
              <w:rPr>
                <w:u w:val="none"/>
              </w:rPr>
              <w:t>Réunion pour l</w:t>
            </w:r>
            <w:r w:rsidR="00BD0B93">
              <w:rPr>
                <w:u w:val="none"/>
              </w:rPr>
              <w:t>’</w:t>
            </w:r>
            <w:r>
              <w:rPr>
                <w:u w:val="none"/>
              </w:rPr>
              <w:t>évaluation collective par l</w:t>
            </w:r>
            <w:r w:rsidR="00BD0B93">
              <w:rPr>
                <w:u w:val="none"/>
              </w:rPr>
              <w:t>’</w:t>
            </w:r>
            <w:r>
              <w:rPr>
                <w:u w:val="none"/>
              </w:rPr>
              <w:t>Organe d</w:t>
            </w:r>
            <w:r w:rsidR="00BD0B93">
              <w:rPr>
                <w:u w:val="none"/>
              </w:rPr>
              <w:t>’</w:t>
            </w:r>
            <w:r>
              <w:rPr>
                <w:u w:val="none"/>
              </w:rPr>
              <w:t>évaluation</w:t>
            </w:r>
          </w:p>
        </w:tc>
      </w:tr>
      <w:tr w:rsidR="00024515" w:rsidRPr="008F13F2" w14:paraId="61E09C3E" w14:textId="77777777" w:rsidTr="00CE51CF">
        <w:tc>
          <w:tcPr>
            <w:tcW w:w="222" w:type="pct"/>
          </w:tcPr>
          <w:p w14:paraId="35BD981F" w14:textId="77777777" w:rsidR="00024515" w:rsidRDefault="00024515" w:rsidP="00024515">
            <w:pPr>
              <w:pStyle w:val="COMParaDecision"/>
              <w:numPr>
                <w:ilvl w:val="0"/>
                <w:numId w:val="0"/>
              </w:numPr>
              <w:spacing w:before="120"/>
              <w:jc w:val="right"/>
              <w:rPr>
                <w:u w:val="none"/>
              </w:rPr>
            </w:pPr>
          </w:p>
        </w:tc>
        <w:tc>
          <w:tcPr>
            <w:tcW w:w="697" w:type="pct"/>
          </w:tcPr>
          <w:p w14:paraId="4581AA37" w14:textId="77777777" w:rsidR="00024515" w:rsidRDefault="00024515" w:rsidP="00024515">
            <w:pPr>
              <w:pStyle w:val="COMParaDecision"/>
              <w:numPr>
                <w:ilvl w:val="0"/>
                <w:numId w:val="0"/>
              </w:numPr>
              <w:spacing w:before="120"/>
              <w:jc w:val="right"/>
              <w:rPr>
                <w:u w:val="none"/>
              </w:rPr>
            </w:pPr>
          </w:p>
        </w:tc>
        <w:tc>
          <w:tcPr>
            <w:tcW w:w="1606" w:type="pct"/>
          </w:tcPr>
          <w:p w14:paraId="1A6BC85D" w14:textId="77777777" w:rsidR="00024515" w:rsidRDefault="00024515" w:rsidP="00024515">
            <w:pPr>
              <w:pStyle w:val="COMParaDecision"/>
              <w:numPr>
                <w:ilvl w:val="0"/>
                <w:numId w:val="0"/>
              </w:numPr>
              <w:spacing w:before="120"/>
              <w:jc w:val="left"/>
              <w:rPr>
                <w:u w:val="none"/>
              </w:rPr>
            </w:pPr>
          </w:p>
        </w:tc>
        <w:tc>
          <w:tcPr>
            <w:tcW w:w="209" w:type="pct"/>
          </w:tcPr>
          <w:p w14:paraId="33F25D18" w14:textId="77777777" w:rsidR="00024515" w:rsidRDefault="00024515" w:rsidP="00024515">
            <w:pPr>
              <w:pStyle w:val="COMParaDecision"/>
              <w:numPr>
                <w:ilvl w:val="0"/>
                <w:numId w:val="0"/>
              </w:numPr>
              <w:spacing w:before="120"/>
              <w:jc w:val="right"/>
              <w:rPr>
                <w:u w:val="none"/>
              </w:rPr>
            </w:pPr>
          </w:p>
        </w:tc>
        <w:tc>
          <w:tcPr>
            <w:tcW w:w="740" w:type="pct"/>
          </w:tcPr>
          <w:p w14:paraId="73EA3C3B" w14:textId="065E8910" w:rsidR="00024515" w:rsidRPr="00F37497" w:rsidRDefault="006A2AC8" w:rsidP="00AB77A4">
            <w:pPr>
              <w:pStyle w:val="COMParaDecision"/>
              <w:numPr>
                <w:ilvl w:val="0"/>
                <w:numId w:val="0"/>
              </w:numPr>
              <w:spacing w:before="120"/>
              <w:jc w:val="right"/>
              <w:rPr>
                <w:b/>
              </w:rPr>
            </w:pPr>
            <w:r>
              <w:rPr>
                <w:b/>
              </w:rPr>
              <w:t xml:space="preserve">au plus tard le 15 avril </w:t>
            </w:r>
            <w:r>
              <w:rPr>
                <w:b/>
              </w:rPr>
              <w:br/>
              <w:t>année 2</w:t>
            </w:r>
          </w:p>
        </w:tc>
        <w:tc>
          <w:tcPr>
            <w:tcW w:w="1526" w:type="pct"/>
          </w:tcPr>
          <w:p w14:paraId="7C158D74" w14:textId="1C352EF7" w:rsidR="00024515" w:rsidRPr="00F37497" w:rsidRDefault="00904CC8" w:rsidP="0093654B">
            <w:pPr>
              <w:pStyle w:val="COMParaDecision"/>
              <w:numPr>
                <w:ilvl w:val="0"/>
                <w:numId w:val="0"/>
              </w:numPr>
              <w:spacing w:before="120"/>
              <w:jc w:val="left"/>
              <w:rPr>
                <w:b/>
              </w:rPr>
            </w:pPr>
            <w:r>
              <w:rPr>
                <w:b/>
              </w:rPr>
              <w:t>Date limite à laquelle l</w:t>
            </w:r>
            <w:r w:rsidR="00BD0B93">
              <w:rPr>
                <w:b/>
              </w:rPr>
              <w:t>’</w:t>
            </w:r>
            <w:r>
              <w:rPr>
                <w:b/>
              </w:rPr>
              <w:t>Organe d</w:t>
            </w:r>
            <w:r w:rsidR="00BD0B93">
              <w:rPr>
                <w:b/>
              </w:rPr>
              <w:t>’</w:t>
            </w:r>
            <w:r>
              <w:rPr>
                <w:b/>
              </w:rPr>
              <w:t>évaluation, par l</w:t>
            </w:r>
            <w:r w:rsidR="00BD0B93">
              <w:rPr>
                <w:b/>
              </w:rPr>
              <w:t>’</w:t>
            </w:r>
            <w:r>
              <w:rPr>
                <w:b/>
              </w:rPr>
              <w:t>intermédiaire du Secrétariat, doit transmettre les demandes de clarifications ou d</w:t>
            </w:r>
            <w:r w:rsidR="00BD0B93">
              <w:rPr>
                <w:b/>
              </w:rPr>
              <w:t>’</w:t>
            </w:r>
            <w:r>
              <w:rPr>
                <w:b/>
              </w:rPr>
              <w:t>informations supplémentaires aux États parties concernés, dans l</w:t>
            </w:r>
            <w:r w:rsidR="00BD0B93">
              <w:rPr>
                <w:b/>
              </w:rPr>
              <w:t>’</w:t>
            </w:r>
            <w:r>
              <w:rPr>
                <w:b/>
              </w:rPr>
              <w:t>une des deux langues de travail de la Convention.</w:t>
            </w:r>
          </w:p>
        </w:tc>
      </w:tr>
      <w:tr w:rsidR="00024515" w:rsidRPr="008F13F2" w14:paraId="5C0047C5" w14:textId="77777777" w:rsidTr="00CE51CF">
        <w:tc>
          <w:tcPr>
            <w:tcW w:w="222" w:type="pct"/>
          </w:tcPr>
          <w:p w14:paraId="00D6CF2B" w14:textId="77777777" w:rsidR="00024515" w:rsidRDefault="00024515" w:rsidP="00024515">
            <w:pPr>
              <w:pStyle w:val="COMParaDecision"/>
              <w:numPr>
                <w:ilvl w:val="0"/>
                <w:numId w:val="0"/>
              </w:numPr>
              <w:spacing w:before="120"/>
              <w:jc w:val="right"/>
              <w:rPr>
                <w:u w:val="none"/>
              </w:rPr>
            </w:pPr>
          </w:p>
        </w:tc>
        <w:tc>
          <w:tcPr>
            <w:tcW w:w="697" w:type="pct"/>
          </w:tcPr>
          <w:p w14:paraId="4BD65387" w14:textId="77777777" w:rsidR="00024515" w:rsidRDefault="00024515" w:rsidP="00024515">
            <w:pPr>
              <w:pStyle w:val="COMParaDecision"/>
              <w:numPr>
                <w:ilvl w:val="0"/>
                <w:numId w:val="0"/>
              </w:numPr>
              <w:spacing w:before="120"/>
              <w:jc w:val="right"/>
              <w:rPr>
                <w:u w:val="none"/>
              </w:rPr>
            </w:pPr>
          </w:p>
        </w:tc>
        <w:tc>
          <w:tcPr>
            <w:tcW w:w="1606" w:type="pct"/>
          </w:tcPr>
          <w:p w14:paraId="784F30A4" w14:textId="77777777" w:rsidR="00024515" w:rsidRDefault="00024515" w:rsidP="00024515">
            <w:pPr>
              <w:pStyle w:val="COMParaDecision"/>
              <w:numPr>
                <w:ilvl w:val="0"/>
                <w:numId w:val="0"/>
              </w:numPr>
              <w:spacing w:before="120"/>
              <w:jc w:val="left"/>
              <w:rPr>
                <w:u w:val="none"/>
              </w:rPr>
            </w:pPr>
          </w:p>
        </w:tc>
        <w:tc>
          <w:tcPr>
            <w:tcW w:w="209" w:type="pct"/>
          </w:tcPr>
          <w:p w14:paraId="1109FDA4" w14:textId="77777777" w:rsidR="00024515" w:rsidRDefault="00024515" w:rsidP="00024515">
            <w:pPr>
              <w:pStyle w:val="COMParaDecision"/>
              <w:numPr>
                <w:ilvl w:val="0"/>
                <w:numId w:val="0"/>
              </w:numPr>
              <w:spacing w:before="120"/>
              <w:jc w:val="right"/>
              <w:rPr>
                <w:u w:val="none"/>
              </w:rPr>
            </w:pPr>
          </w:p>
        </w:tc>
        <w:tc>
          <w:tcPr>
            <w:tcW w:w="740" w:type="pct"/>
          </w:tcPr>
          <w:p w14:paraId="47542C02" w14:textId="3AC46024" w:rsidR="00AE50CB" w:rsidRPr="00F37497" w:rsidRDefault="00AE50CB" w:rsidP="00A27AF9">
            <w:pPr>
              <w:pStyle w:val="COMParaDecision"/>
              <w:numPr>
                <w:ilvl w:val="0"/>
                <w:numId w:val="0"/>
              </w:numPr>
              <w:spacing w:before="120"/>
              <w:rPr>
                <w:b/>
              </w:rPr>
            </w:pPr>
          </w:p>
        </w:tc>
        <w:tc>
          <w:tcPr>
            <w:tcW w:w="1526" w:type="pct"/>
          </w:tcPr>
          <w:p w14:paraId="032921BF" w14:textId="318F08D8" w:rsidR="00024515" w:rsidRPr="007E4CA1" w:rsidRDefault="00400108" w:rsidP="006D677A">
            <w:pPr>
              <w:pStyle w:val="COMParaDecision"/>
              <w:numPr>
                <w:ilvl w:val="0"/>
                <w:numId w:val="0"/>
              </w:numPr>
              <w:spacing w:before="120"/>
              <w:jc w:val="left"/>
              <w:rPr>
                <w:b/>
              </w:rPr>
            </w:pPr>
            <w:r>
              <w:rPr>
                <w:b/>
              </w:rPr>
              <w:t>Les États parties doivent répondre aux demandes de l</w:t>
            </w:r>
            <w:r w:rsidR="00BD0B93">
              <w:rPr>
                <w:b/>
              </w:rPr>
              <w:t>’</w:t>
            </w:r>
            <w:r>
              <w:rPr>
                <w:b/>
              </w:rPr>
              <w:t>Organe d</w:t>
            </w:r>
            <w:r w:rsidR="00BD0B93">
              <w:rPr>
                <w:b/>
              </w:rPr>
              <w:t>’</w:t>
            </w:r>
            <w:r>
              <w:rPr>
                <w:b/>
              </w:rPr>
              <w:t>évaluation, par l</w:t>
            </w:r>
            <w:r w:rsidR="00BD0B93">
              <w:rPr>
                <w:b/>
              </w:rPr>
              <w:t>’</w:t>
            </w:r>
            <w:r>
              <w:rPr>
                <w:b/>
              </w:rPr>
              <w:t>intermédiaire du Secrétariat, dans un délai de trois semaines suite à la réception du courrier, dans une des deux langues de travail de la Convention.</w:t>
            </w:r>
          </w:p>
        </w:tc>
      </w:tr>
      <w:tr w:rsidR="00AE50CB" w:rsidRPr="008F13F2" w14:paraId="707AFFCE" w14:textId="77777777" w:rsidTr="00CE51CF">
        <w:tc>
          <w:tcPr>
            <w:tcW w:w="222" w:type="pct"/>
          </w:tcPr>
          <w:p w14:paraId="3ECB0DEF" w14:textId="77777777" w:rsidR="00AE50CB" w:rsidRDefault="00AE50CB" w:rsidP="00024515">
            <w:pPr>
              <w:pStyle w:val="COMParaDecision"/>
              <w:numPr>
                <w:ilvl w:val="0"/>
                <w:numId w:val="0"/>
              </w:numPr>
              <w:spacing w:before="120"/>
              <w:jc w:val="right"/>
              <w:rPr>
                <w:u w:val="none"/>
              </w:rPr>
            </w:pPr>
          </w:p>
        </w:tc>
        <w:tc>
          <w:tcPr>
            <w:tcW w:w="697" w:type="pct"/>
          </w:tcPr>
          <w:p w14:paraId="0EE265B1" w14:textId="77777777" w:rsidR="00AE50CB" w:rsidRDefault="00AE50CB" w:rsidP="00024515">
            <w:pPr>
              <w:pStyle w:val="COMParaDecision"/>
              <w:numPr>
                <w:ilvl w:val="0"/>
                <w:numId w:val="0"/>
              </w:numPr>
              <w:spacing w:before="120"/>
              <w:jc w:val="right"/>
              <w:rPr>
                <w:u w:val="none"/>
              </w:rPr>
            </w:pPr>
          </w:p>
        </w:tc>
        <w:tc>
          <w:tcPr>
            <w:tcW w:w="1606" w:type="pct"/>
          </w:tcPr>
          <w:p w14:paraId="1E63DEF1" w14:textId="77777777" w:rsidR="00AE50CB" w:rsidRDefault="00AE50CB" w:rsidP="00024515">
            <w:pPr>
              <w:pStyle w:val="COMParaDecision"/>
              <w:numPr>
                <w:ilvl w:val="0"/>
                <w:numId w:val="0"/>
              </w:numPr>
              <w:spacing w:before="120"/>
              <w:jc w:val="left"/>
              <w:rPr>
                <w:u w:val="none"/>
              </w:rPr>
            </w:pPr>
          </w:p>
        </w:tc>
        <w:tc>
          <w:tcPr>
            <w:tcW w:w="209" w:type="pct"/>
          </w:tcPr>
          <w:p w14:paraId="786C7A65" w14:textId="77777777" w:rsidR="00AE50CB" w:rsidRDefault="00AE50CB" w:rsidP="00024515">
            <w:pPr>
              <w:pStyle w:val="COMParaDecision"/>
              <w:numPr>
                <w:ilvl w:val="0"/>
                <w:numId w:val="0"/>
              </w:numPr>
              <w:spacing w:before="120"/>
              <w:jc w:val="right"/>
              <w:rPr>
                <w:u w:val="none"/>
              </w:rPr>
            </w:pPr>
          </w:p>
        </w:tc>
        <w:tc>
          <w:tcPr>
            <w:tcW w:w="740" w:type="pct"/>
          </w:tcPr>
          <w:p w14:paraId="74A07364" w14:textId="755C48A9" w:rsidR="00AE50CB" w:rsidRDefault="00AE50CB" w:rsidP="00BD0B93">
            <w:pPr>
              <w:pStyle w:val="COMParaDecision"/>
              <w:numPr>
                <w:ilvl w:val="0"/>
                <w:numId w:val="0"/>
              </w:numPr>
              <w:spacing w:before="120"/>
              <w:jc w:val="right"/>
              <w:rPr>
                <w:b/>
              </w:rPr>
            </w:pPr>
            <w:r>
              <w:rPr>
                <w:b/>
              </w:rPr>
              <w:t>au plus tard en septembre année</w:t>
            </w:r>
            <w:r w:rsidR="00BD0B93">
              <w:rPr>
                <w:b/>
              </w:rPr>
              <w:t> </w:t>
            </w:r>
            <w:r w:rsidR="004E046F">
              <w:rPr>
                <w:b/>
              </w:rPr>
              <w:t xml:space="preserve">2 </w:t>
            </w:r>
          </w:p>
        </w:tc>
        <w:tc>
          <w:tcPr>
            <w:tcW w:w="1526" w:type="pct"/>
          </w:tcPr>
          <w:p w14:paraId="4A77C986" w14:textId="14AE2E27" w:rsidR="00AE50CB" w:rsidRDefault="00AE50CB" w:rsidP="006D677A">
            <w:pPr>
              <w:pStyle w:val="COMParaDecision"/>
              <w:numPr>
                <w:ilvl w:val="0"/>
                <w:numId w:val="0"/>
              </w:numPr>
              <w:spacing w:before="120"/>
              <w:jc w:val="left"/>
              <w:rPr>
                <w:b/>
              </w:rPr>
            </w:pPr>
            <w:r>
              <w:rPr>
                <w:b/>
              </w:rPr>
              <w:t>Réunion d</w:t>
            </w:r>
            <w:r w:rsidR="00BD0B93">
              <w:rPr>
                <w:b/>
              </w:rPr>
              <w:t>’</w:t>
            </w:r>
            <w:r>
              <w:rPr>
                <w:b/>
              </w:rPr>
              <w:t>évaluation finale par l</w:t>
            </w:r>
            <w:r w:rsidR="00BD0B93">
              <w:rPr>
                <w:b/>
              </w:rPr>
              <w:t>’</w:t>
            </w:r>
            <w:r>
              <w:rPr>
                <w:b/>
              </w:rPr>
              <w:t>Organe d</w:t>
            </w:r>
            <w:r w:rsidR="00BD0B93">
              <w:rPr>
                <w:b/>
              </w:rPr>
              <w:t>’</w:t>
            </w:r>
            <w:r>
              <w:rPr>
                <w:b/>
              </w:rPr>
              <w:t>évaluation.</w:t>
            </w:r>
          </w:p>
        </w:tc>
      </w:tr>
      <w:tr w:rsidR="00024515" w:rsidRPr="008F13F2" w14:paraId="7A2415FC" w14:textId="77777777" w:rsidTr="00CE51CF">
        <w:tc>
          <w:tcPr>
            <w:tcW w:w="222" w:type="pct"/>
          </w:tcPr>
          <w:p w14:paraId="11CE30EE" w14:textId="77777777" w:rsidR="00024515" w:rsidRDefault="00024515" w:rsidP="00024515">
            <w:pPr>
              <w:pStyle w:val="COMParaDecision"/>
              <w:numPr>
                <w:ilvl w:val="0"/>
                <w:numId w:val="0"/>
              </w:numPr>
              <w:spacing w:before="120"/>
              <w:jc w:val="right"/>
              <w:rPr>
                <w:u w:val="none"/>
              </w:rPr>
            </w:pPr>
          </w:p>
        </w:tc>
        <w:tc>
          <w:tcPr>
            <w:tcW w:w="697" w:type="pct"/>
          </w:tcPr>
          <w:p w14:paraId="2E37D535" w14:textId="77777777" w:rsidR="00024515" w:rsidRDefault="00024515" w:rsidP="00024515">
            <w:pPr>
              <w:pStyle w:val="COMParaDecision"/>
              <w:numPr>
                <w:ilvl w:val="0"/>
                <w:numId w:val="0"/>
              </w:numPr>
              <w:spacing w:before="120"/>
              <w:jc w:val="right"/>
              <w:rPr>
                <w:u w:val="none"/>
              </w:rPr>
            </w:pPr>
            <w:r>
              <w:rPr>
                <w:u w:val="none"/>
              </w:rPr>
              <w:t>Quatre semaines avant la session du Comité</w:t>
            </w:r>
          </w:p>
        </w:tc>
        <w:tc>
          <w:tcPr>
            <w:tcW w:w="1606" w:type="pct"/>
          </w:tcPr>
          <w:p w14:paraId="2EFB1551" w14:textId="792D4251" w:rsidR="00024515" w:rsidRDefault="00024515" w:rsidP="00024515">
            <w:pPr>
              <w:pStyle w:val="COMParaDecision"/>
              <w:numPr>
                <w:ilvl w:val="0"/>
                <w:numId w:val="0"/>
              </w:numPr>
              <w:spacing w:before="120"/>
              <w:jc w:val="left"/>
              <w:rPr>
                <w:u w:val="none"/>
              </w:rPr>
            </w:pPr>
            <w:r>
              <w:rPr>
                <w:u w:val="none"/>
              </w:rPr>
              <w:t>Le Secrétariat transmet aux membres du Comité les rapports d</w:t>
            </w:r>
            <w:r w:rsidR="00BD0B93">
              <w:rPr>
                <w:u w:val="none"/>
              </w:rPr>
              <w:t>’</w:t>
            </w:r>
            <w:r>
              <w:rPr>
                <w:u w:val="none"/>
              </w:rPr>
              <w:t>évaluation et les rend disponibles en ligne à des fins de consultation.</w:t>
            </w:r>
          </w:p>
        </w:tc>
        <w:tc>
          <w:tcPr>
            <w:tcW w:w="209" w:type="pct"/>
          </w:tcPr>
          <w:p w14:paraId="716D8DB4" w14:textId="77777777" w:rsidR="00024515" w:rsidRDefault="00024515" w:rsidP="00024515">
            <w:pPr>
              <w:pStyle w:val="COMParaDecision"/>
              <w:numPr>
                <w:ilvl w:val="0"/>
                <w:numId w:val="0"/>
              </w:numPr>
              <w:spacing w:before="120"/>
              <w:jc w:val="right"/>
              <w:rPr>
                <w:u w:val="none"/>
              </w:rPr>
            </w:pPr>
          </w:p>
        </w:tc>
        <w:tc>
          <w:tcPr>
            <w:tcW w:w="740" w:type="pct"/>
          </w:tcPr>
          <w:p w14:paraId="12E224F6" w14:textId="77777777" w:rsidR="00024515" w:rsidRDefault="00024515" w:rsidP="00024515">
            <w:pPr>
              <w:pStyle w:val="COMParaDecision"/>
              <w:numPr>
                <w:ilvl w:val="0"/>
                <w:numId w:val="0"/>
              </w:numPr>
              <w:spacing w:before="120"/>
              <w:jc w:val="right"/>
              <w:rPr>
                <w:u w:val="none"/>
              </w:rPr>
            </w:pPr>
            <w:r>
              <w:rPr>
                <w:u w:val="none"/>
              </w:rPr>
              <w:t>Quatre semaines avant la session du Comité</w:t>
            </w:r>
          </w:p>
        </w:tc>
        <w:tc>
          <w:tcPr>
            <w:tcW w:w="1526" w:type="pct"/>
          </w:tcPr>
          <w:p w14:paraId="08B09A82" w14:textId="58560773" w:rsidR="00024515" w:rsidRDefault="00024515" w:rsidP="00024515">
            <w:pPr>
              <w:pStyle w:val="COMParaDecision"/>
              <w:numPr>
                <w:ilvl w:val="0"/>
                <w:numId w:val="0"/>
              </w:numPr>
              <w:spacing w:before="120"/>
              <w:jc w:val="left"/>
              <w:rPr>
                <w:u w:val="none"/>
              </w:rPr>
            </w:pPr>
            <w:r>
              <w:rPr>
                <w:u w:val="none"/>
              </w:rPr>
              <w:t>Le Secrétariat transmet aux membres du Comité les rapports d</w:t>
            </w:r>
            <w:r w:rsidR="00BD0B93">
              <w:rPr>
                <w:u w:val="none"/>
              </w:rPr>
              <w:t>’</w:t>
            </w:r>
            <w:r>
              <w:rPr>
                <w:u w:val="none"/>
              </w:rPr>
              <w:t>évaluation et les rend disponibles en ligne à des fins de consultation.</w:t>
            </w:r>
          </w:p>
        </w:tc>
      </w:tr>
      <w:tr w:rsidR="004E046F" w:rsidRPr="0009414C" w14:paraId="7BEC5CE8" w14:textId="77777777" w:rsidTr="004E046F">
        <w:tc>
          <w:tcPr>
            <w:tcW w:w="222" w:type="pct"/>
          </w:tcPr>
          <w:p w14:paraId="556C5D8E" w14:textId="77777777" w:rsidR="004E046F" w:rsidRDefault="004E046F" w:rsidP="00024515">
            <w:pPr>
              <w:pStyle w:val="COMParaDecision"/>
              <w:numPr>
                <w:ilvl w:val="0"/>
                <w:numId w:val="0"/>
              </w:numPr>
              <w:spacing w:before="120"/>
              <w:jc w:val="right"/>
              <w:rPr>
                <w:u w:val="none"/>
              </w:rPr>
            </w:pPr>
            <w:r>
              <w:rPr>
                <w:u w:val="none"/>
              </w:rPr>
              <w:t>56.</w:t>
            </w:r>
          </w:p>
        </w:tc>
        <w:tc>
          <w:tcPr>
            <w:tcW w:w="697" w:type="pct"/>
          </w:tcPr>
          <w:p w14:paraId="394DF7EA" w14:textId="77777777" w:rsidR="004E046F" w:rsidRDefault="004E046F" w:rsidP="00024515">
            <w:pPr>
              <w:pStyle w:val="COMParaDecision"/>
              <w:numPr>
                <w:ilvl w:val="0"/>
                <w:numId w:val="0"/>
              </w:numPr>
              <w:spacing w:before="120"/>
              <w:jc w:val="right"/>
              <w:rPr>
                <w:u w:val="none"/>
              </w:rPr>
            </w:pPr>
            <w:r>
              <w:rPr>
                <w:u w:val="none"/>
              </w:rPr>
              <w:t>Phase 3 :</w:t>
            </w:r>
          </w:p>
        </w:tc>
        <w:tc>
          <w:tcPr>
            <w:tcW w:w="1606" w:type="pct"/>
          </w:tcPr>
          <w:p w14:paraId="7F2C91FD" w14:textId="77777777" w:rsidR="004E046F" w:rsidRDefault="004E046F" w:rsidP="00024515">
            <w:pPr>
              <w:pStyle w:val="COMParaDecision"/>
              <w:numPr>
                <w:ilvl w:val="0"/>
                <w:numId w:val="0"/>
              </w:numPr>
              <w:spacing w:before="120"/>
              <w:jc w:val="left"/>
              <w:rPr>
                <w:u w:val="none"/>
              </w:rPr>
            </w:pPr>
            <w:r>
              <w:rPr>
                <w:u w:val="none"/>
              </w:rPr>
              <w:t>Examen</w:t>
            </w:r>
          </w:p>
        </w:tc>
        <w:tc>
          <w:tcPr>
            <w:tcW w:w="209" w:type="pct"/>
          </w:tcPr>
          <w:p w14:paraId="6BE989C6" w14:textId="77777777" w:rsidR="004E046F" w:rsidRDefault="004E046F" w:rsidP="00024515">
            <w:pPr>
              <w:pStyle w:val="COMParaDecision"/>
              <w:numPr>
                <w:ilvl w:val="0"/>
                <w:numId w:val="0"/>
              </w:numPr>
              <w:spacing w:before="120"/>
              <w:jc w:val="right"/>
              <w:rPr>
                <w:u w:val="none"/>
              </w:rPr>
            </w:pPr>
            <w:r>
              <w:rPr>
                <w:u w:val="none"/>
              </w:rPr>
              <w:t>56.</w:t>
            </w:r>
          </w:p>
        </w:tc>
        <w:tc>
          <w:tcPr>
            <w:tcW w:w="2266" w:type="pct"/>
            <w:gridSpan w:val="2"/>
          </w:tcPr>
          <w:p w14:paraId="277CDB0E" w14:textId="1E084722" w:rsidR="004E046F" w:rsidRPr="0009414C" w:rsidRDefault="004E046F" w:rsidP="00024515">
            <w:pPr>
              <w:pStyle w:val="COMParaDecision"/>
              <w:numPr>
                <w:ilvl w:val="0"/>
                <w:numId w:val="0"/>
              </w:numPr>
              <w:spacing w:before="120"/>
              <w:jc w:val="left"/>
            </w:pPr>
            <w:r>
              <w:rPr>
                <w:u w:val="none"/>
              </w:rPr>
              <w:t>[Aucun changement]</w:t>
            </w:r>
          </w:p>
        </w:tc>
      </w:tr>
    </w:tbl>
    <w:p w14:paraId="35B532A8" w14:textId="774F63AB" w:rsidR="0053318C" w:rsidRPr="008F13F2" w:rsidRDefault="00A86E1B" w:rsidP="008F13F2">
      <w:pPr>
        <w:pStyle w:val="COMParaDecision"/>
        <w:numPr>
          <w:ilvl w:val="0"/>
          <w:numId w:val="0"/>
        </w:numPr>
        <w:spacing w:after="360"/>
        <w:jc w:val="center"/>
        <w:rPr>
          <w:b/>
          <w:sz w:val="24"/>
        </w:rPr>
      </w:pPr>
      <w:r>
        <w:rPr>
          <w:b/>
          <w:sz w:val="24"/>
        </w:rPr>
        <w:t>Annexe II</w:t>
      </w:r>
    </w:p>
    <w:p w14:paraId="5473EEA0" w14:textId="0035BB8E" w:rsidR="00A86E1B" w:rsidRPr="00D8048C" w:rsidRDefault="004E046F" w:rsidP="008F13F2">
      <w:pPr>
        <w:pStyle w:val="COMParaDecision"/>
        <w:numPr>
          <w:ilvl w:val="0"/>
          <w:numId w:val="0"/>
        </w:numPr>
        <w:jc w:val="center"/>
        <w:rPr>
          <w:u w:val="none"/>
        </w:rPr>
      </w:pPr>
      <w:r>
        <w:rPr>
          <w:noProof/>
          <w:u w:val="none"/>
          <w:lang w:val="en-US" w:eastAsia="ko-KR"/>
        </w:rPr>
        <w:drawing>
          <wp:inline distT="0" distB="0" distL="0" distR="0" wp14:anchorId="2868EC16" wp14:editId="5B98ABC9">
            <wp:extent cx="7584000" cy="56880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nex II_FR.png"/>
                    <pic:cNvPicPr/>
                  </pic:nvPicPr>
                  <pic:blipFill>
                    <a:blip r:embed="rId14">
                      <a:extLst>
                        <a:ext uri="{28A0092B-C50C-407E-A947-70E740481C1C}">
                          <a14:useLocalDpi xmlns:a14="http://schemas.microsoft.com/office/drawing/2010/main" val="0"/>
                        </a:ext>
                      </a:extLst>
                    </a:blip>
                    <a:stretch>
                      <a:fillRect/>
                    </a:stretch>
                  </pic:blipFill>
                  <pic:spPr>
                    <a:xfrm>
                      <a:off x="0" y="0"/>
                      <a:ext cx="7584000" cy="5688000"/>
                    </a:xfrm>
                    <a:prstGeom prst="rect">
                      <a:avLst/>
                    </a:prstGeom>
                  </pic:spPr>
                </pic:pic>
              </a:graphicData>
            </a:graphic>
          </wp:inline>
        </w:drawing>
      </w:r>
    </w:p>
    <w:sectPr w:rsidR="00A86E1B" w:rsidRPr="00D8048C" w:rsidSect="003C1886">
      <w:headerReference w:type="first" r:id="rId15"/>
      <w:pgSz w:w="16838" w:h="11906" w:orient="landscape" w:code="9"/>
      <w:pgMar w:top="1134" w:right="1134" w:bottom="1134" w:left="1418"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0E9D4" w14:textId="77777777" w:rsidR="00CB0542" w:rsidRDefault="00CB0542" w:rsidP="00655736">
      <w:r>
        <w:separator/>
      </w:r>
    </w:p>
  </w:endnote>
  <w:endnote w:type="continuationSeparator" w:id="0">
    <w:p w14:paraId="57DE60A8" w14:textId="77777777" w:rsidR="00CB0542" w:rsidRDefault="00CB054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B261A" w14:textId="77777777" w:rsidR="00CB0542" w:rsidRDefault="00CB0542" w:rsidP="00655736">
      <w:r>
        <w:separator/>
      </w:r>
    </w:p>
  </w:footnote>
  <w:footnote w:type="continuationSeparator" w:id="0">
    <w:p w14:paraId="4DE9E01F" w14:textId="77777777" w:rsidR="00CB0542" w:rsidRDefault="00CB054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2DE74" w14:textId="1E11D579" w:rsidR="00D95C4C" w:rsidRPr="00C23A97" w:rsidRDefault="00CB0542">
    <w:pPr>
      <w:pStyle w:val="Header"/>
      <w:rPr>
        <w:rFonts w:ascii="Arial" w:hAnsi="Arial" w:cs="Arial"/>
      </w:rPr>
    </w:pPr>
    <w:r>
      <w:rPr>
        <w:rFonts w:ascii="Arial" w:hAnsi="Arial"/>
        <w:sz w:val="20"/>
        <w:szCs w:val="20"/>
      </w:rPr>
      <w:t xml:space="preserve">ITH/17/12.COM/12 – page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9E3EE6">
      <w:rPr>
        <w:rStyle w:val="PageNumber"/>
        <w:rFonts w:ascii="Arial" w:hAnsi="Arial" w:cs="Arial"/>
        <w:noProof/>
        <w:sz w:val="20"/>
        <w:szCs w:val="20"/>
      </w:rPr>
      <w:t>6</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1B60" w14:textId="110AC12C" w:rsidR="00D95C4C" w:rsidRPr="0063300C" w:rsidRDefault="0053318C" w:rsidP="0063300C">
    <w:pPr>
      <w:pStyle w:val="Header"/>
      <w:jc w:val="right"/>
      <w:rPr>
        <w:rFonts w:ascii="Arial" w:hAnsi="Arial" w:cs="Arial"/>
      </w:rPr>
    </w:pPr>
    <w:r>
      <w:rPr>
        <w:rFonts w:ascii="Arial" w:hAnsi="Arial"/>
        <w:sz w:val="20"/>
        <w:szCs w:val="20"/>
      </w:rPr>
      <w:t xml:space="preserve">ITH/17/12.COM/12 – page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sidR="009E3EE6">
      <w:rPr>
        <w:rStyle w:val="PageNumber"/>
        <w:rFonts w:ascii="Arial" w:hAnsi="Arial" w:cs="Arial"/>
        <w:noProof/>
        <w:sz w:val="20"/>
        <w:szCs w:val="20"/>
      </w:rPr>
      <w:t>5</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9415A" w14:textId="776AEDE5" w:rsidR="00D95C4C" w:rsidRPr="00F32C23" w:rsidRDefault="005F2349">
    <w:pPr>
      <w:pStyle w:val="Header"/>
    </w:pPr>
    <w:r>
      <w:rPr>
        <w:noProof/>
        <w:lang w:val="en-US" w:eastAsia="ko-KR"/>
      </w:rPr>
      <w:drawing>
        <wp:anchor distT="0" distB="0" distL="114300" distR="114300" simplePos="0" relativeHeight="251659776" behindDoc="0" locked="0" layoutInCell="1" allowOverlap="1" wp14:anchorId="01476010" wp14:editId="76DEB2AC">
          <wp:simplePos x="0" y="0"/>
          <wp:positionH relativeFrom="page">
            <wp:posOffset>342265</wp:posOffset>
          </wp:positionH>
          <wp:positionV relativeFrom="page">
            <wp:posOffset>255905</wp:posOffset>
          </wp:positionV>
          <wp:extent cx="2037600" cy="1530000"/>
          <wp:effectExtent l="0" t="0" r="1270" b="0"/>
          <wp:wrapNone/>
          <wp:docPr id="3"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CC90D" w14:textId="774E391A" w:rsidR="00D95C4C" w:rsidRPr="007E4CA1" w:rsidRDefault="00337CEB" w:rsidP="00655736">
    <w:pPr>
      <w:pStyle w:val="Header"/>
      <w:spacing w:after="520"/>
      <w:jc w:val="right"/>
      <w:rPr>
        <w:rFonts w:ascii="Arial" w:hAnsi="Arial" w:cs="Arial"/>
        <w:b/>
        <w:sz w:val="44"/>
        <w:szCs w:val="44"/>
        <w:lang w:val="en-US"/>
      </w:rPr>
    </w:pPr>
    <w:r w:rsidRPr="007E4CA1">
      <w:rPr>
        <w:rFonts w:ascii="Arial" w:hAnsi="Arial"/>
        <w:b/>
        <w:sz w:val="44"/>
        <w:szCs w:val="44"/>
        <w:lang w:val="en-US"/>
      </w:rPr>
      <w:t>12 COM</w:t>
    </w:r>
  </w:p>
  <w:p w14:paraId="0819C9C6" w14:textId="085EDF1A" w:rsidR="00D95C4C" w:rsidRPr="007E4CA1" w:rsidRDefault="00337CEB" w:rsidP="00655736">
    <w:pPr>
      <w:jc w:val="right"/>
      <w:rPr>
        <w:rFonts w:ascii="Arial" w:hAnsi="Arial" w:cs="Arial"/>
        <w:b/>
        <w:sz w:val="22"/>
        <w:szCs w:val="22"/>
        <w:lang w:val="en-US"/>
      </w:rPr>
    </w:pPr>
    <w:r w:rsidRPr="007E4CA1">
      <w:rPr>
        <w:rFonts w:ascii="Arial" w:hAnsi="Arial"/>
        <w:b/>
        <w:sz w:val="22"/>
        <w:szCs w:val="22"/>
        <w:lang w:val="en-US"/>
      </w:rPr>
      <w:t>ITH/17/12.COM/12</w:t>
    </w:r>
  </w:p>
  <w:p w14:paraId="605E6BE6" w14:textId="66EF2107" w:rsidR="00D95C4C" w:rsidRPr="00DA7123" w:rsidRDefault="00D95C4C" w:rsidP="00655736">
    <w:pPr>
      <w:jc w:val="right"/>
      <w:rPr>
        <w:rFonts w:ascii="Arial" w:eastAsiaTheme="minorEastAsia" w:hAnsi="Arial" w:cs="Arial"/>
        <w:b/>
        <w:sz w:val="22"/>
        <w:szCs w:val="22"/>
      </w:rPr>
    </w:pPr>
    <w:r w:rsidRPr="00DA7123">
      <w:rPr>
        <w:rFonts w:ascii="Arial" w:hAnsi="Arial"/>
        <w:b/>
        <w:sz w:val="22"/>
        <w:szCs w:val="22"/>
      </w:rPr>
      <w:t xml:space="preserve">Paris, le </w:t>
    </w:r>
    <w:r w:rsidR="009E3EE6">
      <w:rPr>
        <w:rFonts w:ascii="Arial" w:hAnsi="Arial"/>
        <w:b/>
        <w:sz w:val="22"/>
        <w:szCs w:val="22"/>
      </w:rPr>
      <w:t>3</w:t>
    </w:r>
    <w:r w:rsidR="005F2349" w:rsidRPr="00DA7123">
      <w:rPr>
        <w:rFonts w:ascii="Arial" w:hAnsi="Arial"/>
        <w:b/>
        <w:sz w:val="22"/>
        <w:szCs w:val="22"/>
      </w:rPr>
      <w:t xml:space="preserve"> novembre</w:t>
    </w:r>
    <w:r w:rsidRPr="00DA7123">
      <w:rPr>
        <w:rFonts w:ascii="Arial" w:hAnsi="Arial"/>
        <w:b/>
        <w:sz w:val="22"/>
        <w:szCs w:val="22"/>
      </w:rPr>
      <w:t> 2017</w:t>
    </w:r>
  </w:p>
  <w:p w14:paraId="215E2E86" w14:textId="77777777" w:rsidR="00D95C4C" w:rsidRPr="00F32C23" w:rsidRDefault="00D95C4C" w:rsidP="000048ED">
    <w:pPr>
      <w:jc w:val="right"/>
      <w:rPr>
        <w:rFonts w:ascii="Arial" w:hAnsi="Arial" w:cs="Arial"/>
        <w:b/>
        <w:sz w:val="22"/>
        <w:szCs w:val="22"/>
      </w:rPr>
    </w:pPr>
    <w:r>
      <w:rPr>
        <w:rFonts w:ascii="Arial" w:hAnsi="Arial"/>
        <w:b/>
        <w:sz w:val="22"/>
        <w:szCs w:val="22"/>
      </w:rPr>
      <w:t>Original : anglais</w:t>
    </w:r>
  </w:p>
  <w:p w14:paraId="352B8799" w14:textId="77777777" w:rsidR="00D95C4C" w:rsidRPr="00F32C23" w:rsidRDefault="00D95C4C">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4081" w14:textId="77777777" w:rsidR="003C1886" w:rsidRPr="00F32C23" w:rsidRDefault="003C188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67DE123E"/>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4EC5526"/>
    <w:multiLevelType w:val="hybridMultilevel"/>
    <w:tmpl w:val="0A7454CE"/>
    <w:lvl w:ilvl="0" w:tplc="ED44E9E2">
      <w:start w:val="2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844067"/>
    <w:multiLevelType w:val="hybridMultilevel"/>
    <w:tmpl w:val="19AE79AC"/>
    <w:lvl w:ilvl="0" w:tplc="7D4EA47E">
      <w:start w:val="3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3"/>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num>
  <w:num w:numId="18">
    <w:abstractNumId w:val="5"/>
    <w:lvlOverride w:ilvl="0">
      <w:startOverride w:val="1"/>
    </w:lvlOverride>
  </w:num>
  <w:num w:numId="19">
    <w:abstractNumId w:val="5"/>
  </w:num>
  <w:num w:numId="20">
    <w:abstractNumId w:val="5"/>
    <w:lvlOverride w:ilvl="0">
      <w:startOverride w:val="1"/>
    </w:lvlOverride>
  </w:num>
  <w:num w:numId="21">
    <w:abstractNumId w:val="5"/>
  </w:num>
  <w:num w:numId="22">
    <w:abstractNumId w:val="11"/>
  </w:num>
  <w:num w:numId="23">
    <w:abstractNumId w:val="5"/>
    <w:lvlOverride w:ilvl="0">
      <w:startOverride w:val="1"/>
    </w:lvlOverride>
  </w:num>
  <w:num w:numId="24">
    <w:abstractNumId w:val="5"/>
  </w:num>
  <w:num w:numId="25">
    <w:abstractNumId w:val="5"/>
    <w:lvlOverride w:ilvl="0">
      <w:startOverride w:val="1"/>
    </w:lvlOverride>
  </w:num>
  <w:num w:numId="26">
    <w:abstractNumId w:val="5"/>
    <w:lvlOverride w:ilvl="0">
      <w:startOverride w:val="1"/>
    </w:lvlOverride>
  </w:num>
  <w:num w:numId="27">
    <w:abstractNumId w:val="5"/>
  </w:num>
  <w:num w:numId="28">
    <w:abstractNumId w:val="5"/>
  </w:num>
  <w:num w:numId="29">
    <w:abstractNumId w:val="5"/>
    <w:lvlOverride w:ilvl="0">
      <w:startOverride w:val="1"/>
    </w:lvlOverride>
  </w:num>
  <w:num w:numId="30">
    <w:abstractNumId w:val="5"/>
  </w:num>
  <w:num w:numId="31">
    <w:abstractNumId w:val="1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163AF"/>
    <w:rsid w:val="00017270"/>
    <w:rsid w:val="00022EC1"/>
    <w:rsid w:val="00024515"/>
    <w:rsid w:val="00041A66"/>
    <w:rsid w:val="00045048"/>
    <w:rsid w:val="00045623"/>
    <w:rsid w:val="0005176E"/>
    <w:rsid w:val="0006360B"/>
    <w:rsid w:val="0006552D"/>
    <w:rsid w:val="00066E9D"/>
    <w:rsid w:val="00070BA2"/>
    <w:rsid w:val="00074BE0"/>
    <w:rsid w:val="000765F7"/>
    <w:rsid w:val="00077AB7"/>
    <w:rsid w:val="00081CD8"/>
    <w:rsid w:val="00092189"/>
    <w:rsid w:val="0009414C"/>
    <w:rsid w:val="000A7F0E"/>
    <w:rsid w:val="000B1C8F"/>
    <w:rsid w:val="000C04CB"/>
    <w:rsid w:val="000C0D61"/>
    <w:rsid w:val="000D45E0"/>
    <w:rsid w:val="000D4D43"/>
    <w:rsid w:val="000E1D33"/>
    <w:rsid w:val="000E2CB7"/>
    <w:rsid w:val="000F3A3F"/>
    <w:rsid w:val="000F41A4"/>
    <w:rsid w:val="00102557"/>
    <w:rsid w:val="0011647C"/>
    <w:rsid w:val="001200C3"/>
    <w:rsid w:val="00121289"/>
    <w:rsid w:val="0012310C"/>
    <w:rsid w:val="00125508"/>
    <w:rsid w:val="00131926"/>
    <w:rsid w:val="00155571"/>
    <w:rsid w:val="00164D56"/>
    <w:rsid w:val="00166534"/>
    <w:rsid w:val="001675B2"/>
    <w:rsid w:val="00167B10"/>
    <w:rsid w:val="0017402F"/>
    <w:rsid w:val="0018330D"/>
    <w:rsid w:val="00185BC3"/>
    <w:rsid w:val="00196C1B"/>
    <w:rsid w:val="001B0DCE"/>
    <w:rsid w:val="001B0F73"/>
    <w:rsid w:val="001B6593"/>
    <w:rsid w:val="001C2DB7"/>
    <w:rsid w:val="001D1746"/>
    <w:rsid w:val="001D5C04"/>
    <w:rsid w:val="001D7390"/>
    <w:rsid w:val="001D739C"/>
    <w:rsid w:val="001F26CF"/>
    <w:rsid w:val="001F6520"/>
    <w:rsid w:val="00210629"/>
    <w:rsid w:val="00222A2D"/>
    <w:rsid w:val="00223029"/>
    <w:rsid w:val="00227673"/>
    <w:rsid w:val="00232337"/>
    <w:rsid w:val="00234745"/>
    <w:rsid w:val="002351A6"/>
    <w:rsid w:val="002357D9"/>
    <w:rsid w:val="002407AF"/>
    <w:rsid w:val="002441EA"/>
    <w:rsid w:val="00256C43"/>
    <w:rsid w:val="00267C1F"/>
    <w:rsid w:val="00270C70"/>
    <w:rsid w:val="0027466B"/>
    <w:rsid w:val="0028143E"/>
    <w:rsid w:val="002838A5"/>
    <w:rsid w:val="00285BB4"/>
    <w:rsid w:val="0029596A"/>
    <w:rsid w:val="002C0777"/>
    <w:rsid w:val="002C09E3"/>
    <w:rsid w:val="002C18D4"/>
    <w:rsid w:val="002D0DF0"/>
    <w:rsid w:val="002E5129"/>
    <w:rsid w:val="002F6CA8"/>
    <w:rsid w:val="00302D33"/>
    <w:rsid w:val="00317B23"/>
    <w:rsid w:val="00333D93"/>
    <w:rsid w:val="00337CEB"/>
    <w:rsid w:val="00344B58"/>
    <w:rsid w:val="0034539A"/>
    <w:rsid w:val="00345CB4"/>
    <w:rsid w:val="00375D42"/>
    <w:rsid w:val="00390629"/>
    <w:rsid w:val="00394259"/>
    <w:rsid w:val="003A0380"/>
    <w:rsid w:val="003C0B70"/>
    <w:rsid w:val="003C1886"/>
    <w:rsid w:val="003C6FF5"/>
    <w:rsid w:val="003D069C"/>
    <w:rsid w:val="003D2F17"/>
    <w:rsid w:val="003D7646"/>
    <w:rsid w:val="003F113A"/>
    <w:rsid w:val="003F3E63"/>
    <w:rsid w:val="003F5BFD"/>
    <w:rsid w:val="00400108"/>
    <w:rsid w:val="00402755"/>
    <w:rsid w:val="00407480"/>
    <w:rsid w:val="00411088"/>
    <w:rsid w:val="00414643"/>
    <w:rsid w:val="004213E0"/>
    <w:rsid w:val="00421625"/>
    <w:rsid w:val="0043039F"/>
    <w:rsid w:val="004421E5"/>
    <w:rsid w:val="00444712"/>
    <w:rsid w:val="00450A45"/>
    <w:rsid w:val="00452284"/>
    <w:rsid w:val="00457C8E"/>
    <w:rsid w:val="0047028B"/>
    <w:rsid w:val="00472DD2"/>
    <w:rsid w:val="00474AAE"/>
    <w:rsid w:val="00476F9E"/>
    <w:rsid w:val="00481C04"/>
    <w:rsid w:val="004856CA"/>
    <w:rsid w:val="00487E67"/>
    <w:rsid w:val="00491A99"/>
    <w:rsid w:val="004954F9"/>
    <w:rsid w:val="0049705E"/>
    <w:rsid w:val="004A34A0"/>
    <w:rsid w:val="004A407B"/>
    <w:rsid w:val="004A429B"/>
    <w:rsid w:val="004A55E3"/>
    <w:rsid w:val="004B1114"/>
    <w:rsid w:val="004C41CF"/>
    <w:rsid w:val="004E046F"/>
    <w:rsid w:val="005008A8"/>
    <w:rsid w:val="0052240D"/>
    <w:rsid w:val="00526B7B"/>
    <w:rsid w:val="005308CE"/>
    <w:rsid w:val="0053318C"/>
    <w:rsid w:val="005401B7"/>
    <w:rsid w:val="0054346C"/>
    <w:rsid w:val="005449D9"/>
    <w:rsid w:val="0055240C"/>
    <w:rsid w:val="00554E8A"/>
    <w:rsid w:val="005639C8"/>
    <w:rsid w:val="005659BF"/>
    <w:rsid w:val="00572A5B"/>
    <w:rsid w:val="0057439C"/>
    <w:rsid w:val="005B0127"/>
    <w:rsid w:val="005B7A35"/>
    <w:rsid w:val="005C369A"/>
    <w:rsid w:val="005C4B73"/>
    <w:rsid w:val="005D6AC2"/>
    <w:rsid w:val="005E007F"/>
    <w:rsid w:val="005E1D2B"/>
    <w:rsid w:val="005E3C2D"/>
    <w:rsid w:val="005E7074"/>
    <w:rsid w:val="005F2349"/>
    <w:rsid w:val="005F2BAF"/>
    <w:rsid w:val="005F7708"/>
    <w:rsid w:val="00600D93"/>
    <w:rsid w:val="00607D97"/>
    <w:rsid w:val="006165EC"/>
    <w:rsid w:val="00624150"/>
    <w:rsid w:val="0063300C"/>
    <w:rsid w:val="00643631"/>
    <w:rsid w:val="0064548B"/>
    <w:rsid w:val="00655736"/>
    <w:rsid w:val="00655956"/>
    <w:rsid w:val="00656A51"/>
    <w:rsid w:val="00663B8D"/>
    <w:rsid w:val="00676348"/>
    <w:rsid w:val="00684BD2"/>
    <w:rsid w:val="00696C8D"/>
    <w:rsid w:val="006A0111"/>
    <w:rsid w:val="006A0A2D"/>
    <w:rsid w:val="006A2AC2"/>
    <w:rsid w:val="006A2AC8"/>
    <w:rsid w:val="006A3617"/>
    <w:rsid w:val="006D3234"/>
    <w:rsid w:val="006D50B3"/>
    <w:rsid w:val="006D677A"/>
    <w:rsid w:val="006D6803"/>
    <w:rsid w:val="006E46D8"/>
    <w:rsid w:val="006E46E4"/>
    <w:rsid w:val="006E47BC"/>
    <w:rsid w:val="006E5707"/>
    <w:rsid w:val="006F39C6"/>
    <w:rsid w:val="00710D7C"/>
    <w:rsid w:val="00717DA5"/>
    <w:rsid w:val="00723DC6"/>
    <w:rsid w:val="00734D49"/>
    <w:rsid w:val="00744484"/>
    <w:rsid w:val="00747566"/>
    <w:rsid w:val="00767E4F"/>
    <w:rsid w:val="00772E6E"/>
    <w:rsid w:val="00773188"/>
    <w:rsid w:val="00781E38"/>
    <w:rsid w:val="00783782"/>
    <w:rsid w:val="00784B8C"/>
    <w:rsid w:val="007879E1"/>
    <w:rsid w:val="007A1F3F"/>
    <w:rsid w:val="007B373D"/>
    <w:rsid w:val="007B74CB"/>
    <w:rsid w:val="007E4CA1"/>
    <w:rsid w:val="007F7A54"/>
    <w:rsid w:val="00805065"/>
    <w:rsid w:val="00823A11"/>
    <w:rsid w:val="008511EF"/>
    <w:rsid w:val="0085405E"/>
    <w:rsid w:val="0085414A"/>
    <w:rsid w:val="0086269D"/>
    <w:rsid w:val="0086543A"/>
    <w:rsid w:val="008724E5"/>
    <w:rsid w:val="00880DF9"/>
    <w:rsid w:val="008840D6"/>
    <w:rsid w:val="00884A9D"/>
    <w:rsid w:val="0088512B"/>
    <w:rsid w:val="008855CC"/>
    <w:rsid w:val="008A187D"/>
    <w:rsid w:val="008A2943"/>
    <w:rsid w:val="008A2B2D"/>
    <w:rsid w:val="008A4E1E"/>
    <w:rsid w:val="008A5D53"/>
    <w:rsid w:val="008C1F2D"/>
    <w:rsid w:val="008C296C"/>
    <w:rsid w:val="008D3CF7"/>
    <w:rsid w:val="008D4305"/>
    <w:rsid w:val="008E1A85"/>
    <w:rsid w:val="008E2B10"/>
    <w:rsid w:val="008F13F2"/>
    <w:rsid w:val="00904CC8"/>
    <w:rsid w:val="00905A5D"/>
    <w:rsid w:val="00906C1F"/>
    <w:rsid w:val="009163A7"/>
    <w:rsid w:val="00930BC8"/>
    <w:rsid w:val="00935561"/>
    <w:rsid w:val="0093654B"/>
    <w:rsid w:val="00937540"/>
    <w:rsid w:val="009401CE"/>
    <w:rsid w:val="00940DAA"/>
    <w:rsid w:val="00946D0B"/>
    <w:rsid w:val="00953F53"/>
    <w:rsid w:val="00955877"/>
    <w:rsid w:val="009A18CD"/>
    <w:rsid w:val="009C6B94"/>
    <w:rsid w:val="009D28CD"/>
    <w:rsid w:val="009D5428"/>
    <w:rsid w:val="009E3A32"/>
    <w:rsid w:val="009E3EE6"/>
    <w:rsid w:val="009E6887"/>
    <w:rsid w:val="00A12558"/>
    <w:rsid w:val="00A13903"/>
    <w:rsid w:val="00A15D19"/>
    <w:rsid w:val="00A27AF9"/>
    <w:rsid w:val="00A3317A"/>
    <w:rsid w:val="00A34ED5"/>
    <w:rsid w:val="00A45DBF"/>
    <w:rsid w:val="00A5134D"/>
    <w:rsid w:val="00A51F87"/>
    <w:rsid w:val="00A5217F"/>
    <w:rsid w:val="00A53AE3"/>
    <w:rsid w:val="00A673AB"/>
    <w:rsid w:val="00A7347D"/>
    <w:rsid w:val="00A755A2"/>
    <w:rsid w:val="00A810CA"/>
    <w:rsid w:val="00A85F14"/>
    <w:rsid w:val="00A86E1B"/>
    <w:rsid w:val="00A91F62"/>
    <w:rsid w:val="00A97590"/>
    <w:rsid w:val="00A97E92"/>
    <w:rsid w:val="00AA5C32"/>
    <w:rsid w:val="00AA6660"/>
    <w:rsid w:val="00AB2C36"/>
    <w:rsid w:val="00AB60CC"/>
    <w:rsid w:val="00AB6DDE"/>
    <w:rsid w:val="00AB70B6"/>
    <w:rsid w:val="00AB77A4"/>
    <w:rsid w:val="00AC3856"/>
    <w:rsid w:val="00AD1A86"/>
    <w:rsid w:val="00AE103E"/>
    <w:rsid w:val="00AE3DE4"/>
    <w:rsid w:val="00AE50CB"/>
    <w:rsid w:val="00AF0A07"/>
    <w:rsid w:val="00AF4AEC"/>
    <w:rsid w:val="00AF625E"/>
    <w:rsid w:val="00B020CF"/>
    <w:rsid w:val="00B04A4B"/>
    <w:rsid w:val="00B23651"/>
    <w:rsid w:val="00B40907"/>
    <w:rsid w:val="00B52B22"/>
    <w:rsid w:val="00B6091D"/>
    <w:rsid w:val="00B61AFF"/>
    <w:rsid w:val="00B62A66"/>
    <w:rsid w:val="00BA2152"/>
    <w:rsid w:val="00BB04AF"/>
    <w:rsid w:val="00BB0575"/>
    <w:rsid w:val="00BB46D2"/>
    <w:rsid w:val="00BC131F"/>
    <w:rsid w:val="00BC7036"/>
    <w:rsid w:val="00BD0B93"/>
    <w:rsid w:val="00BD52C9"/>
    <w:rsid w:val="00BE0210"/>
    <w:rsid w:val="00BE3827"/>
    <w:rsid w:val="00BE608C"/>
    <w:rsid w:val="00BE6354"/>
    <w:rsid w:val="00BF75C1"/>
    <w:rsid w:val="00BF7797"/>
    <w:rsid w:val="00C05FD0"/>
    <w:rsid w:val="00C138D1"/>
    <w:rsid w:val="00C218EB"/>
    <w:rsid w:val="00C22BED"/>
    <w:rsid w:val="00C23A97"/>
    <w:rsid w:val="00C244FB"/>
    <w:rsid w:val="00C37CFC"/>
    <w:rsid w:val="00C50DBD"/>
    <w:rsid w:val="00C64855"/>
    <w:rsid w:val="00C70EA7"/>
    <w:rsid w:val="00C7433F"/>
    <w:rsid w:val="00C7516E"/>
    <w:rsid w:val="00C75770"/>
    <w:rsid w:val="00C927E7"/>
    <w:rsid w:val="00C93B47"/>
    <w:rsid w:val="00C97D62"/>
    <w:rsid w:val="00CA0658"/>
    <w:rsid w:val="00CA56BB"/>
    <w:rsid w:val="00CB0542"/>
    <w:rsid w:val="00CC0871"/>
    <w:rsid w:val="00CC1DF4"/>
    <w:rsid w:val="00CD0283"/>
    <w:rsid w:val="00CD628F"/>
    <w:rsid w:val="00CE3635"/>
    <w:rsid w:val="00CE51CF"/>
    <w:rsid w:val="00CE7856"/>
    <w:rsid w:val="00CF0214"/>
    <w:rsid w:val="00CF1ECE"/>
    <w:rsid w:val="00CF50DB"/>
    <w:rsid w:val="00D00B2B"/>
    <w:rsid w:val="00D02299"/>
    <w:rsid w:val="00D023D0"/>
    <w:rsid w:val="00D24877"/>
    <w:rsid w:val="00D256B2"/>
    <w:rsid w:val="00D26D6A"/>
    <w:rsid w:val="00D32AED"/>
    <w:rsid w:val="00D331E3"/>
    <w:rsid w:val="00D513A4"/>
    <w:rsid w:val="00D570D0"/>
    <w:rsid w:val="00D8048C"/>
    <w:rsid w:val="00D8250F"/>
    <w:rsid w:val="00D95C4C"/>
    <w:rsid w:val="00DA0F7F"/>
    <w:rsid w:val="00DA36ED"/>
    <w:rsid w:val="00DA7123"/>
    <w:rsid w:val="00DD3502"/>
    <w:rsid w:val="00DD750C"/>
    <w:rsid w:val="00DE34F1"/>
    <w:rsid w:val="00DE6160"/>
    <w:rsid w:val="00DF4942"/>
    <w:rsid w:val="00E030FF"/>
    <w:rsid w:val="00E031D3"/>
    <w:rsid w:val="00E07305"/>
    <w:rsid w:val="00E14F1F"/>
    <w:rsid w:val="00E2134F"/>
    <w:rsid w:val="00E22E8E"/>
    <w:rsid w:val="00E23E29"/>
    <w:rsid w:val="00E244E1"/>
    <w:rsid w:val="00E30140"/>
    <w:rsid w:val="00E362DD"/>
    <w:rsid w:val="00E375FC"/>
    <w:rsid w:val="00E37A2F"/>
    <w:rsid w:val="00E52A75"/>
    <w:rsid w:val="00E55744"/>
    <w:rsid w:val="00E627B1"/>
    <w:rsid w:val="00E62C1B"/>
    <w:rsid w:val="00E70169"/>
    <w:rsid w:val="00E9376C"/>
    <w:rsid w:val="00EA335E"/>
    <w:rsid w:val="00EA528C"/>
    <w:rsid w:val="00EA580C"/>
    <w:rsid w:val="00EB7823"/>
    <w:rsid w:val="00EC2F15"/>
    <w:rsid w:val="00EC6F8D"/>
    <w:rsid w:val="00ED21ED"/>
    <w:rsid w:val="00ED507E"/>
    <w:rsid w:val="00EE49F4"/>
    <w:rsid w:val="00EF34E2"/>
    <w:rsid w:val="00EF4960"/>
    <w:rsid w:val="00F11434"/>
    <w:rsid w:val="00F122ED"/>
    <w:rsid w:val="00F12738"/>
    <w:rsid w:val="00F30DC6"/>
    <w:rsid w:val="00F32C23"/>
    <w:rsid w:val="00F37497"/>
    <w:rsid w:val="00F53DE9"/>
    <w:rsid w:val="00F576CB"/>
    <w:rsid w:val="00F7035D"/>
    <w:rsid w:val="00F71A02"/>
    <w:rsid w:val="00F84573"/>
    <w:rsid w:val="00F873AA"/>
    <w:rsid w:val="00FA0D63"/>
    <w:rsid w:val="00FA39CF"/>
    <w:rsid w:val="00FC53E5"/>
    <w:rsid w:val="00FD0065"/>
    <w:rsid w:val="00FD1226"/>
    <w:rsid w:val="00FD53BC"/>
    <w:rsid w:val="00FF189B"/>
    <w:rsid w:val="00FF2264"/>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A2837AD"/>
  <w15:docId w15:val="{C869AA31-0D4A-485C-9B6F-B5F3692E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character" w:styleId="Hyperlink">
    <w:name w:val="Hyperlink"/>
    <w:basedOn w:val="DefaultParagraphFont"/>
    <w:uiPriority w:val="99"/>
    <w:unhideWhenUsed/>
    <w:rsid w:val="00E22E8E"/>
    <w:rPr>
      <w:color w:val="0000FF" w:themeColor="hyperlink"/>
      <w:u w:val="single"/>
    </w:rPr>
  </w:style>
  <w:style w:type="character" w:styleId="FollowedHyperlink">
    <w:name w:val="FollowedHyperlink"/>
    <w:basedOn w:val="DefaultParagraphFont"/>
    <w:uiPriority w:val="99"/>
    <w:semiHidden/>
    <w:unhideWhenUsed/>
    <w:rsid w:val="00125508"/>
    <w:rPr>
      <w:color w:val="800080" w:themeColor="followedHyperlink"/>
      <w:u w:val="single"/>
    </w:rPr>
  </w:style>
  <w:style w:type="character" w:styleId="CommentReference">
    <w:name w:val="annotation reference"/>
    <w:basedOn w:val="DefaultParagraphFont"/>
    <w:uiPriority w:val="99"/>
    <w:semiHidden/>
    <w:unhideWhenUsed/>
    <w:rsid w:val="005639C8"/>
    <w:rPr>
      <w:sz w:val="16"/>
      <w:szCs w:val="16"/>
    </w:rPr>
  </w:style>
  <w:style w:type="paragraph" w:styleId="CommentText">
    <w:name w:val="annotation text"/>
    <w:basedOn w:val="Normal"/>
    <w:link w:val="CommentTextChar"/>
    <w:uiPriority w:val="99"/>
    <w:semiHidden/>
    <w:unhideWhenUsed/>
    <w:rsid w:val="005639C8"/>
    <w:rPr>
      <w:sz w:val="20"/>
      <w:szCs w:val="20"/>
    </w:rPr>
  </w:style>
  <w:style w:type="character" w:customStyle="1" w:styleId="CommentTextChar">
    <w:name w:val="Comment Text Char"/>
    <w:basedOn w:val="DefaultParagraphFont"/>
    <w:link w:val="CommentText"/>
    <w:uiPriority w:val="99"/>
    <w:semiHidden/>
    <w:rsid w:val="005639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639C8"/>
    <w:rPr>
      <w:b/>
      <w:bCs/>
    </w:rPr>
  </w:style>
  <w:style w:type="character" w:customStyle="1" w:styleId="CommentSubjectChar">
    <w:name w:val="Comment Subject Char"/>
    <w:basedOn w:val="CommentTextChar"/>
    <w:link w:val="CommentSubject"/>
    <w:uiPriority w:val="99"/>
    <w:semiHidden/>
    <w:rsid w:val="005639C8"/>
    <w:rPr>
      <w:rFonts w:ascii="Times New Roman" w:eastAsia="Times New Roman" w:hAnsi="Times New Roman"/>
      <w:b/>
      <w:bCs/>
    </w:rPr>
  </w:style>
  <w:style w:type="paragraph" w:styleId="Revision">
    <w:name w:val="Revision"/>
    <w:hidden/>
    <w:uiPriority w:val="99"/>
    <w:semiHidden/>
    <w:rsid w:val="00AB77A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45514">
      <w:bodyDiv w:val="1"/>
      <w:marLeft w:val="0"/>
      <w:marRight w:val="0"/>
      <w:marTop w:val="0"/>
      <w:marBottom w:val="0"/>
      <w:divBdr>
        <w:top w:val="none" w:sz="0" w:space="0" w:color="auto"/>
        <w:left w:val="none" w:sz="0" w:space="0" w:color="auto"/>
        <w:bottom w:val="none" w:sz="0" w:space="0" w:color="auto"/>
        <w:right w:val="none" w:sz="0" w:space="0" w:color="auto"/>
      </w:divBdr>
      <w:divsChild>
        <w:div w:id="750852467">
          <w:marLeft w:val="0"/>
          <w:marRight w:val="0"/>
          <w:marTop w:val="0"/>
          <w:marBottom w:val="0"/>
          <w:divBdr>
            <w:top w:val="none" w:sz="0" w:space="0" w:color="auto"/>
            <w:left w:val="none" w:sz="0" w:space="0" w:color="auto"/>
            <w:bottom w:val="none" w:sz="0" w:space="0" w:color="auto"/>
            <w:right w:val="none" w:sz="0" w:space="0" w:color="auto"/>
          </w:divBdr>
        </w:div>
        <w:div w:id="1838304744">
          <w:marLeft w:val="0"/>
          <w:marRight w:val="0"/>
          <w:marTop w:val="0"/>
          <w:marBottom w:val="0"/>
          <w:divBdr>
            <w:top w:val="none" w:sz="0" w:space="0" w:color="auto"/>
            <w:left w:val="none" w:sz="0" w:space="0" w:color="auto"/>
            <w:bottom w:val="none" w:sz="0" w:space="0" w:color="auto"/>
            <w:right w:val="none" w:sz="0" w:space="0" w:color="auto"/>
          </w:divBdr>
        </w:div>
        <w:div w:id="1248807673">
          <w:marLeft w:val="0"/>
          <w:marRight w:val="0"/>
          <w:marTop w:val="0"/>
          <w:marBottom w:val="0"/>
          <w:divBdr>
            <w:top w:val="none" w:sz="0" w:space="0" w:color="auto"/>
            <w:left w:val="none" w:sz="0" w:space="0" w:color="auto"/>
            <w:bottom w:val="none" w:sz="0" w:space="0" w:color="auto"/>
            <w:right w:val="none" w:sz="0" w:space="0" w:color="auto"/>
          </w:divBdr>
        </w:div>
        <w:div w:id="1134788557">
          <w:marLeft w:val="0"/>
          <w:marRight w:val="0"/>
          <w:marTop w:val="0"/>
          <w:marBottom w:val="0"/>
          <w:divBdr>
            <w:top w:val="none" w:sz="0" w:space="0" w:color="auto"/>
            <w:left w:val="none" w:sz="0" w:space="0" w:color="auto"/>
            <w:bottom w:val="none" w:sz="0" w:space="0" w:color="auto"/>
            <w:right w:val="none" w:sz="0" w:space="0" w:color="auto"/>
          </w:divBdr>
        </w:div>
      </w:divsChild>
    </w:div>
    <w:div w:id="164438024">
      <w:bodyDiv w:val="1"/>
      <w:marLeft w:val="0"/>
      <w:marRight w:val="0"/>
      <w:marTop w:val="0"/>
      <w:marBottom w:val="0"/>
      <w:divBdr>
        <w:top w:val="none" w:sz="0" w:space="0" w:color="auto"/>
        <w:left w:val="none" w:sz="0" w:space="0" w:color="auto"/>
        <w:bottom w:val="none" w:sz="0" w:space="0" w:color="auto"/>
        <w:right w:val="none" w:sz="0" w:space="0" w:color="auto"/>
      </w:divBdr>
      <w:divsChild>
        <w:div w:id="1341543089">
          <w:marLeft w:val="0"/>
          <w:marRight w:val="0"/>
          <w:marTop w:val="0"/>
          <w:marBottom w:val="0"/>
          <w:divBdr>
            <w:top w:val="none" w:sz="0" w:space="0" w:color="auto"/>
            <w:left w:val="none" w:sz="0" w:space="0" w:color="auto"/>
            <w:bottom w:val="none" w:sz="0" w:space="0" w:color="auto"/>
            <w:right w:val="none" w:sz="0" w:space="0" w:color="auto"/>
          </w:divBdr>
        </w:div>
        <w:div w:id="56443757">
          <w:marLeft w:val="0"/>
          <w:marRight w:val="0"/>
          <w:marTop w:val="0"/>
          <w:marBottom w:val="0"/>
          <w:divBdr>
            <w:top w:val="none" w:sz="0" w:space="0" w:color="auto"/>
            <w:left w:val="none" w:sz="0" w:space="0" w:color="auto"/>
            <w:bottom w:val="none" w:sz="0" w:space="0" w:color="auto"/>
            <w:right w:val="none" w:sz="0" w:space="0" w:color="auto"/>
          </w:divBdr>
        </w:div>
        <w:div w:id="901792207">
          <w:marLeft w:val="0"/>
          <w:marRight w:val="0"/>
          <w:marTop w:val="0"/>
          <w:marBottom w:val="0"/>
          <w:divBdr>
            <w:top w:val="none" w:sz="0" w:space="0" w:color="auto"/>
            <w:left w:val="none" w:sz="0" w:space="0" w:color="auto"/>
            <w:bottom w:val="none" w:sz="0" w:space="0" w:color="auto"/>
            <w:right w:val="none" w:sz="0" w:space="0" w:color="auto"/>
          </w:divBdr>
        </w:div>
        <w:div w:id="743375768">
          <w:marLeft w:val="0"/>
          <w:marRight w:val="0"/>
          <w:marTop w:val="0"/>
          <w:marBottom w:val="0"/>
          <w:divBdr>
            <w:top w:val="none" w:sz="0" w:space="0" w:color="auto"/>
            <w:left w:val="none" w:sz="0" w:space="0" w:color="auto"/>
            <w:bottom w:val="none" w:sz="0" w:space="0" w:color="auto"/>
            <w:right w:val="none" w:sz="0" w:space="0" w:color="auto"/>
          </w:divBdr>
        </w:div>
        <w:div w:id="1968050301">
          <w:marLeft w:val="0"/>
          <w:marRight w:val="0"/>
          <w:marTop w:val="0"/>
          <w:marBottom w:val="0"/>
          <w:divBdr>
            <w:top w:val="none" w:sz="0" w:space="0" w:color="auto"/>
            <w:left w:val="none" w:sz="0" w:space="0" w:color="auto"/>
            <w:bottom w:val="none" w:sz="0" w:space="0" w:color="auto"/>
            <w:right w:val="none" w:sz="0" w:space="0" w:color="auto"/>
          </w:divBdr>
        </w:div>
        <w:div w:id="522474499">
          <w:marLeft w:val="0"/>
          <w:marRight w:val="0"/>
          <w:marTop w:val="0"/>
          <w:marBottom w:val="0"/>
          <w:divBdr>
            <w:top w:val="none" w:sz="0" w:space="0" w:color="auto"/>
            <w:left w:val="none" w:sz="0" w:space="0" w:color="auto"/>
            <w:bottom w:val="none" w:sz="0" w:space="0" w:color="auto"/>
            <w:right w:val="none" w:sz="0" w:space="0" w:color="auto"/>
          </w:divBdr>
        </w:div>
        <w:div w:id="541481240">
          <w:marLeft w:val="0"/>
          <w:marRight w:val="0"/>
          <w:marTop w:val="0"/>
          <w:marBottom w:val="0"/>
          <w:divBdr>
            <w:top w:val="none" w:sz="0" w:space="0" w:color="auto"/>
            <w:left w:val="none" w:sz="0" w:space="0" w:color="auto"/>
            <w:bottom w:val="none" w:sz="0" w:space="0" w:color="auto"/>
            <w:right w:val="none" w:sz="0" w:space="0" w:color="auto"/>
          </w:divBdr>
        </w:div>
        <w:div w:id="304504759">
          <w:marLeft w:val="0"/>
          <w:marRight w:val="0"/>
          <w:marTop w:val="0"/>
          <w:marBottom w:val="0"/>
          <w:divBdr>
            <w:top w:val="none" w:sz="0" w:space="0" w:color="auto"/>
            <w:left w:val="none" w:sz="0" w:space="0" w:color="auto"/>
            <w:bottom w:val="none" w:sz="0" w:space="0" w:color="auto"/>
            <w:right w:val="none" w:sz="0" w:space="0" w:color="auto"/>
          </w:divBdr>
        </w:div>
        <w:div w:id="562452656">
          <w:marLeft w:val="0"/>
          <w:marRight w:val="0"/>
          <w:marTop w:val="0"/>
          <w:marBottom w:val="0"/>
          <w:divBdr>
            <w:top w:val="none" w:sz="0" w:space="0" w:color="auto"/>
            <w:left w:val="none" w:sz="0" w:space="0" w:color="auto"/>
            <w:bottom w:val="none" w:sz="0" w:space="0" w:color="auto"/>
            <w:right w:val="none" w:sz="0" w:space="0" w:color="auto"/>
          </w:divBdr>
        </w:div>
        <w:div w:id="217208221">
          <w:marLeft w:val="0"/>
          <w:marRight w:val="0"/>
          <w:marTop w:val="0"/>
          <w:marBottom w:val="0"/>
          <w:divBdr>
            <w:top w:val="none" w:sz="0" w:space="0" w:color="auto"/>
            <w:left w:val="none" w:sz="0" w:space="0" w:color="auto"/>
            <w:bottom w:val="none" w:sz="0" w:space="0" w:color="auto"/>
            <w:right w:val="none" w:sz="0" w:space="0" w:color="auto"/>
          </w:divBdr>
        </w:div>
      </w:divsChild>
    </w:div>
    <w:div w:id="241528894">
      <w:bodyDiv w:val="1"/>
      <w:marLeft w:val="0"/>
      <w:marRight w:val="0"/>
      <w:marTop w:val="0"/>
      <w:marBottom w:val="0"/>
      <w:divBdr>
        <w:top w:val="none" w:sz="0" w:space="0" w:color="auto"/>
        <w:left w:val="none" w:sz="0" w:space="0" w:color="auto"/>
        <w:bottom w:val="none" w:sz="0" w:space="0" w:color="auto"/>
        <w:right w:val="none" w:sz="0" w:space="0" w:color="auto"/>
      </w:divBdr>
      <w:divsChild>
        <w:div w:id="1659113864">
          <w:marLeft w:val="0"/>
          <w:marRight w:val="0"/>
          <w:marTop w:val="0"/>
          <w:marBottom w:val="0"/>
          <w:divBdr>
            <w:top w:val="none" w:sz="0" w:space="0" w:color="auto"/>
            <w:left w:val="none" w:sz="0" w:space="0" w:color="auto"/>
            <w:bottom w:val="none" w:sz="0" w:space="0" w:color="auto"/>
            <w:right w:val="none" w:sz="0" w:space="0" w:color="auto"/>
          </w:divBdr>
        </w:div>
        <w:div w:id="683940583">
          <w:marLeft w:val="0"/>
          <w:marRight w:val="0"/>
          <w:marTop w:val="0"/>
          <w:marBottom w:val="0"/>
          <w:divBdr>
            <w:top w:val="none" w:sz="0" w:space="0" w:color="auto"/>
            <w:left w:val="none" w:sz="0" w:space="0" w:color="auto"/>
            <w:bottom w:val="none" w:sz="0" w:space="0" w:color="auto"/>
            <w:right w:val="none" w:sz="0" w:space="0" w:color="auto"/>
          </w:divBdr>
        </w:div>
      </w:divsChild>
    </w:div>
    <w:div w:id="288052313">
      <w:bodyDiv w:val="1"/>
      <w:marLeft w:val="0"/>
      <w:marRight w:val="0"/>
      <w:marTop w:val="0"/>
      <w:marBottom w:val="0"/>
      <w:divBdr>
        <w:top w:val="none" w:sz="0" w:space="0" w:color="auto"/>
        <w:left w:val="none" w:sz="0" w:space="0" w:color="auto"/>
        <w:bottom w:val="none" w:sz="0" w:space="0" w:color="auto"/>
        <w:right w:val="none" w:sz="0" w:space="0" w:color="auto"/>
      </w:divBdr>
      <w:divsChild>
        <w:div w:id="1077439962">
          <w:marLeft w:val="0"/>
          <w:marRight w:val="0"/>
          <w:marTop w:val="0"/>
          <w:marBottom w:val="0"/>
          <w:divBdr>
            <w:top w:val="none" w:sz="0" w:space="0" w:color="auto"/>
            <w:left w:val="none" w:sz="0" w:space="0" w:color="auto"/>
            <w:bottom w:val="none" w:sz="0" w:space="0" w:color="auto"/>
            <w:right w:val="none" w:sz="0" w:space="0" w:color="auto"/>
          </w:divBdr>
        </w:div>
        <w:div w:id="1854607906">
          <w:marLeft w:val="0"/>
          <w:marRight w:val="0"/>
          <w:marTop w:val="0"/>
          <w:marBottom w:val="0"/>
          <w:divBdr>
            <w:top w:val="none" w:sz="0" w:space="0" w:color="auto"/>
            <w:left w:val="none" w:sz="0" w:space="0" w:color="auto"/>
            <w:bottom w:val="none" w:sz="0" w:space="0" w:color="auto"/>
            <w:right w:val="none" w:sz="0" w:space="0" w:color="auto"/>
          </w:divBdr>
        </w:div>
        <w:div w:id="859508474">
          <w:marLeft w:val="0"/>
          <w:marRight w:val="0"/>
          <w:marTop w:val="0"/>
          <w:marBottom w:val="0"/>
          <w:divBdr>
            <w:top w:val="none" w:sz="0" w:space="0" w:color="auto"/>
            <w:left w:val="none" w:sz="0" w:space="0" w:color="auto"/>
            <w:bottom w:val="none" w:sz="0" w:space="0" w:color="auto"/>
            <w:right w:val="none" w:sz="0" w:space="0" w:color="auto"/>
          </w:divBdr>
        </w:div>
        <w:div w:id="435758195">
          <w:marLeft w:val="0"/>
          <w:marRight w:val="0"/>
          <w:marTop w:val="0"/>
          <w:marBottom w:val="0"/>
          <w:divBdr>
            <w:top w:val="none" w:sz="0" w:space="0" w:color="auto"/>
            <w:left w:val="none" w:sz="0" w:space="0" w:color="auto"/>
            <w:bottom w:val="none" w:sz="0" w:space="0" w:color="auto"/>
            <w:right w:val="none" w:sz="0" w:space="0" w:color="auto"/>
          </w:divBdr>
        </w:div>
        <w:div w:id="1365709874">
          <w:marLeft w:val="0"/>
          <w:marRight w:val="0"/>
          <w:marTop w:val="0"/>
          <w:marBottom w:val="0"/>
          <w:divBdr>
            <w:top w:val="none" w:sz="0" w:space="0" w:color="auto"/>
            <w:left w:val="none" w:sz="0" w:space="0" w:color="auto"/>
            <w:bottom w:val="none" w:sz="0" w:space="0" w:color="auto"/>
            <w:right w:val="none" w:sz="0" w:space="0" w:color="auto"/>
          </w:divBdr>
        </w:div>
        <w:div w:id="1450515934">
          <w:marLeft w:val="0"/>
          <w:marRight w:val="0"/>
          <w:marTop w:val="0"/>
          <w:marBottom w:val="0"/>
          <w:divBdr>
            <w:top w:val="none" w:sz="0" w:space="0" w:color="auto"/>
            <w:left w:val="none" w:sz="0" w:space="0" w:color="auto"/>
            <w:bottom w:val="none" w:sz="0" w:space="0" w:color="auto"/>
            <w:right w:val="none" w:sz="0" w:space="0" w:color="auto"/>
          </w:divBdr>
        </w:div>
        <w:div w:id="1512796041">
          <w:marLeft w:val="0"/>
          <w:marRight w:val="0"/>
          <w:marTop w:val="0"/>
          <w:marBottom w:val="0"/>
          <w:divBdr>
            <w:top w:val="none" w:sz="0" w:space="0" w:color="auto"/>
            <w:left w:val="none" w:sz="0" w:space="0" w:color="auto"/>
            <w:bottom w:val="none" w:sz="0" w:space="0" w:color="auto"/>
            <w:right w:val="none" w:sz="0" w:space="0" w:color="auto"/>
          </w:divBdr>
        </w:div>
        <w:div w:id="226301707">
          <w:marLeft w:val="0"/>
          <w:marRight w:val="0"/>
          <w:marTop w:val="0"/>
          <w:marBottom w:val="0"/>
          <w:divBdr>
            <w:top w:val="none" w:sz="0" w:space="0" w:color="auto"/>
            <w:left w:val="none" w:sz="0" w:space="0" w:color="auto"/>
            <w:bottom w:val="none" w:sz="0" w:space="0" w:color="auto"/>
            <w:right w:val="none" w:sz="0" w:space="0" w:color="auto"/>
          </w:divBdr>
        </w:div>
      </w:divsChild>
    </w:div>
    <w:div w:id="576869157">
      <w:bodyDiv w:val="1"/>
      <w:marLeft w:val="0"/>
      <w:marRight w:val="0"/>
      <w:marTop w:val="0"/>
      <w:marBottom w:val="0"/>
      <w:divBdr>
        <w:top w:val="none" w:sz="0" w:space="0" w:color="auto"/>
        <w:left w:val="none" w:sz="0" w:space="0" w:color="auto"/>
        <w:bottom w:val="none" w:sz="0" w:space="0" w:color="auto"/>
        <w:right w:val="none" w:sz="0" w:space="0" w:color="auto"/>
      </w:divBdr>
      <w:divsChild>
        <w:div w:id="182214194">
          <w:marLeft w:val="0"/>
          <w:marRight w:val="0"/>
          <w:marTop w:val="0"/>
          <w:marBottom w:val="0"/>
          <w:divBdr>
            <w:top w:val="none" w:sz="0" w:space="0" w:color="auto"/>
            <w:left w:val="none" w:sz="0" w:space="0" w:color="auto"/>
            <w:bottom w:val="none" w:sz="0" w:space="0" w:color="auto"/>
            <w:right w:val="none" w:sz="0" w:space="0" w:color="auto"/>
          </w:divBdr>
        </w:div>
        <w:div w:id="1402096168">
          <w:marLeft w:val="0"/>
          <w:marRight w:val="0"/>
          <w:marTop w:val="0"/>
          <w:marBottom w:val="0"/>
          <w:divBdr>
            <w:top w:val="none" w:sz="0" w:space="0" w:color="auto"/>
            <w:left w:val="none" w:sz="0" w:space="0" w:color="auto"/>
            <w:bottom w:val="none" w:sz="0" w:space="0" w:color="auto"/>
            <w:right w:val="none" w:sz="0" w:space="0" w:color="auto"/>
          </w:divBdr>
        </w:div>
        <w:div w:id="2117479200">
          <w:marLeft w:val="0"/>
          <w:marRight w:val="0"/>
          <w:marTop w:val="0"/>
          <w:marBottom w:val="0"/>
          <w:divBdr>
            <w:top w:val="none" w:sz="0" w:space="0" w:color="auto"/>
            <w:left w:val="none" w:sz="0" w:space="0" w:color="auto"/>
            <w:bottom w:val="none" w:sz="0" w:space="0" w:color="auto"/>
            <w:right w:val="none" w:sz="0" w:space="0" w:color="auto"/>
          </w:divBdr>
        </w:div>
        <w:div w:id="13460199">
          <w:marLeft w:val="0"/>
          <w:marRight w:val="0"/>
          <w:marTop w:val="0"/>
          <w:marBottom w:val="0"/>
          <w:divBdr>
            <w:top w:val="none" w:sz="0" w:space="0" w:color="auto"/>
            <w:left w:val="none" w:sz="0" w:space="0" w:color="auto"/>
            <w:bottom w:val="none" w:sz="0" w:space="0" w:color="auto"/>
            <w:right w:val="none" w:sz="0" w:space="0" w:color="auto"/>
          </w:divBdr>
        </w:div>
        <w:div w:id="1850830475">
          <w:marLeft w:val="0"/>
          <w:marRight w:val="0"/>
          <w:marTop w:val="0"/>
          <w:marBottom w:val="0"/>
          <w:divBdr>
            <w:top w:val="none" w:sz="0" w:space="0" w:color="auto"/>
            <w:left w:val="none" w:sz="0" w:space="0" w:color="auto"/>
            <w:bottom w:val="none" w:sz="0" w:space="0" w:color="auto"/>
            <w:right w:val="none" w:sz="0" w:space="0" w:color="auto"/>
          </w:divBdr>
        </w:div>
        <w:div w:id="104465065">
          <w:marLeft w:val="0"/>
          <w:marRight w:val="0"/>
          <w:marTop w:val="0"/>
          <w:marBottom w:val="0"/>
          <w:divBdr>
            <w:top w:val="none" w:sz="0" w:space="0" w:color="auto"/>
            <w:left w:val="none" w:sz="0" w:space="0" w:color="auto"/>
            <w:bottom w:val="none" w:sz="0" w:space="0" w:color="auto"/>
            <w:right w:val="none" w:sz="0" w:space="0" w:color="auto"/>
          </w:divBdr>
        </w:div>
        <w:div w:id="68618740">
          <w:marLeft w:val="0"/>
          <w:marRight w:val="0"/>
          <w:marTop w:val="0"/>
          <w:marBottom w:val="0"/>
          <w:divBdr>
            <w:top w:val="none" w:sz="0" w:space="0" w:color="auto"/>
            <w:left w:val="none" w:sz="0" w:space="0" w:color="auto"/>
            <w:bottom w:val="none" w:sz="0" w:space="0" w:color="auto"/>
            <w:right w:val="none" w:sz="0" w:space="0" w:color="auto"/>
          </w:divBdr>
        </w:div>
        <w:div w:id="1692223269">
          <w:marLeft w:val="0"/>
          <w:marRight w:val="0"/>
          <w:marTop w:val="0"/>
          <w:marBottom w:val="0"/>
          <w:divBdr>
            <w:top w:val="none" w:sz="0" w:space="0" w:color="auto"/>
            <w:left w:val="none" w:sz="0" w:space="0" w:color="auto"/>
            <w:bottom w:val="none" w:sz="0" w:space="0" w:color="auto"/>
            <w:right w:val="none" w:sz="0" w:space="0" w:color="auto"/>
          </w:divBdr>
        </w:div>
        <w:div w:id="1882404682">
          <w:marLeft w:val="0"/>
          <w:marRight w:val="0"/>
          <w:marTop w:val="0"/>
          <w:marBottom w:val="0"/>
          <w:divBdr>
            <w:top w:val="none" w:sz="0" w:space="0" w:color="auto"/>
            <w:left w:val="none" w:sz="0" w:space="0" w:color="auto"/>
            <w:bottom w:val="none" w:sz="0" w:space="0" w:color="auto"/>
            <w:right w:val="none" w:sz="0" w:space="0" w:color="auto"/>
          </w:divBdr>
        </w:div>
        <w:div w:id="474565706">
          <w:marLeft w:val="0"/>
          <w:marRight w:val="0"/>
          <w:marTop w:val="0"/>
          <w:marBottom w:val="0"/>
          <w:divBdr>
            <w:top w:val="none" w:sz="0" w:space="0" w:color="auto"/>
            <w:left w:val="none" w:sz="0" w:space="0" w:color="auto"/>
            <w:bottom w:val="none" w:sz="0" w:space="0" w:color="auto"/>
            <w:right w:val="none" w:sz="0" w:space="0" w:color="auto"/>
          </w:divBdr>
        </w:div>
        <w:div w:id="1547333228">
          <w:marLeft w:val="0"/>
          <w:marRight w:val="0"/>
          <w:marTop w:val="0"/>
          <w:marBottom w:val="0"/>
          <w:divBdr>
            <w:top w:val="none" w:sz="0" w:space="0" w:color="auto"/>
            <w:left w:val="none" w:sz="0" w:space="0" w:color="auto"/>
            <w:bottom w:val="none" w:sz="0" w:space="0" w:color="auto"/>
            <w:right w:val="none" w:sz="0" w:space="0" w:color="auto"/>
          </w:divBdr>
        </w:div>
        <w:div w:id="1080374346">
          <w:marLeft w:val="0"/>
          <w:marRight w:val="0"/>
          <w:marTop w:val="0"/>
          <w:marBottom w:val="0"/>
          <w:divBdr>
            <w:top w:val="none" w:sz="0" w:space="0" w:color="auto"/>
            <w:left w:val="none" w:sz="0" w:space="0" w:color="auto"/>
            <w:bottom w:val="none" w:sz="0" w:space="0" w:color="auto"/>
            <w:right w:val="none" w:sz="0" w:space="0" w:color="auto"/>
          </w:divBdr>
        </w:div>
        <w:div w:id="259337674">
          <w:marLeft w:val="0"/>
          <w:marRight w:val="0"/>
          <w:marTop w:val="0"/>
          <w:marBottom w:val="0"/>
          <w:divBdr>
            <w:top w:val="none" w:sz="0" w:space="0" w:color="auto"/>
            <w:left w:val="none" w:sz="0" w:space="0" w:color="auto"/>
            <w:bottom w:val="none" w:sz="0" w:space="0" w:color="auto"/>
            <w:right w:val="none" w:sz="0" w:space="0" w:color="auto"/>
          </w:divBdr>
        </w:div>
        <w:div w:id="572814495">
          <w:marLeft w:val="0"/>
          <w:marRight w:val="0"/>
          <w:marTop w:val="0"/>
          <w:marBottom w:val="0"/>
          <w:divBdr>
            <w:top w:val="none" w:sz="0" w:space="0" w:color="auto"/>
            <w:left w:val="none" w:sz="0" w:space="0" w:color="auto"/>
            <w:bottom w:val="none" w:sz="0" w:space="0" w:color="auto"/>
            <w:right w:val="none" w:sz="0" w:space="0" w:color="auto"/>
          </w:divBdr>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03045191">
      <w:bodyDiv w:val="1"/>
      <w:marLeft w:val="0"/>
      <w:marRight w:val="0"/>
      <w:marTop w:val="0"/>
      <w:marBottom w:val="0"/>
      <w:divBdr>
        <w:top w:val="none" w:sz="0" w:space="0" w:color="auto"/>
        <w:left w:val="none" w:sz="0" w:space="0" w:color="auto"/>
        <w:bottom w:val="none" w:sz="0" w:space="0" w:color="auto"/>
        <w:right w:val="none" w:sz="0" w:space="0" w:color="auto"/>
      </w:divBdr>
      <w:divsChild>
        <w:div w:id="398404187">
          <w:marLeft w:val="0"/>
          <w:marRight w:val="0"/>
          <w:marTop w:val="0"/>
          <w:marBottom w:val="0"/>
          <w:divBdr>
            <w:top w:val="none" w:sz="0" w:space="0" w:color="auto"/>
            <w:left w:val="none" w:sz="0" w:space="0" w:color="auto"/>
            <w:bottom w:val="none" w:sz="0" w:space="0" w:color="auto"/>
            <w:right w:val="none" w:sz="0" w:space="0" w:color="auto"/>
          </w:divBdr>
        </w:div>
        <w:div w:id="2138450134">
          <w:marLeft w:val="0"/>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79236814">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15282148">
      <w:bodyDiv w:val="1"/>
      <w:marLeft w:val="0"/>
      <w:marRight w:val="0"/>
      <w:marTop w:val="0"/>
      <w:marBottom w:val="0"/>
      <w:divBdr>
        <w:top w:val="none" w:sz="0" w:space="0" w:color="auto"/>
        <w:left w:val="none" w:sz="0" w:space="0" w:color="auto"/>
        <w:bottom w:val="none" w:sz="0" w:space="0" w:color="auto"/>
        <w:right w:val="none" w:sz="0" w:space="0" w:color="auto"/>
      </w:divBdr>
      <w:divsChild>
        <w:div w:id="1920363715">
          <w:marLeft w:val="0"/>
          <w:marRight w:val="0"/>
          <w:marTop w:val="0"/>
          <w:marBottom w:val="0"/>
          <w:divBdr>
            <w:top w:val="none" w:sz="0" w:space="0" w:color="auto"/>
            <w:left w:val="none" w:sz="0" w:space="0" w:color="auto"/>
            <w:bottom w:val="none" w:sz="0" w:space="0" w:color="auto"/>
            <w:right w:val="none" w:sz="0" w:space="0" w:color="auto"/>
          </w:divBdr>
        </w:div>
        <w:div w:id="302272540">
          <w:marLeft w:val="0"/>
          <w:marRight w:val="0"/>
          <w:marTop w:val="0"/>
          <w:marBottom w:val="0"/>
          <w:divBdr>
            <w:top w:val="none" w:sz="0" w:space="0" w:color="auto"/>
            <w:left w:val="none" w:sz="0" w:space="0" w:color="auto"/>
            <w:bottom w:val="none" w:sz="0" w:space="0" w:color="auto"/>
            <w:right w:val="none" w:sz="0" w:space="0" w:color="auto"/>
          </w:divBdr>
        </w:div>
        <w:div w:id="1808274717">
          <w:marLeft w:val="0"/>
          <w:marRight w:val="0"/>
          <w:marTop w:val="0"/>
          <w:marBottom w:val="0"/>
          <w:divBdr>
            <w:top w:val="none" w:sz="0" w:space="0" w:color="auto"/>
            <w:left w:val="none" w:sz="0" w:space="0" w:color="auto"/>
            <w:bottom w:val="none" w:sz="0" w:space="0" w:color="auto"/>
            <w:right w:val="none" w:sz="0" w:space="0" w:color="auto"/>
          </w:divBdr>
        </w:div>
        <w:div w:id="284434563">
          <w:marLeft w:val="0"/>
          <w:marRight w:val="0"/>
          <w:marTop w:val="0"/>
          <w:marBottom w:val="0"/>
          <w:divBdr>
            <w:top w:val="none" w:sz="0" w:space="0" w:color="auto"/>
            <w:left w:val="none" w:sz="0" w:space="0" w:color="auto"/>
            <w:bottom w:val="none" w:sz="0" w:space="0" w:color="auto"/>
            <w:right w:val="none" w:sz="0" w:space="0" w:color="auto"/>
          </w:divBdr>
        </w:div>
        <w:div w:id="1156459584">
          <w:marLeft w:val="0"/>
          <w:marRight w:val="0"/>
          <w:marTop w:val="0"/>
          <w:marBottom w:val="0"/>
          <w:divBdr>
            <w:top w:val="none" w:sz="0" w:space="0" w:color="auto"/>
            <w:left w:val="none" w:sz="0" w:space="0" w:color="auto"/>
            <w:bottom w:val="none" w:sz="0" w:space="0" w:color="auto"/>
            <w:right w:val="none" w:sz="0" w:space="0" w:color="auto"/>
          </w:divBdr>
        </w:div>
        <w:div w:id="855077378">
          <w:marLeft w:val="0"/>
          <w:marRight w:val="0"/>
          <w:marTop w:val="0"/>
          <w:marBottom w:val="0"/>
          <w:divBdr>
            <w:top w:val="none" w:sz="0" w:space="0" w:color="auto"/>
            <w:left w:val="none" w:sz="0" w:space="0" w:color="auto"/>
            <w:bottom w:val="none" w:sz="0" w:space="0" w:color="auto"/>
            <w:right w:val="none" w:sz="0" w:space="0" w:color="auto"/>
          </w:divBdr>
        </w:div>
        <w:div w:id="1802846955">
          <w:marLeft w:val="0"/>
          <w:marRight w:val="0"/>
          <w:marTop w:val="0"/>
          <w:marBottom w:val="0"/>
          <w:divBdr>
            <w:top w:val="none" w:sz="0" w:space="0" w:color="auto"/>
            <w:left w:val="none" w:sz="0" w:space="0" w:color="auto"/>
            <w:bottom w:val="none" w:sz="0" w:space="0" w:color="auto"/>
            <w:right w:val="none" w:sz="0" w:space="0" w:color="auto"/>
          </w:divBdr>
        </w:div>
        <w:div w:id="975916305">
          <w:marLeft w:val="0"/>
          <w:marRight w:val="0"/>
          <w:marTop w:val="0"/>
          <w:marBottom w:val="0"/>
          <w:divBdr>
            <w:top w:val="none" w:sz="0" w:space="0" w:color="auto"/>
            <w:left w:val="none" w:sz="0" w:space="0" w:color="auto"/>
            <w:bottom w:val="none" w:sz="0" w:space="0" w:color="auto"/>
            <w:right w:val="none" w:sz="0" w:space="0" w:color="auto"/>
          </w:divBdr>
        </w:div>
        <w:div w:id="927811694">
          <w:marLeft w:val="0"/>
          <w:marRight w:val="0"/>
          <w:marTop w:val="0"/>
          <w:marBottom w:val="0"/>
          <w:divBdr>
            <w:top w:val="none" w:sz="0" w:space="0" w:color="auto"/>
            <w:left w:val="none" w:sz="0" w:space="0" w:color="auto"/>
            <w:bottom w:val="none" w:sz="0" w:space="0" w:color="auto"/>
            <w:right w:val="none" w:sz="0" w:space="0" w:color="auto"/>
          </w:divBdr>
        </w:div>
        <w:div w:id="793712611">
          <w:marLeft w:val="0"/>
          <w:marRight w:val="0"/>
          <w:marTop w:val="0"/>
          <w:marBottom w:val="0"/>
          <w:divBdr>
            <w:top w:val="none" w:sz="0" w:space="0" w:color="auto"/>
            <w:left w:val="none" w:sz="0" w:space="0" w:color="auto"/>
            <w:bottom w:val="none" w:sz="0" w:space="0" w:color="auto"/>
            <w:right w:val="none" w:sz="0" w:space="0" w:color="auto"/>
          </w:divBdr>
        </w:div>
        <w:div w:id="1574773743">
          <w:marLeft w:val="0"/>
          <w:marRight w:val="0"/>
          <w:marTop w:val="0"/>
          <w:marBottom w:val="0"/>
          <w:divBdr>
            <w:top w:val="none" w:sz="0" w:space="0" w:color="auto"/>
            <w:left w:val="none" w:sz="0" w:space="0" w:color="auto"/>
            <w:bottom w:val="none" w:sz="0" w:space="0" w:color="auto"/>
            <w:right w:val="none" w:sz="0" w:space="0" w:color="auto"/>
          </w:divBdr>
        </w:div>
        <w:div w:id="602419068">
          <w:marLeft w:val="0"/>
          <w:marRight w:val="0"/>
          <w:marTop w:val="0"/>
          <w:marBottom w:val="0"/>
          <w:divBdr>
            <w:top w:val="none" w:sz="0" w:space="0" w:color="auto"/>
            <w:left w:val="none" w:sz="0" w:space="0" w:color="auto"/>
            <w:bottom w:val="none" w:sz="0" w:space="0" w:color="auto"/>
            <w:right w:val="none" w:sz="0" w:space="0" w:color="auto"/>
          </w:divBdr>
        </w:div>
        <w:div w:id="1330601591">
          <w:marLeft w:val="0"/>
          <w:marRight w:val="0"/>
          <w:marTop w:val="0"/>
          <w:marBottom w:val="0"/>
          <w:divBdr>
            <w:top w:val="none" w:sz="0" w:space="0" w:color="auto"/>
            <w:left w:val="none" w:sz="0" w:space="0" w:color="auto"/>
            <w:bottom w:val="none" w:sz="0" w:space="0" w:color="auto"/>
            <w:right w:val="none" w:sz="0" w:space="0" w:color="auto"/>
          </w:divBdr>
        </w:div>
        <w:div w:id="248269955">
          <w:marLeft w:val="0"/>
          <w:marRight w:val="0"/>
          <w:marTop w:val="0"/>
          <w:marBottom w:val="0"/>
          <w:divBdr>
            <w:top w:val="none" w:sz="0" w:space="0" w:color="auto"/>
            <w:left w:val="none" w:sz="0" w:space="0" w:color="auto"/>
            <w:bottom w:val="none" w:sz="0" w:space="0" w:color="auto"/>
            <w:right w:val="none" w:sz="0" w:space="0" w:color="auto"/>
          </w:divBdr>
        </w:div>
      </w:divsChild>
    </w:div>
    <w:div w:id="1659334869">
      <w:bodyDiv w:val="1"/>
      <w:marLeft w:val="0"/>
      <w:marRight w:val="0"/>
      <w:marTop w:val="0"/>
      <w:marBottom w:val="0"/>
      <w:divBdr>
        <w:top w:val="none" w:sz="0" w:space="0" w:color="auto"/>
        <w:left w:val="none" w:sz="0" w:space="0" w:color="auto"/>
        <w:bottom w:val="none" w:sz="0" w:space="0" w:color="auto"/>
        <w:right w:val="none" w:sz="0" w:space="0" w:color="auto"/>
      </w:divBdr>
      <w:divsChild>
        <w:div w:id="1409574278">
          <w:marLeft w:val="0"/>
          <w:marRight w:val="0"/>
          <w:marTop w:val="0"/>
          <w:marBottom w:val="0"/>
          <w:divBdr>
            <w:top w:val="none" w:sz="0" w:space="0" w:color="auto"/>
            <w:left w:val="none" w:sz="0" w:space="0" w:color="auto"/>
            <w:bottom w:val="none" w:sz="0" w:space="0" w:color="auto"/>
            <w:right w:val="none" w:sz="0" w:space="0" w:color="auto"/>
          </w:divBdr>
        </w:div>
        <w:div w:id="1668900009">
          <w:marLeft w:val="0"/>
          <w:marRight w:val="0"/>
          <w:marTop w:val="0"/>
          <w:marBottom w:val="0"/>
          <w:divBdr>
            <w:top w:val="none" w:sz="0" w:space="0" w:color="auto"/>
            <w:left w:val="none" w:sz="0" w:space="0" w:color="auto"/>
            <w:bottom w:val="none" w:sz="0" w:space="0" w:color="auto"/>
            <w:right w:val="none" w:sz="0" w:space="0" w:color="auto"/>
          </w:divBdr>
        </w:div>
        <w:div w:id="1613592542">
          <w:marLeft w:val="0"/>
          <w:marRight w:val="0"/>
          <w:marTop w:val="0"/>
          <w:marBottom w:val="0"/>
          <w:divBdr>
            <w:top w:val="none" w:sz="0" w:space="0" w:color="auto"/>
            <w:left w:val="none" w:sz="0" w:space="0" w:color="auto"/>
            <w:bottom w:val="none" w:sz="0" w:space="0" w:color="auto"/>
            <w:right w:val="none" w:sz="0" w:space="0" w:color="auto"/>
          </w:divBdr>
        </w:div>
        <w:div w:id="449206849">
          <w:marLeft w:val="0"/>
          <w:marRight w:val="0"/>
          <w:marTop w:val="0"/>
          <w:marBottom w:val="0"/>
          <w:divBdr>
            <w:top w:val="none" w:sz="0" w:space="0" w:color="auto"/>
            <w:left w:val="none" w:sz="0" w:space="0" w:color="auto"/>
            <w:bottom w:val="none" w:sz="0" w:space="0" w:color="auto"/>
            <w:right w:val="none" w:sz="0" w:space="0" w:color="auto"/>
          </w:divBdr>
        </w:div>
        <w:div w:id="64500408">
          <w:marLeft w:val="0"/>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1.COM/1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ich.unesco.org/fr/Decisions/11.COM/10" TargetMode="External"/><Relationship Id="rId4" Type="http://schemas.openxmlformats.org/officeDocument/2006/relationships/settings" Target="settings.xml"/><Relationship Id="rId9" Type="http://schemas.openxmlformats.org/officeDocument/2006/relationships/hyperlink" Target="https://ich.unesco.org/doc/src/ITH-17-12.COM-13-FR.docx" TargetMode="Externa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09B0B-65DE-4937-A6A1-12C0DEA0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15</TotalTime>
  <Pages>6</Pages>
  <Words>1852</Words>
  <Characters>10557</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Shin, Eunkyung</cp:lastModifiedBy>
  <cp:revision>5</cp:revision>
  <cp:lastPrinted>2017-11-02T15:27:00Z</cp:lastPrinted>
  <dcterms:created xsi:type="dcterms:W3CDTF">2017-11-03T10:57:00Z</dcterms:created>
  <dcterms:modified xsi:type="dcterms:W3CDTF">2017-11-03T11:18:00Z</dcterms:modified>
</cp:coreProperties>
</file>