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1596D" w14:textId="77777777"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 xml:space="preserve">CONVENTION FOR THE SAFEGUARDING OF THE </w:t>
      </w:r>
      <w:r w:rsidRPr="00293C60">
        <w:rPr>
          <w:rFonts w:ascii="Arial" w:hAnsi="Arial" w:cs="Arial"/>
          <w:b/>
          <w:sz w:val="22"/>
          <w:szCs w:val="22"/>
          <w:lang w:val="en-GB"/>
        </w:rPr>
        <w:br/>
        <w:t>INTANGIBLE CULTURAL HERITAGE</w:t>
      </w:r>
      <w:bookmarkStart w:id="0" w:name="_GoBack"/>
      <w:bookmarkEnd w:id="0"/>
    </w:p>
    <w:p w14:paraId="79A05827" w14:textId="77777777"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1762BACB" w14:textId="77777777" w:rsidR="00EC6F8D" w:rsidRPr="00293C60" w:rsidRDefault="00C7433F" w:rsidP="00EC6F8D">
      <w:pPr>
        <w:spacing w:before="840"/>
        <w:jc w:val="center"/>
        <w:rPr>
          <w:rFonts w:ascii="Arial" w:hAnsi="Arial" w:cs="Arial"/>
          <w:b/>
          <w:sz w:val="22"/>
          <w:szCs w:val="22"/>
          <w:lang w:val="en-GB"/>
        </w:rPr>
      </w:pPr>
      <w:r>
        <w:rPr>
          <w:rFonts w:ascii="Arial" w:eastAsiaTheme="minorEastAsia" w:hAnsi="Arial" w:cs="Arial" w:hint="eastAsia"/>
          <w:b/>
          <w:sz w:val="22"/>
          <w:szCs w:val="22"/>
          <w:lang w:val="en-GB" w:eastAsia="ko-KR"/>
        </w:rPr>
        <w:t>Twelf</w:t>
      </w:r>
      <w:r w:rsidR="00CB0542">
        <w:rPr>
          <w:rFonts w:ascii="Arial" w:hAnsi="Arial" w:cs="Arial"/>
          <w:b/>
          <w:sz w:val="22"/>
          <w:szCs w:val="22"/>
          <w:lang w:val="en-GB"/>
        </w:rPr>
        <w:t>th</w:t>
      </w:r>
      <w:r w:rsidR="00EC6F8D">
        <w:rPr>
          <w:rFonts w:ascii="Arial" w:hAnsi="Arial" w:cs="Arial"/>
          <w:b/>
          <w:sz w:val="22"/>
          <w:szCs w:val="22"/>
          <w:lang w:val="en-GB"/>
        </w:rPr>
        <w:t xml:space="preserve"> </w:t>
      </w:r>
      <w:r w:rsidR="00EC6F8D" w:rsidRPr="00293C60">
        <w:rPr>
          <w:rFonts w:ascii="Arial" w:hAnsi="Arial" w:cs="Arial"/>
          <w:b/>
          <w:sz w:val="22"/>
          <w:szCs w:val="22"/>
          <w:lang w:val="en-GB"/>
        </w:rPr>
        <w:t>session</w:t>
      </w:r>
    </w:p>
    <w:p w14:paraId="41A4C381" w14:textId="77777777" w:rsidR="009D5428" w:rsidRPr="00337CEB" w:rsidRDefault="002351A6" w:rsidP="005E7074">
      <w:pPr>
        <w:jc w:val="center"/>
        <w:rPr>
          <w:rFonts w:ascii="Arial" w:eastAsiaTheme="minorEastAsia" w:hAnsi="Arial" w:cs="Arial"/>
          <w:b/>
          <w:sz w:val="22"/>
          <w:szCs w:val="22"/>
          <w:lang w:val="en-GB" w:eastAsia="ko-KR"/>
        </w:rPr>
      </w:pPr>
      <w:proofErr w:type="spellStart"/>
      <w:r>
        <w:rPr>
          <w:rFonts w:ascii="Arial" w:eastAsiaTheme="minorEastAsia" w:hAnsi="Arial" w:cs="Arial" w:hint="eastAsia"/>
          <w:b/>
          <w:sz w:val="22"/>
          <w:szCs w:val="22"/>
          <w:lang w:val="en-GB" w:eastAsia="ko-KR"/>
        </w:rPr>
        <w:t>Jeju</w:t>
      </w:r>
      <w:proofErr w:type="spellEnd"/>
      <w:r>
        <w:rPr>
          <w:rFonts w:ascii="Arial" w:eastAsiaTheme="minorEastAsia" w:hAnsi="Arial" w:cs="Arial" w:hint="eastAsia"/>
          <w:b/>
          <w:sz w:val="22"/>
          <w:szCs w:val="22"/>
          <w:lang w:val="en-GB" w:eastAsia="ko-KR"/>
        </w:rPr>
        <w:t xml:space="preserve"> Island</w:t>
      </w:r>
      <w:r w:rsidR="00CB0542">
        <w:rPr>
          <w:rFonts w:ascii="Arial" w:hAnsi="Arial" w:cs="Arial"/>
          <w:b/>
          <w:sz w:val="22"/>
          <w:szCs w:val="22"/>
          <w:lang w:val="en-GB"/>
        </w:rPr>
        <w:t xml:space="preserve">, </w:t>
      </w:r>
      <w:r w:rsidR="00337CEB">
        <w:rPr>
          <w:rFonts w:ascii="Arial" w:eastAsiaTheme="minorEastAsia" w:hAnsi="Arial" w:cs="Arial" w:hint="eastAsia"/>
          <w:b/>
          <w:sz w:val="22"/>
          <w:szCs w:val="22"/>
          <w:lang w:val="en-GB" w:eastAsia="ko-KR"/>
        </w:rPr>
        <w:t>Republic of Korea</w:t>
      </w:r>
    </w:p>
    <w:p w14:paraId="68ED09D2" w14:textId="77777777" w:rsidR="00EC6F8D" w:rsidRPr="00337CEB" w:rsidRDefault="00337CEB" w:rsidP="00EC6F8D">
      <w:pPr>
        <w:jc w:val="center"/>
        <w:rPr>
          <w:rFonts w:ascii="Arial" w:eastAsiaTheme="minorEastAsia" w:hAnsi="Arial" w:cs="Arial"/>
          <w:b/>
          <w:sz w:val="22"/>
          <w:szCs w:val="22"/>
          <w:lang w:val="en-GB" w:eastAsia="ko-KR"/>
        </w:rPr>
      </w:pPr>
      <w:proofErr w:type="gramStart"/>
      <w:r>
        <w:rPr>
          <w:rFonts w:ascii="Arial" w:eastAsiaTheme="minorEastAsia" w:hAnsi="Arial" w:cs="Arial" w:hint="eastAsia"/>
          <w:b/>
          <w:sz w:val="22"/>
          <w:szCs w:val="22"/>
          <w:lang w:val="en-GB" w:eastAsia="ko-KR"/>
        </w:rPr>
        <w:t>4</w:t>
      </w:r>
      <w:proofErr w:type="gramEnd"/>
      <w:r w:rsidR="00EC6F8D" w:rsidRPr="00EC6F8D">
        <w:rPr>
          <w:rFonts w:ascii="Arial" w:hAnsi="Arial" w:cs="Arial"/>
          <w:b/>
          <w:sz w:val="22"/>
          <w:szCs w:val="22"/>
          <w:lang w:val="en-GB"/>
        </w:rPr>
        <w:t xml:space="preserve"> to </w:t>
      </w:r>
      <w:r w:rsidR="008D3CF7">
        <w:rPr>
          <w:rFonts w:ascii="Arial" w:eastAsiaTheme="minorEastAsia" w:hAnsi="Arial" w:cs="Arial" w:hint="eastAsia"/>
          <w:b/>
          <w:sz w:val="22"/>
          <w:szCs w:val="22"/>
          <w:lang w:val="en-GB" w:eastAsia="ko-KR"/>
        </w:rPr>
        <w:t>9</w:t>
      </w:r>
      <w:r>
        <w:rPr>
          <w:rFonts w:ascii="Arial" w:hAnsi="Arial" w:cs="Arial"/>
          <w:b/>
          <w:sz w:val="22"/>
          <w:szCs w:val="22"/>
          <w:lang w:val="en-GB"/>
        </w:rPr>
        <w:t xml:space="preserve"> December 201</w:t>
      </w:r>
      <w:r>
        <w:rPr>
          <w:rFonts w:ascii="Arial" w:eastAsiaTheme="minorEastAsia" w:hAnsi="Arial" w:cs="Arial" w:hint="eastAsia"/>
          <w:b/>
          <w:sz w:val="22"/>
          <w:szCs w:val="22"/>
          <w:lang w:val="en-GB" w:eastAsia="ko-KR"/>
        </w:rPr>
        <w:t>7</w:t>
      </w:r>
    </w:p>
    <w:p w14:paraId="689EB4F3" w14:textId="77777777" w:rsidR="00EC6F8D" w:rsidRPr="00293C60" w:rsidRDefault="00EC6F8D" w:rsidP="00EC6F8D">
      <w:pPr>
        <w:pStyle w:val="Sansinterligne2"/>
        <w:spacing w:before="1200"/>
        <w:jc w:val="center"/>
        <w:rPr>
          <w:rFonts w:ascii="Arial" w:hAnsi="Arial" w:cs="Arial"/>
          <w:b/>
          <w:sz w:val="22"/>
          <w:szCs w:val="22"/>
          <w:lang w:val="en-GB"/>
        </w:rPr>
      </w:pPr>
      <w:r w:rsidRPr="00293C60">
        <w:rPr>
          <w:rFonts w:ascii="Arial" w:hAnsi="Arial" w:cs="Arial"/>
          <w:b/>
          <w:sz w:val="22"/>
          <w:szCs w:val="22"/>
          <w:u w:val="single"/>
          <w:lang w:val="en-GB"/>
        </w:rPr>
        <w:t xml:space="preserve">Item </w:t>
      </w:r>
      <w:r w:rsidR="008D3CF7">
        <w:rPr>
          <w:rFonts w:ascii="Arial" w:hAnsi="Arial" w:cs="Arial"/>
          <w:b/>
          <w:sz w:val="22"/>
          <w:szCs w:val="22"/>
          <w:u w:val="single"/>
          <w:lang w:val="en-GB"/>
        </w:rPr>
        <w:t>12</w:t>
      </w:r>
      <w:r w:rsidRPr="00293C60">
        <w:rPr>
          <w:rFonts w:ascii="Arial" w:hAnsi="Arial" w:cs="Arial"/>
          <w:b/>
          <w:sz w:val="22"/>
          <w:szCs w:val="22"/>
          <w:u w:val="single"/>
          <w:lang w:val="en-GB"/>
        </w:rPr>
        <w:t xml:space="preserve"> of the Provisional Agenda</w:t>
      </w:r>
      <w:r w:rsidRPr="00293C60">
        <w:rPr>
          <w:rFonts w:ascii="Arial" w:hAnsi="Arial" w:cs="Arial"/>
          <w:b/>
          <w:sz w:val="22"/>
          <w:szCs w:val="22"/>
          <w:lang w:val="en-GB"/>
        </w:rPr>
        <w:t>:</w:t>
      </w:r>
    </w:p>
    <w:p w14:paraId="2B90AB31" w14:textId="655D496C" w:rsidR="00EC6F8D" w:rsidRPr="00293C60" w:rsidRDefault="008D3CF7" w:rsidP="00EC6F8D">
      <w:pPr>
        <w:pStyle w:val="Sansinterligne2"/>
        <w:spacing w:after="1200"/>
        <w:jc w:val="center"/>
        <w:rPr>
          <w:rFonts w:ascii="Arial" w:hAnsi="Arial" w:cs="Arial"/>
          <w:b/>
          <w:sz w:val="22"/>
          <w:szCs w:val="22"/>
          <w:lang w:val="en-GB"/>
        </w:rPr>
      </w:pPr>
      <w:r w:rsidRPr="008D3CF7">
        <w:rPr>
          <w:rFonts w:ascii="Arial" w:hAnsi="Arial" w:cs="Arial"/>
          <w:b/>
          <w:sz w:val="22"/>
          <w:szCs w:val="22"/>
          <w:lang w:val="en-GB"/>
        </w:rPr>
        <w:t xml:space="preserve">Procedures to facilitate dialogue </w:t>
      </w:r>
      <w:r w:rsidR="00C218EB">
        <w:rPr>
          <w:rFonts w:ascii="Arial" w:hAnsi="Arial" w:cs="Arial"/>
          <w:b/>
          <w:sz w:val="22"/>
          <w:szCs w:val="22"/>
          <w:lang w:val="en-GB"/>
        </w:rPr>
        <w:br/>
      </w:r>
      <w:r w:rsidRPr="008D3CF7">
        <w:rPr>
          <w:rFonts w:ascii="Arial" w:hAnsi="Arial" w:cs="Arial"/>
          <w:b/>
          <w:sz w:val="22"/>
          <w:szCs w:val="22"/>
          <w:lang w:val="en-GB"/>
        </w:rPr>
        <w:t>betwe</w:t>
      </w:r>
      <w:r w:rsidR="00125508">
        <w:rPr>
          <w:rFonts w:ascii="Arial" w:hAnsi="Arial" w:cs="Arial"/>
          <w:b/>
          <w:sz w:val="22"/>
          <w:szCs w:val="22"/>
          <w:lang w:val="en-GB"/>
        </w:rPr>
        <w:t>en the Evaluation Body and the s</w:t>
      </w:r>
      <w:r w:rsidRPr="008D3CF7">
        <w:rPr>
          <w:rFonts w:ascii="Arial" w:hAnsi="Arial" w:cs="Arial"/>
          <w:b/>
          <w:sz w:val="22"/>
          <w:szCs w:val="22"/>
          <w:lang w:val="en-GB"/>
        </w:rPr>
        <w:t>ubmitting State(s)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8D3CF7" w14:paraId="57941F51" w14:textId="77777777" w:rsidTr="00EC6F8D">
        <w:trPr>
          <w:jc w:val="center"/>
        </w:trPr>
        <w:tc>
          <w:tcPr>
            <w:tcW w:w="5670" w:type="dxa"/>
            <w:vAlign w:val="center"/>
          </w:tcPr>
          <w:p w14:paraId="68043344" w14:textId="77777777" w:rsidR="00EC6F8D" w:rsidRPr="00293C60" w:rsidRDefault="00EC6F8D" w:rsidP="00CA56BB">
            <w:pPr>
              <w:pStyle w:val="Sansinterligne1"/>
              <w:spacing w:before="200" w:after="200"/>
              <w:jc w:val="center"/>
              <w:rPr>
                <w:rFonts w:ascii="Arial" w:hAnsi="Arial" w:cs="Arial"/>
                <w:b/>
                <w:sz w:val="22"/>
                <w:szCs w:val="22"/>
                <w:lang w:val="en-GB"/>
              </w:rPr>
            </w:pPr>
            <w:r w:rsidRPr="00293C60">
              <w:rPr>
                <w:rFonts w:ascii="Arial" w:hAnsi="Arial" w:cs="Arial"/>
                <w:b/>
                <w:sz w:val="22"/>
                <w:szCs w:val="22"/>
                <w:lang w:val="en-GB"/>
              </w:rPr>
              <w:t>Summary</w:t>
            </w:r>
          </w:p>
          <w:p w14:paraId="7B3D3375" w14:textId="7ED345A6" w:rsidR="00BB0575" w:rsidRPr="00293C60" w:rsidRDefault="00BB0575" w:rsidP="00BB0575">
            <w:pPr>
              <w:pStyle w:val="Sansinterligne1"/>
              <w:jc w:val="both"/>
              <w:rPr>
                <w:rFonts w:ascii="Arial" w:hAnsi="Arial" w:cs="Arial"/>
                <w:bCs/>
                <w:sz w:val="22"/>
                <w:szCs w:val="22"/>
                <w:lang w:val="en-GB"/>
              </w:rPr>
            </w:pPr>
            <w:r>
              <w:rPr>
                <w:rFonts w:ascii="Arial" w:hAnsi="Arial" w:cs="Arial"/>
                <w:sz w:val="22"/>
                <w:szCs w:val="22"/>
                <w:lang w:val="en-GB"/>
              </w:rPr>
              <w:t>At its eleventh session</w:t>
            </w:r>
            <w:r w:rsidR="00C05FD0">
              <w:rPr>
                <w:rFonts w:ascii="Arial" w:hAnsi="Arial" w:cs="Arial"/>
                <w:sz w:val="22"/>
                <w:szCs w:val="22"/>
                <w:lang w:val="en-GB"/>
              </w:rPr>
              <w:t xml:space="preserve"> in 2016</w:t>
            </w:r>
            <w:r>
              <w:rPr>
                <w:rFonts w:ascii="Arial" w:hAnsi="Arial" w:cs="Arial"/>
                <w:sz w:val="22"/>
                <w:szCs w:val="22"/>
                <w:lang w:val="en-GB"/>
              </w:rPr>
              <w:t xml:space="preserve">, the Committee requested </w:t>
            </w:r>
            <w:r w:rsidR="00D023D0">
              <w:rPr>
                <w:rFonts w:ascii="Arial" w:hAnsi="Arial" w:cs="Arial"/>
                <w:sz w:val="22"/>
                <w:szCs w:val="22"/>
                <w:lang w:val="en-US"/>
              </w:rPr>
              <w:t xml:space="preserve">that </w:t>
            </w:r>
            <w:r>
              <w:rPr>
                <w:rFonts w:ascii="Arial" w:hAnsi="Arial" w:cs="Arial"/>
                <w:sz w:val="22"/>
                <w:szCs w:val="22"/>
                <w:lang w:val="en-GB"/>
              </w:rPr>
              <w:t>the Secretariat propose</w:t>
            </w:r>
            <w:r w:rsidR="00C05FD0">
              <w:rPr>
                <w:rFonts w:ascii="Arial" w:hAnsi="Arial" w:cs="Arial"/>
                <w:sz w:val="22"/>
                <w:szCs w:val="22"/>
                <w:lang w:val="en-GB"/>
              </w:rPr>
              <w:t>,</w:t>
            </w:r>
            <w:r>
              <w:rPr>
                <w:rFonts w:ascii="Arial" w:hAnsi="Arial" w:cs="Arial"/>
                <w:sz w:val="22"/>
                <w:szCs w:val="22"/>
                <w:lang w:val="en-GB"/>
              </w:rPr>
              <w:t xml:space="preserve"> </w:t>
            </w:r>
            <w:r w:rsidR="00C05FD0">
              <w:rPr>
                <w:rFonts w:ascii="Arial" w:hAnsi="Arial" w:cs="Arial"/>
                <w:sz w:val="22"/>
                <w:szCs w:val="22"/>
                <w:lang w:val="en-GB"/>
              </w:rPr>
              <w:t>for examination at</w:t>
            </w:r>
            <w:r>
              <w:rPr>
                <w:rFonts w:ascii="Arial" w:hAnsi="Arial" w:cs="Arial"/>
                <w:sz w:val="22"/>
                <w:szCs w:val="22"/>
                <w:lang w:val="en-GB"/>
              </w:rPr>
              <w:t xml:space="preserve"> </w:t>
            </w:r>
            <w:r w:rsidR="005E3C2D">
              <w:rPr>
                <w:rFonts w:ascii="Arial" w:hAnsi="Arial" w:cs="Arial"/>
                <w:sz w:val="22"/>
                <w:szCs w:val="22"/>
                <w:lang w:val="en-GB"/>
              </w:rPr>
              <w:t xml:space="preserve">its </w:t>
            </w:r>
            <w:r w:rsidR="00C05FD0">
              <w:rPr>
                <w:rFonts w:ascii="Arial" w:hAnsi="Arial" w:cs="Arial"/>
                <w:sz w:val="22"/>
                <w:szCs w:val="22"/>
                <w:lang w:val="en-GB"/>
              </w:rPr>
              <w:t xml:space="preserve">present </w:t>
            </w:r>
            <w:r w:rsidR="005E3C2D">
              <w:rPr>
                <w:rFonts w:ascii="Arial" w:hAnsi="Arial" w:cs="Arial"/>
                <w:sz w:val="22"/>
                <w:szCs w:val="22"/>
                <w:lang w:val="en-GB"/>
              </w:rPr>
              <w:t>session</w:t>
            </w:r>
            <w:r w:rsidR="00C05FD0">
              <w:rPr>
                <w:rFonts w:ascii="Arial" w:hAnsi="Arial" w:cs="Arial"/>
                <w:sz w:val="22"/>
                <w:szCs w:val="22"/>
                <w:lang w:val="en-GB"/>
              </w:rPr>
              <w:t>,</w:t>
            </w:r>
            <w:r>
              <w:rPr>
                <w:rFonts w:ascii="Arial" w:hAnsi="Arial" w:cs="Arial"/>
                <w:sz w:val="22"/>
                <w:szCs w:val="22"/>
                <w:lang w:val="en-GB"/>
              </w:rPr>
              <w:t xml:space="preserve"> a</w:t>
            </w:r>
            <w:r w:rsidR="001B6593">
              <w:rPr>
                <w:rFonts w:ascii="Arial" w:hAnsi="Arial" w:cs="Arial"/>
                <w:sz w:val="22"/>
                <w:szCs w:val="22"/>
                <w:lang w:val="en-GB"/>
              </w:rPr>
              <w:t xml:space="preserve"> </w:t>
            </w:r>
            <w:r>
              <w:rPr>
                <w:rFonts w:ascii="Arial" w:hAnsi="Arial" w:cs="Arial"/>
                <w:sz w:val="22"/>
                <w:szCs w:val="22"/>
                <w:lang w:val="en-GB"/>
              </w:rPr>
              <w:t xml:space="preserve">procedure </w:t>
            </w:r>
            <w:r w:rsidR="00D023D0">
              <w:rPr>
                <w:rFonts w:ascii="Arial" w:hAnsi="Arial" w:cs="Arial"/>
                <w:sz w:val="22"/>
                <w:szCs w:val="22"/>
                <w:lang w:val="en-GB"/>
              </w:rPr>
              <w:t>for</w:t>
            </w:r>
            <w:r>
              <w:rPr>
                <w:rFonts w:ascii="Arial" w:hAnsi="Arial" w:cs="Arial"/>
                <w:sz w:val="22"/>
                <w:szCs w:val="22"/>
                <w:lang w:val="en-US"/>
              </w:rPr>
              <w:t xml:space="preserve"> the evaluation of files </w:t>
            </w:r>
            <w:r w:rsidR="00C05FD0">
              <w:rPr>
                <w:rFonts w:ascii="Arial" w:hAnsi="Arial" w:cs="Arial"/>
                <w:sz w:val="22"/>
                <w:szCs w:val="22"/>
                <w:lang w:val="en-US"/>
              </w:rPr>
              <w:t>that</w:t>
            </w:r>
            <w:r>
              <w:rPr>
                <w:rFonts w:ascii="Arial" w:hAnsi="Arial" w:cs="Arial"/>
                <w:sz w:val="22"/>
                <w:szCs w:val="22"/>
                <w:lang w:val="en-US"/>
              </w:rPr>
              <w:t xml:space="preserve"> </w:t>
            </w:r>
            <w:r w:rsidRPr="00B61AFF">
              <w:rPr>
                <w:rFonts w:ascii="Arial" w:hAnsi="Arial" w:cs="Arial"/>
                <w:sz w:val="22"/>
                <w:szCs w:val="22"/>
                <w:lang w:val="en-US"/>
              </w:rPr>
              <w:t>allow</w:t>
            </w:r>
            <w:r w:rsidR="00A97E92">
              <w:rPr>
                <w:rFonts w:ascii="Arial" w:hAnsi="Arial" w:cs="Arial"/>
                <w:sz w:val="22"/>
                <w:szCs w:val="22"/>
                <w:lang w:val="en-US"/>
              </w:rPr>
              <w:t>s</w:t>
            </w:r>
            <w:r w:rsidRPr="00B61AFF">
              <w:rPr>
                <w:rFonts w:ascii="Arial" w:hAnsi="Arial" w:cs="Arial"/>
                <w:sz w:val="22"/>
                <w:szCs w:val="22"/>
                <w:lang w:val="en-US"/>
              </w:rPr>
              <w:t xml:space="preserve"> submitting States to respond to preliminary recommendations </w:t>
            </w:r>
            <w:r w:rsidR="00C05FD0">
              <w:rPr>
                <w:rFonts w:ascii="Arial" w:hAnsi="Arial" w:cs="Arial"/>
                <w:sz w:val="22"/>
                <w:szCs w:val="22"/>
                <w:lang w:val="en-US"/>
              </w:rPr>
              <w:t xml:space="preserve">to </w:t>
            </w:r>
            <w:proofErr w:type="gramStart"/>
            <w:r w:rsidR="00C05FD0">
              <w:rPr>
                <w:rFonts w:ascii="Arial" w:hAnsi="Arial" w:cs="Arial"/>
                <w:sz w:val="22"/>
                <w:szCs w:val="22"/>
                <w:lang w:val="en-US"/>
              </w:rPr>
              <w:t>be made</w:t>
            </w:r>
            <w:proofErr w:type="gramEnd"/>
            <w:r w:rsidR="00C05FD0">
              <w:rPr>
                <w:rFonts w:ascii="Arial" w:hAnsi="Arial" w:cs="Arial"/>
                <w:sz w:val="22"/>
                <w:szCs w:val="22"/>
                <w:lang w:val="en-US"/>
              </w:rPr>
              <w:t xml:space="preserve"> by </w:t>
            </w:r>
            <w:r w:rsidRPr="00B61AFF">
              <w:rPr>
                <w:rFonts w:ascii="Arial" w:hAnsi="Arial" w:cs="Arial"/>
                <w:sz w:val="22"/>
                <w:szCs w:val="22"/>
                <w:lang w:val="en-US"/>
              </w:rPr>
              <w:t>the Evaluation Body</w:t>
            </w:r>
            <w:r>
              <w:rPr>
                <w:rFonts w:ascii="Arial" w:hAnsi="Arial" w:cs="Arial"/>
                <w:sz w:val="22"/>
                <w:szCs w:val="22"/>
                <w:lang w:val="en-US"/>
              </w:rPr>
              <w:t>.</w:t>
            </w:r>
            <w:r>
              <w:rPr>
                <w:rFonts w:ascii="Arial" w:hAnsi="Arial" w:cs="Arial"/>
                <w:sz w:val="22"/>
                <w:szCs w:val="22"/>
                <w:lang w:val="en-GB"/>
              </w:rPr>
              <w:t xml:space="preserve"> The present document proposes such procedure</w:t>
            </w:r>
            <w:r w:rsidR="00C05FD0">
              <w:rPr>
                <w:rFonts w:ascii="Arial" w:hAnsi="Arial" w:cs="Arial"/>
                <w:sz w:val="22"/>
                <w:szCs w:val="22"/>
                <w:lang w:val="en-GB"/>
              </w:rPr>
              <w:t>, together with</w:t>
            </w:r>
            <w:r>
              <w:rPr>
                <w:rFonts w:ascii="Arial" w:hAnsi="Arial" w:cs="Arial"/>
                <w:sz w:val="22"/>
                <w:szCs w:val="22"/>
                <w:lang w:val="en-GB"/>
              </w:rPr>
              <w:t xml:space="preserve"> draft amendments to the Operational Directives </w:t>
            </w:r>
            <w:r w:rsidR="00C05FD0">
              <w:rPr>
                <w:rFonts w:ascii="Arial" w:hAnsi="Arial" w:cs="Arial"/>
                <w:sz w:val="22"/>
                <w:szCs w:val="22"/>
                <w:lang w:val="en-GB"/>
              </w:rPr>
              <w:t xml:space="preserve">in this regard that </w:t>
            </w:r>
            <w:r w:rsidR="00C05FD0" w:rsidRPr="00C41CC6">
              <w:rPr>
                <w:rFonts w:ascii="Arial" w:hAnsi="Arial" w:cs="Arial"/>
                <w:sz w:val="22"/>
                <w:szCs w:val="22"/>
                <w:lang w:val="en-GB"/>
              </w:rPr>
              <w:t>the Committee may wish to recommend to the General Assembly</w:t>
            </w:r>
            <w:r w:rsidR="005C369A">
              <w:rPr>
                <w:rFonts w:ascii="Arial" w:hAnsi="Arial" w:cs="Arial"/>
                <w:sz w:val="22"/>
                <w:szCs w:val="22"/>
                <w:lang w:val="en-GB"/>
              </w:rPr>
              <w:t xml:space="preserve"> for adoption</w:t>
            </w:r>
            <w:r>
              <w:rPr>
                <w:rFonts w:ascii="Arial" w:hAnsi="Arial" w:cs="Arial"/>
                <w:sz w:val="22"/>
                <w:szCs w:val="22"/>
                <w:lang w:val="en-GB"/>
              </w:rPr>
              <w:t>.</w:t>
            </w:r>
          </w:p>
          <w:p w14:paraId="334ACC80" w14:textId="6094F6DC" w:rsidR="00EC6F8D" w:rsidRPr="00293C60" w:rsidRDefault="00EC6F8D" w:rsidP="00D513A4">
            <w:pPr>
              <w:pStyle w:val="Sansinterligne2"/>
              <w:spacing w:before="200" w:after="200"/>
              <w:jc w:val="both"/>
              <w:rPr>
                <w:rFonts w:ascii="Arial" w:hAnsi="Arial" w:cs="Arial"/>
                <w:b/>
                <w:sz w:val="22"/>
                <w:szCs w:val="22"/>
                <w:lang w:val="en-GB"/>
              </w:rPr>
            </w:pPr>
            <w:r w:rsidRPr="00293C60">
              <w:rPr>
                <w:rFonts w:ascii="Arial" w:hAnsi="Arial" w:cs="Arial"/>
                <w:b/>
                <w:sz w:val="22"/>
                <w:szCs w:val="22"/>
                <w:lang w:val="en-GB"/>
              </w:rPr>
              <w:t xml:space="preserve">Decision required: </w:t>
            </w:r>
            <w:r w:rsidRPr="00293C60">
              <w:rPr>
                <w:rFonts w:ascii="Arial" w:hAnsi="Arial" w:cs="Arial"/>
                <w:bCs/>
                <w:sz w:val="22"/>
                <w:szCs w:val="22"/>
                <w:lang w:val="en-GB"/>
              </w:rPr>
              <w:t xml:space="preserve">paragraph </w:t>
            </w:r>
            <w:r w:rsidR="00CE3635" w:rsidRPr="00C244FB">
              <w:rPr>
                <w:rFonts w:ascii="Arial" w:hAnsi="Arial" w:cs="Arial"/>
                <w:bCs/>
                <w:sz w:val="22"/>
                <w:szCs w:val="22"/>
                <w:lang w:val="en-GB"/>
              </w:rPr>
              <w:t>9</w:t>
            </w:r>
          </w:p>
        </w:tc>
      </w:tr>
    </w:tbl>
    <w:p w14:paraId="0733DF32" w14:textId="2C47FCC6" w:rsidR="001D1746" w:rsidRDefault="00655736" w:rsidP="001D1746">
      <w:pPr>
        <w:pStyle w:val="COMPara"/>
        <w:jc w:val="both"/>
      </w:pPr>
      <w:r w:rsidRPr="00414643">
        <w:br w:type="page"/>
      </w:r>
      <w:r w:rsidR="005E3C2D">
        <w:lastRenderedPageBreak/>
        <w:t>At its eleventh session, the Intergovernmental Committee for the Safeguarding of the Intangible Cultural Heritage (‘the Committee</w:t>
      </w:r>
      <w:r w:rsidR="00AC5E85">
        <w:t>’</w:t>
      </w:r>
      <w:r w:rsidR="00DA0F7F">
        <w:t>)</w:t>
      </w:r>
      <w:r w:rsidR="005E3C2D">
        <w:t xml:space="preserve"> </w:t>
      </w:r>
      <w:r w:rsidR="00A810CA">
        <w:t xml:space="preserve">took two interrelated </w:t>
      </w:r>
      <w:r w:rsidR="001675B2">
        <w:t>actions</w:t>
      </w:r>
      <w:r w:rsidR="00940DAA">
        <w:t xml:space="preserve"> under </w:t>
      </w:r>
      <w:hyperlink r:id="rId8" w:history="1">
        <w:r w:rsidR="00940DAA" w:rsidRPr="00E22E8E">
          <w:rPr>
            <w:rStyle w:val="Hyperlink"/>
          </w:rPr>
          <w:t>Decision</w:t>
        </w:r>
        <w:r w:rsidR="00CE51CF">
          <w:rPr>
            <w:rStyle w:val="Hyperlink"/>
          </w:rPr>
          <w:t> </w:t>
        </w:r>
        <w:r w:rsidR="00940DAA" w:rsidRPr="00E22E8E">
          <w:rPr>
            <w:rStyle w:val="Hyperlink"/>
          </w:rPr>
          <w:t>11.COM 10</w:t>
        </w:r>
      </w:hyperlink>
      <w:r w:rsidR="00940DAA">
        <w:t xml:space="preserve">. On </w:t>
      </w:r>
      <w:r w:rsidR="00D023D0">
        <w:t xml:space="preserve">the </w:t>
      </w:r>
      <w:r w:rsidR="00940DAA">
        <w:t>one hand</w:t>
      </w:r>
      <w:r w:rsidR="004954F9">
        <w:t>,</w:t>
      </w:r>
      <w:r w:rsidR="00940DAA">
        <w:t xml:space="preserve"> the Committee</w:t>
      </w:r>
      <w:r w:rsidR="00A810CA">
        <w:t xml:space="preserve"> </w:t>
      </w:r>
      <w:r w:rsidR="005E3C2D">
        <w:t>requested that the Secretariat ‘propose a procedure, to the next session of the Committee, which would include an intermediary step in the evaluation of files, thus allowing submitting States to respond to preliminary recommendations that the Evaluation Body would have addressed beforehand to the Secretariat’ (</w:t>
      </w:r>
      <w:r w:rsidR="006D6803" w:rsidRPr="00A27AF9">
        <w:t>paragraph 12</w:t>
      </w:r>
      <w:r w:rsidR="005E3C2D">
        <w:t>).</w:t>
      </w:r>
      <w:r w:rsidR="001D1746">
        <w:t xml:space="preserve"> This document proposes such </w:t>
      </w:r>
      <w:r w:rsidR="00131926">
        <w:t xml:space="preserve">a </w:t>
      </w:r>
      <w:r w:rsidR="001D1746">
        <w:t xml:space="preserve">procedure, together with </w:t>
      </w:r>
      <w:r w:rsidR="00131926">
        <w:t xml:space="preserve">the </w:t>
      </w:r>
      <w:r w:rsidR="001D1746">
        <w:t xml:space="preserve">draft </w:t>
      </w:r>
      <w:r w:rsidR="007B74CB">
        <w:t>amendments</w:t>
      </w:r>
      <w:r w:rsidR="001D1746">
        <w:t xml:space="preserve"> to the Operational Directives</w:t>
      </w:r>
      <w:r w:rsidR="00131926">
        <w:t xml:space="preserve"> that would be required to enact it, which</w:t>
      </w:r>
      <w:r w:rsidR="001D1746">
        <w:t xml:space="preserve"> the Committee may wish to recommend to the General Assembly</w:t>
      </w:r>
      <w:r w:rsidR="005C369A">
        <w:t xml:space="preserve"> for adoption</w:t>
      </w:r>
      <w:r w:rsidR="001D1746">
        <w:t>.</w:t>
      </w:r>
    </w:p>
    <w:p w14:paraId="4F9F2819" w14:textId="60B91284" w:rsidR="00DA0F7F" w:rsidRDefault="005E3C2D" w:rsidP="00DA0F7F">
      <w:pPr>
        <w:pStyle w:val="COMPara"/>
        <w:jc w:val="both"/>
      </w:pPr>
      <w:r>
        <w:t xml:space="preserve">By the same decision, </w:t>
      </w:r>
      <w:r w:rsidR="001675B2">
        <w:t>t</w:t>
      </w:r>
      <w:r>
        <w:t xml:space="preserve">he Committee </w:t>
      </w:r>
      <w:r w:rsidR="0093654B">
        <w:t xml:space="preserve">also </w:t>
      </w:r>
      <w:r>
        <w:t xml:space="preserve">established </w:t>
      </w:r>
      <w:r w:rsidRPr="004B6A94">
        <w:rPr>
          <w:rFonts w:eastAsia="Arial"/>
        </w:rPr>
        <w:t xml:space="preserve">an </w:t>
      </w:r>
      <w:r w:rsidRPr="00151987">
        <w:rPr>
          <w:rFonts w:eastAsia="Arial"/>
        </w:rPr>
        <w:t>informal ad hoc working group in order to ‘examine issues related to the consultation and dialogue between the Evaluation Body and the submitting States, the decision-making process of the Committee concerning nominations, proposals and requests’</w:t>
      </w:r>
      <w:r w:rsidR="00940DAA">
        <w:rPr>
          <w:rFonts w:eastAsia="Arial"/>
        </w:rPr>
        <w:t xml:space="preserve"> (paragraph 13)</w:t>
      </w:r>
      <w:r>
        <w:t xml:space="preserve">. </w:t>
      </w:r>
      <w:r w:rsidR="00EF4960">
        <w:t>T</w:t>
      </w:r>
      <w:r w:rsidR="003D2F17">
        <w:t xml:space="preserve">he </w:t>
      </w:r>
      <w:r w:rsidR="001D7390">
        <w:t>conclusions of the ad hoc</w:t>
      </w:r>
      <w:r w:rsidR="003D2F17">
        <w:t xml:space="preserve"> working group</w:t>
      </w:r>
      <w:r w:rsidR="001D7390">
        <w:t xml:space="preserve"> </w:t>
      </w:r>
      <w:proofErr w:type="gramStart"/>
      <w:r w:rsidR="001D7390">
        <w:t>are detailed</w:t>
      </w:r>
      <w:proofErr w:type="gramEnd"/>
      <w:r w:rsidR="001D7390">
        <w:t xml:space="preserve"> in its report</w:t>
      </w:r>
      <w:r w:rsidR="003D2F17">
        <w:t xml:space="preserve"> (</w:t>
      </w:r>
      <w:r w:rsidR="0058073E" w:rsidRPr="00B6405F">
        <w:t>d</w:t>
      </w:r>
      <w:r w:rsidR="003D2F17" w:rsidRPr="00B6405F">
        <w:t xml:space="preserve">ocument </w:t>
      </w:r>
      <w:hyperlink r:id="rId9" w:history="1">
        <w:r w:rsidR="003D2F17" w:rsidRPr="00B6405F">
          <w:rPr>
            <w:rStyle w:val="Hyperlink"/>
          </w:rPr>
          <w:t>ITH/17/12.COM/13</w:t>
        </w:r>
      </w:hyperlink>
      <w:r w:rsidR="003D2F17" w:rsidRPr="0058073E">
        <w:t>).</w:t>
      </w:r>
    </w:p>
    <w:p w14:paraId="1BECD4F7" w14:textId="370842F2" w:rsidR="00DA0F7F" w:rsidRDefault="00DA0F7F" w:rsidP="00DA0F7F">
      <w:pPr>
        <w:pStyle w:val="COMPara"/>
        <w:jc w:val="both"/>
      </w:pPr>
      <w:r>
        <w:t xml:space="preserve">Such actions </w:t>
      </w:r>
      <w:proofErr w:type="gramStart"/>
      <w:r w:rsidR="0055240C">
        <w:t>were triggered</w:t>
      </w:r>
      <w:proofErr w:type="gramEnd"/>
      <w:r w:rsidR="0055240C">
        <w:t xml:space="preserve"> by</w:t>
      </w:r>
      <w:r>
        <w:t xml:space="preserve"> </w:t>
      </w:r>
      <w:r w:rsidR="0055240C">
        <w:t xml:space="preserve">the </w:t>
      </w:r>
      <w:r>
        <w:t xml:space="preserve">unprecedented high number of decisions </w:t>
      </w:r>
      <w:r w:rsidR="00D023D0">
        <w:t>taken by the</w:t>
      </w:r>
      <w:r>
        <w:t xml:space="preserve"> Committee on nominations, proposals and requests</w:t>
      </w:r>
      <w:r w:rsidR="0093654B">
        <w:t xml:space="preserve"> that reversed</w:t>
      </w:r>
      <w:r>
        <w:t xml:space="preserve"> the recommendations of the Evaluation Body for the 2016 cycle. The Committee decided to inscribe or select </w:t>
      </w:r>
      <w:r w:rsidR="00D023D0">
        <w:t>seventeen</w:t>
      </w:r>
      <w:r>
        <w:t xml:space="preserve"> out of </w:t>
      </w:r>
      <w:r w:rsidR="00D023D0">
        <w:t>twenty-four</w:t>
      </w:r>
      <w:r>
        <w:t xml:space="preserve"> files (71</w:t>
      </w:r>
      <w:r w:rsidR="00D023D0">
        <w:t xml:space="preserve"> per cent</w:t>
      </w:r>
      <w:r>
        <w:t xml:space="preserve">) even though the recommendations by the Evaluation Body on these files were not favourable. On </w:t>
      </w:r>
      <w:r w:rsidR="00CE3635">
        <w:t xml:space="preserve">several </w:t>
      </w:r>
      <w:r>
        <w:t xml:space="preserve">occasions, the Committee found that these </w:t>
      </w:r>
      <w:r w:rsidR="005C369A">
        <w:t xml:space="preserve">negative </w:t>
      </w:r>
      <w:r>
        <w:t xml:space="preserve">recommendations </w:t>
      </w:r>
      <w:proofErr w:type="gramStart"/>
      <w:r>
        <w:t>were</w:t>
      </w:r>
      <w:r w:rsidR="00F84573">
        <w:t xml:space="preserve"> </w:t>
      </w:r>
      <w:r>
        <w:t>presented</w:t>
      </w:r>
      <w:proofErr w:type="gramEnd"/>
      <w:r>
        <w:t xml:space="preserve"> to </w:t>
      </w:r>
      <w:r w:rsidR="004B2F88">
        <w:t>it</w:t>
      </w:r>
      <w:r>
        <w:t xml:space="preserve"> because of missing information of </w:t>
      </w:r>
      <w:r w:rsidR="00D023D0">
        <w:t xml:space="preserve">a </w:t>
      </w:r>
      <w:r>
        <w:t xml:space="preserve">minor and technical nature. </w:t>
      </w:r>
      <w:r w:rsidR="0093654B">
        <w:t>At that session, many delegates also expressed c</w:t>
      </w:r>
      <w:r>
        <w:t xml:space="preserve">oncerns as to the fact that no mechanism currently exists in the procedure allowing submitting States to respond to the concerns raised by the Evaluation Body before their cases </w:t>
      </w:r>
      <w:proofErr w:type="gramStart"/>
      <w:r>
        <w:t>are brought</w:t>
      </w:r>
      <w:proofErr w:type="gramEnd"/>
      <w:r>
        <w:t xml:space="preserve"> to the Committee.</w:t>
      </w:r>
    </w:p>
    <w:p w14:paraId="43D1B469" w14:textId="7E314A87" w:rsidR="00BE608C" w:rsidRDefault="00BE608C" w:rsidP="008F13F2">
      <w:pPr>
        <w:pStyle w:val="COMPara"/>
        <w:jc w:val="both"/>
      </w:pPr>
      <w:r>
        <w:t xml:space="preserve">With reference to Chapter I.15 of the Operational Directives, the schedule established for </w:t>
      </w:r>
      <w:r w:rsidR="00074BE0">
        <w:t xml:space="preserve">the </w:t>
      </w:r>
      <w:r>
        <w:t>recent cycles is for the Evaluation Body to meet three times</w:t>
      </w:r>
      <w:r w:rsidR="005F7708">
        <w:t xml:space="preserve"> per cycle</w:t>
      </w:r>
      <w:r>
        <w:t>. The first meeting</w:t>
      </w:r>
      <w:r w:rsidR="007B373D">
        <w:t>,</w:t>
      </w:r>
      <w:r>
        <w:t xml:space="preserve"> in February/March</w:t>
      </w:r>
      <w:r w:rsidR="007B373D">
        <w:t>,</w:t>
      </w:r>
      <w:r>
        <w:t xml:space="preserve"> is an orientation session </w:t>
      </w:r>
      <w:r w:rsidR="007B373D">
        <w:t>involving</w:t>
      </w:r>
      <w:r>
        <w:t xml:space="preserve"> a presentation of the files to </w:t>
      </w:r>
      <w:proofErr w:type="gramStart"/>
      <w:r>
        <w:t>be examined</w:t>
      </w:r>
      <w:proofErr w:type="gramEnd"/>
      <w:r w:rsidR="00F84573">
        <w:t>, a review of the criteria and working methods of the evaluation body as</w:t>
      </w:r>
      <w:r w:rsidR="00767E4F">
        <w:t xml:space="preserve"> well as</w:t>
      </w:r>
      <w:r w:rsidR="00F84573">
        <w:t xml:space="preserve"> </w:t>
      </w:r>
      <w:r w:rsidR="007B373D">
        <w:t>the election of the</w:t>
      </w:r>
      <w:r>
        <w:t xml:space="preserve"> Chairperson, Vice-Chairperson and Rapporteur. For a period of </w:t>
      </w:r>
      <w:r w:rsidR="007B373D">
        <w:t>ten</w:t>
      </w:r>
      <w:r>
        <w:t xml:space="preserve"> to </w:t>
      </w:r>
      <w:r w:rsidR="007B373D">
        <w:t>twelve</w:t>
      </w:r>
      <w:r>
        <w:t xml:space="preserve"> weeks after that meeting, the twelve members of the Body </w:t>
      </w:r>
      <w:r w:rsidR="00ED21ED">
        <w:t xml:space="preserve">independently </w:t>
      </w:r>
      <w:r>
        <w:t xml:space="preserve">evaluate each of the </w:t>
      </w:r>
      <w:r w:rsidR="007B373D">
        <w:t>fifty</w:t>
      </w:r>
      <w:r>
        <w:t xml:space="preserve"> or so files. The Body meets for the second time</w:t>
      </w:r>
      <w:r w:rsidR="00ED21ED">
        <w:t xml:space="preserve"> in June </w:t>
      </w:r>
      <w:r w:rsidR="0093654B">
        <w:t>for</w:t>
      </w:r>
      <w:r w:rsidR="00185BC3">
        <w:t xml:space="preserve"> a</w:t>
      </w:r>
      <w:r w:rsidR="00ED21ED">
        <w:t xml:space="preserve"> collective</w:t>
      </w:r>
      <w:r>
        <w:t xml:space="preserve"> evaluation</w:t>
      </w:r>
      <w:r w:rsidR="0093654B">
        <w:t>,</w:t>
      </w:r>
      <w:r w:rsidR="007B373D">
        <w:t xml:space="preserve"> criterion by criterion</w:t>
      </w:r>
      <w:r w:rsidR="0093654B">
        <w:t>,</w:t>
      </w:r>
      <w:r w:rsidR="00185BC3">
        <w:t xml:space="preserve"> </w:t>
      </w:r>
      <w:r w:rsidR="0093654B">
        <w:t>of</w:t>
      </w:r>
      <w:r w:rsidR="00185BC3">
        <w:t xml:space="preserve"> each file,</w:t>
      </w:r>
      <w:r>
        <w:t xml:space="preserve"> </w:t>
      </w:r>
      <w:proofErr w:type="gramStart"/>
      <w:r w:rsidR="0093654B">
        <w:t xml:space="preserve">so as </w:t>
      </w:r>
      <w:r>
        <w:t>to</w:t>
      </w:r>
      <w:proofErr w:type="gramEnd"/>
      <w:r>
        <w:t xml:space="preserve"> reach consensus </w:t>
      </w:r>
      <w:r w:rsidR="00ED21ED">
        <w:t>as a group,</w:t>
      </w:r>
      <w:r>
        <w:t xml:space="preserve"> a</w:t>
      </w:r>
      <w:r w:rsidR="00ED21ED">
        <w:t>s well as</w:t>
      </w:r>
      <w:r>
        <w:t xml:space="preserve"> to discuss cross-cutting issues.</w:t>
      </w:r>
      <w:r w:rsidR="005F7708">
        <w:t xml:space="preserve"> Immediately after the second</w:t>
      </w:r>
      <w:r w:rsidR="005F7708" w:rsidRPr="005F7708">
        <w:t xml:space="preserve"> meeting, in consultation with the Chairperson and with the s</w:t>
      </w:r>
      <w:r w:rsidR="00270C70">
        <w:t>upport of the Secretariat, the R</w:t>
      </w:r>
      <w:r w:rsidR="005F7708" w:rsidRPr="005F7708">
        <w:t>apporteur</w:t>
      </w:r>
      <w:r w:rsidR="00F84573">
        <w:t xml:space="preserve"> begins</w:t>
      </w:r>
      <w:r w:rsidR="005F7708" w:rsidRPr="005F7708">
        <w:t xml:space="preserve"> draft</w:t>
      </w:r>
      <w:r w:rsidR="00F84573">
        <w:t>ing</w:t>
      </w:r>
      <w:r w:rsidR="005F7708" w:rsidRPr="005F7708">
        <w:t xml:space="preserve"> the report of the Evalu</w:t>
      </w:r>
      <w:r w:rsidR="005F7708">
        <w:t>ation Body to the Committee.</w:t>
      </w:r>
      <w:r w:rsidR="005F7708" w:rsidRPr="005F7708">
        <w:t xml:space="preserve"> </w:t>
      </w:r>
      <w:r>
        <w:t xml:space="preserve">The third meeting </w:t>
      </w:r>
      <w:r w:rsidR="007B373D">
        <w:t xml:space="preserve">takes place </w:t>
      </w:r>
      <w:r>
        <w:t>in September</w:t>
      </w:r>
      <w:r w:rsidR="007B373D">
        <w:t xml:space="preserve">, and </w:t>
      </w:r>
      <w:proofErr w:type="gramStart"/>
      <w:r w:rsidR="007B373D">
        <w:t>is aimed</w:t>
      </w:r>
      <w:proofErr w:type="gramEnd"/>
      <w:r w:rsidR="007B373D">
        <w:t xml:space="preserve"> at</w:t>
      </w:r>
      <w:r>
        <w:t xml:space="preserve"> review</w:t>
      </w:r>
      <w:r w:rsidR="007B373D">
        <w:t>ing</w:t>
      </w:r>
      <w:r>
        <w:t xml:space="preserve"> the draft report of the Evaluation Body to finalise the</w:t>
      </w:r>
      <w:r w:rsidR="00CE3635">
        <w:t xml:space="preserve"> wording of the </w:t>
      </w:r>
      <w:r>
        <w:t>recommendations for each file</w:t>
      </w:r>
      <w:r w:rsidR="007B373D">
        <w:t>,</w:t>
      </w:r>
      <w:r>
        <w:t xml:space="preserve"> a</w:t>
      </w:r>
      <w:r w:rsidR="007B373D">
        <w:t>s well as the</w:t>
      </w:r>
      <w:r>
        <w:t xml:space="preserve"> overall report on the work of the Evaluation Body.</w:t>
      </w:r>
    </w:p>
    <w:p w14:paraId="69A50CFB" w14:textId="6738E758" w:rsidR="0028143E" w:rsidRDefault="007B373D" w:rsidP="0028143E">
      <w:pPr>
        <w:pStyle w:val="COMPara"/>
        <w:jc w:val="both"/>
      </w:pPr>
      <w:r>
        <w:t>This</w:t>
      </w:r>
      <w:r w:rsidR="001200C3">
        <w:t xml:space="preserve"> process</w:t>
      </w:r>
      <w:r>
        <w:t>,</w:t>
      </w:r>
      <w:r w:rsidR="001200C3">
        <w:t xml:space="preserve"> </w:t>
      </w:r>
      <w:r>
        <w:t>which</w:t>
      </w:r>
      <w:r w:rsidR="001200C3">
        <w:t xml:space="preserve"> </w:t>
      </w:r>
      <w:r w:rsidR="00074BE0">
        <w:t xml:space="preserve">combines individual and </w:t>
      </w:r>
      <w:r w:rsidR="001200C3">
        <w:t xml:space="preserve">collective </w:t>
      </w:r>
      <w:r w:rsidR="00E14F1F">
        <w:t>evaluation</w:t>
      </w:r>
      <w:r>
        <w:t>s</w:t>
      </w:r>
      <w:r w:rsidR="001200C3">
        <w:t xml:space="preserve"> </w:t>
      </w:r>
      <w:r w:rsidR="00E14F1F">
        <w:t xml:space="preserve">over </w:t>
      </w:r>
      <w:r>
        <w:t xml:space="preserve">the course of </w:t>
      </w:r>
      <w:r w:rsidR="00E14F1F">
        <w:t>three meetings</w:t>
      </w:r>
      <w:r>
        <w:t>,</w:t>
      </w:r>
      <w:r w:rsidR="00E14F1F">
        <w:t xml:space="preserve"> </w:t>
      </w:r>
      <w:r w:rsidR="00074BE0">
        <w:t xml:space="preserve">has proved useful in </w:t>
      </w:r>
      <w:r w:rsidR="00E14F1F">
        <w:t xml:space="preserve">ensuring that </w:t>
      </w:r>
      <w:r>
        <w:t xml:space="preserve">the </w:t>
      </w:r>
      <w:r w:rsidR="00E14F1F">
        <w:t>evaluation o</w:t>
      </w:r>
      <w:r w:rsidR="0093654B">
        <w:t>f</w:t>
      </w:r>
      <w:r w:rsidR="00E14F1F">
        <w:t xml:space="preserve"> each file </w:t>
      </w:r>
      <w:r w:rsidR="00317B23">
        <w:t xml:space="preserve">benefits from </w:t>
      </w:r>
      <w:r>
        <w:t xml:space="preserve">the </w:t>
      </w:r>
      <w:r w:rsidR="00317B23">
        <w:t xml:space="preserve">geographical balance of the members of the Body, </w:t>
      </w:r>
      <w:r>
        <w:t xml:space="preserve">who </w:t>
      </w:r>
      <w:proofErr w:type="gramStart"/>
      <w:r>
        <w:t xml:space="preserve">are </w:t>
      </w:r>
      <w:r w:rsidR="00317B23">
        <w:t>elected</w:t>
      </w:r>
      <w:proofErr w:type="gramEnd"/>
      <w:r w:rsidR="00317B23">
        <w:t xml:space="preserve"> from each Electoral Group of UNESCO, while allowing the Body to speak in a united voice. </w:t>
      </w:r>
      <w:r w:rsidR="00FD0065">
        <w:t>Furthermore, experience</w:t>
      </w:r>
      <w:r>
        <w:t xml:space="preserve"> has</w:t>
      </w:r>
      <w:r w:rsidR="00FD0065">
        <w:t xml:space="preserve"> show</w:t>
      </w:r>
      <w:r>
        <w:t>n</w:t>
      </w:r>
      <w:r w:rsidR="00FD0065">
        <w:t xml:space="preserve"> that </w:t>
      </w:r>
      <w:r>
        <w:t xml:space="preserve">the </w:t>
      </w:r>
      <w:r w:rsidR="00BB46D2">
        <w:t xml:space="preserve">time allowed for each of the above-mentioned steps </w:t>
      </w:r>
      <w:r>
        <w:t>is</w:t>
      </w:r>
      <w:r w:rsidR="00BB46D2">
        <w:t xml:space="preserve"> just long enough </w:t>
      </w:r>
      <w:r w:rsidR="0093654B">
        <w:t>to evaluate</w:t>
      </w:r>
      <w:r w:rsidR="00BB46D2">
        <w:t xml:space="preserve"> </w:t>
      </w:r>
      <w:r>
        <w:t>the fifty</w:t>
      </w:r>
      <w:r w:rsidR="00BB46D2">
        <w:t xml:space="preserve"> or so files. </w:t>
      </w:r>
      <w:r w:rsidR="001200C3">
        <w:t>The issue at hand</w:t>
      </w:r>
      <w:r w:rsidR="0093654B">
        <w:t>,</w:t>
      </w:r>
      <w:r w:rsidR="001200C3">
        <w:t xml:space="preserve"> </w:t>
      </w:r>
      <w:r w:rsidR="00BB46D2">
        <w:t>then</w:t>
      </w:r>
      <w:r w:rsidR="0093654B">
        <w:t>,</w:t>
      </w:r>
      <w:r w:rsidR="00BB46D2">
        <w:t xml:space="preserve"> </w:t>
      </w:r>
      <w:r w:rsidR="001200C3">
        <w:t>is the need to create a</w:t>
      </w:r>
      <w:r w:rsidR="00FD0065">
        <w:t xml:space="preserve"> window of opportunity </w:t>
      </w:r>
      <w:r w:rsidR="00317B23">
        <w:t>within the evaluation cycle to allow the submitting States to respond to the queries</w:t>
      </w:r>
      <w:r w:rsidR="00FC53E5">
        <w:t xml:space="preserve"> </w:t>
      </w:r>
      <w:r w:rsidR="005D6AC2">
        <w:t>posed by the Evaluation Body</w:t>
      </w:r>
      <w:r w:rsidR="00CE3635">
        <w:t>.</w:t>
      </w:r>
    </w:p>
    <w:p w14:paraId="03DF4429" w14:textId="6F3E639F" w:rsidR="00572A5B" w:rsidRDefault="00CE3635" w:rsidP="00270C70">
      <w:pPr>
        <w:pStyle w:val="COMPara"/>
        <w:jc w:val="both"/>
      </w:pPr>
      <w:r>
        <w:t xml:space="preserve">Following </w:t>
      </w:r>
      <w:r w:rsidR="005F7708">
        <w:t>exchanges</w:t>
      </w:r>
      <w:r>
        <w:t xml:space="preserve"> with the informal ad hoc working </w:t>
      </w:r>
      <w:r w:rsidR="00B020CF">
        <w:t>group, the</w:t>
      </w:r>
      <w:r w:rsidR="003C0B70">
        <w:t xml:space="preserve"> </w:t>
      </w:r>
      <w:r w:rsidR="008511EF">
        <w:t>Secretariat</w:t>
      </w:r>
      <w:r w:rsidR="004A407B">
        <w:t xml:space="preserve"> </w:t>
      </w:r>
      <w:r w:rsidR="00937540">
        <w:t xml:space="preserve">wishes to </w:t>
      </w:r>
      <w:r w:rsidR="004A407B">
        <w:t xml:space="preserve">propose </w:t>
      </w:r>
      <w:r w:rsidR="0028143E">
        <w:t>to hold the</w:t>
      </w:r>
      <w:r w:rsidR="004A407B">
        <w:t xml:space="preserve"> election of the Evaluation Body members</w:t>
      </w:r>
      <w:r w:rsidR="00CA0658">
        <w:t xml:space="preserve"> </w:t>
      </w:r>
      <w:r w:rsidR="00655956">
        <w:t xml:space="preserve">immediately after a </w:t>
      </w:r>
      <w:r w:rsidR="00267C1F">
        <w:t xml:space="preserve">meeting of the </w:t>
      </w:r>
      <w:r w:rsidR="00655956">
        <w:t xml:space="preserve">General Assembly every </w:t>
      </w:r>
      <w:r w:rsidR="00CA0658">
        <w:t>two years</w:t>
      </w:r>
      <w:r w:rsidR="00655956">
        <w:t xml:space="preserve"> </w:t>
      </w:r>
      <w:r w:rsidR="007A1F3F">
        <w:t xml:space="preserve">instead of </w:t>
      </w:r>
      <w:r w:rsidR="00655956">
        <w:t>every year</w:t>
      </w:r>
      <w:r w:rsidR="00734D49">
        <w:t xml:space="preserve"> </w:t>
      </w:r>
      <w:r w:rsidR="007A1F3F">
        <w:t xml:space="preserve">and </w:t>
      </w:r>
      <w:r w:rsidR="00734D49">
        <w:t>to</w:t>
      </w:r>
      <w:r w:rsidR="004A407B">
        <w:t xml:space="preserve"> renew half of the members </w:t>
      </w:r>
      <w:r w:rsidR="00734D49">
        <w:t>rather than</w:t>
      </w:r>
      <w:r w:rsidR="004A407B">
        <w:t xml:space="preserve"> </w:t>
      </w:r>
      <w:r w:rsidR="00FF2264">
        <w:t xml:space="preserve">a </w:t>
      </w:r>
      <w:r w:rsidR="004A407B">
        <w:t xml:space="preserve">quarter. </w:t>
      </w:r>
      <w:r w:rsidR="00267C1F">
        <w:t xml:space="preserve">In this way, </w:t>
      </w:r>
      <w:r w:rsidR="008A5D53">
        <w:t>the</w:t>
      </w:r>
      <w:r w:rsidR="00734D49">
        <w:t xml:space="preserve"> first meeting of the </w:t>
      </w:r>
      <w:r w:rsidR="008A5D53">
        <w:t xml:space="preserve">newly elected </w:t>
      </w:r>
      <w:r w:rsidR="00734D49">
        <w:t xml:space="preserve">Evaluation Body </w:t>
      </w:r>
      <w:proofErr w:type="gramStart"/>
      <w:r w:rsidR="00267C1F">
        <w:t>c</w:t>
      </w:r>
      <w:r w:rsidR="00FF2264">
        <w:t>ould</w:t>
      </w:r>
      <w:r w:rsidR="00267C1F">
        <w:t xml:space="preserve"> be</w:t>
      </w:r>
      <w:r w:rsidR="008A5D53">
        <w:t xml:space="preserve"> held</w:t>
      </w:r>
      <w:proofErr w:type="gramEnd"/>
      <w:r w:rsidR="008A5D53">
        <w:t xml:space="preserve"> </w:t>
      </w:r>
      <w:r w:rsidR="00767E4F">
        <w:t xml:space="preserve">in September </w:t>
      </w:r>
      <w:r w:rsidR="008511EF">
        <w:t xml:space="preserve">in </w:t>
      </w:r>
      <w:r w:rsidR="00767E4F">
        <w:t xml:space="preserve">General Assembly </w:t>
      </w:r>
      <w:r w:rsidR="008511EF">
        <w:t>years</w:t>
      </w:r>
      <w:r w:rsidR="00767E4F">
        <w:t>,</w:t>
      </w:r>
      <w:r w:rsidR="008511EF">
        <w:t xml:space="preserve"> </w:t>
      </w:r>
      <w:r w:rsidR="008A5D53">
        <w:t>immediately after</w:t>
      </w:r>
      <w:r w:rsidR="00734D49">
        <w:t xml:space="preserve"> the last meeting</w:t>
      </w:r>
      <w:r w:rsidR="0093654B">
        <w:t xml:space="preserve"> </w:t>
      </w:r>
      <w:r w:rsidR="00734D49">
        <w:t xml:space="preserve">of the Evaluation Body of </w:t>
      </w:r>
      <w:r w:rsidR="00FF2264">
        <w:t xml:space="preserve">the </w:t>
      </w:r>
      <w:r w:rsidR="00734D49">
        <w:t>ongoing cycle</w:t>
      </w:r>
      <w:r w:rsidR="008511EF">
        <w:t xml:space="preserve">. </w:t>
      </w:r>
      <w:r w:rsidR="005F7708">
        <w:t>T</w:t>
      </w:r>
      <w:r w:rsidR="00256C43">
        <w:t>he me</w:t>
      </w:r>
      <w:r w:rsidR="00EC2F15">
        <w:t>m</w:t>
      </w:r>
      <w:r w:rsidR="00256C43">
        <w:t>b</w:t>
      </w:r>
      <w:r w:rsidR="00EC2F15">
        <w:t>ers of the Body c</w:t>
      </w:r>
      <w:r w:rsidR="00FF2264">
        <w:t>ould</w:t>
      </w:r>
      <w:r w:rsidR="00EC2F15">
        <w:t xml:space="preserve"> start preparing </w:t>
      </w:r>
      <w:r w:rsidR="00FF2264">
        <w:t xml:space="preserve">their </w:t>
      </w:r>
      <w:r w:rsidR="00EC2F15">
        <w:t>individual evaluations</w:t>
      </w:r>
      <w:r w:rsidR="005F7708">
        <w:t xml:space="preserve"> by December/January</w:t>
      </w:r>
      <w:r w:rsidR="00270C70">
        <w:t xml:space="preserve"> </w:t>
      </w:r>
      <w:r w:rsidR="004B2F88">
        <w:t>–</w:t>
      </w:r>
      <w:r w:rsidR="002C18D4">
        <w:t xml:space="preserve"> </w:t>
      </w:r>
      <w:r w:rsidR="00270C70">
        <w:t xml:space="preserve">after the files completed in September </w:t>
      </w:r>
      <w:proofErr w:type="gramStart"/>
      <w:r w:rsidR="00270C70">
        <w:t>have been translated</w:t>
      </w:r>
      <w:proofErr w:type="gramEnd"/>
      <w:r w:rsidR="002C18D4">
        <w:t xml:space="preserve"> </w:t>
      </w:r>
      <w:r w:rsidR="004B2F88">
        <w:t>–</w:t>
      </w:r>
      <w:r w:rsidR="00270C70">
        <w:t xml:space="preserve"> in preparation for their next</w:t>
      </w:r>
      <w:r w:rsidR="005F7708">
        <w:t xml:space="preserve"> </w:t>
      </w:r>
      <w:r w:rsidR="00270C70">
        <w:t>meeting in</w:t>
      </w:r>
      <w:r w:rsidR="00EC2F15">
        <w:t xml:space="preserve"> </w:t>
      </w:r>
      <w:r w:rsidR="002E5129">
        <w:t>April</w:t>
      </w:r>
      <w:r w:rsidR="00EC2F15">
        <w:t xml:space="preserve">. </w:t>
      </w:r>
      <w:r w:rsidR="002C18D4">
        <w:t>Any questions the Evaluation Body may wish to address to a submitting State</w:t>
      </w:r>
      <w:r w:rsidR="00624150">
        <w:t xml:space="preserve"> </w:t>
      </w:r>
      <w:proofErr w:type="gramStart"/>
      <w:r w:rsidR="00FF2264">
        <w:t>would</w:t>
      </w:r>
      <w:r w:rsidR="00624150">
        <w:t xml:space="preserve"> then be communicated</w:t>
      </w:r>
      <w:proofErr w:type="gramEnd"/>
      <w:r w:rsidR="00FF2264">
        <w:t>, in writing,</w:t>
      </w:r>
      <w:r w:rsidR="00624150">
        <w:t xml:space="preserve"> to the submitting States </w:t>
      </w:r>
      <w:r w:rsidR="00FF2264">
        <w:t>concerned, so that they might</w:t>
      </w:r>
      <w:r w:rsidR="00624150">
        <w:t xml:space="preserve"> send a written response within three weeks</w:t>
      </w:r>
      <w:r w:rsidR="005F7708">
        <w:t xml:space="preserve"> </w:t>
      </w:r>
      <w:r w:rsidR="005F7708">
        <w:lastRenderedPageBreak/>
        <w:t xml:space="preserve">of the date </w:t>
      </w:r>
      <w:r w:rsidR="00270C70">
        <w:t xml:space="preserve">on which </w:t>
      </w:r>
      <w:r w:rsidR="005F7708">
        <w:t xml:space="preserve">the </w:t>
      </w:r>
      <w:r w:rsidR="00270C70">
        <w:t>letter</w:t>
      </w:r>
      <w:r w:rsidR="005F7708">
        <w:t xml:space="preserve"> </w:t>
      </w:r>
      <w:r w:rsidR="00270C70">
        <w:t>was sent out</w:t>
      </w:r>
      <w:r w:rsidR="005F7708">
        <w:t xml:space="preserve"> by the Secretariat</w:t>
      </w:r>
      <w:r w:rsidR="00624150">
        <w:t xml:space="preserve">. </w:t>
      </w:r>
      <w:r w:rsidR="002C18D4">
        <w:t>The Secretariat will translate both the questions of the Evaluation</w:t>
      </w:r>
      <w:r w:rsidR="008A2943">
        <w:t xml:space="preserve"> Body</w:t>
      </w:r>
      <w:r w:rsidR="002C18D4">
        <w:t xml:space="preserve"> and the </w:t>
      </w:r>
      <w:r w:rsidR="008A2943">
        <w:t>responses of the submitting S</w:t>
      </w:r>
      <w:r w:rsidR="002C18D4">
        <w:t>tate</w:t>
      </w:r>
      <w:r w:rsidR="008A2943">
        <w:t>s</w:t>
      </w:r>
      <w:r w:rsidR="002C18D4">
        <w:t xml:space="preserve"> into the</w:t>
      </w:r>
      <w:r w:rsidR="008A2943">
        <w:t xml:space="preserve"> other working language of the C</w:t>
      </w:r>
      <w:r w:rsidR="002C18D4">
        <w:t>ommittee</w:t>
      </w:r>
      <w:r w:rsidR="00B40907">
        <w:t>, as necessary</w:t>
      </w:r>
      <w:r w:rsidR="00491A99">
        <w:t xml:space="preserve">. </w:t>
      </w:r>
      <w:r w:rsidR="00FF2264">
        <w:t>In its</w:t>
      </w:r>
      <w:r w:rsidR="00624150">
        <w:t xml:space="preserve"> second meeting</w:t>
      </w:r>
      <w:r w:rsidR="00FF2264">
        <w:t>,</w:t>
      </w:r>
      <w:r w:rsidR="00624150">
        <w:t xml:space="preserve"> </w:t>
      </w:r>
      <w:r w:rsidR="00FF2264">
        <w:t>t</w:t>
      </w:r>
      <w:r w:rsidR="00624150">
        <w:t>he Evaluation Body</w:t>
      </w:r>
      <w:r w:rsidR="00BF7797">
        <w:t xml:space="preserve"> </w:t>
      </w:r>
      <w:r w:rsidR="00FF2264">
        <w:t>would</w:t>
      </w:r>
      <w:r w:rsidR="00624150">
        <w:t xml:space="preserve"> take into account these responses when finali</w:t>
      </w:r>
      <w:r w:rsidR="00FF2264">
        <w:t>zi</w:t>
      </w:r>
      <w:r w:rsidR="00624150">
        <w:t xml:space="preserve">ng </w:t>
      </w:r>
      <w:r w:rsidR="00FF2264">
        <w:t>its</w:t>
      </w:r>
      <w:r w:rsidR="00624150">
        <w:t xml:space="preserve"> recommendations</w:t>
      </w:r>
      <w:r w:rsidR="00BF7797">
        <w:t xml:space="preserve"> to the Committee</w:t>
      </w:r>
      <w:r w:rsidR="00624150">
        <w:t xml:space="preserve">. </w:t>
      </w:r>
      <w:r w:rsidR="00E362DD">
        <w:t xml:space="preserve">When presented on </w:t>
      </w:r>
      <w:r w:rsidR="00267C1F">
        <w:t>10 May 2017 and again at its open-ended session on 2 June 2017</w:t>
      </w:r>
      <w:r w:rsidR="00E362DD">
        <w:t xml:space="preserve">, the </w:t>
      </w:r>
      <w:r w:rsidR="00FF2264">
        <w:t xml:space="preserve">ad hoc </w:t>
      </w:r>
      <w:r w:rsidR="00E362DD">
        <w:t xml:space="preserve">informal </w:t>
      </w:r>
      <w:r w:rsidR="00FF2264">
        <w:t xml:space="preserve">working </w:t>
      </w:r>
      <w:r w:rsidR="00E362DD">
        <w:t xml:space="preserve">group </w:t>
      </w:r>
      <w:r w:rsidR="00CF50DB">
        <w:t>was</w:t>
      </w:r>
      <w:r w:rsidR="00E362DD">
        <w:t xml:space="preserve"> satisfied with this proposal</w:t>
      </w:r>
      <w:r w:rsidR="00624150">
        <w:t xml:space="preserve">. </w:t>
      </w:r>
      <w:r w:rsidR="00E362DD">
        <w:t>A</w:t>
      </w:r>
      <w:r w:rsidR="00624150">
        <w:t>n extra step in the evaluation cycle would mean</w:t>
      </w:r>
      <w:r w:rsidR="00E362DD">
        <w:t>, however,</w:t>
      </w:r>
      <w:r w:rsidR="00624150">
        <w:t xml:space="preserve"> that the Secretariat </w:t>
      </w:r>
      <w:proofErr w:type="gramStart"/>
      <w:r w:rsidR="00624150">
        <w:t>would be tasked</w:t>
      </w:r>
      <w:proofErr w:type="gramEnd"/>
      <w:r w:rsidR="00624150">
        <w:t xml:space="preserve"> </w:t>
      </w:r>
      <w:r w:rsidR="00E362DD">
        <w:t xml:space="preserve">with </w:t>
      </w:r>
      <w:r w:rsidR="00FF2264">
        <w:t xml:space="preserve">the </w:t>
      </w:r>
      <w:r w:rsidR="00E362DD">
        <w:t xml:space="preserve">additional workload </w:t>
      </w:r>
      <w:r w:rsidR="00210629">
        <w:t>of</w:t>
      </w:r>
      <w:r w:rsidR="00FF2264">
        <w:t xml:space="preserve"> </w:t>
      </w:r>
      <w:r w:rsidR="00E362DD">
        <w:t xml:space="preserve">facilitating </w:t>
      </w:r>
      <w:r w:rsidR="00624150">
        <w:t xml:space="preserve">the </w:t>
      </w:r>
      <w:r w:rsidR="00E362DD">
        <w:t>exch</w:t>
      </w:r>
      <w:r w:rsidR="00624150">
        <w:t>a</w:t>
      </w:r>
      <w:r w:rsidR="00E362DD">
        <w:t>n</w:t>
      </w:r>
      <w:r w:rsidR="00624150">
        <w:t>ge of letters</w:t>
      </w:r>
      <w:r w:rsidR="00BF7797">
        <w:t>,</w:t>
      </w:r>
      <w:r w:rsidR="00624150">
        <w:t xml:space="preserve"> including </w:t>
      </w:r>
      <w:r w:rsidR="00FF2264">
        <w:t xml:space="preserve">their </w:t>
      </w:r>
      <w:r w:rsidR="00624150">
        <w:t>translation</w:t>
      </w:r>
      <w:r w:rsidR="00BF7797">
        <w:t>,</w:t>
      </w:r>
      <w:r w:rsidR="00E362DD">
        <w:t xml:space="preserve"> within a short </w:t>
      </w:r>
      <w:r w:rsidR="00B40907">
        <w:t>timeframe</w:t>
      </w:r>
      <w:r w:rsidR="00624150">
        <w:t xml:space="preserve">. The </w:t>
      </w:r>
      <w:r w:rsidR="00017270">
        <w:t xml:space="preserve">new </w:t>
      </w:r>
      <w:r w:rsidR="00624150">
        <w:t>dialogue process</w:t>
      </w:r>
      <w:r w:rsidR="00B40907">
        <w:t xml:space="preserve"> might</w:t>
      </w:r>
      <w:r w:rsidR="00624150">
        <w:t xml:space="preserve"> require </w:t>
      </w:r>
      <w:r w:rsidR="002D0DF0">
        <w:t xml:space="preserve">either </w:t>
      </w:r>
      <w:r w:rsidR="00FF2264">
        <w:t xml:space="preserve">a </w:t>
      </w:r>
      <w:r w:rsidR="002D0DF0">
        <w:t xml:space="preserve">change </w:t>
      </w:r>
      <w:r w:rsidR="00FF2264">
        <w:t>in the</w:t>
      </w:r>
      <w:r w:rsidR="002D0DF0">
        <w:t xml:space="preserve"> working </w:t>
      </w:r>
      <w:proofErr w:type="gramStart"/>
      <w:r w:rsidR="002D0DF0">
        <w:t xml:space="preserve">methods </w:t>
      </w:r>
      <w:r w:rsidR="00FF2264">
        <w:t>for</w:t>
      </w:r>
      <w:r w:rsidR="002D0DF0">
        <w:t xml:space="preserve"> certain</w:t>
      </w:r>
      <w:proofErr w:type="gramEnd"/>
      <w:r w:rsidR="002D0DF0">
        <w:t xml:space="preserve"> </w:t>
      </w:r>
      <w:r w:rsidR="00B40907">
        <w:t xml:space="preserve">other </w:t>
      </w:r>
      <w:r w:rsidR="002D0DF0">
        <w:t>statutory mechanisms</w:t>
      </w:r>
      <w:r w:rsidR="00B40907">
        <w:t>,</w:t>
      </w:r>
      <w:r w:rsidR="002D0DF0">
        <w:t xml:space="preserve"> or </w:t>
      </w:r>
      <w:r w:rsidR="00624150">
        <w:t>additional human resources for the Secretariat</w:t>
      </w:r>
      <w:r w:rsidR="00FF2264">
        <w:t xml:space="preserve">, </w:t>
      </w:r>
      <w:r w:rsidR="00624150">
        <w:t>which is already stretched to meet various statutory obligations under the Convention.</w:t>
      </w:r>
      <w:r w:rsidR="00643631">
        <w:t xml:space="preserve"> </w:t>
      </w:r>
      <w:r w:rsidR="00A86E1B">
        <w:t xml:space="preserve">A simple </w:t>
      </w:r>
      <w:r w:rsidR="00643631">
        <w:t xml:space="preserve">graphic representation of the </w:t>
      </w:r>
      <w:r w:rsidR="00A86E1B">
        <w:t xml:space="preserve">proposed </w:t>
      </w:r>
      <w:r w:rsidR="00643631">
        <w:t xml:space="preserve">revised nomination cycle calendar </w:t>
      </w:r>
      <w:proofErr w:type="gramStart"/>
      <w:r w:rsidR="00643631">
        <w:t>is found</w:t>
      </w:r>
      <w:proofErr w:type="gramEnd"/>
      <w:r w:rsidR="00643631">
        <w:t xml:space="preserve"> in Annex II to this document.</w:t>
      </w:r>
    </w:p>
    <w:p w14:paraId="1BA0FF32" w14:textId="5C3429A2" w:rsidR="00F11434" w:rsidRPr="006D677A" w:rsidRDefault="00C37CFC" w:rsidP="006E47BC">
      <w:pPr>
        <w:pStyle w:val="COMPara"/>
        <w:jc w:val="both"/>
      </w:pPr>
      <w:r>
        <w:t>Operationally, c</w:t>
      </w:r>
      <w:r w:rsidR="00D570D0">
        <w:t>hanging the schedule of the election</w:t>
      </w:r>
      <w:r w:rsidR="003A0380">
        <w:t xml:space="preserve"> </w:t>
      </w:r>
      <w:r w:rsidR="00734D49">
        <w:t>of the members of the Evaluation Body</w:t>
      </w:r>
      <w:r w:rsidR="0028143E">
        <w:t xml:space="preserve"> </w:t>
      </w:r>
      <w:r w:rsidR="003A0380">
        <w:t>would</w:t>
      </w:r>
      <w:r w:rsidR="0028143E">
        <w:t xml:space="preserve"> </w:t>
      </w:r>
      <w:r w:rsidR="003A0380">
        <w:t>require a transition period</w:t>
      </w:r>
      <w:r w:rsidR="008A5D53">
        <w:t xml:space="preserve"> until the mandate of all </w:t>
      </w:r>
      <w:r w:rsidR="00FF2264">
        <w:t xml:space="preserve">the </w:t>
      </w:r>
      <w:r w:rsidR="008A5D53">
        <w:t xml:space="preserve">current members </w:t>
      </w:r>
      <w:r w:rsidR="0028143E">
        <w:t>expires</w:t>
      </w:r>
      <w:r w:rsidR="008A5D53">
        <w:t xml:space="preserve">. It </w:t>
      </w:r>
      <w:proofErr w:type="gramStart"/>
      <w:r w:rsidR="008A5D53">
        <w:t>is</w:t>
      </w:r>
      <w:r w:rsidR="00B40907">
        <w:t xml:space="preserve"> </w:t>
      </w:r>
      <w:r w:rsidR="008A5D53">
        <w:t>proposed</w:t>
      </w:r>
      <w:proofErr w:type="gramEnd"/>
      <w:r w:rsidR="008A5D53">
        <w:t xml:space="preserve"> that, </w:t>
      </w:r>
      <w:r w:rsidR="003A0380">
        <w:t xml:space="preserve">immediately after the seventh session of the General Assembly in 2018, </w:t>
      </w:r>
      <w:r w:rsidR="00FF2264">
        <w:t xml:space="preserve">the Committee </w:t>
      </w:r>
      <w:r w:rsidR="003A0380">
        <w:t>elect three new members with a four-year mandate (2019-2022) and three new members with a three-year mandate (2020-2022). After the eighth session of the General Assembly in 2020, the Committee would elect three new members with a four-</w:t>
      </w:r>
      <w:r w:rsidR="003A0380" w:rsidRPr="006D677A">
        <w:t>year mandate (2021-2024) and three new members with a three-year mandate (2022-2024).</w:t>
      </w:r>
    </w:p>
    <w:p w14:paraId="03855195" w14:textId="07C6127C" w:rsidR="00B6091D" w:rsidRPr="00CE51CF" w:rsidRDefault="00A5217F" w:rsidP="008C1F2D">
      <w:pPr>
        <w:pStyle w:val="COMPara"/>
        <w:jc w:val="both"/>
      </w:pPr>
      <w:r>
        <w:t>The creation of an intermediary step in the evaluation cycle</w:t>
      </w:r>
      <w:r w:rsidR="00EB7823">
        <w:t>,</w:t>
      </w:r>
      <w:r>
        <w:t xml:space="preserve"> according to the m</w:t>
      </w:r>
      <w:r w:rsidR="00EB7823">
        <w:t xml:space="preserve">ethod </w:t>
      </w:r>
      <w:r>
        <w:t>presented in this document</w:t>
      </w:r>
      <w:r w:rsidR="00EB7823">
        <w:t>,</w:t>
      </w:r>
      <w:r>
        <w:t xml:space="preserve"> </w:t>
      </w:r>
      <w:r w:rsidR="00EB7823">
        <w:t>would require</w:t>
      </w:r>
      <w:r w:rsidR="001F6520">
        <w:t xml:space="preserve"> amendments</w:t>
      </w:r>
      <w:r w:rsidR="00210629">
        <w:t xml:space="preserve"> </w:t>
      </w:r>
      <w:r w:rsidR="001F6520">
        <w:t>to the Operational Directives</w:t>
      </w:r>
      <w:r w:rsidR="00EB7823">
        <w:t>,</w:t>
      </w:r>
      <w:r w:rsidR="001F6520">
        <w:t xml:space="preserve"> which </w:t>
      </w:r>
      <w:proofErr w:type="gramStart"/>
      <w:r w:rsidR="001F6520">
        <w:t>are presented</w:t>
      </w:r>
      <w:proofErr w:type="gramEnd"/>
      <w:r w:rsidR="001F6520">
        <w:t xml:space="preserve"> in </w:t>
      </w:r>
      <w:r>
        <w:t>its</w:t>
      </w:r>
      <w:r w:rsidR="001F6520">
        <w:t xml:space="preserve"> Annex. The proposed changes concern the revised timetable for the evaluation cycle as well as the new m</w:t>
      </w:r>
      <w:r w:rsidR="00EB7823">
        <w:t>ethod</w:t>
      </w:r>
      <w:r w:rsidR="001F6520">
        <w:t xml:space="preserve"> for the election of the members of the Body.</w:t>
      </w:r>
    </w:p>
    <w:p w14:paraId="2C977F2C" w14:textId="77777777" w:rsidR="00D95C4C" w:rsidRPr="00EA528C" w:rsidRDefault="000B1C8F" w:rsidP="00166534">
      <w:pPr>
        <w:pStyle w:val="COMPara"/>
        <w:keepNext/>
      </w:pPr>
      <w:r w:rsidRPr="000B1C8F">
        <w:t xml:space="preserve">The Committee may wish </w:t>
      </w:r>
      <w:r>
        <w:t>to adopt the following decision</w:t>
      </w:r>
      <w:r w:rsidR="00D95C4C" w:rsidRPr="00EA528C">
        <w:t>:</w:t>
      </w:r>
    </w:p>
    <w:p w14:paraId="4AF67DBF" w14:textId="77777777" w:rsidR="00D95C4C" w:rsidRPr="00FD624F" w:rsidRDefault="004A34A0" w:rsidP="00041A66">
      <w:pPr>
        <w:pStyle w:val="COMTitleDecision"/>
        <w:rPr>
          <w:rFonts w:eastAsia="SimSun"/>
        </w:rPr>
      </w:pPr>
      <w:r>
        <w:t xml:space="preserve">DRAFT </w:t>
      </w:r>
      <w:r w:rsidR="00CB0542">
        <w:t>DECISION 1</w:t>
      </w:r>
      <w:r w:rsidR="00337CEB">
        <w:rPr>
          <w:rFonts w:eastAsiaTheme="minorEastAsia" w:hint="eastAsia"/>
          <w:lang w:eastAsia="ko-KR"/>
        </w:rPr>
        <w:t>2</w:t>
      </w:r>
      <w:r w:rsidR="00EC6F8D">
        <w:t>.COM</w:t>
      </w:r>
      <w:r w:rsidR="00D95C4C" w:rsidRPr="00FD624F">
        <w:t xml:space="preserve"> </w:t>
      </w:r>
      <w:r w:rsidR="003C1886">
        <w:t>12</w:t>
      </w:r>
    </w:p>
    <w:p w14:paraId="6D42DC27" w14:textId="77777777" w:rsidR="00D95C4C" w:rsidRPr="00285BB4" w:rsidRDefault="00285BB4" w:rsidP="00285BB4">
      <w:pPr>
        <w:pStyle w:val="COMPreambulaDecisions"/>
        <w:rPr>
          <w:rFonts w:eastAsia="SimSun"/>
        </w:rPr>
      </w:pPr>
      <w:r w:rsidRPr="00285BB4">
        <w:t>The Committee,</w:t>
      </w:r>
    </w:p>
    <w:p w14:paraId="3904C738" w14:textId="77777777" w:rsidR="0057439C" w:rsidRPr="00345CB4" w:rsidRDefault="00D95C4C" w:rsidP="00E23E29">
      <w:pPr>
        <w:pStyle w:val="COMParaDecision"/>
        <w:ind w:left="1134" w:hanging="567"/>
        <w:jc w:val="left"/>
      </w:pPr>
      <w:r w:rsidRPr="00345CB4">
        <w:t>Having examined</w:t>
      </w:r>
      <w:r w:rsidRPr="00F32C23">
        <w:rPr>
          <w:u w:val="none"/>
        </w:rPr>
        <w:t xml:space="preserve"> doc</w:t>
      </w:r>
      <w:r w:rsidR="00CB0542">
        <w:rPr>
          <w:u w:val="none"/>
        </w:rPr>
        <w:t>ument ITH/1</w:t>
      </w:r>
      <w:r w:rsidR="00337CEB">
        <w:rPr>
          <w:rFonts w:eastAsiaTheme="minorEastAsia" w:hint="eastAsia"/>
          <w:u w:val="none"/>
          <w:lang w:eastAsia="ko-KR"/>
        </w:rPr>
        <w:t>7</w:t>
      </w:r>
      <w:r w:rsidR="00337CEB">
        <w:rPr>
          <w:u w:val="none"/>
        </w:rPr>
        <w:t>/1</w:t>
      </w:r>
      <w:r w:rsidR="00337CEB">
        <w:rPr>
          <w:rFonts w:eastAsiaTheme="minorEastAsia" w:hint="eastAsia"/>
          <w:u w:val="none"/>
          <w:lang w:eastAsia="ko-KR"/>
        </w:rPr>
        <w:t>2</w:t>
      </w:r>
      <w:r w:rsidR="00EC6F8D" w:rsidRPr="00F32C23">
        <w:rPr>
          <w:u w:val="none"/>
        </w:rPr>
        <w:t>.COM</w:t>
      </w:r>
      <w:r w:rsidR="004A34A0" w:rsidRPr="00F32C23">
        <w:rPr>
          <w:u w:val="none"/>
        </w:rPr>
        <w:t>/</w:t>
      </w:r>
      <w:r w:rsidR="0043039F">
        <w:rPr>
          <w:u w:val="none"/>
        </w:rPr>
        <w:t>12</w:t>
      </w:r>
      <w:r w:rsidRPr="00F32C23">
        <w:rPr>
          <w:u w:val="none"/>
        </w:rPr>
        <w:t>,</w:t>
      </w:r>
    </w:p>
    <w:p w14:paraId="075B7D59" w14:textId="482464FD" w:rsidR="0057439C" w:rsidRPr="00CE51CF" w:rsidRDefault="0057439C" w:rsidP="00E23E29">
      <w:pPr>
        <w:pStyle w:val="COMParaDecision"/>
        <w:ind w:left="1134" w:hanging="567"/>
        <w:jc w:val="left"/>
      </w:pPr>
      <w:r w:rsidRPr="00345CB4">
        <w:t>Recalling</w:t>
      </w:r>
      <w:r w:rsidR="005B7A35" w:rsidRPr="00F32C23">
        <w:rPr>
          <w:u w:val="none"/>
        </w:rPr>
        <w:t xml:space="preserve"> </w:t>
      </w:r>
      <w:r w:rsidR="00402755">
        <w:rPr>
          <w:u w:val="none"/>
        </w:rPr>
        <w:t xml:space="preserve">its </w:t>
      </w:r>
      <w:hyperlink r:id="rId10" w:history="1">
        <w:r w:rsidR="00402755" w:rsidRPr="0058073E">
          <w:rPr>
            <w:rStyle w:val="Hyperlink"/>
          </w:rPr>
          <w:t>Decision 11.COM 10</w:t>
        </w:r>
      </w:hyperlink>
      <w:r w:rsidRPr="00F32C23">
        <w:rPr>
          <w:u w:val="none"/>
        </w:rPr>
        <w:t>,</w:t>
      </w:r>
    </w:p>
    <w:p w14:paraId="61738173" w14:textId="3EDB720A" w:rsidR="009E6887" w:rsidRPr="00802E8F" w:rsidRDefault="009E6887" w:rsidP="009E6887">
      <w:pPr>
        <w:numPr>
          <w:ilvl w:val="0"/>
          <w:numId w:val="10"/>
        </w:numPr>
        <w:autoSpaceDE w:val="0"/>
        <w:autoSpaceDN w:val="0"/>
        <w:adjustRightInd w:val="0"/>
        <w:spacing w:before="120" w:after="120"/>
        <w:ind w:left="1134" w:hanging="567"/>
        <w:jc w:val="both"/>
        <w:rPr>
          <w:rFonts w:ascii="Arial" w:hAnsi="Arial" w:cs="Arial"/>
          <w:sz w:val="22"/>
          <w:szCs w:val="22"/>
          <w:lang w:val="en-GB"/>
        </w:rPr>
      </w:pPr>
      <w:r>
        <w:rPr>
          <w:rFonts w:ascii="Arial" w:hAnsi="Arial" w:cs="Arial"/>
          <w:sz w:val="22"/>
          <w:szCs w:val="22"/>
          <w:u w:val="single"/>
          <w:lang w:val="en-GB"/>
        </w:rPr>
        <w:t>Also r</w:t>
      </w:r>
      <w:r w:rsidRPr="00802E8F">
        <w:rPr>
          <w:rFonts w:ascii="Arial" w:hAnsi="Arial" w:cs="Arial"/>
          <w:sz w:val="22"/>
          <w:szCs w:val="22"/>
          <w:u w:val="single"/>
          <w:lang w:val="en-GB"/>
        </w:rPr>
        <w:t>ecalling</w:t>
      </w:r>
      <w:r w:rsidRPr="00802E8F">
        <w:rPr>
          <w:rFonts w:ascii="Arial" w:hAnsi="Arial" w:cs="Arial"/>
          <w:sz w:val="22"/>
          <w:szCs w:val="22"/>
          <w:lang w:val="en-GB"/>
        </w:rPr>
        <w:t> </w:t>
      </w:r>
      <w:r>
        <w:rPr>
          <w:rFonts w:ascii="Arial" w:hAnsi="Arial" w:cs="Arial"/>
          <w:sz w:val="22"/>
          <w:szCs w:val="22"/>
          <w:lang w:val="en-GB"/>
        </w:rPr>
        <w:t>Chapters I.8 and 1.10</w:t>
      </w:r>
      <w:r w:rsidRPr="00802E8F">
        <w:rPr>
          <w:rFonts w:ascii="Arial" w:hAnsi="Arial" w:cs="Arial"/>
          <w:sz w:val="22"/>
          <w:szCs w:val="22"/>
          <w:lang w:val="en-GB"/>
        </w:rPr>
        <w:t xml:space="preserve"> of the Operational Directives,</w:t>
      </w:r>
    </w:p>
    <w:p w14:paraId="5BE4762E" w14:textId="26746477" w:rsidR="0057439C" w:rsidRPr="00DA0F7F" w:rsidRDefault="001F6520" w:rsidP="00E23E29">
      <w:pPr>
        <w:pStyle w:val="COMParaDecision"/>
        <w:ind w:left="1134" w:hanging="567"/>
        <w:jc w:val="left"/>
      </w:pPr>
      <w:r w:rsidRPr="00CE51CF">
        <w:t>Taking into account</w:t>
      </w:r>
      <w:r w:rsidR="00402755" w:rsidRPr="001F6520">
        <w:rPr>
          <w:u w:val="none"/>
        </w:rPr>
        <w:t xml:space="preserve"> the </w:t>
      </w:r>
      <w:r w:rsidR="003D2F17" w:rsidRPr="006A2AC8">
        <w:rPr>
          <w:u w:val="none"/>
        </w:rPr>
        <w:t>debates</w:t>
      </w:r>
      <w:r w:rsidR="00402755" w:rsidRPr="00DA0F7F">
        <w:rPr>
          <w:u w:val="none"/>
        </w:rPr>
        <w:t xml:space="preserve"> of the informal ad hoc working group</w:t>
      </w:r>
      <w:r w:rsidR="0057439C" w:rsidRPr="00DA0F7F">
        <w:rPr>
          <w:u w:val="none"/>
        </w:rPr>
        <w:t>,</w:t>
      </w:r>
    </w:p>
    <w:p w14:paraId="66969B0D" w14:textId="01B9F5DF" w:rsidR="00D8250F" w:rsidRPr="00CE51CF" w:rsidRDefault="00402755" w:rsidP="00E23E29">
      <w:pPr>
        <w:pStyle w:val="COMParaDecision"/>
        <w:ind w:left="1134" w:hanging="567"/>
        <w:jc w:val="left"/>
      </w:pPr>
      <w:r>
        <w:t>Recommends</w:t>
      </w:r>
      <w:r w:rsidRPr="00402755">
        <w:rPr>
          <w:u w:val="none"/>
        </w:rPr>
        <w:t xml:space="preserve"> t</w:t>
      </w:r>
      <w:r w:rsidR="00EB7823">
        <w:rPr>
          <w:u w:val="none"/>
        </w:rPr>
        <w:t>hat</w:t>
      </w:r>
      <w:r w:rsidRPr="00402755">
        <w:rPr>
          <w:u w:val="none"/>
        </w:rPr>
        <w:t xml:space="preserve"> the General Assembly </w:t>
      </w:r>
      <w:r w:rsidR="006F39C6">
        <w:rPr>
          <w:u w:val="none"/>
        </w:rPr>
        <w:t>revise the</w:t>
      </w:r>
      <w:r w:rsidRPr="00402755">
        <w:rPr>
          <w:u w:val="none"/>
        </w:rPr>
        <w:t xml:space="preserve"> Operational Directives </w:t>
      </w:r>
      <w:r w:rsidR="006F39C6">
        <w:rPr>
          <w:u w:val="none"/>
        </w:rPr>
        <w:t>for the implementation of the Convention, as annexed to this decision</w:t>
      </w:r>
      <w:r w:rsidRPr="00402755">
        <w:rPr>
          <w:u w:val="none"/>
        </w:rPr>
        <w:t>.</w:t>
      </w:r>
    </w:p>
    <w:p w14:paraId="3AC7217B" w14:textId="77777777" w:rsidR="003C1886" w:rsidRDefault="003C1886" w:rsidP="001F26CF">
      <w:pPr>
        <w:pStyle w:val="COMParaDecision"/>
        <w:numPr>
          <w:ilvl w:val="0"/>
          <w:numId w:val="0"/>
        </w:numPr>
        <w:jc w:val="left"/>
      </w:pPr>
    </w:p>
    <w:p w14:paraId="045C4AC6" w14:textId="77777777" w:rsidR="00402755" w:rsidRDefault="00402755" w:rsidP="001F26CF">
      <w:pPr>
        <w:pStyle w:val="COMParaDecision"/>
        <w:numPr>
          <w:ilvl w:val="0"/>
          <w:numId w:val="0"/>
        </w:numPr>
        <w:jc w:val="left"/>
        <w:sectPr w:rsidR="00402755" w:rsidSect="00655736">
          <w:headerReference w:type="even" r:id="rId11"/>
          <w:headerReference w:type="default" r:id="rId12"/>
          <w:headerReference w:type="first" r:id="rId13"/>
          <w:pgSz w:w="11906" w:h="16838" w:code="9"/>
          <w:pgMar w:top="1418" w:right="1134" w:bottom="1134" w:left="1134" w:header="397" w:footer="284" w:gutter="0"/>
          <w:cols w:space="708"/>
          <w:titlePg/>
          <w:docGrid w:linePitch="360"/>
        </w:sectPr>
      </w:pPr>
    </w:p>
    <w:p w14:paraId="63AD2E4C" w14:textId="294BE242" w:rsidR="003C1886" w:rsidRPr="003C1886" w:rsidRDefault="003C1886" w:rsidP="003C1886">
      <w:pPr>
        <w:pStyle w:val="COMParaDecision"/>
        <w:numPr>
          <w:ilvl w:val="0"/>
          <w:numId w:val="0"/>
        </w:numPr>
        <w:spacing w:after="360"/>
        <w:jc w:val="center"/>
        <w:rPr>
          <w:b/>
          <w:sz w:val="24"/>
        </w:rPr>
      </w:pPr>
      <w:r w:rsidRPr="003C1886">
        <w:rPr>
          <w:b/>
          <w:sz w:val="24"/>
        </w:rPr>
        <w:lastRenderedPageBreak/>
        <w:t>ANNEX</w:t>
      </w:r>
      <w:r w:rsidR="00A86E1B">
        <w:rPr>
          <w:b/>
          <w:sz w:val="24"/>
        </w:rPr>
        <w:t xml:space="preserve"> 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1991"/>
        <w:gridCol w:w="4589"/>
        <w:gridCol w:w="597"/>
        <w:gridCol w:w="2114"/>
        <w:gridCol w:w="4360"/>
      </w:tblGrid>
      <w:tr w:rsidR="00C97D62" w:rsidRPr="00757B3D" w14:paraId="1FA01D04" w14:textId="77777777" w:rsidTr="00CE51CF">
        <w:trPr>
          <w:tblHeader/>
        </w:trPr>
        <w:tc>
          <w:tcPr>
            <w:tcW w:w="222" w:type="pct"/>
            <w:shd w:val="pct10" w:color="auto" w:fill="auto"/>
          </w:tcPr>
          <w:p w14:paraId="05D6056F" w14:textId="77777777" w:rsidR="003C1886" w:rsidRPr="00757B3D" w:rsidRDefault="003C1886" w:rsidP="001B1652">
            <w:pPr>
              <w:pStyle w:val="COMParaDecision"/>
              <w:numPr>
                <w:ilvl w:val="0"/>
                <w:numId w:val="0"/>
              </w:numPr>
              <w:jc w:val="right"/>
              <w:rPr>
                <w:b/>
                <w:u w:val="none"/>
              </w:rPr>
            </w:pPr>
          </w:p>
        </w:tc>
        <w:tc>
          <w:tcPr>
            <w:tcW w:w="2303" w:type="pct"/>
            <w:gridSpan w:val="2"/>
            <w:shd w:val="pct10" w:color="auto" w:fill="auto"/>
          </w:tcPr>
          <w:p w14:paraId="7E9B3568" w14:textId="77777777" w:rsidR="003C1886" w:rsidRPr="00757B3D" w:rsidRDefault="003C1886" w:rsidP="001B1652">
            <w:pPr>
              <w:pStyle w:val="COMParaDecision"/>
              <w:numPr>
                <w:ilvl w:val="0"/>
                <w:numId w:val="0"/>
              </w:numPr>
              <w:spacing w:before="120"/>
              <w:jc w:val="left"/>
              <w:rPr>
                <w:b/>
              </w:rPr>
            </w:pPr>
            <w:r>
              <w:rPr>
                <w:b/>
              </w:rPr>
              <w:t>Operational Directives</w:t>
            </w:r>
          </w:p>
        </w:tc>
        <w:tc>
          <w:tcPr>
            <w:tcW w:w="209" w:type="pct"/>
            <w:shd w:val="pct10" w:color="auto" w:fill="auto"/>
          </w:tcPr>
          <w:p w14:paraId="235CDEEE" w14:textId="77777777" w:rsidR="003C1886" w:rsidRPr="00757B3D" w:rsidRDefault="003C1886" w:rsidP="001B1652">
            <w:pPr>
              <w:pStyle w:val="COMParaDecision"/>
              <w:numPr>
                <w:ilvl w:val="0"/>
                <w:numId w:val="0"/>
              </w:numPr>
              <w:jc w:val="right"/>
              <w:rPr>
                <w:b/>
                <w:u w:val="none"/>
              </w:rPr>
            </w:pPr>
          </w:p>
        </w:tc>
        <w:tc>
          <w:tcPr>
            <w:tcW w:w="2266" w:type="pct"/>
            <w:gridSpan w:val="2"/>
            <w:shd w:val="pct10" w:color="auto" w:fill="auto"/>
          </w:tcPr>
          <w:p w14:paraId="3CE10596" w14:textId="77777777" w:rsidR="003C1886" w:rsidRPr="00757B3D" w:rsidRDefault="003C1886" w:rsidP="001B1652">
            <w:pPr>
              <w:pStyle w:val="COMParaDecision"/>
              <w:numPr>
                <w:ilvl w:val="0"/>
                <w:numId w:val="0"/>
              </w:numPr>
              <w:spacing w:before="120"/>
              <w:jc w:val="left"/>
              <w:rPr>
                <w:b/>
              </w:rPr>
            </w:pPr>
            <w:r w:rsidRPr="00757B3D">
              <w:rPr>
                <w:b/>
              </w:rPr>
              <w:t>Proposed amendments</w:t>
            </w:r>
          </w:p>
        </w:tc>
      </w:tr>
      <w:tr w:rsidR="00554E8A" w:rsidRPr="003C1886" w14:paraId="5077EE15" w14:textId="77777777" w:rsidTr="00CE51CF">
        <w:tc>
          <w:tcPr>
            <w:tcW w:w="222" w:type="pct"/>
          </w:tcPr>
          <w:p w14:paraId="5C85EDE8" w14:textId="77777777" w:rsidR="00554E8A" w:rsidRPr="00554E8A" w:rsidRDefault="00554E8A" w:rsidP="001B1652">
            <w:pPr>
              <w:pStyle w:val="COMParaDecision"/>
              <w:numPr>
                <w:ilvl w:val="0"/>
                <w:numId w:val="0"/>
              </w:numPr>
              <w:spacing w:before="120"/>
              <w:jc w:val="right"/>
              <w:rPr>
                <w:b/>
                <w:u w:val="none"/>
              </w:rPr>
            </w:pPr>
            <w:r w:rsidRPr="00554E8A">
              <w:rPr>
                <w:b/>
                <w:u w:val="none"/>
              </w:rPr>
              <w:t>I.8</w:t>
            </w:r>
          </w:p>
        </w:tc>
        <w:tc>
          <w:tcPr>
            <w:tcW w:w="2303" w:type="pct"/>
            <w:gridSpan w:val="2"/>
          </w:tcPr>
          <w:p w14:paraId="1904B3C0" w14:textId="77777777" w:rsidR="00554E8A" w:rsidRPr="00554E8A" w:rsidRDefault="00554E8A" w:rsidP="001B1652">
            <w:pPr>
              <w:pStyle w:val="COMParaDecision"/>
              <w:numPr>
                <w:ilvl w:val="0"/>
                <w:numId w:val="0"/>
              </w:numPr>
              <w:spacing w:before="120"/>
              <w:jc w:val="left"/>
              <w:rPr>
                <w:b/>
                <w:u w:val="none"/>
              </w:rPr>
            </w:pPr>
            <w:r w:rsidRPr="00554E8A">
              <w:rPr>
                <w:b/>
                <w:u w:val="none"/>
              </w:rPr>
              <w:t>Evaluation of files</w:t>
            </w:r>
          </w:p>
        </w:tc>
        <w:tc>
          <w:tcPr>
            <w:tcW w:w="209" w:type="pct"/>
          </w:tcPr>
          <w:p w14:paraId="647097C0" w14:textId="77777777" w:rsidR="00554E8A" w:rsidRPr="00554E8A" w:rsidRDefault="00554E8A" w:rsidP="001B1652">
            <w:pPr>
              <w:pStyle w:val="COMParaDecision"/>
              <w:numPr>
                <w:ilvl w:val="0"/>
                <w:numId w:val="0"/>
              </w:numPr>
              <w:spacing w:before="120"/>
              <w:jc w:val="right"/>
              <w:rPr>
                <w:b/>
                <w:u w:val="none"/>
              </w:rPr>
            </w:pPr>
            <w:r w:rsidRPr="00554E8A">
              <w:rPr>
                <w:b/>
                <w:u w:val="none"/>
              </w:rPr>
              <w:t>I.8</w:t>
            </w:r>
          </w:p>
        </w:tc>
        <w:tc>
          <w:tcPr>
            <w:tcW w:w="2266" w:type="pct"/>
            <w:gridSpan w:val="2"/>
          </w:tcPr>
          <w:p w14:paraId="4E7A9A22" w14:textId="77777777" w:rsidR="00554E8A" w:rsidRPr="00554E8A" w:rsidRDefault="00554E8A" w:rsidP="001B1652">
            <w:pPr>
              <w:pStyle w:val="COMParaDecision"/>
              <w:numPr>
                <w:ilvl w:val="0"/>
                <w:numId w:val="0"/>
              </w:numPr>
              <w:spacing w:before="120"/>
              <w:jc w:val="left"/>
              <w:rPr>
                <w:b/>
                <w:u w:val="none"/>
              </w:rPr>
            </w:pPr>
            <w:r w:rsidRPr="00554E8A">
              <w:rPr>
                <w:b/>
                <w:u w:val="none"/>
              </w:rPr>
              <w:t>Evaluation of files</w:t>
            </w:r>
          </w:p>
        </w:tc>
      </w:tr>
      <w:tr w:rsidR="00A85F14" w:rsidRPr="00F12738" w14:paraId="46F6B205" w14:textId="77777777" w:rsidTr="00CE51CF">
        <w:tc>
          <w:tcPr>
            <w:tcW w:w="222" w:type="pct"/>
          </w:tcPr>
          <w:p w14:paraId="23F56C67" w14:textId="77777777" w:rsidR="00A85F14" w:rsidRDefault="00A85F14" w:rsidP="001B1652">
            <w:pPr>
              <w:pStyle w:val="COMParaDecision"/>
              <w:numPr>
                <w:ilvl w:val="0"/>
                <w:numId w:val="0"/>
              </w:numPr>
              <w:spacing w:before="120"/>
              <w:jc w:val="right"/>
              <w:rPr>
                <w:u w:val="none"/>
              </w:rPr>
            </w:pPr>
          </w:p>
        </w:tc>
        <w:tc>
          <w:tcPr>
            <w:tcW w:w="2303" w:type="pct"/>
            <w:gridSpan w:val="2"/>
          </w:tcPr>
          <w:p w14:paraId="194C7DEB" w14:textId="77777777" w:rsidR="00A85F14" w:rsidRPr="00A85F14" w:rsidRDefault="00A85F14" w:rsidP="00A85F14">
            <w:pPr>
              <w:pStyle w:val="COMParaDecision"/>
              <w:numPr>
                <w:ilvl w:val="0"/>
                <w:numId w:val="0"/>
              </w:numPr>
              <w:spacing w:before="120"/>
              <w:rPr>
                <w:u w:val="none"/>
              </w:rPr>
            </w:pPr>
          </w:p>
        </w:tc>
        <w:tc>
          <w:tcPr>
            <w:tcW w:w="209" w:type="pct"/>
          </w:tcPr>
          <w:p w14:paraId="26875353" w14:textId="77777777" w:rsidR="00A85F14" w:rsidRDefault="00781E38" w:rsidP="001B1652">
            <w:pPr>
              <w:pStyle w:val="COMParaDecision"/>
              <w:numPr>
                <w:ilvl w:val="0"/>
                <w:numId w:val="0"/>
              </w:numPr>
              <w:spacing w:before="120"/>
              <w:jc w:val="right"/>
              <w:rPr>
                <w:u w:val="none"/>
              </w:rPr>
            </w:pPr>
            <w:r>
              <w:rPr>
                <w:u w:val="none"/>
              </w:rPr>
              <w:t>26-27.</w:t>
            </w:r>
          </w:p>
        </w:tc>
        <w:tc>
          <w:tcPr>
            <w:tcW w:w="2266" w:type="pct"/>
            <w:gridSpan w:val="2"/>
          </w:tcPr>
          <w:p w14:paraId="30945E69" w14:textId="77777777" w:rsidR="00A85F14" w:rsidRPr="00554E8A" w:rsidRDefault="00AE3DE4" w:rsidP="000D4D43">
            <w:pPr>
              <w:pStyle w:val="COMParaDecision"/>
              <w:numPr>
                <w:ilvl w:val="0"/>
                <w:numId w:val="0"/>
              </w:numPr>
              <w:spacing w:before="120"/>
              <w:rPr>
                <w:u w:val="none"/>
              </w:rPr>
            </w:pPr>
            <w:r>
              <w:rPr>
                <w:u w:val="none"/>
              </w:rPr>
              <w:t>[No change]</w:t>
            </w:r>
          </w:p>
        </w:tc>
      </w:tr>
      <w:tr w:rsidR="00554E8A" w:rsidRPr="00B6405F" w14:paraId="67B586E4" w14:textId="77777777" w:rsidTr="008C1F2D">
        <w:tc>
          <w:tcPr>
            <w:tcW w:w="222" w:type="pct"/>
          </w:tcPr>
          <w:p w14:paraId="0118356C" w14:textId="77777777" w:rsidR="00554E8A" w:rsidRDefault="00554E8A" w:rsidP="00A85F14">
            <w:pPr>
              <w:pStyle w:val="COMParaDecision"/>
              <w:numPr>
                <w:ilvl w:val="0"/>
                <w:numId w:val="0"/>
              </w:numPr>
              <w:jc w:val="right"/>
              <w:rPr>
                <w:u w:val="none"/>
              </w:rPr>
            </w:pPr>
            <w:r>
              <w:rPr>
                <w:u w:val="none"/>
              </w:rPr>
              <w:t>28.</w:t>
            </w:r>
          </w:p>
        </w:tc>
        <w:tc>
          <w:tcPr>
            <w:tcW w:w="2303" w:type="pct"/>
            <w:gridSpan w:val="2"/>
          </w:tcPr>
          <w:p w14:paraId="18C62E47" w14:textId="1A89756D" w:rsidR="00554E8A" w:rsidRDefault="00554E8A" w:rsidP="008C1F2D">
            <w:pPr>
              <w:pStyle w:val="COMParaDecision"/>
              <w:numPr>
                <w:ilvl w:val="0"/>
                <w:numId w:val="0"/>
              </w:numPr>
              <w:rPr>
                <w:u w:val="none"/>
              </w:rPr>
            </w:pPr>
            <w:r w:rsidRPr="00554E8A">
              <w:rPr>
                <w:u w:val="none"/>
              </w:rPr>
              <w:t xml:space="preserve">The duration of office of a member of the Evaluation Body shall not exceed four years. Every year, the Committee shall renew one quarter of the members of the Evaluation Body. At least three months prior to the opening of the session of the Committee, the Secretariat shall inform the States Parties within each Electoral Group with a vacant seat to </w:t>
            </w:r>
            <w:proofErr w:type="gramStart"/>
            <w:r w:rsidRPr="00554E8A">
              <w:rPr>
                <w:u w:val="none"/>
              </w:rPr>
              <w:t>be filled</w:t>
            </w:r>
            <w:proofErr w:type="gramEnd"/>
            <w:r w:rsidRPr="00554E8A">
              <w:rPr>
                <w:u w:val="none"/>
              </w:rPr>
              <w:t xml:space="preserve">. </w:t>
            </w:r>
            <w:proofErr w:type="gramStart"/>
            <w:r w:rsidRPr="00554E8A">
              <w:rPr>
                <w:u w:val="none"/>
              </w:rPr>
              <w:t>Up to three candidatures shall be sent to the Secretariat by the Chairperson of the Electoral Group concerned</w:t>
            </w:r>
            <w:proofErr w:type="gramEnd"/>
            <w:r w:rsidRPr="00554E8A">
              <w:rPr>
                <w:u w:val="none"/>
              </w:rPr>
              <w:t xml:space="preserve"> at least six weeks prior to the opening of the session. Once appointed by the Committee, the members of the Evaluation Body shall act impartially in the interests of all the States Parties and the Convention.</w:t>
            </w:r>
          </w:p>
        </w:tc>
        <w:tc>
          <w:tcPr>
            <w:tcW w:w="209" w:type="pct"/>
          </w:tcPr>
          <w:p w14:paraId="05EA1C8F" w14:textId="77777777" w:rsidR="00554E8A" w:rsidRDefault="00554E8A" w:rsidP="00A85F14">
            <w:pPr>
              <w:pStyle w:val="COMParaDecision"/>
              <w:numPr>
                <w:ilvl w:val="0"/>
                <w:numId w:val="0"/>
              </w:numPr>
              <w:jc w:val="right"/>
              <w:rPr>
                <w:u w:val="none"/>
              </w:rPr>
            </w:pPr>
            <w:r>
              <w:rPr>
                <w:u w:val="none"/>
              </w:rPr>
              <w:t>28.</w:t>
            </w:r>
          </w:p>
        </w:tc>
        <w:tc>
          <w:tcPr>
            <w:tcW w:w="2266" w:type="pct"/>
            <w:gridSpan w:val="2"/>
          </w:tcPr>
          <w:p w14:paraId="015652DD" w14:textId="77777777" w:rsidR="00554E8A" w:rsidRDefault="00554E8A" w:rsidP="00A85F14">
            <w:pPr>
              <w:pStyle w:val="COMParaDecision"/>
              <w:numPr>
                <w:ilvl w:val="0"/>
                <w:numId w:val="0"/>
              </w:numPr>
              <w:rPr>
                <w:u w:val="none"/>
              </w:rPr>
            </w:pPr>
            <w:r w:rsidRPr="00554E8A">
              <w:rPr>
                <w:u w:val="none"/>
              </w:rPr>
              <w:t xml:space="preserve">The duration of office of a member of the Evaluation Body shall not exceed four years. Every </w:t>
            </w:r>
            <w:r w:rsidR="000163AF" w:rsidRPr="00F37497">
              <w:rPr>
                <w:b/>
              </w:rPr>
              <w:t xml:space="preserve">two </w:t>
            </w:r>
            <w:r w:rsidRPr="00554E8A">
              <w:rPr>
                <w:u w:val="none"/>
              </w:rPr>
              <w:t>year</w:t>
            </w:r>
            <w:r w:rsidR="000163AF" w:rsidRPr="00F37497">
              <w:rPr>
                <w:b/>
              </w:rPr>
              <w:t>s</w:t>
            </w:r>
            <w:r w:rsidRPr="00554E8A">
              <w:rPr>
                <w:u w:val="none"/>
              </w:rPr>
              <w:t xml:space="preserve">, </w:t>
            </w:r>
            <w:r w:rsidR="00450A45" w:rsidRPr="00F37497">
              <w:rPr>
                <w:b/>
              </w:rPr>
              <w:t xml:space="preserve">immediately after an ordinary session of the General Assembly, </w:t>
            </w:r>
            <w:r w:rsidRPr="00554E8A">
              <w:rPr>
                <w:u w:val="none"/>
              </w:rPr>
              <w:t xml:space="preserve">the Committee shall </w:t>
            </w:r>
            <w:r w:rsidR="000D4D43">
              <w:rPr>
                <w:b/>
              </w:rPr>
              <w:t xml:space="preserve">meet to </w:t>
            </w:r>
            <w:r w:rsidRPr="00554E8A">
              <w:rPr>
                <w:u w:val="none"/>
              </w:rPr>
              <w:t xml:space="preserve">renew </w:t>
            </w:r>
            <w:r w:rsidRPr="00F37497">
              <w:rPr>
                <w:strike/>
                <w:u w:val="none"/>
              </w:rPr>
              <w:t>one quarter</w:t>
            </w:r>
            <w:r w:rsidR="00F37497">
              <w:rPr>
                <w:u w:val="none"/>
              </w:rPr>
              <w:t xml:space="preserve"> </w:t>
            </w:r>
            <w:r w:rsidR="000163AF" w:rsidRPr="00F37497">
              <w:rPr>
                <w:b/>
              </w:rPr>
              <w:t>half</w:t>
            </w:r>
            <w:r w:rsidRPr="00554E8A">
              <w:rPr>
                <w:u w:val="none"/>
              </w:rPr>
              <w:t xml:space="preserve"> of the members of the Evaluation Body. At least three months prior to the opening of the session of the </w:t>
            </w:r>
            <w:r w:rsidRPr="00F37497">
              <w:rPr>
                <w:strike/>
                <w:u w:val="none"/>
              </w:rPr>
              <w:t>Committee</w:t>
            </w:r>
            <w:r w:rsidR="00F37497">
              <w:rPr>
                <w:u w:val="none"/>
              </w:rPr>
              <w:t xml:space="preserve"> </w:t>
            </w:r>
            <w:r w:rsidR="00450A45" w:rsidRPr="00F37497">
              <w:rPr>
                <w:b/>
              </w:rPr>
              <w:t>General Assembly</w:t>
            </w:r>
            <w:r w:rsidRPr="00554E8A">
              <w:rPr>
                <w:u w:val="none"/>
              </w:rPr>
              <w:t xml:space="preserve">, the Secretariat shall inform the States Parties within each Electoral Group with a vacant seat to </w:t>
            </w:r>
            <w:proofErr w:type="gramStart"/>
            <w:r w:rsidRPr="00554E8A">
              <w:rPr>
                <w:u w:val="none"/>
              </w:rPr>
              <w:t>be filled</w:t>
            </w:r>
            <w:proofErr w:type="gramEnd"/>
            <w:r w:rsidRPr="00554E8A">
              <w:rPr>
                <w:u w:val="none"/>
              </w:rPr>
              <w:t xml:space="preserve">. </w:t>
            </w:r>
            <w:proofErr w:type="gramStart"/>
            <w:r w:rsidRPr="00554E8A">
              <w:rPr>
                <w:u w:val="none"/>
              </w:rPr>
              <w:t>Up to three candidatures shall be sent to the Secretariat by the Chairperson of the Electoral Group concerned</w:t>
            </w:r>
            <w:proofErr w:type="gramEnd"/>
            <w:r w:rsidRPr="00554E8A">
              <w:rPr>
                <w:u w:val="none"/>
              </w:rPr>
              <w:t xml:space="preserve"> at least six weeks prior to the opening of the session. Once appointed by the Committee, the members of the Evaluation Body shall act impartially in the interests of all the States Parties and the Convention.</w:t>
            </w:r>
          </w:p>
        </w:tc>
      </w:tr>
      <w:tr w:rsidR="00AE3DE4" w:rsidRPr="00F12738" w14:paraId="0C9083D5" w14:textId="77777777" w:rsidTr="00CE51CF">
        <w:tc>
          <w:tcPr>
            <w:tcW w:w="222" w:type="pct"/>
          </w:tcPr>
          <w:p w14:paraId="60B7743C" w14:textId="77777777" w:rsidR="00AE3DE4" w:rsidRDefault="00AE3DE4" w:rsidP="00AE3DE4">
            <w:pPr>
              <w:pStyle w:val="COMParaDecision"/>
              <w:numPr>
                <w:ilvl w:val="0"/>
                <w:numId w:val="0"/>
              </w:numPr>
              <w:jc w:val="right"/>
              <w:rPr>
                <w:u w:val="none"/>
              </w:rPr>
            </w:pPr>
          </w:p>
        </w:tc>
        <w:tc>
          <w:tcPr>
            <w:tcW w:w="2303" w:type="pct"/>
            <w:gridSpan w:val="2"/>
          </w:tcPr>
          <w:p w14:paraId="78F31B7A" w14:textId="77777777" w:rsidR="00AE3DE4" w:rsidRPr="00710D7C" w:rsidRDefault="00AE3DE4" w:rsidP="00AE3DE4">
            <w:pPr>
              <w:pStyle w:val="COMParaDecision"/>
              <w:numPr>
                <w:ilvl w:val="0"/>
                <w:numId w:val="0"/>
              </w:numPr>
              <w:rPr>
                <w:u w:val="none"/>
              </w:rPr>
            </w:pPr>
          </w:p>
        </w:tc>
        <w:tc>
          <w:tcPr>
            <w:tcW w:w="209" w:type="pct"/>
          </w:tcPr>
          <w:p w14:paraId="217216ED" w14:textId="77777777" w:rsidR="00AE3DE4" w:rsidRDefault="006165EC" w:rsidP="00781E38">
            <w:pPr>
              <w:pStyle w:val="COMParaDecision"/>
              <w:numPr>
                <w:ilvl w:val="0"/>
                <w:numId w:val="0"/>
              </w:numPr>
              <w:jc w:val="right"/>
              <w:rPr>
                <w:u w:val="none"/>
              </w:rPr>
            </w:pPr>
            <w:r>
              <w:rPr>
                <w:u w:val="none"/>
              </w:rPr>
              <w:t>29</w:t>
            </w:r>
            <w:r w:rsidR="00781E38">
              <w:rPr>
                <w:u w:val="none"/>
              </w:rPr>
              <w:t>-31.</w:t>
            </w:r>
          </w:p>
        </w:tc>
        <w:tc>
          <w:tcPr>
            <w:tcW w:w="2266" w:type="pct"/>
            <w:gridSpan w:val="2"/>
          </w:tcPr>
          <w:p w14:paraId="30E64276" w14:textId="77777777" w:rsidR="00AE3DE4" w:rsidRPr="00554E8A" w:rsidRDefault="006165EC" w:rsidP="00AE3DE4">
            <w:pPr>
              <w:pStyle w:val="COMParaDecision"/>
              <w:numPr>
                <w:ilvl w:val="0"/>
                <w:numId w:val="0"/>
              </w:numPr>
              <w:rPr>
                <w:u w:val="none"/>
              </w:rPr>
            </w:pPr>
            <w:r>
              <w:rPr>
                <w:u w:val="none"/>
              </w:rPr>
              <w:t>[No change]</w:t>
            </w:r>
          </w:p>
        </w:tc>
      </w:tr>
      <w:tr w:rsidR="00024515" w:rsidRPr="003C1886" w14:paraId="2925CE2B" w14:textId="77777777" w:rsidTr="00CE51CF">
        <w:tc>
          <w:tcPr>
            <w:tcW w:w="222" w:type="pct"/>
          </w:tcPr>
          <w:p w14:paraId="1F1E497D" w14:textId="77777777" w:rsidR="00024515" w:rsidRPr="00554E8A" w:rsidRDefault="00024515" w:rsidP="00024515">
            <w:pPr>
              <w:pStyle w:val="COMParaDecision"/>
              <w:numPr>
                <w:ilvl w:val="0"/>
                <w:numId w:val="0"/>
              </w:numPr>
              <w:spacing w:before="120"/>
              <w:jc w:val="right"/>
              <w:rPr>
                <w:b/>
                <w:u w:val="none"/>
              </w:rPr>
            </w:pPr>
            <w:r w:rsidRPr="00554E8A">
              <w:rPr>
                <w:b/>
                <w:u w:val="none"/>
              </w:rPr>
              <w:t>I.15</w:t>
            </w:r>
          </w:p>
        </w:tc>
        <w:tc>
          <w:tcPr>
            <w:tcW w:w="2303" w:type="pct"/>
            <w:gridSpan w:val="2"/>
          </w:tcPr>
          <w:p w14:paraId="67F60258" w14:textId="77777777" w:rsidR="00024515" w:rsidRPr="00554E8A" w:rsidRDefault="00024515" w:rsidP="00024515">
            <w:pPr>
              <w:pStyle w:val="COMParaDecision"/>
              <w:numPr>
                <w:ilvl w:val="0"/>
                <w:numId w:val="0"/>
              </w:numPr>
              <w:spacing w:before="120"/>
              <w:jc w:val="left"/>
              <w:rPr>
                <w:b/>
                <w:u w:val="none"/>
              </w:rPr>
            </w:pPr>
            <w:r w:rsidRPr="00554E8A">
              <w:rPr>
                <w:b/>
                <w:u w:val="none"/>
              </w:rPr>
              <w:t>Timetable – Overview of procedures</w:t>
            </w:r>
          </w:p>
        </w:tc>
        <w:tc>
          <w:tcPr>
            <w:tcW w:w="209" w:type="pct"/>
          </w:tcPr>
          <w:p w14:paraId="63C4E42D" w14:textId="77777777" w:rsidR="00024515" w:rsidRPr="00554E8A" w:rsidRDefault="00024515" w:rsidP="00024515">
            <w:pPr>
              <w:pStyle w:val="COMParaDecision"/>
              <w:numPr>
                <w:ilvl w:val="0"/>
                <w:numId w:val="0"/>
              </w:numPr>
              <w:spacing w:before="120"/>
              <w:jc w:val="right"/>
              <w:rPr>
                <w:b/>
                <w:u w:val="none"/>
              </w:rPr>
            </w:pPr>
            <w:r w:rsidRPr="00554E8A">
              <w:rPr>
                <w:b/>
                <w:u w:val="none"/>
              </w:rPr>
              <w:t>I.15</w:t>
            </w:r>
          </w:p>
        </w:tc>
        <w:tc>
          <w:tcPr>
            <w:tcW w:w="2266" w:type="pct"/>
            <w:gridSpan w:val="2"/>
          </w:tcPr>
          <w:p w14:paraId="13727601" w14:textId="77777777" w:rsidR="00024515" w:rsidRPr="00554E8A" w:rsidRDefault="00024515" w:rsidP="00024515">
            <w:pPr>
              <w:pStyle w:val="COMParaDecision"/>
              <w:numPr>
                <w:ilvl w:val="0"/>
                <w:numId w:val="0"/>
              </w:numPr>
              <w:spacing w:before="120"/>
              <w:jc w:val="left"/>
              <w:rPr>
                <w:b/>
              </w:rPr>
            </w:pPr>
            <w:r w:rsidRPr="00554E8A">
              <w:rPr>
                <w:b/>
                <w:u w:val="none"/>
              </w:rPr>
              <w:t>Timetable – Overview of procedures</w:t>
            </w:r>
          </w:p>
        </w:tc>
      </w:tr>
      <w:tr w:rsidR="00024515" w:rsidRPr="0009414C" w14:paraId="1882E634" w14:textId="77777777" w:rsidTr="00CE51CF">
        <w:tc>
          <w:tcPr>
            <w:tcW w:w="222" w:type="pct"/>
          </w:tcPr>
          <w:p w14:paraId="2A631E3D" w14:textId="77777777" w:rsidR="00024515" w:rsidRDefault="00024515" w:rsidP="00024515">
            <w:pPr>
              <w:pStyle w:val="COMParaDecision"/>
              <w:numPr>
                <w:ilvl w:val="0"/>
                <w:numId w:val="0"/>
              </w:numPr>
              <w:spacing w:before="120"/>
              <w:jc w:val="right"/>
              <w:rPr>
                <w:u w:val="none"/>
              </w:rPr>
            </w:pPr>
          </w:p>
        </w:tc>
        <w:tc>
          <w:tcPr>
            <w:tcW w:w="697" w:type="pct"/>
          </w:tcPr>
          <w:p w14:paraId="378BE31A" w14:textId="77777777" w:rsidR="00024515" w:rsidRDefault="00024515" w:rsidP="00024515">
            <w:pPr>
              <w:pStyle w:val="COMParaDecision"/>
              <w:numPr>
                <w:ilvl w:val="0"/>
                <w:numId w:val="0"/>
              </w:numPr>
              <w:spacing w:before="120"/>
              <w:jc w:val="right"/>
              <w:rPr>
                <w:u w:val="none"/>
              </w:rPr>
            </w:pPr>
          </w:p>
        </w:tc>
        <w:tc>
          <w:tcPr>
            <w:tcW w:w="1606" w:type="pct"/>
          </w:tcPr>
          <w:p w14:paraId="0C94273A" w14:textId="77777777" w:rsidR="00024515" w:rsidRDefault="00024515" w:rsidP="00024515">
            <w:pPr>
              <w:pStyle w:val="COMParaDecision"/>
              <w:numPr>
                <w:ilvl w:val="0"/>
                <w:numId w:val="0"/>
              </w:numPr>
              <w:spacing w:before="120"/>
              <w:jc w:val="left"/>
              <w:rPr>
                <w:u w:val="none"/>
              </w:rPr>
            </w:pPr>
          </w:p>
        </w:tc>
        <w:tc>
          <w:tcPr>
            <w:tcW w:w="209" w:type="pct"/>
          </w:tcPr>
          <w:p w14:paraId="2AB19A30" w14:textId="77777777" w:rsidR="00024515" w:rsidRDefault="00024515" w:rsidP="00024515">
            <w:pPr>
              <w:pStyle w:val="COMParaDecision"/>
              <w:numPr>
                <w:ilvl w:val="0"/>
                <w:numId w:val="0"/>
              </w:numPr>
              <w:spacing w:before="120"/>
              <w:jc w:val="right"/>
              <w:rPr>
                <w:u w:val="none"/>
              </w:rPr>
            </w:pPr>
            <w:r>
              <w:rPr>
                <w:u w:val="none"/>
              </w:rPr>
              <w:t>54.</w:t>
            </w:r>
          </w:p>
        </w:tc>
        <w:tc>
          <w:tcPr>
            <w:tcW w:w="740" w:type="pct"/>
          </w:tcPr>
          <w:p w14:paraId="7A74ED2A" w14:textId="77777777" w:rsidR="00024515" w:rsidRPr="00474AAE" w:rsidRDefault="00024515" w:rsidP="00024515">
            <w:pPr>
              <w:pStyle w:val="COMParaDecision"/>
              <w:numPr>
                <w:ilvl w:val="0"/>
                <w:numId w:val="0"/>
              </w:numPr>
              <w:spacing w:before="120"/>
              <w:jc w:val="left"/>
              <w:rPr>
                <w:u w:val="none"/>
              </w:rPr>
            </w:pPr>
            <w:r>
              <w:rPr>
                <w:u w:val="none"/>
              </w:rPr>
              <w:t>[No change.]</w:t>
            </w:r>
          </w:p>
        </w:tc>
        <w:tc>
          <w:tcPr>
            <w:tcW w:w="1526" w:type="pct"/>
          </w:tcPr>
          <w:p w14:paraId="72BB5A44" w14:textId="77777777" w:rsidR="00024515" w:rsidRPr="00C97D62" w:rsidRDefault="00024515" w:rsidP="00024515">
            <w:pPr>
              <w:pStyle w:val="COMParaDecision"/>
              <w:numPr>
                <w:ilvl w:val="0"/>
                <w:numId w:val="0"/>
              </w:numPr>
              <w:spacing w:before="120"/>
              <w:jc w:val="left"/>
              <w:rPr>
                <w:u w:val="none"/>
              </w:rPr>
            </w:pPr>
          </w:p>
        </w:tc>
      </w:tr>
      <w:tr w:rsidR="00024515" w:rsidRPr="0009414C" w14:paraId="3D4D440A" w14:textId="77777777" w:rsidTr="00CE51CF">
        <w:tc>
          <w:tcPr>
            <w:tcW w:w="222" w:type="pct"/>
          </w:tcPr>
          <w:p w14:paraId="70C62A56" w14:textId="77777777" w:rsidR="00024515" w:rsidRPr="0009414C" w:rsidRDefault="00024515" w:rsidP="00024515">
            <w:pPr>
              <w:pStyle w:val="COMParaDecision"/>
              <w:numPr>
                <w:ilvl w:val="0"/>
                <w:numId w:val="0"/>
              </w:numPr>
              <w:spacing w:before="120"/>
              <w:jc w:val="right"/>
              <w:rPr>
                <w:u w:val="none"/>
              </w:rPr>
            </w:pPr>
            <w:r>
              <w:rPr>
                <w:u w:val="none"/>
              </w:rPr>
              <w:t>55.</w:t>
            </w:r>
          </w:p>
        </w:tc>
        <w:tc>
          <w:tcPr>
            <w:tcW w:w="697" w:type="pct"/>
          </w:tcPr>
          <w:p w14:paraId="7D531016" w14:textId="77777777" w:rsidR="00024515" w:rsidRPr="0009414C" w:rsidRDefault="00024515" w:rsidP="00024515">
            <w:pPr>
              <w:pStyle w:val="COMParaDecision"/>
              <w:numPr>
                <w:ilvl w:val="0"/>
                <w:numId w:val="0"/>
              </w:numPr>
              <w:spacing w:before="120"/>
              <w:jc w:val="right"/>
              <w:rPr>
                <w:u w:val="none"/>
              </w:rPr>
            </w:pPr>
            <w:r>
              <w:rPr>
                <w:u w:val="none"/>
              </w:rPr>
              <w:t>Phase 2:</w:t>
            </w:r>
          </w:p>
        </w:tc>
        <w:tc>
          <w:tcPr>
            <w:tcW w:w="1606" w:type="pct"/>
          </w:tcPr>
          <w:p w14:paraId="769D1D17" w14:textId="77777777" w:rsidR="00024515" w:rsidRPr="0009414C" w:rsidRDefault="00024515" w:rsidP="00024515">
            <w:pPr>
              <w:pStyle w:val="COMParaDecision"/>
              <w:numPr>
                <w:ilvl w:val="0"/>
                <w:numId w:val="0"/>
              </w:numPr>
              <w:spacing w:before="120"/>
              <w:jc w:val="left"/>
              <w:rPr>
                <w:u w:val="none"/>
              </w:rPr>
            </w:pPr>
            <w:r>
              <w:rPr>
                <w:u w:val="none"/>
              </w:rPr>
              <w:t>Evaluation</w:t>
            </w:r>
          </w:p>
        </w:tc>
        <w:tc>
          <w:tcPr>
            <w:tcW w:w="209" w:type="pct"/>
          </w:tcPr>
          <w:p w14:paraId="0471FA5D" w14:textId="77777777" w:rsidR="00024515" w:rsidRPr="00474AAE" w:rsidRDefault="00024515" w:rsidP="00024515">
            <w:pPr>
              <w:pStyle w:val="COMParaDecision"/>
              <w:numPr>
                <w:ilvl w:val="0"/>
                <w:numId w:val="0"/>
              </w:numPr>
              <w:spacing w:before="120"/>
              <w:jc w:val="right"/>
              <w:rPr>
                <w:u w:val="none"/>
              </w:rPr>
            </w:pPr>
            <w:r>
              <w:rPr>
                <w:u w:val="none"/>
              </w:rPr>
              <w:t>55.</w:t>
            </w:r>
          </w:p>
        </w:tc>
        <w:tc>
          <w:tcPr>
            <w:tcW w:w="740" w:type="pct"/>
          </w:tcPr>
          <w:p w14:paraId="239E70C4" w14:textId="77777777" w:rsidR="00024515" w:rsidRPr="00474AAE" w:rsidRDefault="00024515" w:rsidP="00024515">
            <w:pPr>
              <w:pStyle w:val="COMParaDecision"/>
              <w:numPr>
                <w:ilvl w:val="0"/>
                <w:numId w:val="0"/>
              </w:numPr>
              <w:spacing w:before="120"/>
              <w:jc w:val="right"/>
              <w:rPr>
                <w:u w:val="none"/>
              </w:rPr>
            </w:pPr>
            <w:r w:rsidRPr="00474AAE">
              <w:rPr>
                <w:u w:val="none"/>
              </w:rPr>
              <w:t>Phase 2:</w:t>
            </w:r>
          </w:p>
        </w:tc>
        <w:tc>
          <w:tcPr>
            <w:tcW w:w="1526" w:type="pct"/>
          </w:tcPr>
          <w:p w14:paraId="1058E4C6" w14:textId="77777777" w:rsidR="00024515" w:rsidRPr="00C97D62" w:rsidRDefault="00024515" w:rsidP="00024515">
            <w:pPr>
              <w:pStyle w:val="COMParaDecision"/>
              <w:numPr>
                <w:ilvl w:val="0"/>
                <w:numId w:val="0"/>
              </w:numPr>
              <w:spacing w:before="120"/>
              <w:jc w:val="left"/>
              <w:rPr>
                <w:u w:val="none"/>
              </w:rPr>
            </w:pPr>
            <w:r w:rsidRPr="00C97D62">
              <w:rPr>
                <w:u w:val="none"/>
              </w:rPr>
              <w:t>Evaluation</w:t>
            </w:r>
          </w:p>
        </w:tc>
      </w:tr>
      <w:tr w:rsidR="00024515" w:rsidRPr="00B6405F" w14:paraId="1C997C51" w14:textId="77777777" w:rsidTr="00CE51CF">
        <w:tc>
          <w:tcPr>
            <w:tcW w:w="222" w:type="pct"/>
          </w:tcPr>
          <w:p w14:paraId="583811BE" w14:textId="77777777" w:rsidR="00024515" w:rsidRDefault="00024515" w:rsidP="00024515">
            <w:pPr>
              <w:pStyle w:val="COMParaDecision"/>
              <w:numPr>
                <w:ilvl w:val="0"/>
                <w:numId w:val="0"/>
              </w:numPr>
              <w:spacing w:before="120"/>
              <w:jc w:val="right"/>
              <w:rPr>
                <w:u w:val="none"/>
              </w:rPr>
            </w:pPr>
          </w:p>
        </w:tc>
        <w:tc>
          <w:tcPr>
            <w:tcW w:w="697" w:type="pct"/>
          </w:tcPr>
          <w:p w14:paraId="7A0D8541" w14:textId="77777777" w:rsidR="00024515" w:rsidRDefault="00024515" w:rsidP="00024515">
            <w:pPr>
              <w:pStyle w:val="COMParaDecision"/>
              <w:numPr>
                <w:ilvl w:val="0"/>
                <w:numId w:val="0"/>
              </w:numPr>
              <w:spacing w:before="120"/>
              <w:jc w:val="right"/>
              <w:rPr>
                <w:u w:val="none"/>
              </w:rPr>
            </w:pPr>
          </w:p>
        </w:tc>
        <w:tc>
          <w:tcPr>
            <w:tcW w:w="1606" w:type="pct"/>
          </w:tcPr>
          <w:p w14:paraId="73BE09A5" w14:textId="77777777" w:rsidR="00024515" w:rsidRDefault="00024515" w:rsidP="00024515">
            <w:pPr>
              <w:pStyle w:val="COMParaDecision"/>
              <w:numPr>
                <w:ilvl w:val="0"/>
                <w:numId w:val="0"/>
              </w:numPr>
              <w:spacing w:before="120"/>
              <w:jc w:val="left"/>
              <w:rPr>
                <w:u w:val="none"/>
              </w:rPr>
            </w:pPr>
          </w:p>
        </w:tc>
        <w:tc>
          <w:tcPr>
            <w:tcW w:w="209" w:type="pct"/>
          </w:tcPr>
          <w:p w14:paraId="5C84E2AB" w14:textId="77777777" w:rsidR="00024515" w:rsidRDefault="00024515" w:rsidP="00024515">
            <w:pPr>
              <w:pStyle w:val="COMParaDecision"/>
              <w:numPr>
                <w:ilvl w:val="0"/>
                <w:numId w:val="0"/>
              </w:numPr>
              <w:spacing w:before="120"/>
              <w:jc w:val="right"/>
              <w:rPr>
                <w:u w:val="none"/>
              </w:rPr>
            </w:pPr>
          </w:p>
        </w:tc>
        <w:tc>
          <w:tcPr>
            <w:tcW w:w="740" w:type="pct"/>
          </w:tcPr>
          <w:p w14:paraId="70F8B154" w14:textId="77777777" w:rsidR="00024515" w:rsidRPr="00F37497" w:rsidRDefault="00024515" w:rsidP="00024515">
            <w:pPr>
              <w:pStyle w:val="COMParaDecision"/>
              <w:numPr>
                <w:ilvl w:val="0"/>
                <w:numId w:val="0"/>
              </w:numPr>
              <w:spacing w:before="120"/>
              <w:jc w:val="right"/>
              <w:rPr>
                <w:b/>
              </w:rPr>
            </w:pPr>
            <w:r w:rsidRPr="00F37497">
              <w:rPr>
                <w:b/>
              </w:rPr>
              <w:t>September Year</w:t>
            </w:r>
            <w:r w:rsidRPr="00F37497">
              <w:rPr>
                <w:b/>
                <w:lang w:val="en-US"/>
              </w:rPr>
              <w:t> </w:t>
            </w:r>
            <w:r w:rsidRPr="00F37497">
              <w:rPr>
                <w:b/>
              </w:rPr>
              <w:t>1</w:t>
            </w:r>
          </w:p>
        </w:tc>
        <w:tc>
          <w:tcPr>
            <w:tcW w:w="1526" w:type="pct"/>
          </w:tcPr>
          <w:p w14:paraId="0FB7E359" w14:textId="1CB223B0" w:rsidR="00024515" w:rsidRPr="00F37497" w:rsidRDefault="00A97590" w:rsidP="00A97590">
            <w:pPr>
              <w:pStyle w:val="COMParaDecision"/>
              <w:numPr>
                <w:ilvl w:val="0"/>
                <w:numId w:val="0"/>
              </w:numPr>
              <w:spacing w:before="120"/>
              <w:jc w:val="left"/>
              <w:rPr>
                <w:b/>
              </w:rPr>
            </w:pPr>
            <w:r>
              <w:rPr>
                <w:b/>
              </w:rPr>
              <w:t>Meeting for o</w:t>
            </w:r>
            <w:r w:rsidR="00024515" w:rsidRPr="00F37497">
              <w:rPr>
                <w:b/>
              </w:rPr>
              <w:t xml:space="preserve">rientation and election of </w:t>
            </w:r>
            <w:r w:rsidR="000E2CB7">
              <w:rPr>
                <w:b/>
              </w:rPr>
              <w:t xml:space="preserve">the </w:t>
            </w:r>
            <w:r w:rsidR="00024515" w:rsidRPr="00F37497">
              <w:rPr>
                <w:b/>
              </w:rPr>
              <w:t>Chairperson</w:t>
            </w:r>
            <w:r w:rsidR="006D677A">
              <w:rPr>
                <w:b/>
              </w:rPr>
              <w:t>, Vice-Chairperson</w:t>
            </w:r>
            <w:r w:rsidR="00024515" w:rsidRPr="00F37497">
              <w:rPr>
                <w:b/>
              </w:rPr>
              <w:t xml:space="preserve"> and Rapporteur of the Evaluation Body</w:t>
            </w:r>
            <w:r w:rsidR="00024515">
              <w:rPr>
                <w:b/>
              </w:rPr>
              <w:t>.</w:t>
            </w:r>
          </w:p>
        </w:tc>
      </w:tr>
      <w:tr w:rsidR="00024515" w:rsidRPr="00B6405F" w14:paraId="081B1801" w14:textId="77777777" w:rsidTr="00CE51CF">
        <w:tc>
          <w:tcPr>
            <w:tcW w:w="222" w:type="pct"/>
          </w:tcPr>
          <w:p w14:paraId="4742DEA1" w14:textId="77777777" w:rsidR="00024515" w:rsidRDefault="00024515" w:rsidP="00024515">
            <w:pPr>
              <w:pStyle w:val="COMParaDecision"/>
              <w:numPr>
                <w:ilvl w:val="0"/>
                <w:numId w:val="0"/>
              </w:numPr>
              <w:spacing w:before="120"/>
              <w:jc w:val="right"/>
              <w:rPr>
                <w:u w:val="none"/>
              </w:rPr>
            </w:pPr>
          </w:p>
        </w:tc>
        <w:tc>
          <w:tcPr>
            <w:tcW w:w="697" w:type="pct"/>
          </w:tcPr>
          <w:p w14:paraId="6B63B0F6" w14:textId="77777777" w:rsidR="00024515" w:rsidRDefault="00024515" w:rsidP="00024515">
            <w:pPr>
              <w:pStyle w:val="COMParaDecision"/>
              <w:numPr>
                <w:ilvl w:val="0"/>
                <w:numId w:val="0"/>
              </w:numPr>
              <w:spacing w:before="120"/>
              <w:jc w:val="right"/>
              <w:rPr>
                <w:u w:val="none"/>
              </w:rPr>
            </w:pPr>
            <w:r>
              <w:rPr>
                <w:u w:val="none"/>
              </w:rPr>
              <w:t>December Year 1</w:t>
            </w:r>
            <w:r>
              <w:rPr>
                <w:u w:val="none"/>
              </w:rPr>
              <w:br/>
              <w:t>to May Year</w:t>
            </w:r>
            <w:r>
              <w:rPr>
                <w:u w:val="none"/>
                <w:lang w:val="en-US"/>
              </w:rPr>
              <w:t> </w:t>
            </w:r>
            <w:r>
              <w:rPr>
                <w:u w:val="none"/>
              </w:rPr>
              <w:t>2</w:t>
            </w:r>
          </w:p>
        </w:tc>
        <w:tc>
          <w:tcPr>
            <w:tcW w:w="1606" w:type="pct"/>
          </w:tcPr>
          <w:p w14:paraId="6A88AB7A" w14:textId="77777777" w:rsidR="00024515" w:rsidRDefault="00024515" w:rsidP="00024515">
            <w:pPr>
              <w:pStyle w:val="COMParaDecision"/>
              <w:numPr>
                <w:ilvl w:val="0"/>
                <w:numId w:val="0"/>
              </w:numPr>
              <w:spacing w:before="120"/>
              <w:jc w:val="left"/>
              <w:rPr>
                <w:u w:val="none"/>
              </w:rPr>
            </w:pPr>
            <w:r>
              <w:rPr>
                <w:u w:val="none"/>
              </w:rPr>
              <w:t>Evaluation of the files by the Evaluation Body.</w:t>
            </w:r>
          </w:p>
        </w:tc>
        <w:tc>
          <w:tcPr>
            <w:tcW w:w="209" w:type="pct"/>
          </w:tcPr>
          <w:p w14:paraId="1827468F" w14:textId="77777777" w:rsidR="00024515" w:rsidRDefault="00024515" w:rsidP="00024515">
            <w:pPr>
              <w:pStyle w:val="COMParaDecision"/>
              <w:numPr>
                <w:ilvl w:val="0"/>
                <w:numId w:val="0"/>
              </w:numPr>
              <w:spacing w:before="120"/>
              <w:jc w:val="right"/>
              <w:rPr>
                <w:u w:val="none"/>
              </w:rPr>
            </w:pPr>
          </w:p>
        </w:tc>
        <w:tc>
          <w:tcPr>
            <w:tcW w:w="740" w:type="pct"/>
          </w:tcPr>
          <w:p w14:paraId="35CA8A41" w14:textId="77777777" w:rsidR="00024515" w:rsidRPr="00450A45" w:rsidRDefault="00024515" w:rsidP="00024515">
            <w:pPr>
              <w:pStyle w:val="COMParaDecision"/>
              <w:numPr>
                <w:ilvl w:val="0"/>
                <w:numId w:val="0"/>
              </w:numPr>
              <w:spacing w:before="120"/>
              <w:jc w:val="right"/>
              <w:rPr>
                <w:u w:val="none"/>
                <w:lang w:val="en-US"/>
              </w:rPr>
            </w:pPr>
            <w:r w:rsidRPr="006D677A">
              <w:rPr>
                <w:u w:val="none"/>
              </w:rPr>
              <w:t>December</w:t>
            </w:r>
            <w:r>
              <w:rPr>
                <w:u w:val="none"/>
              </w:rPr>
              <w:t xml:space="preserve"> Year 1</w:t>
            </w:r>
            <w:r>
              <w:rPr>
                <w:u w:val="none"/>
                <w:lang w:val="en-US"/>
              </w:rPr>
              <w:br/>
              <w:t xml:space="preserve">to </w:t>
            </w:r>
            <w:r w:rsidRPr="00F12738">
              <w:rPr>
                <w:strike/>
                <w:u w:val="none"/>
                <w:lang w:val="en-US"/>
              </w:rPr>
              <w:t>May</w:t>
            </w:r>
            <w:r>
              <w:rPr>
                <w:u w:val="none"/>
                <w:lang w:val="en-US"/>
              </w:rPr>
              <w:t xml:space="preserve"> </w:t>
            </w:r>
            <w:r w:rsidRPr="00F12738">
              <w:rPr>
                <w:b/>
                <w:lang w:val="en-US"/>
              </w:rPr>
              <w:t>April</w:t>
            </w:r>
            <w:r>
              <w:rPr>
                <w:u w:val="none"/>
                <w:lang w:val="en-US"/>
              </w:rPr>
              <w:t xml:space="preserve"> </w:t>
            </w:r>
            <w:r w:rsidRPr="00F12738">
              <w:rPr>
                <w:u w:val="none"/>
                <w:lang w:val="en-US"/>
              </w:rPr>
              <w:t>Year</w:t>
            </w:r>
            <w:r>
              <w:rPr>
                <w:u w:val="none"/>
                <w:lang w:val="en-US"/>
              </w:rPr>
              <w:t> 2</w:t>
            </w:r>
          </w:p>
        </w:tc>
        <w:tc>
          <w:tcPr>
            <w:tcW w:w="1526" w:type="pct"/>
          </w:tcPr>
          <w:p w14:paraId="3626C332" w14:textId="435C2E67" w:rsidR="00024515" w:rsidRPr="00607D97" w:rsidRDefault="00400108" w:rsidP="000E2CB7">
            <w:pPr>
              <w:pStyle w:val="COMParaDecision"/>
              <w:numPr>
                <w:ilvl w:val="0"/>
                <w:numId w:val="0"/>
              </w:numPr>
              <w:spacing w:before="120"/>
              <w:jc w:val="left"/>
              <w:rPr>
                <w:u w:val="none"/>
                <w:lang w:val="en-US"/>
              </w:rPr>
            </w:pPr>
            <w:r w:rsidRPr="00A27AF9">
              <w:rPr>
                <w:b/>
                <w:lang w:val="en-US"/>
              </w:rPr>
              <w:t xml:space="preserve">Individual </w:t>
            </w:r>
            <w:r w:rsidR="000E2CB7">
              <w:rPr>
                <w:u w:val="none"/>
                <w:lang w:val="en-US"/>
              </w:rPr>
              <w:t>e</w:t>
            </w:r>
            <w:r w:rsidR="000E2CB7" w:rsidRPr="00607D97">
              <w:rPr>
                <w:u w:val="none"/>
                <w:lang w:val="en-US"/>
              </w:rPr>
              <w:t xml:space="preserve">valuation </w:t>
            </w:r>
            <w:r w:rsidR="00024515" w:rsidRPr="00607D97">
              <w:rPr>
                <w:u w:val="none"/>
                <w:lang w:val="en-US"/>
              </w:rPr>
              <w:t>of the files by the Evaluation Body</w:t>
            </w:r>
            <w:r w:rsidR="00024515">
              <w:rPr>
                <w:u w:val="none"/>
                <w:lang w:val="en-US"/>
              </w:rPr>
              <w:t xml:space="preserve"> </w:t>
            </w:r>
            <w:r w:rsidR="00024515" w:rsidRPr="00F12738">
              <w:rPr>
                <w:b/>
                <w:lang w:val="en-US"/>
              </w:rPr>
              <w:t>members</w:t>
            </w:r>
            <w:r w:rsidR="00024515">
              <w:rPr>
                <w:u w:val="none"/>
                <w:lang w:val="en-US"/>
              </w:rPr>
              <w:t>.</w:t>
            </w:r>
          </w:p>
        </w:tc>
      </w:tr>
      <w:tr w:rsidR="00024515" w:rsidRPr="00B6405F" w14:paraId="0D5FF819" w14:textId="77777777" w:rsidTr="00CE51CF">
        <w:tc>
          <w:tcPr>
            <w:tcW w:w="222" w:type="pct"/>
          </w:tcPr>
          <w:p w14:paraId="127492BE" w14:textId="77777777" w:rsidR="00024515" w:rsidRDefault="00024515" w:rsidP="00024515">
            <w:pPr>
              <w:pStyle w:val="COMParaDecision"/>
              <w:numPr>
                <w:ilvl w:val="0"/>
                <w:numId w:val="0"/>
              </w:numPr>
              <w:spacing w:before="120"/>
              <w:jc w:val="right"/>
              <w:rPr>
                <w:u w:val="none"/>
              </w:rPr>
            </w:pPr>
          </w:p>
        </w:tc>
        <w:tc>
          <w:tcPr>
            <w:tcW w:w="697" w:type="pct"/>
          </w:tcPr>
          <w:p w14:paraId="1D2E353A" w14:textId="77777777" w:rsidR="00024515" w:rsidRDefault="00024515" w:rsidP="00024515">
            <w:pPr>
              <w:pStyle w:val="COMParaDecision"/>
              <w:numPr>
                <w:ilvl w:val="0"/>
                <w:numId w:val="0"/>
              </w:numPr>
              <w:spacing w:before="120"/>
              <w:jc w:val="right"/>
              <w:rPr>
                <w:u w:val="none"/>
              </w:rPr>
            </w:pPr>
            <w:r>
              <w:rPr>
                <w:u w:val="none"/>
              </w:rPr>
              <w:t>April – June</w:t>
            </w:r>
            <w:r>
              <w:rPr>
                <w:u w:val="none"/>
              </w:rPr>
              <w:br/>
              <w:t>Year 2</w:t>
            </w:r>
          </w:p>
        </w:tc>
        <w:tc>
          <w:tcPr>
            <w:tcW w:w="1606" w:type="pct"/>
          </w:tcPr>
          <w:p w14:paraId="10BCC060" w14:textId="77777777" w:rsidR="00024515" w:rsidRDefault="00024515" w:rsidP="00024515">
            <w:pPr>
              <w:pStyle w:val="COMParaDecision"/>
              <w:numPr>
                <w:ilvl w:val="0"/>
                <w:numId w:val="0"/>
              </w:numPr>
              <w:spacing w:before="120"/>
              <w:jc w:val="left"/>
              <w:rPr>
                <w:u w:val="none"/>
              </w:rPr>
            </w:pPr>
            <w:r>
              <w:rPr>
                <w:u w:val="none"/>
              </w:rPr>
              <w:t>Meeting for final evaluation by the Evaluation Body.</w:t>
            </w:r>
          </w:p>
        </w:tc>
        <w:tc>
          <w:tcPr>
            <w:tcW w:w="209" w:type="pct"/>
          </w:tcPr>
          <w:p w14:paraId="342CCF3C" w14:textId="77777777" w:rsidR="00024515" w:rsidRDefault="00024515" w:rsidP="00024515">
            <w:pPr>
              <w:pStyle w:val="COMParaDecision"/>
              <w:numPr>
                <w:ilvl w:val="0"/>
                <w:numId w:val="0"/>
              </w:numPr>
              <w:spacing w:before="120"/>
              <w:jc w:val="right"/>
              <w:rPr>
                <w:u w:val="none"/>
              </w:rPr>
            </w:pPr>
          </w:p>
        </w:tc>
        <w:tc>
          <w:tcPr>
            <w:tcW w:w="740" w:type="pct"/>
          </w:tcPr>
          <w:p w14:paraId="3616F8A7" w14:textId="62C40BC3" w:rsidR="00024515" w:rsidRDefault="000E1D33" w:rsidP="00024515">
            <w:pPr>
              <w:pStyle w:val="COMParaDecision"/>
              <w:numPr>
                <w:ilvl w:val="0"/>
                <w:numId w:val="0"/>
              </w:numPr>
              <w:spacing w:before="120"/>
              <w:jc w:val="right"/>
              <w:rPr>
                <w:u w:val="none"/>
              </w:rPr>
            </w:pPr>
            <w:r>
              <w:rPr>
                <w:u w:val="none"/>
              </w:rPr>
              <w:t xml:space="preserve">Latest by </w:t>
            </w:r>
            <w:r w:rsidR="00024515">
              <w:rPr>
                <w:u w:val="none"/>
              </w:rPr>
              <w:t xml:space="preserve">April </w:t>
            </w:r>
            <w:r w:rsidR="00024515" w:rsidRPr="00F37497">
              <w:rPr>
                <w:strike/>
                <w:u w:val="none"/>
              </w:rPr>
              <w:t>– June</w:t>
            </w:r>
            <w:r w:rsidR="00024515">
              <w:rPr>
                <w:u w:val="none"/>
              </w:rPr>
              <w:br/>
              <w:t>Year 2</w:t>
            </w:r>
          </w:p>
        </w:tc>
        <w:tc>
          <w:tcPr>
            <w:tcW w:w="1526" w:type="pct"/>
          </w:tcPr>
          <w:p w14:paraId="2A4DFFED" w14:textId="426D069A" w:rsidR="00024515" w:rsidRDefault="00024515" w:rsidP="000E1D33">
            <w:pPr>
              <w:pStyle w:val="COMParaDecision"/>
              <w:numPr>
                <w:ilvl w:val="0"/>
                <w:numId w:val="0"/>
              </w:numPr>
              <w:spacing w:before="120"/>
              <w:jc w:val="left"/>
              <w:rPr>
                <w:u w:val="none"/>
              </w:rPr>
            </w:pPr>
            <w:r>
              <w:rPr>
                <w:u w:val="none"/>
              </w:rPr>
              <w:t xml:space="preserve">Meeting for </w:t>
            </w:r>
            <w:r w:rsidR="000E1D33">
              <w:rPr>
                <w:u w:val="none"/>
              </w:rPr>
              <w:t xml:space="preserve">collective </w:t>
            </w:r>
            <w:r>
              <w:rPr>
                <w:u w:val="none"/>
              </w:rPr>
              <w:t>evaluation by the Evaluation Body.</w:t>
            </w:r>
          </w:p>
        </w:tc>
      </w:tr>
      <w:tr w:rsidR="00024515" w:rsidRPr="00B6405F" w14:paraId="61E09C3E" w14:textId="77777777" w:rsidTr="00CE51CF">
        <w:tc>
          <w:tcPr>
            <w:tcW w:w="222" w:type="pct"/>
          </w:tcPr>
          <w:p w14:paraId="35BD981F" w14:textId="77777777" w:rsidR="00024515" w:rsidRDefault="00024515" w:rsidP="00024515">
            <w:pPr>
              <w:pStyle w:val="COMParaDecision"/>
              <w:numPr>
                <w:ilvl w:val="0"/>
                <w:numId w:val="0"/>
              </w:numPr>
              <w:spacing w:before="120"/>
              <w:jc w:val="right"/>
              <w:rPr>
                <w:u w:val="none"/>
              </w:rPr>
            </w:pPr>
          </w:p>
        </w:tc>
        <w:tc>
          <w:tcPr>
            <w:tcW w:w="697" w:type="pct"/>
          </w:tcPr>
          <w:p w14:paraId="4581AA37" w14:textId="77777777" w:rsidR="00024515" w:rsidRDefault="00024515" w:rsidP="00024515">
            <w:pPr>
              <w:pStyle w:val="COMParaDecision"/>
              <w:numPr>
                <w:ilvl w:val="0"/>
                <w:numId w:val="0"/>
              </w:numPr>
              <w:spacing w:before="120"/>
              <w:jc w:val="right"/>
              <w:rPr>
                <w:u w:val="none"/>
              </w:rPr>
            </w:pPr>
          </w:p>
        </w:tc>
        <w:tc>
          <w:tcPr>
            <w:tcW w:w="1606" w:type="pct"/>
          </w:tcPr>
          <w:p w14:paraId="1A6BC85D" w14:textId="77777777" w:rsidR="00024515" w:rsidRDefault="00024515" w:rsidP="00024515">
            <w:pPr>
              <w:pStyle w:val="COMParaDecision"/>
              <w:numPr>
                <w:ilvl w:val="0"/>
                <w:numId w:val="0"/>
              </w:numPr>
              <w:spacing w:before="120"/>
              <w:jc w:val="left"/>
              <w:rPr>
                <w:u w:val="none"/>
              </w:rPr>
            </w:pPr>
          </w:p>
        </w:tc>
        <w:tc>
          <w:tcPr>
            <w:tcW w:w="209" w:type="pct"/>
          </w:tcPr>
          <w:p w14:paraId="33F25D18" w14:textId="77777777" w:rsidR="00024515" w:rsidRDefault="00024515" w:rsidP="00024515">
            <w:pPr>
              <w:pStyle w:val="COMParaDecision"/>
              <w:numPr>
                <w:ilvl w:val="0"/>
                <w:numId w:val="0"/>
              </w:numPr>
              <w:spacing w:before="120"/>
              <w:jc w:val="right"/>
              <w:rPr>
                <w:u w:val="none"/>
              </w:rPr>
            </w:pPr>
          </w:p>
        </w:tc>
        <w:tc>
          <w:tcPr>
            <w:tcW w:w="740" w:type="pct"/>
          </w:tcPr>
          <w:p w14:paraId="73EA3C3B" w14:textId="065E8910" w:rsidR="00024515" w:rsidRPr="00F37497" w:rsidRDefault="006A2AC8" w:rsidP="00AB77A4">
            <w:pPr>
              <w:pStyle w:val="COMParaDecision"/>
              <w:numPr>
                <w:ilvl w:val="0"/>
                <w:numId w:val="0"/>
              </w:numPr>
              <w:spacing w:before="120"/>
              <w:jc w:val="right"/>
              <w:rPr>
                <w:b/>
              </w:rPr>
            </w:pPr>
            <w:r>
              <w:rPr>
                <w:b/>
              </w:rPr>
              <w:t xml:space="preserve">Latest by </w:t>
            </w:r>
            <w:r w:rsidR="00400108">
              <w:rPr>
                <w:b/>
              </w:rPr>
              <w:t xml:space="preserve">15 </w:t>
            </w:r>
            <w:r w:rsidR="00024515" w:rsidRPr="00F37497">
              <w:rPr>
                <w:b/>
              </w:rPr>
              <w:t xml:space="preserve">April </w:t>
            </w:r>
            <w:r w:rsidR="00024515" w:rsidRPr="00F37497">
              <w:rPr>
                <w:b/>
              </w:rPr>
              <w:br/>
              <w:t>Year 2</w:t>
            </w:r>
          </w:p>
        </w:tc>
        <w:tc>
          <w:tcPr>
            <w:tcW w:w="1526" w:type="pct"/>
          </w:tcPr>
          <w:p w14:paraId="7C158D74" w14:textId="0E65751C" w:rsidR="00024515" w:rsidRPr="00F37497" w:rsidRDefault="00904CC8" w:rsidP="0093654B">
            <w:pPr>
              <w:pStyle w:val="COMParaDecision"/>
              <w:numPr>
                <w:ilvl w:val="0"/>
                <w:numId w:val="0"/>
              </w:numPr>
              <w:spacing w:before="120"/>
              <w:jc w:val="left"/>
              <w:rPr>
                <w:b/>
              </w:rPr>
            </w:pPr>
            <w:r>
              <w:rPr>
                <w:b/>
              </w:rPr>
              <w:t>Deadline by which the</w:t>
            </w:r>
            <w:r w:rsidR="00400108" w:rsidRPr="00400108">
              <w:rPr>
                <w:b/>
              </w:rPr>
              <w:t xml:space="preserve"> </w:t>
            </w:r>
            <w:r w:rsidR="00400108">
              <w:rPr>
                <w:b/>
              </w:rPr>
              <w:t>Evaluation Body</w:t>
            </w:r>
            <w:r w:rsidR="000E2CB7">
              <w:rPr>
                <w:b/>
              </w:rPr>
              <w:t>,</w:t>
            </w:r>
            <w:r w:rsidR="00400108" w:rsidRPr="00400108">
              <w:rPr>
                <w:b/>
              </w:rPr>
              <w:t xml:space="preserve"> </w:t>
            </w:r>
            <w:r w:rsidR="00400108">
              <w:rPr>
                <w:b/>
              </w:rPr>
              <w:t>through the Secretariat</w:t>
            </w:r>
            <w:r w:rsidR="000E2CB7">
              <w:rPr>
                <w:b/>
              </w:rPr>
              <w:t>,</w:t>
            </w:r>
            <w:r w:rsidR="00400108" w:rsidRPr="00400108">
              <w:rPr>
                <w:b/>
              </w:rPr>
              <w:t xml:space="preserve"> </w:t>
            </w:r>
            <w:r w:rsidR="000E2CB7">
              <w:rPr>
                <w:b/>
              </w:rPr>
              <w:t>shall transmit</w:t>
            </w:r>
            <w:r w:rsidR="00400108">
              <w:rPr>
                <w:b/>
              </w:rPr>
              <w:t xml:space="preserve"> requests for clarifications or supplementary information </w:t>
            </w:r>
            <w:r w:rsidR="00400108" w:rsidRPr="00400108">
              <w:rPr>
                <w:b/>
              </w:rPr>
              <w:t xml:space="preserve">to </w:t>
            </w:r>
            <w:r w:rsidR="000E2CB7">
              <w:rPr>
                <w:b/>
              </w:rPr>
              <w:t xml:space="preserve">the </w:t>
            </w:r>
            <w:r w:rsidR="00400108" w:rsidRPr="00400108">
              <w:rPr>
                <w:b/>
              </w:rPr>
              <w:t>States Parties</w:t>
            </w:r>
            <w:r w:rsidR="000E2CB7">
              <w:rPr>
                <w:b/>
              </w:rPr>
              <w:t xml:space="preserve"> concerned</w:t>
            </w:r>
            <w:r w:rsidR="00400108" w:rsidRPr="00400108">
              <w:rPr>
                <w:b/>
              </w:rPr>
              <w:t>, in one of the two working languages of the Convention.</w:t>
            </w:r>
          </w:p>
        </w:tc>
      </w:tr>
      <w:tr w:rsidR="00024515" w:rsidRPr="00B6405F" w14:paraId="5C0047C5" w14:textId="77777777" w:rsidTr="00CE51CF">
        <w:tc>
          <w:tcPr>
            <w:tcW w:w="222" w:type="pct"/>
          </w:tcPr>
          <w:p w14:paraId="00D6CF2B" w14:textId="77777777" w:rsidR="00024515" w:rsidRDefault="00024515" w:rsidP="00024515">
            <w:pPr>
              <w:pStyle w:val="COMParaDecision"/>
              <w:numPr>
                <w:ilvl w:val="0"/>
                <w:numId w:val="0"/>
              </w:numPr>
              <w:spacing w:before="120"/>
              <w:jc w:val="right"/>
              <w:rPr>
                <w:u w:val="none"/>
              </w:rPr>
            </w:pPr>
          </w:p>
        </w:tc>
        <w:tc>
          <w:tcPr>
            <w:tcW w:w="697" w:type="pct"/>
          </w:tcPr>
          <w:p w14:paraId="4BD65387" w14:textId="77777777" w:rsidR="00024515" w:rsidRDefault="00024515" w:rsidP="00024515">
            <w:pPr>
              <w:pStyle w:val="COMParaDecision"/>
              <w:numPr>
                <w:ilvl w:val="0"/>
                <w:numId w:val="0"/>
              </w:numPr>
              <w:spacing w:before="120"/>
              <w:jc w:val="right"/>
              <w:rPr>
                <w:u w:val="none"/>
              </w:rPr>
            </w:pPr>
          </w:p>
        </w:tc>
        <w:tc>
          <w:tcPr>
            <w:tcW w:w="1606" w:type="pct"/>
          </w:tcPr>
          <w:p w14:paraId="784F30A4" w14:textId="77777777" w:rsidR="00024515" w:rsidRDefault="00024515" w:rsidP="00024515">
            <w:pPr>
              <w:pStyle w:val="COMParaDecision"/>
              <w:numPr>
                <w:ilvl w:val="0"/>
                <w:numId w:val="0"/>
              </w:numPr>
              <w:spacing w:before="120"/>
              <w:jc w:val="left"/>
              <w:rPr>
                <w:u w:val="none"/>
              </w:rPr>
            </w:pPr>
          </w:p>
        </w:tc>
        <w:tc>
          <w:tcPr>
            <w:tcW w:w="209" w:type="pct"/>
          </w:tcPr>
          <w:p w14:paraId="1109FDA4" w14:textId="77777777" w:rsidR="00024515" w:rsidRDefault="00024515" w:rsidP="00024515">
            <w:pPr>
              <w:pStyle w:val="COMParaDecision"/>
              <w:numPr>
                <w:ilvl w:val="0"/>
                <w:numId w:val="0"/>
              </w:numPr>
              <w:spacing w:before="120"/>
              <w:jc w:val="right"/>
              <w:rPr>
                <w:u w:val="none"/>
              </w:rPr>
            </w:pPr>
          </w:p>
        </w:tc>
        <w:tc>
          <w:tcPr>
            <w:tcW w:w="740" w:type="pct"/>
          </w:tcPr>
          <w:p w14:paraId="47542C02" w14:textId="3AC46024" w:rsidR="00AE50CB" w:rsidRPr="00F37497" w:rsidRDefault="00AE50CB" w:rsidP="00A27AF9">
            <w:pPr>
              <w:pStyle w:val="COMParaDecision"/>
              <w:numPr>
                <w:ilvl w:val="0"/>
                <w:numId w:val="0"/>
              </w:numPr>
              <w:spacing w:before="120"/>
              <w:rPr>
                <w:b/>
              </w:rPr>
            </w:pPr>
          </w:p>
        </w:tc>
        <w:tc>
          <w:tcPr>
            <w:tcW w:w="1526" w:type="pct"/>
          </w:tcPr>
          <w:p w14:paraId="032921BF" w14:textId="0325C9DB" w:rsidR="00024515" w:rsidRPr="00F37497" w:rsidRDefault="00400108" w:rsidP="006D677A">
            <w:pPr>
              <w:pStyle w:val="COMParaDecision"/>
              <w:numPr>
                <w:ilvl w:val="0"/>
                <w:numId w:val="0"/>
              </w:numPr>
              <w:spacing w:before="120"/>
              <w:jc w:val="left"/>
              <w:rPr>
                <w:b/>
                <w:lang w:val="en-US"/>
              </w:rPr>
            </w:pPr>
            <w:r>
              <w:rPr>
                <w:b/>
                <w:lang w:val="en-US"/>
              </w:rPr>
              <w:t xml:space="preserve">States Parties shall respond to the </w:t>
            </w:r>
            <w:r w:rsidR="00AB77A4">
              <w:rPr>
                <w:b/>
                <w:lang w:val="en-US"/>
              </w:rPr>
              <w:t xml:space="preserve">requests of the </w:t>
            </w:r>
            <w:r>
              <w:rPr>
                <w:b/>
                <w:lang w:val="en-US"/>
              </w:rPr>
              <w:t>Evaluation Body</w:t>
            </w:r>
            <w:r w:rsidR="000E2CB7">
              <w:rPr>
                <w:b/>
                <w:lang w:val="en-US"/>
              </w:rPr>
              <w:t>,</w:t>
            </w:r>
            <w:r>
              <w:rPr>
                <w:b/>
                <w:lang w:val="en-US"/>
              </w:rPr>
              <w:t xml:space="preserve"> through the Secretariat</w:t>
            </w:r>
            <w:r w:rsidR="000E2CB7">
              <w:rPr>
                <w:b/>
                <w:lang w:val="en-US"/>
              </w:rPr>
              <w:t>,</w:t>
            </w:r>
            <w:r>
              <w:rPr>
                <w:b/>
                <w:lang w:val="en-US"/>
              </w:rPr>
              <w:t xml:space="preserve"> </w:t>
            </w:r>
            <w:r w:rsidR="00AB77A4">
              <w:rPr>
                <w:b/>
                <w:lang w:val="en-US"/>
              </w:rPr>
              <w:t xml:space="preserve">within </w:t>
            </w:r>
            <w:r>
              <w:rPr>
                <w:b/>
                <w:lang w:val="en-US"/>
              </w:rPr>
              <w:t>three weeks follow</w:t>
            </w:r>
            <w:r w:rsidR="00AB77A4">
              <w:rPr>
                <w:b/>
                <w:lang w:val="en-US"/>
              </w:rPr>
              <w:t>ing the receipt of the letter</w:t>
            </w:r>
            <w:r w:rsidR="000E2CB7">
              <w:rPr>
                <w:b/>
                <w:lang w:val="en-US"/>
              </w:rPr>
              <w:t>,</w:t>
            </w:r>
            <w:r w:rsidR="00AB77A4" w:rsidRPr="00400108">
              <w:rPr>
                <w:b/>
              </w:rPr>
              <w:t xml:space="preserve"> in one of the two work</w:t>
            </w:r>
            <w:r w:rsidR="00AB77A4">
              <w:rPr>
                <w:b/>
              </w:rPr>
              <w:t>ing languages of the Convention</w:t>
            </w:r>
            <w:r w:rsidR="00AB77A4">
              <w:rPr>
                <w:b/>
                <w:lang w:val="en-US"/>
              </w:rPr>
              <w:t>.</w:t>
            </w:r>
          </w:p>
        </w:tc>
      </w:tr>
      <w:tr w:rsidR="00AE50CB" w:rsidRPr="00B6405F" w14:paraId="707AFFCE" w14:textId="77777777" w:rsidTr="00CE51CF">
        <w:tc>
          <w:tcPr>
            <w:tcW w:w="222" w:type="pct"/>
          </w:tcPr>
          <w:p w14:paraId="3ECB0DEF" w14:textId="77777777" w:rsidR="00AE50CB" w:rsidRDefault="00AE50CB" w:rsidP="00024515">
            <w:pPr>
              <w:pStyle w:val="COMParaDecision"/>
              <w:numPr>
                <w:ilvl w:val="0"/>
                <w:numId w:val="0"/>
              </w:numPr>
              <w:spacing w:before="120"/>
              <w:jc w:val="right"/>
              <w:rPr>
                <w:u w:val="none"/>
              </w:rPr>
            </w:pPr>
          </w:p>
        </w:tc>
        <w:tc>
          <w:tcPr>
            <w:tcW w:w="697" w:type="pct"/>
          </w:tcPr>
          <w:p w14:paraId="0EE265B1" w14:textId="77777777" w:rsidR="00AE50CB" w:rsidRDefault="00AE50CB" w:rsidP="00024515">
            <w:pPr>
              <w:pStyle w:val="COMParaDecision"/>
              <w:numPr>
                <w:ilvl w:val="0"/>
                <w:numId w:val="0"/>
              </w:numPr>
              <w:spacing w:before="120"/>
              <w:jc w:val="right"/>
              <w:rPr>
                <w:u w:val="none"/>
              </w:rPr>
            </w:pPr>
          </w:p>
        </w:tc>
        <w:tc>
          <w:tcPr>
            <w:tcW w:w="1606" w:type="pct"/>
          </w:tcPr>
          <w:p w14:paraId="1E63DEF1" w14:textId="77777777" w:rsidR="00AE50CB" w:rsidRDefault="00AE50CB" w:rsidP="00024515">
            <w:pPr>
              <w:pStyle w:val="COMParaDecision"/>
              <w:numPr>
                <w:ilvl w:val="0"/>
                <w:numId w:val="0"/>
              </w:numPr>
              <w:spacing w:before="120"/>
              <w:jc w:val="left"/>
              <w:rPr>
                <w:u w:val="none"/>
              </w:rPr>
            </w:pPr>
          </w:p>
        </w:tc>
        <w:tc>
          <w:tcPr>
            <w:tcW w:w="209" w:type="pct"/>
          </w:tcPr>
          <w:p w14:paraId="786C7A65" w14:textId="77777777" w:rsidR="00AE50CB" w:rsidRDefault="00AE50CB" w:rsidP="00024515">
            <w:pPr>
              <w:pStyle w:val="COMParaDecision"/>
              <w:numPr>
                <w:ilvl w:val="0"/>
                <w:numId w:val="0"/>
              </w:numPr>
              <w:spacing w:before="120"/>
              <w:jc w:val="right"/>
              <w:rPr>
                <w:u w:val="none"/>
              </w:rPr>
            </w:pPr>
          </w:p>
        </w:tc>
        <w:tc>
          <w:tcPr>
            <w:tcW w:w="740" w:type="pct"/>
          </w:tcPr>
          <w:p w14:paraId="74A07364" w14:textId="1B3B40EB" w:rsidR="00AE50CB" w:rsidRDefault="00AE50CB" w:rsidP="00FA6F96">
            <w:pPr>
              <w:pStyle w:val="COMParaDecision"/>
              <w:numPr>
                <w:ilvl w:val="0"/>
                <w:numId w:val="0"/>
              </w:numPr>
              <w:spacing w:before="120"/>
              <w:jc w:val="right"/>
              <w:rPr>
                <w:b/>
              </w:rPr>
            </w:pPr>
            <w:r>
              <w:rPr>
                <w:b/>
              </w:rPr>
              <w:t>Latest by September Year 2</w:t>
            </w:r>
          </w:p>
        </w:tc>
        <w:tc>
          <w:tcPr>
            <w:tcW w:w="1526" w:type="pct"/>
          </w:tcPr>
          <w:p w14:paraId="4A77C986" w14:textId="4C077536" w:rsidR="00AE50CB" w:rsidRDefault="00AE50CB" w:rsidP="006D677A">
            <w:pPr>
              <w:pStyle w:val="COMParaDecision"/>
              <w:numPr>
                <w:ilvl w:val="0"/>
                <w:numId w:val="0"/>
              </w:numPr>
              <w:spacing w:before="120"/>
              <w:jc w:val="left"/>
              <w:rPr>
                <w:b/>
                <w:lang w:val="en-US"/>
              </w:rPr>
            </w:pPr>
            <w:r>
              <w:rPr>
                <w:b/>
                <w:lang w:val="en-US"/>
              </w:rPr>
              <w:t>Meeting for final evaluation by the Evaluation Body.</w:t>
            </w:r>
          </w:p>
        </w:tc>
      </w:tr>
      <w:tr w:rsidR="00024515" w:rsidRPr="00B6405F" w14:paraId="7A2415FC" w14:textId="77777777" w:rsidTr="00CE51CF">
        <w:tc>
          <w:tcPr>
            <w:tcW w:w="222" w:type="pct"/>
          </w:tcPr>
          <w:p w14:paraId="11CE30EE" w14:textId="77777777" w:rsidR="00024515" w:rsidRDefault="00024515" w:rsidP="00024515">
            <w:pPr>
              <w:pStyle w:val="COMParaDecision"/>
              <w:numPr>
                <w:ilvl w:val="0"/>
                <w:numId w:val="0"/>
              </w:numPr>
              <w:spacing w:before="120"/>
              <w:jc w:val="right"/>
              <w:rPr>
                <w:u w:val="none"/>
              </w:rPr>
            </w:pPr>
          </w:p>
        </w:tc>
        <w:tc>
          <w:tcPr>
            <w:tcW w:w="697" w:type="pct"/>
          </w:tcPr>
          <w:p w14:paraId="2E37D535" w14:textId="77777777" w:rsidR="00024515" w:rsidRDefault="00024515" w:rsidP="00024515">
            <w:pPr>
              <w:pStyle w:val="COMParaDecision"/>
              <w:numPr>
                <w:ilvl w:val="0"/>
                <w:numId w:val="0"/>
              </w:numPr>
              <w:spacing w:before="120"/>
              <w:jc w:val="right"/>
              <w:rPr>
                <w:u w:val="none"/>
              </w:rPr>
            </w:pPr>
            <w:r>
              <w:rPr>
                <w:u w:val="none"/>
              </w:rPr>
              <w:t>Four weeks prior to the session of the Committee</w:t>
            </w:r>
          </w:p>
        </w:tc>
        <w:tc>
          <w:tcPr>
            <w:tcW w:w="1606" w:type="pct"/>
          </w:tcPr>
          <w:p w14:paraId="2EFB1551" w14:textId="77777777" w:rsidR="00024515" w:rsidRDefault="00024515" w:rsidP="00024515">
            <w:pPr>
              <w:pStyle w:val="COMParaDecision"/>
              <w:numPr>
                <w:ilvl w:val="0"/>
                <w:numId w:val="0"/>
              </w:numPr>
              <w:spacing w:before="120"/>
              <w:jc w:val="left"/>
              <w:rPr>
                <w:u w:val="none"/>
              </w:rPr>
            </w:pPr>
            <w:r>
              <w:rPr>
                <w:u w:val="none"/>
              </w:rPr>
              <w:t>The Secretariat transmits the evaluation reports to the members of the Committee and makes them available on-line for consultation.</w:t>
            </w:r>
          </w:p>
        </w:tc>
        <w:tc>
          <w:tcPr>
            <w:tcW w:w="209" w:type="pct"/>
          </w:tcPr>
          <w:p w14:paraId="716D8DB4" w14:textId="77777777" w:rsidR="00024515" w:rsidRDefault="00024515" w:rsidP="00024515">
            <w:pPr>
              <w:pStyle w:val="COMParaDecision"/>
              <w:numPr>
                <w:ilvl w:val="0"/>
                <w:numId w:val="0"/>
              </w:numPr>
              <w:spacing w:before="120"/>
              <w:jc w:val="right"/>
              <w:rPr>
                <w:u w:val="none"/>
              </w:rPr>
            </w:pPr>
          </w:p>
        </w:tc>
        <w:tc>
          <w:tcPr>
            <w:tcW w:w="740" w:type="pct"/>
          </w:tcPr>
          <w:p w14:paraId="12E224F6" w14:textId="77777777" w:rsidR="00024515" w:rsidRDefault="00024515" w:rsidP="00024515">
            <w:pPr>
              <w:pStyle w:val="COMParaDecision"/>
              <w:numPr>
                <w:ilvl w:val="0"/>
                <w:numId w:val="0"/>
              </w:numPr>
              <w:spacing w:before="120"/>
              <w:jc w:val="right"/>
              <w:rPr>
                <w:u w:val="none"/>
              </w:rPr>
            </w:pPr>
            <w:r>
              <w:rPr>
                <w:u w:val="none"/>
              </w:rPr>
              <w:t>Four weeks prior to the session of the Committee</w:t>
            </w:r>
          </w:p>
        </w:tc>
        <w:tc>
          <w:tcPr>
            <w:tcW w:w="1526" w:type="pct"/>
          </w:tcPr>
          <w:p w14:paraId="08B09A82" w14:textId="2F0E5FEA" w:rsidR="00024515" w:rsidRDefault="00024515" w:rsidP="00024515">
            <w:pPr>
              <w:pStyle w:val="COMParaDecision"/>
              <w:numPr>
                <w:ilvl w:val="0"/>
                <w:numId w:val="0"/>
              </w:numPr>
              <w:spacing w:before="120"/>
              <w:jc w:val="left"/>
              <w:rPr>
                <w:u w:val="none"/>
              </w:rPr>
            </w:pPr>
            <w:r>
              <w:rPr>
                <w:u w:val="none"/>
              </w:rPr>
              <w:t>The Secretariat transmits the evaluation reports to the members of the Committee and makes them available online for consultation.</w:t>
            </w:r>
          </w:p>
        </w:tc>
      </w:tr>
      <w:tr w:rsidR="00024515" w:rsidRPr="0009414C" w14:paraId="7BEC5CE8" w14:textId="77777777" w:rsidTr="00CE51CF">
        <w:tc>
          <w:tcPr>
            <w:tcW w:w="222" w:type="pct"/>
          </w:tcPr>
          <w:p w14:paraId="556C5D8E" w14:textId="77777777" w:rsidR="00024515" w:rsidRDefault="00024515" w:rsidP="00024515">
            <w:pPr>
              <w:pStyle w:val="COMParaDecision"/>
              <w:numPr>
                <w:ilvl w:val="0"/>
                <w:numId w:val="0"/>
              </w:numPr>
              <w:spacing w:before="120"/>
              <w:jc w:val="right"/>
              <w:rPr>
                <w:u w:val="none"/>
              </w:rPr>
            </w:pPr>
            <w:r>
              <w:rPr>
                <w:u w:val="none"/>
              </w:rPr>
              <w:t>56.</w:t>
            </w:r>
          </w:p>
        </w:tc>
        <w:tc>
          <w:tcPr>
            <w:tcW w:w="697" w:type="pct"/>
          </w:tcPr>
          <w:p w14:paraId="394DF7EA" w14:textId="77777777" w:rsidR="00024515" w:rsidRDefault="00024515" w:rsidP="00024515">
            <w:pPr>
              <w:pStyle w:val="COMParaDecision"/>
              <w:numPr>
                <w:ilvl w:val="0"/>
                <w:numId w:val="0"/>
              </w:numPr>
              <w:spacing w:before="120"/>
              <w:jc w:val="right"/>
              <w:rPr>
                <w:u w:val="none"/>
              </w:rPr>
            </w:pPr>
            <w:r>
              <w:rPr>
                <w:u w:val="none"/>
              </w:rPr>
              <w:t>Phase 3:</w:t>
            </w:r>
          </w:p>
        </w:tc>
        <w:tc>
          <w:tcPr>
            <w:tcW w:w="1606" w:type="pct"/>
          </w:tcPr>
          <w:p w14:paraId="7F2C91FD" w14:textId="77777777" w:rsidR="00024515" w:rsidRDefault="00024515" w:rsidP="00024515">
            <w:pPr>
              <w:pStyle w:val="COMParaDecision"/>
              <w:numPr>
                <w:ilvl w:val="0"/>
                <w:numId w:val="0"/>
              </w:numPr>
              <w:spacing w:before="120"/>
              <w:jc w:val="left"/>
              <w:rPr>
                <w:u w:val="none"/>
              </w:rPr>
            </w:pPr>
            <w:r>
              <w:rPr>
                <w:u w:val="none"/>
              </w:rPr>
              <w:t>Examination</w:t>
            </w:r>
          </w:p>
        </w:tc>
        <w:tc>
          <w:tcPr>
            <w:tcW w:w="209" w:type="pct"/>
          </w:tcPr>
          <w:p w14:paraId="6BE989C6" w14:textId="77777777" w:rsidR="00024515" w:rsidRDefault="00024515" w:rsidP="00024515">
            <w:pPr>
              <w:pStyle w:val="COMParaDecision"/>
              <w:numPr>
                <w:ilvl w:val="0"/>
                <w:numId w:val="0"/>
              </w:numPr>
              <w:spacing w:before="120"/>
              <w:jc w:val="right"/>
              <w:rPr>
                <w:u w:val="none"/>
              </w:rPr>
            </w:pPr>
            <w:r>
              <w:rPr>
                <w:u w:val="none"/>
              </w:rPr>
              <w:t>56.</w:t>
            </w:r>
          </w:p>
        </w:tc>
        <w:tc>
          <w:tcPr>
            <w:tcW w:w="740" w:type="pct"/>
          </w:tcPr>
          <w:p w14:paraId="79575C4C" w14:textId="77777777" w:rsidR="00024515" w:rsidRPr="00474AAE" w:rsidRDefault="00024515" w:rsidP="00024515">
            <w:pPr>
              <w:pStyle w:val="COMParaDecision"/>
              <w:numPr>
                <w:ilvl w:val="0"/>
                <w:numId w:val="0"/>
              </w:numPr>
              <w:spacing w:before="120"/>
              <w:jc w:val="left"/>
              <w:rPr>
                <w:u w:val="none"/>
              </w:rPr>
            </w:pPr>
            <w:r>
              <w:rPr>
                <w:u w:val="none"/>
              </w:rPr>
              <w:t>[No change.]</w:t>
            </w:r>
          </w:p>
        </w:tc>
        <w:tc>
          <w:tcPr>
            <w:tcW w:w="1526" w:type="pct"/>
          </w:tcPr>
          <w:p w14:paraId="277CDB0E" w14:textId="77777777" w:rsidR="00024515" w:rsidRPr="0009414C" w:rsidRDefault="00024515" w:rsidP="00024515">
            <w:pPr>
              <w:pStyle w:val="COMParaDecision"/>
              <w:numPr>
                <w:ilvl w:val="0"/>
                <w:numId w:val="0"/>
              </w:numPr>
              <w:spacing w:before="120"/>
              <w:jc w:val="left"/>
            </w:pPr>
          </w:p>
        </w:tc>
      </w:tr>
    </w:tbl>
    <w:p w14:paraId="59577BBB" w14:textId="77777777" w:rsidR="00FA6F96" w:rsidRDefault="00FA6F96">
      <w:pPr>
        <w:rPr>
          <w:rFonts w:ascii="Arial" w:eastAsia="SimSun" w:hAnsi="Arial" w:cs="Arial"/>
          <w:b/>
          <w:szCs w:val="22"/>
          <w:u w:val="single"/>
          <w:lang w:val="en-GB"/>
        </w:rPr>
      </w:pPr>
      <w:r>
        <w:rPr>
          <w:b/>
        </w:rPr>
        <w:br w:type="page"/>
      </w:r>
    </w:p>
    <w:p w14:paraId="35B532A8" w14:textId="63A55916" w:rsidR="0053318C" w:rsidRPr="008F13F2" w:rsidRDefault="00A86E1B" w:rsidP="008F13F2">
      <w:pPr>
        <w:pStyle w:val="COMParaDecision"/>
        <w:numPr>
          <w:ilvl w:val="0"/>
          <w:numId w:val="0"/>
        </w:numPr>
        <w:spacing w:after="360"/>
        <w:jc w:val="center"/>
        <w:rPr>
          <w:b/>
          <w:sz w:val="24"/>
        </w:rPr>
      </w:pPr>
      <w:r w:rsidRPr="008F13F2">
        <w:rPr>
          <w:b/>
          <w:sz w:val="24"/>
        </w:rPr>
        <w:t>Annex II</w:t>
      </w:r>
    </w:p>
    <w:p w14:paraId="5473EEA0" w14:textId="6D471DF9" w:rsidR="00A86E1B" w:rsidRPr="00D8048C" w:rsidRDefault="004B2F88" w:rsidP="008F13F2">
      <w:pPr>
        <w:pStyle w:val="COMParaDecision"/>
        <w:numPr>
          <w:ilvl w:val="0"/>
          <w:numId w:val="0"/>
        </w:numPr>
        <w:jc w:val="center"/>
        <w:rPr>
          <w:u w:val="none"/>
          <w:lang w:val="en-US"/>
        </w:rPr>
      </w:pPr>
      <w:r>
        <w:rPr>
          <w:noProof/>
          <w:u w:val="none"/>
          <w:lang w:val="en-US" w:eastAsia="ko-KR"/>
        </w:rPr>
        <w:drawing>
          <wp:inline distT="0" distB="0" distL="0" distR="0" wp14:anchorId="50053478" wp14:editId="30A9C70E">
            <wp:extent cx="7584000" cy="568800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a:blip r:embed="rId14">
                      <a:extLst>
                        <a:ext uri="{28A0092B-C50C-407E-A947-70E740481C1C}">
                          <a14:useLocalDpi xmlns:a14="http://schemas.microsoft.com/office/drawing/2010/main" val="0"/>
                        </a:ext>
                      </a:extLst>
                    </a:blip>
                    <a:stretch>
                      <a:fillRect/>
                    </a:stretch>
                  </pic:blipFill>
                  <pic:spPr>
                    <a:xfrm>
                      <a:off x="0" y="0"/>
                      <a:ext cx="7584000" cy="5688000"/>
                    </a:xfrm>
                    <a:prstGeom prst="rect">
                      <a:avLst/>
                    </a:prstGeom>
                  </pic:spPr>
                </pic:pic>
              </a:graphicData>
            </a:graphic>
          </wp:inline>
        </w:drawing>
      </w:r>
    </w:p>
    <w:sectPr w:rsidR="00A86E1B" w:rsidRPr="00D8048C" w:rsidSect="003C1886">
      <w:headerReference w:type="first" r:id="rId15"/>
      <w:pgSz w:w="16838" w:h="11906" w:orient="landscape" w:code="9"/>
      <w:pgMar w:top="1134" w:right="1134" w:bottom="1134" w:left="1418"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0E9D4" w14:textId="77777777" w:rsidR="00CB0542" w:rsidRDefault="00CB0542" w:rsidP="00655736">
      <w:r>
        <w:separator/>
      </w:r>
    </w:p>
  </w:endnote>
  <w:endnote w:type="continuationSeparator" w:id="0">
    <w:p w14:paraId="57DE60A8" w14:textId="77777777" w:rsidR="00CB0542" w:rsidRDefault="00CB054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B261A" w14:textId="77777777" w:rsidR="00CB0542" w:rsidRDefault="00CB0542" w:rsidP="00655736">
      <w:r>
        <w:separator/>
      </w:r>
    </w:p>
  </w:footnote>
  <w:footnote w:type="continuationSeparator" w:id="0">
    <w:p w14:paraId="4DE9E01F" w14:textId="77777777" w:rsidR="00CB0542" w:rsidRDefault="00CB0542"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2DE74" w14:textId="0FD29A4B" w:rsidR="00D95C4C" w:rsidRPr="00C23A97" w:rsidRDefault="00CB0542">
    <w:pPr>
      <w:pStyle w:val="Header"/>
      <w:rPr>
        <w:rFonts w:ascii="Arial" w:hAnsi="Arial" w:cs="Arial"/>
        <w:lang w:val="en-GB"/>
      </w:rPr>
    </w:pPr>
    <w:r>
      <w:rPr>
        <w:rFonts w:ascii="Arial" w:hAnsi="Arial" w:cs="Arial"/>
        <w:sz w:val="20"/>
        <w:szCs w:val="20"/>
        <w:lang w:val="en-GB"/>
      </w:rPr>
      <w:t>ITH/1</w:t>
    </w:r>
    <w:r w:rsidR="00337CEB">
      <w:rPr>
        <w:rFonts w:ascii="Arial" w:eastAsiaTheme="minorEastAsia" w:hAnsi="Arial" w:cs="Arial" w:hint="eastAsia"/>
        <w:sz w:val="20"/>
        <w:szCs w:val="20"/>
        <w:lang w:val="en-GB" w:eastAsia="ko-KR"/>
      </w:rPr>
      <w:t>7</w:t>
    </w:r>
    <w:r>
      <w:rPr>
        <w:rFonts w:ascii="Arial" w:hAnsi="Arial" w:cs="Arial"/>
        <w:sz w:val="20"/>
        <w:szCs w:val="20"/>
        <w:lang w:val="en-GB"/>
      </w:rPr>
      <w:t>/1</w:t>
    </w:r>
    <w:r w:rsidR="00337CEB">
      <w:rPr>
        <w:rFonts w:ascii="Arial" w:eastAsiaTheme="minorEastAsia" w:hAnsi="Arial" w:cs="Arial" w:hint="eastAsia"/>
        <w:sz w:val="20"/>
        <w:szCs w:val="20"/>
        <w:lang w:val="en-GB" w:eastAsia="ko-KR"/>
      </w:rPr>
      <w:t>2</w:t>
    </w:r>
    <w:r w:rsidR="00EC6F8D">
      <w:rPr>
        <w:rFonts w:ascii="Arial" w:hAnsi="Arial" w:cs="Arial"/>
        <w:sz w:val="20"/>
        <w:szCs w:val="20"/>
        <w:lang w:val="en-GB"/>
      </w:rPr>
      <w:t>.COM</w:t>
    </w:r>
    <w:r w:rsidR="00D95C4C" w:rsidRPr="00C23A97">
      <w:rPr>
        <w:rFonts w:ascii="Arial" w:hAnsi="Arial" w:cs="Arial"/>
        <w:sz w:val="20"/>
        <w:szCs w:val="20"/>
        <w:lang w:val="en-GB"/>
      </w:rPr>
      <w:t>/</w:t>
    </w:r>
    <w:r w:rsidR="003C1886">
      <w:rPr>
        <w:rFonts w:ascii="Arial" w:hAnsi="Arial" w:cs="Arial"/>
        <w:sz w:val="20"/>
        <w:szCs w:val="20"/>
        <w:lang w:val="en-GB"/>
      </w:rPr>
      <w:t>12</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4077CB">
      <w:rPr>
        <w:rStyle w:val="PageNumber"/>
        <w:rFonts w:ascii="Arial" w:hAnsi="Arial" w:cs="Arial"/>
        <w:noProof/>
        <w:sz w:val="20"/>
        <w:szCs w:val="20"/>
        <w:lang w:val="en-GB"/>
      </w:rPr>
      <w:t>6</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61B60" w14:textId="42C3E525" w:rsidR="00D95C4C" w:rsidRPr="0063300C" w:rsidRDefault="0053318C" w:rsidP="0063300C">
    <w:pPr>
      <w:pStyle w:val="Header"/>
      <w:jc w:val="right"/>
      <w:rPr>
        <w:rFonts w:ascii="Arial" w:hAnsi="Arial" w:cs="Arial"/>
        <w:lang w:val="en-GB"/>
      </w:rPr>
    </w:pPr>
    <w:r>
      <w:rPr>
        <w:rFonts w:ascii="Arial" w:hAnsi="Arial" w:cs="Arial"/>
        <w:sz w:val="20"/>
        <w:szCs w:val="20"/>
        <w:lang w:val="en-GB"/>
      </w:rPr>
      <w:t>ITH/17/12</w:t>
    </w:r>
    <w:r w:rsidR="00EC6F8D">
      <w:rPr>
        <w:rFonts w:ascii="Arial" w:hAnsi="Arial" w:cs="Arial"/>
        <w:sz w:val="20"/>
        <w:szCs w:val="20"/>
        <w:lang w:val="en-GB"/>
      </w:rPr>
      <w:t>.COM</w:t>
    </w:r>
    <w:r w:rsidR="004A34A0" w:rsidRPr="0063300C">
      <w:rPr>
        <w:rFonts w:ascii="Arial" w:hAnsi="Arial" w:cs="Arial"/>
        <w:sz w:val="20"/>
        <w:szCs w:val="20"/>
        <w:lang w:val="en-GB"/>
      </w:rPr>
      <w:t>/</w:t>
    </w:r>
    <w:r w:rsidR="003C1886">
      <w:rPr>
        <w:rFonts w:ascii="Arial" w:hAnsi="Arial" w:cs="Arial"/>
        <w:sz w:val="20"/>
        <w:szCs w:val="20"/>
        <w:lang w:val="en-GB"/>
      </w:rPr>
      <w:t>12</w:t>
    </w:r>
    <w:r w:rsidR="004A34A0" w:rsidRPr="0063300C">
      <w:rPr>
        <w:rFonts w:ascii="Arial" w:hAnsi="Arial" w:cs="Arial"/>
        <w:sz w:val="20"/>
        <w:szCs w:val="20"/>
        <w:lang w:val="en-GB"/>
      </w:rPr>
      <w:t xml:space="preserve"> –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4077CB">
      <w:rPr>
        <w:rStyle w:val="PageNumber"/>
        <w:rFonts w:ascii="Arial" w:hAnsi="Arial" w:cs="Arial"/>
        <w:noProof/>
        <w:sz w:val="20"/>
        <w:szCs w:val="20"/>
        <w:lang w:val="en-GB"/>
      </w:rPr>
      <w:t>5</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9415A" w14:textId="77777777" w:rsidR="00D95C4C" w:rsidRPr="00F32C23" w:rsidRDefault="00955877">
    <w:pPr>
      <w:pStyle w:val="Header"/>
      <w:rPr>
        <w:lang w:val="en-GB"/>
      </w:rPr>
    </w:pPr>
    <w:r>
      <w:rPr>
        <w:noProof/>
        <w:lang w:val="en-US" w:eastAsia="ko-KR"/>
      </w:rPr>
      <w:drawing>
        <wp:anchor distT="0" distB="0" distL="114300" distR="114300" simplePos="0" relativeHeight="251657728" behindDoc="0" locked="0" layoutInCell="1" allowOverlap="1" wp14:anchorId="25195D7C" wp14:editId="5924218E">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DCC90D" w14:textId="77777777" w:rsidR="00D95C4C" w:rsidRPr="00F30DC6" w:rsidRDefault="00337CEB" w:rsidP="00655736">
    <w:pPr>
      <w:pStyle w:val="Header"/>
      <w:spacing w:after="520"/>
      <w:jc w:val="right"/>
      <w:rPr>
        <w:rFonts w:ascii="Arial" w:hAnsi="Arial" w:cs="Arial"/>
        <w:b/>
        <w:sz w:val="44"/>
        <w:szCs w:val="44"/>
        <w:lang w:val="en-GB"/>
      </w:rPr>
    </w:pPr>
    <w:r>
      <w:rPr>
        <w:rFonts w:ascii="Arial" w:hAnsi="Arial" w:cs="Arial"/>
        <w:b/>
        <w:sz w:val="44"/>
        <w:szCs w:val="44"/>
        <w:lang w:val="en-GB"/>
      </w:rPr>
      <w:t>1</w:t>
    </w:r>
    <w:r>
      <w:rPr>
        <w:rFonts w:ascii="Arial" w:eastAsiaTheme="minorEastAsia" w:hAnsi="Arial" w:cs="Arial" w:hint="eastAsia"/>
        <w:b/>
        <w:sz w:val="44"/>
        <w:szCs w:val="44"/>
        <w:lang w:val="en-GB" w:eastAsia="ko-KR"/>
      </w:rPr>
      <w:t>2</w:t>
    </w:r>
    <w:r w:rsidR="00EC6F8D" w:rsidRPr="00F30DC6">
      <w:rPr>
        <w:rFonts w:ascii="Arial" w:hAnsi="Arial" w:cs="Arial"/>
        <w:b/>
        <w:sz w:val="44"/>
        <w:szCs w:val="44"/>
        <w:lang w:val="en-GB"/>
      </w:rPr>
      <w:t xml:space="preserve"> COM</w:t>
    </w:r>
  </w:p>
  <w:p w14:paraId="0819C9C6" w14:textId="77777777" w:rsidR="00D95C4C" w:rsidRPr="009D5428" w:rsidRDefault="00337CEB" w:rsidP="00655736">
    <w:pPr>
      <w:jc w:val="right"/>
      <w:rPr>
        <w:rFonts w:ascii="Arial" w:hAnsi="Arial" w:cs="Arial"/>
        <w:b/>
        <w:sz w:val="22"/>
        <w:szCs w:val="22"/>
        <w:lang w:val="en-GB"/>
      </w:rPr>
    </w:pPr>
    <w:r>
      <w:rPr>
        <w:rFonts w:ascii="Arial" w:hAnsi="Arial" w:cs="Arial"/>
        <w:b/>
        <w:sz w:val="22"/>
        <w:szCs w:val="22"/>
        <w:lang w:val="en-GB"/>
      </w:rPr>
      <w:t>ITH/1</w:t>
    </w:r>
    <w:r>
      <w:rPr>
        <w:rFonts w:ascii="Arial" w:eastAsiaTheme="minorEastAsia" w:hAnsi="Arial" w:cs="Arial" w:hint="eastAsia"/>
        <w:b/>
        <w:sz w:val="22"/>
        <w:szCs w:val="22"/>
        <w:lang w:val="en-GB" w:eastAsia="ko-KR"/>
      </w:rPr>
      <w:t>7</w:t>
    </w:r>
    <w:r w:rsidR="00D95C4C" w:rsidRPr="009D5428">
      <w:rPr>
        <w:rFonts w:ascii="Arial" w:hAnsi="Arial" w:cs="Arial"/>
        <w:b/>
        <w:sz w:val="22"/>
        <w:szCs w:val="22"/>
        <w:lang w:val="en-GB"/>
      </w:rPr>
      <w:t>/</w:t>
    </w:r>
    <w:r w:rsidR="00CB0542">
      <w:rPr>
        <w:rFonts w:ascii="Arial" w:hAnsi="Arial" w:cs="Arial"/>
        <w:b/>
        <w:sz w:val="22"/>
        <w:szCs w:val="22"/>
        <w:lang w:val="en-GB"/>
      </w:rPr>
      <w:t>1</w:t>
    </w:r>
    <w:r>
      <w:rPr>
        <w:rFonts w:ascii="Arial" w:eastAsiaTheme="minorEastAsia" w:hAnsi="Arial" w:cs="Arial" w:hint="eastAsia"/>
        <w:b/>
        <w:sz w:val="22"/>
        <w:szCs w:val="22"/>
        <w:lang w:val="en-GB" w:eastAsia="ko-KR"/>
      </w:rPr>
      <w:t>2</w:t>
    </w:r>
    <w:r w:rsidR="00D95C4C" w:rsidRPr="009D5428">
      <w:rPr>
        <w:rFonts w:ascii="Arial" w:hAnsi="Arial" w:cs="Arial"/>
        <w:b/>
        <w:sz w:val="22"/>
        <w:szCs w:val="22"/>
        <w:lang w:val="en-GB"/>
      </w:rPr>
      <w:t>.</w:t>
    </w:r>
    <w:r w:rsidR="00EC6F8D" w:rsidRPr="009D5428">
      <w:rPr>
        <w:rFonts w:ascii="Arial" w:hAnsi="Arial" w:cs="Arial"/>
        <w:b/>
        <w:sz w:val="22"/>
        <w:szCs w:val="22"/>
        <w:lang w:val="en-GB"/>
      </w:rPr>
      <w:t>COM</w:t>
    </w:r>
    <w:r w:rsidR="00D95C4C" w:rsidRPr="009D5428">
      <w:rPr>
        <w:rFonts w:ascii="Arial" w:hAnsi="Arial" w:cs="Arial"/>
        <w:b/>
        <w:sz w:val="22"/>
        <w:szCs w:val="22"/>
        <w:lang w:val="en-GB"/>
      </w:rPr>
      <w:t>/</w:t>
    </w:r>
    <w:r w:rsidR="008D3CF7" w:rsidRPr="008D3CF7">
      <w:rPr>
        <w:rFonts w:ascii="Arial" w:hAnsi="Arial" w:cs="Arial"/>
        <w:b/>
        <w:sz w:val="22"/>
        <w:szCs w:val="22"/>
        <w:lang w:val="en-GB"/>
      </w:rPr>
      <w:t>12</w:t>
    </w:r>
  </w:p>
  <w:p w14:paraId="605E6BE6" w14:textId="7C7956E7" w:rsidR="00D95C4C" w:rsidRPr="00337CEB" w:rsidRDefault="00D95C4C" w:rsidP="00655736">
    <w:pPr>
      <w:jc w:val="right"/>
      <w:rPr>
        <w:rFonts w:ascii="Arial" w:eastAsiaTheme="minorEastAsia" w:hAnsi="Arial" w:cs="Arial"/>
        <w:b/>
        <w:sz w:val="22"/>
        <w:szCs w:val="22"/>
        <w:lang w:val="en-GB" w:eastAsia="ko-KR"/>
      </w:rPr>
    </w:pPr>
    <w:r w:rsidRPr="009D5428">
      <w:rPr>
        <w:rFonts w:ascii="Arial" w:hAnsi="Arial" w:cs="Arial"/>
        <w:b/>
        <w:sz w:val="22"/>
        <w:szCs w:val="22"/>
        <w:lang w:val="en-GB"/>
      </w:rPr>
      <w:t xml:space="preserve">Paris, </w:t>
    </w:r>
    <w:r w:rsidR="004077CB">
      <w:rPr>
        <w:rFonts w:ascii="Arial" w:hAnsi="Arial" w:cs="Arial"/>
        <w:b/>
        <w:sz w:val="22"/>
        <w:szCs w:val="22"/>
        <w:lang w:val="en-GB"/>
      </w:rPr>
      <w:t>3</w:t>
    </w:r>
    <w:r w:rsidR="0058073E">
      <w:rPr>
        <w:rFonts w:ascii="Arial" w:hAnsi="Arial" w:cs="Arial"/>
        <w:b/>
        <w:sz w:val="22"/>
        <w:szCs w:val="22"/>
        <w:lang w:val="en-GB"/>
      </w:rPr>
      <w:t xml:space="preserve"> November</w:t>
    </w:r>
    <w:r w:rsidRPr="00F32C23">
      <w:rPr>
        <w:rFonts w:ascii="Arial" w:hAnsi="Arial" w:cs="Arial"/>
        <w:b/>
        <w:sz w:val="22"/>
        <w:szCs w:val="22"/>
        <w:lang w:val="en-GB"/>
      </w:rPr>
      <w:t xml:space="preserve"> </w:t>
    </w:r>
    <w:r w:rsidR="00337CEB">
      <w:rPr>
        <w:rFonts w:ascii="Arial" w:hAnsi="Arial" w:cs="Arial"/>
        <w:b/>
        <w:sz w:val="22"/>
        <w:szCs w:val="22"/>
        <w:lang w:val="en-GB"/>
      </w:rPr>
      <w:t>201</w:t>
    </w:r>
    <w:r w:rsidR="00337CEB">
      <w:rPr>
        <w:rFonts w:ascii="Arial" w:eastAsiaTheme="minorEastAsia" w:hAnsi="Arial" w:cs="Arial" w:hint="eastAsia"/>
        <w:b/>
        <w:sz w:val="22"/>
        <w:szCs w:val="22"/>
        <w:lang w:val="en-GB" w:eastAsia="ko-KR"/>
      </w:rPr>
      <w:t>7</w:t>
    </w:r>
  </w:p>
  <w:p w14:paraId="215E2E86" w14:textId="77777777" w:rsidR="00D95C4C" w:rsidRPr="00F32C23" w:rsidRDefault="00D95C4C" w:rsidP="000048ED">
    <w:pPr>
      <w:jc w:val="right"/>
      <w:rPr>
        <w:rFonts w:ascii="Arial" w:hAnsi="Arial" w:cs="Arial"/>
        <w:b/>
        <w:sz w:val="22"/>
        <w:szCs w:val="22"/>
        <w:lang w:val="en-GB"/>
      </w:rPr>
    </w:pPr>
    <w:r w:rsidRPr="00F32C23">
      <w:rPr>
        <w:rFonts w:ascii="Arial" w:hAnsi="Arial" w:cs="Arial"/>
        <w:b/>
        <w:sz w:val="22"/>
        <w:szCs w:val="22"/>
        <w:lang w:val="en-GB"/>
      </w:rPr>
      <w:t xml:space="preserve">Original: </w:t>
    </w:r>
    <w:r w:rsidR="008D3CF7" w:rsidRPr="008D3CF7">
      <w:rPr>
        <w:rFonts w:ascii="Arial" w:hAnsi="Arial" w:cs="Arial"/>
        <w:b/>
        <w:sz w:val="22"/>
        <w:szCs w:val="22"/>
        <w:lang w:val="en-GB"/>
      </w:rPr>
      <w:t>English</w:t>
    </w:r>
  </w:p>
  <w:p w14:paraId="352B8799" w14:textId="77777777" w:rsidR="00D95C4C" w:rsidRPr="00F32C23" w:rsidRDefault="00D95C4C">
    <w:pPr>
      <w:pStyle w:val="Header"/>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E4081" w14:textId="77777777" w:rsidR="003C1886" w:rsidRPr="00F32C23" w:rsidRDefault="003C1886">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97A4DB1"/>
    <w:multiLevelType w:val="hybridMultilevel"/>
    <w:tmpl w:val="67DE123E"/>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8"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4EC5526"/>
    <w:multiLevelType w:val="hybridMultilevel"/>
    <w:tmpl w:val="0A7454CE"/>
    <w:lvl w:ilvl="0" w:tplc="ED44E9E2">
      <w:start w:val="29"/>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844067"/>
    <w:multiLevelType w:val="hybridMultilevel"/>
    <w:tmpl w:val="19AE79AC"/>
    <w:lvl w:ilvl="0" w:tplc="7D4EA47E">
      <w:start w:val="3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13"/>
  </w:num>
  <w:num w:numId="5">
    <w:abstractNumId w:val="10"/>
  </w:num>
  <w:num w:numId="6">
    <w:abstractNumId w:val="0"/>
  </w:num>
  <w:num w:numId="7">
    <w:abstractNumId w:val="2"/>
  </w:num>
  <w:num w:numId="8">
    <w:abstractNumId w:val="8"/>
  </w:num>
  <w:num w:numId="9">
    <w:abstractNumId w:val="3"/>
  </w:num>
  <w:num w:numId="10">
    <w:abstractNumId w:val="5"/>
  </w:num>
  <w:num w:numId="11">
    <w:abstractNumId w:val="7"/>
  </w:num>
  <w:num w:numId="12">
    <w:abstractNumId w:val="6"/>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num>
  <w:num w:numId="18">
    <w:abstractNumId w:val="5"/>
    <w:lvlOverride w:ilvl="0">
      <w:startOverride w:val="1"/>
    </w:lvlOverride>
  </w:num>
  <w:num w:numId="19">
    <w:abstractNumId w:val="5"/>
  </w:num>
  <w:num w:numId="20">
    <w:abstractNumId w:val="5"/>
    <w:lvlOverride w:ilvl="0">
      <w:startOverride w:val="1"/>
    </w:lvlOverride>
  </w:num>
  <w:num w:numId="21">
    <w:abstractNumId w:val="5"/>
  </w:num>
  <w:num w:numId="22">
    <w:abstractNumId w:val="11"/>
  </w:num>
  <w:num w:numId="23">
    <w:abstractNumId w:val="5"/>
    <w:lvlOverride w:ilvl="0">
      <w:startOverride w:val="1"/>
    </w:lvlOverride>
  </w:num>
  <w:num w:numId="24">
    <w:abstractNumId w:val="5"/>
  </w:num>
  <w:num w:numId="25">
    <w:abstractNumId w:val="5"/>
    <w:lvlOverride w:ilvl="0">
      <w:startOverride w:val="1"/>
    </w:lvlOverride>
  </w:num>
  <w:num w:numId="26">
    <w:abstractNumId w:val="5"/>
    <w:lvlOverride w:ilvl="0">
      <w:startOverride w:val="1"/>
    </w:lvlOverride>
  </w:num>
  <w:num w:numId="27">
    <w:abstractNumId w:val="5"/>
  </w:num>
  <w:num w:numId="28">
    <w:abstractNumId w:val="5"/>
  </w:num>
  <w:num w:numId="29">
    <w:abstractNumId w:val="5"/>
    <w:lvlOverride w:ilvl="0">
      <w:startOverride w:val="1"/>
    </w:lvlOverride>
  </w:num>
  <w:num w:numId="30">
    <w:abstractNumId w:val="5"/>
  </w:num>
  <w:num w:numId="31">
    <w:abstractNumId w:val="12"/>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48ED"/>
    <w:rsid w:val="000163AF"/>
    <w:rsid w:val="00017270"/>
    <w:rsid w:val="00022EC1"/>
    <w:rsid w:val="00024515"/>
    <w:rsid w:val="00041A66"/>
    <w:rsid w:val="00045048"/>
    <w:rsid w:val="00045623"/>
    <w:rsid w:val="0005176E"/>
    <w:rsid w:val="0006360B"/>
    <w:rsid w:val="0006552D"/>
    <w:rsid w:val="00066E9D"/>
    <w:rsid w:val="00070BA2"/>
    <w:rsid w:val="00074BE0"/>
    <w:rsid w:val="000765F7"/>
    <w:rsid w:val="00077AB7"/>
    <w:rsid w:val="00081CD8"/>
    <w:rsid w:val="00092189"/>
    <w:rsid w:val="0009414C"/>
    <w:rsid w:val="000A7F0E"/>
    <w:rsid w:val="000B1C8F"/>
    <w:rsid w:val="000C04CB"/>
    <w:rsid w:val="000C0D61"/>
    <w:rsid w:val="000D4D43"/>
    <w:rsid w:val="000E1D33"/>
    <w:rsid w:val="000E2CB7"/>
    <w:rsid w:val="000F3A3F"/>
    <w:rsid w:val="000F41A4"/>
    <w:rsid w:val="00102557"/>
    <w:rsid w:val="0011647C"/>
    <w:rsid w:val="001200C3"/>
    <w:rsid w:val="00121289"/>
    <w:rsid w:val="0012310C"/>
    <w:rsid w:val="00125508"/>
    <w:rsid w:val="00131926"/>
    <w:rsid w:val="00155571"/>
    <w:rsid w:val="00164D56"/>
    <w:rsid w:val="00166534"/>
    <w:rsid w:val="001675B2"/>
    <w:rsid w:val="00167B10"/>
    <w:rsid w:val="0017402F"/>
    <w:rsid w:val="0018330D"/>
    <w:rsid w:val="00185BC3"/>
    <w:rsid w:val="00195E45"/>
    <w:rsid w:val="00196C1B"/>
    <w:rsid w:val="001B0DCE"/>
    <w:rsid w:val="001B0F73"/>
    <w:rsid w:val="001B440E"/>
    <w:rsid w:val="001B6593"/>
    <w:rsid w:val="001C2DB7"/>
    <w:rsid w:val="001D1746"/>
    <w:rsid w:val="001D5C04"/>
    <w:rsid w:val="001D7390"/>
    <w:rsid w:val="001D739C"/>
    <w:rsid w:val="001F26CF"/>
    <w:rsid w:val="001F6520"/>
    <w:rsid w:val="00210629"/>
    <w:rsid w:val="00222A2D"/>
    <w:rsid w:val="00223029"/>
    <w:rsid w:val="00227673"/>
    <w:rsid w:val="00234745"/>
    <w:rsid w:val="002351A6"/>
    <w:rsid w:val="002357D9"/>
    <w:rsid w:val="002407AF"/>
    <w:rsid w:val="002441EA"/>
    <w:rsid w:val="00256C43"/>
    <w:rsid w:val="00267C1F"/>
    <w:rsid w:val="00270C70"/>
    <w:rsid w:val="0027466B"/>
    <w:rsid w:val="0028143E"/>
    <w:rsid w:val="002838A5"/>
    <w:rsid w:val="00285BB4"/>
    <w:rsid w:val="0029596A"/>
    <w:rsid w:val="002C09E3"/>
    <w:rsid w:val="002C18D4"/>
    <w:rsid w:val="002D0DF0"/>
    <w:rsid w:val="002E5129"/>
    <w:rsid w:val="002F6CA8"/>
    <w:rsid w:val="00302D33"/>
    <w:rsid w:val="00317B23"/>
    <w:rsid w:val="00333D93"/>
    <w:rsid w:val="00337CEB"/>
    <w:rsid w:val="00344B58"/>
    <w:rsid w:val="0034539A"/>
    <w:rsid w:val="00345CB4"/>
    <w:rsid w:val="00375D42"/>
    <w:rsid w:val="00390629"/>
    <w:rsid w:val="003A0380"/>
    <w:rsid w:val="003C0B70"/>
    <w:rsid w:val="003C1886"/>
    <w:rsid w:val="003C6FF5"/>
    <w:rsid w:val="003D069C"/>
    <w:rsid w:val="003D2F17"/>
    <w:rsid w:val="003D7646"/>
    <w:rsid w:val="003F113A"/>
    <w:rsid w:val="003F3E63"/>
    <w:rsid w:val="003F5BFD"/>
    <w:rsid w:val="00400108"/>
    <w:rsid w:val="00402755"/>
    <w:rsid w:val="00407480"/>
    <w:rsid w:val="004077CB"/>
    <w:rsid w:val="00411088"/>
    <w:rsid w:val="00414643"/>
    <w:rsid w:val="004213E0"/>
    <w:rsid w:val="00421625"/>
    <w:rsid w:val="0043039F"/>
    <w:rsid w:val="004421E5"/>
    <w:rsid w:val="00444712"/>
    <w:rsid w:val="00450A45"/>
    <w:rsid w:val="00452284"/>
    <w:rsid w:val="00457C8E"/>
    <w:rsid w:val="0047028B"/>
    <w:rsid w:val="00472DD2"/>
    <w:rsid w:val="00474AAE"/>
    <w:rsid w:val="00476F9E"/>
    <w:rsid w:val="00481C04"/>
    <w:rsid w:val="004856CA"/>
    <w:rsid w:val="00487E67"/>
    <w:rsid w:val="00491A99"/>
    <w:rsid w:val="004954F9"/>
    <w:rsid w:val="0049705E"/>
    <w:rsid w:val="004A34A0"/>
    <w:rsid w:val="004A407B"/>
    <w:rsid w:val="004A429B"/>
    <w:rsid w:val="004A55E3"/>
    <w:rsid w:val="004B1114"/>
    <w:rsid w:val="004B2F88"/>
    <w:rsid w:val="004C41CF"/>
    <w:rsid w:val="005008A8"/>
    <w:rsid w:val="0052240D"/>
    <w:rsid w:val="00526B7B"/>
    <w:rsid w:val="005308CE"/>
    <w:rsid w:val="0053318C"/>
    <w:rsid w:val="005401B7"/>
    <w:rsid w:val="0054346C"/>
    <w:rsid w:val="005449D9"/>
    <w:rsid w:val="0055240C"/>
    <w:rsid w:val="00554E8A"/>
    <w:rsid w:val="005639C8"/>
    <w:rsid w:val="00572A5B"/>
    <w:rsid w:val="0057439C"/>
    <w:rsid w:val="0058073E"/>
    <w:rsid w:val="00581338"/>
    <w:rsid w:val="005B0127"/>
    <w:rsid w:val="005B7A35"/>
    <w:rsid w:val="005C369A"/>
    <w:rsid w:val="005C4B73"/>
    <w:rsid w:val="005D6AC2"/>
    <w:rsid w:val="005E007F"/>
    <w:rsid w:val="005E1D2B"/>
    <w:rsid w:val="005E3C2D"/>
    <w:rsid w:val="005E7074"/>
    <w:rsid w:val="005F2BAF"/>
    <w:rsid w:val="005F7708"/>
    <w:rsid w:val="00600D93"/>
    <w:rsid w:val="00607D97"/>
    <w:rsid w:val="006165EC"/>
    <w:rsid w:val="00624150"/>
    <w:rsid w:val="0063300C"/>
    <w:rsid w:val="00643631"/>
    <w:rsid w:val="0064548B"/>
    <w:rsid w:val="00655736"/>
    <w:rsid w:val="00655956"/>
    <w:rsid w:val="00656A51"/>
    <w:rsid w:val="00663B8D"/>
    <w:rsid w:val="00676348"/>
    <w:rsid w:val="00684BD2"/>
    <w:rsid w:val="00696C8D"/>
    <w:rsid w:val="006A0111"/>
    <w:rsid w:val="006A0A2D"/>
    <w:rsid w:val="006A2AC2"/>
    <w:rsid w:val="006A2AC8"/>
    <w:rsid w:val="006A3617"/>
    <w:rsid w:val="006D3234"/>
    <w:rsid w:val="006D677A"/>
    <w:rsid w:val="006D6803"/>
    <w:rsid w:val="006E46E4"/>
    <w:rsid w:val="006E47BC"/>
    <w:rsid w:val="006E5707"/>
    <w:rsid w:val="006F39C6"/>
    <w:rsid w:val="006F441F"/>
    <w:rsid w:val="00710D7C"/>
    <w:rsid w:val="00717DA5"/>
    <w:rsid w:val="00723DC6"/>
    <w:rsid w:val="00734D49"/>
    <w:rsid w:val="00744484"/>
    <w:rsid w:val="00747566"/>
    <w:rsid w:val="00767E4F"/>
    <w:rsid w:val="00772E6E"/>
    <w:rsid w:val="00773188"/>
    <w:rsid w:val="00781E38"/>
    <w:rsid w:val="00783782"/>
    <w:rsid w:val="00784B8C"/>
    <w:rsid w:val="007879E1"/>
    <w:rsid w:val="007A1F3F"/>
    <w:rsid w:val="007B373D"/>
    <w:rsid w:val="007B74CB"/>
    <w:rsid w:val="007F7A54"/>
    <w:rsid w:val="00805065"/>
    <w:rsid w:val="00823A11"/>
    <w:rsid w:val="008511EF"/>
    <w:rsid w:val="0085405E"/>
    <w:rsid w:val="0085414A"/>
    <w:rsid w:val="0086269D"/>
    <w:rsid w:val="0086543A"/>
    <w:rsid w:val="008724E5"/>
    <w:rsid w:val="00880DF9"/>
    <w:rsid w:val="008840D6"/>
    <w:rsid w:val="00884A9D"/>
    <w:rsid w:val="0088512B"/>
    <w:rsid w:val="008855CC"/>
    <w:rsid w:val="008A187D"/>
    <w:rsid w:val="008A2943"/>
    <w:rsid w:val="008A2B2D"/>
    <w:rsid w:val="008A4E1E"/>
    <w:rsid w:val="008A5D53"/>
    <w:rsid w:val="008C1F2D"/>
    <w:rsid w:val="008C296C"/>
    <w:rsid w:val="008D3CF7"/>
    <w:rsid w:val="008D4305"/>
    <w:rsid w:val="008E1A85"/>
    <w:rsid w:val="008E2B10"/>
    <w:rsid w:val="008F13F2"/>
    <w:rsid w:val="00904CC8"/>
    <w:rsid w:val="00905A5D"/>
    <w:rsid w:val="00906C1F"/>
    <w:rsid w:val="009163A7"/>
    <w:rsid w:val="00930BC8"/>
    <w:rsid w:val="00935561"/>
    <w:rsid w:val="0093654B"/>
    <w:rsid w:val="00937540"/>
    <w:rsid w:val="009401CE"/>
    <w:rsid w:val="00940DAA"/>
    <w:rsid w:val="00946D0B"/>
    <w:rsid w:val="00953F53"/>
    <w:rsid w:val="00955877"/>
    <w:rsid w:val="009A18CD"/>
    <w:rsid w:val="009C6B94"/>
    <w:rsid w:val="009D28CD"/>
    <w:rsid w:val="009D5428"/>
    <w:rsid w:val="009E3A32"/>
    <w:rsid w:val="009E6887"/>
    <w:rsid w:val="00A12558"/>
    <w:rsid w:val="00A13903"/>
    <w:rsid w:val="00A15D19"/>
    <w:rsid w:val="00A27AF9"/>
    <w:rsid w:val="00A3317A"/>
    <w:rsid w:val="00A34ED5"/>
    <w:rsid w:val="00A45DBF"/>
    <w:rsid w:val="00A5134D"/>
    <w:rsid w:val="00A51F87"/>
    <w:rsid w:val="00A5217F"/>
    <w:rsid w:val="00A673AB"/>
    <w:rsid w:val="00A7347D"/>
    <w:rsid w:val="00A755A2"/>
    <w:rsid w:val="00A810CA"/>
    <w:rsid w:val="00A85F14"/>
    <w:rsid w:val="00A86E1B"/>
    <w:rsid w:val="00A91F62"/>
    <w:rsid w:val="00A97590"/>
    <w:rsid w:val="00A97E92"/>
    <w:rsid w:val="00AA5C32"/>
    <w:rsid w:val="00AA6660"/>
    <w:rsid w:val="00AB2C36"/>
    <w:rsid w:val="00AB60CC"/>
    <w:rsid w:val="00AB6DDE"/>
    <w:rsid w:val="00AB70B6"/>
    <w:rsid w:val="00AB77A4"/>
    <w:rsid w:val="00AC3856"/>
    <w:rsid w:val="00AC5E85"/>
    <w:rsid w:val="00AD1A86"/>
    <w:rsid w:val="00AE103E"/>
    <w:rsid w:val="00AE3DE4"/>
    <w:rsid w:val="00AE50CB"/>
    <w:rsid w:val="00AF0A07"/>
    <w:rsid w:val="00AF4AEC"/>
    <w:rsid w:val="00AF625E"/>
    <w:rsid w:val="00B020CF"/>
    <w:rsid w:val="00B04A4B"/>
    <w:rsid w:val="00B23651"/>
    <w:rsid w:val="00B40907"/>
    <w:rsid w:val="00B52B22"/>
    <w:rsid w:val="00B6091D"/>
    <w:rsid w:val="00B61AFF"/>
    <w:rsid w:val="00B62A66"/>
    <w:rsid w:val="00B6405F"/>
    <w:rsid w:val="00BA2152"/>
    <w:rsid w:val="00BB04AF"/>
    <w:rsid w:val="00BB0575"/>
    <w:rsid w:val="00BB46D2"/>
    <w:rsid w:val="00BC131F"/>
    <w:rsid w:val="00BC7036"/>
    <w:rsid w:val="00BD52C9"/>
    <w:rsid w:val="00BE0210"/>
    <w:rsid w:val="00BE3827"/>
    <w:rsid w:val="00BE608C"/>
    <w:rsid w:val="00BE6354"/>
    <w:rsid w:val="00BF75C1"/>
    <w:rsid w:val="00BF7797"/>
    <w:rsid w:val="00C05FD0"/>
    <w:rsid w:val="00C138D1"/>
    <w:rsid w:val="00C218EB"/>
    <w:rsid w:val="00C22BED"/>
    <w:rsid w:val="00C23A97"/>
    <w:rsid w:val="00C244FB"/>
    <w:rsid w:val="00C37CFC"/>
    <w:rsid w:val="00C50DBD"/>
    <w:rsid w:val="00C64855"/>
    <w:rsid w:val="00C70EA7"/>
    <w:rsid w:val="00C7433F"/>
    <w:rsid w:val="00C7516E"/>
    <w:rsid w:val="00C75770"/>
    <w:rsid w:val="00C927E7"/>
    <w:rsid w:val="00C93B47"/>
    <w:rsid w:val="00C97D62"/>
    <w:rsid w:val="00CA0658"/>
    <w:rsid w:val="00CA56BB"/>
    <w:rsid w:val="00CB0542"/>
    <w:rsid w:val="00CC0871"/>
    <w:rsid w:val="00CC1DF4"/>
    <w:rsid w:val="00CD0283"/>
    <w:rsid w:val="00CD628F"/>
    <w:rsid w:val="00CE3635"/>
    <w:rsid w:val="00CE51CF"/>
    <w:rsid w:val="00CF0214"/>
    <w:rsid w:val="00CF1ECE"/>
    <w:rsid w:val="00CF50DB"/>
    <w:rsid w:val="00D00B2B"/>
    <w:rsid w:val="00D02299"/>
    <w:rsid w:val="00D023D0"/>
    <w:rsid w:val="00D24877"/>
    <w:rsid w:val="00D256B2"/>
    <w:rsid w:val="00D26D6A"/>
    <w:rsid w:val="00D32AED"/>
    <w:rsid w:val="00D331E3"/>
    <w:rsid w:val="00D513A4"/>
    <w:rsid w:val="00D570D0"/>
    <w:rsid w:val="00D8048C"/>
    <w:rsid w:val="00D8250F"/>
    <w:rsid w:val="00D95C4C"/>
    <w:rsid w:val="00DA0F7F"/>
    <w:rsid w:val="00DA36ED"/>
    <w:rsid w:val="00DD3502"/>
    <w:rsid w:val="00DD750C"/>
    <w:rsid w:val="00DE34F1"/>
    <w:rsid w:val="00DE6160"/>
    <w:rsid w:val="00DF4942"/>
    <w:rsid w:val="00E030FF"/>
    <w:rsid w:val="00E031D3"/>
    <w:rsid w:val="00E07305"/>
    <w:rsid w:val="00E14F1F"/>
    <w:rsid w:val="00E2134F"/>
    <w:rsid w:val="00E22E8E"/>
    <w:rsid w:val="00E23E29"/>
    <w:rsid w:val="00E244E1"/>
    <w:rsid w:val="00E30140"/>
    <w:rsid w:val="00E362DD"/>
    <w:rsid w:val="00E37A2F"/>
    <w:rsid w:val="00E52A75"/>
    <w:rsid w:val="00E55744"/>
    <w:rsid w:val="00E627B1"/>
    <w:rsid w:val="00E62C1B"/>
    <w:rsid w:val="00E70169"/>
    <w:rsid w:val="00E9376C"/>
    <w:rsid w:val="00EA335E"/>
    <w:rsid w:val="00EA528C"/>
    <w:rsid w:val="00EA580C"/>
    <w:rsid w:val="00EB7823"/>
    <w:rsid w:val="00EC2F15"/>
    <w:rsid w:val="00EC6F8D"/>
    <w:rsid w:val="00ED21ED"/>
    <w:rsid w:val="00ED507E"/>
    <w:rsid w:val="00EE49F4"/>
    <w:rsid w:val="00EF34E2"/>
    <w:rsid w:val="00EF4960"/>
    <w:rsid w:val="00F11434"/>
    <w:rsid w:val="00F122ED"/>
    <w:rsid w:val="00F12738"/>
    <w:rsid w:val="00F30DC6"/>
    <w:rsid w:val="00F32C23"/>
    <w:rsid w:val="00F37497"/>
    <w:rsid w:val="00F53DE9"/>
    <w:rsid w:val="00F576CB"/>
    <w:rsid w:val="00F7035D"/>
    <w:rsid w:val="00F71A02"/>
    <w:rsid w:val="00F84573"/>
    <w:rsid w:val="00F873AA"/>
    <w:rsid w:val="00FA0D63"/>
    <w:rsid w:val="00FA39CF"/>
    <w:rsid w:val="00FA6F96"/>
    <w:rsid w:val="00FC53E5"/>
    <w:rsid w:val="00FD0065"/>
    <w:rsid w:val="00FD1226"/>
    <w:rsid w:val="00FD53BC"/>
    <w:rsid w:val="00FF189B"/>
    <w:rsid w:val="00FF2264"/>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A2837AD"/>
  <w15:docId w15:val="{C869AA31-0D4A-485C-9B6F-B5F3692E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character" w:styleId="Hyperlink">
    <w:name w:val="Hyperlink"/>
    <w:basedOn w:val="DefaultParagraphFont"/>
    <w:uiPriority w:val="99"/>
    <w:unhideWhenUsed/>
    <w:rsid w:val="00E22E8E"/>
    <w:rPr>
      <w:color w:val="0000FF" w:themeColor="hyperlink"/>
      <w:u w:val="single"/>
    </w:rPr>
  </w:style>
  <w:style w:type="character" w:styleId="FollowedHyperlink">
    <w:name w:val="FollowedHyperlink"/>
    <w:basedOn w:val="DefaultParagraphFont"/>
    <w:uiPriority w:val="99"/>
    <w:semiHidden/>
    <w:unhideWhenUsed/>
    <w:rsid w:val="00125508"/>
    <w:rPr>
      <w:color w:val="800080" w:themeColor="followedHyperlink"/>
      <w:u w:val="single"/>
    </w:rPr>
  </w:style>
  <w:style w:type="character" w:styleId="CommentReference">
    <w:name w:val="annotation reference"/>
    <w:basedOn w:val="DefaultParagraphFont"/>
    <w:uiPriority w:val="99"/>
    <w:semiHidden/>
    <w:unhideWhenUsed/>
    <w:rsid w:val="005639C8"/>
    <w:rPr>
      <w:sz w:val="16"/>
      <w:szCs w:val="16"/>
    </w:rPr>
  </w:style>
  <w:style w:type="paragraph" w:styleId="CommentText">
    <w:name w:val="annotation text"/>
    <w:basedOn w:val="Normal"/>
    <w:link w:val="CommentTextChar"/>
    <w:uiPriority w:val="99"/>
    <w:semiHidden/>
    <w:unhideWhenUsed/>
    <w:rsid w:val="005639C8"/>
    <w:rPr>
      <w:sz w:val="20"/>
      <w:szCs w:val="20"/>
    </w:rPr>
  </w:style>
  <w:style w:type="character" w:customStyle="1" w:styleId="CommentTextChar">
    <w:name w:val="Comment Text Char"/>
    <w:basedOn w:val="DefaultParagraphFont"/>
    <w:link w:val="CommentText"/>
    <w:uiPriority w:val="99"/>
    <w:semiHidden/>
    <w:rsid w:val="005639C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639C8"/>
    <w:rPr>
      <w:b/>
      <w:bCs/>
    </w:rPr>
  </w:style>
  <w:style w:type="character" w:customStyle="1" w:styleId="CommentSubjectChar">
    <w:name w:val="Comment Subject Char"/>
    <w:basedOn w:val="CommentTextChar"/>
    <w:link w:val="CommentSubject"/>
    <w:uiPriority w:val="99"/>
    <w:semiHidden/>
    <w:rsid w:val="005639C8"/>
    <w:rPr>
      <w:rFonts w:ascii="Times New Roman" w:eastAsia="Times New Roman" w:hAnsi="Times New Roman"/>
      <w:b/>
      <w:bCs/>
    </w:rPr>
  </w:style>
  <w:style w:type="paragraph" w:styleId="Revision">
    <w:name w:val="Revision"/>
    <w:hidden/>
    <w:uiPriority w:val="99"/>
    <w:semiHidden/>
    <w:rsid w:val="00AB77A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45514">
      <w:bodyDiv w:val="1"/>
      <w:marLeft w:val="0"/>
      <w:marRight w:val="0"/>
      <w:marTop w:val="0"/>
      <w:marBottom w:val="0"/>
      <w:divBdr>
        <w:top w:val="none" w:sz="0" w:space="0" w:color="auto"/>
        <w:left w:val="none" w:sz="0" w:space="0" w:color="auto"/>
        <w:bottom w:val="none" w:sz="0" w:space="0" w:color="auto"/>
        <w:right w:val="none" w:sz="0" w:space="0" w:color="auto"/>
      </w:divBdr>
      <w:divsChild>
        <w:div w:id="750852467">
          <w:marLeft w:val="0"/>
          <w:marRight w:val="0"/>
          <w:marTop w:val="0"/>
          <w:marBottom w:val="0"/>
          <w:divBdr>
            <w:top w:val="none" w:sz="0" w:space="0" w:color="auto"/>
            <w:left w:val="none" w:sz="0" w:space="0" w:color="auto"/>
            <w:bottom w:val="none" w:sz="0" w:space="0" w:color="auto"/>
            <w:right w:val="none" w:sz="0" w:space="0" w:color="auto"/>
          </w:divBdr>
        </w:div>
        <w:div w:id="1838304744">
          <w:marLeft w:val="0"/>
          <w:marRight w:val="0"/>
          <w:marTop w:val="0"/>
          <w:marBottom w:val="0"/>
          <w:divBdr>
            <w:top w:val="none" w:sz="0" w:space="0" w:color="auto"/>
            <w:left w:val="none" w:sz="0" w:space="0" w:color="auto"/>
            <w:bottom w:val="none" w:sz="0" w:space="0" w:color="auto"/>
            <w:right w:val="none" w:sz="0" w:space="0" w:color="auto"/>
          </w:divBdr>
        </w:div>
        <w:div w:id="1248807673">
          <w:marLeft w:val="0"/>
          <w:marRight w:val="0"/>
          <w:marTop w:val="0"/>
          <w:marBottom w:val="0"/>
          <w:divBdr>
            <w:top w:val="none" w:sz="0" w:space="0" w:color="auto"/>
            <w:left w:val="none" w:sz="0" w:space="0" w:color="auto"/>
            <w:bottom w:val="none" w:sz="0" w:space="0" w:color="auto"/>
            <w:right w:val="none" w:sz="0" w:space="0" w:color="auto"/>
          </w:divBdr>
        </w:div>
        <w:div w:id="1134788557">
          <w:marLeft w:val="0"/>
          <w:marRight w:val="0"/>
          <w:marTop w:val="0"/>
          <w:marBottom w:val="0"/>
          <w:divBdr>
            <w:top w:val="none" w:sz="0" w:space="0" w:color="auto"/>
            <w:left w:val="none" w:sz="0" w:space="0" w:color="auto"/>
            <w:bottom w:val="none" w:sz="0" w:space="0" w:color="auto"/>
            <w:right w:val="none" w:sz="0" w:space="0" w:color="auto"/>
          </w:divBdr>
        </w:div>
      </w:divsChild>
    </w:div>
    <w:div w:id="164438024">
      <w:bodyDiv w:val="1"/>
      <w:marLeft w:val="0"/>
      <w:marRight w:val="0"/>
      <w:marTop w:val="0"/>
      <w:marBottom w:val="0"/>
      <w:divBdr>
        <w:top w:val="none" w:sz="0" w:space="0" w:color="auto"/>
        <w:left w:val="none" w:sz="0" w:space="0" w:color="auto"/>
        <w:bottom w:val="none" w:sz="0" w:space="0" w:color="auto"/>
        <w:right w:val="none" w:sz="0" w:space="0" w:color="auto"/>
      </w:divBdr>
      <w:divsChild>
        <w:div w:id="1341543089">
          <w:marLeft w:val="0"/>
          <w:marRight w:val="0"/>
          <w:marTop w:val="0"/>
          <w:marBottom w:val="0"/>
          <w:divBdr>
            <w:top w:val="none" w:sz="0" w:space="0" w:color="auto"/>
            <w:left w:val="none" w:sz="0" w:space="0" w:color="auto"/>
            <w:bottom w:val="none" w:sz="0" w:space="0" w:color="auto"/>
            <w:right w:val="none" w:sz="0" w:space="0" w:color="auto"/>
          </w:divBdr>
        </w:div>
        <w:div w:id="56443757">
          <w:marLeft w:val="0"/>
          <w:marRight w:val="0"/>
          <w:marTop w:val="0"/>
          <w:marBottom w:val="0"/>
          <w:divBdr>
            <w:top w:val="none" w:sz="0" w:space="0" w:color="auto"/>
            <w:left w:val="none" w:sz="0" w:space="0" w:color="auto"/>
            <w:bottom w:val="none" w:sz="0" w:space="0" w:color="auto"/>
            <w:right w:val="none" w:sz="0" w:space="0" w:color="auto"/>
          </w:divBdr>
        </w:div>
        <w:div w:id="901792207">
          <w:marLeft w:val="0"/>
          <w:marRight w:val="0"/>
          <w:marTop w:val="0"/>
          <w:marBottom w:val="0"/>
          <w:divBdr>
            <w:top w:val="none" w:sz="0" w:space="0" w:color="auto"/>
            <w:left w:val="none" w:sz="0" w:space="0" w:color="auto"/>
            <w:bottom w:val="none" w:sz="0" w:space="0" w:color="auto"/>
            <w:right w:val="none" w:sz="0" w:space="0" w:color="auto"/>
          </w:divBdr>
        </w:div>
        <w:div w:id="743375768">
          <w:marLeft w:val="0"/>
          <w:marRight w:val="0"/>
          <w:marTop w:val="0"/>
          <w:marBottom w:val="0"/>
          <w:divBdr>
            <w:top w:val="none" w:sz="0" w:space="0" w:color="auto"/>
            <w:left w:val="none" w:sz="0" w:space="0" w:color="auto"/>
            <w:bottom w:val="none" w:sz="0" w:space="0" w:color="auto"/>
            <w:right w:val="none" w:sz="0" w:space="0" w:color="auto"/>
          </w:divBdr>
        </w:div>
        <w:div w:id="1968050301">
          <w:marLeft w:val="0"/>
          <w:marRight w:val="0"/>
          <w:marTop w:val="0"/>
          <w:marBottom w:val="0"/>
          <w:divBdr>
            <w:top w:val="none" w:sz="0" w:space="0" w:color="auto"/>
            <w:left w:val="none" w:sz="0" w:space="0" w:color="auto"/>
            <w:bottom w:val="none" w:sz="0" w:space="0" w:color="auto"/>
            <w:right w:val="none" w:sz="0" w:space="0" w:color="auto"/>
          </w:divBdr>
        </w:div>
        <w:div w:id="522474499">
          <w:marLeft w:val="0"/>
          <w:marRight w:val="0"/>
          <w:marTop w:val="0"/>
          <w:marBottom w:val="0"/>
          <w:divBdr>
            <w:top w:val="none" w:sz="0" w:space="0" w:color="auto"/>
            <w:left w:val="none" w:sz="0" w:space="0" w:color="auto"/>
            <w:bottom w:val="none" w:sz="0" w:space="0" w:color="auto"/>
            <w:right w:val="none" w:sz="0" w:space="0" w:color="auto"/>
          </w:divBdr>
        </w:div>
        <w:div w:id="541481240">
          <w:marLeft w:val="0"/>
          <w:marRight w:val="0"/>
          <w:marTop w:val="0"/>
          <w:marBottom w:val="0"/>
          <w:divBdr>
            <w:top w:val="none" w:sz="0" w:space="0" w:color="auto"/>
            <w:left w:val="none" w:sz="0" w:space="0" w:color="auto"/>
            <w:bottom w:val="none" w:sz="0" w:space="0" w:color="auto"/>
            <w:right w:val="none" w:sz="0" w:space="0" w:color="auto"/>
          </w:divBdr>
        </w:div>
        <w:div w:id="304504759">
          <w:marLeft w:val="0"/>
          <w:marRight w:val="0"/>
          <w:marTop w:val="0"/>
          <w:marBottom w:val="0"/>
          <w:divBdr>
            <w:top w:val="none" w:sz="0" w:space="0" w:color="auto"/>
            <w:left w:val="none" w:sz="0" w:space="0" w:color="auto"/>
            <w:bottom w:val="none" w:sz="0" w:space="0" w:color="auto"/>
            <w:right w:val="none" w:sz="0" w:space="0" w:color="auto"/>
          </w:divBdr>
        </w:div>
        <w:div w:id="562452656">
          <w:marLeft w:val="0"/>
          <w:marRight w:val="0"/>
          <w:marTop w:val="0"/>
          <w:marBottom w:val="0"/>
          <w:divBdr>
            <w:top w:val="none" w:sz="0" w:space="0" w:color="auto"/>
            <w:left w:val="none" w:sz="0" w:space="0" w:color="auto"/>
            <w:bottom w:val="none" w:sz="0" w:space="0" w:color="auto"/>
            <w:right w:val="none" w:sz="0" w:space="0" w:color="auto"/>
          </w:divBdr>
        </w:div>
        <w:div w:id="217208221">
          <w:marLeft w:val="0"/>
          <w:marRight w:val="0"/>
          <w:marTop w:val="0"/>
          <w:marBottom w:val="0"/>
          <w:divBdr>
            <w:top w:val="none" w:sz="0" w:space="0" w:color="auto"/>
            <w:left w:val="none" w:sz="0" w:space="0" w:color="auto"/>
            <w:bottom w:val="none" w:sz="0" w:space="0" w:color="auto"/>
            <w:right w:val="none" w:sz="0" w:space="0" w:color="auto"/>
          </w:divBdr>
        </w:div>
      </w:divsChild>
    </w:div>
    <w:div w:id="241528894">
      <w:bodyDiv w:val="1"/>
      <w:marLeft w:val="0"/>
      <w:marRight w:val="0"/>
      <w:marTop w:val="0"/>
      <w:marBottom w:val="0"/>
      <w:divBdr>
        <w:top w:val="none" w:sz="0" w:space="0" w:color="auto"/>
        <w:left w:val="none" w:sz="0" w:space="0" w:color="auto"/>
        <w:bottom w:val="none" w:sz="0" w:space="0" w:color="auto"/>
        <w:right w:val="none" w:sz="0" w:space="0" w:color="auto"/>
      </w:divBdr>
      <w:divsChild>
        <w:div w:id="1659113864">
          <w:marLeft w:val="0"/>
          <w:marRight w:val="0"/>
          <w:marTop w:val="0"/>
          <w:marBottom w:val="0"/>
          <w:divBdr>
            <w:top w:val="none" w:sz="0" w:space="0" w:color="auto"/>
            <w:left w:val="none" w:sz="0" w:space="0" w:color="auto"/>
            <w:bottom w:val="none" w:sz="0" w:space="0" w:color="auto"/>
            <w:right w:val="none" w:sz="0" w:space="0" w:color="auto"/>
          </w:divBdr>
        </w:div>
        <w:div w:id="683940583">
          <w:marLeft w:val="0"/>
          <w:marRight w:val="0"/>
          <w:marTop w:val="0"/>
          <w:marBottom w:val="0"/>
          <w:divBdr>
            <w:top w:val="none" w:sz="0" w:space="0" w:color="auto"/>
            <w:left w:val="none" w:sz="0" w:space="0" w:color="auto"/>
            <w:bottom w:val="none" w:sz="0" w:space="0" w:color="auto"/>
            <w:right w:val="none" w:sz="0" w:space="0" w:color="auto"/>
          </w:divBdr>
        </w:div>
      </w:divsChild>
    </w:div>
    <w:div w:id="288052313">
      <w:bodyDiv w:val="1"/>
      <w:marLeft w:val="0"/>
      <w:marRight w:val="0"/>
      <w:marTop w:val="0"/>
      <w:marBottom w:val="0"/>
      <w:divBdr>
        <w:top w:val="none" w:sz="0" w:space="0" w:color="auto"/>
        <w:left w:val="none" w:sz="0" w:space="0" w:color="auto"/>
        <w:bottom w:val="none" w:sz="0" w:space="0" w:color="auto"/>
        <w:right w:val="none" w:sz="0" w:space="0" w:color="auto"/>
      </w:divBdr>
      <w:divsChild>
        <w:div w:id="1077439962">
          <w:marLeft w:val="0"/>
          <w:marRight w:val="0"/>
          <w:marTop w:val="0"/>
          <w:marBottom w:val="0"/>
          <w:divBdr>
            <w:top w:val="none" w:sz="0" w:space="0" w:color="auto"/>
            <w:left w:val="none" w:sz="0" w:space="0" w:color="auto"/>
            <w:bottom w:val="none" w:sz="0" w:space="0" w:color="auto"/>
            <w:right w:val="none" w:sz="0" w:space="0" w:color="auto"/>
          </w:divBdr>
        </w:div>
        <w:div w:id="1854607906">
          <w:marLeft w:val="0"/>
          <w:marRight w:val="0"/>
          <w:marTop w:val="0"/>
          <w:marBottom w:val="0"/>
          <w:divBdr>
            <w:top w:val="none" w:sz="0" w:space="0" w:color="auto"/>
            <w:left w:val="none" w:sz="0" w:space="0" w:color="auto"/>
            <w:bottom w:val="none" w:sz="0" w:space="0" w:color="auto"/>
            <w:right w:val="none" w:sz="0" w:space="0" w:color="auto"/>
          </w:divBdr>
        </w:div>
        <w:div w:id="859508474">
          <w:marLeft w:val="0"/>
          <w:marRight w:val="0"/>
          <w:marTop w:val="0"/>
          <w:marBottom w:val="0"/>
          <w:divBdr>
            <w:top w:val="none" w:sz="0" w:space="0" w:color="auto"/>
            <w:left w:val="none" w:sz="0" w:space="0" w:color="auto"/>
            <w:bottom w:val="none" w:sz="0" w:space="0" w:color="auto"/>
            <w:right w:val="none" w:sz="0" w:space="0" w:color="auto"/>
          </w:divBdr>
        </w:div>
        <w:div w:id="435758195">
          <w:marLeft w:val="0"/>
          <w:marRight w:val="0"/>
          <w:marTop w:val="0"/>
          <w:marBottom w:val="0"/>
          <w:divBdr>
            <w:top w:val="none" w:sz="0" w:space="0" w:color="auto"/>
            <w:left w:val="none" w:sz="0" w:space="0" w:color="auto"/>
            <w:bottom w:val="none" w:sz="0" w:space="0" w:color="auto"/>
            <w:right w:val="none" w:sz="0" w:space="0" w:color="auto"/>
          </w:divBdr>
        </w:div>
        <w:div w:id="1365709874">
          <w:marLeft w:val="0"/>
          <w:marRight w:val="0"/>
          <w:marTop w:val="0"/>
          <w:marBottom w:val="0"/>
          <w:divBdr>
            <w:top w:val="none" w:sz="0" w:space="0" w:color="auto"/>
            <w:left w:val="none" w:sz="0" w:space="0" w:color="auto"/>
            <w:bottom w:val="none" w:sz="0" w:space="0" w:color="auto"/>
            <w:right w:val="none" w:sz="0" w:space="0" w:color="auto"/>
          </w:divBdr>
        </w:div>
        <w:div w:id="1450515934">
          <w:marLeft w:val="0"/>
          <w:marRight w:val="0"/>
          <w:marTop w:val="0"/>
          <w:marBottom w:val="0"/>
          <w:divBdr>
            <w:top w:val="none" w:sz="0" w:space="0" w:color="auto"/>
            <w:left w:val="none" w:sz="0" w:space="0" w:color="auto"/>
            <w:bottom w:val="none" w:sz="0" w:space="0" w:color="auto"/>
            <w:right w:val="none" w:sz="0" w:space="0" w:color="auto"/>
          </w:divBdr>
        </w:div>
        <w:div w:id="1512796041">
          <w:marLeft w:val="0"/>
          <w:marRight w:val="0"/>
          <w:marTop w:val="0"/>
          <w:marBottom w:val="0"/>
          <w:divBdr>
            <w:top w:val="none" w:sz="0" w:space="0" w:color="auto"/>
            <w:left w:val="none" w:sz="0" w:space="0" w:color="auto"/>
            <w:bottom w:val="none" w:sz="0" w:space="0" w:color="auto"/>
            <w:right w:val="none" w:sz="0" w:space="0" w:color="auto"/>
          </w:divBdr>
        </w:div>
        <w:div w:id="226301707">
          <w:marLeft w:val="0"/>
          <w:marRight w:val="0"/>
          <w:marTop w:val="0"/>
          <w:marBottom w:val="0"/>
          <w:divBdr>
            <w:top w:val="none" w:sz="0" w:space="0" w:color="auto"/>
            <w:left w:val="none" w:sz="0" w:space="0" w:color="auto"/>
            <w:bottom w:val="none" w:sz="0" w:space="0" w:color="auto"/>
            <w:right w:val="none" w:sz="0" w:space="0" w:color="auto"/>
          </w:divBdr>
        </w:div>
      </w:divsChild>
    </w:div>
    <w:div w:id="576869157">
      <w:bodyDiv w:val="1"/>
      <w:marLeft w:val="0"/>
      <w:marRight w:val="0"/>
      <w:marTop w:val="0"/>
      <w:marBottom w:val="0"/>
      <w:divBdr>
        <w:top w:val="none" w:sz="0" w:space="0" w:color="auto"/>
        <w:left w:val="none" w:sz="0" w:space="0" w:color="auto"/>
        <w:bottom w:val="none" w:sz="0" w:space="0" w:color="auto"/>
        <w:right w:val="none" w:sz="0" w:space="0" w:color="auto"/>
      </w:divBdr>
      <w:divsChild>
        <w:div w:id="182214194">
          <w:marLeft w:val="0"/>
          <w:marRight w:val="0"/>
          <w:marTop w:val="0"/>
          <w:marBottom w:val="0"/>
          <w:divBdr>
            <w:top w:val="none" w:sz="0" w:space="0" w:color="auto"/>
            <w:left w:val="none" w:sz="0" w:space="0" w:color="auto"/>
            <w:bottom w:val="none" w:sz="0" w:space="0" w:color="auto"/>
            <w:right w:val="none" w:sz="0" w:space="0" w:color="auto"/>
          </w:divBdr>
        </w:div>
        <w:div w:id="1402096168">
          <w:marLeft w:val="0"/>
          <w:marRight w:val="0"/>
          <w:marTop w:val="0"/>
          <w:marBottom w:val="0"/>
          <w:divBdr>
            <w:top w:val="none" w:sz="0" w:space="0" w:color="auto"/>
            <w:left w:val="none" w:sz="0" w:space="0" w:color="auto"/>
            <w:bottom w:val="none" w:sz="0" w:space="0" w:color="auto"/>
            <w:right w:val="none" w:sz="0" w:space="0" w:color="auto"/>
          </w:divBdr>
        </w:div>
        <w:div w:id="2117479200">
          <w:marLeft w:val="0"/>
          <w:marRight w:val="0"/>
          <w:marTop w:val="0"/>
          <w:marBottom w:val="0"/>
          <w:divBdr>
            <w:top w:val="none" w:sz="0" w:space="0" w:color="auto"/>
            <w:left w:val="none" w:sz="0" w:space="0" w:color="auto"/>
            <w:bottom w:val="none" w:sz="0" w:space="0" w:color="auto"/>
            <w:right w:val="none" w:sz="0" w:space="0" w:color="auto"/>
          </w:divBdr>
        </w:div>
        <w:div w:id="13460199">
          <w:marLeft w:val="0"/>
          <w:marRight w:val="0"/>
          <w:marTop w:val="0"/>
          <w:marBottom w:val="0"/>
          <w:divBdr>
            <w:top w:val="none" w:sz="0" w:space="0" w:color="auto"/>
            <w:left w:val="none" w:sz="0" w:space="0" w:color="auto"/>
            <w:bottom w:val="none" w:sz="0" w:space="0" w:color="auto"/>
            <w:right w:val="none" w:sz="0" w:space="0" w:color="auto"/>
          </w:divBdr>
        </w:div>
        <w:div w:id="1850830475">
          <w:marLeft w:val="0"/>
          <w:marRight w:val="0"/>
          <w:marTop w:val="0"/>
          <w:marBottom w:val="0"/>
          <w:divBdr>
            <w:top w:val="none" w:sz="0" w:space="0" w:color="auto"/>
            <w:left w:val="none" w:sz="0" w:space="0" w:color="auto"/>
            <w:bottom w:val="none" w:sz="0" w:space="0" w:color="auto"/>
            <w:right w:val="none" w:sz="0" w:space="0" w:color="auto"/>
          </w:divBdr>
        </w:div>
        <w:div w:id="104465065">
          <w:marLeft w:val="0"/>
          <w:marRight w:val="0"/>
          <w:marTop w:val="0"/>
          <w:marBottom w:val="0"/>
          <w:divBdr>
            <w:top w:val="none" w:sz="0" w:space="0" w:color="auto"/>
            <w:left w:val="none" w:sz="0" w:space="0" w:color="auto"/>
            <w:bottom w:val="none" w:sz="0" w:space="0" w:color="auto"/>
            <w:right w:val="none" w:sz="0" w:space="0" w:color="auto"/>
          </w:divBdr>
        </w:div>
        <w:div w:id="68618740">
          <w:marLeft w:val="0"/>
          <w:marRight w:val="0"/>
          <w:marTop w:val="0"/>
          <w:marBottom w:val="0"/>
          <w:divBdr>
            <w:top w:val="none" w:sz="0" w:space="0" w:color="auto"/>
            <w:left w:val="none" w:sz="0" w:space="0" w:color="auto"/>
            <w:bottom w:val="none" w:sz="0" w:space="0" w:color="auto"/>
            <w:right w:val="none" w:sz="0" w:space="0" w:color="auto"/>
          </w:divBdr>
        </w:div>
        <w:div w:id="1692223269">
          <w:marLeft w:val="0"/>
          <w:marRight w:val="0"/>
          <w:marTop w:val="0"/>
          <w:marBottom w:val="0"/>
          <w:divBdr>
            <w:top w:val="none" w:sz="0" w:space="0" w:color="auto"/>
            <w:left w:val="none" w:sz="0" w:space="0" w:color="auto"/>
            <w:bottom w:val="none" w:sz="0" w:space="0" w:color="auto"/>
            <w:right w:val="none" w:sz="0" w:space="0" w:color="auto"/>
          </w:divBdr>
        </w:div>
        <w:div w:id="1882404682">
          <w:marLeft w:val="0"/>
          <w:marRight w:val="0"/>
          <w:marTop w:val="0"/>
          <w:marBottom w:val="0"/>
          <w:divBdr>
            <w:top w:val="none" w:sz="0" w:space="0" w:color="auto"/>
            <w:left w:val="none" w:sz="0" w:space="0" w:color="auto"/>
            <w:bottom w:val="none" w:sz="0" w:space="0" w:color="auto"/>
            <w:right w:val="none" w:sz="0" w:space="0" w:color="auto"/>
          </w:divBdr>
        </w:div>
        <w:div w:id="474565706">
          <w:marLeft w:val="0"/>
          <w:marRight w:val="0"/>
          <w:marTop w:val="0"/>
          <w:marBottom w:val="0"/>
          <w:divBdr>
            <w:top w:val="none" w:sz="0" w:space="0" w:color="auto"/>
            <w:left w:val="none" w:sz="0" w:space="0" w:color="auto"/>
            <w:bottom w:val="none" w:sz="0" w:space="0" w:color="auto"/>
            <w:right w:val="none" w:sz="0" w:space="0" w:color="auto"/>
          </w:divBdr>
        </w:div>
        <w:div w:id="1547333228">
          <w:marLeft w:val="0"/>
          <w:marRight w:val="0"/>
          <w:marTop w:val="0"/>
          <w:marBottom w:val="0"/>
          <w:divBdr>
            <w:top w:val="none" w:sz="0" w:space="0" w:color="auto"/>
            <w:left w:val="none" w:sz="0" w:space="0" w:color="auto"/>
            <w:bottom w:val="none" w:sz="0" w:space="0" w:color="auto"/>
            <w:right w:val="none" w:sz="0" w:space="0" w:color="auto"/>
          </w:divBdr>
        </w:div>
        <w:div w:id="1080374346">
          <w:marLeft w:val="0"/>
          <w:marRight w:val="0"/>
          <w:marTop w:val="0"/>
          <w:marBottom w:val="0"/>
          <w:divBdr>
            <w:top w:val="none" w:sz="0" w:space="0" w:color="auto"/>
            <w:left w:val="none" w:sz="0" w:space="0" w:color="auto"/>
            <w:bottom w:val="none" w:sz="0" w:space="0" w:color="auto"/>
            <w:right w:val="none" w:sz="0" w:space="0" w:color="auto"/>
          </w:divBdr>
        </w:div>
        <w:div w:id="259337674">
          <w:marLeft w:val="0"/>
          <w:marRight w:val="0"/>
          <w:marTop w:val="0"/>
          <w:marBottom w:val="0"/>
          <w:divBdr>
            <w:top w:val="none" w:sz="0" w:space="0" w:color="auto"/>
            <w:left w:val="none" w:sz="0" w:space="0" w:color="auto"/>
            <w:bottom w:val="none" w:sz="0" w:space="0" w:color="auto"/>
            <w:right w:val="none" w:sz="0" w:space="0" w:color="auto"/>
          </w:divBdr>
        </w:div>
        <w:div w:id="572814495">
          <w:marLeft w:val="0"/>
          <w:marRight w:val="0"/>
          <w:marTop w:val="0"/>
          <w:marBottom w:val="0"/>
          <w:divBdr>
            <w:top w:val="none" w:sz="0" w:space="0" w:color="auto"/>
            <w:left w:val="none" w:sz="0" w:space="0" w:color="auto"/>
            <w:bottom w:val="none" w:sz="0" w:space="0" w:color="auto"/>
            <w:right w:val="none" w:sz="0" w:space="0" w:color="auto"/>
          </w:divBdr>
        </w:div>
      </w:divsChild>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03045191">
      <w:bodyDiv w:val="1"/>
      <w:marLeft w:val="0"/>
      <w:marRight w:val="0"/>
      <w:marTop w:val="0"/>
      <w:marBottom w:val="0"/>
      <w:divBdr>
        <w:top w:val="none" w:sz="0" w:space="0" w:color="auto"/>
        <w:left w:val="none" w:sz="0" w:space="0" w:color="auto"/>
        <w:bottom w:val="none" w:sz="0" w:space="0" w:color="auto"/>
        <w:right w:val="none" w:sz="0" w:space="0" w:color="auto"/>
      </w:divBdr>
      <w:divsChild>
        <w:div w:id="398404187">
          <w:marLeft w:val="0"/>
          <w:marRight w:val="0"/>
          <w:marTop w:val="0"/>
          <w:marBottom w:val="0"/>
          <w:divBdr>
            <w:top w:val="none" w:sz="0" w:space="0" w:color="auto"/>
            <w:left w:val="none" w:sz="0" w:space="0" w:color="auto"/>
            <w:bottom w:val="none" w:sz="0" w:space="0" w:color="auto"/>
            <w:right w:val="none" w:sz="0" w:space="0" w:color="auto"/>
          </w:divBdr>
        </w:div>
        <w:div w:id="2138450134">
          <w:marLeft w:val="0"/>
          <w:marRight w:val="0"/>
          <w:marTop w:val="0"/>
          <w:marBottom w:val="0"/>
          <w:divBdr>
            <w:top w:val="none" w:sz="0" w:space="0" w:color="auto"/>
            <w:left w:val="none" w:sz="0" w:space="0" w:color="auto"/>
            <w:bottom w:val="none" w:sz="0" w:space="0" w:color="auto"/>
            <w:right w:val="none" w:sz="0" w:space="0" w:color="auto"/>
          </w:divBdr>
        </w:div>
      </w:divsChild>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379236814">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15282148">
      <w:bodyDiv w:val="1"/>
      <w:marLeft w:val="0"/>
      <w:marRight w:val="0"/>
      <w:marTop w:val="0"/>
      <w:marBottom w:val="0"/>
      <w:divBdr>
        <w:top w:val="none" w:sz="0" w:space="0" w:color="auto"/>
        <w:left w:val="none" w:sz="0" w:space="0" w:color="auto"/>
        <w:bottom w:val="none" w:sz="0" w:space="0" w:color="auto"/>
        <w:right w:val="none" w:sz="0" w:space="0" w:color="auto"/>
      </w:divBdr>
      <w:divsChild>
        <w:div w:id="1920363715">
          <w:marLeft w:val="0"/>
          <w:marRight w:val="0"/>
          <w:marTop w:val="0"/>
          <w:marBottom w:val="0"/>
          <w:divBdr>
            <w:top w:val="none" w:sz="0" w:space="0" w:color="auto"/>
            <w:left w:val="none" w:sz="0" w:space="0" w:color="auto"/>
            <w:bottom w:val="none" w:sz="0" w:space="0" w:color="auto"/>
            <w:right w:val="none" w:sz="0" w:space="0" w:color="auto"/>
          </w:divBdr>
        </w:div>
        <w:div w:id="302272540">
          <w:marLeft w:val="0"/>
          <w:marRight w:val="0"/>
          <w:marTop w:val="0"/>
          <w:marBottom w:val="0"/>
          <w:divBdr>
            <w:top w:val="none" w:sz="0" w:space="0" w:color="auto"/>
            <w:left w:val="none" w:sz="0" w:space="0" w:color="auto"/>
            <w:bottom w:val="none" w:sz="0" w:space="0" w:color="auto"/>
            <w:right w:val="none" w:sz="0" w:space="0" w:color="auto"/>
          </w:divBdr>
        </w:div>
        <w:div w:id="1808274717">
          <w:marLeft w:val="0"/>
          <w:marRight w:val="0"/>
          <w:marTop w:val="0"/>
          <w:marBottom w:val="0"/>
          <w:divBdr>
            <w:top w:val="none" w:sz="0" w:space="0" w:color="auto"/>
            <w:left w:val="none" w:sz="0" w:space="0" w:color="auto"/>
            <w:bottom w:val="none" w:sz="0" w:space="0" w:color="auto"/>
            <w:right w:val="none" w:sz="0" w:space="0" w:color="auto"/>
          </w:divBdr>
        </w:div>
        <w:div w:id="284434563">
          <w:marLeft w:val="0"/>
          <w:marRight w:val="0"/>
          <w:marTop w:val="0"/>
          <w:marBottom w:val="0"/>
          <w:divBdr>
            <w:top w:val="none" w:sz="0" w:space="0" w:color="auto"/>
            <w:left w:val="none" w:sz="0" w:space="0" w:color="auto"/>
            <w:bottom w:val="none" w:sz="0" w:space="0" w:color="auto"/>
            <w:right w:val="none" w:sz="0" w:space="0" w:color="auto"/>
          </w:divBdr>
        </w:div>
        <w:div w:id="1156459584">
          <w:marLeft w:val="0"/>
          <w:marRight w:val="0"/>
          <w:marTop w:val="0"/>
          <w:marBottom w:val="0"/>
          <w:divBdr>
            <w:top w:val="none" w:sz="0" w:space="0" w:color="auto"/>
            <w:left w:val="none" w:sz="0" w:space="0" w:color="auto"/>
            <w:bottom w:val="none" w:sz="0" w:space="0" w:color="auto"/>
            <w:right w:val="none" w:sz="0" w:space="0" w:color="auto"/>
          </w:divBdr>
        </w:div>
        <w:div w:id="855077378">
          <w:marLeft w:val="0"/>
          <w:marRight w:val="0"/>
          <w:marTop w:val="0"/>
          <w:marBottom w:val="0"/>
          <w:divBdr>
            <w:top w:val="none" w:sz="0" w:space="0" w:color="auto"/>
            <w:left w:val="none" w:sz="0" w:space="0" w:color="auto"/>
            <w:bottom w:val="none" w:sz="0" w:space="0" w:color="auto"/>
            <w:right w:val="none" w:sz="0" w:space="0" w:color="auto"/>
          </w:divBdr>
        </w:div>
        <w:div w:id="1802846955">
          <w:marLeft w:val="0"/>
          <w:marRight w:val="0"/>
          <w:marTop w:val="0"/>
          <w:marBottom w:val="0"/>
          <w:divBdr>
            <w:top w:val="none" w:sz="0" w:space="0" w:color="auto"/>
            <w:left w:val="none" w:sz="0" w:space="0" w:color="auto"/>
            <w:bottom w:val="none" w:sz="0" w:space="0" w:color="auto"/>
            <w:right w:val="none" w:sz="0" w:space="0" w:color="auto"/>
          </w:divBdr>
        </w:div>
        <w:div w:id="975916305">
          <w:marLeft w:val="0"/>
          <w:marRight w:val="0"/>
          <w:marTop w:val="0"/>
          <w:marBottom w:val="0"/>
          <w:divBdr>
            <w:top w:val="none" w:sz="0" w:space="0" w:color="auto"/>
            <w:left w:val="none" w:sz="0" w:space="0" w:color="auto"/>
            <w:bottom w:val="none" w:sz="0" w:space="0" w:color="auto"/>
            <w:right w:val="none" w:sz="0" w:space="0" w:color="auto"/>
          </w:divBdr>
        </w:div>
        <w:div w:id="927811694">
          <w:marLeft w:val="0"/>
          <w:marRight w:val="0"/>
          <w:marTop w:val="0"/>
          <w:marBottom w:val="0"/>
          <w:divBdr>
            <w:top w:val="none" w:sz="0" w:space="0" w:color="auto"/>
            <w:left w:val="none" w:sz="0" w:space="0" w:color="auto"/>
            <w:bottom w:val="none" w:sz="0" w:space="0" w:color="auto"/>
            <w:right w:val="none" w:sz="0" w:space="0" w:color="auto"/>
          </w:divBdr>
        </w:div>
        <w:div w:id="793712611">
          <w:marLeft w:val="0"/>
          <w:marRight w:val="0"/>
          <w:marTop w:val="0"/>
          <w:marBottom w:val="0"/>
          <w:divBdr>
            <w:top w:val="none" w:sz="0" w:space="0" w:color="auto"/>
            <w:left w:val="none" w:sz="0" w:space="0" w:color="auto"/>
            <w:bottom w:val="none" w:sz="0" w:space="0" w:color="auto"/>
            <w:right w:val="none" w:sz="0" w:space="0" w:color="auto"/>
          </w:divBdr>
        </w:div>
        <w:div w:id="1574773743">
          <w:marLeft w:val="0"/>
          <w:marRight w:val="0"/>
          <w:marTop w:val="0"/>
          <w:marBottom w:val="0"/>
          <w:divBdr>
            <w:top w:val="none" w:sz="0" w:space="0" w:color="auto"/>
            <w:left w:val="none" w:sz="0" w:space="0" w:color="auto"/>
            <w:bottom w:val="none" w:sz="0" w:space="0" w:color="auto"/>
            <w:right w:val="none" w:sz="0" w:space="0" w:color="auto"/>
          </w:divBdr>
        </w:div>
        <w:div w:id="602419068">
          <w:marLeft w:val="0"/>
          <w:marRight w:val="0"/>
          <w:marTop w:val="0"/>
          <w:marBottom w:val="0"/>
          <w:divBdr>
            <w:top w:val="none" w:sz="0" w:space="0" w:color="auto"/>
            <w:left w:val="none" w:sz="0" w:space="0" w:color="auto"/>
            <w:bottom w:val="none" w:sz="0" w:space="0" w:color="auto"/>
            <w:right w:val="none" w:sz="0" w:space="0" w:color="auto"/>
          </w:divBdr>
        </w:div>
        <w:div w:id="1330601591">
          <w:marLeft w:val="0"/>
          <w:marRight w:val="0"/>
          <w:marTop w:val="0"/>
          <w:marBottom w:val="0"/>
          <w:divBdr>
            <w:top w:val="none" w:sz="0" w:space="0" w:color="auto"/>
            <w:left w:val="none" w:sz="0" w:space="0" w:color="auto"/>
            <w:bottom w:val="none" w:sz="0" w:space="0" w:color="auto"/>
            <w:right w:val="none" w:sz="0" w:space="0" w:color="auto"/>
          </w:divBdr>
        </w:div>
        <w:div w:id="248269955">
          <w:marLeft w:val="0"/>
          <w:marRight w:val="0"/>
          <w:marTop w:val="0"/>
          <w:marBottom w:val="0"/>
          <w:divBdr>
            <w:top w:val="none" w:sz="0" w:space="0" w:color="auto"/>
            <w:left w:val="none" w:sz="0" w:space="0" w:color="auto"/>
            <w:bottom w:val="none" w:sz="0" w:space="0" w:color="auto"/>
            <w:right w:val="none" w:sz="0" w:space="0" w:color="auto"/>
          </w:divBdr>
        </w:div>
      </w:divsChild>
    </w:div>
    <w:div w:id="1659334869">
      <w:bodyDiv w:val="1"/>
      <w:marLeft w:val="0"/>
      <w:marRight w:val="0"/>
      <w:marTop w:val="0"/>
      <w:marBottom w:val="0"/>
      <w:divBdr>
        <w:top w:val="none" w:sz="0" w:space="0" w:color="auto"/>
        <w:left w:val="none" w:sz="0" w:space="0" w:color="auto"/>
        <w:bottom w:val="none" w:sz="0" w:space="0" w:color="auto"/>
        <w:right w:val="none" w:sz="0" w:space="0" w:color="auto"/>
      </w:divBdr>
      <w:divsChild>
        <w:div w:id="1409574278">
          <w:marLeft w:val="0"/>
          <w:marRight w:val="0"/>
          <w:marTop w:val="0"/>
          <w:marBottom w:val="0"/>
          <w:divBdr>
            <w:top w:val="none" w:sz="0" w:space="0" w:color="auto"/>
            <w:left w:val="none" w:sz="0" w:space="0" w:color="auto"/>
            <w:bottom w:val="none" w:sz="0" w:space="0" w:color="auto"/>
            <w:right w:val="none" w:sz="0" w:space="0" w:color="auto"/>
          </w:divBdr>
        </w:div>
        <w:div w:id="1668900009">
          <w:marLeft w:val="0"/>
          <w:marRight w:val="0"/>
          <w:marTop w:val="0"/>
          <w:marBottom w:val="0"/>
          <w:divBdr>
            <w:top w:val="none" w:sz="0" w:space="0" w:color="auto"/>
            <w:left w:val="none" w:sz="0" w:space="0" w:color="auto"/>
            <w:bottom w:val="none" w:sz="0" w:space="0" w:color="auto"/>
            <w:right w:val="none" w:sz="0" w:space="0" w:color="auto"/>
          </w:divBdr>
        </w:div>
        <w:div w:id="1613592542">
          <w:marLeft w:val="0"/>
          <w:marRight w:val="0"/>
          <w:marTop w:val="0"/>
          <w:marBottom w:val="0"/>
          <w:divBdr>
            <w:top w:val="none" w:sz="0" w:space="0" w:color="auto"/>
            <w:left w:val="none" w:sz="0" w:space="0" w:color="auto"/>
            <w:bottom w:val="none" w:sz="0" w:space="0" w:color="auto"/>
            <w:right w:val="none" w:sz="0" w:space="0" w:color="auto"/>
          </w:divBdr>
        </w:div>
        <w:div w:id="449206849">
          <w:marLeft w:val="0"/>
          <w:marRight w:val="0"/>
          <w:marTop w:val="0"/>
          <w:marBottom w:val="0"/>
          <w:divBdr>
            <w:top w:val="none" w:sz="0" w:space="0" w:color="auto"/>
            <w:left w:val="none" w:sz="0" w:space="0" w:color="auto"/>
            <w:bottom w:val="none" w:sz="0" w:space="0" w:color="auto"/>
            <w:right w:val="none" w:sz="0" w:space="0" w:color="auto"/>
          </w:divBdr>
        </w:div>
        <w:div w:id="64500408">
          <w:marLeft w:val="0"/>
          <w:marRight w:val="0"/>
          <w:marTop w:val="0"/>
          <w:marBottom w:val="0"/>
          <w:divBdr>
            <w:top w:val="none" w:sz="0" w:space="0" w:color="auto"/>
            <w:left w:val="none" w:sz="0" w:space="0" w:color="auto"/>
            <w:bottom w:val="none" w:sz="0" w:space="0" w:color="auto"/>
            <w:right w:val="none" w:sz="0" w:space="0" w:color="auto"/>
          </w:divBdr>
        </w:div>
      </w:divsChild>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11.COM/1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ich.unesco.org/en/Decisions/11.COM/10" TargetMode="External"/><Relationship Id="rId4" Type="http://schemas.openxmlformats.org/officeDocument/2006/relationships/settings" Target="settings.xml"/><Relationship Id="rId9" Type="http://schemas.openxmlformats.org/officeDocument/2006/relationships/hyperlink" Target="https://ich.unesco.org/doc/src/ITH-17-12.COM-13-EN.docx" TargetMode="Externa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D1D64-763C-426D-9286-76680BEF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5</TotalTime>
  <Pages>6</Pages>
  <Words>1733</Words>
  <Characters>9881</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Shin, Eunkyung</cp:lastModifiedBy>
  <cp:revision>5</cp:revision>
  <cp:lastPrinted>2017-11-02T09:17:00Z</cp:lastPrinted>
  <dcterms:created xsi:type="dcterms:W3CDTF">2017-11-03T10:57:00Z</dcterms:created>
  <dcterms:modified xsi:type="dcterms:W3CDTF">2017-11-03T11:18:00Z</dcterms:modified>
</cp:coreProperties>
</file>