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3ACE" w14:textId="149F2333" w:rsidR="00EC6F8D" w:rsidRPr="00293C60" w:rsidRDefault="00EC6F8D" w:rsidP="00EC6F8D">
      <w:pPr>
        <w:spacing w:before="1440"/>
        <w:jc w:val="center"/>
        <w:rPr>
          <w:rFonts w:ascii="Arial" w:hAnsi="Arial" w:cs="Arial"/>
          <w:b/>
          <w:sz w:val="22"/>
          <w:szCs w:val="22"/>
        </w:rPr>
      </w:pPr>
      <w:r>
        <w:rPr>
          <w:rFonts w:ascii="Arial" w:hAnsi="Arial"/>
          <w:b/>
          <w:sz w:val="22"/>
          <w:szCs w:val="22"/>
        </w:rPr>
        <w:t>CONVENTION POUR LA SAUVEGARDE</w:t>
      </w:r>
      <w:r w:rsidR="002D0624">
        <w:rPr>
          <w:rFonts w:ascii="Arial" w:hAnsi="Arial"/>
          <w:b/>
          <w:sz w:val="22"/>
          <w:szCs w:val="22"/>
        </w:rPr>
        <w:t xml:space="preserve"> DU</w:t>
      </w:r>
      <w:r>
        <w:rPr>
          <w:rFonts w:ascii="Arial" w:hAnsi="Arial"/>
          <w:b/>
          <w:sz w:val="22"/>
          <w:szCs w:val="22"/>
        </w:rPr>
        <w:br/>
        <w:t>PATRIMOINE CULTUREL IMMATÉRIEL</w:t>
      </w:r>
    </w:p>
    <w:p w14:paraId="1771BDA4" w14:textId="6C0AF02B" w:rsidR="00EC6F8D" w:rsidRPr="00293C60" w:rsidRDefault="00EC6F8D" w:rsidP="00EC6F8D">
      <w:pPr>
        <w:spacing w:before="1200"/>
        <w:jc w:val="center"/>
        <w:rPr>
          <w:rFonts w:ascii="Arial" w:hAnsi="Arial" w:cs="Arial"/>
          <w:b/>
          <w:sz w:val="22"/>
          <w:szCs w:val="22"/>
        </w:rPr>
      </w:pPr>
      <w:r>
        <w:rPr>
          <w:rFonts w:ascii="Arial" w:hAnsi="Arial"/>
          <w:b/>
          <w:sz w:val="22"/>
          <w:szCs w:val="22"/>
        </w:rPr>
        <w:t>COMITÉ INTERG</w:t>
      </w:r>
      <w:bookmarkStart w:id="0" w:name="_GoBack"/>
      <w:bookmarkEnd w:id="0"/>
      <w:r>
        <w:rPr>
          <w:rFonts w:ascii="Arial" w:hAnsi="Arial"/>
          <w:b/>
          <w:sz w:val="22"/>
          <w:szCs w:val="22"/>
        </w:rPr>
        <w:t>OUVERNEMENTAL DE SAUVEGARDE</w:t>
      </w:r>
      <w:r w:rsidR="002D0624">
        <w:rPr>
          <w:rFonts w:ascii="Arial" w:hAnsi="Arial"/>
          <w:b/>
          <w:sz w:val="22"/>
          <w:szCs w:val="22"/>
        </w:rPr>
        <w:br/>
      </w:r>
      <w:r>
        <w:rPr>
          <w:rFonts w:ascii="Arial" w:hAnsi="Arial"/>
          <w:b/>
          <w:sz w:val="22"/>
          <w:szCs w:val="22"/>
        </w:rPr>
        <w:t>DU PATRIMOINE CULTUREL IMMATÉRIEL</w:t>
      </w:r>
    </w:p>
    <w:p w14:paraId="0184F707" w14:textId="77777777" w:rsidR="00EC6F8D" w:rsidRPr="00293C60" w:rsidRDefault="00C7433F" w:rsidP="00EC6F8D">
      <w:pPr>
        <w:spacing w:before="840"/>
        <w:jc w:val="center"/>
        <w:rPr>
          <w:rFonts w:ascii="Arial" w:hAnsi="Arial" w:cs="Arial"/>
          <w:b/>
          <w:sz w:val="22"/>
          <w:szCs w:val="22"/>
        </w:rPr>
      </w:pPr>
      <w:r>
        <w:rPr>
          <w:rFonts w:ascii="Arial" w:hAnsi="Arial"/>
          <w:b/>
          <w:sz w:val="22"/>
          <w:szCs w:val="22"/>
        </w:rPr>
        <w:t>Douzième session</w:t>
      </w:r>
    </w:p>
    <w:p w14:paraId="65056EBB" w14:textId="77777777" w:rsidR="009D5428" w:rsidRPr="00337CEB" w:rsidRDefault="002351A6" w:rsidP="005E7074">
      <w:pPr>
        <w:jc w:val="center"/>
        <w:rPr>
          <w:rFonts w:ascii="Arial" w:eastAsiaTheme="minorEastAsia" w:hAnsi="Arial" w:cs="Arial"/>
          <w:b/>
          <w:sz w:val="22"/>
          <w:szCs w:val="22"/>
        </w:rPr>
      </w:pPr>
      <w:r>
        <w:rPr>
          <w:rFonts w:ascii="Arial" w:hAnsi="Arial"/>
          <w:b/>
          <w:sz w:val="22"/>
          <w:szCs w:val="22"/>
        </w:rPr>
        <w:t xml:space="preserve">Île de </w:t>
      </w:r>
      <w:proofErr w:type="spellStart"/>
      <w:r>
        <w:rPr>
          <w:rFonts w:ascii="Arial" w:hAnsi="Arial"/>
          <w:b/>
          <w:sz w:val="22"/>
          <w:szCs w:val="22"/>
        </w:rPr>
        <w:t>Jeju</w:t>
      </w:r>
      <w:proofErr w:type="spellEnd"/>
      <w:r>
        <w:rPr>
          <w:rFonts w:ascii="Arial" w:hAnsi="Arial"/>
          <w:b/>
          <w:sz w:val="22"/>
          <w:szCs w:val="22"/>
        </w:rPr>
        <w:t>, République de Corée</w:t>
      </w:r>
    </w:p>
    <w:p w14:paraId="1C75D5B4" w14:textId="1C5EADD4" w:rsidR="00EC6F8D" w:rsidRPr="00337CEB" w:rsidRDefault="00337CEB" w:rsidP="00EC6F8D">
      <w:pPr>
        <w:jc w:val="center"/>
        <w:rPr>
          <w:rFonts w:ascii="Arial" w:eastAsiaTheme="minorEastAsia" w:hAnsi="Arial" w:cs="Arial"/>
          <w:b/>
          <w:sz w:val="22"/>
          <w:szCs w:val="22"/>
        </w:rPr>
      </w:pPr>
      <w:r>
        <w:rPr>
          <w:rFonts w:ascii="Arial" w:hAnsi="Arial"/>
          <w:b/>
          <w:sz w:val="22"/>
          <w:szCs w:val="22"/>
        </w:rPr>
        <w:t>4 – 9 décembre 2017</w:t>
      </w:r>
    </w:p>
    <w:p w14:paraId="6F940A31" w14:textId="139DD530" w:rsidR="00EC6F8D" w:rsidRPr="00293C60"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10 de l</w:t>
      </w:r>
      <w:r w:rsidR="00E11528">
        <w:rPr>
          <w:rFonts w:ascii="Arial" w:hAnsi="Arial"/>
          <w:b/>
          <w:sz w:val="22"/>
          <w:szCs w:val="22"/>
          <w:u w:val="single"/>
        </w:rPr>
        <w:t>’</w:t>
      </w:r>
      <w:r>
        <w:rPr>
          <w:rFonts w:ascii="Arial" w:hAnsi="Arial"/>
          <w:b/>
          <w:sz w:val="22"/>
          <w:szCs w:val="22"/>
          <w:u w:val="single"/>
        </w:rPr>
        <w:t>ordre du jour provisoire</w:t>
      </w:r>
      <w:r>
        <w:rPr>
          <w:rFonts w:ascii="Arial" w:hAnsi="Arial"/>
          <w:b/>
          <w:sz w:val="22"/>
          <w:szCs w:val="22"/>
        </w:rPr>
        <w:t> :</w:t>
      </w:r>
    </w:p>
    <w:p w14:paraId="514EEAA8" w14:textId="1523794A" w:rsidR="006906E8" w:rsidRDefault="002D0624" w:rsidP="009B2A12">
      <w:pPr>
        <w:tabs>
          <w:tab w:val="decimal" w:pos="1134"/>
        </w:tabs>
        <w:adjustRightInd w:val="0"/>
        <w:spacing w:after="1200"/>
        <w:jc w:val="center"/>
        <w:rPr>
          <w:rFonts w:ascii="Arial" w:hAnsi="Arial" w:cs="Arial"/>
          <w:b/>
          <w:noProof/>
          <w:sz w:val="22"/>
          <w:szCs w:val="22"/>
        </w:rPr>
      </w:pPr>
      <w:r>
        <w:rPr>
          <w:rFonts w:ascii="Arial" w:hAnsi="Arial"/>
          <w:b/>
          <w:sz w:val="22"/>
          <w:szCs w:val="22"/>
        </w:rPr>
        <w:t>Projet</w:t>
      </w:r>
      <w:r w:rsidR="006E2E83">
        <w:rPr>
          <w:rFonts w:ascii="Arial" w:hAnsi="Arial"/>
          <w:b/>
          <w:sz w:val="22"/>
          <w:szCs w:val="22"/>
        </w:rPr>
        <w:t xml:space="preserve"> d</w:t>
      </w:r>
      <w:r w:rsidR="00E11528">
        <w:rPr>
          <w:rFonts w:ascii="Arial" w:hAnsi="Arial"/>
          <w:b/>
          <w:sz w:val="22"/>
          <w:szCs w:val="22"/>
        </w:rPr>
        <w:t>’</w:t>
      </w:r>
      <w:r w:rsidR="006E2E83">
        <w:rPr>
          <w:rFonts w:ascii="Arial" w:hAnsi="Arial"/>
          <w:b/>
          <w:sz w:val="22"/>
          <w:szCs w:val="22"/>
        </w:rPr>
        <w:t xml:space="preserve">amendements aux Directives opérationnelles </w:t>
      </w:r>
      <w:r w:rsidR="00084445">
        <w:rPr>
          <w:rFonts w:ascii="Arial" w:hAnsi="Arial"/>
          <w:b/>
          <w:sz w:val="22"/>
          <w:szCs w:val="22"/>
        </w:rPr>
        <w:br/>
      </w:r>
      <w:r w:rsidR="006E2E83">
        <w:rPr>
          <w:rFonts w:ascii="Arial" w:hAnsi="Arial"/>
          <w:b/>
          <w:sz w:val="22"/>
          <w:szCs w:val="22"/>
        </w:rPr>
        <w:t xml:space="preserve">sur </w:t>
      </w:r>
      <w:r w:rsidR="009B2A12">
        <w:rPr>
          <w:rFonts w:ascii="Arial" w:hAnsi="Arial"/>
          <w:b/>
          <w:sz w:val="22"/>
          <w:szCs w:val="22"/>
        </w:rPr>
        <w:t>la</w:t>
      </w:r>
      <w:r w:rsidR="006E2E83">
        <w:rPr>
          <w:rFonts w:ascii="Arial" w:hAnsi="Arial"/>
          <w:b/>
          <w:sz w:val="22"/>
          <w:szCs w:val="22"/>
        </w:rPr>
        <w:t xml:space="preserve"> soumission des rapports périodiques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F5B89" w14:paraId="708AD2E0" w14:textId="77777777" w:rsidTr="00EC6F8D">
        <w:trPr>
          <w:jc w:val="center"/>
        </w:trPr>
        <w:tc>
          <w:tcPr>
            <w:tcW w:w="5670" w:type="dxa"/>
            <w:vAlign w:val="center"/>
          </w:tcPr>
          <w:p w14:paraId="634876DF"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6E0523BF" w14:textId="0A0E835F" w:rsidR="00EC6F8D" w:rsidRPr="00293C60" w:rsidRDefault="006B5F32" w:rsidP="009B2A12">
            <w:pPr>
              <w:pStyle w:val="Sansinterligne1"/>
              <w:jc w:val="both"/>
              <w:rPr>
                <w:rFonts w:ascii="Arial" w:hAnsi="Arial" w:cs="Arial"/>
                <w:bCs/>
                <w:sz w:val="22"/>
                <w:szCs w:val="22"/>
              </w:rPr>
            </w:pPr>
            <w:r>
              <w:rPr>
                <w:rFonts w:ascii="Arial" w:hAnsi="Arial"/>
                <w:bCs/>
                <w:sz w:val="22"/>
                <w:szCs w:val="22"/>
              </w:rPr>
              <w:t>Le groupe de travail intergouvernemental à composition non limitée de 2017, qui s</w:t>
            </w:r>
            <w:r w:rsidR="00E11528">
              <w:rPr>
                <w:rFonts w:ascii="Arial" w:hAnsi="Arial"/>
                <w:bCs/>
                <w:sz w:val="22"/>
                <w:szCs w:val="22"/>
              </w:rPr>
              <w:t>’</w:t>
            </w:r>
            <w:r>
              <w:rPr>
                <w:rFonts w:ascii="Arial" w:hAnsi="Arial"/>
                <w:bCs/>
                <w:sz w:val="22"/>
                <w:szCs w:val="22"/>
              </w:rPr>
              <w:t xml:space="preserve">est réuni à Chengdu, en Chine, a souligné la nécessité de réformer le mécanisme de </w:t>
            </w:r>
            <w:r w:rsidR="009B2A12">
              <w:rPr>
                <w:rFonts w:ascii="Arial" w:hAnsi="Arial"/>
                <w:bCs/>
                <w:sz w:val="22"/>
                <w:szCs w:val="22"/>
              </w:rPr>
              <w:t xml:space="preserve">soumission </w:t>
            </w:r>
            <w:r>
              <w:rPr>
                <w:rFonts w:ascii="Arial" w:hAnsi="Arial"/>
                <w:bCs/>
                <w:sz w:val="22"/>
                <w:szCs w:val="22"/>
              </w:rPr>
              <w:t>des rapports périodiques en passant à un cycle régional de rapports nationaux. Ce document présente quelques éléments d</w:t>
            </w:r>
            <w:r w:rsidR="00E11528">
              <w:rPr>
                <w:rFonts w:ascii="Arial" w:hAnsi="Arial"/>
                <w:bCs/>
                <w:sz w:val="22"/>
                <w:szCs w:val="22"/>
              </w:rPr>
              <w:t>’</w:t>
            </w:r>
            <w:r>
              <w:rPr>
                <w:rFonts w:ascii="Arial" w:hAnsi="Arial"/>
                <w:bCs/>
                <w:sz w:val="22"/>
                <w:szCs w:val="22"/>
              </w:rPr>
              <w:t>appréciation importants à cet égard, ainsi qu</w:t>
            </w:r>
            <w:r w:rsidR="00E11528">
              <w:rPr>
                <w:rFonts w:ascii="Arial" w:hAnsi="Arial"/>
                <w:bCs/>
                <w:sz w:val="22"/>
                <w:szCs w:val="22"/>
              </w:rPr>
              <w:t>’</w:t>
            </w:r>
            <w:r>
              <w:rPr>
                <w:rFonts w:ascii="Arial" w:hAnsi="Arial"/>
                <w:bCs/>
                <w:sz w:val="22"/>
                <w:szCs w:val="22"/>
              </w:rPr>
              <w:t>un projet d</w:t>
            </w:r>
            <w:r w:rsidR="00E11528">
              <w:rPr>
                <w:rFonts w:ascii="Arial" w:hAnsi="Arial"/>
                <w:bCs/>
                <w:sz w:val="22"/>
                <w:szCs w:val="22"/>
              </w:rPr>
              <w:t>’</w:t>
            </w:r>
            <w:r>
              <w:rPr>
                <w:rFonts w:ascii="Arial" w:hAnsi="Arial"/>
                <w:bCs/>
                <w:sz w:val="22"/>
                <w:szCs w:val="22"/>
              </w:rPr>
              <w:t>amendements aux Directives opérationnelles que le Comité souhaitera peut-être recommander à l</w:t>
            </w:r>
            <w:r w:rsidR="00E11528">
              <w:rPr>
                <w:rFonts w:ascii="Arial" w:hAnsi="Arial"/>
                <w:bCs/>
                <w:sz w:val="22"/>
                <w:szCs w:val="22"/>
              </w:rPr>
              <w:t>’</w:t>
            </w:r>
            <w:r>
              <w:rPr>
                <w:rFonts w:ascii="Arial" w:hAnsi="Arial"/>
                <w:bCs/>
                <w:sz w:val="22"/>
                <w:szCs w:val="22"/>
              </w:rPr>
              <w:t>Assemblée générale pour approbation.</w:t>
            </w:r>
          </w:p>
          <w:p w14:paraId="56395550" w14:textId="2DDC458C" w:rsidR="00EC6F8D" w:rsidRPr="00293C60" w:rsidRDefault="00EC6F8D" w:rsidP="00ED5E0D">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 xml:space="preserve">paragraphe </w:t>
            </w:r>
            <w:r w:rsidRPr="00084445">
              <w:rPr>
                <w:rFonts w:ascii="Arial" w:hAnsi="Arial"/>
                <w:bCs/>
                <w:sz w:val="22"/>
                <w:szCs w:val="22"/>
              </w:rPr>
              <w:t>17</w:t>
            </w:r>
          </w:p>
        </w:tc>
      </w:tr>
    </w:tbl>
    <w:p w14:paraId="65D3575A" w14:textId="77777777" w:rsidR="002D0624" w:rsidRDefault="002D0624">
      <w:pPr>
        <w:rPr>
          <w:rFonts w:ascii="Arial" w:hAnsi="Arial" w:cs="Arial"/>
          <w:snapToGrid w:val="0"/>
          <w:sz w:val="22"/>
          <w:szCs w:val="22"/>
          <w:lang w:eastAsia="en-US"/>
        </w:rPr>
      </w:pPr>
      <w:r>
        <w:br w:type="page"/>
      </w:r>
    </w:p>
    <w:p w14:paraId="67E26508" w14:textId="4B2FD97D" w:rsidR="00CF3A45" w:rsidRPr="00041A66" w:rsidRDefault="00CF3A45" w:rsidP="009B2A12">
      <w:pPr>
        <w:pStyle w:val="COMPara"/>
        <w:numPr>
          <w:ilvl w:val="0"/>
          <w:numId w:val="6"/>
        </w:numPr>
        <w:ind w:left="567" w:hanging="567"/>
        <w:jc w:val="both"/>
      </w:pPr>
      <w:r>
        <w:lastRenderedPageBreak/>
        <w:t>Conformément à l</w:t>
      </w:r>
      <w:r w:rsidR="00E11528">
        <w:t>’</w:t>
      </w:r>
      <w:r>
        <w:t xml:space="preserve">article 29 de la Convention et au chapitre V des Directives opérationnelles actuelles, les États parties soumettent des rapports périodiques : (i) sur la mise en œuvre de la Convention au niveau national et </w:t>
      </w:r>
      <w:r w:rsidR="00FC3DCA">
        <w:t xml:space="preserve">sur </w:t>
      </w:r>
      <w:r>
        <w:t>l</w:t>
      </w:r>
      <w:r w:rsidR="00E11528">
        <w:t>’</w:t>
      </w:r>
      <w:r>
        <w:t>état des éléments inscrits sur la Liste représentative du patrimoine culturel immatériel de l</w:t>
      </w:r>
      <w:r w:rsidR="00E11528">
        <w:t>’</w:t>
      </w:r>
      <w:r>
        <w:t xml:space="preserve">humanité (ci-après la « Liste représentative ») ; </w:t>
      </w:r>
      <w:r w:rsidR="009B2A12">
        <w:t xml:space="preserve">et séparément </w:t>
      </w:r>
      <w:r>
        <w:t>(ii) sur l</w:t>
      </w:r>
      <w:r w:rsidR="00E11528">
        <w:t>’</w:t>
      </w:r>
      <w:r>
        <w:t xml:space="preserve">état des éléments inscrits sur la Liste du patrimoine culturel immatériel nécessitant une sauvegarde urgente (ci-après la « Liste de sauvegarde urgente »). Pour le premier rapport, les États parties doivent utiliser le formulaire ICH-10 </w:t>
      </w:r>
      <w:r w:rsidR="009B2A12">
        <w:t>pour</w:t>
      </w:r>
      <w:r>
        <w:t xml:space="preserve"> soumettre </w:t>
      </w:r>
      <w:r w:rsidR="009B2A12">
        <w:t xml:space="preserve">les rapports </w:t>
      </w:r>
      <w:r>
        <w:t>au plus tard le 15 décembre de la sixième année qui suit l</w:t>
      </w:r>
      <w:r w:rsidR="00E11528">
        <w:t>’</w:t>
      </w:r>
      <w:r>
        <w:t xml:space="preserve">année de ratification, puis tous les six ans. Pour le </w:t>
      </w:r>
      <w:r w:rsidR="00FC3DCA">
        <w:t xml:space="preserve">deuxième </w:t>
      </w:r>
      <w:r>
        <w:t xml:space="preserve">rapport, les États parties doivent utiliser le formulaire ICH-11 </w:t>
      </w:r>
      <w:r w:rsidR="009B2A12">
        <w:t>pour</w:t>
      </w:r>
      <w:r>
        <w:t xml:space="preserve"> soumettre</w:t>
      </w:r>
      <w:r w:rsidR="009B2A12">
        <w:t xml:space="preserve"> les rapports</w:t>
      </w:r>
      <w:r>
        <w:t xml:space="preserve"> au plus tard le 15 décembre de la quatrième année qui suit l</w:t>
      </w:r>
      <w:r w:rsidR="00E11528">
        <w:t>’</w:t>
      </w:r>
      <w:r>
        <w:t>année d</w:t>
      </w:r>
      <w:r w:rsidR="00E11528">
        <w:t>’</w:t>
      </w:r>
      <w:r>
        <w:t>inscription, puis tous les quatre ans.</w:t>
      </w:r>
    </w:p>
    <w:p w14:paraId="734AD3D9" w14:textId="6CFB63B6" w:rsidR="00BF2712" w:rsidRDefault="00A96557" w:rsidP="009B2A12">
      <w:pPr>
        <w:pStyle w:val="COMPara"/>
        <w:numPr>
          <w:ilvl w:val="0"/>
          <w:numId w:val="6"/>
        </w:numPr>
        <w:ind w:left="567" w:hanging="567"/>
        <w:jc w:val="both"/>
      </w:pPr>
      <w:r>
        <w:t xml:space="preserve">Le groupe de travail intergouvernemental à composition non limitée </w:t>
      </w:r>
      <w:r w:rsidR="00C04D38">
        <w:t xml:space="preserve">chargé de </w:t>
      </w:r>
      <w:r>
        <w:t>l</w:t>
      </w:r>
      <w:r w:rsidR="00E11528">
        <w:t>’</w:t>
      </w:r>
      <w:r>
        <w:t>élaboration d</w:t>
      </w:r>
      <w:r w:rsidR="00E11528">
        <w:t>’</w:t>
      </w:r>
      <w:r>
        <w:t>un cadre global de résultats pour la Convention s</w:t>
      </w:r>
      <w:r w:rsidR="00E11528">
        <w:t>’</w:t>
      </w:r>
      <w:r>
        <w:t>est réuni à Chengdu, en Chine, du 11 au 13 juin 2017</w:t>
      </w:r>
      <w:r w:rsidR="00C04D38">
        <w:t>. Il</w:t>
      </w:r>
      <w:r>
        <w:t xml:space="preserve"> a </w:t>
      </w:r>
      <w:r w:rsidR="009B2A12">
        <w:t>eu l’occasion de débattre sur la manière dont</w:t>
      </w:r>
      <w:r>
        <w:t xml:space="preserve"> le processus d</w:t>
      </w:r>
      <w:r w:rsidR="00E11528">
        <w:t>’</w:t>
      </w:r>
      <w:r>
        <w:t>adoption d</w:t>
      </w:r>
      <w:r w:rsidR="00E11528">
        <w:t>’</w:t>
      </w:r>
      <w:r>
        <w:t>un cadre global de résultats</w:t>
      </w:r>
      <w:r w:rsidR="009B2A12">
        <w:t xml:space="preserve"> offre une occasion unique de</w:t>
      </w:r>
      <w:r>
        <w:t xml:space="preserve"> réviser le mécanisme de </w:t>
      </w:r>
      <w:r w:rsidR="009B2A12">
        <w:t xml:space="preserve">soumission </w:t>
      </w:r>
      <w:r>
        <w:t>des rapports périodiques afin qu</w:t>
      </w:r>
      <w:r w:rsidR="00E11528">
        <w:t>’</w:t>
      </w:r>
      <w:r>
        <w:t xml:space="preserve">il gagne en qualité, en utilité et en rapidité (document </w:t>
      </w:r>
      <w:hyperlink r:id="rId8" w:history="1">
        <w:r>
          <w:rPr>
            <w:rStyle w:val="Hyperlink"/>
          </w:rPr>
          <w:t>ITH/17/12.COM W</w:t>
        </w:r>
        <w:r>
          <w:rPr>
            <w:rStyle w:val="Hyperlink"/>
          </w:rPr>
          <w:t>G</w:t>
        </w:r>
        <w:r>
          <w:rPr>
            <w:rStyle w:val="Hyperlink"/>
          </w:rPr>
          <w:t>/5</w:t>
        </w:r>
      </w:hyperlink>
      <w:r>
        <w:rPr>
          <w:rStyle w:val="atenuated"/>
        </w:rPr>
        <w:t>)</w:t>
      </w:r>
      <w:r>
        <w:t>. Il a souligné de manière convaincante la nécessité de réformer le processus de soumission des rapports périodiques pour le rendre plus utile aux États parties ainsi qu</w:t>
      </w:r>
      <w:r w:rsidR="00E11528">
        <w:t>’</w:t>
      </w:r>
      <w:r>
        <w:t>à la Convention en général, et a adressé une recommandation en ce sens au Comité, qui est incluse dans son rapport (document </w:t>
      </w:r>
      <w:hyperlink r:id="rId9" w:history="1">
        <w:r>
          <w:rPr>
            <w:rStyle w:val="Hyperlink"/>
          </w:rPr>
          <w:t>ITH/17/12.CO</w:t>
        </w:r>
        <w:r>
          <w:rPr>
            <w:rStyle w:val="Hyperlink"/>
          </w:rPr>
          <w:t>M</w:t>
        </w:r>
        <w:r>
          <w:rPr>
            <w:rStyle w:val="Hyperlink"/>
          </w:rPr>
          <w:t xml:space="preserve"> WG/7</w:t>
        </w:r>
      </w:hyperlink>
      <w:r>
        <w:t>). Il est donc important de lire ce document en parallèle avec le document </w:t>
      </w:r>
      <w:hyperlink r:id="rId10" w:history="1">
        <w:r w:rsidRPr="00084445">
          <w:rPr>
            <w:rStyle w:val="Hyperlink"/>
          </w:rPr>
          <w:t>ITH/17/12.CO</w:t>
        </w:r>
        <w:r w:rsidRPr="00084445">
          <w:rPr>
            <w:rStyle w:val="Hyperlink"/>
          </w:rPr>
          <w:t>M</w:t>
        </w:r>
        <w:r w:rsidRPr="00084445">
          <w:rPr>
            <w:rStyle w:val="Hyperlink"/>
          </w:rPr>
          <w:t>/9</w:t>
        </w:r>
      </w:hyperlink>
      <w:r>
        <w:t xml:space="preserve"> et à la lumière </w:t>
      </w:r>
      <w:r w:rsidR="009B2A12">
        <w:t>du débat</w:t>
      </w:r>
      <w:r>
        <w:t xml:space="preserve"> général sur l</w:t>
      </w:r>
      <w:r w:rsidR="00E11528">
        <w:t>’</w:t>
      </w:r>
      <w:r>
        <w:t>adoption du cadre global de résultats pour la Convention.</w:t>
      </w:r>
    </w:p>
    <w:p w14:paraId="18AE13E9" w14:textId="718E6A5A" w:rsidR="00BF2712" w:rsidRDefault="009B2A12">
      <w:pPr>
        <w:pStyle w:val="COMPara"/>
        <w:numPr>
          <w:ilvl w:val="0"/>
          <w:numId w:val="6"/>
        </w:numPr>
        <w:ind w:left="567" w:hanging="567"/>
        <w:jc w:val="both"/>
      </w:pPr>
      <w:r>
        <w:t>La</w:t>
      </w:r>
      <w:r w:rsidR="00285DB9">
        <w:t xml:space="preserve"> soumission des rapports périodiques </w:t>
      </w:r>
      <w:r>
        <w:t xml:space="preserve">vise </w:t>
      </w:r>
      <w:r w:rsidR="00285DB9">
        <w:t xml:space="preserve">avant tout à aider les États parties en leur </w:t>
      </w:r>
      <w:r>
        <w:t xml:space="preserve">offrant une occasion d’apprentissage importante </w:t>
      </w:r>
      <w:r w:rsidR="000B3CEB">
        <w:t>de faire</w:t>
      </w:r>
      <w:r>
        <w:t xml:space="preserve"> régulièrement le point sur leurs réalisations et leurs défis</w:t>
      </w:r>
      <w:r w:rsidR="000B3CEB">
        <w:t>,</w:t>
      </w:r>
      <w:r>
        <w:t xml:space="preserve"> et de</w:t>
      </w:r>
      <w:r w:rsidR="00D77D26">
        <w:t xml:space="preserve"> </w:t>
      </w:r>
      <w:r w:rsidR="00285DB9">
        <w:t xml:space="preserve">définir ou redéfinir leurs priorités nationales </w:t>
      </w:r>
      <w:r>
        <w:t>pour la</w:t>
      </w:r>
      <w:r w:rsidR="00285DB9">
        <w:t xml:space="preserve"> sauvegarde du patrimoine culturel immatériel. Il </w:t>
      </w:r>
      <w:r>
        <w:t xml:space="preserve">devrait </w:t>
      </w:r>
      <w:r w:rsidR="00285DB9">
        <w:t>également servir d</w:t>
      </w:r>
      <w:r w:rsidR="00E11528">
        <w:t>’</w:t>
      </w:r>
      <w:r w:rsidR="00285DB9">
        <w:t>outil opérationnel pour évaluer l</w:t>
      </w:r>
      <w:r w:rsidR="00E11528">
        <w:t>’</w:t>
      </w:r>
      <w:r w:rsidR="00285DB9">
        <w:t xml:space="preserve">efficacité de la Convention </w:t>
      </w:r>
      <w:r>
        <w:t>dans son ensemble</w:t>
      </w:r>
      <w:r w:rsidR="000B3CEB">
        <w:t>,</w:t>
      </w:r>
      <w:r w:rsidR="00285DB9">
        <w:t xml:space="preserve"> </w:t>
      </w:r>
      <w:r>
        <w:t>afin d’identifier</w:t>
      </w:r>
      <w:r w:rsidR="00285DB9">
        <w:t xml:space="preserve"> l</w:t>
      </w:r>
      <w:r w:rsidR="00E11528">
        <w:t>’</w:t>
      </w:r>
      <w:r w:rsidR="00285DB9">
        <w:t>impact des mesures de sauvegarde et les tendances qui en résultent. Le mécanisme existant s</w:t>
      </w:r>
      <w:r w:rsidR="00E11528">
        <w:t>’</w:t>
      </w:r>
      <w:r w:rsidR="00285DB9">
        <w:t xml:space="preserve">est cependant heurté à </w:t>
      </w:r>
      <w:r>
        <w:t>un certain nombre de défis</w:t>
      </w:r>
      <w:r w:rsidR="00285DB9">
        <w:t xml:space="preserve"> requérant l</w:t>
      </w:r>
      <w:r w:rsidR="00E11528">
        <w:t>’</w:t>
      </w:r>
      <w:r w:rsidR="00285DB9">
        <w:t>attention du Comité</w:t>
      </w:r>
      <w:r w:rsidR="000B3CEB">
        <w:t>,</w:t>
      </w:r>
      <w:r w:rsidR="00285DB9">
        <w:t xml:space="preserve"> et n</w:t>
      </w:r>
      <w:r w:rsidR="00E11528">
        <w:t>’</w:t>
      </w:r>
      <w:r w:rsidR="00285DB9">
        <w:t>a pas démontré tout son potentiel malgré la quantité considérable d</w:t>
      </w:r>
      <w:r w:rsidR="00E11528">
        <w:t>’</w:t>
      </w:r>
      <w:r w:rsidR="00285DB9">
        <w:t>informations recueillies au cours des différents cycles depuis 2011.</w:t>
      </w:r>
    </w:p>
    <w:p w14:paraId="4048C7FB" w14:textId="010D93B3" w:rsidR="00E33857" w:rsidRDefault="004B4848" w:rsidP="009B2A12">
      <w:pPr>
        <w:pStyle w:val="COMPara"/>
        <w:numPr>
          <w:ilvl w:val="0"/>
          <w:numId w:val="6"/>
        </w:numPr>
        <w:ind w:left="567" w:hanging="567"/>
        <w:jc w:val="both"/>
      </w:pPr>
      <w:r>
        <w:t xml:space="preserve">En premier lieu, le faible taux de soumission et les retards avec lesquels de nombreux rapports sont </w:t>
      </w:r>
      <w:r w:rsidR="009B2A12">
        <w:t xml:space="preserve">soumis </w:t>
      </w:r>
      <w:r>
        <w:t>ont empêché le Comité de comprendre l</w:t>
      </w:r>
      <w:r w:rsidR="00E11528">
        <w:t>’</w:t>
      </w:r>
      <w:r>
        <w:t>impact de la Convention aux niveaux national et mondial. Cette année, par exemple, le Comité n</w:t>
      </w:r>
      <w:r w:rsidR="00E11528">
        <w:t>’</w:t>
      </w:r>
      <w:r>
        <w:t>a reçu que onze rapports sur les cinquante-deux attendus et les quarante-et-un manquants accusent un retard d</w:t>
      </w:r>
      <w:r w:rsidR="00E11528">
        <w:t>’</w:t>
      </w:r>
      <w:r>
        <w:t>un à six ans. Le Comité a également souligné avec regret cette tendance lors de ses précédentes sessions, encourageant à plusieurs reprises les États qui accusent un retard à soumettre leurs rapports dans les meilleurs délais et à remplir leurs obligations de faire rapport avant de soumettre de nouvelles candidatures (</w:t>
      </w:r>
      <w:hyperlink r:id="rId11" w:history="1">
        <w:r>
          <w:rPr>
            <w:rStyle w:val="Hyperlink"/>
          </w:rPr>
          <w:t>décision 1</w:t>
        </w:r>
        <w:r>
          <w:rPr>
            <w:rStyle w:val="Hyperlink"/>
          </w:rPr>
          <w:t>1</w:t>
        </w:r>
        <w:r>
          <w:rPr>
            <w:rStyle w:val="Hyperlink"/>
          </w:rPr>
          <w:t>.C</w:t>
        </w:r>
        <w:r>
          <w:rPr>
            <w:rStyle w:val="Hyperlink"/>
          </w:rPr>
          <w:t>O</w:t>
        </w:r>
        <w:r>
          <w:rPr>
            <w:rStyle w:val="Hyperlink"/>
          </w:rPr>
          <w:t>M 9.a</w:t>
        </w:r>
      </w:hyperlink>
      <w:r>
        <w:t xml:space="preserve"> et </w:t>
      </w:r>
      <w:hyperlink r:id="rId12" w:history="1">
        <w:r>
          <w:rPr>
            <w:rStyle w:val="Hyperlink"/>
          </w:rPr>
          <w:t>décision 1</w:t>
        </w:r>
        <w:r>
          <w:rPr>
            <w:rStyle w:val="Hyperlink"/>
          </w:rPr>
          <w:t>0</w:t>
        </w:r>
        <w:r>
          <w:rPr>
            <w:rStyle w:val="Hyperlink"/>
          </w:rPr>
          <w:t>.COM 6.a</w:t>
        </w:r>
      </w:hyperlink>
      <w:r>
        <w:t>).</w:t>
      </w:r>
    </w:p>
    <w:p w14:paraId="693E90A8" w14:textId="1480EE6A" w:rsidR="004B4848" w:rsidRDefault="00BC3373" w:rsidP="006610D9">
      <w:pPr>
        <w:pStyle w:val="COMPara"/>
        <w:numPr>
          <w:ilvl w:val="0"/>
          <w:numId w:val="6"/>
        </w:numPr>
        <w:spacing w:before="240"/>
        <w:ind w:left="567" w:hanging="567"/>
        <w:jc w:val="both"/>
      </w:pPr>
      <w:r>
        <w:t>Alors que le septième cycle de soumission des rapports vient tout juste de commencer et étant donné qu</w:t>
      </w:r>
      <w:r w:rsidR="00E11528">
        <w:t>’</w:t>
      </w:r>
      <w:r>
        <w:t>il est demandé aux États de présenter un rapport tous les six ans après leur ratification, le Comité a reçu en 2017 des rapports d</w:t>
      </w:r>
      <w:r w:rsidR="00E11528">
        <w:t>’</w:t>
      </w:r>
      <w:r>
        <w:t xml:space="preserve">États parties ayant ratifié la Convention en 2004 (deuxième rapport) et 2010 (premier rapport). Cela va </w:t>
      </w:r>
      <w:r w:rsidR="009B2A12">
        <w:t xml:space="preserve">non seulement </w:t>
      </w:r>
      <w:r>
        <w:t>entraîner une augmentation du nombre de rapports attendus chaque année, mais aussi une incertitude concernant les rapports en retard. Ainsi, pour la première fois cette année, le Comité est confronté à un cas dans lequel un État partie a fait l</w:t>
      </w:r>
      <w:r w:rsidR="00E11528">
        <w:t>’</w:t>
      </w:r>
      <w:r>
        <w:t>objet d</w:t>
      </w:r>
      <w:r w:rsidR="00E11528">
        <w:t>’</w:t>
      </w:r>
      <w:r>
        <w:t>un rappel chaque année au cours des six derniers cycles et devra en théorie présenter son rapport l</w:t>
      </w:r>
      <w:r w:rsidR="00E11528">
        <w:t>’</w:t>
      </w:r>
      <w:r>
        <w:t>année prochaine pour la deuxième fois alors qu</w:t>
      </w:r>
      <w:r w:rsidR="00E11528">
        <w:t>’</w:t>
      </w:r>
      <w:r>
        <w:t>il n</w:t>
      </w:r>
      <w:r w:rsidR="00E11528">
        <w:t>’</w:t>
      </w:r>
      <w:r>
        <w:t>a toujours pas soumis son premier rapport.</w:t>
      </w:r>
    </w:p>
    <w:p w14:paraId="20407405" w14:textId="53CF5F77" w:rsidR="00BB5C53" w:rsidRDefault="006A75F6" w:rsidP="00A54203">
      <w:pPr>
        <w:pStyle w:val="COMPara"/>
        <w:numPr>
          <w:ilvl w:val="0"/>
          <w:numId w:val="6"/>
        </w:numPr>
        <w:spacing w:before="120"/>
        <w:ind w:left="567" w:hanging="567"/>
        <w:jc w:val="both"/>
      </w:pPr>
      <w:r>
        <w:t>Concernant le contenu des informations recueillies, l</w:t>
      </w:r>
      <w:r w:rsidR="00E11528">
        <w:t>’</w:t>
      </w:r>
      <w:r>
        <w:t>évaluation du travail normatif de l</w:t>
      </w:r>
      <w:r w:rsidR="00E11528">
        <w:t>’</w:t>
      </w:r>
      <w:r>
        <w:t>UNESCO dans le domaine de la culture,</w:t>
      </w:r>
      <w:r w:rsidR="00BE14B6">
        <w:rPr>
          <w:rStyle w:val="FootnoteReference"/>
        </w:rPr>
        <w:footnoteReference w:id="1"/>
      </w:r>
      <w:r>
        <w:t xml:space="preserve"> réalisée en 2013 par le Service d</w:t>
      </w:r>
      <w:r w:rsidR="00E11528">
        <w:t>’</w:t>
      </w:r>
      <w:r>
        <w:t>évaluation et d</w:t>
      </w:r>
      <w:r w:rsidR="00E11528">
        <w:t>’</w:t>
      </w:r>
      <w:r>
        <w:t>audit (IOS), a révélé que les rapports avaient trop tendance à se concentrer sur les activités et ne prenaient pas suffisamment en compte leurs résultats et impacts</w:t>
      </w:r>
      <w:r w:rsidR="00AD7AFB">
        <w:t>.</w:t>
      </w:r>
      <w:r>
        <w:t xml:space="preserve"> IOS a estimé que cela était notamment dû à la version actuelle du formulaire ICH-10 qui suit la structure des Directives opérationnelles et qui </w:t>
      </w:r>
      <w:r w:rsidR="00A54203">
        <w:t>n’est pas suffisamment convivial</w:t>
      </w:r>
      <w:r>
        <w:t xml:space="preserve"> pour de nombreux États parties. Une analyse plus approfondie des difficultés rencontrées dans le cadre du mécanisme actuel de soumission des rapports périodiques a été présentée, plus récemment, par le groupe de travail international à composition non limitée susmentionné (document </w:t>
      </w:r>
      <w:hyperlink r:id="rId13" w:history="1">
        <w:r>
          <w:rPr>
            <w:rStyle w:val="Hyperlink"/>
          </w:rPr>
          <w:t>ITH/17/1</w:t>
        </w:r>
        <w:r>
          <w:rPr>
            <w:rStyle w:val="Hyperlink"/>
          </w:rPr>
          <w:t>2</w:t>
        </w:r>
        <w:r>
          <w:rPr>
            <w:rStyle w:val="Hyperlink"/>
          </w:rPr>
          <w:t>.</w:t>
        </w:r>
        <w:r>
          <w:rPr>
            <w:rStyle w:val="Hyperlink"/>
          </w:rPr>
          <w:t>C</w:t>
        </w:r>
        <w:r>
          <w:rPr>
            <w:rStyle w:val="Hyperlink"/>
          </w:rPr>
          <w:t>OM WG/5</w:t>
        </w:r>
      </w:hyperlink>
      <w:r w:rsidRPr="003E02F3">
        <w:rPr>
          <w:rStyle w:val="Hyperlink"/>
          <w:color w:val="auto"/>
          <w:u w:val="none"/>
        </w:rPr>
        <w:t>)</w:t>
      </w:r>
      <w:r>
        <w:t>, qui considère que l</w:t>
      </w:r>
      <w:r w:rsidR="00E11528">
        <w:t>’</w:t>
      </w:r>
      <w:r>
        <w:t>exercice de soumission des rapports périodiques pourrait se révéler déterminant pour soutenir la mise en œuvre du cadre global de résultats.</w:t>
      </w:r>
    </w:p>
    <w:p w14:paraId="63AFA860" w14:textId="4794B37A" w:rsidR="009D637E" w:rsidRDefault="00E33DBD" w:rsidP="006610D9">
      <w:pPr>
        <w:pStyle w:val="COMPara"/>
        <w:numPr>
          <w:ilvl w:val="0"/>
          <w:numId w:val="6"/>
        </w:numPr>
        <w:spacing w:before="120"/>
        <w:ind w:left="567" w:hanging="567"/>
        <w:jc w:val="both"/>
      </w:pPr>
      <w:r>
        <w:t>À la suite des suggestions formulées par le groupe de travail intergouvernemental à composition non limitée, le Secrétariat souhaite mettre à jour le formulaire ICH-10. La révision de ce formulaire permettrait de faciliter la présentation de rapports sur l</w:t>
      </w:r>
      <w:r w:rsidR="00E11528">
        <w:t>’</w:t>
      </w:r>
      <w:r>
        <w:t>impact de la Convention de 2003 et la sauvegarde du patrimoine culturel immatériel par rapport à des indicateurs et des points de référence clairs. Les États soumissionnaires pourraient ainsi se concentrer dans leur rapport sur les processus de sauvegarde pertinents et leur efficacité au lieu de simplement décrire les activités entreprises.</w:t>
      </w:r>
    </w:p>
    <w:p w14:paraId="64DB4C6E" w14:textId="2E7A2106" w:rsidR="00F27BC5" w:rsidRDefault="00D570FC" w:rsidP="00A54203">
      <w:pPr>
        <w:pStyle w:val="COMPara"/>
        <w:numPr>
          <w:ilvl w:val="0"/>
          <w:numId w:val="6"/>
        </w:numPr>
        <w:spacing w:before="120"/>
        <w:ind w:left="567" w:hanging="567"/>
        <w:jc w:val="both"/>
      </w:pPr>
      <w:r>
        <w:t>Dans son rapport au Comité, le groupe de travail intergouvernemental à composition non limitée recommande également que « le Secrétariat propose au Comité, pour examen, d</w:t>
      </w:r>
      <w:r w:rsidR="00E11528">
        <w:t>’</w:t>
      </w:r>
      <w:r>
        <w:t xml:space="preserve">éventuelles modifications du mécanisme de rapports périodiques pour passer à un cycle régional de rapports nationaux, </w:t>
      </w:r>
      <w:r w:rsidR="00A54203">
        <w:t xml:space="preserve">tel que </w:t>
      </w:r>
      <w:r>
        <w:t xml:space="preserve">discuté lors de la présente réunion, et prépare un projet de révision des Directives opérationnelles nécessaire à cette fin » (document </w:t>
      </w:r>
      <w:hyperlink r:id="rId14" w:history="1">
        <w:r>
          <w:rPr>
            <w:rStyle w:val="Hyperlink"/>
          </w:rPr>
          <w:t>ITH/17/12.COM W</w:t>
        </w:r>
        <w:r>
          <w:rPr>
            <w:rStyle w:val="Hyperlink"/>
          </w:rPr>
          <w:t>G</w:t>
        </w:r>
        <w:r>
          <w:rPr>
            <w:rStyle w:val="Hyperlink"/>
          </w:rPr>
          <w:t>/7</w:t>
        </w:r>
      </w:hyperlink>
      <w:r>
        <w:t>). Ce changement permettra par ailleurs d</w:t>
      </w:r>
      <w:r w:rsidR="00E11528">
        <w:t>’</w:t>
      </w:r>
      <w:r>
        <w:t>améliorer l</w:t>
      </w:r>
      <w:r w:rsidR="00E11528">
        <w:t>’</w:t>
      </w:r>
      <w:r>
        <w:t>efficacité de l</w:t>
      </w:r>
      <w:r w:rsidR="00E11528">
        <w:t>’</w:t>
      </w:r>
      <w:r>
        <w:t>organisation des activités de renforcement des capacités, avec le développement de modules spécifiques dédiés aux rapports périodiques et à l</w:t>
      </w:r>
      <w:r w:rsidR="00E11528">
        <w:t>’</w:t>
      </w:r>
      <w:r>
        <w:t>organisation de sessions de formation ciblées au niveau régional. Cette proposition devrait aussi permettre aux États parties d</w:t>
      </w:r>
      <w:r w:rsidR="00E11528">
        <w:t>’</w:t>
      </w:r>
      <w:r>
        <w:t>une région donnée de bénéficier plus facilement d</w:t>
      </w:r>
      <w:r w:rsidR="00E11528">
        <w:t>’</w:t>
      </w:r>
      <w:r>
        <w:t xml:space="preserve">une collaboration aux niveaux régional et </w:t>
      </w:r>
      <w:proofErr w:type="spellStart"/>
      <w:r>
        <w:t>sous-régional</w:t>
      </w:r>
      <w:proofErr w:type="spellEnd"/>
      <w:r w:rsidR="00FB06A7">
        <w:t xml:space="preserve">. </w:t>
      </w:r>
      <w:r w:rsidR="00B512B3">
        <w:t>Par ailleurs,</w:t>
      </w:r>
      <w:r>
        <w:t xml:space="preserve"> les activités de renforcement des capacités permettront d</w:t>
      </w:r>
      <w:r w:rsidR="00E11528">
        <w:t>’</w:t>
      </w:r>
      <w:r>
        <w:t>encourager le dialogue et les échanges autour des expériences nationales.</w:t>
      </w:r>
    </w:p>
    <w:p w14:paraId="7C589D18" w14:textId="02B17108" w:rsidR="00874590" w:rsidRPr="00053CFA" w:rsidRDefault="0031637C" w:rsidP="00DF033B">
      <w:pPr>
        <w:pStyle w:val="COMPara"/>
        <w:numPr>
          <w:ilvl w:val="0"/>
          <w:numId w:val="6"/>
        </w:numPr>
        <w:spacing w:before="120"/>
        <w:ind w:left="567" w:hanging="567"/>
        <w:jc w:val="both"/>
      </w:pPr>
      <w:r>
        <w:t>Dans la pratique, le passage à un cycle régional de rapports nationaux sur la mise en œuvre de la Convention</w:t>
      </w:r>
      <w:r w:rsidR="004D43D1">
        <w:t xml:space="preserve"> et sur le statut des éléments inscrits sur la Liste représentative </w:t>
      </w:r>
      <w:r>
        <w:t>nécessite plusieurs étapes avant que le nouveau calendrier puisse être complètement mis en place. Il est proposé que lors de la treizième session du Comité en 2018, les rapports qui doivent être soumis au plus tard le 15 décembre 2017 soient examinés pour la dernière fois dans le cadre de la procédure existante.</w:t>
      </w:r>
      <w:r w:rsidR="004D43D1">
        <w:t xml:space="preserve"> Après la septième Session de l’Assemblée Générale en juin 2018 et lorsque cette dernière aura approuvé la version finale du cadre global de résultats, le Secrétariat sera en mesure de commencer la révision du formulaire de rap</w:t>
      </w:r>
      <w:r w:rsidR="00084445">
        <w:t>port périodique ICH</w:t>
      </w:r>
      <w:r w:rsidR="00084445">
        <w:noBreakHyphen/>
      </w:r>
      <w:r w:rsidR="004D43D1">
        <w:t xml:space="preserve">10 afin de </w:t>
      </w:r>
      <w:r w:rsidR="000B60A0">
        <w:t xml:space="preserve">l’harmonier avec le cadre et commencer à rédiger les matériaux de renforcement des capacités. Cette période de transition commencera durant la deuxième moitié de 2018 et se poursuivra tout au long de l’année 2019, ce qui signifie que la soumission des rapports périodiques sur la mise en œuvre de la Convention sera suspendue à la date du 15 décembre 2018 et 2019, y compris pour les rapports tardifs. Le formulaire révisé ICH-10 ainsi que les matériaux de renforcement des capacités seront donc présentés au Comité lors de sa </w:t>
      </w:r>
      <w:r w:rsidR="00B27FC8">
        <w:t>quatorzième s</w:t>
      </w:r>
      <w:r w:rsidR="000B60A0">
        <w:t>ession en 2019. Le Secrétariat sera en mesure de mettre en œuvre la nouvelle procédure rela</w:t>
      </w:r>
      <w:r w:rsidR="009F57A4">
        <w:t>tive aux rapports périodiques sur la mise en œuvre de la Convention dans la première région au début de l’année 2020.</w:t>
      </w:r>
    </w:p>
    <w:p w14:paraId="22CFDF8B" w14:textId="3C6C2CED" w:rsidR="0031637C" w:rsidRPr="00053CFA" w:rsidRDefault="004453FC" w:rsidP="00A54203">
      <w:pPr>
        <w:pStyle w:val="COMPara"/>
        <w:numPr>
          <w:ilvl w:val="0"/>
          <w:numId w:val="6"/>
        </w:numPr>
        <w:spacing w:before="120"/>
        <w:ind w:left="567" w:hanging="567"/>
        <w:jc w:val="both"/>
      </w:pPr>
      <w:r>
        <w:t xml:space="preserve">Cette transition sera </w:t>
      </w:r>
      <w:r w:rsidR="009F57A4">
        <w:t xml:space="preserve">en partie </w:t>
      </w:r>
      <w:r>
        <w:t>facilitée par la généreuse contribution volontaire supplémentaire de la République de Corée au Fonds du patrimoine culturel immatériel, à hauteur de 300 000 dollars des États-Unis, qui a été approuvée par le Comité lors de sa onzième session (</w:t>
      </w:r>
      <w:hyperlink r:id="rId15" w:history="1">
        <w:r>
          <w:rPr>
            <w:rStyle w:val="Hyperlink"/>
          </w:rPr>
          <w:t>décision 11.</w:t>
        </w:r>
        <w:r>
          <w:rPr>
            <w:rStyle w:val="Hyperlink"/>
          </w:rPr>
          <w:t>C</w:t>
        </w:r>
        <w:r>
          <w:rPr>
            <w:rStyle w:val="Hyperlink"/>
          </w:rPr>
          <w:t>OM 6</w:t>
        </w:r>
      </w:hyperlink>
      <w:r>
        <w:t xml:space="preserve">). Les activités prévues dans le cadre de cette contribution incluent la mise en adéquation du mécanisme de </w:t>
      </w:r>
      <w:r w:rsidR="00A54203">
        <w:t xml:space="preserve">soumission </w:t>
      </w:r>
      <w:r>
        <w:t>des rapports périodiques avec le cadre global de résultats de la Convention de 2003, la mise en œuvre du nouveau système de présentation des rapports et l</w:t>
      </w:r>
      <w:r w:rsidR="00E11528">
        <w:t>’</w:t>
      </w:r>
      <w:r>
        <w:t>élaboration d</w:t>
      </w:r>
      <w:r w:rsidR="00E11528">
        <w:t>’</w:t>
      </w:r>
      <w:r>
        <w:t>un outil de soumission des rapports en ligne.</w:t>
      </w:r>
    </w:p>
    <w:p w14:paraId="46BDD5E6" w14:textId="49FEB472" w:rsidR="007B38C0" w:rsidRDefault="00DF033B" w:rsidP="004D3F07">
      <w:pPr>
        <w:pStyle w:val="COMPara"/>
        <w:numPr>
          <w:ilvl w:val="0"/>
          <w:numId w:val="6"/>
        </w:numPr>
        <w:spacing w:before="120"/>
        <w:ind w:left="567" w:hanging="567"/>
        <w:jc w:val="both"/>
      </w:pPr>
      <w:r>
        <w:t>Le cycle régional de rapports nationaux pourrait s</w:t>
      </w:r>
      <w:r w:rsidR="00E11528">
        <w:t>’</w:t>
      </w:r>
      <w:r>
        <w:t>étendre sur six années, en attribuant une année à chaque groupe électoral de l</w:t>
      </w:r>
      <w:r w:rsidR="00E11528">
        <w:t>’</w:t>
      </w:r>
      <w:r>
        <w:t>UNESCO. L</w:t>
      </w:r>
      <w:r w:rsidR="00E11528">
        <w:t>’</w:t>
      </w:r>
      <w:r>
        <w:t>ordre d</w:t>
      </w:r>
      <w:r w:rsidR="00E11528">
        <w:t>’</w:t>
      </w:r>
      <w:r>
        <w:t xml:space="preserve">examen par groupe électoral pour chaque cycle régional de six ans </w:t>
      </w:r>
      <w:r w:rsidR="009F57A4">
        <w:t xml:space="preserve">pourrait </w:t>
      </w:r>
      <w:r>
        <w:t>être établi par le Comité à travers une décision qui devra être prise au début du cycle en question. Il pourrait être envisagé comme expliqué ci-après. Le cycle commencerait par des actions entreprises en </w:t>
      </w:r>
      <w:r w:rsidR="009F57A4">
        <w:t xml:space="preserve">2020 </w:t>
      </w:r>
      <w:r>
        <w:t xml:space="preserve">dans la première région. Les progrès accomplis dans cette région seraient présentés au Comité lors de sa </w:t>
      </w:r>
      <w:r w:rsidR="009F57A4">
        <w:t xml:space="preserve">quinzième </w:t>
      </w:r>
      <w:r>
        <w:t>session à la fin de cette année. Les rapports des États parties de la première région devraient être soumis au plus tard le 15 décembre</w:t>
      </w:r>
      <w:r w:rsidR="000B3CEB">
        <w:t> </w:t>
      </w:r>
      <w:r w:rsidR="009F57A4">
        <w:t>2020</w:t>
      </w:r>
      <w:r>
        <w:t xml:space="preserve"> pour être examinés par le Comité lors de sa </w:t>
      </w:r>
      <w:r w:rsidR="009F57A4">
        <w:t xml:space="preserve">seizième </w:t>
      </w:r>
      <w:r>
        <w:t>session en </w:t>
      </w:r>
      <w:r w:rsidR="009F57A4">
        <w:t>2021</w:t>
      </w:r>
      <w:r>
        <w:t>. Parallèlement, les États parties de la deuxième région commenceraient à préparer leur</w:t>
      </w:r>
      <w:r w:rsidR="00A54203">
        <w:t>s</w:t>
      </w:r>
      <w:r>
        <w:t xml:space="preserve"> rapport</w:t>
      </w:r>
      <w:r w:rsidR="00A54203">
        <w:t>s</w:t>
      </w:r>
      <w:r>
        <w:t xml:space="preserve"> périodique</w:t>
      </w:r>
      <w:r w:rsidR="00A54203">
        <w:t>s</w:t>
      </w:r>
      <w:r>
        <w:t xml:space="preserve"> en </w:t>
      </w:r>
      <w:r w:rsidR="009F57A4">
        <w:t xml:space="preserve">2021 </w:t>
      </w:r>
      <w:r>
        <w:t>pour les soumettre au plus tard le 15 décembre </w:t>
      </w:r>
      <w:r w:rsidR="009F57A4">
        <w:t>2021</w:t>
      </w:r>
      <w:r>
        <w:t>. Ce processus serait répété pour le reste des régions et le Comité terminerait l</w:t>
      </w:r>
      <w:r w:rsidR="00E11528">
        <w:t>’</w:t>
      </w:r>
      <w:r>
        <w:t>examen des rapports de toutes les régions en </w:t>
      </w:r>
      <w:r w:rsidR="009F57A4">
        <w:t>2026</w:t>
      </w:r>
      <w:r>
        <w:t>. Le deuxième cycle commencerait donc en </w:t>
      </w:r>
      <w:r w:rsidR="009F57A4">
        <w:t>2027</w:t>
      </w:r>
      <w:r>
        <w:t>.</w:t>
      </w:r>
      <w:r w:rsidR="009F57A4">
        <w:t xml:space="preserve"> Pour les États qui vont ratifier la Convention au cours d’un cycle régional, il faudra réfléchir au délai qui leur sera accordé entre la ratification et la soumission de leur premier rapport.</w:t>
      </w:r>
      <w:r>
        <w:t xml:space="preserve"> Le calendrier pour le premier cycle régional de rapports nationaux pourrait être</w:t>
      </w:r>
      <w:r w:rsidR="009F57A4">
        <w:t xml:space="preserve"> déjà</w:t>
      </w:r>
      <w:r>
        <w:t xml:space="preserve"> établi par le Comité lors de sa treizième session en 2018 après l</w:t>
      </w:r>
      <w:r w:rsidR="00E11528">
        <w:t>’</w:t>
      </w:r>
      <w:r>
        <w:t>adoption des nouvelles Directives opérationnelles par l</w:t>
      </w:r>
      <w:r w:rsidR="00E11528">
        <w:t>’</w:t>
      </w:r>
      <w:r>
        <w:t>Assemblée générale.</w:t>
      </w:r>
    </w:p>
    <w:p w14:paraId="7BC3A162" w14:textId="3D1882DB" w:rsidR="00375F5B" w:rsidRDefault="00906C2C" w:rsidP="006610D9">
      <w:pPr>
        <w:pStyle w:val="COMPara"/>
        <w:numPr>
          <w:ilvl w:val="0"/>
          <w:numId w:val="6"/>
        </w:numPr>
        <w:spacing w:before="120"/>
        <w:ind w:left="567" w:hanging="567"/>
        <w:jc w:val="both"/>
      </w:pPr>
      <w:r>
        <w:t>Pour l</w:t>
      </w:r>
      <w:r w:rsidR="00E11528">
        <w:t>’</w:t>
      </w:r>
      <w:r>
        <w:t>heure, la proposition ne vise pas à changer la procédure de soumission des rapports sur l</w:t>
      </w:r>
      <w:r w:rsidR="00E11528">
        <w:t>’</w:t>
      </w:r>
      <w:r>
        <w:t>état des éléments inscrits sur la Liste de sauvegarde urgente. Cela s</w:t>
      </w:r>
      <w:r w:rsidR="00E11528">
        <w:t>’</w:t>
      </w:r>
      <w:r>
        <w:t>explique en grande partie par la réflexion amorcée par le Comité concernant l</w:t>
      </w:r>
      <w:r w:rsidR="00E11528">
        <w:t>’</w:t>
      </w:r>
      <w:r>
        <w:t>avenir des listes et de plusieurs mécanismes importants en lien avec les listes, tels que le transfert et le retrait d</w:t>
      </w:r>
      <w:r w:rsidR="00E11528">
        <w:t>’</w:t>
      </w:r>
      <w:r>
        <w:t>éléments inscrits. Lorsque cette réflexion aura m</w:t>
      </w:r>
      <w:r w:rsidR="001A4FD6">
        <w:t>û</w:t>
      </w:r>
      <w:r>
        <w:t>ri, le Comité sera mieux à même de déterminer s</w:t>
      </w:r>
      <w:r w:rsidR="00E11528">
        <w:t>’</w:t>
      </w:r>
      <w:r>
        <w:t>il est préférable d</w:t>
      </w:r>
      <w:r w:rsidR="00E11528">
        <w:t>’</w:t>
      </w:r>
      <w:r>
        <w:t>aligner le mécanisme de soumission des rapports relatifs à la Liste de sauvegarde urgente sur le calendrier régional ou de conserver un système séparé, comme cela est le cas actuellement, selon un calendrier quadriennal et en fonction de l</w:t>
      </w:r>
      <w:r w:rsidR="00E11528">
        <w:t>’</w:t>
      </w:r>
      <w:r>
        <w:t>année d</w:t>
      </w:r>
      <w:r w:rsidR="00E11528">
        <w:t>’</w:t>
      </w:r>
      <w:r>
        <w:t>inscription.</w:t>
      </w:r>
    </w:p>
    <w:p w14:paraId="655C9E01" w14:textId="42BA9B05" w:rsidR="0031637C" w:rsidRDefault="006D0D0E" w:rsidP="0031637C">
      <w:pPr>
        <w:pStyle w:val="COMPara"/>
        <w:numPr>
          <w:ilvl w:val="0"/>
          <w:numId w:val="6"/>
        </w:numPr>
        <w:spacing w:before="120"/>
        <w:ind w:left="567" w:hanging="567"/>
        <w:jc w:val="both"/>
      </w:pPr>
      <w:r>
        <w:t>En outre, il n</w:t>
      </w:r>
      <w:r w:rsidR="00E11528">
        <w:t>’</w:t>
      </w:r>
      <w:r>
        <w:t>a pas été proposé de réviser la procédure relative aux États non parties à la Convention qui soumettent des rapports sur des éléments inscrits sur la Liste représentative. Cette procédure ne concerne à l</w:t>
      </w:r>
      <w:r w:rsidR="00E11528">
        <w:t>’</w:t>
      </w:r>
      <w:r>
        <w:t>heure actuelle qu</w:t>
      </w:r>
      <w:r w:rsidR="00E11528">
        <w:t>’</w:t>
      </w:r>
      <w:r>
        <w:t>un seul État (la Fédération de Russie). Ce processus de soumission de rapports continuera à suivre un cycle de six ans, en fonction de l</w:t>
      </w:r>
      <w:r w:rsidR="00E11528">
        <w:t>’</w:t>
      </w:r>
      <w:r>
        <w:t>année d</w:t>
      </w:r>
      <w:r w:rsidR="00E11528">
        <w:t>’</w:t>
      </w:r>
      <w:r>
        <w:t>intégration des Chefs-d</w:t>
      </w:r>
      <w:r w:rsidR="00E11528">
        <w:t>’</w:t>
      </w:r>
      <w:r>
        <w:t>œuvre dans la Liste représentative.</w:t>
      </w:r>
    </w:p>
    <w:p w14:paraId="1B131BB9" w14:textId="395ED17F" w:rsidR="001437A5" w:rsidRDefault="00A54203" w:rsidP="00A54203">
      <w:pPr>
        <w:pStyle w:val="COMPara"/>
        <w:numPr>
          <w:ilvl w:val="0"/>
          <w:numId w:val="6"/>
        </w:numPr>
        <w:spacing w:before="120"/>
        <w:ind w:left="567" w:hanging="567"/>
        <w:jc w:val="both"/>
      </w:pPr>
      <w:r>
        <w:t>La nouvelle approche de soumission</w:t>
      </w:r>
      <w:r w:rsidR="001437A5">
        <w:t xml:space="preserve"> des rapports périodiques telle que proposée dans ce document nécessiterait d</w:t>
      </w:r>
      <w:r w:rsidR="00E11528">
        <w:t>’</w:t>
      </w:r>
      <w:r w:rsidR="001437A5">
        <w:t xml:space="preserve">apporter des amendements aux Directives opérationnelles, </w:t>
      </w:r>
      <w:r>
        <w:t xml:space="preserve">tels que </w:t>
      </w:r>
      <w:r w:rsidR="001437A5">
        <w:t xml:space="preserve">présentés en annexe, que le Comité </w:t>
      </w:r>
      <w:r>
        <w:t>pourrait décider</w:t>
      </w:r>
      <w:r w:rsidR="001437A5">
        <w:t xml:space="preserve"> de recommander à l</w:t>
      </w:r>
      <w:r w:rsidR="00E11528">
        <w:t>’</w:t>
      </w:r>
      <w:r w:rsidR="001437A5">
        <w:t>Assemblée générale pour approbation.</w:t>
      </w:r>
    </w:p>
    <w:p w14:paraId="173CB844" w14:textId="0597C9CF" w:rsidR="006572C8" w:rsidRPr="00385AED" w:rsidRDefault="00FE0A0B" w:rsidP="001C4BDD">
      <w:pPr>
        <w:pStyle w:val="COMPara"/>
        <w:numPr>
          <w:ilvl w:val="0"/>
          <w:numId w:val="6"/>
        </w:numPr>
        <w:spacing w:before="120"/>
        <w:ind w:left="567" w:hanging="567"/>
        <w:jc w:val="both"/>
      </w:pPr>
      <w:r>
        <w:t>Outre les révisions précédemment mentionnées pour passer à un cycle régional de rapports nationaux, le Secrétariat propose de réviser les Directives opérationnelles (paragraphes 152, 161 et 169) de façon à prendre en compte le fait que les rapports périodiques seraient soumis en ligne à partir de 2018. Grâce à la généreuse contribution de la République de Corée évoquée plus haut, le Secrétariat a pu élaborer un outil en ligne pour que les États puissent soumettre leur</w:t>
      </w:r>
      <w:r w:rsidR="00A54203">
        <w:t>s</w:t>
      </w:r>
      <w:r>
        <w:t xml:space="preserve"> rapport</w:t>
      </w:r>
      <w:r w:rsidR="00A54203">
        <w:t>s</w:t>
      </w:r>
      <w:r>
        <w:t xml:space="preserve"> en ligne. Cette nouvelle possibilité simplifiera la saisie des données, permettra au Secrétariat de suivre régulièrement l</w:t>
      </w:r>
      <w:r w:rsidR="00E11528">
        <w:t>’</w:t>
      </w:r>
      <w:r>
        <w:t xml:space="preserve">avancée de la soumission des rapports et améliorera la diffusion des données contenues dans les rapports périodiques. Cet outil devrait être mis à la disposition des États parties, </w:t>
      </w:r>
      <w:r w:rsidR="00B512B3">
        <w:t>à titre expérimental</w:t>
      </w:r>
      <w:r>
        <w:t xml:space="preserve"> et volontaire, </w:t>
      </w:r>
      <w:r w:rsidR="00772139">
        <w:t>avant</w:t>
      </w:r>
      <w:r>
        <w:t xml:space="preserve"> la date limite de soumission des rapports sur les éléments inscrits sur la Liste de sauvegarde urgente, fixée au 15 décembre 2017. L</w:t>
      </w:r>
      <w:r w:rsidR="00E11528">
        <w:t>’</w:t>
      </w:r>
      <w:r>
        <w:t>expérience acquise avec le formulaire ICH-11 servira de base pour perfectionner</w:t>
      </w:r>
      <w:r w:rsidR="001C4BDD">
        <w:t>, en 2018,</w:t>
      </w:r>
      <w:r>
        <w:t xml:space="preserve"> l</w:t>
      </w:r>
      <w:r w:rsidR="00E11528">
        <w:t>’</w:t>
      </w:r>
      <w:r>
        <w:t>outil en ligne relatif aux rapports périodiques sur la mise en œuvre de la Convention (formulaire ICH-10).</w:t>
      </w:r>
    </w:p>
    <w:p w14:paraId="4A7931F6" w14:textId="070FD843" w:rsidR="00FE0A0B" w:rsidRPr="00041A66" w:rsidRDefault="00670EA1" w:rsidP="006610D9">
      <w:pPr>
        <w:pStyle w:val="COMPara"/>
        <w:numPr>
          <w:ilvl w:val="0"/>
          <w:numId w:val="6"/>
        </w:numPr>
        <w:spacing w:before="120"/>
        <w:ind w:left="567" w:hanging="567"/>
        <w:jc w:val="both"/>
      </w:pPr>
      <w:r w:rsidRPr="00401F12">
        <w:t>Enfin, le texte du paragraphe 166 est révisé de façon à se conformer à la pratique existante concernant la publication des rapports</w:t>
      </w:r>
      <w:r>
        <w:t xml:space="preserve"> et de leur aperçu. Il est également proposé de supprimer le paragraphe 167, car il serait désormais préférable de placer la seconde moitié de ce paragraphe dans le paragraphe 166. Il est aussi proposé de réviser le paragraphe 162 concernant les rapports sur la Liste de sauvegarde urgente afin de satisfaire la demande formulée par le Comité lors de sa dixième session en 2015 d</w:t>
      </w:r>
      <w:r w:rsidR="00E11528">
        <w:t>’</w:t>
      </w:r>
      <w:r>
        <w:t>inclure la possibilité pour les États ayant soumis un rapport de mettre à jour leurs plans de sauvegarde (</w:t>
      </w:r>
      <w:hyperlink r:id="rId16" w:history="1">
        <w:r w:rsidRPr="003E02F3">
          <w:rPr>
            <w:rStyle w:val="Hyperlink"/>
          </w:rPr>
          <w:t>décision 10.C</w:t>
        </w:r>
        <w:r w:rsidRPr="003E02F3">
          <w:rPr>
            <w:rStyle w:val="Hyperlink"/>
          </w:rPr>
          <w:t>O</w:t>
        </w:r>
        <w:r w:rsidRPr="003E02F3">
          <w:rPr>
            <w:rStyle w:val="Hyperlink"/>
          </w:rPr>
          <w:t>M 6.b</w:t>
        </w:r>
      </w:hyperlink>
      <w:r>
        <w:t>).</w:t>
      </w:r>
    </w:p>
    <w:p w14:paraId="471B4A12" w14:textId="77777777" w:rsidR="00D95C4C" w:rsidRPr="00EA528C" w:rsidRDefault="000B1C8F" w:rsidP="006610D9">
      <w:pPr>
        <w:pStyle w:val="COMPara"/>
        <w:keepNext/>
        <w:numPr>
          <w:ilvl w:val="0"/>
          <w:numId w:val="6"/>
        </w:numPr>
        <w:spacing w:before="120"/>
        <w:ind w:left="567" w:hanging="567"/>
        <w:jc w:val="both"/>
      </w:pPr>
      <w:r>
        <w:t>Le Comité souhaitera peut-être adopter la décision suivante :</w:t>
      </w:r>
    </w:p>
    <w:p w14:paraId="7CF56169" w14:textId="7F2AFAE7" w:rsidR="00D95C4C" w:rsidRPr="00FD624F" w:rsidRDefault="004A34A0" w:rsidP="00041A66">
      <w:pPr>
        <w:pStyle w:val="COMTitleDecision"/>
        <w:rPr>
          <w:rFonts w:eastAsia="SimSun"/>
        </w:rPr>
      </w:pPr>
      <w:r>
        <w:t>PROJET DE DÉCISION 12.COM 10</w:t>
      </w:r>
    </w:p>
    <w:p w14:paraId="6CA70748" w14:textId="77777777" w:rsidR="00D95C4C" w:rsidRPr="00285BB4" w:rsidRDefault="00285BB4" w:rsidP="00285BB4">
      <w:pPr>
        <w:pStyle w:val="COMPreambulaDecisions"/>
        <w:rPr>
          <w:rFonts w:eastAsia="SimSun"/>
        </w:rPr>
      </w:pPr>
      <w:r>
        <w:t>Le Comité,</w:t>
      </w:r>
    </w:p>
    <w:p w14:paraId="5ECF4506" w14:textId="77777777" w:rsidR="0057439C" w:rsidRPr="00345CB4" w:rsidRDefault="00D95C4C" w:rsidP="00A94FE1">
      <w:pPr>
        <w:pStyle w:val="COMParaDecision"/>
        <w:ind w:left="1134" w:hanging="567"/>
      </w:pPr>
      <w:r>
        <w:t>Ayant examiné</w:t>
      </w:r>
      <w:r>
        <w:rPr>
          <w:u w:val="none"/>
        </w:rPr>
        <w:t xml:space="preserve"> le document ITH/17/12.COM/</w:t>
      </w:r>
      <w:r w:rsidRPr="00084445">
        <w:rPr>
          <w:u w:val="none"/>
        </w:rPr>
        <w:t>10</w:t>
      </w:r>
      <w:r>
        <w:rPr>
          <w:u w:val="none"/>
        </w:rPr>
        <w:t>,</w:t>
      </w:r>
    </w:p>
    <w:p w14:paraId="5097D85C" w14:textId="77777777" w:rsidR="0057439C" w:rsidRPr="00345CB4" w:rsidRDefault="0057439C" w:rsidP="00A94FE1">
      <w:pPr>
        <w:pStyle w:val="COMParaDecision"/>
        <w:ind w:left="1134" w:hanging="567"/>
      </w:pPr>
      <w:r>
        <w:t>Rappelant</w:t>
      </w:r>
      <w:r>
        <w:rPr>
          <w:u w:val="none"/>
        </w:rPr>
        <w:t xml:space="preserve"> les articles 7(f), 29 et 30 de la Convention,</w:t>
      </w:r>
    </w:p>
    <w:p w14:paraId="6C5431D0" w14:textId="2BB1E193" w:rsidR="00F96908" w:rsidRDefault="00D01765" w:rsidP="00A94FE1">
      <w:pPr>
        <w:pStyle w:val="COMParaDecision"/>
        <w:ind w:left="1134" w:hanging="567"/>
      </w:pPr>
      <w:r>
        <w:t>Prenant note</w:t>
      </w:r>
      <w:r>
        <w:rPr>
          <w:u w:val="none"/>
        </w:rPr>
        <w:t xml:space="preserve"> de la discussion du groupe de travail intergouvernemental à composition non limitée sur l</w:t>
      </w:r>
      <w:r w:rsidR="00E11528">
        <w:rPr>
          <w:u w:val="none"/>
        </w:rPr>
        <w:t>’</w:t>
      </w:r>
      <w:r>
        <w:rPr>
          <w:u w:val="none"/>
        </w:rPr>
        <w:t>élaboration d</w:t>
      </w:r>
      <w:r w:rsidR="00E11528">
        <w:rPr>
          <w:u w:val="none"/>
        </w:rPr>
        <w:t>’</w:t>
      </w:r>
      <w:r>
        <w:rPr>
          <w:u w:val="none"/>
        </w:rPr>
        <w:t>un cadre global de résultats pour la Convention, telle que reflétée dans le documen</w:t>
      </w:r>
      <w:r w:rsidRPr="00084445">
        <w:rPr>
          <w:u w:val="none"/>
        </w:rPr>
        <w:t>t </w:t>
      </w:r>
      <w:hyperlink r:id="rId17" w:history="1">
        <w:r w:rsidRPr="00084445">
          <w:rPr>
            <w:rStyle w:val="Hyperlink"/>
          </w:rPr>
          <w:t>ITH/17/12</w:t>
        </w:r>
        <w:r w:rsidRPr="00084445">
          <w:rPr>
            <w:rStyle w:val="Hyperlink"/>
          </w:rPr>
          <w:t>.</w:t>
        </w:r>
        <w:r w:rsidRPr="00084445">
          <w:rPr>
            <w:rStyle w:val="Hyperlink"/>
          </w:rPr>
          <w:t>COM/9</w:t>
        </w:r>
      </w:hyperlink>
      <w:r>
        <w:rPr>
          <w:u w:val="none"/>
        </w:rPr>
        <w:t>,</w:t>
      </w:r>
    </w:p>
    <w:p w14:paraId="7507E415" w14:textId="50968600" w:rsidR="00E24948" w:rsidRDefault="0057439C" w:rsidP="00A54203">
      <w:pPr>
        <w:pStyle w:val="COMParaDecision"/>
        <w:ind w:left="1134" w:hanging="567"/>
      </w:pPr>
      <w:r>
        <w:t>Décide</w:t>
      </w:r>
      <w:r>
        <w:rPr>
          <w:u w:val="none"/>
        </w:rPr>
        <w:t xml:space="preserve"> de réformer le processus de soumission des rapports périodiques </w:t>
      </w:r>
      <w:r w:rsidR="00A54203">
        <w:rPr>
          <w:u w:val="none"/>
        </w:rPr>
        <w:t>en vue d’en améliorer</w:t>
      </w:r>
      <w:r>
        <w:rPr>
          <w:u w:val="none"/>
        </w:rPr>
        <w:t xml:space="preserve"> </w:t>
      </w:r>
      <w:r w:rsidR="00A54203">
        <w:rPr>
          <w:u w:val="none"/>
        </w:rPr>
        <w:t xml:space="preserve">la </w:t>
      </w:r>
      <w:r>
        <w:rPr>
          <w:u w:val="none"/>
        </w:rPr>
        <w:t xml:space="preserve">qualité, </w:t>
      </w:r>
      <w:r w:rsidR="00A54203">
        <w:rPr>
          <w:u w:val="none"/>
        </w:rPr>
        <w:t>l’</w:t>
      </w:r>
      <w:r>
        <w:rPr>
          <w:u w:val="none"/>
        </w:rPr>
        <w:t xml:space="preserve">utilité et </w:t>
      </w:r>
      <w:r w:rsidR="00A54203">
        <w:rPr>
          <w:u w:val="none"/>
        </w:rPr>
        <w:t xml:space="preserve">la </w:t>
      </w:r>
      <w:r>
        <w:rPr>
          <w:u w:val="none"/>
        </w:rPr>
        <w:t>rapidité, en veillant à ce qu</w:t>
      </w:r>
      <w:r w:rsidR="00E11528">
        <w:rPr>
          <w:u w:val="none"/>
        </w:rPr>
        <w:t>’</w:t>
      </w:r>
      <w:r>
        <w:rPr>
          <w:u w:val="none"/>
        </w:rPr>
        <w:t>il soit clairement conforme aux principaux objectifs de la mise en œuvre de la Convention de 2003 et en permettant un suivi plus efficace en vue de la réalisation de ces objectifs ;</w:t>
      </w:r>
    </w:p>
    <w:p w14:paraId="4F3ED1B9" w14:textId="06F9EB10" w:rsidR="009F57A4" w:rsidRDefault="00BB7DEB" w:rsidP="00A94FE1">
      <w:pPr>
        <w:pStyle w:val="COMParaDecision"/>
        <w:ind w:left="1134" w:hanging="567"/>
      </w:pPr>
      <w:r>
        <w:t>Décide également</w:t>
      </w:r>
      <w:r w:rsidRPr="009F3963">
        <w:rPr>
          <w:u w:val="none"/>
        </w:rPr>
        <w:t xml:space="preserve"> </w:t>
      </w:r>
      <w:r>
        <w:rPr>
          <w:u w:val="none"/>
        </w:rPr>
        <w:t>de modifier</w:t>
      </w:r>
      <w:r w:rsidR="00B27FC8">
        <w:rPr>
          <w:u w:val="none"/>
        </w:rPr>
        <w:t xml:space="preserve"> l’échéance de la soumission des rapports nationaux sur base de l’article 29 de la Convention afin de permettre aux </w:t>
      </w:r>
      <w:r w:rsidR="00B27FC8" w:rsidRPr="009F3963">
        <w:rPr>
          <w:u w:val="none"/>
        </w:rPr>
        <w:t>États parties de soumettre leur rapport tous les six mois, selon une rotation régionale ;</w:t>
      </w:r>
    </w:p>
    <w:p w14:paraId="0218E4AA" w14:textId="3C156972" w:rsidR="00417A0F" w:rsidRDefault="00B27FC8">
      <w:pPr>
        <w:pStyle w:val="COMParaDecision"/>
        <w:ind w:left="1134" w:hanging="567"/>
      </w:pPr>
      <w:r>
        <w:t xml:space="preserve">Prend </w:t>
      </w:r>
      <w:r w:rsidRPr="009F3963">
        <w:rPr>
          <w:u w:val="none"/>
        </w:rPr>
        <w:t>note que le</w:t>
      </w:r>
      <w:r w:rsidR="005C364D" w:rsidRPr="009F3963">
        <w:rPr>
          <w:u w:val="none"/>
        </w:rPr>
        <w:t xml:space="preserve"> calendrier pour le</w:t>
      </w:r>
      <w:r w:rsidRPr="009F3963">
        <w:rPr>
          <w:u w:val="none"/>
        </w:rPr>
        <w:t xml:space="preserve"> premier cycle de rapports nationaux sera établi par le Comité lors de sa treizième session</w:t>
      </w:r>
      <w:r w:rsidR="00A54203">
        <w:rPr>
          <w:u w:val="none"/>
        </w:rPr>
        <w:t xml:space="preserve"> en 2018</w:t>
      </w:r>
      <w:r w:rsidRPr="009F3963">
        <w:rPr>
          <w:u w:val="none"/>
        </w:rPr>
        <w:t>, et qu’</w:t>
      </w:r>
      <w:r w:rsidR="005C364D" w:rsidRPr="009F3963">
        <w:rPr>
          <w:u w:val="none"/>
        </w:rPr>
        <w:t xml:space="preserve">une période de transition, </w:t>
      </w:r>
      <w:r w:rsidRPr="009F3963">
        <w:rPr>
          <w:u w:val="none"/>
        </w:rPr>
        <w:t>nécessaire pour réformer le mécanisme de rapport périodique</w:t>
      </w:r>
      <w:r w:rsidR="005C364D" w:rsidRPr="009F3963">
        <w:rPr>
          <w:u w:val="none"/>
        </w:rPr>
        <w:t>,</w:t>
      </w:r>
      <w:r w:rsidRPr="009F3963">
        <w:rPr>
          <w:u w:val="none"/>
        </w:rPr>
        <w:t xml:space="preserve"> sera suivie par la soumission des rapports périodiques</w:t>
      </w:r>
      <w:r w:rsidR="00A54203">
        <w:rPr>
          <w:u w:val="none"/>
        </w:rPr>
        <w:t xml:space="preserve"> nationaux</w:t>
      </w:r>
      <w:r w:rsidRPr="009F3963">
        <w:rPr>
          <w:u w:val="none"/>
        </w:rPr>
        <w:t xml:space="preserve"> de la part de la première région le 15</w:t>
      </w:r>
      <w:r w:rsidR="000B3CEB">
        <w:rPr>
          <w:u w:val="none"/>
        </w:rPr>
        <w:t> </w:t>
      </w:r>
      <w:r w:rsidRPr="009F3963">
        <w:rPr>
          <w:u w:val="none"/>
        </w:rPr>
        <w:t>décembre</w:t>
      </w:r>
      <w:r w:rsidR="000B3CEB">
        <w:rPr>
          <w:u w:val="none"/>
        </w:rPr>
        <w:t> </w:t>
      </w:r>
      <w:r w:rsidRPr="009F3963">
        <w:rPr>
          <w:u w:val="none"/>
        </w:rPr>
        <w:t>2020 pour examen par le Comité lors de sa seizième session en 2021</w:t>
      </w:r>
      <w:r w:rsidR="006E5B4A" w:rsidRPr="009F3963">
        <w:rPr>
          <w:u w:val="none"/>
        </w:rPr>
        <w:t> </w:t>
      </w:r>
      <w:r w:rsidR="00417A0F">
        <w:rPr>
          <w:u w:val="none"/>
        </w:rPr>
        <w:t>;</w:t>
      </w:r>
    </w:p>
    <w:p w14:paraId="4AC5ECA5" w14:textId="1C7B17DA" w:rsidR="00E24948" w:rsidRPr="00E24948" w:rsidRDefault="00E24948" w:rsidP="00A54203">
      <w:pPr>
        <w:pStyle w:val="COMParaDecision"/>
        <w:ind w:left="1134" w:hanging="567"/>
      </w:pPr>
      <w:r>
        <w:t>Demande</w:t>
      </w:r>
      <w:r>
        <w:rPr>
          <w:u w:val="none"/>
        </w:rPr>
        <w:t xml:space="preserve"> au Secrétariat d</w:t>
      </w:r>
      <w:r w:rsidR="00E11528">
        <w:rPr>
          <w:u w:val="none"/>
        </w:rPr>
        <w:t>’</w:t>
      </w:r>
      <w:r>
        <w:rPr>
          <w:u w:val="none"/>
        </w:rPr>
        <w:t xml:space="preserve">informer le Comité </w:t>
      </w:r>
      <w:r w:rsidR="00A54203">
        <w:rPr>
          <w:u w:val="none"/>
        </w:rPr>
        <w:t>sur</w:t>
      </w:r>
      <w:r>
        <w:rPr>
          <w:u w:val="none"/>
        </w:rPr>
        <w:t xml:space="preserve"> la transition vers une réforme du mécanisme de soumission des rapports périodiques lors de sa treizième session ;</w:t>
      </w:r>
    </w:p>
    <w:p w14:paraId="240EB149" w14:textId="565D7332" w:rsidR="009C6614" w:rsidRPr="00EE49F4" w:rsidRDefault="009C6614" w:rsidP="009C6614">
      <w:pPr>
        <w:pStyle w:val="COMParaDecision"/>
        <w:ind w:left="1134" w:hanging="567"/>
      </w:pPr>
      <w:r>
        <w:t>Recommande</w:t>
      </w:r>
      <w:r>
        <w:rPr>
          <w:u w:val="none"/>
        </w:rPr>
        <w:t xml:space="preserve"> à l</w:t>
      </w:r>
      <w:r w:rsidR="00E11528">
        <w:rPr>
          <w:u w:val="none"/>
        </w:rPr>
        <w:t>’</w:t>
      </w:r>
      <w:r>
        <w:rPr>
          <w:u w:val="none"/>
        </w:rPr>
        <w:t xml:space="preserve">Assemblée générale </w:t>
      </w:r>
      <w:r w:rsidR="00B27FC8">
        <w:rPr>
          <w:u w:val="none"/>
        </w:rPr>
        <w:t>d’approuver les modifications apportées aux</w:t>
      </w:r>
      <w:r>
        <w:rPr>
          <w:u w:val="none"/>
        </w:rPr>
        <w:t xml:space="preserve"> Directives opérationnelles pour la mise en œuvre de la Convention, telles qu</w:t>
      </w:r>
      <w:r w:rsidR="00E11528">
        <w:rPr>
          <w:u w:val="none"/>
        </w:rPr>
        <w:t>’</w:t>
      </w:r>
      <w:r>
        <w:rPr>
          <w:u w:val="none"/>
        </w:rPr>
        <w:t>annexées à la présente décision ;</w:t>
      </w:r>
    </w:p>
    <w:p w14:paraId="3B8AFABD" w14:textId="6849729A" w:rsidR="003942C4" w:rsidRDefault="00864F67" w:rsidP="00A54203">
      <w:pPr>
        <w:pStyle w:val="COMParaDecision"/>
        <w:ind w:left="1134" w:hanging="567"/>
        <w:rPr>
          <w:u w:val="none"/>
        </w:rPr>
        <w:sectPr w:rsidR="003942C4" w:rsidSect="00655736">
          <w:headerReference w:type="even" r:id="rId18"/>
          <w:headerReference w:type="default" r:id="rId19"/>
          <w:headerReference w:type="first" r:id="rId20"/>
          <w:pgSz w:w="11906" w:h="16838" w:code="9"/>
          <w:pgMar w:top="1418" w:right="1134" w:bottom="1134" w:left="1134" w:header="397" w:footer="284" w:gutter="0"/>
          <w:cols w:space="708"/>
          <w:titlePg/>
          <w:docGrid w:linePitch="360"/>
        </w:sectPr>
      </w:pPr>
      <w:proofErr w:type="gramStart"/>
      <w:r>
        <w:t>Décide en</w:t>
      </w:r>
      <w:proofErr w:type="gramEnd"/>
      <w:r>
        <w:t xml:space="preserve"> outre</w:t>
      </w:r>
      <w:r>
        <w:rPr>
          <w:u w:val="none"/>
        </w:rPr>
        <w:t xml:space="preserve"> d</w:t>
      </w:r>
      <w:r w:rsidR="00E11528">
        <w:rPr>
          <w:u w:val="none"/>
        </w:rPr>
        <w:t>’</w:t>
      </w:r>
      <w:r>
        <w:rPr>
          <w:u w:val="none"/>
        </w:rPr>
        <w:t>examiner, lors de sa treizième session en 2018, les rapports périodiques</w:t>
      </w:r>
      <w:r w:rsidR="00B27FC8">
        <w:rPr>
          <w:u w:val="none"/>
        </w:rPr>
        <w:t xml:space="preserve"> sur la mise en œuvre de la Convention</w:t>
      </w:r>
      <w:r>
        <w:rPr>
          <w:u w:val="none"/>
        </w:rPr>
        <w:t xml:space="preserve"> qui doivent être soumis au plus tard le 15 décembre 2017 en tant que dernier lot dans le cadre du système </w:t>
      </w:r>
      <w:r w:rsidR="00A54203">
        <w:rPr>
          <w:u w:val="none"/>
        </w:rPr>
        <w:t>qui existe à ce jour</w:t>
      </w:r>
      <w:r>
        <w:rPr>
          <w:u w:val="none"/>
        </w:rPr>
        <w:t>.</w:t>
      </w:r>
      <w:r>
        <w:rPr>
          <w:u w:val="none"/>
        </w:rPr>
        <w:tab/>
      </w:r>
    </w:p>
    <w:p w14:paraId="147BB56C" w14:textId="77777777" w:rsidR="003942C4" w:rsidRPr="00EB77E6" w:rsidRDefault="003942C4" w:rsidP="003942C4">
      <w:pPr>
        <w:pStyle w:val="Marge"/>
        <w:jc w:val="center"/>
        <w:rPr>
          <w:b/>
          <w:bCs/>
        </w:rPr>
      </w:pPr>
      <w:r>
        <w:rPr>
          <w:b/>
          <w:bCs/>
        </w:rPr>
        <w:t>ANNEXE</w:t>
      </w:r>
    </w:p>
    <w:tbl>
      <w:tblPr>
        <w:tblW w:w="15451" w:type="dxa"/>
        <w:tblInd w:w="-602" w:type="dxa"/>
        <w:tblLayout w:type="fixed"/>
        <w:tblCellMar>
          <w:top w:w="57" w:type="dxa"/>
          <w:bottom w:w="57" w:type="dxa"/>
        </w:tblCellMar>
        <w:tblLook w:val="04A0" w:firstRow="1" w:lastRow="0" w:firstColumn="1" w:lastColumn="0" w:noHBand="0" w:noVBand="1"/>
      </w:tblPr>
      <w:tblGrid>
        <w:gridCol w:w="284"/>
        <w:gridCol w:w="796"/>
        <w:gridCol w:w="170"/>
        <w:gridCol w:w="6661"/>
        <w:gridCol w:w="29"/>
        <w:gridCol w:w="821"/>
        <w:gridCol w:w="29"/>
        <w:gridCol w:w="6633"/>
        <w:gridCol w:w="28"/>
      </w:tblGrid>
      <w:tr w:rsidR="003942C4" w:rsidRPr="00EB77E6" w14:paraId="1374FA9E" w14:textId="77777777" w:rsidTr="00196F2F">
        <w:trPr>
          <w:gridBefore w:val="1"/>
          <w:gridAfter w:val="1"/>
          <w:wBefore w:w="284" w:type="dxa"/>
          <w:wAfter w:w="28" w:type="dxa"/>
          <w:cantSplit/>
        </w:trPr>
        <w:tc>
          <w:tcPr>
            <w:tcW w:w="966" w:type="dxa"/>
            <w:gridSpan w:val="2"/>
            <w:shd w:val="clear" w:color="auto" w:fill="auto"/>
          </w:tcPr>
          <w:p w14:paraId="68EBA5DD" w14:textId="77777777" w:rsidR="003942C4" w:rsidRPr="009D2FCA" w:rsidRDefault="003942C4" w:rsidP="00196F2F">
            <w:pPr>
              <w:spacing w:before="120" w:after="120"/>
              <w:jc w:val="right"/>
              <w:rPr>
                <w:rFonts w:ascii="Arial" w:hAnsi="Arial" w:cs="Arial"/>
                <w:b/>
                <w:bCs/>
                <w:sz w:val="22"/>
                <w:szCs w:val="22"/>
                <w:lang w:val="en-GB"/>
              </w:rPr>
            </w:pPr>
          </w:p>
        </w:tc>
        <w:tc>
          <w:tcPr>
            <w:tcW w:w="6661" w:type="dxa"/>
            <w:shd w:val="clear" w:color="auto" w:fill="auto"/>
          </w:tcPr>
          <w:p w14:paraId="3346F312" w14:textId="59FEECF5" w:rsidR="003942C4" w:rsidRPr="009D2FCA" w:rsidRDefault="003942C4" w:rsidP="00F50FE4">
            <w:pPr>
              <w:spacing w:before="120" w:after="120"/>
              <w:jc w:val="both"/>
              <w:rPr>
                <w:rFonts w:ascii="Arial" w:hAnsi="Arial" w:cs="Arial"/>
                <w:b/>
                <w:bCs/>
                <w:sz w:val="22"/>
                <w:szCs w:val="22"/>
              </w:rPr>
            </w:pPr>
            <w:r>
              <w:rPr>
                <w:rFonts w:ascii="Arial" w:hAnsi="Arial"/>
                <w:b/>
                <w:bCs/>
                <w:sz w:val="22"/>
                <w:szCs w:val="22"/>
                <w:u w:val="single"/>
              </w:rPr>
              <w:t>Directives opérationnelles</w:t>
            </w:r>
          </w:p>
        </w:tc>
        <w:tc>
          <w:tcPr>
            <w:tcW w:w="850" w:type="dxa"/>
            <w:gridSpan w:val="2"/>
          </w:tcPr>
          <w:p w14:paraId="43E7D926" w14:textId="77777777" w:rsidR="003942C4" w:rsidRPr="009D2FCA" w:rsidRDefault="003942C4" w:rsidP="00196F2F">
            <w:pPr>
              <w:spacing w:before="120" w:after="120"/>
              <w:jc w:val="right"/>
              <w:rPr>
                <w:rFonts w:ascii="Arial" w:hAnsi="Arial" w:cs="Arial"/>
                <w:b/>
                <w:bCs/>
                <w:sz w:val="22"/>
                <w:szCs w:val="22"/>
                <w:lang w:val="en-GB"/>
              </w:rPr>
            </w:pPr>
          </w:p>
        </w:tc>
        <w:tc>
          <w:tcPr>
            <w:tcW w:w="6662" w:type="dxa"/>
            <w:gridSpan w:val="2"/>
          </w:tcPr>
          <w:p w14:paraId="308257F4" w14:textId="77777777" w:rsidR="003942C4" w:rsidRPr="00DD7D44" w:rsidRDefault="003942C4" w:rsidP="00196F2F">
            <w:pPr>
              <w:spacing w:before="120" w:after="120"/>
              <w:jc w:val="both"/>
              <w:rPr>
                <w:rFonts w:ascii="Arial" w:hAnsi="Arial" w:cs="Arial"/>
                <w:sz w:val="22"/>
                <w:szCs w:val="22"/>
              </w:rPr>
            </w:pPr>
            <w:r>
              <w:rPr>
                <w:rFonts w:ascii="Arial" w:hAnsi="Arial"/>
                <w:b/>
                <w:bCs/>
                <w:sz w:val="22"/>
                <w:szCs w:val="22"/>
                <w:u w:val="single"/>
              </w:rPr>
              <w:t>Modifications proposées</w:t>
            </w:r>
          </w:p>
        </w:tc>
      </w:tr>
      <w:tr w:rsidR="003942C4" w:rsidRPr="00EB77E6" w14:paraId="43667671" w14:textId="77777777" w:rsidTr="00196F2F">
        <w:trPr>
          <w:gridBefore w:val="1"/>
          <w:gridAfter w:val="1"/>
          <w:wBefore w:w="284" w:type="dxa"/>
          <w:wAfter w:w="28" w:type="dxa"/>
          <w:cantSplit/>
        </w:trPr>
        <w:tc>
          <w:tcPr>
            <w:tcW w:w="966" w:type="dxa"/>
            <w:gridSpan w:val="2"/>
            <w:shd w:val="clear" w:color="auto" w:fill="auto"/>
          </w:tcPr>
          <w:p w14:paraId="09BF441C"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V.1</w:t>
            </w:r>
          </w:p>
        </w:tc>
        <w:tc>
          <w:tcPr>
            <w:tcW w:w="6661" w:type="dxa"/>
            <w:shd w:val="clear" w:color="auto" w:fill="auto"/>
          </w:tcPr>
          <w:p w14:paraId="09A4AF4E" w14:textId="77777777" w:rsidR="003942C4" w:rsidRPr="00E717A3" w:rsidRDefault="003942C4" w:rsidP="00196F2F">
            <w:pPr>
              <w:spacing w:before="120" w:after="120"/>
              <w:jc w:val="both"/>
              <w:rPr>
                <w:rFonts w:ascii="Arial" w:hAnsi="Arial" w:cs="Arial"/>
              </w:rPr>
            </w:pPr>
            <w:r>
              <w:rPr>
                <w:rFonts w:ascii="Arial" w:hAnsi="Arial"/>
                <w:b/>
                <w:bCs/>
              </w:rPr>
              <w:t>Rapports des États parties sur la mise en œuvre de la Convention</w:t>
            </w:r>
          </w:p>
        </w:tc>
        <w:tc>
          <w:tcPr>
            <w:tcW w:w="850" w:type="dxa"/>
            <w:gridSpan w:val="2"/>
          </w:tcPr>
          <w:p w14:paraId="0DE6019B"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V.1</w:t>
            </w:r>
          </w:p>
        </w:tc>
        <w:tc>
          <w:tcPr>
            <w:tcW w:w="6662" w:type="dxa"/>
            <w:gridSpan w:val="2"/>
          </w:tcPr>
          <w:p w14:paraId="4BD8489C"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BE4D6B" w:rsidRPr="00EB77E6" w14:paraId="65CEA122" w14:textId="77777777" w:rsidTr="00196F2F">
        <w:trPr>
          <w:gridBefore w:val="1"/>
          <w:gridAfter w:val="1"/>
          <w:wBefore w:w="284" w:type="dxa"/>
          <w:wAfter w:w="28" w:type="dxa"/>
          <w:cantSplit/>
        </w:trPr>
        <w:tc>
          <w:tcPr>
            <w:tcW w:w="966" w:type="dxa"/>
            <w:gridSpan w:val="2"/>
            <w:shd w:val="clear" w:color="auto" w:fill="auto"/>
          </w:tcPr>
          <w:p w14:paraId="4CDAAADC" w14:textId="77777777" w:rsidR="00BE4D6B" w:rsidRPr="00A1056C" w:rsidRDefault="00BE4D6B" w:rsidP="00BE4D6B">
            <w:pPr>
              <w:spacing w:before="120" w:after="120"/>
              <w:jc w:val="right"/>
              <w:rPr>
                <w:rFonts w:ascii="Arial" w:hAnsi="Arial" w:cs="Arial"/>
                <w:sz w:val="22"/>
                <w:szCs w:val="22"/>
              </w:rPr>
            </w:pPr>
            <w:r>
              <w:rPr>
                <w:rFonts w:ascii="Arial" w:hAnsi="Arial"/>
                <w:sz w:val="22"/>
                <w:szCs w:val="22"/>
              </w:rPr>
              <w:t>151.</w:t>
            </w:r>
          </w:p>
        </w:tc>
        <w:tc>
          <w:tcPr>
            <w:tcW w:w="6661" w:type="dxa"/>
            <w:shd w:val="clear" w:color="auto" w:fill="auto"/>
          </w:tcPr>
          <w:p w14:paraId="7BD9A3A4" w14:textId="35D78670" w:rsidR="00BE4D6B" w:rsidRPr="00710CE9" w:rsidRDefault="00BE4D6B" w:rsidP="00BE4D6B">
            <w:pPr>
              <w:spacing w:before="120" w:after="120"/>
              <w:jc w:val="both"/>
              <w:rPr>
                <w:rFonts w:ascii="Arial" w:hAnsi="Arial" w:cs="Arial"/>
                <w:sz w:val="22"/>
                <w:szCs w:val="22"/>
              </w:rPr>
            </w:pPr>
            <w:r>
              <w:rPr>
                <w:rFonts w:ascii="Arial" w:hAnsi="Arial"/>
                <w:sz w:val="22"/>
                <w:szCs w:val="22"/>
              </w:rPr>
              <w:t>Chaque État partie à la Convention soumet périodiquement au Comité des rapports sur les dispositions juridiques, réglementaires et autres mesures prises pour la mise en œuvre de la Convention</w:t>
            </w:r>
            <w:r w:rsidR="00742679">
              <w:rPr>
                <w:rFonts w:ascii="Arial" w:hAnsi="Arial"/>
                <w:sz w:val="22"/>
                <w:szCs w:val="22"/>
              </w:rPr>
              <w:t>.</w:t>
            </w:r>
            <w:r>
              <w:rPr>
                <w:rFonts w:ascii="Arial" w:hAnsi="Arial"/>
                <w:sz w:val="22"/>
                <w:szCs w:val="22"/>
              </w:rPr>
              <w:t xml:space="preserve"> Les États parties sont encouragés à compléter les données rassemblées sur la mise en œuvre de la Convention avec les informations fournies par des organisations non gouvernementales pertinentes</w:t>
            </w:r>
            <w:r w:rsidR="00742679">
              <w:rPr>
                <w:rFonts w:ascii="Arial" w:hAnsi="Arial"/>
                <w:sz w:val="22"/>
                <w:szCs w:val="22"/>
              </w:rPr>
              <w:t>.</w:t>
            </w:r>
          </w:p>
        </w:tc>
        <w:tc>
          <w:tcPr>
            <w:tcW w:w="850" w:type="dxa"/>
            <w:gridSpan w:val="2"/>
          </w:tcPr>
          <w:p w14:paraId="6767D618" w14:textId="77777777" w:rsidR="00BE4D6B" w:rsidRPr="00BA4171" w:rsidRDefault="00BE4D6B" w:rsidP="00BE4D6B">
            <w:pPr>
              <w:spacing w:before="120" w:after="120"/>
              <w:jc w:val="right"/>
              <w:rPr>
                <w:rFonts w:ascii="Arial" w:hAnsi="Arial" w:cs="Arial"/>
                <w:sz w:val="22"/>
                <w:szCs w:val="22"/>
              </w:rPr>
            </w:pPr>
            <w:r>
              <w:rPr>
                <w:rFonts w:ascii="Arial" w:hAnsi="Arial"/>
                <w:sz w:val="22"/>
                <w:szCs w:val="22"/>
              </w:rPr>
              <w:t>151.</w:t>
            </w:r>
          </w:p>
        </w:tc>
        <w:tc>
          <w:tcPr>
            <w:tcW w:w="6662" w:type="dxa"/>
            <w:gridSpan w:val="2"/>
          </w:tcPr>
          <w:p w14:paraId="158D38F4" w14:textId="534E2695" w:rsidR="00BE4D6B" w:rsidRPr="004815DD" w:rsidRDefault="00BE4D6B" w:rsidP="00BE4D6B">
            <w:pPr>
              <w:spacing w:before="120" w:after="120"/>
              <w:ind w:right="175"/>
              <w:jc w:val="both"/>
              <w:rPr>
                <w:rFonts w:ascii="Arial" w:hAnsi="Arial" w:cs="Arial"/>
                <w:sz w:val="22"/>
                <w:szCs w:val="22"/>
              </w:rPr>
            </w:pPr>
            <w:r>
              <w:rPr>
                <w:rFonts w:ascii="Arial" w:hAnsi="Arial"/>
                <w:sz w:val="22"/>
                <w:szCs w:val="22"/>
              </w:rPr>
              <w:t>Aucun changement.</w:t>
            </w:r>
          </w:p>
        </w:tc>
      </w:tr>
      <w:tr w:rsidR="00BE4D6B" w:rsidRPr="009322D2" w14:paraId="05700783" w14:textId="77777777" w:rsidTr="00196F2F">
        <w:trPr>
          <w:gridBefore w:val="1"/>
          <w:gridAfter w:val="1"/>
          <w:wBefore w:w="284" w:type="dxa"/>
          <w:wAfter w:w="28" w:type="dxa"/>
          <w:cantSplit/>
        </w:trPr>
        <w:tc>
          <w:tcPr>
            <w:tcW w:w="966" w:type="dxa"/>
            <w:gridSpan w:val="2"/>
            <w:shd w:val="clear" w:color="auto" w:fill="auto"/>
          </w:tcPr>
          <w:p w14:paraId="430893E8" w14:textId="77777777" w:rsidR="00BE4D6B" w:rsidRPr="00A1056C" w:rsidRDefault="00BE4D6B" w:rsidP="00BE4D6B">
            <w:pPr>
              <w:spacing w:before="120" w:after="120"/>
              <w:jc w:val="right"/>
              <w:rPr>
                <w:rFonts w:ascii="Arial" w:hAnsi="Arial" w:cs="Arial"/>
                <w:sz w:val="22"/>
                <w:szCs w:val="22"/>
              </w:rPr>
            </w:pPr>
            <w:r>
              <w:rPr>
                <w:rFonts w:ascii="Arial" w:hAnsi="Arial"/>
                <w:sz w:val="22"/>
                <w:szCs w:val="22"/>
              </w:rPr>
              <w:t>152.</w:t>
            </w:r>
          </w:p>
        </w:tc>
        <w:tc>
          <w:tcPr>
            <w:tcW w:w="6661" w:type="dxa"/>
            <w:shd w:val="clear" w:color="auto" w:fill="auto"/>
          </w:tcPr>
          <w:p w14:paraId="3B1EFD1B" w14:textId="417E4FCD" w:rsidR="00BE4D6B" w:rsidRPr="00E336A1" w:rsidRDefault="00BE4D6B" w:rsidP="00F96432">
            <w:pPr>
              <w:spacing w:before="120" w:after="120"/>
              <w:jc w:val="both"/>
              <w:rPr>
                <w:rFonts w:ascii="Arial" w:hAnsi="Arial" w:cs="Arial"/>
                <w:color w:val="000000"/>
                <w:sz w:val="22"/>
                <w:szCs w:val="22"/>
              </w:rPr>
            </w:pPr>
            <w:r>
              <w:rPr>
                <w:rFonts w:ascii="Arial" w:hAnsi="Arial"/>
                <w:color w:val="000000"/>
                <w:sz w:val="22"/>
                <w:szCs w:val="22"/>
              </w:rPr>
              <w:t>L</w:t>
            </w:r>
            <w:r w:rsidR="00E11528">
              <w:rPr>
                <w:rFonts w:ascii="Arial" w:hAnsi="Arial"/>
                <w:color w:val="000000"/>
                <w:sz w:val="22"/>
                <w:szCs w:val="22"/>
              </w:rPr>
              <w:t>’</w:t>
            </w:r>
            <w:r>
              <w:rPr>
                <w:rFonts w:ascii="Arial" w:hAnsi="Arial"/>
                <w:color w:val="000000"/>
                <w:sz w:val="22"/>
                <w:szCs w:val="22"/>
              </w:rPr>
              <w:t>État partie soumet son rapport périodique au Comité, au plus tard le 15 décembre de la sixième année qui suit l</w:t>
            </w:r>
            <w:r w:rsidR="00E11528">
              <w:rPr>
                <w:rFonts w:ascii="Arial" w:hAnsi="Arial"/>
                <w:color w:val="000000"/>
                <w:sz w:val="22"/>
                <w:szCs w:val="22"/>
              </w:rPr>
              <w:t>’</w:t>
            </w:r>
            <w:r>
              <w:rPr>
                <w:rFonts w:ascii="Arial" w:hAnsi="Arial"/>
                <w:color w:val="000000"/>
                <w:sz w:val="22"/>
                <w:szCs w:val="22"/>
              </w:rPr>
              <w:t>année où il a déposé son instrument de ratification, d</w:t>
            </w:r>
            <w:r w:rsidR="00E11528">
              <w:rPr>
                <w:rFonts w:ascii="Arial" w:hAnsi="Arial"/>
                <w:color w:val="000000"/>
                <w:sz w:val="22"/>
                <w:szCs w:val="22"/>
              </w:rPr>
              <w:t>’</w:t>
            </w:r>
            <w:r>
              <w:rPr>
                <w:rFonts w:ascii="Arial" w:hAnsi="Arial"/>
                <w:color w:val="000000"/>
                <w:sz w:val="22"/>
                <w:szCs w:val="22"/>
              </w:rPr>
              <w:t>acceptation ou d</w:t>
            </w:r>
            <w:r w:rsidR="00E11528">
              <w:rPr>
                <w:rFonts w:ascii="Arial" w:hAnsi="Arial"/>
                <w:color w:val="000000"/>
                <w:sz w:val="22"/>
                <w:szCs w:val="22"/>
              </w:rPr>
              <w:t>’</w:t>
            </w:r>
            <w:r>
              <w:rPr>
                <w:rFonts w:ascii="Arial" w:hAnsi="Arial"/>
                <w:color w:val="000000"/>
                <w:sz w:val="22"/>
                <w:szCs w:val="22"/>
              </w:rPr>
              <w:t>approbation, et ensuite tous les six ans. Le formulaire ICH-10 est utilisé pour ces rapports. Il est disponible à l</w:t>
            </w:r>
            <w:r w:rsidR="00E11528">
              <w:rPr>
                <w:rFonts w:ascii="Arial" w:hAnsi="Arial"/>
                <w:color w:val="000000"/>
                <w:sz w:val="22"/>
                <w:szCs w:val="22"/>
              </w:rPr>
              <w:t>’</w:t>
            </w:r>
            <w:r>
              <w:rPr>
                <w:rFonts w:ascii="Arial" w:hAnsi="Arial"/>
                <w:color w:val="000000"/>
                <w:sz w:val="22"/>
                <w:szCs w:val="22"/>
              </w:rPr>
              <w:t xml:space="preserve">adresse </w:t>
            </w:r>
            <w:hyperlink r:id="rId21" w:history="1">
              <w:r>
                <w:rPr>
                  <w:rStyle w:val="Hyperlink"/>
                  <w:rFonts w:ascii="Arial" w:hAnsi="Arial"/>
                  <w:sz w:val="22"/>
                  <w:szCs w:val="22"/>
                </w:rPr>
                <w:t>www.unesco.org/culture/ich</w:t>
              </w:r>
            </w:hyperlink>
            <w:r>
              <w:rPr>
                <w:rFonts w:ascii="Arial" w:hAnsi="Arial"/>
                <w:color w:val="000000"/>
                <w:sz w:val="22"/>
                <w:szCs w:val="22"/>
              </w:rPr>
              <w:t xml:space="preserve"> ou sur demande auprès du Secrétariat. Les rapports doivent uniquement inclure les informations requises dans le formulaire.</w:t>
            </w:r>
          </w:p>
        </w:tc>
        <w:tc>
          <w:tcPr>
            <w:tcW w:w="850" w:type="dxa"/>
            <w:gridSpan w:val="2"/>
          </w:tcPr>
          <w:p w14:paraId="2EE0B5C6" w14:textId="77777777" w:rsidR="00BE4D6B" w:rsidRPr="00DB7B2C" w:rsidRDefault="00BE4D6B" w:rsidP="00BE4D6B">
            <w:pPr>
              <w:spacing w:before="120" w:after="120"/>
              <w:jc w:val="right"/>
              <w:rPr>
                <w:rFonts w:ascii="Arial" w:hAnsi="Arial" w:cs="Arial"/>
                <w:sz w:val="22"/>
                <w:szCs w:val="22"/>
              </w:rPr>
            </w:pPr>
            <w:r>
              <w:rPr>
                <w:rFonts w:ascii="Arial" w:hAnsi="Arial"/>
                <w:sz w:val="22"/>
                <w:szCs w:val="22"/>
              </w:rPr>
              <w:t>152.</w:t>
            </w:r>
          </w:p>
        </w:tc>
        <w:tc>
          <w:tcPr>
            <w:tcW w:w="6662" w:type="dxa"/>
            <w:gridSpan w:val="2"/>
          </w:tcPr>
          <w:p w14:paraId="7DAA32E9" w14:textId="59F5DA02" w:rsidR="00BE4D6B" w:rsidRPr="006865E2" w:rsidRDefault="0069105E">
            <w:pPr>
              <w:spacing w:before="120" w:after="120"/>
              <w:jc w:val="both"/>
              <w:rPr>
                <w:rFonts w:ascii="Arial" w:hAnsi="Arial" w:cs="Arial"/>
                <w:strike/>
                <w:color w:val="000000"/>
                <w:sz w:val="22"/>
                <w:szCs w:val="22"/>
              </w:rPr>
            </w:pPr>
            <w:r>
              <w:rPr>
                <w:rFonts w:ascii="Arial" w:hAnsi="Arial"/>
                <w:strike/>
                <w:color w:val="000000"/>
                <w:sz w:val="22"/>
                <w:szCs w:val="22"/>
              </w:rPr>
              <w:t>L</w:t>
            </w:r>
            <w:r w:rsidR="00E11528">
              <w:rPr>
                <w:rFonts w:ascii="Arial" w:hAnsi="Arial"/>
                <w:strike/>
                <w:color w:val="000000"/>
                <w:sz w:val="22"/>
                <w:szCs w:val="22"/>
              </w:rPr>
              <w:t>’</w:t>
            </w:r>
            <w:r>
              <w:rPr>
                <w:rFonts w:ascii="Arial" w:hAnsi="Arial"/>
                <w:strike/>
                <w:color w:val="000000"/>
                <w:sz w:val="22"/>
                <w:szCs w:val="22"/>
              </w:rPr>
              <w:t xml:space="preserve">État partie soumet son rapport périodique </w:t>
            </w:r>
            <w:r>
              <w:rPr>
                <w:rFonts w:ascii="Arial" w:hAnsi="Arial"/>
                <w:b/>
                <w:color w:val="000000"/>
                <w:sz w:val="22"/>
                <w:szCs w:val="22"/>
                <w:u w:val="single"/>
              </w:rPr>
              <w:t>Les États parties soumettent leur rapport périodique national</w:t>
            </w:r>
            <w:r>
              <w:rPr>
                <w:rFonts w:ascii="Arial" w:hAnsi="Arial"/>
                <w:color w:val="000000"/>
                <w:sz w:val="22"/>
                <w:szCs w:val="22"/>
              </w:rPr>
              <w:t xml:space="preserve"> au Comité, au plus tard le 15 décembre</w:t>
            </w:r>
            <w:r>
              <w:rPr>
                <w:rFonts w:ascii="Arial" w:hAnsi="Arial"/>
                <w:b/>
                <w:color w:val="000000"/>
                <w:sz w:val="22"/>
                <w:szCs w:val="22"/>
                <w:u w:val="single"/>
              </w:rPr>
              <w:t>, tous les six ans, selon une rotation région par région. L</w:t>
            </w:r>
            <w:r w:rsidR="00E11528">
              <w:rPr>
                <w:rFonts w:ascii="Arial" w:hAnsi="Arial"/>
                <w:b/>
                <w:color w:val="000000"/>
                <w:sz w:val="22"/>
                <w:szCs w:val="22"/>
                <w:u w:val="single"/>
              </w:rPr>
              <w:t>’</w:t>
            </w:r>
            <w:r>
              <w:rPr>
                <w:rFonts w:ascii="Arial" w:hAnsi="Arial"/>
                <w:b/>
                <w:color w:val="000000"/>
                <w:sz w:val="22"/>
                <w:szCs w:val="22"/>
                <w:u w:val="single"/>
              </w:rPr>
              <w:t>ordre de cette rotation est établi par le Comité au début du cycle de soumission des rapports périodiques de six ans.</w:t>
            </w:r>
            <w:r>
              <w:rPr>
                <w:rFonts w:ascii="Arial" w:hAnsi="Arial"/>
                <w:strike/>
                <w:color w:val="000000"/>
                <w:sz w:val="22"/>
                <w:szCs w:val="22"/>
              </w:rPr>
              <w:t xml:space="preserve"> </w:t>
            </w:r>
            <w:proofErr w:type="gramStart"/>
            <w:r>
              <w:rPr>
                <w:rFonts w:ascii="Arial" w:hAnsi="Arial"/>
                <w:strike/>
                <w:color w:val="000000"/>
                <w:sz w:val="22"/>
                <w:szCs w:val="22"/>
              </w:rPr>
              <w:t>de</w:t>
            </w:r>
            <w:proofErr w:type="gramEnd"/>
            <w:r>
              <w:rPr>
                <w:rFonts w:ascii="Arial" w:hAnsi="Arial"/>
                <w:strike/>
                <w:color w:val="000000"/>
                <w:sz w:val="22"/>
                <w:szCs w:val="22"/>
              </w:rPr>
              <w:t xml:space="preserve"> la sixième année qui suit l</w:t>
            </w:r>
            <w:r w:rsidR="00E11528">
              <w:rPr>
                <w:rFonts w:ascii="Arial" w:hAnsi="Arial"/>
                <w:strike/>
                <w:color w:val="000000"/>
                <w:sz w:val="22"/>
                <w:szCs w:val="22"/>
              </w:rPr>
              <w:t>’</w:t>
            </w:r>
            <w:r>
              <w:rPr>
                <w:rFonts w:ascii="Arial" w:hAnsi="Arial"/>
                <w:strike/>
                <w:color w:val="000000"/>
                <w:sz w:val="22"/>
                <w:szCs w:val="22"/>
              </w:rPr>
              <w:t>année où il a déposé son instrument de ratification, d</w:t>
            </w:r>
            <w:r w:rsidR="00E11528">
              <w:rPr>
                <w:rFonts w:ascii="Arial" w:hAnsi="Arial"/>
                <w:strike/>
                <w:color w:val="000000"/>
                <w:sz w:val="22"/>
                <w:szCs w:val="22"/>
              </w:rPr>
              <w:t>’</w:t>
            </w:r>
            <w:r>
              <w:rPr>
                <w:rFonts w:ascii="Arial" w:hAnsi="Arial"/>
                <w:strike/>
                <w:color w:val="000000"/>
                <w:sz w:val="22"/>
                <w:szCs w:val="22"/>
              </w:rPr>
              <w:t>acceptation ou d</w:t>
            </w:r>
            <w:r w:rsidR="00E11528">
              <w:rPr>
                <w:rFonts w:ascii="Arial" w:hAnsi="Arial"/>
                <w:strike/>
                <w:color w:val="000000"/>
                <w:sz w:val="22"/>
                <w:szCs w:val="22"/>
              </w:rPr>
              <w:t>’</w:t>
            </w:r>
            <w:r>
              <w:rPr>
                <w:rFonts w:ascii="Arial" w:hAnsi="Arial"/>
                <w:strike/>
                <w:color w:val="000000"/>
                <w:sz w:val="22"/>
                <w:szCs w:val="22"/>
              </w:rPr>
              <w:t>approbation, et ensuite tous les six ans</w:t>
            </w:r>
            <w:r>
              <w:rPr>
                <w:rFonts w:ascii="Arial" w:hAnsi="Arial"/>
                <w:color w:val="000000"/>
                <w:sz w:val="22"/>
                <w:szCs w:val="22"/>
              </w:rPr>
              <w:t>.</w:t>
            </w:r>
            <w:r>
              <w:rPr>
                <w:rFonts w:ascii="Arial" w:hAnsi="Arial"/>
                <w:strike/>
                <w:color w:val="000000"/>
                <w:sz w:val="22"/>
                <w:szCs w:val="22"/>
              </w:rPr>
              <w:t xml:space="preserve"> </w:t>
            </w:r>
            <w:r>
              <w:rPr>
                <w:rFonts w:ascii="Arial" w:hAnsi="Arial"/>
                <w:b/>
                <w:sz w:val="22"/>
                <w:szCs w:val="22"/>
                <w:u w:val="single"/>
              </w:rPr>
              <w:t xml:space="preserve">Les États parties utilisent le processus de soumission des rapports périodiques pour </w:t>
            </w:r>
            <w:r w:rsidR="00742679">
              <w:rPr>
                <w:rFonts w:ascii="Arial" w:hAnsi="Arial"/>
                <w:b/>
                <w:sz w:val="22"/>
                <w:szCs w:val="22"/>
                <w:u w:val="single"/>
              </w:rPr>
              <w:t xml:space="preserve">renforcer </w:t>
            </w:r>
            <w:r>
              <w:rPr>
                <w:rFonts w:ascii="Arial" w:hAnsi="Arial"/>
                <w:b/>
                <w:sz w:val="22"/>
                <w:szCs w:val="22"/>
                <w:u w:val="single"/>
              </w:rPr>
              <w:t>la coopération et les échanges actifs au niveau régional.</w:t>
            </w:r>
            <w:r>
              <w:rPr>
                <w:rFonts w:ascii="Arial" w:hAnsi="Arial"/>
                <w:strike/>
                <w:color w:val="000000"/>
                <w:sz w:val="22"/>
                <w:szCs w:val="22"/>
              </w:rPr>
              <w:t xml:space="preserve"> </w:t>
            </w:r>
            <w:r>
              <w:rPr>
                <w:rFonts w:ascii="Arial" w:hAnsi="Arial"/>
                <w:color w:val="000000"/>
                <w:sz w:val="22"/>
                <w:szCs w:val="22"/>
              </w:rPr>
              <w:t xml:space="preserve">Le formulaire ICH-10 </w:t>
            </w:r>
            <w:r>
              <w:rPr>
                <w:rFonts w:ascii="Arial" w:hAnsi="Arial"/>
                <w:strike/>
                <w:color w:val="000000"/>
                <w:sz w:val="22"/>
                <w:szCs w:val="22"/>
              </w:rPr>
              <w:t>est utilisé pour ces rapports. Il est disponible à l</w:t>
            </w:r>
            <w:r w:rsidR="00E11528">
              <w:rPr>
                <w:rFonts w:ascii="Arial" w:hAnsi="Arial"/>
                <w:strike/>
                <w:color w:val="000000"/>
                <w:sz w:val="22"/>
                <w:szCs w:val="22"/>
              </w:rPr>
              <w:t>’</w:t>
            </w:r>
            <w:r>
              <w:rPr>
                <w:rFonts w:ascii="Arial" w:hAnsi="Arial"/>
                <w:strike/>
                <w:color w:val="000000"/>
                <w:sz w:val="22"/>
                <w:szCs w:val="22"/>
              </w:rPr>
              <w:t xml:space="preserve">adresse </w:t>
            </w:r>
            <w:hyperlink r:id="rId22" w:history="1">
              <w:r>
                <w:rPr>
                  <w:rStyle w:val="Hyperlink"/>
                  <w:rFonts w:ascii="Arial" w:hAnsi="Arial"/>
                  <w:strike/>
                  <w:sz w:val="22"/>
                  <w:szCs w:val="22"/>
                </w:rPr>
                <w:t>www.unesco.org/culture/ich</w:t>
              </w:r>
            </w:hyperlink>
            <w:r>
              <w:rPr>
                <w:rFonts w:ascii="Arial" w:hAnsi="Arial"/>
                <w:strike/>
                <w:color w:val="000000"/>
                <w:sz w:val="22"/>
                <w:szCs w:val="22"/>
              </w:rPr>
              <w:t xml:space="preserve"> ou sur demande auprès du Secrétariat. Les rapports doivent uniquement inclure les informations requises dans le formulaire.</w:t>
            </w:r>
            <w:r>
              <w:rPr>
                <w:rFonts w:ascii="Arial" w:hAnsi="Arial"/>
                <w:color w:val="000000"/>
                <w:sz w:val="22"/>
                <w:szCs w:val="22"/>
              </w:rPr>
              <w:t xml:space="preserve"> </w:t>
            </w:r>
            <w:r>
              <w:rPr>
                <w:rFonts w:ascii="Arial" w:hAnsi="Arial"/>
                <w:b/>
                <w:color w:val="000000"/>
                <w:sz w:val="22"/>
                <w:szCs w:val="22"/>
                <w:u w:val="single"/>
              </w:rPr>
              <w:t>doit être rempli en ligne par chaque État partie (</w:t>
            </w:r>
            <w:hyperlink r:id="rId23" w:history="1">
              <w:r>
                <w:rPr>
                  <w:rStyle w:val="Hyperlink"/>
                  <w:rFonts w:ascii="Arial" w:hAnsi="Arial"/>
                  <w:b/>
                  <w:sz w:val="22"/>
                  <w:szCs w:val="22"/>
                </w:rPr>
                <w:t>https://ich.unesco.org/</w:t>
              </w:r>
            </w:hyperlink>
            <w:r>
              <w:rPr>
                <w:rFonts w:ascii="Arial" w:hAnsi="Arial"/>
                <w:b/>
                <w:color w:val="000000"/>
                <w:sz w:val="22"/>
                <w:szCs w:val="22"/>
                <w:u w:val="single"/>
              </w:rPr>
              <w:t xml:space="preserve">) et est révisé </w:t>
            </w:r>
            <w:r w:rsidR="00EE41B1">
              <w:rPr>
                <w:rFonts w:ascii="Arial" w:hAnsi="Arial"/>
                <w:b/>
                <w:color w:val="000000"/>
                <w:sz w:val="22"/>
                <w:szCs w:val="22"/>
                <w:u w:val="single"/>
              </w:rPr>
              <w:t xml:space="preserve">par le Secrétariat </w:t>
            </w:r>
            <w:r>
              <w:rPr>
                <w:rFonts w:ascii="Arial" w:hAnsi="Arial"/>
                <w:b/>
                <w:color w:val="000000"/>
                <w:sz w:val="22"/>
                <w:szCs w:val="22"/>
                <w:u w:val="single"/>
              </w:rPr>
              <w:t xml:space="preserve">à intervalles </w:t>
            </w:r>
            <w:r w:rsidR="006A6CDF">
              <w:rPr>
                <w:rFonts w:ascii="Arial" w:hAnsi="Arial"/>
                <w:b/>
                <w:color w:val="000000"/>
                <w:sz w:val="22"/>
                <w:szCs w:val="22"/>
                <w:u w:val="single"/>
              </w:rPr>
              <w:t>appropriés</w:t>
            </w:r>
            <w:r>
              <w:rPr>
                <w:rFonts w:ascii="Arial" w:hAnsi="Arial"/>
                <w:b/>
                <w:color w:val="000000"/>
                <w:sz w:val="22"/>
                <w:szCs w:val="22"/>
                <w:u w:val="single"/>
              </w:rPr>
              <w:t>.</w:t>
            </w:r>
          </w:p>
        </w:tc>
      </w:tr>
      <w:tr w:rsidR="003942C4" w:rsidRPr="00EB77E6" w14:paraId="52681E51" w14:textId="77777777" w:rsidTr="00196F2F">
        <w:trPr>
          <w:cantSplit/>
        </w:trPr>
        <w:tc>
          <w:tcPr>
            <w:tcW w:w="1080" w:type="dxa"/>
            <w:gridSpan w:val="2"/>
            <w:shd w:val="clear" w:color="auto" w:fill="auto"/>
          </w:tcPr>
          <w:p w14:paraId="35DCF19A"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153.</w:t>
            </w:r>
          </w:p>
        </w:tc>
        <w:tc>
          <w:tcPr>
            <w:tcW w:w="6860" w:type="dxa"/>
            <w:gridSpan w:val="3"/>
            <w:shd w:val="clear" w:color="auto" w:fill="auto"/>
          </w:tcPr>
          <w:p w14:paraId="782D5F95" w14:textId="40FA2434" w:rsidR="003942C4" w:rsidRDefault="006610D9" w:rsidP="00196F2F">
            <w:pPr>
              <w:spacing w:before="120" w:after="120"/>
              <w:jc w:val="both"/>
              <w:rPr>
                <w:rFonts w:ascii="Arial" w:hAnsi="Arial" w:cs="Arial"/>
                <w:color w:val="000000"/>
                <w:sz w:val="22"/>
                <w:szCs w:val="22"/>
              </w:rPr>
            </w:pPr>
            <w:r>
              <w:rPr>
                <w:rFonts w:ascii="Arial" w:hAnsi="Arial"/>
                <w:color w:val="000000"/>
                <w:sz w:val="22"/>
                <w:szCs w:val="22"/>
              </w:rPr>
              <w:t>L</w:t>
            </w:r>
            <w:r w:rsidR="00E11528">
              <w:rPr>
                <w:rFonts w:ascii="Arial" w:hAnsi="Arial"/>
                <w:color w:val="000000"/>
                <w:sz w:val="22"/>
                <w:szCs w:val="22"/>
              </w:rPr>
              <w:t>’</w:t>
            </w:r>
            <w:r>
              <w:rPr>
                <w:rFonts w:ascii="Arial" w:hAnsi="Arial"/>
                <w:color w:val="000000"/>
                <w:sz w:val="22"/>
                <w:szCs w:val="22"/>
              </w:rPr>
              <w:t>État partie fournit des informations concernant les dispositions législatives, réglementaires ou autres prises pour la mise en œuvre de la Convention au niveau national, y compris :</w:t>
            </w:r>
          </w:p>
          <w:p w14:paraId="7FB8D1A2" w14:textId="5ECE09F6" w:rsidR="003942C4" w:rsidRPr="008D7946" w:rsidRDefault="003942C4" w:rsidP="006610D9">
            <w:pPr>
              <w:pStyle w:val="U1"/>
              <w:widowControl/>
              <w:numPr>
                <w:ilvl w:val="0"/>
                <w:numId w:val="7"/>
              </w:numPr>
              <w:tabs>
                <w:tab w:val="clear" w:pos="1701"/>
              </w:tabs>
              <w:ind w:left="656" w:hanging="656"/>
              <w:jc w:val="both"/>
            </w:pPr>
            <w:proofErr w:type="gramStart"/>
            <w:r>
              <w:t>l</w:t>
            </w:r>
            <w:r w:rsidR="00E11528">
              <w:t>’</w:t>
            </w:r>
            <w:r>
              <w:t>établissement</w:t>
            </w:r>
            <w:proofErr w:type="gramEnd"/>
            <w:r>
              <w:t xml:space="preserve"> d</w:t>
            </w:r>
            <w:r w:rsidR="00E11528">
              <w:t>’</w:t>
            </w:r>
            <w:r>
              <w:t>inventaires du patrimoine culturel immatériel présent sur son territoire, comme indiqué aux articles 11 et 12 de la Convention ;</w:t>
            </w:r>
          </w:p>
          <w:p w14:paraId="704F3374" w14:textId="77777777" w:rsidR="003942C4" w:rsidRPr="008D7946" w:rsidRDefault="003942C4" w:rsidP="006610D9">
            <w:pPr>
              <w:pStyle w:val="U1"/>
              <w:widowControl/>
              <w:numPr>
                <w:ilvl w:val="0"/>
                <w:numId w:val="7"/>
              </w:numPr>
              <w:tabs>
                <w:tab w:val="clear" w:pos="1701"/>
              </w:tabs>
              <w:ind w:left="656" w:hanging="656"/>
              <w:jc w:val="both"/>
            </w:pPr>
            <w:proofErr w:type="gramStart"/>
            <w:r>
              <w:t>les</w:t>
            </w:r>
            <w:proofErr w:type="gramEnd"/>
            <w:r>
              <w:t xml:space="preserve"> autres mesures de sauvegarde visées aux articles 11 et 13 de la Convention, y compris :</w:t>
            </w:r>
          </w:p>
          <w:p w14:paraId="2975CFDE" w14:textId="24E70CC9" w:rsidR="003942C4" w:rsidRPr="00084445" w:rsidRDefault="006610D9" w:rsidP="006610D9">
            <w:pPr>
              <w:pStyle w:val="i"/>
              <w:numPr>
                <w:ilvl w:val="0"/>
                <w:numId w:val="9"/>
              </w:numPr>
              <w:tabs>
                <w:tab w:val="left" w:pos="1223"/>
              </w:tabs>
              <w:ind w:left="1223" w:hanging="567"/>
              <w:rPr>
                <w:w w:val="100"/>
              </w:rPr>
            </w:pPr>
            <w:proofErr w:type="gramStart"/>
            <w:r w:rsidRPr="00084445">
              <w:rPr>
                <w:w w:val="100"/>
              </w:rPr>
              <w:t>adopter</w:t>
            </w:r>
            <w:proofErr w:type="gramEnd"/>
            <w:r w:rsidRPr="00084445">
              <w:rPr>
                <w:w w:val="100"/>
              </w:rPr>
              <w:t xml:space="preserve"> une politique générale visant à mettre en valeur la fonction du patrimoine culturel immatériel dans la société et en intégrer la sauvegarde dans des programmes de planification ;</w:t>
            </w:r>
          </w:p>
          <w:p w14:paraId="27B452B0" w14:textId="77777777" w:rsidR="003942C4" w:rsidRPr="00084445" w:rsidRDefault="003942C4" w:rsidP="006610D9">
            <w:pPr>
              <w:pStyle w:val="i"/>
              <w:numPr>
                <w:ilvl w:val="0"/>
                <w:numId w:val="9"/>
              </w:numPr>
              <w:tabs>
                <w:tab w:val="left" w:pos="1223"/>
              </w:tabs>
              <w:ind w:left="1223" w:hanging="567"/>
              <w:rPr>
                <w:w w:val="100"/>
              </w:rPr>
            </w:pPr>
            <w:proofErr w:type="gramStart"/>
            <w:r w:rsidRPr="00084445">
              <w:rPr>
                <w:w w:val="100"/>
              </w:rPr>
              <w:t>encourager</w:t>
            </w:r>
            <w:proofErr w:type="gramEnd"/>
            <w:r w:rsidRPr="00084445">
              <w:rPr>
                <w:w w:val="100"/>
              </w:rPr>
              <w:t xml:space="preserve"> les études scientifiques, techniques et artistiques pour une sauvegarde efficace ;</w:t>
            </w:r>
          </w:p>
          <w:p w14:paraId="4BD4F803" w14:textId="683A1CD1" w:rsidR="003942C4" w:rsidRPr="00F3280F" w:rsidRDefault="003942C4" w:rsidP="00084445">
            <w:pPr>
              <w:pStyle w:val="i"/>
              <w:numPr>
                <w:ilvl w:val="0"/>
                <w:numId w:val="9"/>
              </w:numPr>
              <w:tabs>
                <w:tab w:val="left" w:pos="1223"/>
              </w:tabs>
              <w:spacing w:after="0"/>
              <w:ind w:left="1223" w:hanging="567"/>
              <w:rPr>
                <w:color w:val="000000"/>
              </w:rPr>
            </w:pPr>
            <w:r w:rsidRPr="00084445">
              <w:rPr>
                <w:w w:val="100"/>
              </w:rPr>
              <w:t>faciliter, dans la mesure du possible, l</w:t>
            </w:r>
            <w:r w:rsidR="00E11528" w:rsidRPr="00084445">
              <w:rPr>
                <w:w w:val="100"/>
              </w:rPr>
              <w:t>’</w:t>
            </w:r>
            <w:r w:rsidRPr="00084445">
              <w:rPr>
                <w:w w:val="100"/>
              </w:rPr>
              <w:t>accès aux informations relatives au patrimoine culturel immatériel tout en respectant les pratiques coutumières qui régissent l</w:t>
            </w:r>
            <w:r w:rsidR="00E11528" w:rsidRPr="00084445">
              <w:rPr>
                <w:w w:val="100"/>
              </w:rPr>
              <w:t>’</w:t>
            </w:r>
            <w:r w:rsidRPr="00084445">
              <w:rPr>
                <w:w w:val="100"/>
              </w:rPr>
              <w:t>accès à des aspects spécifiques de ce patrimoine.</w:t>
            </w:r>
          </w:p>
        </w:tc>
        <w:tc>
          <w:tcPr>
            <w:tcW w:w="850" w:type="dxa"/>
            <w:gridSpan w:val="2"/>
          </w:tcPr>
          <w:p w14:paraId="443B6F45" w14:textId="77777777" w:rsidR="003942C4" w:rsidRPr="003B7AFE" w:rsidRDefault="003942C4" w:rsidP="00196F2F">
            <w:pPr>
              <w:spacing w:before="120" w:after="120"/>
              <w:jc w:val="right"/>
              <w:rPr>
                <w:rFonts w:ascii="Arial" w:hAnsi="Arial" w:cs="Arial"/>
                <w:sz w:val="22"/>
                <w:szCs w:val="22"/>
              </w:rPr>
            </w:pPr>
            <w:r>
              <w:rPr>
                <w:rFonts w:ascii="Arial" w:hAnsi="Arial"/>
                <w:sz w:val="22"/>
                <w:szCs w:val="22"/>
              </w:rPr>
              <w:t>153.</w:t>
            </w:r>
          </w:p>
        </w:tc>
        <w:tc>
          <w:tcPr>
            <w:tcW w:w="6661" w:type="dxa"/>
            <w:gridSpan w:val="2"/>
          </w:tcPr>
          <w:p w14:paraId="0876D8CE" w14:textId="64531D01" w:rsidR="003942C4" w:rsidRPr="00F3280F" w:rsidRDefault="00AC76DD" w:rsidP="00AC76DD">
            <w:pPr>
              <w:spacing w:before="120" w:after="120"/>
              <w:jc w:val="both"/>
            </w:pPr>
            <w:r>
              <w:rPr>
                <w:rFonts w:ascii="Arial" w:hAnsi="Arial"/>
                <w:sz w:val="22"/>
                <w:szCs w:val="22"/>
              </w:rPr>
              <w:t>Aucun changement.</w:t>
            </w:r>
          </w:p>
        </w:tc>
      </w:tr>
      <w:tr w:rsidR="003942C4" w:rsidRPr="00EB77E6" w14:paraId="7D8350EE" w14:textId="77777777" w:rsidTr="00196F2F">
        <w:trPr>
          <w:cantSplit/>
        </w:trPr>
        <w:tc>
          <w:tcPr>
            <w:tcW w:w="1080" w:type="dxa"/>
            <w:gridSpan w:val="2"/>
            <w:shd w:val="clear" w:color="auto" w:fill="auto"/>
          </w:tcPr>
          <w:p w14:paraId="7F5FEE33" w14:textId="77777777" w:rsidR="003942C4" w:rsidRPr="00A1056C" w:rsidRDefault="003942C4" w:rsidP="00084445">
            <w:pPr>
              <w:spacing w:after="120"/>
              <w:jc w:val="right"/>
              <w:rPr>
                <w:rFonts w:ascii="Arial" w:hAnsi="Arial" w:cs="Arial"/>
                <w:sz w:val="22"/>
                <w:szCs w:val="22"/>
              </w:rPr>
            </w:pPr>
            <w:r>
              <w:rPr>
                <w:rFonts w:ascii="Arial" w:hAnsi="Arial"/>
                <w:sz w:val="22"/>
                <w:szCs w:val="22"/>
              </w:rPr>
              <w:t>154.</w:t>
            </w:r>
          </w:p>
        </w:tc>
        <w:tc>
          <w:tcPr>
            <w:tcW w:w="6860" w:type="dxa"/>
            <w:gridSpan w:val="3"/>
            <w:shd w:val="clear" w:color="auto" w:fill="auto"/>
          </w:tcPr>
          <w:p w14:paraId="1E42267F" w14:textId="5397F8A3" w:rsidR="003942C4" w:rsidRPr="00E8549D" w:rsidRDefault="006610D9" w:rsidP="00084445">
            <w:pPr>
              <w:spacing w:after="120"/>
              <w:jc w:val="both"/>
              <w:rPr>
                <w:rFonts w:ascii="Arial" w:hAnsi="Arial" w:cs="Arial"/>
                <w:sz w:val="22"/>
                <w:szCs w:val="22"/>
              </w:rPr>
            </w:pPr>
            <w:r>
              <w:rPr>
                <w:rFonts w:ascii="Arial" w:hAnsi="Arial"/>
                <w:sz w:val="22"/>
                <w:szCs w:val="22"/>
              </w:rPr>
              <w:t>L</w:t>
            </w:r>
            <w:r w:rsidR="00E11528">
              <w:rPr>
                <w:rFonts w:ascii="Arial" w:hAnsi="Arial"/>
                <w:sz w:val="22"/>
                <w:szCs w:val="22"/>
              </w:rPr>
              <w:t>’</w:t>
            </w:r>
            <w:r>
              <w:rPr>
                <w:rFonts w:ascii="Arial" w:hAnsi="Arial"/>
                <w:sz w:val="22"/>
                <w:szCs w:val="22"/>
              </w:rPr>
              <w:t>État partie fournit des informations concernant les dispositions législatives, réglementaires ou autres prises par l</w:t>
            </w:r>
            <w:r w:rsidR="00E11528">
              <w:rPr>
                <w:rFonts w:ascii="Arial" w:hAnsi="Arial"/>
                <w:sz w:val="22"/>
                <w:szCs w:val="22"/>
              </w:rPr>
              <w:t>’</w:t>
            </w:r>
            <w:r>
              <w:rPr>
                <w:rFonts w:ascii="Arial" w:hAnsi="Arial"/>
                <w:sz w:val="22"/>
                <w:szCs w:val="22"/>
              </w:rPr>
              <w:t>État partie au niveau national pour renforcer les capacités institutionnelles de sauvegarde du patrimoine culturel immatériel, comme indiqué à l</w:t>
            </w:r>
            <w:r w:rsidR="00E11528">
              <w:rPr>
                <w:rFonts w:ascii="Arial" w:hAnsi="Arial"/>
                <w:sz w:val="22"/>
                <w:szCs w:val="22"/>
              </w:rPr>
              <w:t>’</w:t>
            </w:r>
            <w:r>
              <w:rPr>
                <w:rFonts w:ascii="Arial" w:hAnsi="Arial"/>
                <w:sz w:val="22"/>
                <w:szCs w:val="22"/>
              </w:rPr>
              <w:t>article 13 de la Convention, y compris :</w:t>
            </w:r>
          </w:p>
          <w:p w14:paraId="6ACB954D" w14:textId="77777777" w:rsidR="003942C4" w:rsidRPr="008D7946" w:rsidRDefault="003942C4" w:rsidP="006610D9">
            <w:pPr>
              <w:pStyle w:val="U1"/>
              <w:widowControl/>
              <w:numPr>
                <w:ilvl w:val="0"/>
                <w:numId w:val="13"/>
              </w:numPr>
              <w:tabs>
                <w:tab w:val="clear" w:pos="1701"/>
              </w:tabs>
              <w:ind w:left="656" w:hanging="656"/>
              <w:jc w:val="both"/>
            </w:pPr>
            <w:proofErr w:type="gramStart"/>
            <w:r>
              <w:t>désigner</w:t>
            </w:r>
            <w:proofErr w:type="gramEnd"/>
            <w:r>
              <w:t xml:space="preserve"> ou établir un ou plusieurs organismes compétents pour la sauvegarde de son patrimoine culturel immatériel ;</w:t>
            </w:r>
          </w:p>
          <w:p w14:paraId="1F2B8989" w14:textId="77777777" w:rsidR="003942C4" w:rsidRPr="008D7946" w:rsidRDefault="003942C4" w:rsidP="006610D9">
            <w:pPr>
              <w:pStyle w:val="U1"/>
              <w:widowControl/>
              <w:numPr>
                <w:ilvl w:val="0"/>
                <w:numId w:val="13"/>
              </w:numPr>
              <w:tabs>
                <w:tab w:val="clear" w:pos="1701"/>
              </w:tabs>
              <w:ind w:left="656" w:hanging="656"/>
              <w:jc w:val="both"/>
            </w:pPr>
            <w:proofErr w:type="gramStart"/>
            <w:r>
              <w:t>renforcer</w:t>
            </w:r>
            <w:proofErr w:type="gramEnd"/>
            <w:r>
              <w:t xml:space="preserve"> les institutions de formation à la gestion du patrimoine culturel immatériel ainsi que la transmission de ce patrimoine ;</w:t>
            </w:r>
          </w:p>
          <w:p w14:paraId="6448093C" w14:textId="5C9BCD1C" w:rsidR="003942C4" w:rsidRPr="00334D1B" w:rsidRDefault="003942C4" w:rsidP="006610D9">
            <w:pPr>
              <w:pStyle w:val="U1"/>
              <w:widowControl/>
              <w:numPr>
                <w:ilvl w:val="0"/>
                <w:numId w:val="13"/>
              </w:numPr>
              <w:tabs>
                <w:tab w:val="clear" w:pos="1701"/>
              </w:tabs>
              <w:ind w:left="656" w:hanging="656"/>
              <w:jc w:val="both"/>
            </w:pPr>
            <w:r>
              <w:t>établir des institutions de documentation sur le patrimoine culturel immatériel et, dans la mesure du possible, en faciliter l</w:t>
            </w:r>
            <w:r w:rsidR="00E11528">
              <w:t>’</w:t>
            </w:r>
            <w:r>
              <w:t>accès.</w:t>
            </w:r>
          </w:p>
        </w:tc>
        <w:tc>
          <w:tcPr>
            <w:tcW w:w="850" w:type="dxa"/>
            <w:gridSpan w:val="2"/>
          </w:tcPr>
          <w:p w14:paraId="3A97330A" w14:textId="77777777" w:rsidR="003942C4" w:rsidRPr="00BA4171" w:rsidRDefault="003942C4" w:rsidP="00084445">
            <w:pPr>
              <w:spacing w:after="120"/>
              <w:jc w:val="right"/>
              <w:rPr>
                <w:rFonts w:ascii="Arial" w:hAnsi="Arial" w:cs="Arial"/>
                <w:sz w:val="22"/>
                <w:szCs w:val="22"/>
              </w:rPr>
            </w:pPr>
            <w:r>
              <w:rPr>
                <w:rFonts w:ascii="Arial" w:hAnsi="Arial"/>
                <w:sz w:val="22"/>
                <w:szCs w:val="22"/>
              </w:rPr>
              <w:t>154.</w:t>
            </w:r>
          </w:p>
        </w:tc>
        <w:tc>
          <w:tcPr>
            <w:tcW w:w="6661" w:type="dxa"/>
            <w:gridSpan w:val="2"/>
          </w:tcPr>
          <w:p w14:paraId="2DF3D01A" w14:textId="46B9C919" w:rsidR="003942C4" w:rsidRPr="00D47CFC" w:rsidRDefault="00AC76DD" w:rsidP="00084445">
            <w:pPr>
              <w:spacing w:after="120"/>
              <w:jc w:val="both"/>
              <w:rPr>
                <w:u w:val="single"/>
              </w:rPr>
            </w:pPr>
            <w:r>
              <w:rPr>
                <w:rFonts w:ascii="Arial" w:hAnsi="Arial"/>
                <w:sz w:val="22"/>
                <w:szCs w:val="22"/>
              </w:rPr>
              <w:t>Aucun changement.</w:t>
            </w:r>
          </w:p>
        </w:tc>
      </w:tr>
      <w:tr w:rsidR="003942C4" w:rsidRPr="00EB77E6" w14:paraId="593F8DC9" w14:textId="77777777" w:rsidTr="00196F2F">
        <w:trPr>
          <w:cantSplit/>
        </w:trPr>
        <w:tc>
          <w:tcPr>
            <w:tcW w:w="1080" w:type="dxa"/>
            <w:gridSpan w:val="2"/>
            <w:shd w:val="clear" w:color="auto" w:fill="auto"/>
          </w:tcPr>
          <w:p w14:paraId="31C4B259"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155.</w:t>
            </w:r>
          </w:p>
        </w:tc>
        <w:tc>
          <w:tcPr>
            <w:tcW w:w="6860" w:type="dxa"/>
            <w:gridSpan w:val="3"/>
            <w:shd w:val="clear" w:color="auto" w:fill="auto"/>
          </w:tcPr>
          <w:p w14:paraId="61FACBC8" w14:textId="1DE78B80" w:rsidR="003942C4" w:rsidRPr="0096363C" w:rsidRDefault="006610D9" w:rsidP="00196F2F">
            <w:pPr>
              <w:spacing w:before="120" w:after="120"/>
              <w:jc w:val="both"/>
              <w:rPr>
                <w:rFonts w:ascii="Arial" w:hAnsi="Arial" w:cs="Arial"/>
                <w:sz w:val="22"/>
                <w:szCs w:val="22"/>
              </w:rPr>
            </w:pPr>
            <w:r>
              <w:rPr>
                <w:rFonts w:ascii="Arial" w:hAnsi="Arial"/>
                <w:sz w:val="22"/>
                <w:szCs w:val="22"/>
              </w:rPr>
              <w:t>L</w:t>
            </w:r>
            <w:r w:rsidR="00E11528">
              <w:rPr>
                <w:rFonts w:ascii="Arial" w:hAnsi="Arial"/>
                <w:sz w:val="22"/>
                <w:szCs w:val="22"/>
              </w:rPr>
              <w:t>’</w:t>
            </w:r>
            <w:r>
              <w:rPr>
                <w:rFonts w:ascii="Arial" w:hAnsi="Arial"/>
                <w:sz w:val="22"/>
                <w:szCs w:val="22"/>
              </w:rPr>
              <w:t>État partie fournit des informations concernant les dispositions législatives, réglementaires ou autres prises au niveau national pour assurer une plus grande reconnaissance, le respect et la mise en valeur du patrimoine culturel immatériel, en particulier celles visées à l</w:t>
            </w:r>
            <w:r w:rsidR="00E11528">
              <w:rPr>
                <w:rFonts w:ascii="Arial" w:hAnsi="Arial"/>
                <w:sz w:val="22"/>
                <w:szCs w:val="22"/>
              </w:rPr>
              <w:t>’</w:t>
            </w:r>
            <w:r>
              <w:rPr>
                <w:rFonts w:ascii="Arial" w:hAnsi="Arial"/>
                <w:sz w:val="22"/>
                <w:szCs w:val="22"/>
              </w:rPr>
              <w:t>article 14 de la Convention :</w:t>
            </w:r>
          </w:p>
          <w:p w14:paraId="6D68B47C" w14:textId="550DAC2B" w:rsidR="003942C4" w:rsidRDefault="003942C4" w:rsidP="006610D9">
            <w:pPr>
              <w:pStyle w:val="U1"/>
              <w:widowControl/>
              <w:numPr>
                <w:ilvl w:val="0"/>
                <w:numId w:val="15"/>
              </w:numPr>
              <w:tabs>
                <w:tab w:val="clear" w:pos="1701"/>
              </w:tabs>
              <w:ind w:left="656" w:hanging="656"/>
              <w:jc w:val="both"/>
            </w:pPr>
            <w:proofErr w:type="gramStart"/>
            <w:r>
              <w:t>des</w:t>
            </w:r>
            <w:proofErr w:type="gramEnd"/>
            <w:r>
              <w:t xml:space="preserve"> programmes éducatifs, de sensibilisation et de diffusion d</w:t>
            </w:r>
            <w:r w:rsidR="00E11528">
              <w:t>’</w:t>
            </w:r>
            <w:r>
              <w:t>informations ;</w:t>
            </w:r>
          </w:p>
          <w:p w14:paraId="64E0EA69" w14:textId="77777777" w:rsidR="003942C4" w:rsidRPr="00C16210" w:rsidRDefault="003942C4" w:rsidP="006610D9">
            <w:pPr>
              <w:pStyle w:val="U1"/>
              <w:widowControl/>
              <w:numPr>
                <w:ilvl w:val="0"/>
                <w:numId w:val="15"/>
              </w:numPr>
              <w:tabs>
                <w:tab w:val="clear" w:pos="1701"/>
              </w:tabs>
              <w:ind w:left="656" w:hanging="656"/>
              <w:jc w:val="both"/>
            </w:pPr>
            <w:proofErr w:type="gramStart"/>
            <w:r>
              <w:t>des</w:t>
            </w:r>
            <w:proofErr w:type="gramEnd"/>
            <w:r>
              <w:t xml:space="preserve"> programmes éducatifs et de formation au sein des communautés et des groupes concernés ;</w:t>
            </w:r>
          </w:p>
          <w:p w14:paraId="238DB79B" w14:textId="77777777" w:rsidR="003942C4" w:rsidRPr="0096363C" w:rsidRDefault="003942C4" w:rsidP="006610D9">
            <w:pPr>
              <w:pStyle w:val="U1"/>
              <w:widowControl/>
              <w:numPr>
                <w:ilvl w:val="0"/>
                <w:numId w:val="15"/>
              </w:numPr>
              <w:tabs>
                <w:tab w:val="clear" w:pos="1701"/>
              </w:tabs>
              <w:ind w:left="656" w:hanging="656"/>
              <w:jc w:val="both"/>
            </w:pPr>
            <w:proofErr w:type="gramStart"/>
            <w:r>
              <w:t>des</w:t>
            </w:r>
            <w:proofErr w:type="gramEnd"/>
            <w:r>
              <w:t xml:space="preserve"> activités de renforcement des capacités en matière de sauvegarde du patrimoine culturel immatériel ;</w:t>
            </w:r>
          </w:p>
          <w:p w14:paraId="0EC979A6" w14:textId="77777777" w:rsidR="003942C4" w:rsidRDefault="003942C4" w:rsidP="006610D9">
            <w:pPr>
              <w:pStyle w:val="U1"/>
              <w:widowControl/>
              <w:numPr>
                <w:ilvl w:val="0"/>
                <w:numId w:val="15"/>
              </w:numPr>
              <w:tabs>
                <w:tab w:val="clear" w:pos="1701"/>
              </w:tabs>
              <w:ind w:left="656" w:hanging="656"/>
              <w:jc w:val="both"/>
            </w:pPr>
            <w:proofErr w:type="gramStart"/>
            <w:r>
              <w:t>des</w:t>
            </w:r>
            <w:proofErr w:type="gramEnd"/>
            <w:r>
              <w:t xml:space="preserve"> moyens non formels de transmission des savoirs ;</w:t>
            </w:r>
          </w:p>
          <w:p w14:paraId="624C7B97" w14:textId="77777777" w:rsidR="003942C4" w:rsidRPr="00334D1B" w:rsidRDefault="003942C4" w:rsidP="006610D9">
            <w:pPr>
              <w:pStyle w:val="U1"/>
              <w:widowControl/>
              <w:numPr>
                <w:ilvl w:val="0"/>
                <w:numId w:val="15"/>
              </w:numPr>
              <w:tabs>
                <w:tab w:val="clear" w:pos="1701"/>
              </w:tabs>
              <w:ind w:left="656" w:hanging="656"/>
              <w:jc w:val="both"/>
            </w:pPr>
            <w:r>
              <w:t>une éducation à la protection des espaces naturels et des lieux de mémoire.</w:t>
            </w:r>
          </w:p>
        </w:tc>
        <w:tc>
          <w:tcPr>
            <w:tcW w:w="850" w:type="dxa"/>
            <w:gridSpan w:val="2"/>
          </w:tcPr>
          <w:p w14:paraId="2B2E4917"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155.</w:t>
            </w:r>
          </w:p>
        </w:tc>
        <w:tc>
          <w:tcPr>
            <w:tcW w:w="6661" w:type="dxa"/>
            <w:gridSpan w:val="2"/>
          </w:tcPr>
          <w:p w14:paraId="59A63B58" w14:textId="249F88EE" w:rsidR="003942C4" w:rsidRPr="00BA4171" w:rsidRDefault="00AC76DD" w:rsidP="00AC76DD">
            <w:pPr>
              <w:spacing w:before="120" w:after="120"/>
              <w:jc w:val="both"/>
            </w:pPr>
            <w:r>
              <w:rPr>
                <w:rFonts w:ascii="Arial" w:hAnsi="Arial"/>
                <w:sz w:val="22"/>
                <w:szCs w:val="22"/>
              </w:rPr>
              <w:t>Aucun changement.</w:t>
            </w:r>
          </w:p>
        </w:tc>
      </w:tr>
      <w:tr w:rsidR="003942C4" w:rsidRPr="000536A2" w14:paraId="63A86855" w14:textId="77777777" w:rsidTr="00196F2F">
        <w:trPr>
          <w:cantSplit/>
        </w:trPr>
        <w:tc>
          <w:tcPr>
            <w:tcW w:w="1080" w:type="dxa"/>
            <w:gridSpan w:val="2"/>
            <w:shd w:val="clear" w:color="auto" w:fill="auto"/>
          </w:tcPr>
          <w:p w14:paraId="762F4AA8"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156.</w:t>
            </w:r>
          </w:p>
        </w:tc>
        <w:tc>
          <w:tcPr>
            <w:tcW w:w="6860" w:type="dxa"/>
            <w:gridSpan w:val="3"/>
            <w:shd w:val="clear" w:color="auto" w:fill="auto"/>
          </w:tcPr>
          <w:p w14:paraId="0F500BCA" w14:textId="274615F8" w:rsidR="003942C4" w:rsidRPr="00710CE9" w:rsidRDefault="003942C4" w:rsidP="00196F2F">
            <w:pPr>
              <w:spacing w:before="120" w:after="120"/>
              <w:jc w:val="both"/>
              <w:rPr>
                <w:rFonts w:ascii="Arial" w:hAnsi="Arial" w:cs="Arial"/>
                <w:sz w:val="22"/>
                <w:szCs w:val="22"/>
              </w:rPr>
            </w:pPr>
            <w:r>
              <w:rPr>
                <w:rFonts w:ascii="Arial" w:hAnsi="Arial"/>
                <w:sz w:val="22"/>
                <w:szCs w:val="22"/>
              </w:rPr>
              <w:t>L</w:t>
            </w:r>
            <w:r w:rsidR="00E11528">
              <w:rPr>
                <w:rFonts w:ascii="Arial" w:hAnsi="Arial"/>
                <w:sz w:val="22"/>
                <w:szCs w:val="22"/>
              </w:rPr>
              <w:t>’</w:t>
            </w:r>
            <w:r>
              <w:rPr>
                <w:rFonts w:ascii="Arial" w:hAnsi="Arial"/>
                <w:sz w:val="22"/>
                <w:szCs w:val="22"/>
              </w:rPr>
              <w:t xml:space="preserve">État partie fournit des informations concernant les mesures prises aux niveaux bilatéral, </w:t>
            </w:r>
            <w:proofErr w:type="spellStart"/>
            <w:r>
              <w:rPr>
                <w:rFonts w:ascii="Arial" w:hAnsi="Arial"/>
                <w:sz w:val="22"/>
                <w:szCs w:val="22"/>
              </w:rPr>
              <w:t>sous-régional</w:t>
            </w:r>
            <w:proofErr w:type="spellEnd"/>
            <w:r>
              <w:rPr>
                <w:rFonts w:ascii="Arial" w:hAnsi="Arial"/>
                <w:sz w:val="22"/>
                <w:szCs w:val="22"/>
              </w:rPr>
              <w:t>, régional et international pour la mise en œuvre de la Convention, y compris les mesures de coopération internationale telles que l</w:t>
            </w:r>
            <w:r w:rsidR="00E11528">
              <w:rPr>
                <w:rFonts w:ascii="Arial" w:hAnsi="Arial"/>
                <w:sz w:val="22"/>
                <w:szCs w:val="22"/>
              </w:rPr>
              <w:t>’</w:t>
            </w:r>
            <w:r>
              <w:rPr>
                <w:rFonts w:ascii="Arial" w:hAnsi="Arial"/>
                <w:sz w:val="22"/>
                <w:szCs w:val="22"/>
              </w:rPr>
              <w:t>échange d</w:t>
            </w:r>
            <w:r w:rsidR="00E11528">
              <w:rPr>
                <w:rFonts w:ascii="Arial" w:hAnsi="Arial"/>
                <w:sz w:val="22"/>
                <w:szCs w:val="22"/>
              </w:rPr>
              <w:t>’</w:t>
            </w:r>
            <w:r>
              <w:rPr>
                <w:rFonts w:ascii="Arial" w:hAnsi="Arial"/>
                <w:sz w:val="22"/>
                <w:szCs w:val="22"/>
              </w:rPr>
              <w:t>informations et d</w:t>
            </w:r>
            <w:r w:rsidR="00E11528">
              <w:rPr>
                <w:rFonts w:ascii="Arial" w:hAnsi="Arial"/>
                <w:sz w:val="22"/>
                <w:szCs w:val="22"/>
              </w:rPr>
              <w:t>’</w:t>
            </w:r>
            <w:r>
              <w:rPr>
                <w:rFonts w:ascii="Arial" w:hAnsi="Arial"/>
                <w:sz w:val="22"/>
                <w:szCs w:val="22"/>
              </w:rPr>
              <w:t>expériences, et des initiatives communes, qui sont visées à l</w:t>
            </w:r>
            <w:r w:rsidR="00E11528">
              <w:rPr>
                <w:rFonts w:ascii="Arial" w:hAnsi="Arial"/>
                <w:sz w:val="22"/>
                <w:szCs w:val="22"/>
              </w:rPr>
              <w:t>’</w:t>
            </w:r>
            <w:r>
              <w:rPr>
                <w:rFonts w:ascii="Arial" w:hAnsi="Arial"/>
                <w:sz w:val="22"/>
                <w:szCs w:val="22"/>
              </w:rPr>
              <w:t>article 19 de la Convention.</w:t>
            </w:r>
          </w:p>
        </w:tc>
        <w:tc>
          <w:tcPr>
            <w:tcW w:w="850" w:type="dxa"/>
            <w:gridSpan w:val="2"/>
          </w:tcPr>
          <w:p w14:paraId="0CE1087F"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156.</w:t>
            </w:r>
          </w:p>
        </w:tc>
        <w:tc>
          <w:tcPr>
            <w:tcW w:w="6661" w:type="dxa"/>
            <w:gridSpan w:val="2"/>
          </w:tcPr>
          <w:p w14:paraId="300FA7E2" w14:textId="2E7DDEE6" w:rsidR="003942C4" w:rsidRPr="00BA4171" w:rsidRDefault="00713B9D" w:rsidP="00713B9D">
            <w:pPr>
              <w:spacing w:before="120" w:after="120"/>
              <w:jc w:val="both"/>
              <w:rPr>
                <w:rFonts w:ascii="Arial" w:hAnsi="Arial" w:cs="Arial"/>
                <w:sz w:val="22"/>
                <w:szCs w:val="22"/>
              </w:rPr>
            </w:pPr>
            <w:r>
              <w:rPr>
                <w:rFonts w:ascii="Arial" w:hAnsi="Arial"/>
                <w:sz w:val="22"/>
                <w:szCs w:val="22"/>
              </w:rPr>
              <w:t>Aucun changement.</w:t>
            </w:r>
          </w:p>
        </w:tc>
      </w:tr>
      <w:tr w:rsidR="003942C4" w:rsidRPr="00EB77E6" w14:paraId="48B4DAA3" w14:textId="77777777" w:rsidTr="00196F2F">
        <w:trPr>
          <w:cantSplit/>
        </w:trPr>
        <w:tc>
          <w:tcPr>
            <w:tcW w:w="1080" w:type="dxa"/>
            <w:gridSpan w:val="2"/>
            <w:shd w:val="clear" w:color="auto" w:fill="auto"/>
          </w:tcPr>
          <w:p w14:paraId="4EB77FE9"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157.</w:t>
            </w:r>
          </w:p>
        </w:tc>
        <w:tc>
          <w:tcPr>
            <w:tcW w:w="6860" w:type="dxa"/>
            <w:gridSpan w:val="3"/>
            <w:shd w:val="clear" w:color="auto" w:fill="auto"/>
          </w:tcPr>
          <w:p w14:paraId="70B2F139" w14:textId="2BA2ECC6" w:rsidR="003942C4" w:rsidRPr="0096363C" w:rsidRDefault="006610D9" w:rsidP="00196F2F">
            <w:pPr>
              <w:spacing w:before="120" w:after="120"/>
              <w:jc w:val="both"/>
              <w:rPr>
                <w:rFonts w:ascii="Arial" w:hAnsi="Arial" w:cs="Arial"/>
                <w:sz w:val="22"/>
                <w:szCs w:val="22"/>
              </w:rPr>
            </w:pPr>
            <w:r>
              <w:rPr>
                <w:rFonts w:ascii="Arial" w:hAnsi="Arial"/>
                <w:sz w:val="22"/>
                <w:szCs w:val="22"/>
              </w:rPr>
              <w:t>L</w:t>
            </w:r>
            <w:r w:rsidR="00E11528">
              <w:rPr>
                <w:rFonts w:ascii="Arial" w:hAnsi="Arial"/>
                <w:sz w:val="22"/>
                <w:szCs w:val="22"/>
              </w:rPr>
              <w:t>’</w:t>
            </w:r>
            <w:r>
              <w:rPr>
                <w:rFonts w:ascii="Arial" w:hAnsi="Arial"/>
                <w:sz w:val="22"/>
                <w:szCs w:val="22"/>
              </w:rPr>
              <w:t>État partie fournit des informations concernant l</w:t>
            </w:r>
            <w:r w:rsidR="00E11528">
              <w:rPr>
                <w:rFonts w:ascii="Arial" w:hAnsi="Arial"/>
                <w:sz w:val="22"/>
                <w:szCs w:val="22"/>
              </w:rPr>
              <w:t>’</w:t>
            </w:r>
            <w:r>
              <w:rPr>
                <w:rFonts w:ascii="Arial" w:hAnsi="Arial"/>
                <w:sz w:val="22"/>
                <w:szCs w:val="22"/>
              </w:rPr>
              <w:t>état actuel de tous les éléments du patrimoine culturel immatériel inscrits sur la Liste représentative du patrimoine culturel immatériel de l</w:t>
            </w:r>
            <w:r w:rsidR="00E11528">
              <w:rPr>
                <w:rFonts w:ascii="Arial" w:hAnsi="Arial"/>
                <w:sz w:val="22"/>
                <w:szCs w:val="22"/>
              </w:rPr>
              <w:t>’</w:t>
            </w:r>
            <w:r>
              <w:rPr>
                <w:rFonts w:ascii="Arial" w:hAnsi="Arial"/>
                <w:sz w:val="22"/>
                <w:szCs w:val="22"/>
              </w:rPr>
              <w:t>humanité présents sur son territoire. L</w:t>
            </w:r>
            <w:r w:rsidR="00E11528">
              <w:rPr>
                <w:rFonts w:ascii="Arial" w:hAnsi="Arial"/>
                <w:sz w:val="22"/>
                <w:szCs w:val="22"/>
              </w:rPr>
              <w:t>’</w:t>
            </w:r>
            <w:r>
              <w:rPr>
                <w:rFonts w:ascii="Arial" w:hAnsi="Arial"/>
                <w:sz w:val="22"/>
                <w:szCs w:val="22"/>
              </w:rPr>
              <w:t>État partie accorde une attention particulière au rôle du genre et s</w:t>
            </w:r>
            <w:r w:rsidR="00E11528">
              <w:rPr>
                <w:rFonts w:ascii="Arial" w:hAnsi="Arial"/>
                <w:sz w:val="22"/>
                <w:szCs w:val="22"/>
              </w:rPr>
              <w:t>’</w:t>
            </w:r>
            <w:r>
              <w:rPr>
                <w:rFonts w:ascii="Arial" w:hAnsi="Arial"/>
                <w:sz w:val="22"/>
                <w:szCs w:val="22"/>
              </w:rPr>
              <w:t>efforce d</w:t>
            </w:r>
            <w:r w:rsidR="00E11528">
              <w:rPr>
                <w:rFonts w:ascii="Arial" w:hAnsi="Arial"/>
                <w:sz w:val="22"/>
                <w:szCs w:val="22"/>
              </w:rPr>
              <w:t>’</w:t>
            </w:r>
            <w:r>
              <w:rPr>
                <w:rFonts w:ascii="Arial" w:hAnsi="Arial"/>
                <w:sz w:val="22"/>
                <w:szCs w:val="22"/>
              </w:rPr>
              <w:t>assurer la participation la plus large possible des communautés, des groupes et, le cas échéant, des individus concernés ainsi que des organisations non gouvernementales pertinentes au cours du processus de préparation de ces rapports qui, pour chaque élément concerné, portent sur :</w:t>
            </w:r>
          </w:p>
          <w:p w14:paraId="1BDD00E9" w14:textId="6762812B" w:rsidR="003942C4" w:rsidRPr="0096363C" w:rsidRDefault="003942C4" w:rsidP="006610D9">
            <w:pPr>
              <w:numPr>
                <w:ilvl w:val="0"/>
                <w:numId w:val="10"/>
              </w:numPr>
              <w:spacing w:before="120" w:after="120"/>
              <w:ind w:left="656" w:hanging="656"/>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fonctions sociales et culturelles de l</w:t>
            </w:r>
            <w:r w:rsidR="00E11528">
              <w:rPr>
                <w:rFonts w:ascii="Arial" w:hAnsi="Arial"/>
                <w:sz w:val="22"/>
                <w:szCs w:val="22"/>
              </w:rPr>
              <w:t>’</w:t>
            </w:r>
            <w:r>
              <w:rPr>
                <w:rFonts w:ascii="Arial" w:hAnsi="Arial"/>
                <w:sz w:val="22"/>
                <w:szCs w:val="22"/>
              </w:rPr>
              <w:t>élément ;</w:t>
            </w:r>
          </w:p>
          <w:p w14:paraId="08789F06" w14:textId="77777777" w:rsidR="003942C4" w:rsidRPr="0096363C" w:rsidRDefault="003942C4" w:rsidP="006610D9">
            <w:pPr>
              <w:numPr>
                <w:ilvl w:val="0"/>
                <w:numId w:val="10"/>
              </w:numPr>
              <w:spacing w:before="120" w:after="120"/>
              <w:ind w:left="656" w:hanging="656"/>
              <w:jc w:val="both"/>
              <w:rPr>
                <w:rFonts w:ascii="Arial" w:hAnsi="Arial" w:cs="Arial"/>
                <w:sz w:val="22"/>
                <w:szCs w:val="22"/>
              </w:rPr>
            </w:pPr>
            <w:proofErr w:type="gramStart"/>
            <w:r>
              <w:rPr>
                <w:rFonts w:ascii="Arial" w:hAnsi="Arial"/>
                <w:sz w:val="22"/>
                <w:szCs w:val="22"/>
              </w:rPr>
              <w:t>une</w:t>
            </w:r>
            <w:proofErr w:type="gramEnd"/>
            <w:r>
              <w:rPr>
                <w:rFonts w:ascii="Arial" w:hAnsi="Arial"/>
                <w:sz w:val="22"/>
                <w:szCs w:val="22"/>
              </w:rPr>
              <w:t xml:space="preserve"> analyse de sa viabilité et des risques auxquels il serait confronté le cas échéant ;</w:t>
            </w:r>
          </w:p>
          <w:p w14:paraId="16795B62" w14:textId="77777777" w:rsidR="003942C4" w:rsidRPr="0096363C" w:rsidRDefault="003942C4" w:rsidP="006610D9">
            <w:pPr>
              <w:numPr>
                <w:ilvl w:val="0"/>
                <w:numId w:val="10"/>
              </w:numPr>
              <w:spacing w:before="120" w:after="120"/>
              <w:ind w:left="656" w:hanging="656"/>
              <w:jc w:val="both"/>
              <w:rPr>
                <w:rFonts w:ascii="Arial" w:hAnsi="Arial" w:cs="Arial"/>
                <w:sz w:val="22"/>
                <w:szCs w:val="22"/>
              </w:rPr>
            </w:pPr>
            <w:proofErr w:type="gramStart"/>
            <w:r>
              <w:rPr>
                <w:rFonts w:ascii="Arial" w:hAnsi="Arial"/>
                <w:sz w:val="22"/>
                <w:szCs w:val="22"/>
              </w:rPr>
              <w:t>sa</w:t>
            </w:r>
            <w:proofErr w:type="gramEnd"/>
            <w:r>
              <w:rPr>
                <w:rFonts w:ascii="Arial" w:hAnsi="Arial"/>
                <w:sz w:val="22"/>
                <w:szCs w:val="22"/>
              </w:rPr>
              <w:t xml:space="preserve"> contribution aux buts de la Liste ;</w:t>
            </w:r>
          </w:p>
          <w:p w14:paraId="48B38CE7" w14:textId="770A182B" w:rsidR="003942C4" w:rsidRDefault="003942C4" w:rsidP="006610D9">
            <w:pPr>
              <w:numPr>
                <w:ilvl w:val="0"/>
                <w:numId w:val="10"/>
              </w:numPr>
              <w:spacing w:before="120" w:after="120"/>
              <w:ind w:left="656" w:hanging="656"/>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efforts pour promouvoir ou renforcer l</w:t>
            </w:r>
            <w:r w:rsidR="00E11528">
              <w:rPr>
                <w:rFonts w:ascii="Arial" w:hAnsi="Arial"/>
                <w:sz w:val="22"/>
                <w:szCs w:val="22"/>
              </w:rPr>
              <w:t>’</w:t>
            </w:r>
            <w:r>
              <w:rPr>
                <w:rFonts w:ascii="Arial" w:hAnsi="Arial"/>
                <w:sz w:val="22"/>
                <w:szCs w:val="22"/>
              </w:rPr>
              <w:t>élément, en particulier la mise en œuvre de toutes les mesures qui ont pu être nécessaires en conséquence de son inscription ;</w:t>
            </w:r>
          </w:p>
          <w:p w14:paraId="2B314CA4" w14:textId="33F23B26" w:rsidR="003942C4" w:rsidRPr="00710CE9" w:rsidRDefault="006610D9" w:rsidP="006610D9">
            <w:pPr>
              <w:numPr>
                <w:ilvl w:val="0"/>
                <w:numId w:val="10"/>
              </w:numPr>
              <w:spacing w:before="120" w:after="120"/>
              <w:ind w:left="656" w:hanging="656"/>
              <w:jc w:val="both"/>
              <w:rPr>
                <w:rFonts w:ascii="Arial" w:hAnsi="Arial" w:cs="Arial"/>
                <w:sz w:val="22"/>
                <w:szCs w:val="22"/>
              </w:rPr>
            </w:pPr>
            <w:r>
              <w:rPr>
                <w:rFonts w:ascii="Arial" w:hAnsi="Arial"/>
                <w:sz w:val="22"/>
                <w:szCs w:val="22"/>
              </w:rPr>
              <w:t>la participation des communautés, des groupes et des individus ainsi que des organisations non gouvernementales pertinentes à la sauvegarde de l</w:t>
            </w:r>
            <w:r w:rsidR="00E11528">
              <w:rPr>
                <w:rFonts w:ascii="Arial" w:hAnsi="Arial"/>
                <w:sz w:val="22"/>
                <w:szCs w:val="22"/>
              </w:rPr>
              <w:t>’</w:t>
            </w:r>
            <w:r>
              <w:rPr>
                <w:rFonts w:ascii="Arial" w:hAnsi="Arial"/>
                <w:sz w:val="22"/>
                <w:szCs w:val="22"/>
              </w:rPr>
              <w:t>élément et leur volonté constante d</w:t>
            </w:r>
            <w:r w:rsidR="00E11528">
              <w:rPr>
                <w:rFonts w:ascii="Arial" w:hAnsi="Arial"/>
                <w:sz w:val="22"/>
                <w:szCs w:val="22"/>
              </w:rPr>
              <w:t>’</w:t>
            </w:r>
            <w:r>
              <w:rPr>
                <w:rFonts w:ascii="Arial" w:hAnsi="Arial"/>
                <w:sz w:val="22"/>
                <w:szCs w:val="22"/>
              </w:rPr>
              <w:t>en assurer une sauvegarde continue.</w:t>
            </w:r>
          </w:p>
        </w:tc>
        <w:tc>
          <w:tcPr>
            <w:tcW w:w="850" w:type="dxa"/>
            <w:gridSpan w:val="2"/>
          </w:tcPr>
          <w:p w14:paraId="1D55F770"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157.</w:t>
            </w:r>
          </w:p>
        </w:tc>
        <w:tc>
          <w:tcPr>
            <w:tcW w:w="6661" w:type="dxa"/>
            <w:gridSpan w:val="2"/>
          </w:tcPr>
          <w:p w14:paraId="3603BEA0" w14:textId="2AF5E848" w:rsidR="003942C4" w:rsidRPr="00BA4171" w:rsidRDefault="00AC76DD" w:rsidP="00AC76DD">
            <w:pPr>
              <w:spacing w:before="120" w:after="120"/>
              <w:jc w:val="both"/>
              <w:rPr>
                <w:rFonts w:ascii="Arial" w:hAnsi="Arial" w:cs="Arial"/>
                <w:sz w:val="22"/>
                <w:szCs w:val="22"/>
              </w:rPr>
            </w:pPr>
            <w:r>
              <w:rPr>
                <w:rFonts w:ascii="Arial" w:hAnsi="Arial"/>
                <w:sz w:val="22"/>
                <w:szCs w:val="22"/>
              </w:rPr>
              <w:t>Aucun changement.</w:t>
            </w:r>
          </w:p>
        </w:tc>
      </w:tr>
      <w:tr w:rsidR="003942C4" w:rsidRPr="00BA4171" w14:paraId="4E165BFA" w14:textId="77777777" w:rsidTr="00196F2F">
        <w:trPr>
          <w:cantSplit/>
        </w:trPr>
        <w:tc>
          <w:tcPr>
            <w:tcW w:w="1080" w:type="dxa"/>
            <w:gridSpan w:val="2"/>
            <w:shd w:val="clear" w:color="auto" w:fill="auto"/>
          </w:tcPr>
          <w:p w14:paraId="5D34893D"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158.</w:t>
            </w:r>
          </w:p>
        </w:tc>
        <w:tc>
          <w:tcPr>
            <w:tcW w:w="6860" w:type="dxa"/>
            <w:gridSpan w:val="3"/>
            <w:shd w:val="clear" w:color="auto" w:fill="auto"/>
          </w:tcPr>
          <w:p w14:paraId="4381C3D3" w14:textId="00AB9112" w:rsidR="003942C4" w:rsidRPr="0096363C" w:rsidRDefault="003942C4" w:rsidP="00196F2F">
            <w:pPr>
              <w:spacing w:before="120" w:after="120"/>
              <w:jc w:val="both"/>
              <w:rPr>
                <w:rFonts w:ascii="Arial" w:hAnsi="Arial" w:cs="Arial"/>
                <w:sz w:val="22"/>
                <w:szCs w:val="22"/>
              </w:rPr>
            </w:pPr>
            <w:r>
              <w:rPr>
                <w:rFonts w:ascii="Arial" w:hAnsi="Arial"/>
                <w:sz w:val="22"/>
                <w:szCs w:val="22"/>
              </w:rPr>
              <w:t>L</w:t>
            </w:r>
            <w:r w:rsidR="00E11528">
              <w:rPr>
                <w:rFonts w:ascii="Arial" w:hAnsi="Arial"/>
                <w:sz w:val="22"/>
                <w:szCs w:val="22"/>
              </w:rPr>
              <w:t>’</w:t>
            </w:r>
            <w:r>
              <w:rPr>
                <w:rFonts w:ascii="Arial" w:hAnsi="Arial"/>
                <w:sz w:val="22"/>
                <w:szCs w:val="22"/>
              </w:rPr>
              <w:t>État partie fournit des informations concernant le contexte institutionnel de l</w:t>
            </w:r>
            <w:r w:rsidR="00E11528">
              <w:rPr>
                <w:rFonts w:ascii="Arial" w:hAnsi="Arial"/>
                <w:sz w:val="22"/>
                <w:szCs w:val="22"/>
              </w:rPr>
              <w:t>’</w:t>
            </w:r>
            <w:r>
              <w:rPr>
                <w:rFonts w:ascii="Arial" w:hAnsi="Arial"/>
                <w:sz w:val="22"/>
                <w:szCs w:val="22"/>
              </w:rPr>
              <w:t>élément inscrit sur la Liste représentative du patrimoine culturel immatériel de l</w:t>
            </w:r>
            <w:r w:rsidR="00E11528">
              <w:rPr>
                <w:rFonts w:ascii="Arial" w:hAnsi="Arial"/>
                <w:sz w:val="22"/>
                <w:szCs w:val="22"/>
              </w:rPr>
              <w:t>’</w:t>
            </w:r>
            <w:r>
              <w:rPr>
                <w:rFonts w:ascii="Arial" w:hAnsi="Arial"/>
                <w:sz w:val="22"/>
                <w:szCs w:val="22"/>
              </w:rPr>
              <w:t>humanité, y compris :</w:t>
            </w:r>
          </w:p>
          <w:p w14:paraId="6442473F" w14:textId="77777777" w:rsidR="003942C4" w:rsidRDefault="003942C4" w:rsidP="006610D9">
            <w:pPr>
              <w:numPr>
                <w:ilvl w:val="0"/>
                <w:numId w:val="18"/>
              </w:numPr>
              <w:spacing w:before="120" w:after="120"/>
              <w:ind w:left="656" w:hanging="656"/>
              <w:jc w:val="both"/>
              <w:rPr>
                <w:rFonts w:ascii="Arial" w:hAnsi="Arial" w:cs="Arial"/>
                <w:sz w:val="22"/>
                <w:szCs w:val="22"/>
              </w:rPr>
            </w:pPr>
            <w:proofErr w:type="gramStart"/>
            <w:r>
              <w:rPr>
                <w:rFonts w:ascii="Arial" w:hAnsi="Arial"/>
                <w:sz w:val="22"/>
                <w:szCs w:val="22"/>
              </w:rPr>
              <w:t>le</w:t>
            </w:r>
            <w:proofErr w:type="gramEnd"/>
            <w:r>
              <w:rPr>
                <w:rFonts w:ascii="Arial" w:hAnsi="Arial"/>
                <w:sz w:val="22"/>
                <w:szCs w:val="22"/>
              </w:rPr>
              <w:t xml:space="preserve"> ou les organisme(s) compétent(s) impliqué(s) dans sa gestion et/ou sa sauvegarde ;</w:t>
            </w:r>
          </w:p>
          <w:p w14:paraId="5DB434AB" w14:textId="157D754E" w:rsidR="003942C4" w:rsidRPr="00710CE9" w:rsidRDefault="003942C4" w:rsidP="006610D9">
            <w:pPr>
              <w:numPr>
                <w:ilvl w:val="0"/>
                <w:numId w:val="18"/>
              </w:numPr>
              <w:spacing w:before="120" w:after="120"/>
              <w:ind w:left="656" w:hanging="656"/>
              <w:jc w:val="both"/>
              <w:rPr>
                <w:rFonts w:ascii="Arial" w:hAnsi="Arial" w:cs="Arial"/>
                <w:sz w:val="22"/>
                <w:szCs w:val="22"/>
              </w:rPr>
            </w:pPr>
            <w:r>
              <w:rPr>
                <w:rFonts w:ascii="Arial" w:hAnsi="Arial"/>
                <w:sz w:val="22"/>
                <w:szCs w:val="22"/>
              </w:rPr>
              <w:t>la ou les organisation(s) de la communauté ou du groupe concernée(s) par l</w:t>
            </w:r>
            <w:r w:rsidR="00E11528">
              <w:rPr>
                <w:rFonts w:ascii="Arial" w:hAnsi="Arial"/>
                <w:sz w:val="22"/>
                <w:szCs w:val="22"/>
              </w:rPr>
              <w:t>’</w:t>
            </w:r>
            <w:r>
              <w:rPr>
                <w:rFonts w:ascii="Arial" w:hAnsi="Arial"/>
                <w:sz w:val="22"/>
                <w:szCs w:val="22"/>
              </w:rPr>
              <w:t>élément et sa sauvegarde.</w:t>
            </w:r>
          </w:p>
        </w:tc>
        <w:tc>
          <w:tcPr>
            <w:tcW w:w="850" w:type="dxa"/>
            <w:gridSpan w:val="2"/>
          </w:tcPr>
          <w:p w14:paraId="65557CD4"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158.</w:t>
            </w:r>
          </w:p>
        </w:tc>
        <w:tc>
          <w:tcPr>
            <w:tcW w:w="6661" w:type="dxa"/>
            <w:gridSpan w:val="2"/>
          </w:tcPr>
          <w:p w14:paraId="1BA2C2C2" w14:textId="77777777" w:rsidR="003942C4" w:rsidRPr="00BA4171"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9322D2" w14:paraId="302A18E8" w14:textId="77777777" w:rsidTr="00196F2F">
        <w:trPr>
          <w:cantSplit/>
        </w:trPr>
        <w:tc>
          <w:tcPr>
            <w:tcW w:w="1080" w:type="dxa"/>
            <w:gridSpan w:val="2"/>
            <w:shd w:val="clear" w:color="auto" w:fill="auto"/>
          </w:tcPr>
          <w:p w14:paraId="4AD354F2"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159.</w:t>
            </w:r>
          </w:p>
        </w:tc>
        <w:tc>
          <w:tcPr>
            <w:tcW w:w="6860" w:type="dxa"/>
            <w:gridSpan w:val="3"/>
            <w:shd w:val="clear" w:color="auto" w:fill="auto"/>
          </w:tcPr>
          <w:p w14:paraId="286E9A90" w14:textId="5E844FBD" w:rsidR="003942C4" w:rsidRPr="00710CE9" w:rsidRDefault="003942C4" w:rsidP="00196F2F">
            <w:pPr>
              <w:spacing w:before="120" w:after="120"/>
              <w:jc w:val="both"/>
              <w:rPr>
                <w:rFonts w:ascii="Arial" w:hAnsi="Arial" w:cs="Arial"/>
                <w:sz w:val="22"/>
                <w:szCs w:val="22"/>
              </w:rPr>
            </w:pPr>
            <w:r>
              <w:rPr>
                <w:rFonts w:ascii="Arial" w:hAnsi="Arial"/>
                <w:sz w:val="22"/>
                <w:szCs w:val="22"/>
              </w:rPr>
              <w:t>Les États parties répondent, en temps utile, aux demandes d</w:t>
            </w:r>
            <w:r w:rsidR="00E11528">
              <w:rPr>
                <w:rFonts w:ascii="Arial" w:hAnsi="Arial"/>
                <w:sz w:val="22"/>
                <w:szCs w:val="22"/>
              </w:rPr>
              <w:t>’</w:t>
            </w:r>
            <w:r>
              <w:rPr>
                <w:rFonts w:ascii="Arial" w:hAnsi="Arial"/>
                <w:sz w:val="22"/>
                <w:szCs w:val="22"/>
              </w:rPr>
              <w:t>informations complémentaires spécifiques qui leur sont adressées par le Comité, si nécessaire dans la limite des dates indiquées au paragraphe 152 ci-dessus.</w:t>
            </w:r>
          </w:p>
        </w:tc>
        <w:tc>
          <w:tcPr>
            <w:tcW w:w="850" w:type="dxa"/>
            <w:gridSpan w:val="2"/>
          </w:tcPr>
          <w:p w14:paraId="362C4734"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159.</w:t>
            </w:r>
          </w:p>
        </w:tc>
        <w:tc>
          <w:tcPr>
            <w:tcW w:w="6661" w:type="dxa"/>
            <w:gridSpan w:val="2"/>
          </w:tcPr>
          <w:p w14:paraId="5BB454E7" w14:textId="6BC6582D" w:rsidR="003942C4" w:rsidRPr="00BA4171" w:rsidRDefault="00266661" w:rsidP="00126174">
            <w:pPr>
              <w:spacing w:before="120" w:after="120"/>
              <w:jc w:val="both"/>
              <w:rPr>
                <w:rFonts w:ascii="Arial" w:hAnsi="Arial" w:cs="Arial"/>
                <w:sz w:val="22"/>
                <w:szCs w:val="22"/>
              </w:rPr>
            </w:pPr>
            <w:r>
              <w:rPr>
                <w:rFonts w:ascii="Arial" w:hAnsi="Arial"/>
                <w:sz w:val="22"/>
                <w:szCs w:val="22"/>
              </w:rPr>
              <w:t>Les États parties répondent, en temps utile, aux demandes d</w:t>
            </w:r>
            <w:r w:rsidR="00E11528">
              <w:rPr>
                <w:rFonts w:ascii="Arial" w:hAnsi="Arial"/>
                <w:sz w:val="22"/>
                <w:szCs w:val="22"/>
              </w:rPr>
              <w:t>’</w:t>
            </w:r>
            <w:r>
              <w:rPr>
                <w:rFonts w:ascii="Arial" w:hAnsi="Arial"/>
                <w:sz w:val="22"/>
                <w:szCs w:val="22"/>
              </w:rPr>
              <w:t xml:space="preserve">informations complémentaires spécifiques qui leur sont adressées par le Comité, si nécessaire </w:t>
            </w:r>
            <w:r>
              <w:rPr>
                <w:rFonts w:ascii="Arial" w:hAnsi="Arial"/>
                <w:b/>
                <w:sz w:val="22"/>
                <w:szCs w:val="22"/>
                <w:u w:val="single"/>
              </w:rPr>
              <w:t>et indépendamment du cycle régional établi par le Comité,</w:t>
            </w:r>
            <w:r>
              <w:rPr>
                <w:rFonts w:ascii="Arial" w:hAnsi="Arial"/>
                <w:sz w:val="22"/>
                <w:szCs w:val="22"/>
              </w:rPr>
              <w:t xml:space="preserve"> </w:t>
            </w:r>
            <w:r>
              <w:rPr>
                <w:rFonts w:ascii="Arial" w:hAnsi="Arial"/>
                <w:strike/>
                <w:sz w:val="22"/>
                <w:szCs w:val="22"/>
              </w:rPr>
              <w:t>dans la limite des dates indiquées</w:t>
            </w:r>
            <w:r>
              <w:rPr>
                <w:rFonts w:ascii="Arial" w:hAnsi="Arial"/>
                <w:sz w:val="22"/>
                <w:szCs w:val="22"/>
              </w:rPr>
              <w:t xml:space="preserve"> </w:t>
            </w:r>
            <w:r>
              <w:rPr>
                <w:rFonts w:ascii="Arial" w:hAnsi="Arial"/>
                <w:b/>
                <w:sz w:val="22"/>
                <w:szCs w:val="22"/>
                <w:u w:val="single"/>
              </w:rPr>
              <w:t>conformément</w:t>
            </w:r>
            <w:r>
              <w:rPr>
                <w:rFonts w:ascii="Arial" w:hAnsi="Arial"/>
                <w:sz w:val="22"/>
                <w:szCs w:val="22"/>
              </w:rPr>
              <w:t xml:space="preserve"> au paragraphe 152 ci-dessus.</w:t>
            </w:r>
          </w:p>
        </w:tc>
      </w:tr>
      <w:tr w:rsidR="003942C4" w:rsidRPr="00BA4171" w14:paraId="2C5C2A37" w14:textId="77777777" w:rsidTr="00196F2F">
        <w:trPr>
          <w:cantSplit/>
        </w:trPr>
        <w:tc>
          <w:tcPr>
            <w:tcW w:w="1080" w:type="dxa"/>
            <w:gridSpan w:val="2"/>
            <w:shd w:val="clear" w:color="auto" w:fill="auto"/>
          </w:tcPr>
          <w:p w14:paraId="5A0A40D7"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V.2</w:t>
            </w:r>
          </w:p>
        </w:tc>
        <w:tc>
          <w:tcPr>
            <w:tcW w:w="6860" w:type="dxa"/>
            <w:gridSpan w:val="3"/>
            <w:shd w:val="clear" w:color="auto" w:fill="auto"/>
          </w:tcPr>
          <w:p w14:paraId="566659A9" w14:textId="77777777" w:rsidR="003942C4" w:rsidRPr="00E717A3" w:rsidRDefault="003942C4" w:rsidP="00196F2F">
            <w:pPr>
              <w:spacing w:before="120" w:after="120"/>
              <w:jc w:val="both"/>
              <w:rPr>
                <w:rFonts w:ascii="Arial" w:hAnsi="Arial" w:cs="Arial"/>
              </w:rPr>
            </w:pPr>
            <w:r>
              <w:rPr>
                <w:rFonts w:ascii="Arial" w:hAnsi="Arial"/>
                <w:b/>
                <w:bCs/>
              </w:rPr>
              <w:t>Rapports des États parties sur les éléments inscrits sur la Liste du patrimoine culturel immatériel nécessitant une sauvegarde urgente</w:t>
            </w:r>
          </w:p>
        </w:tc>
        <w:tc>
          <w:tcPr>
            <w:tcW w:w="850" w:type="dxa"/>
            <w:gridSpan w:val="2"/>
          </w:tcPr>
          <w:p w14:paraId="2F8A9544"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V.2</w:t>
            </w:r>
          </w:p>
        </w:tc>
        <w:tc>
          <w:tcPr>
            <w:tcW w:w="6661" w:type="dxa"/>
            <w:gridSpan w:val="2"/>
          </w:tcPr>
          <w:p w14:paraId="728D289E"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BA4171" w14:paraId="38ABCA2A" w14:textId="77777777" w:rsidTr="00196F2F">
        <w:trPr>
          <w:cantSplit/>
        </w:trPr>
        <w:tc>
          <w:tcPr>
            <w:tcW w:w="1080" w:type="dxa"/>
            <w:gridSpan w:val="2"/>
            <w:shd w:val="clear" w:color="auto" w:fill="auto"/>
          </w:tcPr>
          <w:p w14:paraId="66CC3A59"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160.</w:t>
            </w:r>
          </w:p>
        </w:tc>
        <w:tc>
          <w:tcPr>
            <w:tcW w:w="6860" w:type="dxa"/>
            <w:gridSpan w:val="3"/>
            <w:shd w:val="clear" w:color="auto" w:fill="auto"/>
          </w:tcPr>
          <w:p w14:paraId="43E75547" w14:textId="41ECD607" w:rsidR="003942C4" w:rsidRPr="00710CE9" w:rsidRDefault="006610D9" w:rsidP="00196F2F">
            <w:pPr>
              <w:spacing w:before="120" w:after="120"/>
              <w:jc w:val="both"/>
              <w:rPr>
                <w:rFonts w:ascii="Arial" w:hAnsi="Arial" w:cs="Arial"/>
                <w:sz w:val="22"/>
                <w:szCs w:val="22"/>
              </w:rPr>
            </w:pPr>
            <w:r>
              <w:rPr>
                <w:rFonts w:ascii="Arial" w:hAnsi="Arial"/>
                <w:sz w:val="22"/>
                <w:szCs w:val="22"/>
              </w:rPr>
              <w:t>Chaque État partie soumet au Comité des rapports sur l</w:t>
            </w:r>
            <w:r w:rsidR="00E11528">
              <w:rPr>
                <w:rFonts w:ascii="Arial" w:hAnsi="Arial"/>
                <w:sz w:val="22"/>
                <w:szCs w:val="22"/>
              </w:rPr>
              <w:t>’</w:t>
            </w:r>
            <w:r>
              <w:rPr>
                <w:rFonts w:ascii="Arial" w:hAnsi="Arial"/>
                <w:sz w:val="22"/>
                <w:szCs w:val="22"/>
              </w:rPr>
              <w:t>état des éléments du patrimoine culturel immatériel présents sur son territoire qui ont été inscrits sur la Liste du patrimoine culturel immatériel nécessitant une sauvegarde urgente à sa demande ou, en cas d</w:t>
            </w:r>
            <w:r w:rsidR="00E11528">
              <w:rPr>
                <w:rFonts w:ascii="Arial" w:hAnsi="Arial"/>
                <w:sz w:val="22"/>
                <w:szCs w:val="22"/>
              </w:rPr>
              <w:t>’</w:t>
            </w:r>
            <w:r>
              <w:rPr>
                <w:rFonts w:ascii="Arial" w:hAnsi="Arial"/>
                <w:sz w:val="22"/>
                <w:szCs w:val="22"/>
              </w:rPr>
              <w:t>extrême urgence, après l</w:t>
            </w:r>
            <w:r w:rsidR="00E11528">
              <w:rPr>
                <w:rFonts w:ascii="Arial" w:hAnsi="Arial"/>
                <w:sz w:val="22"/>
                <w:szCs w:val="22"/>
              </w:rPr>
              <w:t>’</w:t>
            </w:r>
            <w:r>
              <w:rPr>
                <w:rFonts w:ascii="Arial" w:hAnsi="Arial"/>
                <w:sz w:val="22"/>
                <w:szCs w:val="22"/>
              </w:rPr>
              <w:t>avoir consulté. L</w:t>
            </w:r>
            <w:r w:rsidR="00E11528">
              <w:rPr>
                <w:rFonts w:ascii="Arial" w:hAnsi="Arial"/>
                <w:sz w:val="22"/>
                <w:szCs w:val="22"/>
              </w:rPr>
              <w:t>’</w:t>
            </w:r>
            <w:r>
              <w:rPr>
                <w:rFonts w:ascii="Arial" w:hAnsi="Arial"/>
                <w:sz w:val="22"/>
                <w:szCs w:val="22"/>
              </w:rPr>
              <w:t>État partie s</w:t>
            </w:r>
            <w:r w:rsidR="00E11528">
              <w:rPr>
                <w:rFonts w:ascii="Arial" w:hAnsi="Arial"/>
                <w:sz w:val="22"/>
                <w:szCs w:val="22"/>
              </w:rPr>
              <w:t>’</w:t>
            </w:r>
            <w:r>
              <w:rPr>
                <w:rFonts w:ascii="Arial" w:hAnsi="Arial"/>
                <w:sz w:val="22"/>
                <w:szCs w:val="22"/>
              </w:rPr>
              <w:t>efforce d</w:t>
            </w:r>
            <w:r w:rsidR="00E11528">
              <w:rPr>
                <w:rFonts w:ascii="Arial" w:hAnsi="Arial"/>
                <w:sz w:val="22"/>
                <w:szCs w:val="22"/>
              </w:rPr>
              <w:t>’</w:t>
            </w:r>
            <w:r>
              <w:rPr>
                <w:rFonts w:ascii="Arial" w:hAnsi="Arial"/>
                <w:sz w:val="22"/>
                <w:szCs w:val="22"/>
              </w:rPr>
              <w:t>associer le plus largement possible les communautés, les groupes et, le cas échéant, les individus concernés ainsi que les organisations non gouvernementales pertinentes pendant le processus de préparation de ces rapports</w:t>
            </w:r>
            <w:r w:rsidR="00742679">
              <w:rPr>
                <w:rFonts w:ascii="Arial" w:hAnsi="Arial"/>
                <w:sz w:val="22"/>
                <w:szCs w:val="22"/>
              </w:rPr>
              <w:t>.</w:t>
            </w:r>
          </w:p>
        </w:tc>
        <w:tc>
          <w:tcPr>
            <w:tcW w:w="850" w:type="dxa"/>
            <w:gridSpan w:val="2"/>
          </w:tcPr>
          <w:p w14:paraId="1CBF62AE"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160.</w:t>
            </w:r>
          </w:p>
        </w:tc>
        <w:tc>
          <w:tcPr>
            <w:tcW w:w="6661" w:type="dxa"/>
            <w:gridSpan w:val="2"/>
          </w:tcPr>
          <w:p w14:paraId="75397789" w14:textId="23BD49AB" w:rsidR="003942C4" w:rsidRPr="00BA4171" w:rsidRDefault="00266661" w:rsidP="00266661">
            <w:pPr>
              <w:spacing w:before="120" w:after="120"/>
              <w:jc w:val="both"/>
              <w:rPr>
                <w:rFonts w:ascii="Arial" w:hAnsi="Arial" w:cs="Arial"/>
                <w:sz w:val="22"/>
                <w:szCs w:val="22"/>
              </w:rPr>
            </w:pPr>
            <w:r>
              <w:rPr>
                <w:rFonts w:ascii="Arial" w:hAnsi="Arial"/>
                <w:sz w:val="22"/>
                <w:szCs w:val="22"/>
              </w:rPr>
              <w:t>Aucun changement.</w:t>
            </w:r>
          </w:p>
        </w:tc>
      </w:tr>
      <w:tr w:rsidR="003942C4" w:rsidRPr="009322D2" w14:paraId="62C63FE9" w14:textId="77777777" w:rsidTr="00196F2F">
        <w:trPr>
          <w:cantSplit/>
        </w:trPr>
        <w:tc>
          <w:tcPr>
            <w:tcW w:w="1080" w:type="dxa"/>
            <w:gridSpan w:val="2"/>
            <w:shd w:val="clear" w:color="auto" w:fill="auto"/>
          </w:tcPr>
          <w:p w14:paraId="31778FCA"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161.</w:t>
            </w:r>
          </w:p>
        </w:tc>
        <w:tc>
          <w:tcPr>
            <w:tcW w:w="6860" w:type="dxa"/>
            <w:gridSpan w:val="3"/>
            <w:shd w:val="clear" w:color="auto" w:fill="auto"/>
          </w:tcPr>
          <w:p w14:paraId="52D40CC0" w14:textId="5AB1C990" w:rsidR="003942C4" w:rsidRPr="00710CE9" w:rsidRDefault="006610D9" w:rsidP="00480371">
            <w:pPr>
              <w:spacing w:before="120" w:after="120"/>
              <w:jc w:val="both"/>
              <w:rPr>
                <w:rFonts w:ascii="Arial" w:hAnsi="Arial" w:cs="Arial"/>
                <w:sz w:val="22"/>
                <w:szCs w:val="22"/>
              </w:rPr>
            </w:pPr>
            <w:r>
              <w:rPr>
                <w:rFonts w:ascii="Arial" w:hAnsi="Arial"/>
                <w:sz w:val="22"/>
                <w:szCs w:val="22"/>
              </w:rPr>
              <w:t>Ces rapports sont normalement soumis au Comité, au plus tard le 15 décembre de la quatrième année qui suit l</w:t>
            </w:r>
            <w:r w:rsidR="00E11528">
              <w:rPr>
                <w:rFonts w:ascii="Arial" w:hAnsi="Arial"/>
                <w:sz w:val="22"/>
                <w:szCs w:val="22"/>
              </w:rPr>
              <w:t>’</w:t>
            </w:r>
            <w:r>
              <w:rPr>
                <w:rFonts w:ascii="Arial" w:hAnsi="Arial"/>
                <w:sz w:val="22"/>
                <w:szCs w:val="22"/>
              </w:rPr>
              <w:t>année au cours de laquelle l</w:t>
            </w:r>
            <w:r w:rsidR="00E11528">
              <w:rPr>
                <w:rFonts w:ascii="Arial" w:hAnsi="Arial"/>
                <w:sz w:val="22"/>
                <w:szCs w:val="22"/>
              </w:rPr>
              <w:t>’</w:t>
            </w:r>
            <w:r>
              <w:rPr>
                <w:rFonts w:ascii="Arial" w:hAnsi="Arial"/>
                <w:sz w:val="22"/>
                <w:szCs w:val="22"/>
              </w:rPr>
              <w:t>élément a été inscrit, et ensuite tous les quatre ans</w:t>
            </w:r>
            <w:r w:rsidR="00A95C42">
              <w:rPr>
                <w:rFonts w:ascii="Arial" w:hAnsi="Arial"/>
                <w:sz w:val="22"/>
                <w:szCs w:val="22"/>
              </w:rPr>
              <w:t>.</w:t>
            </w:r>
            <w:r>
              <w:rPr>
                <w:rFonts w:ascii="Arial" w:hAnsi="Arial"/>
                <w:sz w:val="22"/>
                <w:szCs w:val="22"/>
              </w:rPr>
              <w:t xml:space="preserve"> Le formulaire ICH-11 est utilisé pour ces rapports. Il est disponible à l</w:t>
            </w:r>
            <w:r w:rsidR="00E11528">
              <w:rPr>
                <w:rFonts w:ascii="Arial" w:hAnsi="Arial"/>
                <w:sz w:val="22"/>
                <w:szCs w:val="22"/>
              </w:rPr>
              <w:t>’</w:t>
            </w:r>
            <w:r>
              <w:rPr>
                <w:rFonts w:ascii="Arial" w:hAnsi="Arial"/>
                <w:sz w:val="22"/>
                <w:szCs w:val="22"/>
              </w:rPr>
              <w:t xml:space="preserve">adresse </w:t>
            </w:r>
            <w:hyperlink r:id="rId24" w:history="1">
              <w:r>
                <w:rPr>
                  <w:rStyle w:val="Hyperlink"/>
                  <w:rFonts w:ascii="Arial" w:hAnsi="Arial"/>
                  <w:sz w:val="22"/>
                  <w:szCs w:val="22"/>
                </w:rPr>
                <w:t>www.unesco.org/culture/ich</w:t>
              </w:r>
            </w:hyperlink>
            <w:r>
              <w:rPr>
                <w:rFonts w:ascii="Arial" w:hAnsi="Arial"/>
                <w:sz w:val="22"/>
                <w:szCs w:val="22"/>
              </w:rPr>
              <w:t xml:space="preserve">  ou sur demande auprès du Secrétariat. Les rapports doivent uniquement inclure les informations requises dans le formulaire. Au moment de l</w:t>
            </w:r>
            <w:r w:rsidR="00E11528">
              <w:rPr>
                <w:rFonts w:ascii="Arial" w:hAnsi="Arial"/>
                <w:sz w:val="22"/>
                <w:szCs w:val="22"/>
              </w:rPr>
              <w:t>’</w:t>
            </w:r>
            <w:r>
              <w:rPr>
                <w:rFonts w:ascii="Arial" w:hAnsi="Arial"/>
                <w:sz w:val="22"/>
                <w:szCs w:val="22"/>
              </w:rPr>
              <w:t>inscription, le Comité peut, au cas par cas, établir un calendrier spécifique pour la présentation des rapports qui prévaudra sur le cycle normal de quatre ans.</w:t>
            </w:r>
          </w:p>
        </w:tc>
        <w:tc>
          <w:tcPr>
            <w:tcW w:w="850" w:type="dxa"/>
            <w:gridSpan w:val="2"/>
          </w:tcPr>
          <w:p w14:paraId="2BFA0FD2"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161.</w:t>
            </w:r>
          </w:p>
        </w:tc>
        <w:tc>
          <w:tcPr>
            <w:tcW w:w="6661" w:type="dxa"/>
            <w:gridSpan w:val="2"/>
          </w:tcPr>
          <w:p w14:paraId="333DBE9C" w14:textId="5A459120" w:rsidR="003942C4" w:rsidRPr="00BA4171" w:rsidRDefault="00480371">
            <w:pPr>
              <w:spacing w:before="120" w:after="120"/>
              <w:jc w:val="both"/>
              <w:rPr>
                <w:rFonts w:ascii="Arial" w:hAnsi="Arial" w:cs="Arial"/>
                <w:sz w:val="22"/>
                <w:szCs w:val="22"/>
              </w:rPr>
            </w:pPr>
            <w:r>
              <w:rPr>
                <w:rFonts w:ascii="Arial" w:hAnsi="Arial"/>
                <w:sz w:val="22"/>
                <w:szCs w:val="22"/>
              </w:rPr>
              <w:t>Ces rapports sont normalement soumis au Comité, au plus tard le 15 décembre de la quatrième année qui suit l</w:t>
            </w:r>
            <w:r w:rsidR="00E11528">
              <w:rPr>
                <w:rFonts w:ascii="Arial" w:hAnsi="Arial"/>
                <w:sz w:val="22"/>
                <w:szCs w:val="22"/>
              </w:rPr>
              <w:t>’</w:t>
            </w:r>
            <w:r>
              <w:rPr>
                <w:rFonts w:ascii="Arial" w:hAnsi="Arial"/>
                <w:sz w:val="22"/>
                <w:szCs w:val="22"/>
              </w:rPr>
              <w:t>année au cours de laquelle l</w:t>
            </w:r>
            <w:r w:rsidR="00E11528">
              <w:rPr>
                <w:rFonts w:ascii="Arial" w:hAnsi="Arial"/>
                <w:sz w:val="22"/>
                <w:szCs w:val="22"/>
              </w:rPr>
              <w:t>’</w:t>
            </w:r>
            <w:r>
              <w:rPr>
                <w:rFonts w:ascii="Arial" w:hAnsi="Arial"/>
                <w:sz w:val="22"/>
                <w:szCs w:val="22"/>
              </w:rPr>
              <w:t xml:space="preserve">élément a été inscrit, et ensuite tous les quatre ans. Le formulaire ICH-11 </w:t>
            </w:r>
            <w:r>
              <w:rPr>
                <w:rFonts w:ascii="Arial" w:hAnsi="Arial"/>
                <w:strike/>
                <w:sz w:val="22"/>
                <w:szCs w:val="22"/>
              </w:rPr>
              <w:t>est utilisé pour ces rapports. Il est disponible à l</w:t>
            </w:r>
            <w:r w:rsidR="00E11528">
              <w:rPr>
                <w:rFonts w:ascii="Arial" w:hAnsi="Arial"/>
                <w:strike/>
                <w:sz w:val="22"/>
                <w:szCs w:val="22"/>
              </w:rPr>
              <w:t>’</w:t>
            </w:r>
            <w:r>
              <w:rPr>
                <w:rFonts w:ascii="Arial" w:hAnsi="Arial"/>
                <w:strike/>
                <w:sz w:val="22"/>
                <w:szCs w:val="22"/>
              </w:rPr>
              <w:t xml:space="preserve">adresse </w:t>
            </w:r>
            <w:hyperlink r:id="rId25" w:history="1">
              <w:r>
                <w:rPr>
                  <w:rStyle w:val="Hyperlink"/>
                  <w:rFonts w:ascii="Arial" w:hAnsi="Arial"/>
                  <w:strike/>
                  <w:sz w:val="22"/>
                  <w:szCs w:val="22"/>
                </w:rPr>
                <w:t>www.unesco.org/culture/ich</w:t>
              </w:r>
            </w:hyperlink>
            <w:r>
              <w:rPr>
                <w:rFonts w:ascii="Arial" w:hAnsi="Arial"/>
                <w:strike/>
                <w:sz w:val="22"/>
                <w:szCs w:val="22"/>
              </w:rPr>
              <w:t xml:space="preserve"> ou sur demande auprès du Secrétariat. Les rapports doivent uniquement inclure les informations requises dans le formulaire.</w:t>
            </w:r>
            <w:r>
              <w:rPr>
                <w:rFonts w:ascii="Arial" w:hAnsi="Arial"/>
                <w:sz w:val="22"/>
                <w:szCs w:val="22"/>
              </w:rPr>
              <w:t xml:space="preserve"> </w:t>
            </w:r>
            <w:r>
              <w:rPr>
                <w:rFonts w:ascii="Arial" w:hAnsi="Arial"/>
                <w:b/>
                <w:color w:val="000000"/>
                <w:sz w:val="22"/>
                <w:szCs w:val="22"/>
                <w:u w:val="single"/>
              </w:rPr>
              <w:t>doit être rempli en ligne par chaque État partie (</w:t>
            </w:r>
            <w:hyperlink r:id="rId26" w:history="1">
              <w:r>
                <w:rPr>
                  <w:rStyle w:val="Hyperlink"/>
                  <w:rFonts w:ascii="Arial" w:hAnsi="Arial"/>
                  <w:b/>
                  <w:sz w:val="22"/>
                  <w:szCs w:val="22"/>
                </w:rPr>
                <w:t>https://ich.unesco.org/</w:t>
              </w:r>
            </w:hyperlink>
            <w:r>
              <w:rPr>
                <w:rFonts w:ascii="Arial" w:hAnsi="Arial"/>
                <w:b/>
                <w:color w:val="000000"/>
                <w:sz w:val="22"/>
                <w:szCs w:val="22"/>
                <w:u w:val="single"/>
              </w:rPr>
              <w:t xml:space="preserve">) et est révisé </w:t>
            </w:r>
            <w:r w:rsidR="00EE41B1">
              <w:rPr>
                <w:rFonts w:ascii="Arial" w:hAnsi="Arial"/>
                <w:b/>
                <w:color w:val="000000"/>
                <w:sz w:val="22"/>
                <w:szCs w:val="22"/>
                <w:u w:val="single"/>
              </w:rPr>
              <w:t xml:space="preserve">par le Secrétariat </w:t>
            </w:r>
            <w:r>
              <w:rPr>
                <w:rFonts w:ascii="Arial" w:hAnsi="Arial"/>
                <w:b/>
                <w:color w:val="000000"/>
                <w:sz w:val="22"/>
                <w:szCs w:val="22"/>
                <w:u w:val="single"/>
              </w:rPr>
              <w:t xml:space="preserve">à </w:t>
            </w:r>
            <w:r w:rsidR="00602080">
              <w:rPr>
                <w:rFonts w:ascii="Arial" w:hAnsi="Arial"/>
                <w:b/>
                <w:color w:val="000000"/>
                <w:sz w:val="22"/>
                <w:szCs w:val="22"/>
                <w:u w:val="single"/>
              </w:rPr>
              <w:t xml:space="preserve">intervalles </w:t>
            </w:r>
            <w:r w:rsidR="006A6CDF">
              <w:rPr>
                <w:rFonts w:ascii="Arial" w:hAnsi="Arial"/>
                <w:b/>
                <w:color w:val="000000"/>
                <w:sz w:val="22"/>
                <w:szCs w:val="22"/>
                <w:u w:val="single"/>
              </w:rPr>
              <w:t>appropriés</w:t>
            </w:r>
            <w:r>
              <w:rPr>
                <w:rFonts w:ascii="Arial" w:hAnsi="Arial"/>
                <w:b/>
                <w:color w:val="000000"/>
                <w:sz w:val="22"/>
                <w:szCs w:val="22"/>
                <w:u w:val="single"/>
              </w:rPr>
              <w:t>.</w:t>
            </w:r>
            <w:r>
              <w:rPr>
                <w:rFonts w:ascii="Arial" w:hAnsi="Arial"/>
                <w:sz w:val="22"/>
                <w:szCs w:val="22"/>
              </w:rPr>
              <w:t xml:space="preserve"> Au moment de l</w:t>
            </w:r>
            <w:r w:rsidR="00E11528">
              <w:rPr>
                <w:rFonts w:ascii="Arial" w:hAnsi="Arial"/>
                <w:sz w:val="22"/>
                <w:szCs w:val="22"/>
              </w:rPr>
              <w:t>’</w:t>
            </w:r>
            <w:r>
              <w:rPr>
                <w:rFonts w:ascii="Arial" w:hAnsi="Arial"/>
                <w:sz w:val="22"/>
                <w:szCs w:val="22"/>
              </w:rPr>
              <w:t>inscription, le Comité peut, au cas par cas, établir un calendrier spécifique pour la présentation des rapports qui prévaudra sur le cycle normal de quatre ans.</w:t>
            </w:r>
          </w:p>
        </w:tc>
      </w:tr>
      <w:tr w:rsidR="003942C4" w:rsidRPr="009322D2" w14:paraId="58F91AE2" w14:textId="77777777" w:rsidTr="00196F2F">
        <w:trPr>
          <w:cantSplit/>
        </w:trPr>
        <w:tc>
          <w:tcPr>
            <w:tcW w:w="1080" w:type="dxa"/>
            <w:gridSpan w:val="2"/>
            <w:shd w:val="clear" w:color="auto" w:fill="auto"/>
          </w:tcPr>
          <w:p w14:paraId="6A8EB44B"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162.</w:t>
            </w:r>
          </w:p>
        </w:tc>
        <w:tc>
          <w:tcPr>
            <w:tcW w:w="6860" w:type="dxa"/>
            <w:gridSpan w:val="3"/>
            <w:shd w:val="clear" w:color="auto" w:fill="auto"/>
          </w:tcPr>
          <w:p w14:paraId="7FA79B9A" w14:textId="385EBA55" w:rsidR="003942C4" w:rsidRPr="0096363C" w:rsidRDefault="006E5B4A" w:rsidP="00196F2F">
            <w:pPr>
              <w:spacing w:before="120" w:after="120"/>
              <w:jc w:val="both"/>
              <w:rPr>
                <w:rFonts w:ascii="Arial" w:hAnsi="Arial" w:cs="Arial"/>
                <w:sz w:val="22"/>
                <w:szCs w:val="22"/>
              </w:rPr>
            </w:pPr>
            <w:r w:rsidRPr="006E5B4A">
              <w:rPr>
                <w:rFonts w:ascii="Arial" w:hAnsi="Arial"/>
                <w:sz w:val="22"/>
                <w:szCs w:val="22"/>
              </w:rPr>
              <w:t>L’État partie accorde une attention particulière au rôle du genre et fournit des informations décrivant l’état actuel de l’élément, notamment</w:t>
            </w:r>
            <w:r w:rsidR="003942C4">
              <w:rPr>
                <w:rFonts w:ascii="Arial" w:hAnsi="Arial"/>
                <w:sz w:val="22"/>
                <w:szCs w:val="22"/>
              </w:rPr>
              <w:t> :</w:t>
            </w:r>
          </w:p>
          <w:p w14:paraId="5C095489" w14:textId="77777777" w:rsidR="003942C4" w:rsidRPr="0096363C" w:rsidRDefault="003942C4" w:rsidP="003E02F3">
            <w:pPr>
              <w:numPr>
                <w:ilvl w:val="0"/>
                <w:numId w:val="19"/>
              </w:numPr>
              <w:spacing w:before="120" w:after="120"/>
              <w:ind w:left="493" w:hanging="493"/>
              <w:jc w:val="both"/>
              <w:rPr>
                <w:rFonts w:ascii="Arial" w:hAnsi="Arial" w:cs="Arial"/>
                <w:sz w:val="22"/>
                <w:szCs w:val="22"/>
              </w:rPr>
            </w:pPr>
            <w:proofErr w:type="gramStart"/>
            <w:r>
              <w:rPr>
                <w:rFonts w:ascii="Arial" w:hAnsi="Arial"/>
                <w:sz w:val="22"/>
                <w:szCs w:val="22"/>
              </w:rPr>
              <w:t>ses</w:t>
            </w:r>
            <w:proofErr w:type="gramEnd"/>
            <w:r>
              <w:rPr>
                <w:rFonts w:ascii="Arial" w:hAnsi="Arial"/>
                <w:sz w:val="22"/>
                <w:szCs w:val="22"/>
              </w:rPr>
              <w:t xml:space="preserve"> fonctions sociales et culturelles ;</w:t>
            </w:r>
          </w:p>
          <w:p w14:paraId="6CFCF3B1" w14:textId="77777777" w:rsidR="003942C4" w:rsidRPr="0096363C" w:rsidRDefault="003942C4" w:rsidP="003E02F3">
            <w:pPr>
              <w:numPr>
                <w:ilvl w:val="0"/>
                <w:numId w:val="19"/>
              </w:numPr>
              <w:spacing w:before="120" w:after="120"/>
              <w:ind w:left="493" w:hanging="493"/>
              <w:jc w:val="both"/>
              <w:rPr>
                <w:rFonts w:ascii="Arial" w:hAnsi="Arial" w:cs="Arial"/>
                <w:sz w:val="22"/>
                <w:szCs w:val="22"/>
              </w:rPr>
            </w:pPr>
            <w:proofErr w:type="gramStart"/>
            <w:r>
              <w:rPr>
                <w:rFonts w:ascii="Arial" w:hAnsi="Arial"/>
                <w:sz w:val="22"/>
                <w:szCs w:val="22"/>
              </w:rPr>
              <w:t>une</w:t>
            </w:r>
            <w:proofErr w:type="gramEnd"/>
            <w:r>
              <w:rPr>
                <w:rFonts w:ascii="Arial" w:hAnsi="Arial"/>
                <w:sz w:val="22"/>
                <w:szCs w:val="22"/>
              </w:rPr>
              <w:t xml:space="preserve"> analyse de sa viabilité et des risques actuels auxquels il est confronté ;</w:t>
            </w:r>
          </w:p>
          <w:p w14:paraId="3F1DCB08" w14:textId="0C010A94" w:rsidR="003942C4" w:rsidRDefault="003942C4" w:rsidP="003E02F3">
            <w:pPr>
              <w:numPr>
                <w:ilvl w:val="0"/>
                <w:numId w:val="19"/>
              </w:numPr>
              <w:spacing w:before="120" w:after="120"/>
              <w:ind w:left="493" w:hanging="493"/>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impacts des efforts de sauvegarde de l</w:t>
            </w:r>
            <w:r w:rsidR="00E11528">
              <w:rPr>
                <w:rFonts w:ascii="Arial" w:hAnsi="Arial"/>
                <w:sz w:val="22"/>
                <w:szCs w:val="22"/>
              </w:rPr>
              <w:t>’</w:t>
            </w:r>
            <w:r>
              <w:rPr>
                <w:rFonts w:ascii="Arial" w:hAnsi="Arial"/>
                <w:sz w:val="22"/>
                <w:szCs w:val="22"/>
              </w:rPr>
              <w:t>élément, en particulier la mise en œuvre du plan de sauvegarde qui a été soumis au moment de la candidature ;</w:t>
            </w:r>
          </w:p>
          <w:p w14:paraId="7502C3F3" w14:textId="0D827AF7" w:rsidR="003942C4" w:rsidRPr="00710CE9" w:rsidRDefault="006610D9" w:rsidP="003E02F3">
            <w:pPr>
              <w:numPr>
                <w:ilvl w:val="0"/>
                <w:numId w:val="19"/>
              </w:numPr>
              <w:spacing w:before="120"/>
              <w:ind w:left="493" w:hanging="493"/>
              <w:jc w:val="both"/>
              <w:rPr>
                <w:rFonts w:ascii="Arial" w:hAnsi="Arial" w:cs="Arial"/>
                <w:sz w:val="22"/>
                <w:szCs w:val="22"/>
              </w:rPr>
            </w:pPr>
            <w:r>
              <w:rPr>
                <w:rFonts w:ascii="Arial" w:hAnsi="Arial"/>
                <w:sz w:val="22"/>
                <w:szCs w:val="22"/>
              </w:rPr>
              <w:t>la participation des communautés, des groupes et des individus ainsi que des organisations non gouvernementales pertinentes à la sauvegarde de l</w:t>
            </w:r>
            <w:r w:rsidR="00E11528">
              <w:rPr>
                <w:rFonts w:ascii="Arial" w:hAnsi="Arial"/>
                <w:sz w:val="22"/>
                <w:szCs w:val="22"/>
              </w:rPr>
              <w:t>’</w:t>
            </w:r>
            <w:r>
              <w:rPr>
                <w:rFonts w:ascii="Arial" w:hAnsi="Arial"/>
                <w:sz w:val="22"/>
                <w:szCs w:val="22"/>
              </w:rPr>
              <w:t>élément et leur volonté constante d</w:t>
            </w:r>
            <w:r w:rsidR="00E11528">
              <w:rPr>
                <w:rFonts w:ascii="Arial" w:hAnsi="Arial"/>
                <w:sz w:val="22"/>
                <w:szCs w:val="22"/>
              </w:rPr>
              <w:t>’</w:t>
            </w:r>
            <w:r>
              <w:rPr>
                <w:rFonts w:ascii="Arial" w:hAnsi="Arial"/>
                <w:sz w:val="22"/>
                <w:szCs w:val="22"/>
              </w:rPr>
              <w:t>en assurer une sauvegarde continue.</w:t>
            </w:r>
          </w:p>
        </w:tc>
        <w:tc>
          <w:tcPr>
            <w:tcW w:w="850" w:type="dxa"/>
            <w:gridSpan w:val="2"/>
          </w:tcPr>
          <w:p w14:paraId="06243D83"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162.</w:t>
            </w:r>
          </w:p>
        </w:tc>
        <w:tc>
          <w:tcPr>
            <w:tcW w:w="6661" w:type="dxa"/>
            <w:gridSpan w:val="2"/>
          </w:tcPr>
          <w:p w14:paraId="56E23B68" w14:textId="64DE0E43" w:rsidR="003942C4" w:rsidRDefault="006E5B4A" w:rsidP="00480371">
            <w:pPr>
              <w:spacing w:before="120" w:after="120"/>
              <w:jc w:val="both"/>
              <w:rPr>
                <w:rFonts w:ascii="Arial" w:hAnsi="Arial" w:cs="Arial"/>
                <w:sz w:val="22"/>
                <w:szCs w:val="22"/>
              </w:rPr>
            </w:pPr>
            <w:r w:rsidRPr="006E5B4A">
              <w:rPr>
                <w:rFonts w:ascii="Arial" w:hAnsi="Arial"/>
                <w:sz w:val="22"/>
                <w:szCs w:val="22"/>
              </w:rPr>
              <w:t>L’État partie accorde une attention particulière au rôle du genre et fournit des informations décrivant l’état actuel de l’élément, notamment</w:t>
            </w:r>
            <w:r w:rsidR="005E4569">
              <w:rPr>
                <w:rFonts w:ascii="Arial" w:hAnsi="Arial"/>
                <w:sz w:val="22"/>
                <w:szCs w:val="22"/>
              </w:rPr>
              <w:t> :</w:t>
            </w:r>
          </w:p>
          <w:p w14:paraId="440E5223" w14:textId="3ACB8D20"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rPr>
            </w:pPr>
            <w:proofErr w:type="gramStart"/>
            <w:r>
              <w:rPr>
                <w:rFonts w:ascii="Arial" w:hAnsi="Arial"/>
                <w:sz w:val="22"/>
                <w:szCs w:val="22"/>
              </w:rPr>
              <w:t>ses</w:t>
            </w:r>
            <w:proofErr w:type="gramEnd"/>
            <w:r>
              <w:rPr>
                <w:rFonts w:ascii="Arial" w:hAnsi="Arial"/>
                <w:sz w:val="22"/>
                <w:szCs w:val="22"/>
              </w:rPr>
              <w:t xml:space="preserve"> fonctions sociales et culturelles ;</w:t>
            </w:r>
          </w:p>
          <w:p w14:paraId="7471E40D" w14:textId="7576CCD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rPr>
            </w:pPr>
            <w:proofErr w:type="gramStart"/>
            <w:r>
              <w:rPr>
                <w:rFonts w:ascii="Arial" w:hAnsi="Arial"/>
                <w:sz w:val="22"/>
                <w:szCs w:val="22"/>
              </w:rPr>
              <w:t>une</w:t>
            </w:r>
            <w:proofErr w:type="gramEnd"/>
            <w:r>
              <w:rPr>
                <w:rFonts w:ascii="Arial" w:hAnsi="Arial"/>
                <w:sz w:val="22"/>
                <w:szCs w:val="22"/>
              </w:rPr>
              <w:t xml:space="preserve"> analyse de sa viabilité et des risques actuels auxquels il est confronté ;</w:t>
            </w:r>
          </w:p>
          <w:p w14:paraId="5046B0AC" w14:textId="11EDD930"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impacts des efforts de sauvegarde de l</w:t>
            </w:r>
            <w:r w:rsidR="00E11528">
              <w:rPr>
                <w:rFonts w:ascii="Arial" w:hAnsi="Arial"/>
                <w:sz w:val="22"/>
                <w:szCs w:val="22"/>
              </w:rPr>
              <w:t>’</w:t>
            </w:r>
            <w:r>
              <w:rPr>
                <w:rFonts w:ascii="Arial" w:hAnsi="Arial"/>
                <w:sz w:val="22"/>
                <w:szCs w:val="22"/>
              </w:rPr>
              <w:t>élément, en particulier la mise en œuvre du plan de sauvegarde qui a été soumis au moment de la candidature ;</w:t>
            </w:r>
          </w:p>
          <w:p w14:paraId="01FE9EE9" w14:textId="1B3A518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b/>
                <w:sz w:val="22"/>
                <w:szCs w:val="22"/>
                <w:u w:val="single"/>
              </w:rPr>
            </w:pPr>
            <w:proofErr w:type="gramStart"/>
            <w:r>
              <w:rPr>
                <w:rFonts w:ascii="Arial" w:hAnsi="Arial"/>
                <w:b/>
                <w:sz w:val="22"/>
                <w:szCs w:val="22"/>
                <w:u w:val="single"/>
              </w:rPr>
              <w:t>une</w:t>
            </w:r>
            <w:proofErr w:type="gramEnd"/>
            <w:r>
              <w:rPr>
                <w:rFonts w:ascii="Arial" w:hAnsi="Arial"/>
                <w:b/>
                <w:sz w:val="22"/>
                <w:szCs w:val="22"/>
                <w:u w:val="single"/>
              </w:rPr>
              <w:t xml:space="preserve"> mise à jour du plan de sauvegarde inclus dans le dossier de candidature ou le précédent rapport ;</w:t>
            </w:r>
          </w:p>
          <w:p w14:paraId="79B2BC92" w14:textId="662BF271" w:rsidR="005E4569" w:rsidRPr="005E4569" w:rsidRDefault="005E4569" w:rsidP="00084445">
            <w:pPr>
              <w:pStyle w:val="ListParagraph"/>
              <w:numPr>
                <w:ilvl w:val="0"/>
                <w:numId w:val="22"/>
              </w:numPr>
              <w:spacing w:before="120"/>
              <w:ind w:left="493" w:hanging="493"/>
              <w:contextualSpacing w:val="0"/>
              <w:jc w:val="both"/>
              <w:rPr>
                <w:rFonts w:ascii="Arial" w:hAnsi="Arial" w:cs="Arial"/>
                <w:sz w:val="22"/>
                <w:szCs w:val="22"/>
              </w:rPr>
            </w:pPr>
            <w:r>
              <w:rPr>
                <w:rFonts w:ascii="Arial" w:hAnsi="Arial"/>
                <w:sz w:val="22"/>
                <w:szCs w:val="22"/>
              </w:rPr>
              <w:t>la participation des communautés, des groupes et des individus ainsi que des organisations non gouvernementales pertinentes à la sauvegarde de l</w:t>
            </w:r>
            <w:r w:rsidR="00E11528">
              <w:rPr>
                <w:rFonts w:ascii="Arial" w:hAnsi="Arial"/>
                <w:sz w:val="22"/>
                <w:szCs w:val="22"/>
              </w:rPr>
              <w:t>’</w:t>
            </w:r>
            <w:r>
              <w:rPr>
                <w:rFonts w:ascii="Arial" w:hAnsi="Arial"/>
                <w:sz w:val="22"/>
                <w:szCs w:val="22"/>
              </w:rPr>
              <w:t>élément et leur volonté constante d</w:t>
            </w:r>
            <w:r w:rsidR="00E11528">
              <w:rPr>
                <w:rFonts w:ascii="Arial" w:hAnsi="Arial"/>
                <w:sz w:val="22"/>
                <w:szCs w:val="22"/>
              </w:rPr>
              <w:t>’</w:t>
            </w:r>
            <w:r>
              <w:rPr>
                <w:rFonts w:ascii="Arial" w:hAnsi="Arial"/>
                <w:sz w:val="22"/>
                <w:szCs w:val="22"/>
              </w:rPr>
              <w:t>en assurer une sauvegarde continue.</w:t>
            </w:r>
          </w:p>
        </w:tc>
      </w:tr>
      <w:tr w:rsidR="003942C4" w:rsidRPr="00BA4171" w14:paraId="388007CA" w14:textId="77777777" w:rsidTr="00196F2F">
        <w:trPr>
          <w:cantSplit/>
        </w:trPr>
        <w:tc>
          <w:tcPr>
            <w:tcW w:w="1080" w:type="dxa"/>
            <w:gridSpan w:val="2"/>
            <w:shd w:val="clear" w:color="auto" w:fill="auto"/>
          </w:tcPr>
          <w:p w14:paraId="67893507"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163.</w:t>
            </w:r>
          </w:p>
        </w:tc>
        <w:tc>
          <w:tcPr>
            <w:tcW w:w="6860" w:type="dxa"/>
            <w:gridSpan w:val="3"/>
            <w:shd w:val="clear" w:color="auto" w:fill="auto"/>
          </w:tcPr>
          <w:p w14:paraId="15C44116" w14:textId="7B51B4DA" w:rsidR="003942C4" w:rsidRPr="0096363C" w:rsidRDefault="003942C4" w:rsidP="00196F2F">
            <w:pPr>
              <w:spacing w:before="120" w:after="120"/>
              <w:jc w:val="both"/>
              <w:rPr>
                <w:rFonts w:ascii="Arial" w:hAnsi="Arial" w:cs="Arial"/>
                <w:sz w:val="22"/>
                <w:szCs w:val="22"/>
              </w:rPr>
            </w:pPr>
            <w:r>
              <w:rPr>
                <w:rFonts w:ascii="Arial" w:hAnsi="Arial"/>
                <w:sz w:val="22"/>
                <w:szCs w:val="22"/>
              </w:rPr>
              <w:t>L</w:t>
            </w:r>
            <w:r w:rsidR="00E11528">
              <w:rPr>
                <w:rFonts w:ascii="Arial" w:hAnsi="Arial"/>
                <w:sz w:val="22"/>
                <w:szCs w:val="22"/>
              </w:rPr>
              <w:t>’</w:t>
            </w:r>
            <w:r>
              <w:rPr>
                <w:rFonts w:ascii="Arial" w:hAnsi="Arial"/>
                <w:sz w:val="22"/>
                <w:szCs w:val="22"/>
              </w:rPr>
              <w:t>État partie présente le contexte institutionnel dans lequel se déroule la sauvegarde de l</w:t>
            </w:r>
            <w:r w:rsidR="00E11528">
              <w:rPr>
                <w:rFonts w:ascii="Arial" w:hAnsi="Arial"/>
                <w:sz w:val="22"/>
                <w:szCs w:val="22"/>
              </w:rPr>
              <w:t>’</w:t>
            </w:r>
            <w:r>
              <w:rPr>
                <w:rFonts w:ascii="Arial" w:hAnsi="Arial"/>
                <w:sz w:val="22"/>
                <w:szCs w:val="22"/>
              </w:rPr>
              <w:t>élément inscrit sur la Liste, notamment :</w:t>
            </w:r>
          </w:p>
          <w:p w14:paraId="25019FEB" w14:textId="77777777" w:rsidR="003942C4" w:rsidRDefault="003942C4" w:rsidP="006610D9">
            <w:pPr>
              <w:numPr>
                <w:ilvl w:val="0"/>
                <w:numId w:val="21"/>
              </w:numPr>
              <w:spacing w:before="120" w:after="120"/>
              <w:ind w:left="656" w:hanging="656"/>
              <w:jc w:val="both"/>
              <w:rPr>
                <w:rFonts w:ascii="Arial" w:hAnsi="Arial" w:cs="Arial"/>
                <w:sz w:val="22"/>
                <w:szCs w:val="22"/>
              </w:rPr>
            </w:pPr>
            <w:proofErr w:type="gramStart"/>
            <w:r>
              <w:rPr>
                <w:rFonts w:ascii="Arial" w:hAnsi="Arial"/>
                <w:sz w:val="22"/>
                <w:szCs w:val="22"/>
              </w:rPr>
              <w:t>le</w:t>
            </w:r>
            <w:proofErr w:type="gramEnd"/>
            <w:r>
              <w:rPr>
                <w:rFonts w:ascii="Arial" w:hAnsi="Arial"/>
                <w:sz w:val="22"/>
                <w:szCs w:val="22"/>
              </w:rPr>
              <w:t xml:space="preserve"> ou les organisme(s) compétent(s) impliqué(s) dans sa sauvegarde ;</w:t>
            </w:r>
          </w:p>
          <w:p w14:paraId="4A60B351" w14:textId="3330CD07" w:rsidR="003942C4" w:rsidRPr="00710CE9" w:rsidRDefault="003942C4" w:rsidP="006610D9">
            <w:pPr>
              <w:numPr>
                <w:ilvl w:val="0"/>
                <w:numId w:val="21"/>
              </w:numPr>
              <w:spacing w:before="120" w:after="120"/>
              <w:ind w:left="656" w:hanging="656"/>
              <w:jc w:val="both"/>
              <w:rPr>
                <w:rFonts w:ascii="Arial" w:hAnsi="Arial" w:cs="Arial"/>
                <w:sz w:val="22"/>
                <w:szCs w:val="22"/>
              </w:rPr>
            </w:pPr>
            <w:r>
              <w:rPr>
                <w:rFonts w:ascii="Arial" w:hAnsi="Arial"/>
                <w:sz w:val="22"/>
                <w:szCs w:val="22"/>
              </w:rPr>
              <w:t>la ou les organisation(s) de la communauté ou du groupe concernée(s) par l</w:t>
            </w:r>
            <w:r w:rsidR="00E11528">
              <w:rPr>
                <w:rFonts w:ascii="Arial" w:hAnsi="Arial"/>
                <w:sz w:val="22"/>
                <w:szCs w:val="22"/>
              </w:rPr>
              <w:t>’</w:t>
            </w:r>
            <w:r>
              <w:rPr>
                <w:rFonts w:ascii="Arial" w:hAnsi="Arial"/>
                <w:sz w:val="22"/>
                <w:szCs w:val="22"/>
              </w:rPr>
              <w:t>élément et sa sauvegarde.</w:t>
            </w:r>
          </w:p>
        </w:tc>
        <w:tc>
          <w:tcPr>
            <w:tcW w:w="850" w:type="dxa"/>
            <w:gridSpan w:val="2"/>
          </w:tcPr>
          <w:p w14:paraId="7ACC060F"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163.</w:t>
            </w:r>
          </w:p>
        </w:tc>
        <w:tc>
          <w:tcPr>
            <w:tcW w:w="6661" w:type="dxa"/>
            <w:gridSpan w:val="2"/>
          </w:tcPr>
          <w:p w14:paraId="00117346" w14:textId="77777777" w:rsidR="003942C4" w:rsidRPr="00BA4171"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BA4171" w14:paraId="5A890398" w14:textId="77777777" w:rsidTr="00196F2F">
        <w:trPr>
          <w:cantSplit/>
        </w:trPr>
        <w:tc>
          <w:tcPr>
            <w:tcW w:w="1080" w:type="dxa"/>
            <w:gridSpan w:val="2"/>
            <w:shd w:val="clear" w:color="auto" w:fill="auto"/>
          </w:tcPr>
          <w:p w14:paraId="22B7B58A"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164.</w:t>
            </w:r>
          </w:p>
        </w:tc>
        <w:tc>
          <w:tcPr>
            <w:tcW w:w="6860" w:type="dxa"/>
            <w:gridSpan w:val="3"/>
            <w:shd w:val="clear" w:color="auto" w:fill="auto"/>
          </w:tcPr>
          <w:p w14:paraId="7CBC387C" w14:textId="283B83B4" w:rsidR="003942C4" w:rsidRPr="00710CE9" w:rsidRDefault="003942C4" w:rsidP="00196F2F">
            <w:pPr>
              <w:spacing w:before="120" w:after="120"/>
              <w:jc w:val="both"/>
              <w:rPr>
                <w:rFonts w:ascii="Arial" w:hAnsi="Arial" w:cs="Arial"/>
                <w:sz w:val="22"/>
                <w:szCs w:val="22"/>
              </w:rPr>
            </w:pPr>
            <w:r>
              <w:rPr>
                <w:rFonts w:ascii="Arial" w:hAnsi="Arial"/>
                <w:sz w:val="22"/>
                <w:szCs w:val="22"/>
              </w:rPr>
              <w:t>Les États parties répondent, en temps utile, aux demandes d</w:t>
            </w:r>
            <w:r w:rsidR="00E11528">
              <w:rPr>
                <w:rFonts w:ascii="Arial" w:hAnsi="Arial"/>
                <w:sz w:val="22"/>
                <w:szCs w:val="22"/>
              </w:rPr>
              <w:t>’</w:t>
            </w:r>
            <w:r>
              <w:rPr>
                <w:rFonts w:ascii="Arial" w:hAnsi="Arial"/>
                <w:sz w:val="22"/>
                <w:szCs w:val="22"/>
              </w:rPr>
              <w:t>informations complémentaires spécifiques qui leur sont adressées par le Comité, si nécessaire dans la limite des dates indiquées au paragraphe 161 ci-dessus.</w:t>
            </w:r>
          </w:p>
        </w:tc>
        <w:tc>
          <w:tcPr>
            <w:tcW w:w="850" w:type="dxa"/>
            <w:gridSpan w:val="2"/>
          </w:tcPr>
          <w:p w14:paraId="5BCFE694"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164.</w:t>
            </w:r>
          </w:p>
        </w:tc>
        <w:tc>
          <w:tcPr>
            <w:tcW w:w="6661" w:type="dxa"/>
            <w:gridSpan w:val="2"/>
          </w:tcPr>
          <w:p w14:paraId="51CDAD95" w14:textId="77777777" w:rsidR="003942C4" w:rsidRPr="00BA4171"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BA4171" w14:paraId="49EBC5F5" w14:textId="77777777" w:rsidTr="00196F2F">
        <w:trPr>
          <w:cantSplit/>
        </w:trPr>
        <w:tc>
          <w:tcPr>
            <w:tcW w:w="1080" w:type="dxa"/>
            <w:gridSpan w:val="2"/>
            <w:shd w:val="clear" w:color="auto" w:fill="auto"/>
          </w:tcPr>
          <w:p w14:paraId="555BCF96" w14:textId="77777777" w:rsidR="003942C4" w:rsidRPr="00B36C17" w:rsidRDefault="003942C4" w:rsidP="00084445">
            <w:pPr>
              <w:spacing w:before="120" w:after="120"/>
              <w:jc w:val="right"/>
              <w:rPr>
                <w:rFonts w:ascii="Arial" w:hAnsi="Arial" w:cs="Arial"/>
                <w:sz w:val="22"/>
                <w:szCs w:val="22"/>
              </w:rPr>
            </w:pPr>
            <w:r>
              <w:rPr>
                <w:rFonts w:ascii="Arial" w:hAnsi="Arial"/>
                <w:b/>
                <w:bCs/>
                <w:sz w:val="22"/>
                <w:szCs w:val="22"/>
              </w:rPr>
              <w:t>V.3</w:t>
            </w:r>
          </w:p>
        </w:tc>
        <w:tc>
          <w:tcPr>
            <w:tcW w:w="6860" w:type="dxa"/>
            <w:gridSpan w:val="3"/>
            <w:shd w:val="clear" w:color="auto" w:fill="auto"/>
          </w:tcPr>
          <w:p w14:paraId="3E378083" w14:textId="77777777" w:rsidR="003942C4" w:rsidRPr="00E717A3" w:rsidRDefault="003942C4" w:rsidP="00084445">
            <w:pPr>
              <w:spacing w:before="120" w:after="120"/>
              <w:jc w:val="both"/>
              <w:rPr>
                <w:rFonts w:ascii="Arial" w:hAnsi="Arial" w:cs="Arial"/>
              </w:rPr>
            </w:pPr>
            <w:r>
              <w:rPr>
                <w:rFonts w:ascii="Arial" w:hAnsi="Arial"/>
                <w:b/>
                <w:bCs/>
              </w:rPr>
              <w:t>Réception et traitement des rapports</w:t>
            </w:r>
          </w:p>
        </w:tc>
        <w:tc>
          <w:tcPr>
            <w:tcW w:w="850" w:type="dxa"/>
            <w:gridSpan w:val="2"/>
          </w:tcPr>
          <w:p w14:paraId="724A0551" w14:textId="77777777" w:rsidR="003942C4" w:rsidRPr="00B36C17" w:rsidRDefault="003942C4" w:rsidP="00084445">
            <w:pPr>
              <w:spacing w:before="120" w:after="120"/>
              <w:jc w:val="right"/>
              <w:rPr>
                <w:rFonts w:ascii="Arial" w:hAnsi="Arial" w:cs="Arial"/>
                <w:sz w:val="22"/>
                <w:szCs w:val="22"/>
              </w:rPr>
            </w:pPr>
            <w:r>
              <w:rPr>
                <w:rFonts w:ascii="Arial" w:hAnsi="Arial"/>
                <w:b/>
                <w:bCs/>
                <w:sz w:val="22"/>
                <w:szCs w:val="22"/>
              </w:rPr>
              <w:t>V.3</w:t>
            </w:r>
          </w:p>
        </w:tc>
        <w:tc>
          <w:tcPr>
            <w:tcW w:w="6661" w:type="dxa"/>
            <w:gridSpan w:val="2"/>
          </w:tcPr>
          <w:p w14:paraId="1CBAEB90" w14:textId="77777777" w:rsidR="003942C4" w:rsidRPr="00B36C17" w:rsidRDefault="003942C4" w:rsidP="00084445">
            <w:pPr>
              <w:spacing w:before="120" w:after="120"/>
              <w:jc w:val="both"/>
              <w:rPr>
                <w:rFonts w:ascii="Arial" w:hAnsi="Arial" w:cs="Arial"/>
                <w:sz w:val="22"/>
                <w:szCs w:val="22"/>
              </w:rPr>
            </w:pPr>
            <w:r>
              <w:rPr>
                <w:rFonts w:ascii="Arial" w:hAnsi="Arial"/>
                <w:sz w:val="22"/>
                <w:szCs w:val="22"/>
              </w:rPr>
              <w:t>Aucun changement.</w:t>
            </w:r>
          </w:p>
        </w:tc>
      </w:tr>
      <w:tr w:rsidR="003942C4" w:rsidRPr="00385AED" w14:paraId="16C3B8DB" w14:textId="77777777" w:rsidTr="00196F2F">
        <w:trPr>
          <w:cantSplit/>
        </w:trPr>
        <w:tc>
          <w:tcPr>
            <w:tcW w:w="1080" w:type="dxa"/>
            <w:gridSpan w:val="2"/>
            <w:shd w:val="clear" w:color="auto" w:fill="auto"/>
          </w:tcPr>
          <w:p w14:paraId="75162F41" w14:textId="77777777" w:rsidR="003942C4" w:rsidRPr="00A1056C" w:rsidRDefault="003942C4" w:rsidP="00084445">
            <w:pPr>
              <w:jc w:val="right"/>
              <w:rPr>
                <w:rFonts w:ascii="Arial" w:hAnsi="Arial" w:cs="Arial"/>
                <w:sz w:val="22"/>
                <w:szCs w:val="22"/>
              </w:rPr>
            </w:pPr>
            <w:r>
              <w:rPr>
                <w:rFonts w:ascii="Arial" w:hAnsi="Arial"/>
                <w:sz w:val="22"/>
                <w:szCs w:val="22"/>
              </w:rPr>
              <w:t>165.</w:t>
            </w:r>
          </w:p>
        </w:tc>
        <w:tc>
          <w:tcPr>
            <w:tcW w:w="6860" w:type="dxa"/>
            <w:gridSpan w:val="3"/>
            <w:shd w:val="clear" w:color="auto" w:fill="auto"/>
          </w:tcPr>
          <w:p w14:paraId="6F1FB5FD" w14:textId="201A671D" w:rsidR="003942C4" w:rsidRPr="00710CE9" w:rsidRDefault="003942C4" w:rsidP="00084445">
            <w:pPr>
              <w:jc w:val="both"/>
              <w:rPr>
                <w:rFonts w:ascii="Arial" w:hAnsi="Arial" w:cs="Arial"/>
                <w:sz w:val="22"/>
                <w:szCs w:val="22"/>
              </w:rPr>
            </w:pPr>
            <w:r>
              <w:rPr>
                <w:rFonts w:ascii="Arial" w:hAnsi="Arial"/>
                <w:sz w:val="22"/>
                <w:szCs w:val="22"/>
              </w:rPr>
              <w:t>Dès réception des rapports des États parties, le Secrétariat les enregistre et en accuse réception. Si un rapport est incomplet, il est indiqué à l</w:t>
            </w:r>
            <w:r w:rsidR="00E11528">
              <w:rPr>
                <w:rFonts w:ascii="Arial" w:hAnsi="Arial"/>
                <w:sz w:val="22"/>
                <w:szCs w:val="22"/>
              </w:rPr>
              <w:t>’</w:t>
            </w:r>
            <w:r>
              <w:rPr>
                <w:rFonts w:ascii="Arial" w:hAnsi="Arial"/>
                <w:sz w:val="22"/>
                <w:szCs w:val="22"/>
              </w:rPr>
              <w:t>État partie comment le compléter.</w:t>
            </w:r>
          </w:p>
        </w:tc>
        <w:tc>
          <w:tcPr>
            <w:tcW w:w="850" w:type="dxa"/>
            <w:gridSpan w:val="2"/>
          </w:tcPr>
          <w:p w14:paraId="2E95A1F9" w14:textId="77777777" w:rsidR="003942C4" w:rsidRPr="00BA4171" w:rsidRDefault="003942C4" w:rsidP="00084445">
            <w:pPr>
              <w:jc w:val="right"/>
              <w:rPr>
                <w:rFonts w:ascii="Arial" w:hAnsi="Arial" w:cs="Arial"/>
                <w:sz w:val="22"/>
                <w:szCs w:val="22"/>
              </w:rPr>
            </w:pPr>
            <w:r>
              <w:rPr>
                <w:rFonts w:ascii="Arial" w:hAnsi="Arial"/>
                <w:sz w:val="22"/>
                <w:szCs w:val="22"/>
              </w:rPr>
              <w:t>165.</w:t>
            </w:r>
          </w:p>
        </w:tc>
        <w:tc>
          <w:tcPr>
            <w:tcW w:w="6661" w:type="dxa"/>
            <w:gridSpan w:val="2"/>
          </w:tcPr>
          <w:p w14:paraId="3D73990F" w14:textId="59B05186" w:rsidR="003942C4" w:rsidRPr="00BA4171" w:rsidRDefault="00AE486A" w:rsidP="00084445">
            <w:pPr>
              <w:jc w:val="both"/>
              <w:rPr>
                <w:rFonts w:ascii="Arial" w:hAnsi="Arial" w:cs="Arial"/>
                <w:sz w:val="22"/>
                <w:szCs w:val="22"/>
              </w:rPr>
            </w:pPr>
            <w:r>
              <w:rPr>
                <w:rFonts w:ascii="Arial" w:hAnsi="Arial"/>
                <w:sz w:val="22"/>
                <w:szCs w:val="22"/>
              </w:rPr>
              <w:t>Aucun changement.</w:t>
            </w:r>
          </w:p>
        </w:tc>
      </w:tr>
      <w:tr w:rsidR="003942C4" w:rsidRPr="009322D2" w14:paraId="21AE551B" w14:textId="77777777" w:rsidTr="00196F2F">
        <w:trPr>
          <w:cantSplit/>
        </w:trPr>
        <w:tc>
          <w:tcPr>
            <w:tcW w:w="1080" w:type="dxa"/>
            <w:gridSpan w:val="2"/>
            <w:shd w:val="clear" w:color="auto" w:fill="auto"/>
          </w:tcPr>
          <w:p w14:paraId="6D976C51"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166.</w:t>
            </w:r>
          </w:p>
        </w:tc>
        <w:tc>
          <w:tcPr>
            <w:tcW w:w="6860" w:type="dxa"/>
            <w:gridSpan w:val="3"/>
            <w:shd w:val="clear" w:color="auto" w:fill="auto"/>
          </w:tcPr>
          <w:p w14:paraId="6523598F" w14:textId="1ECE542F" w:rsidR="003942C4" w:rsidRPr="00710CE9" w:rsidRDefault="006610D9" w:rsidP="00196F2F">
            <w:pPr>
              <w:spacing w:before="120" w:after="120"/>
              <w:jc w:val="both"/>
              <w:rPr>
                <w:rFonts w:ascii="Arial" w:hAnsi="Arial" w:cs="Arial"/>
                <w:sz w:val="22"/>
                <w:szCs w:val="22"/>
              </w:rPr>
            </w:pPr>
            <w:r>
              <w:rPr>
                <w:rFonts w:ascii="Arial" w:hAnsi="Arial"/>
                <w:sz w:val="22"/>
                <w:szCs w:val="22"/>
              </w:rPr>
              <w:t>Le Secrétariat transmet au Comité, quatre semaines avant sa session, un aperçu de tous les rapports reçus. Cet aperçu ainsi que les rapports sont également mis en ligne pour consultation.</w:t>
            </w:r>
          </w:p>
        </w:tc>
        <w:tc>
          <w:tcPr>
            <w:tcW w:w="850" w:type="dxa"/>
            <w:gridSpan w:val="2"/>
          </w:tcPr>
          <w:p w14:paraId="182F9FCA"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166.</w:t>
            </w:r>
          </w:p>
        </w:tc>
        <w:tc>
          <w:tcPr>
            <w:tcW w:w="6661" w:type="dxa"/>
            <w:gridSpan w:val="2"/>
          </w:tcPr>
          <w:p w14:paraId="7611BDE1" w14:textId="4376A54F" w:rsidR="003942C4" w:rsidRPr="00BA4171" w:rsidRDefault="00645C14" w:rsidP="004D3F07">
            <w:pPr>
              <w:spacing w:before="120" w:after="120"/>
              <w:jc w:val="both"/>
              <w:rPr>
                <w:rFonts w:ascii="Arial" w:hAnsi="Arial" w:cs="Arial"/>
                <w:sz w:val="22"/>
                <w:szCs w:val="22"/>
              </w:rPr>
            </w:pPr>
            <w:r>
              <w:rPr>
                <w:rFonts w:ascii="Arial" w:hAnsi="Arial"/>
                <w:sz w:val="22"/>
                <w:szCs w:val="22"/>
              </w:rPr>
              <w:t xml:space="preserve">Le Secrétariat transmet au Comité, quatre semaines avant sa session, un aperçu de tous les rapports reçus </w:t>
            </w:r>
            <w:r>
              <w:rPr>
                <w:rFonts w:ascii="Arial" w:hAnsi="Arial"/>
                <w:b/>
                <w:sz w:val="22"/>
                <w:szCs w:val="22"/>
                <w:u w:val="single"/>
              </w:rPr>
              <w:t>comme défini au paragraphe 152</w:t>
            </w:r>
            <w:r>
              <w:rPr>
                <w:rFonts w:ascii="Arial" w:hAnsi="Arial"/>
                <w:sz w:val="22"/>
                <w:szCs w:val="22"/>
              </w:rPr>
              <w:t xml:space="preserve">. Cet aperçu </w:t>
            </w:r>
            <w:r>
              <w:rPr>
                <w:rFonts w:ascii="Arial" w:hAnsi="Arial"/>
                <w:b/>
                <w:sz w:val="22"/>
                <w:szCs w:val="22"/>
                <w:u w:val="single"/>
              </w:rPr>
              <w:t>est</w:t>
            </w:r>
            <w:r>
              <w:rPr>
                <w:rFonts w:ascii="Arial" w:hAnsi="Arial"/>
                <w:sz w:val="22"/>
                <w:szCs w:val="22"/>
              </w:rPr>
              <w:t xml:space="preserve"> </w:t>
            </w:r>
            <w:r>
              <w:rPr>
                <w:rFonts w:ascii="Arial" w:hAnsi="Arial"/>
                <w:strike/>
                <w:sz w:val="22"/>
                <w:szCs w:val="22"/>
              </w:rPr>
              <w:t>ainsi que les rapports sont</w:t>
            </w:r>
            <w:r>
              <w:rPr>
                <w:rFonts w:ascii="Arial" w:hAnsi="Arial"/>
                <w:sz w:val="22"/>
                <w:szCs w:val="22"/>
              </w:rPr>
              <w:t xml:space="preserve"> également mis en ligne pour consultation </w:t>
            </w:r>
            <w:r>
              <w:rPr>
                <w:rFonts w:ascii="Arial" w:hAnsi="Arial"/>
                <w:b/>
                <w:sz w:val="22"/>
                <w:szCs w:val="22"/>
                <w:u w:val="single"/>
              </w:rPr>
              <w:t>publique,</w:t>
            </w:r>
            <w:r>
              <w:rPr>
                <w:rFonts w:ascii="Arial" w:hAnsi="Arial"/>
                <w:sz w:val="22"/>
                <w:szCs w:val="22"/>
              </w:rPr>
              <w:t xml:space="preserve"> </w:t>
            </w:r>
            <w:r>
              <w:rPr>
                <w:rFonts w:ascii="Arial" w:hAnsi="Arial"/>
                <w:b/>
                <w:sz w:val="22"/>
                <w:szCs w:val="22"/>
                <w:u w:val="single"/>
              </w:rPr>
              <w:t>de même que les rapports dans la langue dans laquelle ils ont été soumis par les États parties, sauf si le Comité en décide autrement dans des cas exceptionnels</w:t>
            </w:r>
            <w:r>
              <w:rPr>
                <w:rFonts w:ascii="Arial" w:hAnsi="Arial"/>
                <w:sz w:val="22"/>
                <w:szCs w:val="22"/>
              </w:rPr>
              <w:t>.</w:t>
            </w:r>
          </w:p>
        </w:tc>
      </w:tr>
      <w:tr w:rsidR="003942C4" w:rsidRPr="009322D2" w14:paraId="07511C25" w14:textId="77777777" w:rsidTr="00196F2F">
        <w:trPr>
          <w:cantSplit/>
        </w:trPr>
        <w:tc>
          <w:tcPr>
            <w:tcW w:w="1080" w:type="dxa"/>
            <w:gridSpan w:val="2"/>
            <w:shd w:val="clear" w:color="auto" w:fill="auto"/>
          </w:tcPr>
          <w:p w14:paraId="3803A3BB"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167.</w:t>
            </w:r>
          </w:p>
        </w:tc>
        <w:tc>
          <w:tcPr>
            <w:tcW w:w="6860" w:type="dxa"/>
            <w:gridSpan w:val="3"/>
            <w:shd w:val="clear" w:color="auto" w:fill="auto"/>
          </w:tcPr>
          <w:p w14:paraId="7EAD1C3D" w14:textId="5FAC1F73" w:rsidR="003942C4" w:rsidRPr="00710CE9" w:rsidRDefault="006610D9" w:rsidP="00196F2F">
            <w:pPr>
              <w:spacing w:before="120" w:after="120"/>
              <w:jc w:val="both"/>
              <w:rPr>
                <w:rFonts w:ascii="Arial" w:hAnsi="Arial" w:cs="Arial"/>
                <w:sz w:val="22"/>
                <w:szCs w:val="22"/>
              </w:rPr>
            </w:pPr>
            <w:r>
              <w:rPr>
                <w:rFonts w:ascii="Arial" w:hAnsi="Arial"/>
                <w:sz w:val="22"/>
                <w:szCs w:val="22"/>
              </w:rPr>
              <w:t>Après la session au cours de laquelle ils sont examinés par le Comité, les rapports sont mis à la disposition du public pour information, sauf si le Comité en décide autrement dans des cas exceptionnels.</w:t>
            </w:r>
          </w:p>
        </w:tc>
        <w:tc>
          <w:tcPr>
            <w:tcW w:w="850" w:type="dxa"/>
            <w:gridSpan w:val="2"/>
          </w:tcPr>
          <w:p w14:paraId="52215229" w14:textId="77777777" w:rsidR="003942C4" w:rsidRPr="00645C14" w:rsidRDefault="003942C4" w:rsidP="00196F2F">
            <w:pPr>
              <w:spacing w:before="120" w:after="120"/>
              <w:jc w:val="right"/>
              <w:rPr>
                <w:rFonts w:ascii="Arial" w:hAnsi="Arial" w:cs="Arial"/>
                <w:strike/>
                <w:sz w:val="22"/>
                <w:szCs w:val="22"/>
              </w:rPr>
            </w:pPr>
            <w:r>
              <w:rPr>
                <w:rFonts w:ascii="Arial" w:hAnsi="Arial"/>
                <w:strike/>
                <w:sz w:val="22"/>
                <w:szCs w:val="22"/>
              </w:rPr>
              <w:t>167.</w:t>
            </w:r>
          </w:p>
        </w:tc>
        <w:tc>
          <w:tcPr>
            <w:tcW w:w="6661" w:type="dxa"/>
            <w:gridSpan w:val="2"/>
          </w:tcPr>
          <w:p w14:paraId="6359CE6D" w14:textId="3950AA00" w:rsidR="003942C4" w:rsidRPr="00645C14" w:rsidRDefault="00645C14" w:rsidP="00196F2F">
            <w:pPr>
              <w:spacing w:before="120" w:after="120"/>
              <w:jc w:val="both"/>
              <w:rPr>
                <w:rFonts w:ascii="Arial" w:hAnsi="Arial" w:cs="Arial"/>
                <w:strike/>
                <w:sz w:val="22"/>
                <w:szCs w:val="22"/>
              </w:rPr>
            </w:pPr>
            <w:r>
              <w:rPr>
                <w:rFonts w:ascii="Arial" w:hAnsi="Arial"/>
                <w:strike/>
                <w:sz w:val="22"/>
                <w:szCs w:val="22"/>
              </w:rPr>
              <w:t>Après la session au cours de laquelle ils sont examinés par le Comité, les rapports sont mis à la disposition du public pour information, sauf si le Comité en décide autrement dans des cas exceptionnels.</w:t>
            </w:r>
          </w:p>
        </w:tc>
      </w:tr>
      <w:tr w:rsidR="003942C4" w:rsidRPr="00B36C17" w14:paraId="76856E57" w14:textId="77777777" w:rsidTr="00196F2F">
        <w:trPr>
          <w:cantSplit/>
        </w:trPr>
        <w:tc>
          <w:tcPr>
            <w:tcW w:w="1080" w:type="dxa"/>
            <w:gridSpan w:val="2"/>
            <w:shd w:val="clear" w:color="auto" w:fill="auto"/>
          </w:tcPr>
          <w:p w14:paraId="4DB1642C" w14:textId="77777777" w:rsidR="003942C4" w:rsidRPr="0096363C" w:rsidRDefault="003942C4" w:rsidP="00196F2F">
            <w:pPr>
              <w:spacing w:before="120" w:after="120"/>
              <w:jc w:val="right"/>
              <w:rPr>
                <w:rFonts w:ascii="Arial" w:hAnsi="Arial" w:cs="Arial"/>
                <w:b/>
                <w:sz w:val="22"/>
                <w:szCs w:val="22"/>
              </w:rPr>
            </w:pPr>
            <w:r>
              <w:rPr>
                <w:rFonts w:ascii="Arial" w:hAnsi="Arial"/>
                <w:b/>
                <w:sz w:val="22"/>
                <w:szCs w:val="22"/>
              </w:rPr>
              <w:t>V.4</w:t>
            </w:r>
          </w:p>
        </w:tc>
        <w:tc>
          <w:tcPr>
            <w:tcW w:w="6860" w:type="dxa"/>
            <w:gridSpan w:val="3"/>
            <w:shd w:val="clear" w:color="auto" w:fill="auto"/>
          </w:tcPr>
          <w:p w14:paraId="295CD6AF" w14:textId="089508AC" w:rsidR="003942C4" w:rsidRPr="0096363C" w:rsidRDefault="003942C4" w:rsidP="00196F2F">
            <w:pPr>
              <w:spacing w:before="120" w:after="120"/>
              <w:jc w:val="both"/>
              <w:rPr>
                <w:rFonts w:ascii="Arial" w:hAnsi="Arial" w:cs="Arial"/>
                <w:b/>
              </w:rPr>
            </w:pPr>
            <w:r>
              <w:rPr>
                <w:rFonts w:ascii="Arial" w:hAnsi="Arial"/>
                <w:b/>
              </w:rPr>
              <w:t>Rapports des États non parties à la Convention sur les éléments inscrits sur la Liste représentative du patrimoine culturel immatériel de l</w:t>
            </w:r>
            <w:r w:rsidR="00E11528">
              <w:rPr>
                <w:rFonts w:ascii="Arial" w:hAnsi="Arial"/>
                <w:b/>
              </w:rPr>
              <w:t>’</w:t>
            </w:r>
            <w:r>
              <w:rPr>
                <w:rFonts w:ascii="Arial" w:hAnsi="Arial"/>
                <w:b/>
              </w:rPr>
              <w:t>humanité</w:t>
            </w:r>
          </w:p>
        </w:tc>
        <w:tc>
          <w:tcPr>
            <w:tcW w:w="850" w:type="dxa"/>
            <w:gridSpan w:val="2"/>
          </w:tcPr>
          <w:p w14:paraId="69A4C439" w14:textId="77777777" w:rsidR="003942C4" w:rsidRPr="004815DD" w:rsidRDefault="003942C4" w:rsidP="00196F2F">
            <w:pPr>
              <w:spacing w:before="120" w:after="120"/>
              <w:jc w:val="right"/>
              <w:rPr>
                <w:rFonts w:ascii="Arial" w:hAnsi="Arial" w:cs="Arial"/>
                <w:b/>
                <w:sz w:val="22"/>
                <w:szCs w:val="22"/>
              </w:rPr>
            </w:pPr>
            <w:r>
              <w:rPr>
                <w:rFonts w:ascii="Arial" w:hAnsi="Arial"/>
                <w:b/>
                <w:sz w:val="22"/>
                <w:szCs w:val="22"/>
              </w:rPr>
              <w:t>V.4</w:t>
            </w:r>
          </w:p>
        </w:tc>
        <w:tc>
          <w:tcPr>
            <w:tcW w:w="6661" w:type="dxa"/>
            <w:gridSpan w:val="2"/>
          </w:tcPr>
          <w:p w14:paraId="7108B7F0"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9322D2" w14:paraId="6D849FF7" w14:textId="77777777" w:rsidTr="00196F2F">
        <w:trPr>
          <w:cantSplit/>
        </w:trPr>
        <w:tc>
          <w:tcPr>
            <w:tcW w:w="1080" w:type="dxa"/>
            <w:gridSpan w:val="2"/>
            <w:shd w:val="clear" w:color="auto" w:fill="auto"/>
          </w:tcPr>
          <w:p w14:paraId="77E6FF0E"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168.</w:t>
            </w:r>
          </w:p>
        </w:tc>
        <w:tc>
          <w:tcPr>
            <w:tcW w:w="6860" w:type="dxa"/>
            <w:gridSpan w:val="3"/>
            <w:shd w:val="clear" w:color="auto" w:fill="auto"/>
          </w:tcPr>
          <w:p w14:paraId="73D3BB3D" w14:textId="6E6A08C8" w:rsidR="003942C4" w:rsidRPr="00710CE9" w:rsidRDefault="003942C4" w:rsidP="00196F2F">
            <w:pPr>
              <w:spacing w:before="120" w:after="120"/>
              <w:jc w:val="both"/>
              <w:rPr>
                <w:rFonts w:ascii="Arial" w:hAnsi="Arial" w:cs="Arial"/>
                <w:sz w:val="22"/>
                <w:szCs w:val="22"/>
              </w:rPr>
            </w:pPr>
            <w:r>
              <w:rPr>
                <w:rFonts w:ascii="Arial" w:hAnsi="Arial"/>
                <w:sz w:val="22"/>
                <w:szCs w:val="22"/>
              </w:rPr>
              <w:t>Les paragraphes 157 à 159 et 165 à 167 des présentes Directives opérationnelles s</w:t>
            </w:r>
            <w:r w:rsidR="00E11528">
              <w:rPr>
                <w:rFonts w:ascii="Arial" w:hAnsi="Arial"/>
                <w:sz w:val="22"/>
                <w:szCs w:val="22"/>
              </w:rPr>
              <w:t>’</w:t>
            </w:r>
            <w:r>
              <w:rPr>
                <w:rFonts w:ascii="Arial" w:hAnsi="Arial"/>
                <w:sz w:val="22"/>
                <w:szCs w:val="22"/>
              </w:rPr>
              <w:t>appliquent dans leur intégralité aux États non parties à la Convention qui ont sur leur territoire des éléments proclamés Chefs-d</w:t>
            </w:r>
            <w:r w:rsidR="00E11528">
              <w:rPr>
                <w:rFonts w:ascii="Arial" w:hAnsi="Arial"/>
                <w:sz w:val="22"/>
                <w:szCs w:val="22"/>
              </w:rPr>
              <w:t>’</w:t>
            </w:r>
            <w:r>
              <w:rPr>
                <w:rFonts w:ascii="Arial" w:hAnsi="Arial"/>
                <w:sz w:val="22"/>
                <w:szCs w:val="22"/>
              </w:rPr>
              <w:t>œuvre ayant été intégrés dans la Liste représentative du patrimoine culturel immatériel de l</w:t>
            </w:r>
            <w:r w:rsidR="00E11528">
              <w:rPr>
                <w:rFonts w:ascii="Arial" w:hAnsi="Arial"/>
                <w:sz w:val="22"/>
                <w:szCs w:val="22"/>
              </w:rPr>
              <w:t>’</w:t>
            </w:r>
            <w:r>
              <w:rPr>
                <w:rFonts w:ascii="Arial" w:hAnsi="Arial"/>
                <w:sz w:val="22"/>
                <w:szCs w:val="22"/>
              </w:rPr>
              <w:t>humanité, et qui ont consenti à accepter les droits et à assumer les obligations qui en découlent.</w:t>
            </w:r>
          </w:p>
        </w:tc>
        <w:tc>
          <w:tcPr>
            <w:tcW w:w="850" w:type="dxa"/>
            <w:gridSpan w:val="2"/>
          </w:tcPr>
          <w:p w14:paraId="1CC2F671" w14:textId="77777777" w:rsidR="003942C4" w:rsidRPr="00BA4171" w:rsidRDefault="003942C4" w:rsidP="00196F2F">
            <w:pPr>
              <w:spacing w:before="120" w:after="120"/>
              <w:jc w:val="right"/>
              <w:rPr>
                <w:rFonts w:ascii="Arial" w:hAnsi="Arial" w:cs="Arial"/>
                <w:sz w:val="22"/>
                <w:szCs w:val="22"/>
              </w:rPr>
            </w:pPr>
            <w:r>
              <w:rPr>
                <w:rFonts w:ascii="Arial" w:hAnsi="Arial"/>
                <w:strike/>
                <w:sz w:val="22"/>
                <w:szCs w:val="22"/>
              </w:rPr>
              <w:t>168</w:t>
            </w:r>
            <w:r>
              <w:rPr>
                <w:rFonts w:ascii="Arial" w:hAnsi="Arial"/>
                <w:sz w:val="22"/>
                <w:szCs w:val="22"/>
              </w:rPr>
              <w:t xml:space="preserve"> 167.</w:t>
            </w:r>
          </w:p>
        </w:tc>
        <w:tc>
          <w:tcPr>
            <w:tcW w:w="6661" w:type="dxa"/>
            <w:gridSpan w:val="2"/>
          </w:tcPr>
          <w:p w14:paraId="7E751A73" w14:textId="16ADA6F4" w:rsidR="003942C4" w:rsidRPr="00BA4171" w:rsidRDefault="003942C4" w:rsidP="00126174">
            <w:pPr>
              <w:spacing w:before="120" w:after="120"/>
              <w:jc w:val="both"/>
              <w:rPr>
                <w:rFonts w:ascii="Arial" w:hAnsi="Arial" w:cs="Arial"/>
                <w:sz w:val="22"/>
                <w:szCs w:val="22"/>
              </w:rPr>
            </w:pPr>
            <w:r>
              <w:rPr>
                <w:rFonts w:ascii="Arial" w:hAnsi="Arial"/>
                <w:sz w:val="22"/>
                <w:szCs w:val="22"/>
              </w:rPr>
              <w:t>Les paragraphes 157 à 159 et 165 à 16</w:t>
            </w:r>
            <w:r>
              <w:rPr>
                <w:rFonts w:ascii="Arial" w:hAnsi="Arial"/>
                <w:strike/>
                <w:sz w:val="22"/>
                <w:szCs w:val="22"/>
              </w:rPr>
              <w:t>7</w:t>
            </w:r>
            <w:r>
              <w:rPr>
                <w:rFonts w:ascii="Arial" w:hAnsi="Arial"/>
                <w:b/>
                <w:bCs/>
                <w:sz w:val="22"/>
                <w:szCs w:val="22"/>
                <w:u w:val="single"/>
              </w:rPr>
              <w:t>6</w:t>
            </w:r>
            <w:r>
              <w:rPr>
                <w:rFonts w:ascii="Arial" w:hAnsi="Arial"/>
                <w:sz w:val="22"/>
                <w:szCs w:val="22"/>
              </w:rPr>
              <w:t xml:space="preserve"> des présentes Directives opérationnelles s</w:t>
            </w:r>
            <w:r w:rsidR="00E11528">
              <w:rPr>
                <w:rFonts w:ascii="Arial" w:hAnsi="Arial"/>
                <w:sz w:val="22"/>
                <w:szCs w:val="22"/>
              </w:rPr>
              <w:t>’</w:t>
            </w:r>
            <w:r>
              <w:rPr>
                <w:rFonts w:ascii="Arial" w:hAnsi="Arial"/>
                <w:sz w:val="22"/>
                <w:szCs w:val="22"/>
              </w:rPr>
              <w:t>appliquent dans leur intégralité aux États non parties à la Convention qui ont sur leur territoire des éléments proclamés Chefs-d</w:t>
            </w:r>
            <w:r w:rsidR="00E11528">
              <w:rPr>
                <w:rFonts w:ascii="Arial" w:hAnsi="Arial"/>
                <w:sz w:val="22"/>
                <w:szCs w:val="22"/>
              </w:rPr>
              <w:t>’</w:t>
            </w:r>
            <w:r>
              <w:rPr>
                <w:rFonts w:ascii="Arial" w:hAnsi="Arial"/>
                <w:sz w:val="22"/>
                <w:szCs w:val="22"/>
              </w:rPr>
              <w:t>œuvre ayant été intégrés dans la Liste représentative du patrimoine culturel immatériel de l</w:t>
            </w:r>
            <w:r w:rsidR="00E11528">
              <w:rPr>
                <w:rFonts w:ascii="Arial" w:hAnsi="Arial"/>
                <w:sz w:val="22"/>
                <w:szCs w:val="22"/>
              </w:rPr>
              <w:t>’</w:t>
            </w:r>
            <w:r>
              <w:rPr>
                <w:rFonts w:ascii="Arial" w:hAnsi="Arial"/>
                <w:sz w:val="22"/>
                <w:szCs w:val="22"/>
              </w:rPr>
              <w:t>humanité, et qui ont consenti à accepter les droits et à assumer les obligations qui en découlent.</w:t>
            </w:r>
          </w:p>
        </w:tc>
      </w:tr>
      <w:tr w:rsidR="003942C4" w:rsidRPr="009322D2" w14:paraId="4D2E8AD1" w14:textId="77777777" w:rsidTr="00196F2F">
        <w:trPr>
          <w:cantSplit/>
        </w:trPr>
        <w:tc>
          <w:tcPr>
            <w:tcW w:w="1080" w:type="dxa"/>
            <w:gridSpan w:val="2"/>
            <w:shd w:val="clear" w:color="auto" w:fill="auto"/>
          </w:tcPr>
          <w:p w14:paraId="13F9C00B"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169.</w:t>
            </w:r>
          </w:p>
        </w:tc>
        <w:tc>
          <w:tcPr>
            <w:tcW w:w="6860" w:type="dxa"/>
            <w:gridSpan w:val="3"/>
            <w:shd w:val="clear" w:color="auto" w:fill="auto"/>
          </w:tcPr>
          <w:p w14:paraId="6F491C77" w14:textId="27000591" w:rsidR="003942C4" w:rsidRPr="00710CE9" w:rsidRDefault="006610D9" w:rsidP="00196F2F">
            <w:pPr>
              <w:spacing w:before="120" w:after="120"/>
              <w:jc w:val="both"/>
              <w:rPr>
                <w:rFonts w:ascii="Arial" w:hAnsi="Arial" w:cs="Arial"/>
                <w:sz w:val="22"/>
                <w:szCs w:val="22"/>
              </w:rPr>
            </w:pPr>
            <w:r>
              <w:rPr>
                <w:rFonts w:ascii="Arial" w:hAnsi="Arial"/>
                <w:sz w:val="22"/>
                <w:szCs w:val="22"/>
              </w:rPr>
              <w:t>Ces rapports sont présentés au Comité par les États non parties au plus tard le 15 décembre 2014 et ensuite tous les six ans. Le formulaire ICH-10 est utilisé pour ces rapports. Il est disponible à l</w:t>
            </w:r>
            <w:r w:rsidR="00E11528">
              <w:rPr>
                <w:rFonts w:ascii="Arial" w:hAnsi="Arial"/>
                <w:sz w:val="22"/>
                <w:szCs w:val="22"/>
              </w:rPr>
              <w:t>’</w:t>
            </w:r>
            <w:r>
              <w:rPr>
                <w:rFonts w:ascii="Arial" w:hAnsi="Arial"/>
                <w:sz w:val="22"/>
                <w:szCs w:val="22"/>
              </w:rPr>
              <w:t xml:space="preserve">adresse </w:t>
            </w:r>
            <w:hyperlink r:id="rId27" w:history="1">
              <w:r>
                <w:rPr>
                  <w:rStyle w:val="Hyperlink"/>
                  <w:rFonts w:ascii="Arial" w:hAnsi="Arial"/>
                  <w:sz w:val="22"/>
                  <w:szCs w:val="22"/>
                </w:rPr>
                <w:t>www.unesco.org/culture/ich</w:t>
              </w:r>
            </w:hyperlink>
            <w:r>
              <w:rPr>
                <w:rFonts w:ascii="Arial" w:hAnsi="Arial"/>
                <w:sz w:val="22"/>
                <w:szCs w:val="22"/>
              </w:rPr>
              <w:t xml:space="preserve"> ou sur demande auprès du Secrétariat. Les rapports doivent uniquement inclure les informations requises dans le formulaire.</w:t>
            </w:r>
          </w:p>
        </w:tc>
        <w:tc>
          <w:tcPr>
            <w:tcW w:w="850" w:type="dxa"/>
            <w:gridSpan w:val="2"/>
          </w:tcPr>
          <w:p w14:paraId="62D60374" w14:textId="77777777" w:rsidR="003942C4" w:rsidRPr="00BA4171" w:rsidRDefault="003942C4" w:rsidP="00196F2F">
            <w:pPr>
              <w:spacing w:before="120" w:after="120"/>
              <w:jc w:val="right"/>
              <w:rPr>
                <w:rFonts w:ascii="Arial" w:hAnsi="Arial" w:cs="Arial"/>
                <w:sz w:val="22"/>
                <w:szCs w:val="22"/>
              </w:rPr>
            </w:pPr>
            <w:r>
              <w:rPr>
                <w:rFonts w:ascii="Arial" w:hAnsi="Arial"/>
                <w:strike/>
                <w:sz w:val="22"/>
                <w:szCs w:val="22"/>
              </w:rPr>
              <w:t>169</w:t>
            </w:r>
            <w:r>
              <w:rPr>
                <w:rFonts w:ascii="Arial" w:hAnsi="Arial"/>
                <w:sz w:val="22"/>
                <w:szCs w:val="22"/>
              </w:rPr>
              <w:t xml:space="preserve"> 168.</w:t>
            </w:r>
          </w:p>
        </w:tc>
        <w:tc>
          <w:tcPr>
            <w:tcW w:w="6661" w:type="dxa"/>
            <w:gridSpan w:val="2"/>
          </w:tcPr>
          <w:p w14:paraId="474F6DA7" w14:textId="6D44A45F" w:rsidR="003942C4" w:rsidRPr="00BA4171" w:rsidRDefault="005E4569">
            <w:pPr>
              <w:spacing w:before="120" w:after="120"/>
              <w:jc w:val="both"/>
              <w:rPr>
                <w:rFonts w:ascii="Arial" w:hAnsi="Arial" w:cs="Arial"/>
                <w:sz w:val="22"/>
                <w:szCs w:val="22"/>
              </w:rPr>
            </w:pPr>
            <w:r>
              <w:rPr>
                <w:rFonts w:ascii="Arial" w:hAnsi="Arial"/>
                <w:sz w:val="22"/>
                <w:szCs w:val="22"/>
              </w:rPr>
              <w:t xml:space="preserve">Ces rapports sont présentés au Comité par les États non parties au plus tard le 15 décembre 2014 et ensuite tous les six ans. Le formulaire ICH-10 </w:t>
            </w:r>
            <w:r>
              <w:rPr>
                <w:rFonts w:ascii="Arial" w:hAnsi="Arial"/>
                <w:strike/>
                <w:sz w:val="22"/>
                <w:szCs w:val="22"/>
              </w:rPr>
              <w:t>est utilisé pour ces rapports. Il est disponible à l</w:t>
            </w:r>
            <w:r w:rsidR="00E11528">
              <w:rPr>
                <w:rFonts w:ascii="Arial" w:hAnsi="Arial"/>
                <w:strike/>
                <w:sz w:val="22"/>
                <w:szCs w:val="22"/>
              </w:rPr>
              <w:t>’</w:t>
            </w:r>
            <w:r>
              <w:rPr>
                <w:rFonts w:ascii="Arial" w:hAnsi="Arial"/>
                <w:strike/>
                <w:sz w:val="22"/>
                <w:szCs w:val="22"/>
              </w:rPr>
              <w:t xml:space="preserve">adresse </w:t>
            </w:r>
            <w:hyperlink r:id="rId28" w:history="1">
              <w:r>
                <w:rPr>
                  <w:rStyle w:val="Hyperlink"/>
                  <w:rFonts w:ascii="Arial" w:hAnsi="Arial"/>
                  <w:strike/>
                  <w:sz w:val="22"/>
                  <w:szCs w:val="22"/>
                </w:rPr>
                <w:t>www.unesco.org/culture/ich</w:t>
              </w:r>
            </w:hyperlink>
            <w:r>
              <w:rPr>
                <w:rFonts w:ascii="Arial" w:hAnsi="Arial"/>
                <w:strike/>
                <w:sz w:val="22"/>
                <w:szCs w:val="22"/>
              </w:rPr>
              <w:t xml:space="preserve"> ou sur demande auprès du Secrétariat. Les rapports doivent uniquement inclure les informations requises dans le formulaire. </w:t>
            </w:r>
            <w:r>
              <w:rPr>
                <w:rFonts w:ascii="Arial" w:hAnsi="Arial"/>
                <w:b/>
                <w:color w:val="000000"/>
                <w:sz w:val="22"/>
                <w:szCs w:val="22"/>
                <w:u w:val="single"/>
              </w:rPr>
              <w:t>doit être rempli en ligne par chaque État partie (</w:t>
            </w:r>
            <w:hyperlink r:id="rId29" w:history="1">
              <w:r>
                <w:rPr>
                  <w:rStyle w:val="Hyperlink"/>
                  <w:rFonts w:ascii="Arial" w:hAnsi="Arial"/>
                  <w:b/>
                  <w:sz w:val="22"/>
                  <w:szCs w:val="22"/>
                </w:rPr>
                <w:t>https://ich.unesco.org/</w:t>
              </w:r>
            </w:hyperlink>
            <w:r>
              <w:rPr>
                <w:rFonts w:ascii="Arial" w:hAnsi="Arial"/>
                <w:b/>
                <w:color w:val="000000"/>
                <w:sz w:val="22"/>
                <w:szCs w:val="22"/>
                <w:u w:val="single"/>
              </w:rPr>
              <w:t xml:space="preserve">) et est révisé </w:t>
            </w:r>
            <w:r w:rsidR="00742679">
              <w:rPr>
                <w:rFonts w:ascii="Arial" w:hAnsi="Arial"/>
                <w:b/>
                <w:color w:val="000000"/>
                <w:sz w:val="22"/>
                <w:szCs w:val="22"/>
                <w:u w:val="single"/>
              </w:rPr>
              <w:t xml:space="preserve">par le Secrétariat </w:t>
            </w:r>
            <w:r>
              <w:rPr>
                <w:rFonts w:ascii="Arial" w:hAnsi="Arial"/>
                <w:b/>
                <w:color w:val="000000"/>
                <w:sz w:val="22"/>
                <w:szCs w:val="22"/>
                <w:u w:val="single"/>
              </w:rPr>
              <w:t xml:space="preserve">à intervalles </w:t>
            </w:r>
            <w:r w:rsidR="006A6CDF">
              <w:rPr>
                <w:rFonts w:ascii="Arial" w:hAnsi="Arial"/>
                <w:b/>
                <w:color w:val="000000"/>
                <w:sz w:val="22"/>
                <w:szCs w:val="22"/>
                <w:u w:val="single"/>
              </w:rPr>
              <w:t>appropriés</w:t>
            </w:r>
            <w:r>
              <w:rPr>
                <w:rFonts w:ascii="Arial" w:hAnsi="Arial"/>
                <w:b/>
                <w:color w:val="000000"/>
                <w:sz w:val="22"/>
                <w:szCs w:val="22"/>
                <w:u w:val="single"/>
              </w:rPr>
              <w:t>.</w:t>
            </w:r>
          </w:p>
        </w:tc>
      </w:tr>
    </w:tbl>
    <w:p w14:paraId="7FFCACDD" w14:textId="77777777" w:rsidR="00B6098C" w:rsidRPr="003942C4" w:rsidRDefault="00B6098C" w:rsidP="001F26CF">
      <w:pPr>
        <w:pStyle w:val="COMParaDecision"/>
        <w:numPr>
          <w:ilvl w:val="0"/>
          <w:numId w:val="0"/>
        </w:numPr>
        <w:jc w:val="left"/>
      </w:pPr>
    </w:p>
    <w:sectPr w:rsidR="00B6098C" w:rsidRPr="003942C4" w:rsidSect="003942C4">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79DB" w14:textId="77777777" w:rsidR="0010166B" w:rsidRDefault="0010166B" w:rsidP="00655736">
      <w:r>
        <w:separator/>
      </w:r>
    </w:p>
  </w:endnote>
  <w:endnote w:type="continuationSeparator" w:id="0">
    <w:p w14:paraId="26026870" w14:textId="77777777" w:rsidR="0010166B" w:rsidRDefault="0010166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B192" w14:textId="77777777" w:rsidR="0010166B" w:rsidRDefault="0010166B" w:rsidP="00655736">
      <w:r>
        <w:separator/>
      </w:r>
    </w:p>
  </w:footnote>
  <w:footnote w:type="continuationSeparator" w:id="0">
    <w:p w14:paraId="7FFF5DEC" w14:textId="77777777" w:rsidR="0010166B" w:rsidRDefault="0010166B" w:rsidP="00655736">
      <w:r>
        <w:continuationSeparator/>
      </w:r>
    </w:p>
  </w:footnote>
  <w:footnote w:id="1">
    <w:p w14:paraId="6DAB6016" w14:textId="15535BF4" w:rsidR="00BE14B6" w:rsidRPr="00DC3672" w:rsidRDefault="00BE14B6" w:rsidP="00084445">
      <w:pPr>
        <w:pStyle w:val="FootnoteText"/>
        <w:keepLines/>
        <w:ind w:left="567" w:hanging="567"/>
        <w:rPr>
          <w:rFonts w:ascii="Arial" w:hAnsi="Arial" w:cs="Arial"/>
          <w:sz w:val="18"/>
          <w:szCs w:val="18"/>
        </w:rPr>
      </w:pPr>
      <w:r>
        <w:rPr>
          <w:rStyle w:val="FootnoteReference"/>
          <w:rFonts w:ascii="Arial" w:hAnsi="Arial" w:cs="Arial"/>
          <w:sz w:val="18"/>
          <w:szCs w:val="18"/>
          <w:vertAlign w:val="baseline"/>
        </w:rPr>
        <w:footnoteRef/>
      </w:r>
      <w:r>
        <w:rPr>
          <w:rFonts w:ascii="Arial" w:hAnsi="Arial"/>
          <w:sz w:val="18"/>
          <w:szCs w:val="18"/>
        </w:rPr>
        <w:t xml:space="preserve">. </w:t>
      </w:r>
      <w:r>
        <w:rPr>
          <w:rFonts w:ascii="Arial" w:hAnsi="Arial"/>
          <w:sz w:val="18"/>
          <w:szCs w:val="18"/>
        </w:rPr>
        <w:tab/>
        <w:t>Évaluation du travail normatif de l</w:t>
      </w:r>
      <w:r w:rsidR="00E11528">
        <w:rPr>
          <w:rFonts w:ascii="Arial" w:hAnsi="Arial"/>
          <w:sz w:val="18"/>
          <w:szCs w:val="18"/>
        </w:rPr>
        <w:t>’</w:t>
      </w:r>
      <w:r>
        <w:rPr>
          <w:rFonts w:ascii="Arial" w:hAnsi="Arial"/>
          <w:sz w:val="18"/>
          <w:szCs w:val="18"/>
        </w:rPr>
        <w:t>UNESCO dans le domaine de la culture préparé par le Service d</w:t>
      </w:r>
      <w:r w:rsidR="00E11528">
        <w:rPr>
          <w:rFonts w:ascii="Arial" w:hAnsi="Arial"/>
          <w:sz w:val="18"/>
          <w:szCs w:val="18"/>
        </w:rPr>
        <w:t>’</w:t>
      </w:r>
      <w:r>
        <w:rPr>
          <w:rFonts w:ascii="Arial" w:hAnsi="Arial"/>
          <w:sz w:val="18"/>
          <w:szCs w:val="18"/>
        </w:rPr>
        <w:t>évaluation et d</w:t>
      </w:r>
      <w:r w:rsidR="00E11528">
        <w:rPr>
          <w:rFonts w:ascii="Arial" w:hAnsi="Arial"/>
          <w:sz w:val="18"/>
          <w:szCs w:val="18"/>
        </w:rPr>
        <w:t>’</w:t>
      </w:r>
      <w:r>
        <w:rPr>
          <w:rFonts w:ascii="Arial" w:hAnsi="Arial"/>
          <w:sz w:val="18"/>
          <w:szCs w:val="18"/>
        </w:rPr>
        <w:t>audit (IOS) de l</w:t>
      </w:r>
      <w:r w:rsidR="00E11528">
        <w:rPr>
          <w:rFonts w:ascii="Arial" w:hAnsi="Arial"/>
          <w:sz w:val="18"/>
          <w:szCs w:val="18"/>
        </w:rPr>
        <w:t>’</w:t>
      </w:r>
      <w:r>
        <w:rPr>
          <w:rFonts w:ascii="Arial" w:hAnsi="Arial"/>
          <w:sz w:val="18"/>
          <w:szCs w:val="18"/>
        </w:rPr>
        <w:t xml:space="preserve">UNESCO, </w:t>
      </w:r>
      <w:r>
        <w:rPr>
          <w:rFonts w:ascii="Arial" w:hAnsi="Arial"/>
          <w:i/>
          <w:iCs/>
          <w:sz w:val="18"/>
          <w:szCs w:val="18"/>
        </w:rPr>
        <w:t>Évaluation du travail normatif de l</w:t>
      </w:r>
      <w:r w:rsidR="00E11528">
        <w:rPr>
          <w:rFonts w:ascii="Arial" w:hAnsi="Arial"/>
          <w:i/>
          <w:iCs/>
          <w:sz w:val="18"/>
          <w:szCs w:val="18"/>
        </w:rPr>
        <w:t>’</w:t>
      </w:r>
      <w:r>
        <w:rPr>
          <w:rFonts w:ascii="Arial" w:hAnsi="Arial"/>
          <w:i/>
          <w:iCs/>
          <w:sz w:val="18"/>
          <w:szCs w:val="18"/>
        </w:rPr>
        <w:t>UNESCO dans le domaine de la culture</w:t>
      </w:r>
      <w:r>
        <w:rPr>
          <w:rFonts w:ascii="Cambria Math" w:hAnsi="Cambria Math"/>
          <w:i/>
          <w:iCs/>
          <w:sz w:val="18"/>
          <w:szCs w:val="18"/>
        </w:rPr>
        <w:t> </w:t>
      </w:r>
      <w:r>
        <w:rPr>
          <w:rFonts w:ascii="Arial" w:hAnsi="Arial"/>
          <w:i/>
          <w:iCs/>
          <w:sz w:val="18"/>
          <w:szCs w:val="18"/>
        </w:rPr>
        <w:t>: Première partie ‐ Convention de 2003 pour la sauvegarde du patrimoine culturel immatériel</w:t>
      </w:r>
      <w:r>
        <w:rPr>
          <w:rFonts w:ascii="Arial" w:hAnsi="Arial"/>
          <w:sz w:val="18"/>
          <w:szCs w:val="18"/>
        </w:rPr>
        <w:t xml:space="preserve">, disponible en </w:t>
      </w:r>
      <w:hyperlink r:id="rId1" w:tgtFrame="_blank" w:history="1">
        <w:proofErr w:type="spellStart"/>
        <w:r>
          <w:rPr>
            <w:rStyle w:val="Hyperlink"/>
            <w:rFonts w:ascii="Arial" w:hAnsi="Arial"/>
            <w:bCs/>
            <w:color w:val="0872CB"/>
            <w:sz w:val="18"/>
            <w:szCs w:val="18"/>
          </w:rPr>
          <w:t>ang</w:t>
        </w:r>
        <w:r>
          <w:rPr>
            <w:rStyle w:val="Hyperlink"/>
            <w:rFonts w:ascii="Arial" w:hAnsi="Arial"/>
            <w:bCs/>
            <w:color w:val="0872CB"/>
            <w:sz w:val="18"/>
            <w:szCs w:val="18"/>
          </w:rPr>
          <w:t>l</w:t>
        </w:r>
        <w:r>
          <w:rPr>
            <w:rStyle w:val="Hyperlink"/>
            <w:rFonts w:ascii="Arial" w:hAnsi="Arial"/>
            <w:bCs/>
            <w:color w:val="0872CB"/>
            <w:sz w:val="18"/>
            <w:szCs w:val="18"/>
          </w:rPr>
          <w:t>ais</w:t>
        </w:r>
      </w:hyperlink>
      <w:r>
        <w:rPr>
          <w:rFonts w:ascii="Arial" w:hAnsi="Arial"/>
          <w:color w:val="414042"/>
          <w:sz w:val="18"/>
          <w:szCs w:val="18"/>
        </w:rPr>
        <w:t>|</w:t>
      </w:r>
      <w:hyperlink r:id="rId2" w:tgtFrame="_blank" w:history="1">
        <w:r>
          <w:rPr>
            <w:rStyle w:val="Hyperlink"/>
            <w:rFonts w:ascii="Arial" w:hAnsi="Arial"/>
            <w:bCs/>
            <w:color w:val="0872CB"/>
            <w:sz w:val="18"/>
            <w:szCs w:val="18"/>
          </w:rPr>
          <w:t>fran</w:t>
        </w:r>
        <w:r>
          <w:rPr>
            <w:rStyle w:val="Hyperlink"/>
            <w:rFonts w:ascii="Arial" w:hAnsi="Arial"/>
            <w:bCs/>
            <w:color w:val="0872CB"/>
            <w:sz w:val="18"/>
            <w:szCs w:val="18"/>
          </w:rPr>
          <w:t>ç</w:t>
        </w:r>
        <w:r>
          <w:rPr>
            <w:rStyle w:val="Hyperlink"/>
            <w:rFonts w:ascii="Arial" w:hAnsi="Arial"/>
            <w:bCs/>
            <w:color w:val="0872CB"/>
            <w:sz w:val="18"/>
            <w:szCs w:val="18"/>
          </w:rPr>
          <w:t>ais</w:t>
        </w:r>
      </w:hyperlink>
      <w:r>
        <w:rPr>
          <w:rFonts w:ascii="Arial" w:hAnsi="Arial"/>
          <w:color w:val="414042"/>
          <w:sz w:val="18"/>
          <w:szCs w:val="18"/>
        </w:rPr>
        <w:t>|</w:t>
      </w:r>
      <w:hyperlink r:id="rId3" w:tgtFrame="_blank" w:history="1">
        <w:r>
          <w:rPr>
            <w:rStyle w:val="Hyperlink"/>
            <w:rFonts w:ascii="Arial" w:hAnsi="Arial"/>
            <w:bCs/>
            <w:color w:val="0872CB"/>
            <w:sz w:val="18"/>
            <w:szCs w:val="18"/>
          </w:rPr>
          <w:t>espa</w:t>
        </w:r>
        <w:r>
          <w:rPr>
            <w:rStyle w:val="Hyperlink"/>
            <w:rFonts w:ascii="Arial" w:hAnsi="Arial"/>
            <w:bCs/>
            <w:color w:val="0872CB"/>
            <w:sz w:val="18"/>
            <w:szCs w:val="18"/>
          </w:rPr>
          <w:t>g</w:t>
        </w:r>
        <w:r>
          <w:rPr>
            <w:rStyle w:val="Hyperlink"/>
            <w:rFonts w:ascii="Arial" w:hAnsi="Arial"/>
            <w:bCs/>
            <w:color w:val="0872CB"/>
            <w:sz w:val="18"/>
            <w:szCs w:val="18"/>
          </w:rPr>
          <w:t>nol</w:t>
        </w:r>
      </w:hyperlink>
      <w:r>
        <w:rPr>
          <w:rFonts w:ascii="Arial" w:hAnsi="Arial"/>
          <w:color w:val="414042"/>
          <w:sz w:val="18"/>
          <w:szCs w:val="18"/>
        </w:rPr>
        <w:t>|</w:t>
      </w:r>
      <w:hyperlink r:id="rId4" w:tgtFrame="_blank" w:history="1">
        <w:r>
          <w:rPr>
            <w:rStyle w:val="Hyperlink"/>
            <w:rFonts w:ascii="Arial" w:hAnsi="Arial"/>
            <w:bCs/>
            <w:color w:val="0872CB"/>
            <w:sz w:val="18"/>
            <w:szCs w:val="18"/>
          </w:rPr>
          <w:t>a</w:t>
        </w:r>
        <w:r>
          <w:rPr>
            <w:rStyle w:val="Hyperlink"/>
            <w:rFonts w:ascii="Arial" w:hAnsi="Arial"/>
            <w:bCs/>
            <w:color w:val="0872CB"/>
            <w:sz w:val="18"/>
            <w:szCs w:val="18"/>
          </w:rPr>
          <w:t>r</w:t>
        </w:r>
        <w:r>
          <w:rPr>
            <w:rStyle w:val="Hyperlink"/>
            <w:rFonts w:ascii="Arial" w:hAnsi="Arial"/>
            <w:bCs/>
            <w:color w:val="0872CB"/>
            <w:sz w:val="18"/>
            <w:szCs w:val="18"/>
          </w:rPr>
          <w:t>abe</w:t>
        </w:r>
        <w:proofErr w:type="spellEnd"/>
      </w:hyperlink>
      <w:r>
        <w:rPr>
          <w:rFonts w:ascii="Arial" w:hAnsi="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D9D7" w14:textId="5349914B" w:rsidR="00D95C4C" w:rsidRPr="00C23A97" w:rsidRDefault="00CB0542">
    <w:pPr>
      <w:pStyle w:val="Header"/>
      <w:rPr>
        <w:rFonts w:ascii="Arial" w:hAnsi="Arial" w:cs="Arial"/>
      </w:rPr>
    </w:pPr>
    <w:r>
      <w:rPr>
        <w:rFonts w:ascii="Arial" w:hAnsi="Arial"/>
        <w:sz w:val="20"/>
        <w:szCs w:val="20"/>
      </w:rPr>
      <w:t xml:space="preserve">ITH/17/12.COM/10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523C58">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E0BD" w14:textId="1B2D158B" w:rsidR="00D95C4C" w:rsidRPr="0063300C" w:rsidRDefault="0053318C" w:rsidP="0063300C">
    <w:pPr>
      <w:pStyle w:val="Header"/>
      <w:jc w:val="right"/>
      <w:rPr>
        <w:rFonts w:ascii="Arial" w:hAnsi="Arial" w:cs="Arial"/>
      </w:rPr>
    </w:pPr>
    <w:r>
      <w:rPr>
        <w:rFonts w:ascii="Arial" w:hAnsi="Arial"/>
        <w:sz w:val="20"/>
        <w:szCs w:val="20"/>
      </w:rPr>
      <w:t xml:space="preserve">ITH/17/12.COM/10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523C58">
      <w:rPr>
        <w:rStyle w:val="PageNumber"/>
        <w:rFonts w:ascii="Arial" w:hAnsi="Arial" w:cs="Arial"/>
        <w:noProof/>
        <w:sz w:val="20"/>
        <w:szCs w:val="20"/>
      </w:rPr>
      <w:t>11</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B2C9" w14:textId="65647B26" w:rsidR="00D95C4C" w:rsidRPr="00F32C23" w:rsidRDefault="002D0624">
    <w:pPr>
      <w:pStyle w:val="Header"/>
    </w:pPr>
    <w:r>
      <w:rPr>
        <w:noProof/>
        <w:lang w:val="en-US" w:eastAsia="ko-KR"/>
      </w:rPr>
      <w:drawing>
        <wp:anchor distT="0" distB="0" distL="114300" distR="114300" simplePos="0" relativeHeight="251659264" behindDoc="0" locked="0" layoutInCell="1" allowOverlap="1" wp14:anchorId="5AD55A43" wp14:editId="30DC9E2A">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4BA89" w14:textId="77777777" w:rsidR="00D95C4C" w:rsidRPr="00F30DC6" w:rsidRDefault="00337CEB" w:rsidP="00655736">
    <w:pPr>
      <w:pStyle w:val="Header"/>
      <w:spacing w:after="520"/>
      <w:jc w:val="right"/>
      <w:rPr>
        <w:rFonts w:ascii="Arial" w:hAnsi="Arial" w:cs="Arial"/>
        <w:b/>
        <w:sz w:val="44"/>
        <w:szCs w:val="44"/>
      </w:rPr>
    </w:pPr>
    <w:r>
      <w:rPr>
        <w:rFonts w:ascii="Arial" w:hAnsi="Arial"/>
        <w:b/>
        <w:sz w:val="44"/>
        <w:szCs w:val="44"/>
      </w:rPr>
      <w:t>12 COM</w:t>
    </w:r>
  </w:p>
  <w:p w14:paraId="1354FACE" w14:textId="199AE57A" w:rsidR="00D95C4C" w:rsidRPr="009D5428" w:rsidRDefault="00337CEB" w:rsidP="00655736">
    <w:pPr>
      <w:jc w:val="right"/>
      <w:rPr>
        <w:rFonts w:ascii="Arial" w:hAnsi="Arial" w:cs="Arial"/>
        <w:b/>
        <w:sz w:val="22"/>
        <w:szCs w:val="22"/>
      </w:rPr>
    </w:pPr>
    <w:r>
      <w:rPr>
        <w:rFonts w:ascii="Arial" w:hAnsi="Arial"/>
        <w:b/>
        <w:sz w:val="22"/>
        <w:szCs w:val="22"/>
      </w:rPr>
      <w:t>ITH/17/12.COM/</w:t>
    </w:r>
    <w:r w:rsidRPr="00084445">
      <w:rPr>
        <w:rFonts w:ascii="Arial" w:hAnsi="Arial"/>
        <w:b/>
        <w:sz w:val="22"/>
        <w:szCs w:val="22"/>
      </w:rPr>
      <w:t>10</w:t>
    </w:r>
  </w:p>
  <w:p w14:paraId="3E266CEE" w14:textId="67BBA0BC" w:rsidR="00D95C4C" w:rsidRPr="00337CEB" w:rsidRDefault="00D95C4C" w:rsidP="00655736">
    <w:pPr>
      <w:jc w:val="right"/>
      <w:rPr>
        <w:rFonts w:ascii="Arial" w:eastAsiaTheme="minorEastAsia" w:hAnsi="Arial" w:cs="Arial"/>
        <w:b/>
        <w:sz w:val="22"/>
        <w:szCs w:val="22"/>
      </w:rPr>
    </w:pPr>
    <w:r>
      <w:rPr>
        <w:rFonts w:ascii="Arial" w:hAnsi="Arial"/>
        <w:b/>
        <w:sz w:val="22"/>
        <w:szCs w:val="22"/>
      </w:rPr>
      <w:t xml:space="preserve">Paris, </w:t>
    </w:r>
    <w:r w:rsidRPr="00084445">
      <w:rPr>
        <w:rFonts w:ascii="Arial" w:hAnsi="Arial"/>
        <w:b/>
        <w:sz w:val="22"/>
        <w:szCs w:val="22"/>
      </w:rPr>
      <w:t xml:space="preserve">le </w:t>
    </w:r>
    <w:r w:rsidR="00084445" w:rsidRPr="00084445">
      <w:rPr>
        <w:rFonts w:ascii="Arial" w:hAnsi="Arial"/>
        <w:b/>
        <w:sz w:val="22"/>
        <w:szCs w:val="22"/>
      </w:rPr>
      <w:t>1</w:t>
    </w:r>
    <w:r w:rsidRPr="00084445">
      <w:rPr>
        <w:rFonts w:ascii="Arial" w:hAnsi="Arial"/>
        <w:b/>
        <w:sz w:val="22"/>
        <w:szCs w:val="22"/>
      </w:rPr>
      <w:t xml:space="preserve"> novembre</w:t>
    </w:r>
    <w:r>
      <w:rPr>
        <w:rFonts w:ascii="Arial" w:hAnsi="Arial"/>
        <w:b/>
        <w:sz w:val="22"/>
        <w:szCs w:val="22"/>
      </w:rPr>
      <w:t xml:space="preserve"> 2017</w:t>
    </w:r>
  </w:p>
  <w:p w14:paraId="632DB3DC" w14:textId="47FCEB81" w:rsidR="00D95C4C" w:rsidRPr="00F32C23" w:rsidRDefault="00D95C4C" w:rsidP="000048ED">
    <w:pPr>
      <w:jc w:val="right"/>
      <w:rPr>
        <w:rFonts w:ascii="Arial" w:hAnsi="Arial" w:cs="Arial"/>
        <w:b/>
        <w:sz w:val="22"/>
        <w:szCs w:val="22"/>
      </w:rPr>
    </w:pPr>
    <w:r>
      <w:rPr>
        <w:rFonts w:ascii="Arial" w:hAnsi="Arial"/>
        <w:b/>
        <w:sz w:val="22"/>
        <w:szCs w:val="22"/>
      </w:rPr>
      <w:t>Original : anglais</w:t>
    </w:r>
  </w:p>
  <w:p w14:paraId="6B59F11C" w14:textId="77777777" w:rsidR="00D95C4C" w:rsidRPr="00F32C23" w:rsidRDefault="00D95C4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81"/>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2" w15:restartNumberingAfterBreak="0">
    <w:nsid w:val="072B1CA5"/>
    <w:multiLevelType w:val="hybridMultilevel"/>
    <w:tmpl w:val="B882CC20"/>
    <w:lvl w:ilvl="0" w:tplc="9BB85C80">
      <w:start w:val="1"/>
      <w:numFmt w:val="decimal"/>
      <w:pStyle w:val="Texteavecnumro"/>
      <w:lvlText w:val="%1."/>
      <w:lvlJc w:val="left"/>
      <w:pPr>
        <w:ind w:left="1778" w:hanging="360"/>
      </w:pPr>
      <w:rPr>
        <w:rFonts w:hint="default"/>
        <w:color w:val="auto"/>
        <w:w w:val="10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15:restartNumberingAfterBreak="0">
    <w:nsid w:val="0C166C6B"/>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5934AA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6" w15:restartNumberingAfterBreak="0">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7"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F1334E"/>
    <w:multiLevelType w:val="hybridMultilevel"/>
    <w:tmpl w:val="C1EE7A7E"/>
    <w:lvl w:ilvl="0" w:tplc="00D08D72">
      <w:start w:val="1"/>
      <w:numFmt w:val="lowerLetter"/>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0" w15:restartNumberingAfterBreak="0">
    <w:nsid w:val="35F07BFE"/>
    <w:multiLevelType w:val="hybridMultilevel"/>
    <w:tmpl w:val="4C7CAA2C"/>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5B111E"/>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C22FB2"/>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5" w15:restartNumberingAfterBreak="0">
    <w:nsid w:val="54C13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5A4266"/>
    <w:multiLevelType w:val="hybridMultilevel"/>
    <w:tmpl w:val="F2D68366"/>
    <w:lvl w:ilvl="0" w:tplc="5C6872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844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20" w15:restartNumberingAfterBreak="0">
    <w:nsid w:val="7E26587C"/>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num w:numId="1">
    <w:abstractNumId w:val="4"/>
  </w:num>
  <w:num w:numId="2">
    <w:abstractNumId w:val="10"/>
  </w:num>
  <w:num w:numId="3">
    <w:abstractNumId w:val="12"/>
  </w:num>
  <w:num w:numId="4">
    <w:abstractNumId w:val="13"/>
  </w:num>
  <w:num w:numId="5">
    <w:abstractNumId w:val="2"/>
  </w:num>
  <w:num w:numId="6">
    <w:abstractNumId w:val="10"/>
    <w:lvlOverride w:ilvl="0">
      <w:startOverride w:val="1"/>
    </w:lvlOverride>
  </w:num>
  <w:num w:numId="7">
    <w:abstractNumId w:val="14"/>
  </w:num>
  <w:num w:numId="8">
    <w:abstractNumId w:val="19"/>
  </w:num>
  <w:num w:numId="9">
    <w:abstractNumId w:val="19"/>
    <w:lvlOverride w:ilvl="0">
      <w:startOverride w:val="1"/>
    </w:lvlOverride>
  </w:num>
  <w:num w:numId="10">
    <w:abstractNumId w:val="18"/>
  </w:num>
  <w:num w:numId="11">
    <w:abstractNumId w:val="9"/>
  </w:num>
  <w:num w:numId="12">
    <w:abstractNumId w:val="6"/>
  </w:num>
  <w:num w:numId="13">
    <w:abstractNumId w:val="20"/>
  </w:num>
  <w:num w:numId="14">
    <w:abstractNumId w:val="1"/>
  </w:num>
  <w:num w:numId="15">
    <w:abstractNumId w:val="0"/>
  </w:num>
  <w:num w:numId="16">
    <w:abstractNumId w:val="5"/>
  </w:num>
  <w:num w:numId="17">
    <w:abstractNumId w:val="16"/>
  </w:num>
  <w:num w:numId="18">
    <w:abstractNumId w:val="11"/>
  </w:num>
  <w:num w:numId="19">
    <w:abstractNumId w:val="15"/>
  </w:num>
  <w:num w:numId="20">
    <w:abstractNumId w:val="7"/>
  </w:num>
  <w:num w:numId="21">
    <w:abstractNumId w:val="3"/>
  </w:num>
  <w:num w:numId="22">
    <w:abstractNumId w:val="17"/>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192"/>
    <w:rsid w:val="000048ED"/>
    <w:rsid w:val="00013256"/>
    <w:rsid w:val="000149DF"/>
    <w:rsid w:val="000404CB"/>
    <w:rsid w:val="00041A66"/>
    <w:rsid w:val="0005176E"/>
    <w:rsid w:val="000536A2"/>
    <w:rsid w:val="00053CFA"/>
    <w:rsid w:val="000613C9"/>
    <w:rsid w:val="000765F7"/>
    <w:rsid w:val="00077AB7"/>
    <w:rsid w:val="00081CD8"/>
    <w:rsid w:val="00084445"/>
    <w:rsid w:val="000A0A6F"/>
    <w:rsid w:val="000A266F"/>
    <w:rsid w:val="000A2E3E"/>
    <w:rsid w:val="000A4290"/>
    <w:rsid w:val="000A7F0E"/>
    <w:rsid w:val="000B1C8F"/>
    <w:rsid w:val="000B3CEB"/>
    <w:rsid w:val="000B60A0"/>
    <w:rsid w:val="000C0D61"/>
    <w:rsid w:val="000C1804"/>
    <w:rsid w:val="000C2763"/>
    <w:rsid w:val="000D22BC"/>
    <w:rsid w:val="000D30D4"/>
    <w:rsid w:val="000D7715"/>
    <w:rsid w:val="000F01C1"/>
    <w:rsid w:val="000F3A3F"/>
    <w:rsid w:val="000F5256"/>
    <w:rsid w:val="000F74C3"/>
    <w:rsid w:val="000F795D"/>
    <w:rsid w:val="0010166B"/>
    <w:rsid w:val="00102557"/>
    <w:rsid w:val="00112A4A"/>
    <w:rsid w:val="00124FBA"/>
    <w:rsid w:val="0012520F"/>
    <w:rsid w:val="00126174"/>
    <w:rsid w:val="00131D5F"/>
    <w:rsid w:val="00132378"/>
    <w:rsid w:val="00141055"/>
    <w:rsid w:val="001437A5"/>
    <w:rsid w:val="00164D56"/>
    <w:rsid w:val="00167B10"/>
    <w:rsid w:val="0017402F"/>
    <w:rsid w:val="00182528"/>
    <w:rsid w:val="001954A5"/>
    <w:rsid w:val="00196C1B"/>
    <w:rsid w:val="001A11CD"/>
    <w:rsid w:val="001A1928"/>
    <w:rsid w:val="001A4FD6"/>
    <w:rsid w:val="001B0F73"/>
    <w:rsid w:val="001C2DB7"/>
    <w:rsid w:val="001C4BDD"/>
    <w:rsid w:val="001D3A15"/>
    <w:rsid w:val="001D5C04"/>
    <w:rsid w:val="001F26CF"/>
    <w:rsid w:val="0020338A"/>
    <w:rsid w:val="002148EE"/>
    <w:rsid w:val="00222A2D"/>
    <w:rsid w:val="00223029"/>
    <w:rsid w:val="00223AAD"/>
    <w:rsid w:val="00224D03"/>
    <w:rsid w:val="00227651"/>
    <w:rsid w:val="0023141D"/>
    <w:rsid w:val="00234511"/>
    <w:rsid w:val="00234745"/>
    <w:rsid w:val="002351A6"/>
    <w:rsid w:val="002407AF"/>
    <w:rsid w:val="00263DBF"/>
    <w:rsid w:val="00266661"/>
    <w:rsid w:val="0027466B"/>
    <w:rsid w:val="00282FE2"/>
    <w:rsid w:val="002838A5"/>
    <w:rsid w:val="00284E34"/>
    <w:rsid w:val="00285BB4"/>
    <w:rsid w:val="00285DB9"/>
    <w:rsid w:val="00290C6B"/>
    <w:rsid w:val="002932E8"/>
    <w:rsid w:val="00294525"/>
    <w:rsid w:val="002A30D4"/>
    <w:rsid w:val="002A3B9A"/>
    <w:rsid w:val="002B38AA"/>
    <w:rsid w:val="002B4A6D"/>
    <w:rsid w:val="002B69B1"/>
    <w:rsid w:val="002C09E3"/>
    <w:rsid w:val="002C21CA"/>
    <w:rsid w:val="002D0624"/>
    <w:rsid w:val="002D0EF7"/>
    <w:rsid w:val="002D2CDF"/>
    <w:rsid w:val="002F45C7"/>
    <w:rsid w:val="002F54CA"/>
    <w:rsid w:val="002F579E"/>
    <w:rsid w:val="0031637C"/>
    <w:rsid w:val="00325A6F"/>
    <w:rsid w:val="00326263"/>
    <w:rsid w:val="003343C6"/>
    <w:rsid w:val="00337596"/>
    <w:rsid w:val="00337CEB"/>
    <w:rsid w:val="003413B4"/>
    <w:rsid w:val="00344B58"/>
    <w:rsid w:val="0034539A"/>
    <w:rsid w:val="00345CB4"/>
    <w:rsid w:val="0036383E"/>
    <w:rsid w:val="003746F1"/>
    <w:rsid w:val="00375D42"/>
    <w:rsid w:val="00375F5B"/>
    <w:rsid w:val="0038479A"/>
    <w:rsid w:val="00385AED"/>
    <w:rsid w:val="00386AE2"/>
    <w:rsid w:val="00386C3D"/>
    <w:rsid w:val="003942C4"/>
    <w:rsid w:val="003A08DB"/>
    <w:rsid w:val="003C79CB"/>
    <w:rsid w:val="003D069C"/>
    <w:rsid w:val="003D7646"/>
    <w:rsid w:val="003E02F3"/>
    <w:rsid w:val="003F113A"/>
    <w:rsid w:val="003F3E63"/>
    <w:rsid w:val="003F4571"/>
    <w:rsid w:val="00401F12"/>
    <w:rsid w:val="00407480"/>
    <w:rsid w:val="00414643"/>
    <w:rsid w:val="00417A0F"/>
    <w:rsid w:val="00431C83"/>
    <w:rsid w:val="004421E5"/>
    <w:rsid w:val="004453FC"/>
    <w:rsid w:val="00452284"/>
    <w:rsid w:val="004566EE"/>
    <w:rsid w:val="00457C8E"/>
    <w:rsid w:val="00460399"/>
    <w:rsid w:val="00464748"/>
    <w:rsid w:val="00480371"/>
    <w:rsid w:val="004856CA"/>
    <w:rsid w:val="00487E67"/>
    <w:rsid w:val="0049606A"/>
    <w:rsid w:val="0049705E"/>
    <w:rsid w:val="00497504"/>
    <w:rsid w:val="004A34A0"/>
    <w:rsid w:val="004A3755"/>
    <w:rsid w:val="004A4F6E"/>
    <w:rsid w:val="004B4848"/>
    <w:rsid w:val="004B622B"/>
    <w:rsid w:val="004C757F"/>
    <w:rsid w:val="004D0728"/>
    <w:rsid w:val="004D3F07"/>
    <w:rsid w:val="004D43D1"/>
    <w:rsid w:val="004D462C"/>
    <w:rsid w:val="004F135D"/>
    <w:rsid w:val="004F18FF"/>
    <w:rsid w:val="005008A8"/>
    <w:rsid w:val="00501BDC"/>
    <w:rsid w:val="00507F86"/>
    <w:rsid w:val="005120A2"/>
    <w:rsid w:val="00516E35"/>
    <w:rsid w:val="00523C58"/>
    <w:rsid w:val="005248E5"/>
    <w:rsid w:val="00526B7B"/>
    <w:rsid w:val="005308CE"/>
    <w:rsid w:val="0053318C"/>
    <w:rsid w:val="00540059"/>
    <w:rsid w:val="00541FAD"/>
    <w:rsid w:val="005648BB"/>
    <w:rsid w:val="0057439C"/>
    <w:rsid w:val="00582B88"/>
    <w:rsid w:val="00584452"/>
    <w:rsid w:val="0059064E"/>
    <w:rsid w:val="005A3D94"/>
    <w:rsid w:val="005A757A"/>
    <w:rsid w:val="005B0127"/>
    <w:rsid w:val="005B7A35"/>
    <w:rsid w:val="005C364D"/>
    <w:rsid w:val="005C4B73"/>
    <w:rsid w:val="005D3DF1"/>
    <w:rsid w:val="005E1D2B"/>
    <w:rsid w:val="005E4569"/>
    <w:rsid w:val="005E7074"/>
    <w:rsid w:val="005F2BAF"/>
    <w:rsid w:val="006002D9"/>
    <w:rsid w:val="00600730"/>
    <w:rsid w:val="00600D93"/>
    <w:rsid w:val="00602080"/>
    <w:rsid w:val="0060535F"/>
    <w:rsid w:val="00611CA7"/>
    <w:rsid w:val="006249F4"/>
    <w:rsid w:val="0063300C"/>
    <w:rsid w:val="00634764"/>
    <w:rsid w:val="00634D25"/>
    <w:rsid w:val="00637ABC"/>
    <w:rsid w:val="0064010B"/>
    <w:rsid w:val="00645C14"/>
    <w:rsid w:val="0065279D"/>
    <w:rsid w:val="00655736"/>
    <w:rsid w:val="006572C8"/>
    <w:rsid w:val="006610D9"/>
    <w:rsid w:val="00663B8D"/>
    <w:rsid w:val="006655D8"/>
    <w:rsid w:val="00670EA1"/>
    <w:rsid w:val="006844FD"/>
    <w:rsid w:val="006865E2"/>
    <w:rsid w:val="006906E8"/>
    <w:rsid w:val="0069105E"/>
    <w:rsid w:val="00696C8D"/>
    <w:rsid w:val="006A2294"/>
    <w:rsid w:val="006A2AC2"/>
    <w:rsid w:val="006A305D"/>
    <w:rsid w:val="006A3617"/>
    <w:rsid w:val="006A6CDF"/>
    <w:rsid w:val="006A75F6"/>
    <w:rsid w:val="006B5F32"/>
    <w:rsid w:val="006C22A5"/>
    <w:rsid w:val="006C43F3"/>
    <w:rsid w:val="006D0D0E"/>
    <w:rsid w:val="006D18FE"/>
    <w:rsid w:val="006D4EC1"/>
    <w:rsid w:val="006E193F"/>
    <w:rsid w:val="006E2E83"/>
    <w:rsid w:val="006E46E4"/>
    <w:rsid w:val="006E5B4A"/>
    <w:rsid w:val="00704B01"/>
    <w:rsid w:val="0071173F"/>
    <w:rsid w:val="00713B9D"/>
    <w:rsid w:val="00717DA5"/>
    <w:rsid w:val="00733D0B"/>
    <w:rsid w:val="00742679"/>
    <w:rsid w:val="007428ED"/>
    <w:rsid w:val="00743C28"/>
    <w:rsid w:val="00744484"/>
    <w:rsid w:val="00747566"/>
    <w:rsid w:val="00752736"/>
    <w:rsid w:val="00756DDF"/>
    <w:rsid w:val="00772139"/>
    <w:rsid w:val="00773188"/>
    <w:rsid w:val="00783782"/>
    <w:rsid w:val="00784B8C"/>
    <w:rsid w:val="007879E1"/>
    <w:rsid w:val="00792DE7"/>
    <w:rsid w:val="00797496"/>
    <w:rsid w:val="007A683C"/>
    <w:rsid w:val="007B260C"/>
    <w:rsid w:val="007B38C0"/>
    <w:rsid w:val="007C0339"/>
    <w:rsid w:val="007D1742"/>
    <w:rsid w:val="007E0A37"/>
    <w:rsid w:val="007E1CC5"/>
    <w:rsid w:val="007E7478"/>
    <w:rsid w:val="007F1D28"/>
    <w:rsid w:val="007F2A3D"/>
    <w:rsid w:val="007F5B89"/>
    <w:rsid w:val="007F619A"/>
    <w:rsid w:val="00807DE3"/>
    <w:rsid w:val="008143F2"/>
    <w:rsid w:val="00815161"/>
    <w:rsid w:val="00816635"/>
    <w:rsid w:val="00823A11"/>
    <w:rsid w:val="0085405E"/>
    <w:rsid w:val="0085414A"/>
    <w:rsid w:val="00855874"/>
    <w:rsid w:val="0086269D"/>
    <w:rsid w:val="00863652"/>
    <w:rsid w:val="00864F67"/>
    <w:rsid w:val="00865356"/>
    <w:rsid w:val="0086543A"/>
    <w:rsid w:val="00866926"/>
    <w:rsid w:val="008724E5"/>
    <w:rsid w:val="00874590"/>
    <w:rsid w:val="00880C31"/>
    <w:rsid w:val="00884A9D"/>
    <w:rsid w:val="0088512B"/>
    <w:rsid w:val="008A114C"/>
    <w:rsid w:val="008A2B2D"/>
    <w:rsid w:val="008A342D"/>
    <w:rsid w:val="008A4E1E"/>
    <w:rsid w:val="008B04C0"/>
    <w:rsid w:val="008B0818"/>
    <w:rsid w:val="008C296C"/>
    <w:rsid w:val="008C2BD0"/>
    <w:rsid w:val="008D4305"/>
    <w:rsid w:val="008D5B30"/>
    <w:rsid w:val="008E1A85"/>
    <w:rsid w:val="008E4B32"/>
    <w:rsid w:val="00902BC7"/>
    <w:rsid w:val="00902FCD"/>
    <w:rsid w:val="00906C2C"/>
    <w:rsid w:val="00906F16"/>
    <w:rsid w:val="009102F7"/>
    <w:rsid w:val="00910EB5"/>
    <w:rsid w:val="009146B4"/>
    <w:rsid w:val="00915E20"/>
    <w:rsid w:val="009163A7"/>
    <w:rsid w:val="009254CF"/>
    <w:rsid w:val="00925551"/>
    <w:rsid w:val="0092760E"/>
    <w:rsid w:val="009322D2"/>
    <w:rsid w:val="00941300"/>
    <w:rsid w:val="00946D0B"/>
    <w:rsid w:val="009523E7"/>
    <w:rsid w:val="009545A9"/>
    <w:rsid w:val="00955877"/>
    <w:rsid w:val="0095669C"/>
    <w:rsid w:val="00963399"/>
    <w:rsid w:val="00965053"/>
    <w:rsid w:val="00973AD8"/>
    <w:rsid w:val="009927A4"/>
    <w:rsid w:val="009A13AC"/>
    <w:rsid w:val="009A18CD"/>
    <w:rsid w:val="009B27FB"/>
    <w:rsid w:val="009B2A12"/>
    <w:rsid w:val="009C3024"/>
    <w:rsid w:val="009C45A8"/>
    <w:rsid w:val="009C56BB"/>
    <w:rsid w:val="009C6614"/>
    <w:rsid w:val="009D5428"/>
    <w:rsid w:val="009D637E"/>
    <w:rsid w:val="009E2109"/>
    <w:rsid w:val="009E5894"/>
    <w:rsid w:val="009F0285"/>
    <w:rsid w:val="009F0EE9"/>
    <w:rsid w:val="009F2853"/>
    <w:rsid w:val="009F3963"/>
    <w:rsid w:val="009F3A48"/>
    <w:rsid w:val="009F57A4"/>
    <w:rsid w:val="00A02C35"/>
    <w:rsid w:val="00A12558"/>
    <w:rsid w:val="00A13903"/>
    <w:rsid w:val="00A34ED5"/>
    <w:rsid w:val="00A45DBF"/>
    <w:rsid w:val="00A54203"/>
    <w:rsid w:val="00A61702"/>
    <w:rsid w:val="00A72149"/>
    <w:rsid w:val="00A73B11"/>
    <w:rsid w:val="00A755A2"/>
    <w:rsid w:val="00A82589"/>
    <w:rsid w:val="00A94FE1"/>
    <w:rsid w:val="00A95C42"/>
    <w:rsid w:val="00A96557"/>
    <w:rsid w:val="00AA34D9"/>
    <w:rsid w:val="00AA6660"/>
    <w:rsid w:val="00AB2C36"/>
    <w:rsid w:val="00AB6DDE"/>
    <w:rsid w:val="00AB70B6"/>
    <w:rsid w:val="00AC5116"/>
    <w:rsid w:val="00AC76DD"/>
    <w:rsid w:val="00AD1A86"/>
    <w:rsid w:val="00AD7AFB"/>
    <w:rsid w:val="00AE103E"/>
    <w:rsid w:val="00AE24EB"/>
    <w:rsid w:val="00AE486A"/>
    <w:rsid w:val="00AF0A07"/>
    <w:rsid w:val="00AF4AEC"/>
    <w:rsid w:val="00AF625E"/>
    <w:rsid w:val="00B0295B"/>
    <w:rsid w:val="00B05029"/>
    <w:rsid w:val="00B05A16"/>
    <w:rsid w:val="00B17634"/>
    <w:rsid w:val="00B2171B"/>
    <w:rsid w:val="00B27FC8"/>
    <w:rsid w:val="00B41708"/>
    <w:rsid w:val="00B464E7"/>
    <w:rsid w:val="00B50306"/>
    <w:rsid w:val="00B512B3"/>
    <w:rsid w:val="00B52653"/>
    <w:rsid w:val="00B60135"/>
    <w:rsid w:val="00B6098C"/>
    <w:rsid w:val="00B73095"/>
    <w:rsid w:val="00B76115"/>
    <w:rsid w:val="00B91FC9"/>
    <w:rsid w:val="00BB04AF"/>
    <w:rsid w:val="00BB2D08"/>
    <w:rsid w:val="00BB5C53"/>
    <w:rsid w:val="00BB7DEB"/>
    <w:rsid w:val="00BC3373"/>
    <w:rsid w:val="00BD52C9"/>
    <w:rsid w:val="00BE0153"/>
    <w:rsid w:val="00BE14B6"/>
    <w:rsid w:val="00BE40B1"/>
    <w:rsid w:val="00BE4D6B"/>
    <w:rsid w:val="00BE6354"/>
    <w:rsid w:val="00BF198B"/>
    <w:rsid w:val="00BF2712"/>
    <w:rsid w:val="00BF58B6"/>
    <w:rsid w:val="00BF5B11"/>
    <w:rsid w:val="00C04D38"/>
    <w:rsid w:val="00C11435"/>
    <w:rsid w:val="00C12E01"/>
    <w:rsid w:val="00C138D1"/>
    <w:rsid w:val="00C23A97"/>
    <w:rsid w:val="00C24CDD"/>
    <w:rsid w:val="00C41382"/>
    <w:rsid w:val="00C42191"/>
    <w:rsid w:val="00C504B1"/>
    <w:rsid w:val="00C52E13"/>
    <w:rsid w:val="00C64855"/>
    <w:rsid w:val="00C67B76"/>
    <w:rsid w:val="00C67C0C"/>
    <w:rsid w:val="00C70EA7"/>
    <w:rsid w:val="00C71A65"/>
    <w:rsid w:val="00C7433F"/>
    <w:rsid w:val="00C7516E"/>
    <w:rsid w:val="00C75770"/>
    <w:rsid w:val="00C779CF"/>
    <w:rsid w:val="00C93B52"/>
    <w:rsid w:val="00CA56BB"/>
    <w:rsid w:val="00CB0542"/>
    <w:rsid w:val="00CB5466"/>
    <w:rsid w:val="00CD0EB1"/>
    <w:rsid w:val="00CD53EB"/>
    <w:rsid w:val="00CE3E97"/>
    <w:rsid w:val="00CE55C1"/>
    <w:rsid w:val="00CE7017"/>
    <w:rsid w:val="00CF3A45"/>
    <w:rsid w:val="00D00B2B"/>
    <w:rsid w:val="00D01765"/>
    <w:rsid w:val="00D14750"/>
    <w:rsid w:val="00D147E4"/>
    <w:rsid w:val="00D24497"/>
    <w:rsid w:val="00D24877"/>
    <w:rsid w:val="00D31475"/>
    <w:rsid w:val="00D41C6D"/>
    <w:rsid w:val="00D5143D"/>
    <w:rsid w:val="00D550D6"/>
    <w:rsid w:val="00D55E4F"/>
    <w:rsid w:val="00D570FC"/>
    <w:rsid w:val="00D66602"/>
    <w:rsid w:val="00D74484"/>
    <w:rsid w:val="00D77D26"/>
    <w:rsid w:val="00D8250F"/>
    <w:rsid w:val="00D95C4C"/>
    <w:rsid w:val="00DA36ED"/>
    <w:rsid w:val="00DA44F8"/>
    <w:rsid w:val="00DC3672"/>
    <w:rsid w:val="00DC4FEA"/>
    <w:rsid w:val="00DC5074"/>
    <w:rsid w:val="00DC76D6"/>
    <w:rsid w:val="00DE34F1"/>
    <w:rsid w:val="00DE6160"/>
    <w:rsid w:val="00DE61C5"/>
    <w:rsid w:val="00DE68F1"/>
    <w:rsid w:val="00DF033B"/>
    <w:rsid w:val="00DF2232"/>
    <w:rsid w:val="00DF4942"/>
    <w:rsid w:val="00E056A7"/>
    <w:rsid w:val="00E0600B"/>
    <w:rsid w:val="00E10BD2"/>
    <w:rsid w:val="00E11528"/>
    <w:rsid w:val="00E12E0E"/>
    <w:rsid w:val="00E238AF"/>
    <w:rsid w:val="00E244E1"/>
    <w:rsid w:val="00E24948"/>
    <w:rsid w:val="00E33857"/>
    <w:rsid w:val="00E33DBD"/>
    <w:rsid w:val="00E44705"/>
    <w:rsid w:val="00E543EA"/>
    <w:rsid w:val="00E627B1"/>
    <w:rsid w:val="00E70169"/>
    <w:rsid w:val="00E81055"/>
    <w:rsid w:val="00E816CD"/>
    <w:rsid w:val="00E90585"/>
    <w:rsid w:val="00E9376C"/>
    <w:rsid w:val="00E95A41"/>
    <w:rsid w:val="00E97A68"/>
    <w:rsid w:val="00EA2025"/>
    <w:rsid w:val="00EA335E"/>
    <w:rsid w:val="00EA528C"/>
    <w:rsid w:val="00EA580C"/>
    <w:rsid w:val="00EC6F8D"/>
    <w:rsid w:val="00EC7B5A"/>
    <w:rsid w:val="00ED52DB"/>
    <w:rsid w:val="00ED5E0D"/>
    <w:rsid w:val="00EE3E6A"/>
    <w:rsid w:val="00EE41B1"/>
    <w:rsid w:val="00EE49F4"/>
    <w:rsid w:val="00EE7B16"/>
    <w:rsid w:val="00EF34E2"/>
    <w:rsid w:val="00EF3967"/>
    <w:rsid w:val="00F0025B"/>
    <w:rsid w:val="00F070D6"/>
    <w:rsid w:val="00F27BC5"/>
    <w:rsid w:val="00F30DC6"/>
    <w:rsid w:val="00F31C0D"/>
    <w:rsid w:val="00F32C23"/>
    <w:rsid w:val="00F460B3"/>
    <w:rsid w:val="00F50FE4"/>
    <w:rsid w:val="00F53DE9"/>
    <w:rsid w:val="00F576CB"/>
    <w:rsid w:val="00F57BF6"/>
    <w:rsid w:val="00F62C28"/>
    <w:rsid w:val="00F7035D"/>
    <w:rsid w:val="00F71A02"/>
    <w:rsid w:val="00F87923"/>
    <w:rsid w:val="00F87C4F"/>
    <w:rsid w:val="00F920A2"/>
    <w:rsid w:val="00F9426C"/>
    <w:rsid w:val="00F96432"/>
    <w:rsid w:val="00F96908"/>
    <w:rsid w:val="00FA0D63"/>
    <w:rsid w:val="00FA6351"/>
    <w:rsid w:val="00FB06A7"/>
    <w:rsid w:val="00FC324D"/>
    <w:rsid w:val="00FC3DCA"/>
    <w:rsid w:val="00FC44C3"/>
    <w:rsid w:val="00FD1226"/>
    <w:rsid w:val="00FE0A0B"/>
    <w:rsid w:val="00FE1AD7"/>
    <w:rsid w:val="00FE2820"/>
    <w:rsid w:val="00FF0FF4"/>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2DA446"/>
  <w15:docId w15:val="{87657AEA-BCF8-4F01-AB10-968A042E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character" w:styleId="Hyperlink">
    <w:name w:val="Hyperlink"/>
    <w:basedOn w:val="DefaultParagraphFont"/>
    <w:uiPriority w:val="99"/>
    <w:unhideWhenUsed/>
    <w:rsid w:val="00D41C6D"/>
    <w:rPr>
      <w:color w:val="0000FF" w:themeColor="hyperlink"/>
      <w:u w:val="single"/>
    </w:rPr>
  </w:style>
  <w:style w:type="paragraph" w:styleId="FootnoteText">
    <w:name w:val="footnote text"/>
    <w:basedOn w:val="Normal"/>
    <w:link w:val="FootnoteTextChar"/>
    <w:uiPriority w:val="99"/>
    <w:semiHidden/>
    <w:unhideWhenUsed/>
    <w:rsid w:val="004A4F6E"/>
    <w:rPr>
      <w:sz w:val="20"/>
      <w:szCs w:val="20"/>
    </w:rPr>
  </w:style>
  <w:style w:type="character" w:customStyle="1" w:styleId="FootnoteTextChar">
    <w:name w:val="Footnote Text Char"/>
    <w:basedOn w:val="DefaultParagraphFont"/>
    <w:link w:val="FootnoteText"/>
    <w:uiPriority w:val="99"/>
    <w:semiHidden/>
    <w:rsid w:val="004A4F6E"/>
    <w:rPr>
      <w:rFonts w:ascii="Times New Roman" w:eastAsia="Times New Roman" w:hAnsi="Times New Roman"/>
    </w:rPr>
  </w:style>
  <w:style w:type="character" w:styleId="FootnoteReference">
    <w:name w:val="footnote reference"/>
    <w:basedOn w:val="DefaultParagraphFont"/>
    <w:uiPriority w:val="99"/>
    <w:semiHidden/>
    <w:unhideWhenUsed/>
    <w:rsid w:val="004A4F6E"/>
    <w:rPr>
      <w:vertAlign w:val="superscript"/>
    </w:rPr>
  </w:style>
  <w:style w:type="character" w:styleId="FollowedHyperlink">
    <w:name w:val="FollowedHyperlink"/>
    <w:basedOn w:val="DefaultParagraphFont"/>
    <w:uiPriority w:val="99"/>
    <w:semiHidden/>
    <w:unhideWhenUsed/>
    <w:rsid w:val="004A4F6E"/>
    <w:rPr>
      <w:color w:val="800080" w:themeColor="followedHyperlink"/>
      <w:u w:val="single"/>
    </w:rPr>
  </w:style>
  <w:style w:type="character" w:styleId="CommentReference">
    <w:name w:val="annotation reference"/>
    <w:basedOn w:val="DefaultParagraphFont"/>
    <w:uiPriority w:val="99"/>
    <w:semiHidden/>
    <w:unhideWhenUsed/>
    <w:rsid w:val="00E81055"/>
    <w:rPr>
      <w:sz w:val="16"/>
      <w:szCs w:val="16"/>
    </w:rPr>
  </w:style>
  <w:style w:type="paragraph" w:styleId="CommentText">
    <w:name w:val="annotation text"/>
    <w:basedOn w:val="Normal"/>
    <w:link w:val="CommentTextChar"/>
    <w:uiPriority w:val="99"/>
    <w:semiHidden/>
    <w:unhideWhenUsed/>
    <w:rsid w:val="00E81055"/>
    <w:rPr>
      <w:sz w:val="20"/>
      <w:szCs w:val="20"/>
    </w:rPr>
  </w:style>
  <w:style w:type="character" w:customStyle="1" w:styleId="CommentTextChar">
    <w:name w:val="Comment Text Char"/>
    <w:basedOn w:val="DefaultParagraphFont"/>
    <w:link w:val="CommentText"/>
    <w:uiPriority w:val="99"/>
    <w:semiHidden/>
    <w:rsid w:val="00E810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1055"/>
    <w:rPr>
      <w:b/>
      <w:bCs/>
    </w:rPr>
  </w:style>
  <w:style w:type="character" w:customStyle="1" w:styleId="CommentSubjectChar">
    <w:name w:val="Comment Subject Char"/>
    <w:basedOn w:val="CommentTextChar"/>
    <w:link w:val="CommentSubject"/>
    <w:uiPriority w:val="99"/>
    <w:semiHidden/>
    <w:rsid w:val="00E81055"/>
    <w:rPr>
      <w:rFonts w:ascii="Times New Roman" w:eastAsia="Times New Roman" w:hAnsi="Times New Roman"/>
      <w:b/>
      <w:bCs/>
    </w:rPr>
  </w:style>
  <w:style w:type="paragraph" w:customStyle="1" w:styleId="Texteavecnumro">
    <w:name w:val="Texte avec numéro"/>
    <w:basedOn w:val="ListParagraph"/>
    <w:qFormat/>
    <w:rsid w:val="00F27BC5"/>
    <w:pPr>
      <w:widowControl w:val="0"/>
      <w:numPr>
        <w:numId w:val="5"/>
      </w:numPr>
      <w:autoSpaceDE w:val="0"/>
      <w:autoSpaceDN w:val="0"/>
      <w:adjustRightInd w:val="0"/>
      <w:spacing w:after="120"/>
      <w:ind w:left="785"/>
      <w:contextualSpacing w:val="0"/>
    </w:pPr>
    <w:rPr>
      <w:rFonts w:ascii="Arial" w:eastAsiaTheme="minorEastAsia" w:hAnsi="Arial" w:cs="Arial"/>
      <w:color w:val="363435"/>
      <w:w w:val="94"/>
      <w:sz w:val="22"/>
      <w:szCs w:val="22"/>
    </w:rPr>
  </w:style>
  <w:style w:type="paragraph" w:customStyle="1" w:styleId="1">
    <w:name w:val="1."/>
    <w:basedOn w:val="Normal"/>
    <w:link w:val="1Char"/>
    <w:qFormat/>
    <w:rsid w:val="00F27BC5"/>
    <w:pPr>
      <w:widowControl w:val="0"/>
      <w:tabs>
        <w:tab w:val="left" w:pos="1134"/>
      </w:tabs>
      <w:autoSpaceDE w:val="0"/>
      <w:autoSpaceDN w:val="0"/>
      <w:adjustRightInd w:val="0"/>
      <w:spacing w:after="120"/>
      <w:ind w:left="1134" w:hanging="567"/>
    </w:pPr>
    <w:rPr>
      <w:rFonts w:ascii="Arial" w:eastAsia="SimSun" w:hAnsi="Arial" w:cs="Arial"/>
      <w:w w:val="96"/>
      <w:sz w:val="22"/>
      <w:szCs w:val="22"/>
    </w:rPr>
  </w:style>
  <w:style w:type="character" w:customStyle="1" w:styleId="1Char">
    <w:name w:val="1. Char"/>
    <w:link w:val="1"/>
    <w:locked/>
    <w:rsid w:val="00F27BC5"/>
    <w:rPr>
      <w:rFonts w:ascii="Arial" w:hAnsi="Arial" w:cs="Arial"/>
      <w:w w:val="96"/>
      <w:sz w:val="22"/>
      <w:szCs w:val="22"/>
      <w:lang w:val="fr-FR"/>
    </w:rPr>
  </w:style>
  <w:style w:type="paragraph" w:styleId="ListParagraph">
    <w:name w:val="List Paragraph"/>
    <w:basedOn w:val="Normal"/>
    <w:uiPriority w:val="34"/>
    <w:rsid w:val="00F27BC5"/>
    <w:pPr>
      <w:ind w:left="720"/>
      <w:contextualSpacing/>
    </w:pPr>
  </w:style>
  <w:style w:type="character" w:customStyle="1" w:styleId="atenuated">
    <w:name w:val="atenuated"/>
    <w:basedOn w:val="DefaultParagraphFont"/>
    <w:rsid w:val="00D570FC"/>
  </w:style>
  <w:style w:type="table" w:customStyle="1" w:styleId="GridTable2-Accent11">
    <w:name w:val="Grid Table 2 - Accent 11"/>
    <w:basedOn w:val="TableNormal"/>
    <w:uiPriority w:val="47"/>
    <w:rsid w:val="008C2B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51">
    <w:name w:val="Grid Table 3 - Accent 51"/>
    <w:basedOn w:val="TableNormal"/>
    <w:uiPriority w:val="48"/>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51">
    <w:name w:val="Grid Table 4 - Accent 51"/>
    <w:basedOn w:val="TableNormal"/>
    <w:uiPriority w:val="49"/>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U1">
    <w:name w:val="U.1"/>
    <w:basedOn w:val="Normal"/>
    <w:qFormat/>
    <w:rsid w:val="003942C4"/>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3942C4"/>
    <w:pPr>
      <w:numPr>
        <w:numId w:val="8"/>
      </w:numPr>
      <w:autoSpaceDE w:val="0"/>
      <w:autoSpaceDN w:val="0"/>
      <w:adjustRightInd w:val="0"/>
      <w:spacing w:before="120" w:after="120"/>
      <w:ind w:right="284"/>
      <w:jc w:val="both"/>
    </w:pPr>
    <w:rPr>
      <w:rFonts w:ascii="Arial" w:eastAsia="SimSun" w:hAnsi="Arial" w:cs="Arial"/>
      <w:w w:val="90"/>
      <w:sz w:val="22"/>
      <w:szCs w:val="22"/>
    </w:rPr>
  </w:style>
  <w:style w:type="character" w:customStyle="1" w:styleId="iChar">
    <w:name w:val="(i) Char"/>
    <w:link w:val="i"/>
    <w:locked/>
    <w:rsid w:val="003942C4"/>
    <w:rPr>
      <w:rFonts w:ascii="Arial" w:hAnsi="Arial" w:cs="Arial"/>
      <w:w w:val="90"/>
      <w:sz w:val="22"/>
      <w:szCs w:val="22"/>
      <w:lang w:val="fr-FR"/>
    </w:rPr>
  </w:style>
  <w:style w:type="paragraph" w:styleId="PlainText">
    <w:name w:val="Plain Text"/>
    <w:basedOn w:val="Normal"/>
    <w:link w:val="PlainTextChar"/>
    <w:uiPriority w:val="99"/>
    <w:semiHidden/>
    <w:unhideWhenUsed/>
    <w:rsid w:val="00A95C42"/>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A95C42"/>
    <w:rPr>
      <w:rFonts w:eastAsiaTheme="minorEastAsi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752980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_WG-5-FR.docx" TargetMode="External"/><Relationship Id="rId13" Type="http://schemas.openxmlformats.org/officeDocument/2006/relationships/hyperlink" Target="https://ich.unesco.org/doc/src/ITH-17-12.COM_WG-5-FR.docx" TargetMode="External"/><Relationship Id="rId18" Type="http://schemas.openxmlformats.org/officeDocument/2006/relationships/header" Target="header1.xml"/><Relationship Id="rId26" Type="http://schemas.openxmlformats.org/officeDocument/2006/relationships/hyperlink" Target="https://ich.unesco.org/" TargetMode="External"/><Relationship Id="rId3" Type="http://schemas.openxmlformats.org/officeDocument/2006/relationships/styles" Target="styles.xml"/><Relationship Id="rId21" Type="http://schemas.openxmlformats.org/officeDocument/2006/relationships/hyperlink" Target="http://www.unesco.org/culture/ich" TargetMode="External"/><Relationship Id="rId7" Type="http://schemas.openxmlformats.org/officeDocument/2006/relationships/endnotes" Target="endnotes.xml"/><Relationship Id="rId12" Type="http://schemas.openxmlformats.org/officeDocument/2006/relationships/hyperlink" Target="https://ich.unesco.org/fr/decisions/10.COM/6.A" TargetMode="External"/><Relationship Id="rId17" Type="http://schemas.openxmlformats.org/officeDocument/2006/relationships/hyperlink" Target="https://ich.unesco.org/doc/src/ITH-17-12.COM-9-FR.docx" TargetMode="External"/><Relationship Id="rId25" Type="http://schemas.openxmlformats.org/officeDocument/2006/relationships/hyperlink" Target="http://www.unesco.org/culture/ich" TargetMode="External"/><Relationship Id="rId2" Type="http://schemas.openxmlformats.org/officeDocument/2006/relationships/numbering" Target="numbering.xml"/><Relationship Id="rId16" Type="http://schemas.openxmlformats.org/officeDocument/2006/relationships/hyperlink" Target="https://ich.unesco.org/fr/decisions/10.COM/6.B" TargetMode="External"/><Relationship Id="rId20" Type="http://schemas.openxmlformats.org/officeDocument/2006/relationships/header" Target="header3.xml"/><Relationship Id="rId29" Type="http://schemas.openxmlformats.org/officeDocument/2006/relationships/hyperlink" Target="https://ich.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1.COM/9.A" TargetMode="External"/><Relationship Id="rId24" Type="http://schemas.openxmlformats.org/officeDocument/2006/relationships/hyperlink" Target="http://www.unesco.org/culture/ich" TargetMode="External"/><Relationship Id="rId5" Type="http://schemas.openxmlformats.org/officeDocument/2006/relationships/webSettings" Target="webSettings.xml"/><Relationship Id="rId15" Type="http://schemas.openxmlformats.org/officeDocument/2006/relationships/hyperlink" Target="https://ich.unesco.org/fr/decisions/11.COM/6?dec=decisions&amp;ref_decision=11.COM" TargetMode="External"/><Relationship Id="rId23" Type="http://schemas.openxmlformats.org/officeDocument/2006/relationships/hyperlink" Target="https://ich.unesco.org/" TargetMode="External"/><Relationship Id="rId28" Type="http://schemas.openxmlformats.org/officeDocument/2006/relationships/hyperlink" Target="http://www.unesco.org/culture/ich" TargetMode="External"/><Relationship Id="rId10" Type="http://schemas.openxmlformats.org/officeDocument/2006/relationships/hyperlink" Target="https://ich.unesco.org/doc/src/ITH-17-12.COM-9-FR.docx"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ITH-17-12.COM_WG-7-FR.doc" TargetMode="External"/><Relationship Id="rId14" Type="http://schemas.openxmlformats.org/officeDocument/2006/relationships/hyperlink" Target="https://ich.unesco.org/doc/src/ITH-17-12.COM_WG-7-FR.doc" TargetMode="External"/><Relationship Id="rId22" Type="http://schemas.openxmlformats.org/officeDocument/2006/relationships/hyperlink" Target="http://www.unesco.org/culture/ich" TargetMode="External"/><Relationship Id="rId27" Type="http://schemas.openxmlformats.org/officeDocument/2006/relationships/hyperlink" Target="http://www.unesco.org/culture/ich"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s.pdf"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4" Type="http://schemas.openxmlformats.org/officeDocument/2006/relationships/hyperlink" Target="http://unesdoc.unesco.org/images/0022/002230/223095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0C64-514B-44E2-A2DC-C1D9DF71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20</TotalTime>
  <Pages>12</Pages>
  <Words>4770</Words>
  <Characters>27193</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4</cp:revision>
  <cp:lastPrinted>2017-10-09T15:49:00Z</cp:lastPrinted>
  <dcterms:created xsi:type="dcterms:W3CDTF">2017-11-01T17:02:00Z</dcterms:created>
  <dcterms:modified xsi:type="dcterms:W3CDTF">2017-11-01T17:27:00Z</dcterms:modified>
</cp:coreProperties>
</file>