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685" w:rsidRPr="002402C9" w:rsidRDefault="00E74685" w:rsidP="00E74685">
      <w:pPr>
        <w:spacing w:before="1440"/>
        <w:jc w:val="center"/>
        <w:rPr>
          <w:rFonts w:ascii="Arial" w:hAnsi="Arial" w:cs="Arial"/>
          <w:b/>
          <w:sz w:val="22"/>
          <w:szCs w:val="22"/>
          <w:lang w:val="ru-RU"/>
        </w:rPr>
      </w:pPr>
      <w:r w:rsidRPr="002402C9">
        <w:rPr>
          <w:rFonts w:ascii="Arial" w:hAnsi="Arial" w:cs="Arial"/>
          <w:b/>
          <w:sz w:val="22"/>
          <w:szCs w:val="22"/>
          <w:lang w:val="ru-RU"/>
        </w:rPr>
        <w:t xml:space="preserve">КОНВЕНЦИЯ ОБ ОХРАНЕ </w:t>
      </w:r>
      <w:r w:rsidRPr="002402C9">
        <w:rPr>
          <w:lang w:val="ru-RU"/>
        </w:rPr>
        <w:br/>
      </w:r>
      <w:r w:rsidRPr="002402C9">
        <w:rPr>
          <w:rFonts w:ascii="Arial" w:hAnsi="Arial" w:cs="Arial"/>
          <w:b/>
          <w:sz w:val="22"/>
          <w:szCs w:val="22"/>
          <w:lang w:val="ru-RU"/>
        </w:rPr>
        <w:t>НЕМАТЕРИАЛЬНОГО КУЛЬТУРНОГО НАСЛЕДИЯ</w:t>
      </w:r>
    </w:p>
    <w:p w:rsidR="00E74685" w:rsidRPr="002402C9" w:rsidRDefault="00E74685" w:rsidP="00E74685">
      <w:pPr>
        <w:spacing w:before="1200"/>
        <w:jc w:val="center"/>
        <w:rPr>
          <w:rFonts w:ascii="Arial" w:hAnsi="Arial" w:cs="Arial"/>
          <w:b/>
          <w:sz w:val="22"/>
          <w:szCs w:val="22"/>
          <w:lang w:val="ru-RU"/>
        </w:rPr>
      </w:pPr>
      <w:r w:rsidRPr="002402C9">
        <w:rPr>
          <w:rFonts w:ascii="Arial" w:hAnsi="Arial" w:cs="Arial"/>
          <w:b/>
          <w:sz w:val="22"/>
          <w:szCs w:val="22"/>
          <w:lang w:val="ru-RU"/>
        </w:rPr>
        <w:t>ГЕНЕРАЛЬНАЯ АССАМБЛЕЯ ГОСУДАРСТВ – УЧАСТНИКОВ КОНВЕНЦИИ</w:t>
      </w:r>
    </w:p>
    <w:p w:rsidR="00E74685" w:rsidRPr="00816025" w:rsidRDefault="00E74685" w:rsidP="00E74685">
      <w:pPr>
        <w:spacing w:before="840"/>
        <w:jc w:val="center"/>
        <w:rPr>
          <w:rFonts w:ascii="Arial" w:hAnsi="Arial" w:cs="Arial"/>
          <w:b/>
          <w:sz w:val="22"/>
          <w:szCs w:val="22"/>
          <w:lang w:val="ru-RU"/>
        </w:rPr>
      </w:pPr>
      <w:r w:rsidRPr="00816025">
        <w:rPr>
          <w:rFonts w:ascii="Arial" w:hAnsi="Arial" w:cs="Arial"/>
          <w:b/>
          <w:sz w:val="22"/>
          <w:szCs w:val="22"/>
          <w:lang w:val="ru-RU"/>
        </w:rPr>
        <w:t>Шестая сессия</w:t>
      </w:r>
    </w:p>
    <w:p w:rsidR="00E74685" w:rsidRPr="00816025" w:rsidRDefault="00E74685" w:rsidP="00E74685">
      <w:pPr>
        <w:jc w:val="center"/>
        <w:rPr>
          <w:rFonts w:ascii="Arial" w:hAnsi="Arial" w:cs="Arial"/>
          <w:b/>
          <w:sz w:val="22"/>
          <w:szCs w:val="22"/>
          <w:lang w:val="ru-RU"/>
        </w:rPr>
      </w:pPr>
      <w:r w:rsidRPr="00816025">
        <w:rPr>
          <w:rFonts w:ascii="Arial" w:hAnsi="Arial" w:cs="Arial"/>
          <w:b/>
          <w:sz w:val="22"/>
          <w:szCs w:val="22"/>
          <w:lang w:val="ru-RU"/>
        </w:rPr>
        <w:t>Штаб-квартира ЮНЕСКО, зал II</w:t>
      </w:r>
    </w:p>
    <w:p w:rsidR="00E74685" w:rsidRDefault="00E74685" w:rsidP="00E74685">
      <w:pPr>
        <w:jc w:val="center"/>
        <w:rPr>
          <w:rFonts w:ascii="Arial" w:hAnsi="Arial" w:cs="Arial"/>
          <w:b/>
          <w:sz w:val="22"/>
          <w:szCs w:val="22"/>
          <w:lang w:val="ru-RU"/>
        </w:rPr>
      </w:pPr>
      <w:r w:rsidRPr="00816025">
        <w:rPr>
          <w:rFonts w:ascii="Arial" w:hAnsi="Arial" w:cs="Arial"/>
          <w:b/>
          <w:sz w:val="22"/>
          <w:szCs w:val="22"/>
          <w:lang w:val="ru-RU"/>
        </w:rPr>
        <w:t>30 мая – 1 июня 2016</w:t>
      </w:r>
      <w:r w:rsidRPr="002402C9">
        <w:rPr>
          <w:rFonts w:ascii="Arial" w:hAnsi="Arial" w:cs="Arial"/>
          <w:b/>
          <w:sz w:val="22"/>
          <w:szCs w:val="22"/>
          <w:lang w:val="ru-RU"/>
        </w:rPr>
        <w:t xml:space="preserve"> г.</w:t>
      </w:r>
    </w:p>
    <w:p w:rsidR="00E74685" w:rsidRDefault="00E74685" w:rsidP="00E74685">
      <w:pPr>
        <w:jc w:val="center"/>
        <w:rPr>
          <w:rFonts w:ascii="Arial" w:hAnsi="Arial" w:cs="Arial"/>
          <w:b/>
          <w:sz w:val="22"/>
          <w:szCs w:val="22"/>
          <w:lang w:val="ru-RU"/>
        </w:rPr>
      </w:pPr>
    </w:p>
    <w:p w:rsidR="00E74685" w:rsidRPr="00F45474" w:rsidRDefault="00E74685" w:rsidP="00E74685">
      <w:pPr>
        <w:pStyle w:val="Sansinterligne2"/>
        <w:tabs>
          <w:tab w:val="left" w:pos="2268"/>
        </w:tabs>
        <w:spacing w:before="1200"/>
        <w:jc w:val="center"/>
        <w:rPr>
          <w:rFonts w:ascii="Arial" w:hAnsi="Arial"/>
          <w:b/>
          <w:sz w:val="22"/>
          <w:lang w:val="ru-RU"/>
        </w:rPr>
      </w:pPr>
      <w:r>
        <w:rPr>
          <w:rFonts w:ascii="Arial" w:hAnsi="Arial"/>
          <w:b/>
          <w:sz w:val="22"/>
          <w:u w:val="single"/>
          <w:lang w:val="ru-RU"/>
        </w:rPr>
        <w:t>Пункт 9</w:t>
      </w:r>
      <w:r w:rsidRPr="00F45474">
        <w:rPr>
          <w:rFonts w:ascii="Arial" w:hAnsi="Arial"/>
          <w:b/>
          <w:sz w:val="22"/>
          <w:u w:val="single"/>
          <w:lang w:val="ru-RU"/>
        </w:rPr>
        <w:t xml:space="preserve"> предварительной повестки дня</w:t>
      </w:r>
      <w:r w:rsidRPr="00F45474">
        <w:rPr>
          <w:rFonts w:ascii="Arial" w:hAnsi="Arial"/>
          <w:b/>
          <w:sz w:val="22"/>
          <w:lang w:val="ru-RU"/>
        </w:rPr>
        <w:t>:</w:t>
      </w:r>
    </w:p>
    <w:p w:rsidR="00E74685" w:rsidRPr="00816025" w:rsidRDefault="00E74685" w:rsidP="00E74685">
      <w:pPr>
        <w:pStyle w:val="Sansinterligne2"/>
        <w:spacing w:after="1200"/>
        <w:jc w:val="center"/>
        <w:rPr>
          <w:rFonts w:ascii="Arial" w:hAnsi="Arial"/>
          <w:b/>
          <w:sz w:val="22"/>
          <w:lang w:val="ru-RU"/>
        </w:rPr>
      </w:pPr>
      <w:r w:rsidRPr="00F45474">
        <w:rPr>
          <w:rFonts w:ascii="Arial" w:hAnsi="Arial" w:cs="Arial"/>
          <w:b/>
          <w:sz w:val="22"/>
          <w:szCs w:val="22"/>
          <w:lang w:val="ru-RU"/>
        </w:rPr>
        <w:t>Использование</w:t>
      </w:r>
      <w:r w:rsidRPr="00F45474">
        <w:rPr>
          <w:rFonts w:ascii="Arial" w:hAnsi="Arial"/>
          <w:b/>
          <w:sz w:val="22"/>
          <w:lang w:val="ru-RU"/>
        </w:rPr>
        <w:t xml:space="preserve"> средств Фонда нематериального </w:t>
      </w:r>
      <w:r>
        <w:rPr>
          <w:rFonts w:ascii="Arial" w:hAnsi="Arial"/>
          <w:b/>
          <w:sz w:val="22"/>
          <w:lang w:val="ru-RU"/>
        </w:rPr>
        <w:t>культурного наследия</w:t>
      </w:r>
    </w:p>
    <w:p w:rsidR="00E74685" w:rsidRDefault="00E74685" w:rsidP="00E74685">
      <w:pPr>
        <w:jc w:val="center"/>
        <w:rPr>
          <w:rFonts w:ascii="Arial" w:hAnsi="Arial" w:cs="Arial"/>
          <w:b/>
          <w:sz w:val="22"/>
          <w:szCs w:val="22"/>
          <w:lang w:val="ru-RU"/>
        </w:rPr>
      </w:pPr>
    </w:p>
    <w:p w:rsidR="00E74685" w:rsidRPr="002402C9" w:rsidRDefault="00E74685" w:rsidP="00E74685">
      <w:pPr>
        <w:jc w:val="center"/>
        <w:rPr>
          <w:rFonts w:ascii="Arial" w:hAnsi="Arial" w:cs="Arial"/>
          <w:b/>
          <w:sz w:val="22"/>
          <w:szCs w:val="22"/>
          <w:lang w:val="ru-RU"/>
        </w:rPr>
      </w:pP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74685" w:rsidRPr="003A0AD4" w:rsidTr="00160CB3">
        <w:trPr>
          <w:trHeight w:val="3551"/>
          <w:jc w:val="center"/>
        </w:trPr>
        <w:tc>
          <w:tcPr>
            <w:tcW w:w="5670" w:type="dxa"/>
            <w:vAlign w:val="center"/>
          </w:tcPr>
          <w:p w:rsidR="00E74685" w:rsidRPr="0067310F" w:rsidRDefault="00E74685" w:rsidP="00160CB3">
            <w:pPr>
              <w:pStyle w:val="Sansinterligne1"/>
              <w:spacing w:before="200" w:after="200"/>
              <w:jc w:val="center"/>
              <w:rPr>
                <w:rFonts w:ascii="Arial" w:hAnsi="Arial" w:cs="Arial"/>
                <w:b/>
                <w:sz w:val="22"/>
                <w:szCs w:val="22"/>
                <w:lang w:val="ru-RU"/>
              </w:rPr>
            </w:pPr>
            <w:r>
              <w:rPr>
                <w:rFonts w:ascii="Arial" w:hAnsi="Arial" w:cs="Arial"/>
                <w:b/>
                <w:sz w:val="22"/>
                <w:szCs w:val="22"/>
                <w:lang w:val="ru-RU"/>
              </w:rPr>
              <w:t>Содержание</w:t>
            </w:r>
          </w:p>
          <w:p w:rsidR="00E74685" w:rsidRPr="00516E72" w:rsidRDefault="00E74685" w:rsidP="00160CB3">
            <w:pPr>
              <w:pStyle w:val="Sansinterligne2"/>
              <w:spacing w:after="120"/>
              <w:jc w:val="both"/>
              <w:rPr>
                <w:rFonts w:ascii="Arial" w:hAnsi="Arial" w:cs="Arial"/>
                <w:sz w:val="22"/>
                <w:szCs w:val="22"/>
                <w:lang w:val="ru-RU"/>
              </w:rPr>
            </w:pPr>
            <w:r>
              <w:rPr>
                <w:rFonts w:ascii="Arial" w:hAnsi="Arial" w:cs="Arial"/>
                <w:sz w:val="22"/>
                <w:szCs w:val="22"/>
                <w:lang w:val="ru-RU"/>
              </w:rPr>
              <w:t xml:space="preserve">Согласно Статье 7(с) Конвенции Комитет готовит и представляет на утверждение Генеральной Ассамблеи проект плана использования средств Фонда. В данном документе представлен проект плана, рекомендуемый Комитетом на период 2016-2017 годы и на первое полугодие 2018 года (Приложение </w:t>
            </w:r>
            <w:r>
              <w:rPr>
                <w:rFonts w:ascii="Arial" w:hAnsi="Arial" w:cs="Arial"/>
                <w:sz w:val="22"/>
                <w:szCs w:val="22"/>
                <w:lang w:val="en-US"/>
              </w:rPr>
              <w:t>I</w:t>
            </w:r>
            <w:r>
              <w:rPr>
                <w:rFonts w:ascii="Arial" w:hAnsi="Arial" w:cs="Arial"/>
                <w:sz w:val="22"/>
                <w:szCs w:val="22"/>
                <w:lang w:val="ru-RU"/>
              </w:rPr>
              <w:t xml:space="preserve">) </w:t>
            </w:r>
          </w:p>
          <w:p w:rsidR="00E74685" w:rsidRPr="003A0AD4" w:rsidRDefault="00E74685" w:rsidP="00160CB3">
            <w:pPr>
              <w:pStyle w:val="Sansinterligne2"/>
              <w:spacing w:after="120"/>
              <w:jc w:val="both"/>
              <w:rPr>
                <w:rFonts w:ascii="Arial" w:hAnsi="Arial" w:cs="Arial"/>
                <w:b/>
                <w:sz w:val="22"/>
                <w:szCs w:val="22"/>
                <w:lang w:val="en-GB"/>
              </w:rPr>
            </w:pPr>
            <w:r>
              <w:rPr>
                <w:rFonts w:ascii="Arial" w:hAnsi="Arial" w:cs="Arial"/>
                <w:b/>
                <w:sz w:val="22"/>
                <w:szCs w:val="22"/>
                <w:lang w:val="ru-RU"/>
              </w:rPr>
              <w:t>Требуемое решение</w:t>
            </w:r>
            <w:r w:rsidRPr="003A0AD4">
              <w:rPr>
                <w:rFonts w:ascii="Arial" w:hAnsi="Arial" w:cs="Arial"/>
                <w:b/>
                <w:sz w:val="22"/>
                <w:szCs w:val="22"/>
                <w:lang w:val="en-GB"/>
              </w:rPr>
              <w:t xml:space="preserve">: </w:t>
            </w:r>
            <w:r>
              <w:rPr>
                <w:rFonts w:ascii="Arial" w:hAnsi="Arial" w:cs="Arial"/>
                <w:bCs/>
                <w:sz w:val="22"/>
                <w:szCs w:val="22"/>
                <w:lang w:val="ru-RU"/>
              </w:rPr>
              <w:t>пункт</w:t>
            </w:r>
            <w:r w:rsidRPr="003A0AD4">
              <w:rPr>
                <w:rFonts w:ascii="Arial" w:hAnsi="Arial" w:cs="Arial"/>
                <w:bCs/>
                <w:sz w:val="22"/>
                <w:szCs w:val="22"/>
                <w:lang w:val="en-GB"/>
              </w:rPr>
              <w:t xml:space="preserve"> </w:t>
            </w:r>
            <w:r w:rsidRPr="0067310F">
              <w:rPr>
                <w:rFonts w:ascii="Arial" w:hAnsi="Arial" w:cs="Arial"/>
                <w:bCs/>
                <w:sz w:val="22"/>
                <w:szCs w:val="22"/>
                <w:lang w:val="en-GB"/>
              </w:rPr>
              <w:t>25</w:t>
            </w:r>
          </w:p>
        </w:tc>
      </w:tr>
    </w:tbl>
    <w:p w:rsidR="00E74685" w:rsidRPr="00A8236A" w:rsidRDefault="00655736" w:rsidP="00E74685">
      <w:pPr>
        <w:pStyle w:val="5GAparabodytext"/>
        <w:rPr>
          <w:lang w:val="ru-RU"/>
        </w:rPr>
      </w:pPr>
      <w:r w:rsidRPr="002402C9">
        <w:rPr>
          <w:lang w:val="ru-RU"/>
        </w:rPr>
        <w:br w:type="page"/>
      </w:r>
      <w:r w:rsidR="00E74685">
        <w:rPr>
          <w:lang w:val="ru-RU"/>
        </w:rPr>
        <w:lastRenderedPageBreak/>
        <w:t>Статья</w:t>
      </w:r>
      <w:r w:rsidR="00E74685" w:rsidRPr="00DC686C">
        <w:rPr>
          <w:lang w:val="ru-RU"/>
        </w:rPr>
        <w:t xml:space="preserve"> 7(</w:t>
      </w:r>
      <w:r w:rsidR="00E74685">
        <w:rPr>
          <w:lang w:val="ru-RU"/>
        </w:rPr>
        <w:t>с</w:t>
      </w:r>
      <w:r w:rsidR="00E74685" w:rsidRPr="00DC686C">
        <w:rPr>
          <w:lang w:val="ru-RU"/>
        </w:rPr>
        <w:t xml:space="preserve">) </w:t>
      </w:r>
      <w:r w:rsidR="00E74685">
        <w:rPr>
          <w:lang w:val="ru-RU"/>
        </w:rPr>
        <w:t>Конвенции</w:t>
      </w:r>
      <w:r w:rsidR="00E74685" w:rsidRPr="00DC686C">
        <w:rPr>
          <w:lang w:val="ru-RU"/>
        </w:rPr>
        <w:t xml:space="preserve"> </w:t>
      </w:r>
      <w:r w:rsidR="00E74685">
        <w:rPr>
          <w:lang w:val="ru-RU"/>
        </w:rPr>
        <w:t>возлагает на Комитет «</w:t>
      </w:r>
      <w:r w:rsidR="00E74685" w:rsidRPr="00F45474">
        <w:rPr>
          <w:lang w:val="ru-RU"/>
        </w:rPr>
        <w:t xml:space="preserve">подготовку и представление на утверждение Генеральной ассамблеи проекта плана </w:t>
      </w:r>
      <w:r w:rsidR="00E74685">
        <w:rPr>
          <w:lang w:val="ru-RU"/>
        </w:rPr>
        <w:t>по использованию</w:t>
      </w:r>
      <w:r w:rsidR="00E74685" w:rsidRPr="00F45474">
        <w:rPr>
          <w:lang w:val="ru-RU"/>
        </w:rPr>
        <w:t xml:space="preserve"> средств Фонда [нематериального культурного наследия] в </w:t>
      </w:r>
      <w:r w:rsidR="00E74685" w:rsidRPr="00F45474">
        <w:rPr>
          <w:rFonts w:cs="Times New Roman"/>
          <w:szCs w:val="24"/>
          <w:lang w:val="ru-RU"/>
        </w:rPr>
        <w:t>соответствии</w:t>
      </w:r>
      <w:r w:rsidR="00E74685" w:rsidRPr="00F45474">
        <w:rPr>
          <w:lang w:val="ru-RU"/>
        </w:rPr>
        <w:t xml:space="preserve"> со статьей 25».</w:t>
      </w:r>
      <w:r w:rsidR="00E74685">
        <w:rPr>
          <w:lang w:val="ru-RU"/>
        </w:rPr>
        <w:t xml:space="preserve"> </w:t>
      </w:r>
      <w:r w:rsidR="00E74685">
        <w:rPr>
          <w:rFonts w:cs="Times New Roman"/>
          <w:szCs w:val="24"/>
          <w:lang w:val="ru-RU"/>
        </w:rPr>
        <w:t xml:space="preserve">Кроме того, согласно статье 25.4 Конвенции, </w:t>
      </w:r>
      <w:r w:rsidR="00E74685" w:rsidRPr="00F45474">
        <w:rPr>
          <w:rFonts w:cs="Times New Roman"/>
          <w:szCs w:val="24"/>
          <w:lang w:val="ru-RU"/>
        </w:rPr>
        <w:t xml:space="preserve">Комитет </w:t>
      </w:r>
      <w:r w:rsidR="00E74685">
        <w:rPr>
          <w:rFonts w:cs="Times New Roman"/>
          <w:szCs w:val="24"/>
          <w:lang w:val="ru-RU"/>
        </w:rPr>
        <w:t>«</w:t>
      </w:r>
      <w:r w:rsidR="00E74685" w:rsidRPr="00F45474">
        <w:rPr>
          <w:rFonts w:cs="Times New Roman"/>
          <w:szCs w:val="24"/>
          <w:lang w:val="ru-RU"/>
        </w:rPr>
        <w:t>принимает решения об использовании средств на основе руководящих указаний Генеральной ассамблеи».</w:t>
      </w:r>
      <w:r w:rsidR="00E74685">
        <w:rPr>
          <w:rFonts w:cs="Times New Roman"/>
          <w:szCs w:val="24"/>
          <w:lang w:val="ru-RU"/>
        </w:rPr>
        <w:t xml:space="preserve"> Эти руководящие указания были приняты Генеральной ассамблеей государств-участников на ее второй сессии, состоявшейся в 2008 году, и включены в Главу </w:t>
      </w:r>
      <w:r w:rsidR="00E74685">
        <w:rPr>
          <w:rFonts w:cs="Times New Roman"/>
          <w:szCs w:val="24"/>
          <w:lang w:val="en-US"/>
        </w:rPr>
        <w:t>II</w:t>
      </w:r>
      <w:r w:rsidR="00E74685">
        <w:rPr>
          <w:rFonts w:cs="Times New Roman"/>
          <w:szCs w:val="24"/>
          <w:lang w:val="ru-RU"/>
        </w:rPr>
        <w:t xml:space="preserve">.1 </w:t>
      </w:r>
      <w:r w:rsidR="00E74685" w:rsidRPr="00F45474">
        <w:rPr>
          <w:rFonts w:cs="Times New Roman"/>
          <w:szCs w:val="24"/>
          <w:lang w:val="ru-RU"/>
        </w:rPr>
        <w:t>Оперативного руководства по выполнению Конвенции</w:t>
      </w:r>
      <w:r w:rsidR="00E74685" w:rsidRPr="00A8236A">
        <w:rPr>
          <w:rFonts w:cs="Times New Roman"/>
          <w:szCs w:val="24"/>
          <w:lang w:val="ru-RU"/>
        </w:rPr>
        <w:t>.</w:t>
      </w:r>
      <w:r w:rsidR="00E74685">
        <w:rPr>
          <w:rFonts w:cs="Times New Roman"/>
          <w:szCs w:val="24"/>
          <w:lang w:val="ru-RU"/>
        </w:rPr>
        <w:t xml:space="preserve"> Проект плана был предложен Комитетом в решении </w:t>
      </w:r>
      <w:hyperlink r:id="rId9" w:history="1">
        <w:r w:rsidR="00E74685" w:rsidRPr="002C5F98">
          <w:rPr>
            <w:rStyle w:val="Hyperlink"/>
            <w:lang w:val="ru-RU"/>
          </w:rPr>
          <w:t>10.</w:t>
        </w:r>
        <w:r w:rsidR="00E74685" w:rsidRPr="002C5F98">
          <w:rPr>
            <w:rStyle w:val="Hyperlink"/>
          </w:rPr>
          <w:t>COM </w:t>
        </w:r>
        <w:r w:rsidR="00E74685" w:rsidRPr="002C5F98">
          <w:rPr>
            <w:rStyle w:val="Hyperlink"/>
            <w:lang w:val="ru-RU"/>
          </w:rPr>
          <w:t>8</w:t>
        </w:r>
      </w:hyperlink>
      <w:r w:rsidR="00E74685">
        <w:rPr>
          <w:lang w:val="ru-RU"/>
        </w:rPr>
        <w:t xml:space="preserve"> и включен в приложение к данному документу. Он подготовлен в соответствии с руководящими указаниями и учитывает опыт выполнения плана в периоды 2012-2013 и 2014-2015 годы. С финансовым отчетом за период с 1 января 2014 года по 31 декабря 2015 года можно ознакомиться в документе </w:t>
      </w:r>
      <w:r w:rsidR="00E74685" w:rsidRPr="00F72076">
        <w:t>ITH</w:t>
      </w:r>
      <w:r w:rsidR="00E74685" w:rsidRPr="00F72076">
        <w:rPr>
          <w:lang w:val="ru-RU"/>
        </w:rPr>
        <w:t>/16/6.</w:t>
      </w:r>
      <w:r w:rsidR="00E74685" w:rsidRPr="00F72076">
        <w:t>GA</w:t>
      </w:r>
      <w:r w:rsidR="00E74685" w:rsidRPr="00F72076">
        <w:rPr>
          <w:lang w:val="ru-RU"/>
        </w:rPr>
        <w:t>/</w:t>
      </w:r>
      <w:r w:rsidR="00E74685" w:rsidRPr="00F72076">
        <w:t>INF</w:t>
      </w:r>
      <w:r w:rsidR="00E74685" w:rsidRPr="00F72076">
        <w:rPr>
          <w:lang w:val="ru-RU"/>
        </w:rPr>
        <w:t>.9.1</w:t>
      </w:r>
      <w:r w:rsidR="00E74685" w:rsidRPr="000753BD">
        <w:rPr>
          <w:lang w:val="ru-RU"/>
        </w:rPr>
        <w:t xml:space="preserve"> и</w:t>
      </w:r>
      <w:r w:rsidR="00E74685">
        <w:rPr>
          <w:lang w:val="ru-RU"/>
        </w:rPr>
        <w:t xml:space="preserve"> в пояснительной </w:t>
      </w:r>
      <w:r w:rsidR="00E74685" w:rsidRPr="007E150E">
        <w:rPr>
          <w:lang w:val="ru-RU"/>
        </w:rPr>
        <w:t>записке</w:t>
      </w:r>
      <w:r w:rsidR="00E74685">
        <w:rPr>
          <w:lang w:val="ru-RU"/>
        </w:rPr>
        <w:t>.</w:t>
      </w:r>
      <w:r w:rsidR="00E74685" w:rsidRPr="00A8236A">
        <w:rPr>
          <w:rFonts w:cs="Times New Roman"/>
          <w:szCs w:val="24"/>
          <w:lang w:val="ru-RU"/>
        </w:rPr>
        <w:t xml:space="preserve">  </w:t>
      </w:r>
    </w:p>
    <w:p w:rsidR="00E74685" w:rsidRPr="007E150E" w:rsidRDefault="00E74685" w:rsidP="00E74685">
      <w:pPr>
        <w:pStyle w:val="5GAparabodytext"/>
        <w:rPr>
          <w:lang w:val="ru-RU"/>
        </w:rPr>
      </w:pPr>
      <w:r>
        <w:rPr>
          <w:lang w:val="ru-RU"/>
        </w:rPr>
        <w:t>В то время как программы ЮНЕСКО определяются на четырехлетний период, Генеральная конференция приняла решение (</w:t>
      </w:r>
      <w:hyperlink r:id="rId10" w:history="1">
        <w:r w:rsidRPr="007E150E">
          <w:rPr>
            <w:rStyle w:val="Hyperlink"/>
            <w:lang w:val="ru-RU"/>
          </w:rPr>
          <w:t>36</w:t>
        </w:r>
        <w:r w:rsidRPr="003A0AD4">
          <w:rPr>
            <w:rStyle w:val="Hyperlink"/>
          </w:rPr>
          <w:t> C</w:t>
        </w:r>
        <w:r w:rsidRPr="007E150E">
          <w:rPr>
            <w:rStyle w:val="Hyperlink"/>
            <w:lang w:val="ru-RU"/>
          </w:rPr>
          <w:t>/</w:t>
        </w:r>
        <w:r>
          <w:rPr>
            <w:rStyle w:val="Hyperlink"/>
            <w:lang w:val="ru-RU"/>
          </w:rPr>
          <w:t>Резолюция</w:t>
        </w:r>
        <w:r w:rsidRPr="003A0AD4">
          <w:rPr>
            <w:rStyle w:val="Hyperlink"/>
          </w:rPr>
          <w:t> </w:t>
        </w:r>
        <w:r w:rsidRPr="007E150E">
          <w:rPr>
            <w:rStyle w:val="Hyperlink"/>
            <w:lang w:val="ru-RU"/>
          </w:rPr>
          <w:t>105</w:t>
        </w:r>
      </w:hyperlink>
      <w:r>
        <w:rPr>
          <w:rStyle w:val="Hyperlink"/>
          <w:lang w:val="ru-RU"/>
        </w:rPr>
        <w:t>)</w:t>
      </w:r>
      <w:r w:rsidRPr="000753BD">
        <w:rPr>
          <w:rStyle w:val="Hyperlink"/>
          <w:u w:val="none"/>
          <w:lang w:val="ru-RU"/>
        </w:rPr>
        <w:t xml:space="preserve"> </w:t>
      </w:r>
      <w:r w:rsidRPr="007E150E">
        <w:rPr>
          <w:rStyle w:val="Hyperlink"/>
          <w:color w:val="auto"/>
          <w:u w:val="none"/>
          <w:lang w:val="ru-RU"/>
        </w:rPr>
        <w:t xml:space="preserve">сохранить </w:t>
      </w:r>
      <w:r>
        <w:rPr>
          <w:rStyle w:val="Hyperlink"/>
          <w:color w:val="auto"/>
          <w:u w:val="none"/>
          <w:lang w:val="ru-RU"/>
        </w:rPr>
        <w:t>для бюджетных ассигнований двухлетний цикл. Так бюджет Организации будет по-прежнему утверждаться Генеральной конференцией в конце нечетного года на два последующих года, начиная с 1 января четного года вплоть до 31 декабря следующего нечетного года. В соответствии со Статьей 2 Положения</w:t>
      </w:r>
      <w:r>
        <w:rPr>
          <w:lang w:val="ru-RU"/>
        </w:rPr>
        <w:t xml:space="preserve"> о финансах Фонд осуществляет свою деятельность в течение того же финансового периода. Однако затруднения возникают, когда Генеральная ассамблея государств-участников Конвенции собирается на очередную сессию в четные годы, через шесть месяцев после начала финансового периода ЮНЕСКО. </w:t>
      </w:r>
    </w:p>
    <w:p w:rsidR="00E74685" w:rsidRPr="00500136" w:rsidRDefault="00E74685" w:rsidP="00E74685">
      <w:pPr>
        <w:pStyle w:val="5GAparabodytext"/>
        <w:rPr>
          <w:lang w:val="ru-RU"/>
        </w:rPr>
      </w:pPr>
      <w:proofErr w:type="gramStart"/>
      <w:r>
        <w:rPr>
          <w:lang w:val="ru-RU"/>
        </w:rPr>
        <w:t>Поэтому на шестой сессии Генеральной ассамблеи, проходящей в июне 2016 года, предполагается одобрить план использования средств Фонда, охватывающий 24 месяца, начиная с 1 января 2016 года по 31 декабря 2017 года, а также, на временной основе, первые шесть месяцев следующего финансового периода, то есть с 1 января 2018 года по 30 июня 2018 года, что предшествует седьмой сессии Генеральной ассамблеи</w:t>
      </w:r>
      <w:proofErr w:type="gramEnd"/>
      <w:r>
        <w:rPr>
          <w:lang w:val="ru-RU"/>
        </w:rPr>
        <w:t>. Предварительный</w:t>
      </w:r>
      <w:r w:rsidRPr="00500136">
        <w:rPr>
          <w:lang w:val="ru-RU"/>
        </w:rPr>
        <w:t xml:space="preserve"> </w:t>
      </w:r>
      <w:r>
        <w:rPr>
          <w:lang w:val="ru-RU"/>
        </w:rPr>
        <w:t>бюджет</w:t>
      </w:r>
      <w:r w:rsidRPr="00500136">
        <w:rPr>
          <w:lang w:val="ru-RU"/>
        </w:rPr>
        <w:t xml:space="preserve"> </w:t>
      </w:r>
      <w:r>
        <w:rPr>
          <w:lang w:val="ru-RU"/>
        </w:rPr>
        <w:t>на</w:t>
      </w:r>
      <w:r w:rsidRPr="00500136">
        <w:rPr>
          <w:lang w:val="ru-RU"/>
        </w:rPr>
        <w:t xml:space="preserve"> </w:t>
      </w:r>
      <w:r>
        <w:rPr>
          <w:lang w:val="ru-RU"/>
        </w:rPr>
        <w:t>первое</w:t>
      </w:r>
      <w:r w:rsidRPr="00500136">
        <w:rPr>
          <w:lang w:val="ru-RU"/>
        </w:rPr>
        <w:t xml:space="preserve"> </w:t>
      </w:r>
      <w:r>
        <w:rPr>
          <w:lang w:val="ru-RU"/>
        </w:rPr>
        <w:t>полугодие</w:t>
      </w:r>
      <w:r w:rsidRPr="00500136">
        <w:rPr>
          <w:lang w:val="ru-RU"/>
        </w:rPr>
        <w:t xml:space="preserve"> 2016 </w:t>
      </w:r>
      <w:r>
        <w:rPr>
          <w:lang w:val="ru-RU"/>
        </w:rPr>
        <w:t>года</w:t>
      </w:r>
      <w:r w:rsidRPr="00500136">
        <w:rPr>
          <w:lang w:val="ru-RU"/>
        </w:rPr>
        <w:t xml:space="preserve">, </w:t>
      </w:r>
      <w:r>
        <w:rPr>
          <w:lang w:val="ru-RU"/>
        </w:rPr>
        <w:t>принятый</w:t>
      </w:r>
      <w:r w:rsidRPr="00500136">
        <w:rPr>
          <w:lang w:val="ru-RU"/>
        </w:rPr>
        <w:t xml:space="preserve"> </w:t>
      </w:r>
      <w:r>
        <w:rPr>
          <w:lang w:val="ru-RU"/>
        </w:rPr>
        <w:t>на</w:t>
      </w:r>
      <w:r w:rsidRPr="00500136">
        <w:rPr>
          <w:lang w:val="ru-RU"/>
        </w:rPr>
        <w:t xml:space="preserve"> </w:t>
      </w:r>
      <w:r>
        <w:rPr>
          <w:lang w:val="ru-RU"/>
        </w:rPr>
        <w:t>пятой</w:t>
      </w:r>
      <w:r w:rsidRPr="00500136">
        <w:rPr>
          <w:lang w:val="ru-RU"/>
        </w:rPr>
        <w:t xml:space="preserve"> </w:t>
      </w:r>
      <w:r>
        <w:rPr>
          <w:lang w:val="ru-RU"/>
        </w:rPr>
        <w:t>сессии</w:t>
      </w:r>
      <w:r w:rsidRPr="00500136">
        <w:rPr>
          <w:lang w:val="ru-RU"/>
        </w:rPr>
        <w:t xml:space="preserve"> </w:t>
      </w:r>
      <w:r>
        <w:rPr>
          <w:lang w:val="ru-RU"/>
        </w:rPr>
        <w:t>Генеральной</w:t>
      </w:r>
      <w:r w:rsidRPr="00500136">
        <w:rPr>
          <w:lang w:val="ru-RU"/>
        </w:rPr>
        <w:t xml:space="preserve"> </w:t>
      </w:r>
      <w:r>
        <w:rPr>
          <w:lang w:val="ru-RU"/>
        </w:rPr>
        <w:t>ассамблеи</w:t>
      </w:r>
      <w:r w:rsidRPr="00500136">
        <w:rPr>
          <w:lang w:val="ru-RU"/>
        </w:rPr>
        <w:t xml:space="preserve"> (</w:t>
      </w:r>
      <w:hyperlink r:id="rId11" w:history="1">
        <w:r>
          <w:rPr>
            <w:rStyle w:val="Hyperlink"/>
            <w:lang w:val="ru-RU"/>
          </w:rPr>
          <w:t>Резолюция</w:t>
        </w:r>
        <w:r w:rsidRPr="003A0AD4">
          <w:rPr>
            <w:rStyle w:val="Hyperlink"/>
          </w:rPr>
          <w:t> </w:t>
        </w:r>
        <w:r w:rsidRPr="00500136">
          <w:rPr>
            <w:rStyle w:val="Hyperlink"/>
            <w:lang w:val="ru-RU"/>
          </w:rPr>
          <w:t>5.</w:t>
        </w:r>
        <w:r w:rsidRPr="003A0AD4">
          <w:rPr>
            <w:rStyle w:val="Hyperlink"/>
          </w:rPr>
          <w:t>GA</w:t>
        </w:r>
        <w:r w:rsidRPr="00500136">
          <w:rPr>
            <w:rStyle w:val="Hyperlink"/>
            <w:lang w:val="ru-RU"/>
          </w:rPr>
          <w:t xml:space="preserve"> 7</w:t>
        </w:r>
      </w:hyperlink>
      <w:r w:rsidRPr="000753BD">
        <w:rPr>
          <w:rStyle w:val="Hyperlink"/>
          <w:color w:val="auto"/>
          <w:u w:val="none"/>
          <w:lang w:val="ru-RU"/>
        </w:rPr>
        <w:t>)</w:t>
      </w:r>
      <w:r w:rsidRPr="000753BD">
        <w:rPr>
          <w:rStyle w:val="Hyperlink"/>
          <w:u w:val="none"/>
          <w:lang w:val="ru-RU"/>
        </w:rPr>
        <w:t>,</w:t>
      </w:r>
      <w:r w:rsidRPr="00A41EDD">
        <w:rPr>
          <w:rStyle w:val="Hyperlink"/>
          <w:u w:val="none"/>
          <w:lang w:val="ru-RU"/>
        </w:rPr>
        <w:t xml:space="preserve"> </w:t>
      </w:r>
      <w:r w:rsidRPr="00500136">
        <w:rPr>
          <w:rStyle w:val="Hyperlink"/>
          <w:color w:val="auto"/>
          <w:u w:val="none"/>
          <w:lang w:val="ru-RU"/>
        </w:rPr>
        <w:t>был, в свою очередь,</w:t>
      </w:r>
      <w:r w:rsidRPr="00500136">
        <w:rPr>
          <w:lang w:val="ru-RU"/>
        </w:rPr>
        <w:t xml:space="preserve"> заменен </w:t>
      </w:r>
      <w:r>
        <w:rPr>
          <w:lang w:val="ru-RU"/>
        </w:rPr>
        <w:t>настоящим планом,</w:t>
      </w:r>
      <w:r w:rsidRPr="00F72076">
        <w:rPr>
          <w:lang w:val="ru-RU"/>
        </w:rPr>
        <w:t xml:space="preserve"> </w:t>
      </w:r>
      <w:r>
        <w:rPr>
          <w:lang w:val="ru-RU"/>
        </w:rPr>
        <w:t xml:space="preserve">предложенным для принятия на шестой сессии Генеральной ассамблеи. </w:t>
      </w:r>
      <w:r w:rsidRPr="00500136">
        <w:rPr>
          <w:lang w:val="ru-RU"/>
        </w:rPr>
        <w:t xml:space="preserve">  </w:t>
      </w:r>
    </w:p>
    <w:p w:rsidR="00E74685" w:rsidRPr="00783D69" w:rsidRDefault="00E74685" w:rsidP="00E74685">
      <w:pPr>
        <w:pStyle w:val="5GAparabodytext"/>
        <w:rPr>
          <w:lang w:val="ru-RU"/>
        </w:rPr>
      </w:pPr>
      <w:r>
        <w:rPr>
          <w:lang w:val="ru-RU"/>
        </w:rPr>
        <w:t>Проект плана, представленный Комитетом, основан на неограниченн</w:t>
      </w:r>
      <w:r w:rsidRPr="00783D69">
        <w:rPr>
          <w:lang w:val="ru-RU"/>
        </w:rPr>
        <w:t>о</w:t>
      </w:r>
      <w:r>
        <w:rPr>
          <w:lang w:val="ru-RU"/>
        </w:rPr>
        <w:t>м</w:t>
      </w:r>
      <w:r w:rsidRPr="00783D69">
        <w:rPr>
          <w:lang w:val="ru-RU"/>
        </w:rPr>
        <w:t xml:space="preserve"> </w:t>
      </w:r>
      <w:r>
        <w:rPr>
          <w:lang w:val="ru-RU"/>
        </w:rPr>
        <w:t xml:space="preserve">балансе Фонда по состоянию на 31 декабря 2015 года (7 977 920 долларов). </w:t>
      </w:r>
      <w:proofErr w:type="gramStart"/>
      <w:r>
        <w:rPr>
          <w:lang w:val="ru-RU"/>
        </w:rPr>
        <w:t xml:space="preserve">В </w:t>
      </w:r>
      <w:r w:rsidRPr="005F4B1E">
        <w:rPr>
          <w:lang w:val="ru-RU"/>
        </w:rPr>
        <w:t>эту сумму</w:t>
      </w:r>
      <w:r>
        <w:rPr>
          <w:lang w:val="ru-RU"/>
        </w:rPr>
        <w:t xml:space="preserve"> не входят средства ограниченного использования трех категорий: первая - Резервный фонд, предназначенный для оказания международной помощи в случаях чрезвычайной срочности (см. Статью 6 Положения о финансах Фонда); вторая – взносы, направляемые на конкретные цели, связанные с определенными проектами (см. Статью 25.5 Конвенции); третья – </w:t>
      </w:r>
      <w:proofErr w:type="spellStart"/>
      <w:r>
        <w:rPr>
          <w:lang w:val="ru-RU"/>
        </w:rPr>
        <w:t>суб</w:t>
      </w:r>
      <w:proofErr w:type="spellEnd"/>
      <w:r>
        <w:rPr>
          <w:lang w:val="ru-RU"/>
        </w:rPr>
        <w:t xml:space="preserve">-фонд, предназначенный для укрепления людских ресурсов Секретариата в соответствии с резолюцией </w:t>
      </w:r>
      <w:r w:rsidRPr="00F34B51">
        <w:rPr>
          <w:lang w:val="ru-RU"/>
        </w:rPr>
        <w:t>3.</w:t>
      </w:r>
      <w:r w:rsidRPr="003A0AD4">
        <w:t>GA </w:t>
      </w:r>
      <w:r w:rsidRPr="00F34B51">
        <w:rPr>
          <w:lang w:val="ru-RU"/>
        </w:rPr>
        <w:t>9.</w:t>
      </w:r>
      <w:proofErr w:type="gramEnd"/>
    </w:p>
    <w:p w:rsidR="00E74685" w:rsidRPr="00CA0171" w:rsidRDefault="00E74685" w:rsidP="00E74685">
      <w:pPr>
        <w:pStyle w:val="5GAparabodytext"/>
        <w:rPr>
          <w:bCs/>
          <w:lang w:val="ru-RU"/>
        </w:rPr>
      </w:pPr>
      <w:proofErr w:type="gramStart"/>
      <w:r>
        <w:rPr>
          <w:lang w:val="ru-RU"/>
        </w:rPr>
        <w:t>Бюджет, предложенный в проекте плана, содержится в приложении к документу и предусматривает средства для каждой статьи плана, в процентном выражении от общей суммы имеющихся средств, а не в абсолютных цифрах, что позволяет Комитету использовать любые значительные суммы нецелевых дополнительных добровольных взносов (как предусмотрено Статьей 27), которые поступают в Фонд во время двухлетнего периода.</w:t>
      </w:r>
      <w:proofErr w:type="gramEnd"/>
      <w:r>
        <w:rPr>
          <w:lang w:val="ru-RU"/>
        </w:rPr>
        <w:t xml:space="preserve"> В том случае, если донор пожелает сделать значительный дополнительный вклад, Генеральная ассамблея может, как в предыдущий период, распорядиться, чтобы Комитет использовал любые подобные взносы немедленно после получения в соответствии с процентными долями, установленными в плане. </w:t>
      </w:r>
    </w:p>
    <w:p w:rsidR="00E74685" w:rsidRPr="00703A8B" w:rsidRDefault="00E74685" w:rsidP="00E74685">
      <w:pPr>
        <w:pStyle w:val="5GAparabodytext"/>
        <w:rPr>
          <w:lang w:val="ru-RU"/>
        </w:rPr>
      </w:pPr>
      <w:r w:rsidRPr="00703A8B">
        <w:rPr>
          <w:bCs/>
          <w:lang w:val="ru-RU"/>
        </w:rPr>
        <w:t>Конвенция т</w:t>
      </w:r>
      <w:r>
        <w:rPr>
          <w:bCs/>
          <w:lang w:val="ru-RU"/>
        </w:rPr>
        <w:t xml:space="preserve">акже наделяет Комитет правом </w:t>
      </w:r>
      <w:r w:rsidRPr="00F45474">
        <w:rPr>
          <w:lang w:val="ru-RU"/>
        </w:rPr>
        <w:t>«принимать взносы и помощь в других формах, предназначенные для общих или конкретных целей, связанных с определенными проектами, при условии, что такие проекты од</w:t>
      </w:r>
      <w:r>
        <w:rPr>
          <w:lang w:val="ru-RU"/>
        </w:rPr>
        <w:t xml:space="preserve">обрены Комитетом» (статья 25.5), причем такие взносы названы «целевыми». Чтобы использование этих взносов было стратегически эффективным, было предложено, чтобы Генеральная ассамблея снова, как на предыдущих сессиях, наделила Комитет полномочиями </w:t>
      </w:r>
      <w:r>
        <w:rPr>
          <w:lang w:val="ru-RU"/>
        </w:rPr>
        <w:lastRenderedPageBreak/>
        <w:t>немедленно использовать подобные взносы, при условии, что данные проекты были одобрены Комитетом еще до получения средств.</w:t>
      </w:r>
    </w:p>
    <w:p w:rsidR="00E74685" w:rsidRPr="00194E7C" w:rsidRDefault="00E74685" w:rsidP="00E74685">
      <w:pPr>
        <w:pStyle w:val="5GAparabodytext"/>
        <w:rPr>
          <w:lang w:val="ru-RU"/>
        </w:rPr>
      </w:pPr>
      <w:proofErr w:type="gramStart"/>
      <w:r>
        <w:rPr>
          <w:lang w:val="ru-RU"/>
        </w:rPr>
        <w:t>Следует отметить, что Комитет на своей девятой сессии сделал дальнейший шаг к повышению эффективности и одобрил Концептуальную записку к Дополнительной расширенной программе на 2014-2017 годы, получившей название «Укрепление потенциала в области охраны нематериального культурного наследия для устойчивого развития» (</w:t>
      </w:r>
      <w:hyperlink r:id="rId12" w:history="1">
        <w:r w:rsidRPr="00431449">
          <w:rPr>
            <w:rStyle w:val="Hyperlink"/>
            <w:lang w:val="ru-RU"/>
          </w:rPr>
          <w:t>Решение  9.COM 7</w:t>
        </w:r>
      </w:hyperlink>
      <w:r>
        <w:rPr>
          <w:lang w:val="ru-RU"/>
        </w:rPr>
        <w:t>), разработанную Секретариатом с целью расширения влияния и увеличения эффективности  глобальной стратегии укрепления потенциала, а также информирования доноров о</w:t>
      </w:r>
      <w:proofErr w:type="gramEnd"/>
      <w:r>
        <w:rPr>
          <w:lang w:val="ru-RU"/>
        </w:rPr>
        <w:t xml:space="preserve"> </w:t>
      </w:r>
      <w:r w:rsidRPr="000753BD">
        <w:rPr>
          <w:lang w:val="ru-RU"/>
        </w:rPr>
        <w:t>потребности в средствах для выполнения этой программы.</w:t>
      </w:r>
      <w:r w:rsidRPr="00A41EDD">
        <w:rPr>
          <w:lang w:val="ru-RU"/>
        </w:rPr>
        <w:t xml:space="preserve"> </w:t>
      </w:r>
      <w:proofErr w:type="gramStart"/>
      <w:r w:rsidRPr="00A41EDD">
        <w:rPr>
          <w:lang w:val="ru-RU"/>
        </w:rPr>
        <w:t xml:space="preserve">Чтобы обеспечить единое мнение о </w:t>
      </w:r>
      <w:r w:rsidRPr="00431449">
        <w:rPr>
          <w:lang w:val="ru-RU"/>
        </w:rPr>
        <w:t xml:space="preserve">порядке приоритетов в области нематериального культурного наследия </w:t>
      </w:r>
      <w:r>
        <w:rPr>
          <w:lang w:val="ru-RU"/>
        </w:rPr>
        <w:t>К</w:t>
      </w:r>
      <w:r w:rsidRPr="000753BD">
        <w:rPr>
          <w:lang w:val="ru-RU"/>
        </w:rPr>
        <w:t>омитет</w:t>
      </w:r>
      <w:r w:rsidRPr="00A41EDD">
        <w:rPr>
          <w:lang w:val="ru-RU"/>
        </w:rPr>
        <w:t xml:space="preserve">, </w:t>
      </w:r>
      <w:r w:rsidRPr="00431449">
        <w:rPr>
          <w:lang w:val="ru-RU"/>
        </w:rPr>
        <w:t xml:space="preserve">действующий в качестве руководящего органа </w:t>
      </w:r>
      <w:r>
        <w:rPr>
          <w:lang w:val="ru-RU"/>
        </w:rPr>
        <w:t xml:space="preserve">Конвенции и </w:t>
      </w:r>
      <w:r w:rsidRPr="000753BD">
        <w:rPr>
          <w:lang w:val="ru-RU"/>
        </w:rPr>
        <w:t>принимающ</w:t>
      </w:r>
      <w:r>
        <w:rPr>
          <w:lang w:val="ru-RU"/>
        </w:rPr>
        <w:t xml:space="preserve">ий </w:t>
      </w:r>
      <w:r w:rsidRPr="00A41EDD">
        <w:rPr>
          <w:lang w:val="ru-RU"/>
        </w:rPr>
        <w:t xml:space="preserve">решения об </w:t>
      </w:r>
      <w:r w:rsidRPr="00431449">
        <w:rPr>
          <w:lang w:val="ru-RU"/>
        </w:rPr>
        <w:t>использовании средств Фонда нематериального культурного наследия, и Генеральная конференци</w:t>
      </w:r>
      <w:r>
        <w:rPr>
          <w:lang w:val="ru-RU"/>
        </w:rPr>
        <w:t>я</w:t>
      </w:r>
      <w:r w:rsidRPr="000753BD">
        <w:rPr>
          <w:lang w:val="ru-RU"/>
        </w:rPr>
        <w:t xml:space="preserve"> государств-членов</w:t>
      </w:r>
      <w:r w:rsidRPr="00A41EDD">
        <w:rPr>
          <w:lang w:val="ru-RU"/>
        </w:rPr>
        <w:t xml:space="preserve">, </w:t>
      </w:r>
      <w:r w:rsidRPr="00431449">
        <w:rPr>
          <w:lang w:val="ru-RU"/>
        </w:rPr>
        <w:t>являющ</w:t>
      </w:r>
      <w:r>
        <w:rPr>
          <w:lang w:val="ru-RU"/>
        </w:rPr>
        <w:t xml:space="preserve">аяся </w:t>
      </w:r>
      <w:r w:rsidRPr="000753BD">
        <w:rPr>
          <w:lang w:val="ru-RU"/>
        </w:rPr>
        <w:t xml:space="preserve">руководящим органом, определяющим политику и основные направления работы Организации, </w:t>
      </w:r>
      <w:r>
        <w:rPr>
          <w:lang w:val="ru-RU"/>
        </w:rPr>
        <w:t xml:space="preserve">сочли </w:t>
      </w:r>
      <w:r w:rsidRPr="00A41EDD">
        <w:rPr>
          <w:lang w:val="ru-RU"/>
        </w:rPr>
        <w:t xml:space="preserve">необходимым принять </w:t>
      </w:r>
      <w:r w:rsidRPr="00F72076">
        <w:rPr>
          <w:lang w:val="ru-RU"/>
        </w:rPr>
        <w:t xml:space="preserve">программные </w:t>
      </w:r>
      <w:r w:rsidRPr="000753BD">
        <w:rPr>
          <w:lang w:val="ru-RU"/>
        </w:rPr>
        <w:t>рамки, описанные</w:t>
      </w:r>
      <w:r w:rsidRPr="00A41EDD">
        <w:rPr>
          <w:lang w:val="ru-RU"/>
        </w:rPr>
        <w:t xml:space="preserve"> </w:t>
      </w:r>
      <w:r w:rsidRPr="00431449">
        <w:rPr>
          <w:lang w:val="ru-RU"/>
        </w:rPr>
        <w:t xml:space="preserve">во </w:t>
      </w:r>
      <w:r w:rsidRPr="00F72076">
        <w:rPr>
          <w:lang w:val="ru-RU"/>
        </w:rPr>
        <w:t>Вспомогательной программ</w:t>
      </w:r>
      <w:r w:rsidRPr="000753BD">
        <w:rPr>
          <w:lang w:val="ru-RU"/>
        </w:rPr>
        <w:t>е</w:t>
      </w:r>
      <w:r w:rsidRPr="00F72076">
        <w:rPr>
          <w:lang w:val="ru-RU"/>
        </w:rPr>
        <w:t xml:space="preserve"> дополнительных мер</w:t>
      </w:r>
      <w:r>
        <w:rPr>
          <w:lang w:val="ru-RU"/>
        </w:rPr>
        <w:t>, таким образом</w:t>
      </w:r>
      <w:r w:rsidRPr="000753BD">
        <w:rPr>
          <w:lang w:val="ru-RU"/>
        </w:rPr>
        <w:t xml:space="preserve">, </w:t>
      </w:r>
      <w:r>
        <w:rPr>
          <w:lang w:val="ru-RU"/>
        </w:rPr>
        <w:t xml:space="preserve">чтобы </w:t>
      </w:r>
      <w:r w:rsidRPr="000753BD">
        <w:rPr>
          <w:lang w:val="ru-RU"/>
        </w:rPr>
        <w:t xml:space="preserve">они строго </w:t>
      </w:r>
      <w:r w:rsidRPr="00A41EDD">
        <w:rPr>
          <w:lang w:val="ru-RU"/>
        </w:rPr>
        <w:t>соответств</w:t>
      </w:r>
      <w:r>
        <w:rPr>
          <w:lang w:val="ru-RU"/>
        </w:rPr>
        <w:t>овали</w:t>
      </w:r>
      <w:proofErr w:type="gramEnd"/>
      <w:r>
        <w:rPr>
          <w:lang w:val="ru-RU"/>
        </w:rPr>
        <w:t xml:space="preserve"> О</w:t>
      </w:r>
      <w:r w:rsidRPr="000753BD">
        <w:rPr>
          <w:lang w:val="ru-RU"/>
        </w:rPr>
        <w:t xml:space="preserve">бычной </w:t>
      </w:r>
      <w:r>
        <w:rPr>
          <w:lang w:val="ru-RU"/>
        </w:rPr>
        <w:t>п</w:t>
      </w:r>
      <w:r w:rsidRPr="000753BD">
        <w:rPr>
          <w:lang w:val="ru-RU"/>
        </w:rPr>
        <w:t xml:space="preserve">рограмме. </w:t>
      </w:r>
      <w:proofErr w:type="gramStart"/>
      <w:r w:rsidRPr="000753BD">
        <w:rPr>
          <w:lang w:val="ru-RU"/>
        </w:rPr>
        <w:t>Дополнительно в том же решении</w:t>
      </w:r>
      <w:r w:rsidRPr="00A41EDD">
        <w:rPr>
          <w:lang w:val="ru-RU"/>
        </w:rPr>
        <w:t xml:space="preserve"> Комитет выразил согласие в будущем</w:t>
      </w:r>
      <w:r w:rsidRPr="00431449">
        <w:rPr>
          <w:lang w:val="ru-RU"/>
        </w:rPr>
        <w:t>, в период между двумя сессиями Комитета, принимать любые добровольные дополнительные взносы, направленные на поддержку деятельности по укреплению потенциала в пределах программных рамок</w:t>
      </w:r>
      <w:r w:rsidRPr="000753BD">
        <w:rPr>
          <w:lang w:val="ru-RU"/>
        </w:rPr>
        <w:t xml:space="preserve">, и наделил Секретариат правом </w:t>
      </w:r>
      <w:r w:rsidRPr="00A41EDD">
        <w:rPr>
          <w:lang w:val="ru-RU"/>
        </w:rPr>
        <w:t xml:space="preserve">немедленно использовать эти взносы, а также потребовал докладывать о процессе использования </w:t>
      </w:r>
      <w:r w:rsidRPr="00431449">
        <w:rPr>
          <w:lang w:val="ru-RU"/>
        </w:rPr>
        <w:t>любых добровольных дополнительных</w:t>
      </w:r>
      <w:r>
        <w:rPr>
          <w:lang w:val="ru-RU"/>
        </w:rPr>
        <w:t xml:space="preserve"> взносов, поступивших после его последней сессии.  </w:t>
      </w:r>
      <w:proofErr w:type="gramEnd"/>
    </w:p>
    <w:p w:rsidR="00E74685" w:rsidRPr="00972A7C" w:rsidRDefault="00E74685" w:rsidP="00E74685">
      <w:pPr>
        <w:pStyle w:val="5GAparabodytext"/>
        <w:rPr>
          <w:lang w:val="ru-RU"/>
        </w:rPr>
      </w:pPr>
      <w:proofErr w:type="gramStart"/>
      <w:r>
        <w:rPr>
          <w:lang w:val="ru-RU"/>
        </w:rPr>
        <w:t xml:space="preserve">Список таких доноров  и количество взносов, полученных от них, можно найти в двух информационных </w:t>
      </w:r>
      <w:r w:rsidRPr="00A41EDD">
        <w:rPr>
          <w:lang w:val="ru-RU"/>
        </w:rPr>
        <w:t>документах</w:t>
      </w:r>
      <w:r w:rsidRPr="00F72076">
        <w:rPr>
          <w:lang w:val="ru-RU"/>
        </w:rPr>
        <w:t xml:space="preserve"> </w:t>
      </w:r>
      <w:r w:rsidRPr="00F72076">
        <w:t>ITH</w:t>
      </w:r>
      <w:r w:rsidRPr="00F72076">
        <w:rPr>
          <w:lang w:val="ru-RU"/>
        </w:rPr>
        <w:t>/16/6.</w:t>
      </w:r>
      <w:r w:rsidRPr="00F72076">
        <w:t>GA</w:t>
      </w:r>
      <w:r w:rsidRPr="00F72076">
        <w:rPr>
          <w:lang w:val="ru-RU"/>
        </w:rPr>
        <w:t>/</w:t>
      </w:r>
      <w:r w:rsidRPr="00F72076">
        <w:t>INF</w:t>
      </w:r>
      <w:r w:rsidRPr="00F72076">
        <w:rPr>
          <w:lang w:val="ru-RU"/>
        </w:rPr>
        <w:t>.9.1</w:t>
      </w:r>
      <w:r w:rsidRPr="00A41EDD">
        <w:rPr>
          <w:lang w:val="ru-RU"/>
        </w:rPr>
        <w:t xml:space="preserve"> и </w:t>
      </w:r>
      <w:r w:rsidRPr="00F72076">
        <w:t>ITH</w:t>
      </w:r>
      <w:r w:rsidRPr="00F72076">
        <w:rPr>
          <w:lang w:val="ru-RU"/>
        </w:rPr>
        <w:t>/16/6.</w:t>
      </w:r>
      <w:r w:rsidRPr="00F72076">
        <w:t>GA</w:t>
      </w:r>
      <w:r w:rsidRPr="00F72076">
        <w:rPr>
          <w:lang w:val="ru-RU"/>
        </w:rPr>
        <w:t>/</w:t>
      </w:r>
      <w:r w:rsidRPr="00F72076">
        <w:t>INF</w:t>
      </w:r>
      <w:r w:rsidRPr="00F72076">
        <w:rPr>
          <w:lang w:val="ru-RU"/>
        </w:rPr>
        <w:t>.9.2</w:t>
      </w:r>
      <w:r w:rsidRPr="00A41EDD">
        <w:rPr>
          <w:lang w:val="ru-RU"/>
        </w:rPr>
        <w:t>, которые</w:t>
      </w:r>
      <w:r>
        <w:rPr>
          <w:lang w:val="ru-RU"/>
        </w:rPr>
        <w:t xml:space="preserve"> относятся к двум немного различным периодам: в приложении </w:t>
      </w:r>
      <w:r>
        <w:rPr>
          <w:lang w:val="en-US"/>
        </w:rPr>
        <w:t>I</w:t>
      </w:r>
      <w:r>
        <w:rPr>
          <w:lang w:val="ru-RU"/>
        </w:rPr>
        <w:t xml:space="preserve"> к первому документу дан список добровольных взносов, предназначенных для целевого использования, сделанных в период между 1 января 2014 года и 31 декабря</w:t>
      </w:r>
      <w:proofErr w:type="gramEnd"/>
      <w:r>
        <w:rPr>
          <w:lang w:val="ru-RU"/>
        </w:rPr>
        <w:t xml:space="preserve"> 2015 года, а второй документ содержит, среди прочего, список добровольных взносов, которые получены, начиная с 1 июня 2014 года по 31 марта 2016, то есть, в период между пятой и шестой сессией Генеральной ассамблеи, в соответствии с пунктом 77 Оперативного руководства.    </w:t>
      </w:r>
    </w:p>
    <w:p w:rsidR="00E74685" w:rsidRPr="008235E0" w:rsidRDefault="00E74685" w:rsidP="00E74685">
      <w:pPr>
        <w:pStyle w:val="Default"/>
        <w:keepNext/>
        <w:spacing w:before="360" w:after="120"/>
        <w:ind w:left="567"/>
        <w:jc w:val="both"/>
        <w:rPr>
          <w:b/>
          <w:bCs/>
          <w:sz w:val="22"/>
          <w:szCs w:val="22"/>
          <w:lang w:val="ru-RU"/>
        </w:rPr>
      </w:pPr>
      <w:r>
        <w:rPr>
          <w:b/>
          <w:bCs/>
          <w:sz w:val="22"/>
          <w:szCs w:val="22"/>
          <w:lang w:val="ru-RU"/>
        </w:rPr>
        <w:t>Бюджетные статьи и ассигнования</w:t>
      </w:r>
    </w:p>
    <w:p w:rsidR="00E74685" w:rsidRPr="00F72076" w:rsidRDefault="00E74685" w:rsidP="00E74685">
      <w:pPr>
        <w:pStyle w:val="5GAparabodytext"/>
        <w:rPr>
          <w:lang w:val="ru-RU"/>
        </w:rPr>
      </w:pPr>
      <w:r w:rsidRPr="00F72076">
        <w:rPr>
          <w:lang w:val="ru-RU"/>
        </w:rPr>
        <w:t xml:space="preserve">В сравнении с текущим </w:t>
      </w:r>
      <w:r>
        <w:rPr>
          <w:lang w:val="ru-RU"/>
        </w:rPr>
        <w:t>п</w:t>
      </w:r>
      <w:r w:rsidRPr="00F72076">
        <w:rPr>
          <w:lang w:val="ru-RU"/>
        </w:rPr>
        <w:t xml:space="preserve">ланом использования средств Фонда, статьи бюджета остались, в основном, без изменений. В трех случаях было предложено изменить в сторону </w:t>
      </w:r>
      <w:r w:rsidRPr="00F3703B">
        <w:rPr>
          <w:lang w:val="ru-RU"/>
        </w:rPr>
        <w:t xml:space="preserve">сокращения или увеличения </w:t>
      </w:r>
      <w:r w:rsidRPr="000753BD">
        <w:rPr>
          <w:lang w:val="ru-RU"/>
        </w:rPr>
        <w:t xml:space="preserve">и применяются </w:t>
      </w:r>
      <w:r>
        <w:rPr>
          <w:lang w:val="ru-RU"/>
        </w:rPr>
        <w:t xml:space="preserve">к </w:t>
      </w:r>
      <w:r w:rsidRPr="000753BD">
        <w:rPr>
          <w:lang w:val="ru-RU"/>
        </w:rPr>
        <w:t>балан</w:t>
      </w:r>
      <w:r>
        <w:rPr>
          <w:lang w:val="ru-RU"/>
        </w:rPr>
        <w:t>су</w:t>
      </w:r>
      <w:r w:rsidRPr="000753BD">
        <w:rPr>
          <w:lang w:val="ru-RU"/>
        </w:rPr>
        <w:t xml:space="preserve"> Фонда по состоянию на 31 декабря 2015 года за вычетом суммы, которую Комитет предложил </w:t>
      </w:r>
      <w:r>
        <w:rPr>
          <w:lang w:val="ru-RU"/>
        </w:rPr>
        <w:t>перечислить</w:t>
      </w:r>
      <w:r w:rsidRPr="000753BD">
        <w:rPr>
          <w:lang w:val="ru-RU"/>
        </w:rPr>
        <w:t xml:space="preserve"> в </w:t>
      </w:r>
      <w:r>
        <w:rPr>
          <w:lang w:val="ru-RU"/>
        </w:rPr>
        <w:t>Р</w:t>
      </w:r>
      <w:r w:rsidRPr="000753BD">
        <w:rPr>
          <w:lang w:val="ru-RU"/>
        </w:rPr>
        <w:t>езервный фонд (24</w:t>
      </w:r>
      <w:r>
        <w:rPr>
          <w:lang w:val="ru-RU"/>
        </w:rPr>
        <w:t xml:space="preserve"> </w:t>
      </w:r>
      <w:r w:rsidRPr="000753BD">
        <w:rPr>
          <w:lang w:val="ru-RU"/>
        </w:rPr>
        <w:t xml:space="preserve">190 </w:t>
      </w:r>
      <w:r>
        <w:rPr>
          <w:lang w:val="ru-RU"/>
        </w:rPr>
        <w:t>долл.</w:t>
      </w:r>
      <w:r w:rsidRPr="000753BD">
        <w:rPr>
          <w:lang w:val="ru-RU"/>
        </w:rPr>
        <w:t>) для того, чтобы установить его общ</w:t>
      </w:r>
      <w:r>
        <w:rPr>
          <w:lang w:val="ru-RU"/>
        </w:rPr>
        <w:t xml:space="preserve">ую сумму на уровне </w:t>
      </w:r>
      <w:r w:rsidRPr="000753BD">
        <w:rPr>
          <w:lang w:val="ru-RU"/>
        </w:rPr>
        <w:t xml:space="preserve">1 </w:t>
      </w:r>
      <w:proofErr w:type="gramStart"/>
      <w:r w:rsidRPr="000753BD">
        <w:rPr>
          <w:lang w:val="ru-RU"/>
        </w:rPr>
        <w:t>млн</w:t>
      </w:r>
      <w:proofErr w:type="gramEnd"/>
      <w:r>
        <w:rPr>
          <w:lang w:val="ru-RU"/>
        </w:rPr>
        <w:t xml:space="preserve"> долл.</w:t>
      </w:r>
      <w:r w:rsidRPr="00F72076">
        <w:rPr>
          <w:lang w:val="ru-RU"/>
        </w:rPr>
        <w:t xml:space="preserve"> Однако, если учитывать, что увеличился изначальный баланс, служивший основой для </w:t>
      </w:r>
      <w:r w:rsidRPr="00A41EDD">
        <w:rPr>
          <w:lang w:val="ru-RU"/>
        </w:rPr>
        <w:t>п</w:t>
      </w:r>
      <w:r w:rsidRPr="00F72076">
        <w:rPr>
          <w:lang w:val="ru-RU"/>
        </w:rPr>
        <w:t>лана (24% по сравнению с балансом на 31 декабря 2013 года), то постоянные ассигнования всех бюджетных статей будут увеличены за одним исключением, указанным ниже (</w:t>
      </w:r>
      <w:r>
        <w:rPr>
          <w:lang w:val="ru-RU"/>
        </w:rPr>
        <w:t>пункт</w:t>
      </w:r>
      <w:r w:rsidRPr="00F72076">
        <w:rPr>
          <w:lang w:val="ru-RU"/>
        </w:rPr>
        <w:t xml:space="preserve"> 14).  </w:t>
      </w:r>
    </w:p>
    <w:p w:rsidR="00E74685" w:rsidRPr="00E4041C" w:rsidRDefault="00E74685" w:rsidP="00E74685">
      <w:pPr>
        <w:pStyle w:val="5GAparabodytext"/>
        <w:rPr>
          <w:lang w:val="ru-RU"/>
        </w:rPr>
      </w:pPr>
      <w:r>
        <w:rPr>
          <w:lang w:val="ru-RU"/>
        </w:rPr>
        <w:t xml:space="preserve">В соответствии с приоритетами, которые были определены руководящими принципами в Оперативном руководстве, глава </w:t>
      </w:r>
      <w:r>
        <w:rPr>
          <w:lang w:val="en-US"/>
        </w:rPr>
        <w:t>II</w:t>
      </w:r>
      <w:r>
        <w:rPr>
          <w:lang w:val="ru-RU"/>
        </w:rPr>
        <w:t>.1, для использования средств Фонда, было еще раз предложено направлять основную часть средств (</w:t>
      </w:r>
      <w:r w:rsidRPr="00E4041C">
        <w:rPr>
          <w:b/>
          <w:lang w:val="ru-RU"/>
        </w:rPr>
        <w:t>бюджетная статья 1</w:t>
      </w:r>
      <w:r>
        <w:rPr>
          <w:lang w:val="ru-RU"/>
        </w:rPr>
        <w:t xml:space="preserve">, 59%) на международную помощь государствам-участникам </w:t>
      </w:r>
      <w:r w:rsidRPr="00A41EDD">
        <w:rPr>
          <w:lang w:val="ru-RU"/>
        </w:rPr>
        <w:t xml:space="preserve">для поддержки их усилий по </w:t>
      </w:r>
      <w:r w:rsidRPr="002A3041">
        <w:rPr>
          <w:lang w:val="ru-RU"/>
        </w:rPr>
        <w:t xml:space="preserve">охране нематериального культурного наследия. </w:t>
      </w:r>
      <w:proofErr w:type="gramStart"/>
      <w:r w:rsidRPr="002A3041">
        <w:rPr>
          <w:lang w:val="ru-RU"/>
        </w:rPr>
        <w:t xml:space="preserve">Несмотря на то, что средства, выделенные на эту статью бюджета, были во многом недоиспользованы, на десятой сессии Комитета было предложено увеличить процент средств, направляемых на международную помощь, с 54 до 59%. На своей последней сессии Комитет принял решения, открывающие новые возможности, о которых более подробно говорится в </w:t>
      </w:r>
      <w:r w:rsidRPr="00F72076">
        <w:rPr>
          <w:lang w:val="ru-RU"/>
        </w:rPr>
        <w:t>пунктах 20 и 21</w:t>
      </w:r>
      <w:r w:rsidRPr="00A41EDD">
        <w:rPr>
          <w:lang w:val="ru-RU"/>
        </w:rPr>
        <w:t xml:space="preserve"> данного документа, что дает надежду в текущем двухлетнем периоде</w:t>
      </w:r>
      <w:proofErr w:type="gramEnd"/>
      <w:r w:rsidRPr="00A41EDD">
        <w:rPr>
          <w:lang w:val="ru-RU"/>
        </w:rPr>
        <w:t xml:space="preserve"> преодолеть тенденцию недоиспользования средств, выделяемых на международную помощь.</w:t>
      </w:r>
      <w:r>
        <w:rPr>
          <w:lang w:val="ru-RU"/>
        </w:rPr>
        <w:t xml:space="preserve">  </w:t>
      </w:r>
    </w:p>
    <w:p w:rsidR="00E74685" w:rsidRPr="00864105" w:rsidRDefault="00E74685" w:rsidP="00E74685">
      <w:pPr>
        <w:pStyle w:val="5GAparabodytext"/>
        <w:rPr>
          <w:lang w:val="ru-RU"/>
        </w:rPr>
      </w:pPr>
      <w:proofErr w:type="gramStart"/>
      <w:r>
        <w:rPr>
          <w:lang w:val="ru-RU"/>
        </w:rPr>
        <w:lastRenderedPageBreak/>
        <w:t>Процент</w:t>
      </w:r>
      <w:r w:rsidRPr="004E1D71">
        <w:rPr>
          <w:lang w:val="ru-RU"/>
        </w:rPr>
        <w:t xml:space="preserve"> </w:t>
      </w:r>
      <w:r>
        <w:rPr>
          <w:lang w:val="ru-RU"/>
        </w:rPr>
        <w:t>средств</w:t>
      </w:r>
      <w:r w:rsidRPr="004E1D71">
        <w:rPr>
          <w:lang w:val="ru-RU"/>
        </w:rPr>
        <w:t xml:space="preserve">, </w:t>
      </w:r>
      <w:r>
        <w:rPr>
          <w:lang w:val="ru-RU"/>
        </w:rPr>
        <w:t>выделяемых</w:t>
      </w:r>
      <w:r w:rsidRPr="004E1D71">
        <w:rPr>
          <w:lang w:val="ru-RU"/>
        </w:rPr>
        <w:t xml:space="preserve"> </w:t>
      </w:r>
      <w:r>
        <w:rPr>
          <w:lang w:val="ru-RU"/>
        </w:rPr>
        <w:t>на</w:t>
      </w:r>
      <w:r w:rsidRPr="004E1D71">
        <w:rPr>
          <w:lang w:val="ru-RU"/>
        </w:rPr>
        <w:t xml:space="preserve"> </w:t>
      </w:r>
      <w:r>
        <w:rPr>
          <w:lang w:val="ru-RU"/>
        </w:rPr>
        <w:t>помощь</w:t>
      </w:r>
      <w:r w:rsidRPr="004E1D71">
        <w:rPr>
          <w:lang w:val="ru-RU"/>
        </w:rPr>
        <w:t xml:space="preserve"> </w:t>
      </w:r>
      <w:r>
        <w:rPr>
          <w:lang w:val="ru-RU"/>
        </w:rPr>
        <w:t>в</w:t>
      </w:r>
      <w:r w:rsidRPr="004E1D71">
        <w:rPr>
          <w:lang w:val="ru-RU"/>
        </w:rPr>
        <w:t xml:space="preserve"> </w:t>
      </w:r>
      <w:r>
        <w:rPr>
          <w:lang w:val="ru-RU"/>
        </w:rPr>
        <w:t>подготовке</w:t>
      </w:r>
      <w:r w:rsidRPr="004E1D71">
        <w:rPr>
          <w:lang w:val="ru-RU"/>
        </w:rPr>
        <w:t xml:space="preserve"> </w:t>
      </w:r>
      <w:proofErr w:type="spellStart"/>
      <w:r>
        <w:rPr>
          <w:lang w:val="ru-RU"/>
        </w:rPr>
        <w:t>номинационных</w:t>
      </w:r>
      <w:proofErr w:type="spellEnd"/>
      <w:r>
        <w:rPr>
          <w:lang w:val="ru-RU"/>
        </w:rPr>
        <w:t xml:space="preserve"> досье</w:t>
      </w:r>
      <w:r w:rsidRPr="004E1D71">
        <w:rPr>
          <w:lang w:val="ru-RU"/>
        </w:rPr>
        <w:t xml:space="preserve"> (</w:t>
      </w:r>
      <w:r w:rsidRPr="00E65D23">
        <w:rPr>
          <w:b/>
          <w:lang w:val="ru-RU"/>
        </w:rPr>
        <w:t>бюджетная</w:t>
      </w:r>
      <w:r w:rsidRPr="004E1D71">
        <w:rPr>
          <w:b/>
          <w:lang w:val="ru-RU"/>
        </w:rPr>
        <w:t xml:space="preserve"> </w:t>
      </w:r>
      <w:r w:rsidRPr="00E65D23">
        <w:rPr>
          <w:b/>
          <w:lang w:val="ru-RU"/>
        </w:rPr>
        <w:t>статья</w:t>
      </w:r>
      <w:r w:rsidRPr="004E1D71">
        <w:rPr>
          <w:b/>
          <w:lang w:val="ru-RU"/>
        </w:rPr>
        <w:t xml:space="preserve"> 2</w:t>
      </w:r>
      <w:r w:rsidRPr="004E1D71">
        <w:rPr>
          <w:lang w:val="ru-RU"/>
        </w:rPr>
        <w:t xml:space="preserve">), </w:t>
      </w:r>
      <w:r>
        <w:rPr>
          <w:lang w:val="ru-RU"/>
        </w:rPr>
        <w:t>предложено</w:t>
      </w:r>
      <w:r w:rsidRPr="004E1D71">
        <w:rPr>
          <w:lang w:val="ru-RU"/>
        </w:rPr>
        <w:t xml:space="preserve"> </w:t>
      </w:r>
      <w:r>
        <w:rPr>
          <w:lang w:val="ru-RU"/>
        </w:rPr>
        <w:t>сохранить</w:t>
      </w:r>
      <w:r w:rsidRPr="004E1D71">
        <w:rPr>
          <w:lang w:val="ru-RU"/>
        </w:rPr>
        <w:t xml:space="preserve"> </w:t>
      </w:r>
      <w:r>
        <w:rPr>
          <w:lang w:val="ru-RU"/>
        </w:rPr>
        <w:t>на</w:t>
      </w:r>
      <w:r w:rsidRPr="004E1D71">
        <w:rPr>
          <w:lang w:val="ru-RU"/>
        </w:rPr>
        <w:t xml:space="preserve"> </w:t>
      </w:r>
      <w:r>
        <w:rPr>
          <w:lang w:val="ru-RU"/>
        </w:rPr>
        <w:t>уровне</w:t>
      </w:r>
      <w:r w:rsidRPr="004E1D71">
        <w:rPr>
          <w:lang w:val="ru-RU"/>
        </w:rPr>
        <w:t xml:space="preserve"> 5,5%. </w:t>
      </w:r>
      <w:r>
        <w:rPr>
          <w:lang w:val="ru-RU"/>
        </w:rPr>
        <w:t>В дополнение к помощи в подготовке</w:t>
      </w:r>
      <w:r w:rsidRPr="004E1D71">
        <w:rPr>
          <w:lang w:val="ru-RU"/>
        </w:rPr>
        <w:t xml:space="preserve"> </w:t>
      </w:r>
      <w:proofErr w:type="spellStart"/>
      <w:r>
        <w:rPr>
          <w:lang w:val="ru-RU"/>
        </w:rPr>
        <w:t>номинационных</w:t>
      </w:r>
      <w:proofErr w:type="spellEnd"/>
      <w:r>
        <w:rPr>
          <w:lang w:val="ru-RU"/>
        </w:rPr>
        <w:t xml:space="preserve"> досье</w:t>
      </w:r>
      <w:r w:rsidRPr="004E1D71">
        <w:rPr>
          <w:lang w:val="ru-RU"/>
        </w:rPr>
        <w:t xml:space="preserve"> </w:t>
      </w:r>
      <w:r>
        <w:rPr>
          <w:lang w:val="ru-RU"/>
        </w:rPr>
        <w:t>на включение в Список нематериального культурного наследия, нуждающегося в срочной охране, и для внесения предложений на включение в Реестр передовой практики по охране нематериального культурного наследия, Комитет решил использовать эту статью бюджета на предоставление технической</w:t>
      </w:r>
      <w:proofErr w:type="gramEnd"/>
      <w:r>
        <w:rPr>
          <w:lang w:val="ru-RU"/>
        </w:rPr>
        <w:t xml:space="preserve"> помощи государствам-участникам в деле подготовки заявок на предоставление международной помощи, в соответствии с решением Комитета </w:t>
      </w:r>
      <w:r w:rsidRPr="00451B31">
        <w:rPr>
          <w:lang w:val="ru-RU"/>
        </w:rPr>
        <w:t>(</w:t>
      </w:r>
      <w:hyperlink r:id="rId13" w:history="1">
        <w:r>
          <w:rPr>
            <w:rStyle w:val="Hyperlink"/>
            <w:lang w:val="ru-RU"/>
          </w:rPr>
          <w:t>Решение</w:t>
        </w:r>
        <w:r w:rsidRPr="003A0AD4">
          <w:rPr>
            <w:rStyle w:val="Hyperlink"/>
          </w:rPr>
          <w:t> </w:t>
        </w:r>
        <w:r w:rsidRPr="00451B31">
          <w:rPr>
            <w:rStyle w:val="Hyperlink"/>
            <w:lang w:val="ru-RU"/>
          </w:rPr>
          <w:t>8.</w:t>
        </w:r>
        <w:r w:rsidRPr="003A0AD4">
          <w:rPr>
            <w:rStyle w:val="Hyperlink"/>
          </w:rPr>
          <w:t>COM </w:t>
        </w:r>
        <w:r w:rsidRPr="00451B31">
          <w:rPr>
            <w:rStyle w:val="Hyperlink"/>
            <w:lang w:val="ru-RU"/>
          </w:rPr>
          <w:t>7</w:t>
        </w:r>
        <w:r w:rsidRPr="003A0AD4">
          <w:rPr>
            <w:rStyle w:val="Hyperlink"/>
          </w:rPr>
          <w:t>c</w:t>
        </w:r>
      </w:hyperlink>
      <w:r w:rsidRPr="00451B31">
        <w:rPr>
          <w:lang w:val="ru-RU"/>
        </w:rPr>
        <w:t>.).</w:t>
      </w:r>
      <w:r>
        <w:rPr>
          <w:lang w:val="ru-RU"/>
        </w:rPr>
        <w:t xml:space="preserve"> Учитывая, что государства значительно чаще обращались с просьбой о технической помощи, чем о помощи в подготовке </w:t>
      </w:r>
      <w:proofErr w:type="spellStart"/>
      <w:r>
        <w:rPr>
          <w:lang w:val="ru-RU"/>
        </w:rPr>
        <w:t>номинационных</w:t>
      </w:r>
      <w:proofErr w:type="spellEnd"/>
      <w:r>
        <w:rPr>
          <w:lang w:val="ru-RU"/>
        </w:rPr>
        <w:t xml:space="preserve"> досье</w:t>
      </w:r>
      <w:r w:rsidRPr="004E1D71">
        <w:rPr>
          <w:lang w:val="ru-RU"/>
        </w:rPr>
        <w:t xml:space="preserve"> </w:t>
      </w:r>
      <w:r>
        <w:rPr>
          <w:lang w:val="ru-RU"/>
        </w:rPr>
        <w:t xml:space="preserve">в традиционной форме, было предложено, чтобы средства этой бюджетной статьи </w:t>
      </w:r>
      <w:proofErr w:type="gramStart"/>
      <w:r>
        <w:rPr>
          <w:lang w:val="ru-RU"/>
        </w:rPr>
        <w:t>продолжали</w:t>
      </w:r>
      <w:proofErr w:type="gramEnd"/>
      <w:r>
        <w:rPr>
          <w:lang w:val="ru-RU"/>
        </w:rPr>
        <w:t xml:space="preserve"> использовались для предоставления услуг экспертов, как указано в Статье 21 Конвенции, с тем, чтобы идеи и пожелания государств-участников были изложены не в краткой пояснительной записке, а в полноценной заявке. Более того, предполагается, что подобная техническая помощь повысит шансы на успех большего числа заявок, что оправдает увеличение процента средств, выделяемых на бюджетную статью 1.</w:t>
      </w:r>
    </w:p>
    <w:p w:rsidR="00E74685" w:rsidRPr="000029C4" w:rsidRDefault="00E74685" w:rsidP="00E74685">
      <w:pPr>
        <w:pStyle w:val="5GAparabodytext"/>
        <w:rPr>
          <w:rStyle w:val="hps"/>
          <w:lang w:val="ru-RU"/>
        </w:rPr>
      </w:pPr>
      <w:r w:rsidRPr="0018485A">
        <w:rPr>
          <w:rFonts w:eastAsia="SimSun"/>
          <w:b/>
          <w:snapToGrid/>
          <w:lang w:val="ru-RU" w:bidi="en-US"/>
        </w:rPr>
        <w:t>Бюджетная статья 3</w:t>
      </w:r>
      <w:r>
        <w:rPr>
          <w:rFonts w:eastAsia="SimSun"/>
          <w:snapToGrid/>
          <w:lang w:val="ru-RU" w:bidi="en-US"/>
        </w:rPr>
        <w:t>, «другие функции Комитета», тоже сохранится на уровне 20%. Такие функции перечислены в Статье 7 Конвенции. Секретариат использует эти средства</w:t>
      </w:r>
      <w:r w:rsidRPr="006F2FA0">
        <w:rPr>
          <w:rFonts w:eastAsia="SimSun"/>
          <w:snapToGrid/>
          <w:lang w:val="ru-RU" w:bidi="en-US"/>
        </w:rPr>
        <w:t xml:space="preserve"> </w:t>
      </w:r>
      <w:r>
        <w:rPr>
          <w:rFonts w:eastAsia="SimSun"/>
          <w:snapToGrid/>
          <w:lang w:val="ru-RU" w:bidi="en-US"/>
        </w:rPr>
        <w:t>для помощи Комитету в исполнении данных функций, что соответствует Статье 10 Конвенции. Секретариат будет использовать средства, главным образом, для осуществления целей Конвенции, а также для поощрения и мониторинга ее выполнения (Статья 7</w:t>
      </w:r>
      <w:r w:rsidRPr="00296ED0">
        <w:rPr>
          <w:rFonts w:eastAsia="SimSun"/>
          <w:snapToGrid/>
          <w:lang w:val="ru-RU" w:bidi="en-US"/>
        </w:rPr>
        <w:t>[</w:t>
      </w:r>
      <w:r>
        <w:rPr>
          <w:rFonts w:eastAsia="SimSun"/>
          <w:snapToGrid/>
          <w:lang w:val="en-US" w:bidi="en-US"/>
        </w:rPr>
        <w:t>a</w:t>
      </w:r>
      <w:r w:rsidRPr="00296ED0">
        <w:rPr>
          <w:rFonts w:eastAsia="SimSun"/>
          <w:snapToGrid/>
          <w:lang w:val="ru-RU" w:bidi="en-US"/>
        </w:rPr>
        <w:t>]</w:t>
      </w:r>
      <w:r>
        <w:rPr>
          <w:rFonts w:eastAsia="SimSun"/>
          <w:snapToGrid/>
          <w:lang w:val="ru-RU" w:bidi="en-US"/>
        </w:rPr>
        <w:t xml:space="preserve">). </w:t>
      </w:r>
      <w:r w:rsidRPr="00296ED0">
        <w:rPr>
          <w:rFonts w:eastAsia="SimSun"/>
          <w:snapToGrid/>
          <w:lang w:val="ru-RU" w:bidi="en-US"/>
        </w:rPr>
        <w:t xml:space="preserve">Для этого </w:t>
      </w:r>
      <w:r>
        <w:rPr>
          <w:rFonts w:eastAsia="SimSun"/>
          <w:snapToGrid/>
          <w:lang w:val="ru-RU" w:bidi="en-US"/>
        </w:rPr>
        <w:t>ассигнования по этой бюджетной статье будут по-прежнему обеспечивать поддержку целому ряду связанных между собой потребностей программы укрепления потенциала, таких как разработка учебных материалов и их содержания, укрепление сети экспертов-</w:t>
      </w:r>
      <w:proofErr w:type="spellStart"/>
      <w:r>
        <w:rPr>
          <w:rFonts w:eastAsia="SimSun"/>
          <w:snapToGrid/>
          <w:lang w:val="ru-RU" w:bidi="en-US"/>
        </w:rPr>
        <w:t>фасилитаторов</w:t>
      </w:r>
      <w:proofErr w:type="spellEnd"/>
      <w:r>
        <w:rPr>
          <w:rFonts w:eastAsia="SimSun"/>
          <w:snapToGrid/>
          <w:lang w:val="ru-RU" w:bidi="en-US"/>
        </w:rPr>
        <w:t xml:space="preserve">, а также мониторинг, оценка и последующая адаптация стратегии. Точно так же, эта бюджетная статья будет иметь </w:t>
      </w:r>
      <w:proofErr w:type="gramStart"/>
      <w:r>
        <w:rPr>
          <w:rFonts w:eastAsia="SimSun"/>
          <w:snapToGrid/>
          <w:lang w:val="ru-RU" w:bidi="en-US"/>
        </w:rPr>
        <w:t>важное значение</w:t>
      </w:r>
      <w:proofErr w:type="gramEnd"/>
      <w:r>
        <w:rPr>
          <w:rFonts w:eastAsia="SimSun"/>
          <w:snapToGrid/>
          <w:lang w:val="ru-RU" w:bidi="en-US"/>
        </w:rPr>
        <w:t xml:space="preserve"> для обеспечения постоянного улучшения в сфере управления знаниями и информацией, к примеру, веб-сайт Конвенции позволит Секретариату продолжать более своевременно и четко оказывать услуги государствам-участникам и руководящим органам Конвенции. </w:t>
      </w:r>
      <w:proofErr w:type="gramStart"/>
      <w:r>
        <w:rPr>
          <w:rFonts w:eastAsia="SimSun"/>
          <w:snapToGrid/>
          <w:lang w:val="ru-RU" w:bidi="en-US"/>
        </w:rPr>
        <w:t>Чтобы помочь Комитету в исполнении его обязанностей по продвижению Конвенции, средства, выделяемые по этой статье, нужно направлять на повышение наглядности действий, предпринимаемых по всему миру под эгидой Конвенции, на увеличение его способности влиять и воздействовать на сферу политических мер в области развития в соответствии с программой развития до 2030 года, особенно через все новые усилия по увеличению информированности о важности</w:t>
      </w:r>
      <w:proofErr w:type="gramEnd"/>
      <w:r>
        <w:rPr>
          <w:rFonts w:eastAsia="SimSun"/>
          <w:snapToGrid/>
          <w:lang w:val="ru-RU" w:bidi="en-US"/>
        </w:rPr>
        <w:t xml:space="preserve"> нематериального культурного наследия и  обеспечения взаимного уважения. Наконец эти средства будут использованы, чтобы поддержать Комитет в деле руководства мерами по сохранению нематериального культурного наследия. В процессе оказания помощи Комитету Секретариат будет следовать рекомендациям </w:t>
      </w:r>
      <w:r>
        <w:rPr>
          <w:lang w:val="ru-RU"/>
        </w:rPr>
        <w:t>Службы</w:t>
      </w:r>
      <w:r w:rsidRPr="00F45474">
        <w:rPr>
          <w:lang w:val="ru-RU"/>
        </w:rPr>
        <w:t xml:space="preserve"> внутреннего надзора ЮНЕСКО</w:t>
      </w:r>
      <w:r>
        <w:rPr>
          <w:rFonts w:eastAsia="SimSun"/>
          <w:snapToGrid/>
          <w:lang w:val="ru-RU" w:bidi="en-US"/>
        </w:rPr>
        <w:t xml:space="preserve"> (СВН), </w:t>
      </w:r>
      <w:proofErr w:type="gramStart"/>
      <w:r>
        <w:rPr>
          <w:rFonts w:eastAsia="SimSun"/>
          <w:snapToGrid/>
          <w:lang w:val="ru-RU" w:bidi="en-US"/>
        </w:rPr>
        <w:t>касающихся</w:t>
      </w:r>
      <w:proofErr w:type="gramEnd"/>
      <w:r>
        <w:rPr>
          <w:rFonts w:eastAsia="SimSun"/>
          <w:snapToGrid/>
          <w:lang w:val="ru-RU" w:bidi="en-US"/>
        </w:rPr>
        <w:t xml:space="preserve"> нормотворческой деятельности  Сектора культуры ЮНЕСКО в отношении Конвенции, как он уже делал в предыдущий двухлетний период. </w:t>
      </w:r>
      <w:r w:rsidRPr="00A41EDD">
        <w:rPr>
          <w:rFonts w:eastAsia="SimSun"/>
          <w:snapToGrid/>
          <w:lang w:val="ru-RU" w:bidi="en-US"/>
        </w:rPr>
        <w:t xml:space="preserve">Весьма значительный объем такой деятельности, о которой Секретариат докладывал в документе </w:t>
      </w:r>
      <w:r w:rsidRPr="00F72076">
        <w:rPr>
          <w:rFonts w:eastAsia="SimSun"/>
          <w:snapToGrid/>
          <w:lang w:bidi="en-US"/>
        </w:rPr>
        <w:t>ITH</w:t>
      </w:r>
      <w:r w:rsidRPr="00F72076">
        <w:rPr>
          <w:rFonts w:eastAsia="SimSun"/>
          <w:snapToGrid/>
          <w:lang w:val="ru-RU" w:bidi="en-US"/>
        </w:rPr>
        <w:t>/16/6.</w:t>
      </w:r>
      <w:r w:rsidRPr="00F72076">
        <w:rPr>
          <w:rFonts w:eastAsia="SimSun"/>
          <w:snapToGrid/>
          <w:lang w:bidi="en-US"/>
        </w:rPr>
        <w:t>GA</w:t>
      </w:r>
      <w:r w:rsidRPr="00F72076">
        <w:rPr>
          <w:rFonts w:eastAsia="SimSun"/>
          <w:snapToGrid/>
          <w:lang w:val="ru-RU" w:bidi="en-US"/>
        </w:rPr>
        <w:t>/6</w:t>
      </w:r>
      <w:r w:rsidRPr="00A41EDD">
        <w:rPr>
          <w:rFonts w:eastAsia="SimSun"/>
          <w:snapToGrid/>
          <w:lang w:val="ru-RU" w:bidi="en-US"/>
        </w:rPr>
        <w:t>, был выполнен благодаря средствам этой бюджетной статьи.</w:t>
      </w:r>
    </w:p>
    <w:p w:rsidR="00E74685" w:rsidRPr="003803D2" w:rsidRDefault="00E74685" w:rsidP="00E74685">
      <w:pPr>
        <w:pStyle w:val="5GAparabodytext"/>
        <w:rPr>
          <w:lang w:val="ru-RU"/>
        </w:rPr>
      </w:pPr>
      <w:r w:rsidRPr="000029C4">
        <w:rPr>
          <w:lang w:val="ru-RU"/>
        </w:rPr>
        <w:t>Как и в предыдущих Планах по использованию Фонда, Комитет снова делегировал своему Президиуму полномочия решать вопрос расходования средств, выделенных по бюджетной статье 3, основываясь на конкретных предложениях, подготовленных Секретариатом (</w:t>
      </w:r>
      <w:hyperlink r:id="rId14" w:history="1">
        <w:r w:rsidRPr="00F72076">
          <w:rPr>
            <w:rStyle w:val="Hyperlink"/>
            <w:lang w:val="ru-RU"/>
          </w:rPr>
          <w:t>Решение</w:t>
        </w:r>
        <w:r w:rsidRPr="00F72076">
          <w:rPr>
            <w:rStyle w:val="Hyperlink"/>
          </w:rPr>
          <w:t> </w:t>
        </w:r>
        <w:r w:rsidRPr="00F72076">
          <w:rPr>
            <w:rStyle w:val="Hyperlink"/>
            <w:lang w:val="ru-RU"/>
          </w:rPr>
          <w:t>10.</w:t>
        </w:r>
        <w:r w:rsidRPr="00F72076">
          <w:rPr>
            <w:rStyle w:val="Hyperlink"/>
          </w:rPr>
          <w:t>COM </w:t>
        </w:r>
        <w:r w:rsidRPr="00F72076">
          <w:rPr>
            <w:rStyle w:val="Hyperlink"/>
            <w:lang w:val="ru-RU"/>
          </w:rPr>
          <w:t>8</w:t>
        </w:r>
      </w:hyperlink>
      <w:r w:rsidRPr="00A41EDD">
        <w:rPr>
          <w:lang w:val="ru-RU"/>
        </w:rPr>
        <w:t xml:space="preserve">). Тем же самым решением в соответствии с предыдущей практикой Комитет наделил Секретариат правом совершать </w:t>
      </w:r>
      <w:r w:rsidRPr="000029C4">
        <w:rPr>
          <w:lang w:val="ru-RU"/>
        </w:rPr>
        <w:t>перемещения средств между разными видами деятельности внутри бюджетной статьи 3 на общую сумму, равную 2% от первоначальной общей</w:t>
      </w:r>
      <w:r>
        <w:rPr>
          <w:lang w:val="ru-RU"/>
        </w:rPr>
        <w:t xml:space="preserve"> суммы ассигнований, которая предположительно будет предложена Генеральной ассамблее для выделения на эту цель. Это право аналогично тому, которым Генеральная конференция наделяет Генерального директора для осуществления перемещения средств между линиями ассигнований обычной программы ЮНЕСКО до суммы, равной 2% от первоначальной суммы ассигнований.</w:t>
      </w:r>
    </w:p>
    <w:p w:rsidR="00E74685" w:rsidRPr="006F4079" w:rsidRDefault="00E74685" w:rsidP="00E74685">
      <w:pPr>
        <w:pStyle w:val="5GAparabodytext"/>
        <w:rPr>
          <w:lang w:val="ru-RU"/>
        </w:rPr>
      </w:pPr>
      <w:r>
        <w:rPr>
          <w:lang w:val="ru-RU"/>
        </w:rPr>
        <w:lastRenderedPageBreak/>
        <w:t xml:space="preserve">Участие экспертов по нематериальному культурному наследию из развивающихся государств-членов в совещаниях, предусмотренных нормативными документами, оплачивается из средств, предусмотренных в </w:t>
      </w:r>
      <w:r w:rsidRPr="006F4079">
        <w:rPr>
          <w:b/>
          <w:lang w:val="ru-RU"/>
        </w:rPr>
        <w:t>бюджетной статье 4</w:t>
      </w:r>
      <w:r>
        <w:rPr>
          <w:lang w:val="ru-RU"/>
        </w:rPr>
        <w:t xml:space="preserve">, если эксперты являются членами Комитета, или в </w:t>
      </w:r>
      <w:r w:rsidRPr="006F4079">
        <w:rPr>
          <w:b/>
          <w:lang w:val="ru-RU"/>
        </w:rPr>
        <w:t>бюджетной статье 5</w:t>
      </w:r>
      <w:r>
        <w:rPr>
          <w:lang w:val="ru-RU"/>
        </w:rPr>
        <w:t xml:space="preserve">, если они таковыми не являются. </w:t>
      </w:r>
      <w:proofErr w:type="gramStart"/>
      <w:r>
        <w:rPr>
          <w:lang w:val="ru-RU"/>
        </w:rPr>
        <w:t xml:space="preserve">В проекте плана в первом случае все остается, как было в предыдущем плане в отношении процентной доли, в то время как во втором случае процентная доля сократится с 2,75% до 2,25%. Средств, предусмотренных для обеспечения участия экспертов из развивающихся государств-членов </w:t>
      </w:r>
      <w:r w:rsidRPr="00A41EDD">
        <w:rPr>
          <w:lang w:val="ru-RU"/>
        </w:rPr>
        <w:t>Комитета, в основном, достаточно для покрытия расходов по их участию в работе Комитета и Президиума.</w:t>
      </w:r>
      <w:proofErr w:type="gramEnd"/>
      <w:r w:rsidRPr="00A41EDD">
        <w:rPr>
          <w:lang w:val="ru-RU"/>
        </w:rPr>
        <w:t xml:space="preserve"> Количество государств-членов Комитета, имеющих право на покрытие таких расходов, ограничено, поэтому </w:t>
      </w:r>
      <w:r w:rsidRPr="00383014">
        <w:rPr>
          <w:lang w:val="ru-RU"/>
        </w:rPr>
        <w:t>объем выделенных средств, несмотря на небольшое сокращение процентной доли, предположительно останется более чем адекватным, особенно если учитывать, что в абсолютных цифрах сокращение составит 6</w:t>
      </w:r>
      <w:r w:rsidRPr="00F72076">
        <w:rPr>
          <w:lang w:val="ru-RU"/>
        </w:rPr>
        <w:t> 816 долларов</w:t>
      </w:r>
      <w:r w:rsidRPr="00A41EDD">
        <w:rPr>
          <w:lang w:val="ru-RU"/>
        </w:rPr>
        <w:t xml:space="preserve">. Более того, после учреждения </w:t>
      </w:r>
      <w:r>
        <w:rPr>
          <w:lang w:val="ru-RU"/>
        </w:rPr>
        <w:t>Оценочного</w:t>
      </w:r>
      <w:r w:rsidRPr="00A41EDD">
        <w:rPr>
          <w:lang w:val="ru-RU"/>
        </w:rPr>
        <w:t xml:space="preserve"> </w:t>
      </w:r>
      <w:r w:rsidRPr="00383014">
        <w:rPr>
          <w:lang w:val="ru-RU"/>
        </w:rPr>
        <w:t xml:space="preserve">органа представители государств-членов Комитета не смогут принимать в нем участие, поэтому расходы, связанные с оценкой </w:t>
      </w:r>
      <w:proofErr w:type="spellStart"/>
      <w:r>
        <w:rPr>
          <w:lang w:val="ru-RU"/>
        </w:rPr>
        <w:t>номинационных</w:t>
      </w:r>
      <w:proofErr w:type="spellEnd"/>
      <w:r>
        <w:rPr>
          <w:lang w:val="ru-RU"/>
        </w:rPr>
        <w:t xml:space="preserve"> досье</w:t>
      </w:r>
      <w:r w:rsidRPr="00A41EDD">
        <w:rPr>
          <w:lang w:val="ru-RU"/>
        </w:rPr>
        <w:t xml:space="preserve">, не будут отнесены к этой статье. С другой стороны, отдельные члены </w:t>
      </w:r>
      <w:r>
        <w:rPr>
          <w:lang w:val="ru-RU"/>
        </w:rPr>
        <w:t>Оценочного</w:t>
      </w:r>
      <w:r w:rsidRPr="00CB73C0">
        <w:rPr>
          <w:lang w:val="ru-RU"/>
        </w:rPr>
        <w:t xml:space="preserve"> </w:t>
      </w:r>
      <w:r w:rsidRPr="00A41EDD">
        <w:rPr>
          <w:lang w:val="ru-RU"/>
        </w:rPr>
        <w:t>органа в данное время участвуют в качеств</w:t>
      </w:r>
      <w:r w:rsidRPr="00383014">
        <w:rPr>
          <w:lang w:val="ru-RU"/>
        </w:rPr>
        <w:t xml:space="preserve">е представителей государств-членов, и расходы по их участию в совещаниях этого органа покрываются из средств бюджетной статьи 5. </w:t>
      </w:r>
      <w:proofErr w:type="gramStart"/>
      <w:r w:rsidRPr="00383014">
        <w:rPr>
          <w:lang w:val="ru-RU"/>
        </w:rPr>
        <w:t>Принимая во внимание, что сохранение процентной доли, равной 2,75%, означает увеличение ассигнований на следующий двухлетний период (17,74% от ассигнований на 2014-2015 годы представляет рост, равный 32 953 долларам</w:t>
      </w:r>
      <w:r w:rsidRPr="00A41EDD">
        <w:rPr>
          <w:lang w:val="ru-RU"/>
        </w:rPr>
        <w:t>), средства, ассигнуемые по этой статье, по-прежнему позволят экспертам по нематериальному культурному наследию из развивающихся государств-</w:t>
      </w:r>
      <w:r w:rsidRPr="00383014">
        <w:rPr>
          <w:lang w:val="ru-RU"/>
        </w:rPr>
        <w:t>членов вместе</w:t>
      </w:r>
      <w:r>
        <w:rPr>
          <w:lang w:val="ru-RU"/>
        </w:rPr>
        <w:t xml:space="preserve"> с членами Оценочного</w:t>
      </w:r>
      <w:r w:rsidRPr="00CB73C0">
        <w:rPr>
          <w:lang w:val="ru-RU"/>
        </w:rPr>
        <w:t xml:space="preserve"> </w:t>
      </w:r>
      <w:r>
        <w:rPr>
          <w:lang w:val="ru-RU"/>
        </w:rPr>
        <w:t xml:space="preserve">органа принимать участие в совещаниях Комитета.  </w:t>
      </w:r>
      <w:proofErr w:type="gramEnd"/>
    </w:p>
    <w:p w:rsidR="00E74685" w:rsidRPr="00B507E1" w:rsidRDefault="00E74685" w:rsidP="00E74685">
      <w:pPr>
        <w:pStyle w:val="5GAparabodytext"/>
        <w:rPr>
          <w:lang w:val="ru-RU"/>
        </w:rPr>
      </w:pPr>
      <w:proofErr w:type="gramStart"/>
      <w:r>
        <w:rPr>
          <w:lang w:val="ru-RU"/>
        </w:rPr>
        <w:t>Аналогично</w:t>
      </w:r>
      <w:r w:rsidRPr="006F2FA0">
        <w:rPr>
          <w:lang w:val="ru-RU"/>
        </w:rPr>
        <w:t xml:space="preserve"> </w:t>
      </w:r>
      <w:r w:rsidRPr="004F70FF">
        <w:rPr>
          <w:b/>
          <w:lang w:val="ru-RU"/>
        </w:rPr>
        <w:t>бюджетную</w:t>
      </w:r>
      <w:r w:rsidRPr="006F2FA0">
        <w:rPr>
          <w:b/>
          <w:lang w:val="ru-RU"/>
        </w:rPr>
        <w:t xml:space="preserve"> </w:t>
      </w:r>
      <w:r w:rsidRPr="004F70FF">
        <w:rPr>
          <w:b/>
          <w:lang w:val="ru-RU"/>
        </w:rPr>
        <w:t>статью</w:t>
      </w:r>
      <w:r w:rsidRPr="006F2FA0">
        <w:rPr>
          <w:b/>
          <w:lang w:val="ru-RU"/>
        </w:rPr>
        <w:t xml:space="preserve"> </w:t>
      </w:r>
      <w:r w:rsidRPr="004F70FF">
        <w:rPr>
          <w:b/>
          <w:lang w:val="ru-RU"/>
        </w:rPr>
        <w:t>6</w:t>
      </w:r>
      <w:r w:rsidRPr="004F70FF">
        <w:rPr>
          <w:lang w:val="ru-RU"/>
        </w:rPr>
        <w:t xml:space="preserve"> </w:t>
      </w:r>
      <w:r>
        <w:rPr>
          <w:lang w:val="ru-RU"/>
        </w:rPr>
        <w:t>предложено</w:t>
      </w:r>
      <w:r w:rsidRPr="004F70FF">
        <w:rPr>
          <w:lang w:val="ru-RU"/>
        </w:rPr>
        <w:t xml:space="preserve"> </w:t>
      </w:r>
      <w:r>
        <w:rPr>
          <w:lang w:val="ru-RU"/>
        </w:rPr>
        <w:t>сохранить</w:t>
      </w:r>
      <w:r w:rsidRPr="004F70FF">
        <w:rPr>
          <w:lang w:val="ru-RU"/>
        </w:rPr>
        <w:t xml:space="preserve"> </w:t>
      </w:r>
      <w:r>
        <w:rPr>
          <w:lang w:val="ru-RU"/>
        </w:rPr>
        <w:t>на</w:t>
      </w:r>
      <w:r w:rsidRPr="004F70FF">
        <w:rPr>
          <w:lang w:val="ru-RU"/>
        </w:rPr>
        <w:t xml:space="preserve"> </w:t>
      </w:r>
      <w:r>
        <w:rPr>
          <w:lang w:val="ru-RU"/>
        </w:rPr>
        <w:t>уровне</w:t>
      </w:r>
      <w:r w:rsidRPr="004F70FF">
        <w:rPr>
          <w:lang w:val="ru-RU"/>
        </w:rPr>
        <w:t xml:space="preserve"> 4,5%. </w:t>
      </w:r>
      <w:r>
        <w:rPr>
          <w:lang w:val="ru-RU"/>
        </w:rPr>
        <w:t>За предыдущий двухлетний период этого было достаточно для покрытия расходов по участию экспертов в области нематериального культурного наследия, представляющих аккредитованные неправительственные организации,</w:t>
      </w:r>
      <w:r w:rsidRPr="0055601D">
        <w:rPr>
          <w:lang w:val="ru-RU"/>
        </w:rPr>
        <w:t xml:space="preserve"> </w:t>
      </w:r>
      <w:r>
        <w:rPr>
          <w:lang w:val="ru-RU"/>
        </w:rPr>
        <w:t>как в сессиях Комитета, если они прибыли из развивающихся стран, так и в совещаниях Консультативного органа в 2014 году, а также в совещаниях Оценочного</w:t>
      </w:r>
      <w:r w:rsidRPr="00CB73C0">
        <w:rPr>
          <w:lang w:val="ru-RU"/>
        </w:rPr>
        <w:t xml:space="preserve"> </w:t>
      </w:r>
      <w:r>
        <w:rPr>
          <w:lang w:val="ru-RU"/>
        </w:rPr>
        <w:t>органа в 2015 году, если</w:t>
      </w:r>
      <w:proofErr w:type="gramEnd"/>
      <w:r>
        <w:rPr>
          <w:lang w:val="ru-RU"/>
        </w:rPr>
        <w:t xml:space="preserve"> они являются выборными членами. Кроме того, как уже сказано в предыдущем пункте, те, кто участвуют в Оценочном</w:t>
      </w:r>
      <w:r w:rsidRPr="00CB73C0">
        <w:rPr>
          <w:lang w:val="ru-RU"/>
        </w:rPr>
        <w:t xml:space="preserve"> </w:t>
      </w:r>
      <w:r>
        <w:rPr>
          <w:lang w:val="ru-RU"/>
        </w:rPr>
        <w:t xml:space="preserve">органе, более не являются независимыми экспертами, а становятся представителями государств-участников, поэтому эта статья освобождается от подобных расходов, поэтому ее средств будет достаточно для удовлетворения потребностей. </w:t>
      </w:r>
      <w:r w:rsidRPr="00B507E1">
        <w:rPr>
          <w:lang w:val="ru-RU"/>
        </w:rPr>
        <w:t xml:space="preserve"> </w:t>
      </w:r>
    </w:p>
    <w:p w:rsidR="00E74685" w:rsidRPr="00C94C4C" w:rsidRDefault="00E74685" w:rsidP="00E74685">
      <w:pPr>
        <w:pStyle w:val="5GAparabodytext"/>
        <w:rPr>
          <w:lang w:val="ru-RU"/>
        </w:rPr>
      </w:pPr>
      <w:r w:rsidRPr="00C94C4C">
        <w:rPr>
          <w:b/>
          <w:lang w:val="ru-RU"/>
        </w:rPr>
        <w:t>Бюджетная статья 7</w:t>
      </w:r>
      <w:r w:rsidRPr="00C94C4C">
        <w:rPr>
          <w:lang w:val="ru-RU"/>
        </w:rPr>
        <w:t xml:space="preserve"> </w:t>
      </w:r>
      <w:r>
        <w:rPr>
          <w:lang w:val="ru-RU"/>
        </w:rPr>
        <w:t>относится</w:t>
      </w:r>
      <w:r w:rsidRPr="00C94C4C">
        <w:rPr>
          <w:lang w:val="ru-RU"/>
        </w:rPr>
        <w:t xml:space="preserve"> </w:t>
      </w:r>
      <w:r>
        <w:rPr>
          <w:lang w:val="ru-RU"/>
        </w:rPr>
        <w:t>к</w:t>
      </w:r>
      <w:r w:rsidRPr="00C94C4C">
        <w:rPr>
          <w:lang w:val="ru-RU"/>
        </w:rPr>
        <w:t xml:space="preserve"> </w:t>
      </w:r>
      <w:r>
        <w:rPr>
          <w:lang w:val="ru-RU"/>
        </w:rPr>
        <w:t>покрытию</w:t>
      </w:r>
      <w:r w:rsidRPr="00C94C4C">
        <w:rPr>
          <w:lang w:val="ru-RU"/>
        </w:rPr>
        <w:t xml:space="preserve"> </w:t>
      </w:r>
      <w:r>
        <w:rPr>
          <w:lang w:val="ru-RU"/>
        </w:rPr>
        <w:t>расходов</w:t>
      </w:r>
      <w:r w:rsidRPr="00C94C4C">
        <w:rPr>
          <w:lang w:val="ru-RU"/>
        </w:rPr>
        <w:t xml:space="preserve"> </w:t>
      </w:r>
      <w:r>
        <w:rPr>
          <w:lang w:val="ru-RU"/>
        </w:rPr>
        <w:t>на</w:t>
      </w:r>
      <w:r w:rsidRPr="00C94C4C">
        <w:rPr>
          <w:lang w:val="ru-RU"/>
        </w:rPr>
        <w:t xml:space="preserve"> </w:t>
      </w:r>
      <w:r>
        <w:rPr>
          <w:lang w:val="ru-RU"/>
        </w:rPr>
        <w:t>консультационные</w:t>
      </w:r>
      <w:r w:rsidRPr="00C94C4C">
        <w:rPr>
          <w:lang w:val="ru-RU"/>
        </w:rPr>
        <w:t xml:space="preserve"> </w:t>
      </w:r>
      <w:r>
        <w:rPr>
          <w:lang w:val="ru-RU"/>
        </w:rPr>
        <w:t>услуги</w:t>
      </w:r>
      <w:r w:rsidRPr="00C94C4C">
        <w:rPr>
          <w:lang w:val="ru-RU"/>
        </w:rPr>
        <w:t xml:space="preserve">, </w:t>
      </w:r>
      <w:r>
        <w:rPr>
          <w:lang w:val="ru-RU"/>
        </w:rPr>
        <w:t>предоставляемые</w:t>
      </w:r>
      <w:r w:rsidRPr="00C94C4C">
        <w:rPr>
          <w:lang w:val="ru-RU"/>
        </w:rPr>
        <w:t xml:space="preserve"> </w:t>
      </w:r>
      <w:r>
        <w:rPr>
          <w:lang w:val="ru-RU"/>
        </w:rPr>
        <w:t>по</w:t>
      </w:r>
      <w:r w:rsidRPr="00C94C4C">
        <w:rPr>
          <w:lang w:val="ru-RU"/>
        </w:rPr>
        <w:t xml:space="preserve"> </w:t>
      </w:r>
      <w:r>
        <w:rPr>
          <w:lang w:val="ru-RU"/>
        </w:rPr>
        <w:t>просьбе</w:t>
      </w:r>
      <w:r w:rsidRPr="00C94C4C">
        <w:rPr>
          <w:lang w:val="ru-RU"/>
        </w:rPr>
        <w:t xml:space="preserve"> </w:t>
      </w:r>
      <w:r>
        <w:rPr>
          <w:lang w:val="ru-RU"/>
        </w:rPr>
        <w:t>Комитета (6%). Предложенное повышение с 5,5% до 6%, благодаря сокращению процентной доли бюджетной статьи 4, необходимо для того, чтобы в начале четного года была в наличии сумма для заключения</w:t>
      </w:r>
      <w:r w:rsidRPr="00C94C4C">
        <w:rPr>
          <w:lang w:val="ru-RU"/>
        </w:rPr>
        <w:t xml:space="preserve"> контрактов</w:t>
      </w:r>
      <w:r>
        <w:rPr>
          <w:lang w:val="ru-RU"/>
        </w:rPr>
        <w:t xml:space="preserve"> </w:t>
      </w:r>
      <w:r w:rsidRPr="00C94C4C">
        <w:rPr>
          <w:lang w:val="ru-RU"/>
        </w:rPr>
        <w:t>с членами</w:t>
      </w:r>
      <w:r>
        <w:rPr>
          <w:lang w:val="ru-RU"/>
        </w:rPr>
        <w:t>, имеющими право на финансовую компенсацию со стороны Оценочного</w:t>
      </w:r>
      <w:r w:rsidRPr="00CB73C0">
        <w:rPr>
          <w:lang w:val="ru-RU"/>
        </w:rPr>
        <w:t xml:space="preserve"> </w:t>
      </w:r>
      <w:r>
        <w:rPr>
          <w:lang w:val="ru-RU"/>
        </w:rPr>
        <w:t>органа. Комитет учреждает Оценочный</w:t>
      </w:r>
      <w:r w:rsidRPr="00CB73C0">
        <w:rPr>
          <w:lang w:val="ru-RU"/>
        </w:rPr>
        <w:t xml:space="preserve"> </w:t>
      </w:r>
      <w:r>
        <w:rPr>
          <w:lang w:val="ru-RU"/>
        </w:rPr>
        <w:t>орган в конце каждого года, и затем,</w:t>
      </w:r>
      <w:r w:rsidRPr="00A604AF">
        <w:rPr>
          <w:lang w:val="ru-RU"/>
        </w:rPr>
        <w:t xml:space="preserve"> </w:t>
      </w:r>
      <w:r>
        <w:rPr>
          <w:lang w:val="ru-RU"/>
        </w:rPr>
        <w:t xml:space="preserve">впервые в течение цикла, он собирается в первом квартале следующего года. Члены, с которыми предполагается заключать контракты, должны </w:t>
      </w:r>
      <w:r w:rsidRPr="00A604AF">
        <w:rPr>
          <w:lang w:val="ru-RU"/>
        </w:rPr>
        <w:t>сделать это</w:t>
      </w:r>
      <w:r>
        <w:rPr>
          <w:lang w:val="ru-RU"/>
        </w:rPr>
        <w:t xml:space="preserve"> еще до своей поездки. Поэтому средства, необходимые для покрытия расходов по всем контрактам, нужны в начале года, хотя выплаты будут происходить в течение всего года. В четные годы средства, имеющиеся в начале года, должны составлять четвертую части от суммы, выделенной на предыдущий двухлетний период, вплоть до сессии Генеральной ассамблеи, которая происходит в июне, где решается вопрос об ассигнованиях на весь двухлетний период. Поэтому увеличение процентной доли необходимо, чтобы обеспечить наличие четвертой части общей суммы ассигнований для покрытия расходов по заключению всех контрактов в четные годы.</w:t>
      </w:r>
    </w:p>
    <w:p w:rsidR="00E74685" w:rsidRPr="007113A1" w:rsidRDefault="00E74685" w:rsidP="00E74685">
      <w:pPr>
        <w:pStyle w:val="5GAparabodytext"/>
        <w:rPr>
          <w:lang w:val="ru-RU"/>
        </w:rPr>
      </w:pPr>
      <w:r>
        <w:rPr>
          <w:lang w:val="ru-RU"/>
        </w:rPr>
        <w:t xml:space="preserve">Положение о финансах Фонда нематериального культурного наследия предусматривает формирование </w:t>
      </w:r>
      <w:r w:rsidRPr="00F72076">
        <w:rPr>
          <w:b/>
          <w:lang w:val="ru-RU"/>
        </w:rPr>
        <w:t>Резервного фонда</w:t>
      </w:r>
      <w:r>
        <w:rPr>
          <w:lang w:val="ru-RU"/>
        </w:rPr>
        <w:t xml:space="preserve"> для удовлетворения просьб о срочной помощи, как </w:t>
      </w:r>
      <w:r w:rsidRPr="00A41EDD">
        <w:rPr>
          <w:lang w:val="ru-RU"/>
        </w:rPr>
        <w:t>это предусмотрено в Статье 22.2 Конвенции. По со</w:t>
      </w:r>
      <w:r w:rsidRPr="00962343">
        <w:rPr>
          <w:lang w:val="ru-RU"/>
        </w:rPr>
        <w:t xml:space="preserve">стоянию на 31 декабря 2015 года общая сумма Резервного фонда составляла 975 810 долларов (Положение </w:t>
      </w:r>
      <w:r w:rsidRPr="00962343">
        <w:rPr>
          <w:lang w:val="en-US"/>
        </w:rPr>
        <w:t>II</w:t>
      </w:r>
      <w:r w:rsidRPr="00962343">
        <w:rPr>
          <w:lang w:val="ru-RU"/>
        </w:rPr>
        <w:t xml:space="preserve"> в документе </w:t>
      </w:r>
      <w:r w:rsidRPr="00F72076">
        <w:t>ITH</w:t>
      </w:r>
      <w:r w:rsidRPr="00F72076">
        <w:rPr>
          <w:lang w:val="ru-RU"/>
        </w:rPr>
        <w:t>/16/6.</w:t>
      </w:r>
      <w:r w:rsidRPr="00F72076">
        <w:t>GA</w:t>
      </w:r>
      <w:r w:rsidRPr="00F72076">
        <w:rPr>
          <w:lang w:val="ru-RU"/>
        </w:rPr>
        <w:t>/</w:t>
      </w:r>
      <w:r w:rsidRPr="00F72076">
        <w:t>INF</w:t>
      </w:r>
      <w:r w:rsidRPr="00F72076">
        <w:rPr>
          <w:lang w:val="ru-RU"/>
        </w:rPr>
        <w:t>.9.1</w:t>
      </w:r>
      <w:r w:rsidRPr="00A41EDD">
        <w:rPr>
          <w:lang w:val="ru-RU"/>
        </w:rPr>
        <w:t xml:space="preserve">). Учитывая, что этот резерв можно </w:t>
      </w:r>
      <w:r w:rsidRPr="00A41EDD">
        <w:rPr>
          <w:lang w:val="ru-RU"/>
        </w:rPr>
        <w:lastRenderedPageBreak/>
        <w:t xml:space="preserve">использовать для срочной помощи, </w:t>
      </w:r>
      <w:r w:rsidRPr="00962343">
        <w:rPr>
          <w:i/>
          <w:lang w:val="ru-RU"/>
        </w:rPr>
        <w:t xml:space="preserve">только </w:t>
      </w:r>
      <w:r w:rsidRPr="00F72076">
        <w:rPr>
          <w:lang w:val="ru-RU"/>
        </w:rPr>
        <w:t>если</w:t>
      </w:r>
      <w:r w:rsidRPr="00A41EDD">
        <w:rPr>
          <w:lang w:val="ru-RU"/>
        </w:rPr>
        <w:t xml:space="preserve"> в бюджетной статье 1 больше нет неизрасходованных средств, Комитет принял решение</w:t>
      </w:r>
      <w:r>
        <w:rPr>
          <w:lang w:val="ru-RU"/>
        </w:rPr>
        <w:t xml:space="preserve">, в согласии со Статьей 6 Положения о финансах, установить сумму Резервного фонда в размере 1 миллиона долларов </w:t>
      </w:r>
      <w:r w:rsidRPr="00E44BE1">
        <w:rPr>
          <w:lang w:val="ru-RU"/>
        </w:rPr>
        <w:t>(</w:t>
      </w:r>
      <w:hyperlink r:id="rId15" w:history="1">
        <w:r w:rsidRPr="001447AC">
          <w:rPr>
            <w:rStyle w:val="Hyperlink"/>
            <w:lang w:val="ru-RU"/>
          </w:rPr>
          <w:t>Решение</w:t>
        </w:r>
        <w:r w:rsidRPr="001447AC">
          <w:rPr>
            <w:rStyle w:val="Hyperlink"/>
          </w:rPr>
          <w:t> </w:t>
        </w:r>
        <w:r w:rsidRPr="001447AC">
          <w:rPr>
            <w:rStyle w:val="Hyperlink"/>
            <w:lang w:val="ru-RU"/>
          </w:rPr>
          <w:t>10.</w:t>
        </w:r>
        <w:r w:rsidRPr="001447AC">
          <w:rPr>
            <w:rStyle w:val="Hyperlink"/>
          </w:rPr>
          <w:t>COM </w:t>
        </w:r>
        <w:r w:rsidRPr="001447AC">
          <w:rPr>
            <w:rStyle w:val="Hyperlink"/>
            <w:lang w:val="ru-RU"/>
          </w:rPr>
          <w:t>8</w:t>
        </w:r>
      </w:hyperlink>
      <w:r w:rsidRPr="00E44BE1">
        <w:rPr>
          <w:lang w:val="ru-RU"/>
        </w:rPr>
        <w:t xml:space="preserve">). </w:t>
      </w:r>
      <w:r>
        <w:rPr>
          <w:lang w:val="ru-RU"/>
        </w:rPr>
        <w:t xml:space="preserve">Следовательно, план, представленный в приложении к данному документу, предлагает пополнить Резервный фонд только суммой, необходимой для достижения 1 миллиона долларов (24 190 долларов), а не фиксированной процентной долей. </w:t>
      </w:r>
    </w:p>
    <w:p w:rsidR="00E74685" w:rsidRPr="00BF61C5" w:rsidRDefault="00E74685" w:rsidP="00E74685">
      <w:pPr>
        <w:pStyle w:val="Default"/>
        <w:keepNext/>
        <w:spacing w:before="360" w:after="120"/>
        <w:ind w:left="567"/>
        <w:jc w:val="both"/>
        <w:rPr>
          <w:b/>
          <w:bCs/>
          <w:sz w:val="22"/>
          <w:szCs w:val="22"/>
          <w:lang w:val="ru-RU"/>
        </w:rPr>
      </w:pPr>
      <w:r>
        <w:rPr>
          <w:b/>
          <w:bCs/>
          <w:sz w:val="22"/>
          <w:szCs w:val="22"/>
          <w:lang w:val="ru-RU"/>
        </w:rPr>
        <w:t>Перспективы будущих бюджетных циклов</w:t>
      </w:r>
    </w:p>
    <w:p w:rsidR="00E74685" w:rsidRPr="00C60352" w:rsidRDefault="00E74685" w:rsidP="00E74685">
      <w:pPr>
        <w:pStyle w:val="5GAparabodytext"/>
        <w:rPr>
          <w:lang w:val="ru-RU"/>
        </w:rPr>
      </w:pPr>
      <w:r>
        <w:rPr>
          <w:lang w:val="ru-RU"/>
        </w:rPr>
        <w:t>На</w:t>
      </w:r>
      <w:r w:rsidRPr="00C60352">
        <w:rPr>
          <w:lang w:val="ru-RU"/>
        </w:rPr>
        <w:t xml:space="preserve"> </w:t>
      </w:r>
      <w:r>
        <w:rPr>
          <w:lang w:val="ru-RU"/>
        </w:rPr>
        <w:t>сегодняшний</w:t>
      </w:r>
      <w:r w:rsidRPr="00C60352">
        <w:rPr>
          <w:lang w:val="ru-RU"/>
        </w:rPr>
        <w:t xml:space="preserve"> </w:t>
      </w:r>
      <w:r>
        <w:rPr>
          <w:lang w:val="ru-RU"/>
        </w:rPr>
        <w:t>день</w:t>
      </w:r>
      <w:r w:rsidRPr="00C60352">
        <w:rPr>
          <w:lang w:val="ru-RU"/>
        </w:rPr>
        <w:t xml:space="preserve"> </w:t>
      </w:r>
      <w:r>
        <w:rPr>
          <w:lang w:val="ru-RU"/>
        </w:rPr>
        <w:t>166</w:t>
      </w:r>
      <w:r w:rsidRPr="00C60352">
        <w:rPr>
          <w:lang w:val="ru-RU"/>
        </w:rPr>
        <w:t xml:space="preserve"> </w:t>
      </w:r>
      <w:r>
        <w:rPr>
          <w:lang w:val="ru-RU"/>
        </w:rPr>
        <w:t>государств</w:t>
      </w:r>
      <w:r w:rsidRPr="00C60352">
        <w:rPr>
          <w:lang w:val="ru-RU"/>
        </w:rPr>
        <w:t>-</w:t>
      </w:r>
      <w:r>
        <w:rPr>
          <w:lang w:val="ru-RU"/>
        </w:rPr>
        <w:t>участников</w:t>
      </w:r>
      <w:r w:rsidRPr="00C60352">
        <w:rPr>
          <w:lang w:val="ru-RU"/>
        </w:rPr>
        <w:t xml:space="preserve"> </w:t>
      </w:r>
      <w:r>
        <w:rPr>
          <w:lang w:val="ru-RU"/>
        </w:rPr>
        <w:t>Конвенции</w:t>
      </w:r>
      <w:r w:rsidRPr="00C60352">
        <w:rPr>
          <w:lang w:val="ru-RU"/>
        </w:rPr>
        <w:t xml:space="preserve"> </w:t>
      </w:r>
      <w:r>
        <w:rPr>
          <w:lang w:val="ru-RU"/>
        </w:rPr>
        <w:t>вносят</w:t>
      </w:r>
      <w:r w:rsidRPr="00C60352">
        <w:rPr>
          <w:lang w:val="ru-RU"/>
        </w:rPr>
        <w:t xml:space="preserve"> </w:t>
      </w:r>
      <w:r>
        <w:rPr>
          <w:lang w:val="ru-RU"/>
        </w:rPr>
        <w:t>более</w:t>
      </w:r>
      <w:r w:rsidRPr="00C60352">
        <w:rPr>
          <w:lang w:val="ru-RU"/>
        </w:rPr>
        <w:t xml:space="preserve"> 60% </w:t>
      </w:r>
      <w:r>
        <w:rPr>
          <w:lang w:val="ru-RU"/>
        </w:rPr>
        <w:t>от</w:t>
      </w:r>
      <w:r w:rsidRPr="00C60352">
        <w:rPr>
          <w:lang w:val="ru-RU"/>
        </w:rPr>
        <w:t xml:space="preserve"> </w:t>
      </w:r>
      <w:r>
        <w:rPr>
          <w:lang w:val="ru-RU"/>
        </w:rPr>
        <w:t>общей</w:t>
      </w:r>
      <w:r w:rsidRPr="00C60352">
        <w:rPr>
          <w:lang w:val="ru-RU"/>
        </w:rPr>
        <w:t xml:space="preserve"> </w:t>
      </w:r>
      <w:r>
        <w:rPr>
          <w:lang w:val="ru-RU"/>
        </w:rPr>
        <w:t>суммы</w:t>
      </w:r>
      <w:r w:rsidRPr="00C60352">
        <w:rPr>
          <w:lang w:val="ru-RU"/>
        </w:rPr>
        <w:t xml:space="preserve"> </w:t>
      </w:r>
      <w:r>
        <w:rPr>
          <w:lang w:val="ru-RU"/>
        </w:rPr>
        <w:t>начисленных</w:t>
      </w:r>
      <w:r w:rsidRPr="00C60352">
        <w:rPr>
          <w:lang w:val="ru-RU"/>
        </w:rPr>
        <w:t xml:space="preserve"> </w:t>
      </w:r>
      <w:r>
        <w:rPr>
          <w:lang w:val="ru-RU"/>
        </w:rPr>
        <w:t>взносов</w:t>
      </w:r>
      <w:r w:rsidRPr="00C60352">
        <w:rPr>
          <w:lang w:val="ru-RU"/>
        </w:rPr>
        <w:t xml:space="preserve"> </w:t>
      </w:r>
      <w:r>
        <w:rPr>
          <w:lang w:val="ru-RU"/>
        </w:rPr>
        <w:t>в</w:t>
      </w:r>
      <w:r w:rsidRPr="00C60352">
        <w:rPr>
          <w:lang w:val="ru-RU"/>
        </w:rPr>
        <w:t xml:space="preserve"> </w:t>
      </w:r>
      <w:r>
        <w:rPr>
          <w:lang w:val="ru-RU"/>
        </w:rPr>
        <w:t>обычный</w:t>
      </w:r>
      <w:r w:rsidRPr="00C60352">
        <w:rPr>
          <w:lang w:val="ru-RU"/>
        </w:rPr>
        <w:t xml:space="preserve"> </w:t>
      </w:r>
      <w:r>
        <w:rPr>
          <w:lang w:val="ru-RU"/>
        </w:rPr>
        <w:t>бюджет</w:t>
      </w:r>
      <w:r w:rsidRPr="00C60352">
        <w:rPr>
          <w:lang w:val="ru-RU"/>
        </w:rPr>
        <w:t xml:space="preserve"> </w:t>
      </w:r>
      <w:r>
        <w:rPr>
          <w:lang w:val="ru-RU"/>
        </w:rPr>
        <w:t>ЮНЕСКО</w:t>
      </w:r>
      <w:r w:rsidRPr="00C60352">
        <w:rPr>
          <w:lang w:val="ru-RU"/>
        </w:rPr>
        <w:t xml:space="preserve">, </w:t>
      </w:r>
      <w:r>
        <w:rPr>
          <w:lang w:val="ru-RU"/>
        </w:rPr>
        <w:t>и</w:t>
      </w:r>
      <w:r w:rsidRPr="00C60352">
        <w:rPr>
          <w:lang w:val="ru-RU"/>
        </w:rPr>
        <w:t xml:space="preserve"> </w:t>
      </w:r>
      <w:r>
        <w:rPr>
          <w:lang w:val="ru-RU"/>
        </w:rPr>
        <w:t>ставка</w:t>
      </w:r>
      <w:r w:rsidRPr="00C60352">
        <w:rPr>
          <w:lang w:val="ru-RU"/>
        </w:rPr>
        <w:t xml:space="preserve"> </w:t>
      </w:r>
      <w:r>
        <w:rPr>
          <w:lang w:val="ru-RU"/>
        </w:rPr>
        <w:t>начисленных</w:t>
      </w:r>
      <w:r w:rsidRPr="00C60352">
        <w:rPr>
          <w:lang w:val="ru-RU"/>
        </w:rPr>
        <w:t xml:space="preserve"> </w:t>
      </w:r>
      <w:r>
        <w:rPr>
          <w:lang w:val="ru-RU"/>
        </w:rPr>
        <w:t>взносов</w:t>
      </w:r>
      <w:r w:rsidRPr="00C60352">
        <w:rPr>
          <w:lang w:val="ru-RU"/>
        </w:rPr>
        <w:t xml:space="preserve"> </w:t>
      </w:r>
      <w:r>
        <w:rPr>
          <w:lang w:val="ru-RU"/>
        </w:rPr>
        <w:t>в</w:t>
      </w:r>
      <w:r w:rsidRPr="00C60352">
        <w:rPr>
          <w:lang w:val="ru-RU"/>
        </w:rPr>
        <w:t xml:space="preserve"> </w:t>
      </w:r>
      <w:r>
        <w:rPr>
          <w:lang w:val="ru-RU"/>
        </w:rPr>
        <w:t>отношении</w:t>
      </w:r>
      <w:r w:rsidRPr="00C60352">
        <w:rPr>
          <w:lang w:val="ru-RU"/>
        </w:rPr>
        <w:t xml:space="preserve"> </w:t>
      </w:r>
      <w:r>
        <w:rPr>
          <w:lang w:val="ru-RU"/>
        </w:rPr>
        <w:t>Конвенции установлена</w:t>
      </w:r>
      <w:r w:rsidRPr="00C60352">
        <w:rPr>
          <w:lang w:val="ru-RU"/>
        </w:rPr>
        <w:t xml:space="preserve"> </w:t>
      </w:r>
      <w:r>
        <w:rPr>
          <w:lang w:val="ru-RU"/>
        </w:rPr>
        <w:t>в</w:t>
      </w:r>
      <w:r w:rsidRPr="00C60352">
        <w:rPr>
          <w:lang w:val="ru-RU"/>
        </w:rPr>
        <w:t xml:space="preserve"> </w:t>
      </w:r>
      <w:r>
        <w:rPr>
          <w:lang w:val="ru-RU"/>
        </w:rPr>
        <w:t>размере</w:t>
      </w:r>
      <w:r w:rsidRPr="00C60352">
        <w:rPr>
          <w:lang w:val="ru-RU"/>
        </w:rPr>
        <w:t xml:space="preserve"> 1% </w:t>
      </w:r>
      <w:r>
        <w:rPr>
          <w:lang w:val="ru-RU"/>
        </w:rPr>
        <w:t>от</w:t>
      </w:r>
      <w:r w:rsidRPr="00C60352">
        <w:rPr>
          <w:lang w:val="ru-RU"/>
        </w:rPr>
        <w:t xml:space="preserve"> </w:t>
      </w:r>
      <w:r>
        <w:rPr>
          <w:lang w:val="ru-RU"/>
        </w:rPr>
        <w:t>взноса</w:t>
      </w:r>
      <w:r w:rsidRPr="00C60352">
        <w:rPr>
          <w:lang w:val="ru-RU"/>
        </w:rPr>
        <w:t xml:space="preserve"> </w:t>
      </w:r>
      <w:r>
        <w:rPr>
          <w:lang w:val="ru-RU"/>
        </w:rPr>
        <w:t>каждого государства в обычный бюджет ЮНЕСКО.</w:t>
      </w:r>
      <w:r w:rsidRPr="00C60352">
        <w:rPr>
          <w:lang w:val="ru-RU"/>
        </w:rPr>
        <w:t xml:space="preserve"> Как и в предыдущий двух</w:t>
      </w:r>
      <w:r>
        <w:rPr>
          <w:lang w:val="ru-RU"/>
        </w:rPr>
        <w:t>летний период, в 2016-2017 годы Фонд получит от государств-участников около 4 миллионов долларов установленных взносов (3,5 миллиона долл. обязательных и 0,5 миллиона долл. добровольных установленных взносов). В каждый предыдущий двухлетний период доходы Фонда превышали его расходы, поэтому остаток неограниченных и нецелевых сре</w:t>
      </w:r>
      <w:proofErr w:type="gramStart"/>
      <w:r>
        <w:rPr>
          <w:lang w:val="ru-RU"/>
        </w:rPr>
        <w:t>дств в к</w:t>
      </w:r>
      <w:proofErr w:type="gramEnd"/>
      <w:r>
        <w:rPr>
          <w:lang w:val="ru-RU"/>
        </w:rPr>
        <w:t>онце каждого двухлетнего периода постоянно рос. Тем не менее, остаток неограниченных и нецелевых средств по состоянию на 31 декабря 2015 года снова показал рост (18%) по сравнению с предыдущим двухлетием (16%).</w:t>
      </w:r>
      <w:r w:rsidRPr="00C60352">
        <w:rPr>
          <w:lang w:val="ru-RU"/>
        </w:rPr>
        <w:t xml:space="preserve"> </w:t>
      </w:r>
    </w:p>
    <w:p w:rsidR="00E74685" w:rsidRPr="00415FB5" w:rsidRDefault="00E74685" w:rsidP="00E74685">
      <w:pPr>
        <w:pStyle w:val="5GAparabodytext"/>
        <w:rPr>
          <w:lang w:val="ru-RU"/>
        </w:rPr>
      </w:pPr>
      <w:r>
        <w:rPr>
          <w:lang w:val="ru-RU"/>
        </w:rPr>
        <w:t>Подобная ситуация объясняется двумя факторами: во-первых, государства-члены начали вносить средства в Фонд с момента вступления в силу Конвенции в 2006 году, в то время как основной механизм использования средств Фонда – международная помощь – стал оперативным только в 2008 году. Первые заявки на предоставление такой помощи были поданы Комитету в 2009 году, а оказывать ее начали только в 2010 году. Так произошло постоянное накопление средств, продолжавшееся в течение четырех лет, пока не начались полноценные выплаты. Во-вторых, в соответствии с пунктом 66 Оперативного руководства, средства Фонда «</w:t>
      </w:r>
      <w:proofErr w:type="gramStart"/>
      <w:r>
        <w:rPr>
          <w:lang w:val="ru-RU"/>
        </w:rPr>
        <w:t>используются</w:t>
      </w:r>
      <w:proofErr w:type="gramEnd"/>
      <w:r>
        <w:rPr>
          <w:lang w:val="ru-RU"/>
        </w:rPr>
        <w:t xml:space="preserve"> прежде всего для оказания международной помощи», в то время как уровень использования средств, который зависит, в первую очередь, от количества заявок, поданных государствами-членами и одобренных Комитетом или его Президиумом, остается очень низким (13% на период 2014-2015 годы).</w:t>
      </w:r>
    </w:p>
    <w:p w:rsidR="00E74685" w:rsidRPr="009233A6" w:rsidRDefault="00E74685" w:rsidP="00E74685">
      <w:pPr>
        <w:pStyle w:val="5GAparabodytext"/>
        <w:rPr>
          <w:lang w:val="ru-RU"/>
        </w:rPr>
      </w:pPr>
      <w:r>
        <w:rPr>
          <w:bCs/>
          <w:lang w:val="ru-RU"/>
        </w:rPr>
        <w:t xml:space="preserve">Хотя количество заявок на международную помощь, поданных государствами-членами, останется небольшим (в среднем 16 заявок в год, начиная с 2010 года), на своей последней сессии Комитет предложил ряд упреждающих мер. Как было сказано в пункте 10, новые перспективы открываются после пересмотра Оперативного руководства, рекомендованного Комитетом и рассматриваемого Генеральной ассамблеей на его нынешней сессии в документе </w:t>
      </w:r>
      <w:r w:rsidRPr="00EB194B">
        <w:t>ITH</w:t>
      </w:r>
      <w:r w:rsidRPr="0033634C">
        <w:rPr>
          <w:lang w:val="ru-RU"/>
        </w:rPr>
        <w:t>/16/6.</w:t>
      </w:r>
      <w:r w:rsidRPr="00EB194B">
        <w:t>GA</w:t>
      </w:r>
      <w:r w:rsidRPr="0033634C">
        <w:rPr>
          <w:lang w:val="ru-RU"/>
        </w:rPr>
        <w:t xml:space="preserve">/7. </w:t>
      </w:r>
      <w:r>
        <w:rPr>
          <w:lang w:val="ru-RU"/>
        </w:rPr>
        <w:t>Благодаря увеличению максимальной запрашиваемой суммы, которую теперь будет рассматривать Президиум, с 25 000 долларов до 100 000 долларов, государства-участники в один и тот же год смогут подать заявку на помощь вплоть до 100 000 долларов и представить заявку на включение  в Список, поскольку теперь этими заявками будут заниматься разные органы. Более того, такие заявки можно будет подавать в течение всего года,</w:t>
      </w:r>
      <w:r>
        <w:rPr>
          <w:bCs/>
          <w:lang w:val="ru-RU"/>
        </w:rPr>
        <w:t xml:space="preserve"> так как Президиум собирается три или четыре раза в год, в том числе и в виде электронных консультаций, в то время как Комитет – только один раз в год, поэтому появится больше возможностей удовлетворять заявки.</w:t>
      </w:r>
    </w:p>
    <w:p w:rsidR="00E74685" w:rsidRPr="003150C6" w:rsidRDefault="00E74685" w:rsidP="00E74685">
      <w:pPr>
        <w:pStyle w:val="5GAparabodytext"/>
        <w:rPr>
          <w:lang w:val="ru-RU"/>
        </w:rPr>
      </w:pPr>
      <w:r>
        <w:rPr>
          <w:lang w:val="ru-RU"/>
        </w:rPr>
        <w:t>Другая</w:t>
      </w:r>
      <w:r w:rsidRPr="00693AFB">
        <w:rPr>
          <w:lang w:val="ru-RU"/>
        </w:rPr>
        <w:t xml:space="preserve"> </w:t>
      </w:r>
      <w:r>
        <w:rPr>
          <w:lang w:val="ru-RU"/>
        </w:rPr>
        <w:t>возможность</w:t>
      </w:r>
      <w:r w:rsidRPr="00693AFB">
        <w:rPr>
          <w:lang w:val="ru-RU"/>
        </w:rPr>
        <w:t xml:space="preserve"> </w:t>
      </w:r>
      <w:r>
        <w:rPr>
          <w:lang w:val="ru-RU"/>
        </w:rPr>
        <w:t>относится</w:t>
      </w:r>
      <w:r w:rsidRPr="00693AFB">
        <w:rPr>
          <w:lang w:val="ru-RU"/>
        </w:rPr>
        <w:t xml:space="preserve"> </w:t>
      </w:r>
      <w:r>
        <w:rPr>
          <w:lang w:val="ru-RU"/>
        </w:rPr>
        <w:t>к</w:t>
      </w:r>
      <w:r w:rsidRPr="00693AFB">
        <w:rPr>
          <w:lang w:val="ru-RU"/>
        </w:rPr>
        <w:t xml:space="preserve"> </w:t>
      </w:r>
      <w:r>
        <w:rPr>
          <w:lang w:val="ru-RU"/>
        </w:rPr>
        <w:t>более</w:t>
      </w:r>
      <w:r w:rsidRPr="00693AFB">
        <w:rPr>
          <w:lang w:val="ru-RU"/>
        </w:rPr>
        <w:t xml:space="preserve"> </w:t>
      </w:r>
      <w:r>
        <w:rPr>
          <w:lang w:val="ru-RU"/>
        </w:rPr>
        <w:t>полному</w:t>
      </w:r>
      <w:r w:rsidRPr="00693AFB">
        <w:rPr>
          <w:lang w:val="ru-RU"/>
        </w:rPr>
        <w:t xml:space="preserve"> </w:t>
      </w:r>
      <w:r>
        <w:rPr>
          <w:lang w:val="ru-RU"/>
        </w:rPr>
        <w:t>толкованию</w:t>
      </w:r>
      <w:r w:rsidRPr="00693AFB">
        <w:rPr>
          <w:lang w:val="ru-RU"/>
        </w:rPr>
        <w:t xml:space="preserve"> </w:t>
      </w:r>
      <w:r>
        <w:rPr>
          <w:lang w:val="ru-RU"/>
        </w:rPr>
        <w:t>Статьи</w:t>
      </w:r>
      <w:r w:rsidRPr="00C9223D">
        <w:rPr>
          <w:lang w:val="ru-RU"/>
        </w:rPr>
        <w:t xml:space="preserve"> 21, </w:t>
      </w:r>
      <w:r>
        <w:rPr>
          <w:lang w:val="ru-RU"/>
        </w:rPr>
        <w:t>и</w:t>
      </w:r>
      <w:r w:rsidRPr="00C9223D">
        <w:rPr>
          <w:lang w:val="ru-RU"/>
        </w:rPr>
        <w:t xml:space="preserve"> </w:t>
      </w:r>
      <w:r>
        <w:rPr>
          <w:lang w:val="ru-RU"/>
        </w:rPr>
        <w:t>оказанию</w:t>
      </w:r>
      <w:r w:rsidRPr="00C9223D">
        <w:rPr>
          <w:lang w:val="ru-RU"/>
        </w:rPr>
        <w:t xml:space="preserve"> </w:t>
      </w:r>
      <w:r>
        <w:rPr>
          <w:lang w:val="ru-RU"/>
        </w:rPr>
        <w:t>помощи</w:t>
      </w:r>
      <w:r w:rsidRPr="00C9223D">
        <w:rPr>
          <w:lang w:val="ru-RU"/>
        </w:rPr>
        <w:t xml:space="preserve"> </w:t>
      </w:r>
      <w:r>
        <w:rPr>
          <w:lang w:val="ru-RU"/>
        </w:rPr>
        <w:t>не</w:t>
      </w:r>
      <w:r w:rsidRPr="00C9223D">
        <w:rPr>
          <w:lang w:val="ru-RU"/>
        </w:rPr>
        <w:t xml:space="preserve"> </w:t>
      </w:r>
      <w:r>
        <w:rPr>
          <w:lang w:val="ru-RU"/>
        </w:rPr>
        <w:t>только</w:t>
      </w:r>
      <w:r w:rsidRPr="00C9223D">
        <w:rPr>
          <w:lang w:val="ru-RU"/>
        </w:rPr>
        <w:t xml:space="preserve"> </w:t>
      </w:r>
      <w:r>
        <w:rPr>
          <w:lang w:val="ru-RU"/>
        </w:rPr>
        <w:t>в</w:t>
      </w:r>
      <w:r w:rsidRPr="00C9223D">
        <w:rPr>
          <w:lang w:val="ru-RU"/>
        </w:rPr>
        <w:t xml:space="preserve"> </w:t>
      </w:r>
      <w:r>
        <w:rPr>
          <w:lang w:val="ru-RU"/>
        </w:rPr>
        <w:t>виде</w:t>
      </w:r>
      <w:r w:rsidRPr="00C9223D">
        <w:rPr>
          <w:lang w:val="ru-RU"/>
        </w:rPr>
        <w:t xml:space="preserve"> </w:t>
      </w:r>
      <w:r>
        <w:rPr>
          <w:lang w:val="ru-RU"/>
        </w:rPr>
        <w:t>выделения</w:t>
      </w:r>
      <w:r w:rsidRPr="00C9223D">
        <w:rPr>
          <w:lang w:val="ru-RU"/>
        </w:rPr>
        <w:t xml:space="preserve"> </w:t>
      </w:r>
      <w:r>
        <w:rPr>
          <w:lang w:val="ru-RU"/>
        </w:rPr>
        <w:t>средств</w:t>
      </w:r>
      <w:r w:rsidRPr="00C9223D">
        <w:rPr>
          <w:lang w:val="ru-RU"/>
        </w:rPr>
        <w:t xml:space="preserve">, </w:t>
      </w:r>
      <w:r>
        <w:rPr>
          <w:lang w:val="ru-RU"/>
        </w:rPr>
        <w:t>но</w:t>
      </w:r>
      <w:r w:rsidRPr="00C9223D">
        <w:rPr>
          <w:lang w:val="ru-RU"/>
        </w:rPr>
        <w:t xml:space="preserve"> </w:t>
      </w:r>
      <w:r>
        <w:rPr>
          <w:lang w:val="ru-RU"/>
        </w:rPr>
        <w:t>скорее</w:t>
      </w:r>
      <w:r w:rsidRPr="00C9223D">
        <w:rPr>
          <w:lang w:val="ru-RU"/>
        </w:rPr>
        <w:t xml:space="preserve"> </w:t>
      </w:r>
      <w:r>
        <w:rPr>
          <w:lang w:val="ru-RU"/>
        </w:rPr>
        <w:t>в</w:t>
      </w:r>
      <w:r w:rsidRPr="00C9223D">
        <w:rPr>
          <w:lang w:val="ru-RU"/>
        </w:rPr>
        <w:t xml:space="preserve"> </w:t>
      </w:r>
      <w:r>
        <w:rPr>
          <w:lang w:val="ru-RU"/>
        </w:rPr>
        <w:t>виде</w:t>
      </w:r>
      <w:r w:rsidRPr="00C9223D">
        <w:rPr>
          <w:lang w:val="ru-RU"/>
        </w:rPr>
        <w:t xml:space="preserve"> </w:t>
      </w:r>
      <w:r>
        <w:rPr>
          <w:lang w:val="ru-RU"/>
        </w:rPr>
        <w:t>услуг,</w:t>
      </w:r>
      <w:r w:rsidRPr="00C9223D">
        <w:rPr>
          <w:lang w:val="ru-RU"/>
        </w:rPr>
        <w:t xml:space="preserve"> </w:t>
      </w:r>
      <w:r>
        <w:rPr>
          <w:lang w:val="ru-RU"/>
        </w:rPr>
        <w:t>которые</w:t>
      </w:r>
      <w:r w:rsidRPr="00C9223D">
        <w:rPr>
          <w:lang w:val="ru-RU"/>
        </w:rPr>
        <w:t xml:space="preserve"> </w:t>
      </w:r>
      <w:r>
        <w:rPr>
          <w:lang w:val="ru-RU"/>
        </w:rPr>
        <w:t>оказывает</w:t>
      </w:r>
      <w:r w:rsidRPr="00C9223D">
        <w:rPr>
          <w:lang w:val="ru-RU"/>
        </w:rPr>
        <w:t xml:space="preserve"> </w:t>
      </w:r>
      <w:r>
        <w:rPr>
          <w:lang w:val="ru-RU"/>
        </w:rPr>
        <w:t>ЮНЕСКО</w:t>
      </w:r>
      <w:r w:rsidRPr="00C9223D">
        <w:rPr>
          <w:lang w:val="ru-RU"/>
        </w:rPr>
        <w:t xml:space="preserve">. </w:t>
      </w:r>
      <w:r>
        <w:rPr>
          <w:lang w:val="ru-RU"/>
        </w:rPr>
        <w:t xml:space="preserve">На сегодняшний день Статья 21 Конвенции о формах международной помощи ограниченно трактовалась и государствами-членами, и Секретариатом, которые сводили ее к пункту </w:t>
      </w:r>
      <w:r w:rsidRPr="003150C6">
        <w:rPr>
          <w:lang w:val="ru-RU"/>
        </w:rPr>
        <w:t>(</w:t>
      </w:r>
      <w:r w:rsidRPr="003A0AD4">
        <w:t>g</w:t>
      </w:r>
      <w:r>
        <w:rPr>
          <w:lang w:val="ru-RU"/>
        </w:rPr>
        <w:t xml:space="preserve">), то есть, к финансовой помощи, в частности, в виде пожертвований. </w:t>
      </w:r>
      <w:proofErr w:type="gramStart"/>
      <w:r>
        <w:rPr>
          <w:lang w:val="ru-RU"/>
        </w:rPr>
        <w:t>Однако в Статье 21 упомянуты другие формы помощи, такие как исследования, касающиеся различных аспектов охраны (</w:t>
      </w:r>
      <w:r>
        <w:rPr>
          <w:bCs/>
          <w:lang w:val="ru-RU"/>
        </w:rPr>
        <w:t>пункт</w:t>
      </w:r>
      <w:r w:rsidDel="00C56F6E">
        <w:rPr>
          <w:lang w:val="ru-RU"/>
        </w:rPr>
        <w:t xml:space="preserve"> </w:t>
      </w:r>
      <w:r w:rsidRPr="007242DA">
        <w:rPr>
          <w:bCs/>
          <w:lang w:val="ru-RU"/>
        </w:rPr>
        <w:t>[</w:t>
      </w:r>
      <w:r>
        <w:rPr>
          <w:bCs/>
          <w:lang w:val="ru-RU"/>
        </w:rPr>
        <w:t>а</w:t>
      </w:r>
      <w:r w:rsidRPr="007242DA">
        <w:rPr>
          <w:bCs/>
          <w:lang w:val="ru-RU"/>
        </w:rPr>
        <w:t>]),</w:t>
      </w:r>
      <w:r>
        <w:rPr>
          <w:bCs/>
          <w:lang w:val="ru-RU"/>
        </w:rPr>
        <w:t xml:space="preserve"> предоставление услуг экспертов и носителей нематериального культурного наследия (пункт</w:t>
      </w:r>
      <w:r w:rsidRPr="007242DA">
        <w:rPr>
          <w:bCs/>
          <w:lang w:val="ru-RU"/>
        </w:rPr>
        <w:t xml:space="preserve"> [</w:t>
      </w:r>
      <w:r w:rsidRPr="00C84EEA">
        <w:rPr>
          <w:bCs/>
        </w:rPr>
        <w:t>b</w:t>
      </w:r>
      <w:r w:rsidRPr="007242DA">
        <w:rPr>
          <w:bCs/>
          <w:lang w:val="ru-RU"/>
        </w:rPr>
        <w:t>]),</w:t>
      </w:r>
      <w:r>
        <w:rPr>
          <w:bCs/>
          <w:lang w:val="ru-RU"/>
        </w:rPr>
        <w:t xml:space="preserve"> подготовка любого необходимого персонала (пункт</w:t>
      </w:r>
      <w:r w:rsidDel="00C56F6E">
        <w:rPr>
          <w:bCs/>
          <w:lang w:val="ru-RU"/>
        </w:rPr>
        <w:t xml:space="preserve"> </w:t>
      </w:r>
      <w:r w:rsidRPr="007242DA">
        <w:rPr>
          <w:bCs/>
          <w:lang w:val="ru-RU"/>
        </w:rPr>
        <w:t>[</w:t>
      </w:r>
      <w:r w:rsidRPr="00C84EEA">
        <w:rPr>
          <w:bCs/>
        </w:rPr>
        <w:t>c</w:t>
      </w:r>
      <w:r w:rsidRPr="007242DA">
        <w:rPr>
          <w:bCs/>
          <w:lang w:val="ru-RU"/>
        </w:rPr>
        <w:t>]),</w:t>
      </w:r>
      <w:r>
        <w:rPr>
          <w:bCs/>
          <w:lang w:val="ru-RU"/>
        </w:rPr>
        <w:t xml:space="preserve"> разработка </w:t>
      </w:r>
      <w:r>
        <w:rPr>
          <w:bCs/>
          <w:lang w:val="ru-RU"/>
        </w:rPr>
        <w:lastRenderedPageBreak/>
        <w:t>нормативных и других мер (пункт</w:t>
      </w:r>
      <w:r w:rsidDel="00C56F6E">
        <w:rPr>
          <w:bCs/>
          <w:lang w:val="ru-RU"/>
        </w:rPr>
        <w:t xml:space="preserve"> </w:t>
      </w:r>
      <w:r w:rsidRPr="00B868A7">
        <w:rPr>
          <w:bCs/>
          <w:lang w:val="ru-RU"/>
        </w:rPr>
        <w:t>[</w:t>
      </w:r>
      <w:r w:rsidRPr="00C84EEA">
        <w:rPr>
          <w:bCs/>
        </w:rPr>
        <w:t>d</w:t>
      </w:r>
      <w:r w:rsidRPr="00B868A7">
        <w:rPr>
          <w:bCs/>
          <w:lang w:val="ru-RU"/>
        </w:rPr>
        <w:t>]),</w:t>
      </w:r>
      <w:r>
        <w:rPr>
          <w:bCs/>
          <w:lang w:val="ru-RU"/>
        </w:rPr>
        <w:t xml:space="preserve"> создание и обеспечение функционирования инфраструктуры </w:t>
      </w:r>
      <w:r w:rsidRPr="00B868A7">
        <w:rPr>
          <w:bCs/>
          <w:lang w:val="ru-RU"/>
        </w:rPr>
        <w:t>(</w:t>
      </w:r>
      <w:r>
        <w:rPr>
          <w:bCs/>
          <w:lang w:val="ru-RU"/>
        </w:rPr>
        <w:t>пункт</w:t>
      </w:r>
      <w:r w:rsidDel="00C56F6E">
        <w:rPr>
          <w:bCs/>
          <w:lang w:val="ru-RU"/>
        </w:rPr>
        <w:t xml:space="preserve"> </w:t>
      </w:r>
      <w:r w:rsidRPr="00B868A7">
        <w:rPr>
          <w:bCs/>
          <w:lang w:val="ru-RU"/>
        </w:rPr>
        <w:t>[</w:t>
      </w:r>
      <w:r w:rsidRPr="00C84EEA">
        <w:rPr>
          <w:bCs/>
        </w:rPr>
        <w:t>e</w:t>
      </w:r>
      <w:r w:rsidRPr="00B868A7">
        <w:rPr>
          <w:bCs/>
          <w:lang w:val="ru-RU"/>
        </w:rPr>
        <w:t>]</w:t>
      </w:r>
      <w:r>
        <w:rPr>
          <w:bCs/>
          <w:lang w:val="ru-RU"/>
        </w:rPr>
        <w:t>), а также предоставление оборудования и ноу-хау (пункт</w:t>
      </w:r>
      <w:r w:rsidDel="00C56F6E">
        <w:rPr>
          <w:bCs/>
          <w:lang w:val="ru-RU"/>
        </w:rPr>
        <w:t xml:space="preserve"> </w:t>
      </w:r>
      <w:r w:rsidRPr="00B868A7">
        <w:rPr>
          <w:bCs/>
          <w:lang w:val="ru-RU"/>
        </w:rPr>
        <w:t>[</w:t>
      </w:r>
      <w:r w:rsidRPr="00C84EEA">
        <w:rPr>
          <w:bCs/>
        </w:rPr>
        <w:t>f</w:t>
      </w:r>
      <w:r w:rsidRPr="00B868A7">
        <w:rPr>
          <w:bCs/>
          <w:lang w:val="ru-RU"/>
        </w:rPr>
        <w:t>])</w:t>
      </w:r>
      <w:r>
        <w:rPr>
          <w:bCs/>
          <w:lang w:val="ru-RU"/>
        </w:rPr>
        <w:t>, что необязательно требует выделения средств</w:t>
      </w:r>
      <w:proofErr w:type="gramEnd"/>
      <w:r>
        <w:rPr>
          <w:bCs/>
          <w:lang w:val="ru-RU"/>
        </w:rPr>
        <w:t xml:space="preserve">, а скорее предоставления услуг с помощью Фонда для поддержки государства-члена в его усилиях по охране наследия. Продвижение этих форм международной помощи, особенно тех, что предусмотрены в пунктах </w:t>
      </w:r>
      <w:r>
        <w:rPr>
          <w:bCs/>
          <w:lang w:val="en-US"/>
        </w:rPr>
        <w:t>b</w:t>
      </w:r>
      <w:r>
        <w:rPr>
          <w:bCs/>
          <w:lang w:val="ru-RU"/>
        </w:rPr>
        <w:t xml:space="preserve"> и с, предполагается, освободит государства от необходимости оценивать </w:t>
      </w:r>
      <w:r w:rsidRPr="00693AFB">
        <w:rPr>
          <w:bCs/>
          <w:lang w:val="ru-RU"/>
        </w:rPr>
        <w:t xml:space="preserve">затраты на </w:t>
      </w:r>
      <w:r>
        <w:rPr>
          <w:bCs/>
          <w:lang w:val="ru-RU"/>
        </w:rPr>
        <w:t>свои потребности и приоритеты, они будут подавать руководящим органам</w:t>
      </w:r>
      <w:r w:rsidRPr="008C33EC">
        <w:rPr>
          <w:bCs/>
          <w:lang w:val="ru-RU"/>
        </w:rPr>
        <w:t xml:space="preserve"> </w:t>
      </w:r>
      <w:r>
        <w:rPr>
          <w:bCs/>
          <w:lang w:val="ru-RU"/>
        </w:rPr>
        <w:t xml:space="preserve">заявки, которые станут результатом сотрудничества между государством, обратившимся за помощью, и Секретариатом. В результате существует вероятность, что улучшится использование средств, предназначенных на международную помощь. Комитет предложил такую более полную и точную трактовку Статьи 21, что следует из </w:t>
      </w:r>
      <w:hyperlink r:id="rId16" w:history="1">
        <w:r w:rsidRPr="003748C0">
          <w:rPr>
            <w:rStyle w:val="Hyperlink"/>
            <w:bCs/>
            <w:lang w:val="ru-RU"/>
          </w:rPr>
          <w:t xml:space="preserve">Решения </w:t>
        </w:r>
        <w:r w:rsidRPr="003748C0">
          <w:rPr>
            <w:rStyle w:val="Hyperlink"/>
            <w:lang w:val="ru-RU"/>
          </w:rPr>
          <w:t>10.</w:t>
        </w:r>
        <w:r w:rsidRPr="003748C0">
          <w:rPr>
            <w:rStyle w:val="Hyperlink"/>
          </w:rPr>
          <w:t>COM </w:t>
        </w:r>
        <w:r w:rsidRPr="003748C0">
          <w:rPr>
            <w:rStyle w:val="Hyperlink"/>
            <w:lang w:val="ru-RU"/>
          </w:rPr>
          <w:t>8</w:t>
        </w:r>
      </w:hyperlink>
      <w:r w:rsidRPr="008C33EC">
        <w:rPr>
          <w:lang w:val="ru-RU"/>
        </w:rPr>
        <w:t xml:space="preserve">, в котором </w:t>
      </w:r>
      <w:r>
        <w:rPr>
          <w:lang w:val="ru-RU"/>
        </w:rPr>
        <w:t>Секретариату предложено «пересмотреть форму</w:t>
      </w:r>
      <w:r w:rsidRPr="008C33EC">
        <w:rPr>
          <w:rFonts w:eastAsia="Calibri"/>
          <w:lang w:val="ru-RU"/>
        </w:rPr>
        <w:t xml:space="preserve"> </w:t>
      </w:r>
      <w:r w:rsidRPr="00C84EEA">
        <w:rPr>
          <w:rFonts w:eastAsia="Calibri"/>
        </w:rPr>
        <w:t>ICH</w:t>
      </w:r>
      <w:r>
        <w:rPr>
          <w:rFonts w:eastAsia="Calibri"/>
          <w:lang w:val="ru-RU"/>
        </w:rPr>
        <w:t xml:space="preserve">-04, чтобы она лучше отражала положения Статьи 21 Конвенции в отношении форм международной помощи». Следует отметить, однако, что обе возможности приведут к заметному увеличению нагрузки на Секретариат. </w:t>
      </w:r>
      <w:r>
        <w:rPr>
          <w:lang w:val="ru-RU"/>
        </w:rPr>
        <w:t xml:space="preserve"> </w:t>
      </w:r>
      <w:r>
        <w:rPr>
          <w:bCs/>
          <w:lang w:val="ru-RU"/>
        </w:rPr>
        <w:t xml:space="preserve">     </w:t>
      </w:r>
    </w:p>
    <w:p w:rsidR="00E74685" w:rsidRPr="000A1556" w:rsidRDefault="00E74685" w:rsidP="00E74685">
      <w:pPr>
        <w:pStyle w:val="5GAparabodytext"/>
        <w:rPr>
          <w:rStyle w:val="hps"/>
          <w:lang w:val="ru-RU"/>
        </w:rPr>
      </w:pPr>
      <w:proofErr w:type="gramStart"/>
      <w:r w:rsidRPr="00A41EDD">
        <w:rPr>
          <w:rStyle w:val="hps"/>
          <w:lang w:val="ru-RU"/>
        </w:rPr>
        <w:t>Более активное использование</w:t>
      </w:r>
      <w:r w:rsidRPr="000A1556">
        <w:rPr>
          <w:rStyle w:val="hps"/>
          <w:lang w:val="ru-RU"/>
        </w:rPr>
        <w:t xml:space="preserve"> объединенной формы </w:t>
      </w:r>
      <w:r w:rsidRPr="00C81630">
        <w:t>ICH</w:t>
      </w:r>
      <w:r w:rsidRPr="00F72076">
        <w:rPr>
          <w:lang w:val="ru-RU"/>
        </w:rPr>
        <w:t>-01</w:t>
      </w:r>
      <w:proofErr w:type="spellStart"/>
      <w:r w:rsidRPr="00C81630">
        <w:t>bis</w:t>
      </w:r>
      <w:proofErr w:type="spellEnd"/>
      <w:r w:rsidRPr="00F72076">
        <w:rPr>
          <w:lang w:val="ru-RU"/>
        </w:rPr>
        <w:t xml:space="preserve"> </w:t>
      </w:r>
      <w:r w:rsidRPr="000A1556">
        <w:rPr>
          <w:lang w:val="ru-RU"/>
        </w:rPr>
        <w:t>(</w:t>
      </w:r>
      <w:hyperlink r:id="rId17" w:history="1">
        <w:r w:rsidRPr="000A1556">
          <w:rPr>
            <w:rStyle w:val="Hyperlink"/>
            <w:lang w:val="ru-RU"/>
          </w:rPr>
          <w:t>Решение</w:t>
        </w:r>
        <w:r w:rsidRPr="000A1556">
          <w:rPr>
            <w:rStyle w:val="Hyperlink"/>
          </w:rPr>
          <w:t> </w:t>
        </w:r>
        <w:r w:rsidRPr="000A1556">
          <w:rPr>
            <w:rStyle w:val="Hyperlink"/>
            <w:lang w:val="ru-RU"/>
          </w:rPr>
          <w:t>9.</w:t>
        </w:r>
        <w:r w:rsidRPr="000A1556">
          <w:rPr>
            <w:rStyle w:val="Hyperlink"/>
          </w:rPr>
          <w:t>COM </w:t>
        </w:r>
        <w:r w:rsidRPr="000A1556">
          <w:rPr>
            <w:rStyle w:val="Hyperlink"/>
            <w:lang w:val="ru-RU"/>
          </w:rPr>
          <w:t>9</w:t>
        </w:r>
      </w:hyperlink>
      <w:r w:rsidRPr="00A41EDD">
        <w:rPr>
          <w:lang w:val="ru-RU"/>
        </w:rPr>
        <w:t>), которая</w:t>
      </w:r>
      <w:r w:rsidRPr="000A1556">
        <w:rPr>
          <w:lang w:val="ru-RU"/>
        </w:rPr>
        <w:t xml:space="preserve"> позвол</w:t>
      </w:r>
      <w:r>
        <w:rPr>
          <w:lang w:val="ru-RU"/>
        </w:rPr>
        <w:t>яе</w:t>
      </w:r>
      <w:r w:rsidRPr="00A41EDD">
        <w:rPr>
          <w:lang w:val="ru-RU"/>
        </w:rPr>
        <w:t xml:space="preserve">т государствам-членам одновременно </w:t>
      </w:r>
      <w:r w:rsidRPr="000A1556">
        <w:rPr>
          <w:lang w:val="ru-RU"/>
        </w:rPr>
        <w:t xml:space="preserve">подавать заявку на включение в Список нематериального культурного наследия, нуждающегося в срочной охране, на международную помощь, предоставляемую Фондом культурного наследия для поддержки предложенного плана по охране, и на техническую помощь в разработке заявки на международную помощь при содействии экспертов приведет к повышению использования </w:t>
      </w:r>
      <w:r>
        <w:rPr>
          <w:lang w:val="ru-RU"/>
        </w:rPr>
        <w:t xml:space="preserve">механизма </w:t>
      </w:r>
      <w:r w:rsidRPr="00A41EDD">
        <w:rPr>
          <w:lang w:val="ru-RU"/>
        </w:rPr>
        <w:t>международной помощи</w:t>
      </w:r>
      <w:proofErr w:type="gramEnd"/>
      <w:r w:rsidRPr="00A41EDD">
        <w:rPr>
          <w:lang w:val="ru-RU"/>
        </w:rPr>
        <w:t xml:space="preserve">. </w:t>
      </w:r>
      <w:r w:rsidRPr="000A1556">
        <w:rPr>
          <w:lang w:val="ru-RU"/>
        </w:rPr>
        <w:t xml:space="preserve">Со временем тот факт, что Фонд оказывает поддержку программам </w:t>
      </w:r>
      <w:r>
        <w:rPr>
          <w:lang w:val="ru-RU"/>
        </w:rPr>
        <w:t>укрепления</w:t>
      </w:r>
      <w:r w:rsidRPr="00A41EDD">
        <w:rPr>
          <w:lang w:val="ru-RU"/>
        </w:rPr>
        <w:t xml:space="preserve"> потенциала</w:t>
      </w:r>
      <w:r w:rsidRPr="000A1556">
        <w:rPr>
          <w:lang w:val="ru-RU"/>
        </w:rPr>
        <w:t xml:space="preserve"> (благодаря целевым взносам, предназначенным на конкретные действующие программы и фонды по бюджетной статье 3, которые были использованы, среди прочего, на разработку конкретных обучающих материалов, посвященных международной помощи), по-видимому, окажет позитивное воздействие на использование средств, предназначенных для международной помощи.</w:t>
      </w:r>
    </w:p>
    <w:p w:rsidR="00E74685" w:rsidRPr="00F5622F" w:rsidRDefault="00E74685" w:rsidP="00E74685">
      <w:pPr>
        <w:pStyle w:val="5GAparabodytext"/>
        <w:rPr>
          <w:lang w:val="ru-RU"/>
        </w:rPr>
      </w:pPr>
      <w:r>
        <w:rPr>
          <w:lang w:val="ru-RU"/>
        </w:rPr>
        <w:t xml:space="preserve">В целом, что касается всех внебюджетных средств, их эффективное использование тоже зависит от тщательной </w:t>
      </w:r>
      <w:r w:rsidRPr="00A06B36">
        <w:rPr>
          <w:lang w:val="ru-RU"/>
        </w:rPr>
        <w:t>калькуляции</w:t>
      </w:r>
      <w:r>
        <w:rPr>
          <w:lang w:val="ru-RU"/>
        </w:rPr>
        <w:t xml:space="preserve"> затрат на мероприятие, в том числе, времени работы персонала. </w:t>
      </w:r>
      <w:proofErr w:type="gramStart"/>
      <w:r>
        <w:rPr>
          <w:lang w:val="ru-RU"/>
        </w:rPr>
        <w:t>Усилия Секретариата в области применения политики Организации относительно возмещения расходов при использовании средств Фонда, как этого требует Комитет (</w:t>
      </w:r>
      <w:hyperlink r:id="rId18" w:history="1">
        <w:r w:rsidRPr="000A1556">
          <w:rPr>
            <w:rStyle w:val="Hyperlink"/>
            <w:lang w:val="ru-RU"/>
          </w:rPr>
          <w:t>Решение 8.</w:t>
        </w:r>
        <w:r w:rsidRPr="000A1556">
          <w:rPr>
            <w:rStyle w:val="Hyperlink"/>
          </w:rPr>
          <w:t>COM </w:t>
        </w:r>
        <w:r w:rsidRPr="000A1556">
          <w:rPr>
            <w:rStyle w:val="Hyperlink"/>
            <w:lang w:val="ru-RU"/>
          </w:rPr>
          <w:t>11</w:t>
        </w:r>
      </w:hyperlink>
      <w:r w:rsidRPr="00E77F45">
        <w:rPr>
          <w:lang w:val="ru-RU"/>
        </w:rPr>
        <w:t>)</w:t>
      </w:r>
      <w:r>
        <w:rPr>
          <w:lang w:val="ru-RU"/>
        </w:rPr>
        <w:t xml:space="preserve"> в соответствии со Статьей 5.2 Положения о финансах, тоже должны улучшить использование международной помощи и позволят возместить расходы на персонал, понесенные во время выполнения проектов и оказания технической помощи.</w:t>
      </w:r>
      <w:proofErr w:type="gramEnd"/>
    </w:p>
    <w:p w:rsidR="00E74685" w:rsidRPr="006E4C28" w:rsidRDefault="00E74685" w:rsidP="00E74685">
      <w:pPr>
        <w:pStyle w:val="5GAparabodytext"/>
        <w:rPr>
          <w:lang w:val="ru-RU"/>
        </w:rPr>
      </w:pPr>
      <w:proofErr w:type="gramStart"/>
      <w:r>
        <w:rPr>
          <w:lang w:val="ru-RU"/>
        </w:rPr>
        <w:t>Цель использования средств Фонда в течение прошлого двухлетнего периода заключалась в том, чтобы расходы равнялись или даже превосходили доходы в виде обязательных</w:t>
      </w:r>
      <w:r w:rsidRPr="007119A3">
        <w:rPr>
          <w:lang w:val="ru-RU"/>
        </w:rPr>
        <w:t xml:space="preserve"> </w:t>
      </w:r>
      <w:r>
        <w:rPr>
          <w:lang w:val="ru-RU"/>
        </w:rPr>
        <w:t>взносов за тот же период, что в результате привело бы к тому, что остаток средств в Фонде на конец 2015 года стал не больше остатка в конце 2013 года.</w:t>
      </w:r>
      <w:proofErr w:type="gramEnd"/>
      <w:r>
        <w:rPr>
          <w:lang w:val="ru-RU"/>
        </w:rPr>
        <w:t xml:space="preserve"> Эту цель не удалось достичь, поэтому будет разумно наметить ту же цель на текущее двухлетие, то есть, все 7 953 730</w:t>
      </w:r>
      <w:r w:rsidRPr="0070077F">
        <w:rPr>
          <w:lang w:val="ru-RU"/>
        </w:rPr>
        <w:t xml:space="preserve"> </w:t>
      </w:r>
      <w:r>
        <w:rPr>
          <w:lang w:val="ru-RU"/>
        </w:rPr>
        <w:t>долларов, заложенные в плане, использовать из средств Фонда, чтобы остаток сре</w:t>
      </w:r>
      <w:proofErr w:type="gramStart"/>
      <w:r>
        <w:rPr>
          <w:lang w:val="ru-RU"/>
        </w:rPr>
        <w:t>дств в к</w:t>
      </w:r>
      <w:proofErr w:type="gramEnd"/>
      <w:r>
        <w:rPr>
          <w:lang w:val="ru-RU"/>
        </w:rPr>
        <w:t>онце двух лет не превысил показатель в начале</w:t>
      </w:r>
      <w:r w:rsidRPr="0070077F">
        <w:rPr>
          <w:lang w:val="ru-RU"/>
        </w:rPr>
        <w:t xml:space="preserve"> </w:t>
      </w:r>
      <w:r>
        <w:rPr>
          <w:lang w:val="ru-RU"/>
        </w:rPr>
        <w:t xml:space="preserve">периода.  </w:t>
      </w:r>
    </w:p>
    <w:p w:rsidR="00E74685" w:rsidRPr="00F21FB5" w:rsidRDefault="00E74685" w:rsidP="00E74685">
      <w:pPr>
        <w:pStyle w:val="5GAparabodytext"/>
        <w:rPr>
          <w:lang w:val="ru-RU"/>
        </w:rPr>
      </w:pPr>
      <w:proofErr w:type="gramStart"/>
      <w:r>
        <w:rPr>
          <w:lang w:val="ru-RU"/>
        </w:rPr>
        <w:t>Хотя</w:t>
      </w:r>
      <w:r w:rsidRPr="00F21FB5">
        <w:rPr>
          <w:lang w:val="ru-RU"/>
        </w:rPr>
        <w:t xml:space="preserve"> </w:t>
      </w:r>
      <w:r>
        <w:rPr>
          <w:lang w:val="ru-RU"/>
        </w:rPr>
        <w:t xml:space="preserve">дополнительные добровольные взносы в Фонд не учитываются в Плане использования средств Фонда, который требует одобрения Генеральной ассамблеи, необходимо отметить, что добровольная поддержка Конвенции через Фонд нематериального культурного наследия переживает явный упадок, как по линии целевых взносов на программу повышения потенциала, так и взносов в </w:t>
      </w:r>
      <w:proofErr w:type="spellStart"/>
      <w:r>
        <w:rPr>
          <w:lang w:val="ru-RU"/>
        </w:rPr>
        <w:t>суб</w:t>
      </w:r>
      <w:proofErr w:type="spellEnd"/>
      <w:r>
        <w:rPr>
          <w:lang w:val="ru-RU"/>
        </w:rPr>
        <w:t>-фонд для укрепления людских ресурсов Секретариата</w:t>
      </w:r>
      <w:r w:rsidRPr="003A0AD4">
        <w:rPr>
          <w:rStyle w:val="FootnoteReference"/>
          <w:color w:val="000000"/>
        </w:rPr>
        <w:footnoteReference w:id="1"/>
      </w:r>
      <w:r w:rsidRPr="001F0969">
        <w:rPr>
          <w:color w:val="000000"/>
          <w:lang w:val="ru-RU"/>
        </w:rPr>
        <w:t>.</w:t>
      </w:r>
      <w:r>
        <w:rPr>
          <w:color w:val="000000"/>
          <w:lang w:val="ru-RU"/>
        </w:rPr>
        <w:t xml:space="preserve"> Недостаточность использования первой </w:t>
      </w:r>
      <w:r>
        <w:rPr>
          <w:color w:val="000000"/>
          <w:lang w:val="ru-RU"/>
        </w:rPr>
        <w:lastRenderedPageBreak/>
        <w:t>модели отрицательно сказывается на стратегии укрепления</w:t>
      </w:r>
      <w:proofErr w:type="gramEnd"/>
      <w:r>
        <w:rPr>
          <w:color w:val="000000"/>
          <w:lang w:val="ru-RU"/>
        </w:rPr>
        <w:t xml:space="preserve"> потенциала, поскольку она показала полное соответствие духу стратегии и позволяет эффективно использовать средства ЮНЕСКО в разных областях: от точной оценки реальных потребностей до консультаций с национальными партнерами по поводу осуществления проекта. Во втором случае недостаток взносов тоже сказывается отрицательно, поскольку </w:t>
      </w:r>
      <w:proofErr w:type="spellStart"/>
      <w:r>
        <w:rPr>
          <w:color w:val="000000"/>
          <w:lang w:val="ru-RU"/>
        </w:rPr>
        <w:t>суб</w:t>
      </w:r>
      <w:proofErr w:type="spellEnd"/>
      <w:r>
        <w:rPr>
          <w:color w:val="000000"/>
          <w:lang w:val="ru-RU"/>
        </w:rPr>
        <w:t xml:space="preserve">-фонд является единственным механизмом, обеспечивающим стабильный штат сотрудников, необходимый для осуществления деятельности, которую выполняет Секретариат, что ни в коем случае не дискредитирует достоинства других механизмов.  </w:t>
      </w:r>
    </w:p>
    <w:p w:rsidR="00E74685" w:rsidRPr="002F7BDA" w:rsidRDefault="00E74685" w:rsidP="00E74685">
      <w:pPr>
        <w:pStyle w:val="5GATitleResolution"/>
        <w:rPr>
          <w:lang w:val="ru-RU"/>
        </w:rPr>
      </w:pPr>
      <w:r>
        <w:rPr>
          <w:lang w:val="ru-RU"/>
        </w:rPr>
        <w:t>ПРОЕКТ РЕЗОЛЮЦИИ</w:t>
      </w:r>
      <w:r w:rsidRPr="002F7BDA">
        <w:rPr>
          <w:lang w:val="ru-RU"/>
        </w:rPr>
        <w:t xml:space="preserve"> 6.</w:t>
      </w:r>
      <w:r w:rsidRPr="003A0AD4">
        <w:t>GA</w:t>
      </w:r>
      <w:r w:rsidRPr="002F7BDA">
        <w:rPr>
          <w:lang w:val="ru-RU"/>
        </w:rPr>
        <w:t xml:space="preserve"> 9</w:t>
      </w:r>
    </w:p>
    <w:p w:rsidR="00E74685" w:rsidRPr="002F7BDA" w:rsidRDefault="00E74685" w:rsidP="00E74685">
      <w:pPr>
        <w:pStyle w:val="5GAPreambulaResolution"/>
        <w:rPr>
          <w:lang w:val="ru-RU"/>
        </w:rPr>
      </w:pPr>
      <w:r>
        <w:rPr>
          <w:lang w:val="ru-RU"/>
        </w:rPr>
        <w:t>Генеральная ассамблея</w:t>
      </w:r>
      <w:r w:rsidRPr="002F7BDA">
        <w:rPr>
          <w:lang w:val="ru-RU"/>
        </w:rPr>
        <w:t>,</w:t>
      </w:r>
    </w:p>
    <w:p w:rsidR="00E74685" w:rsidRPr="002F7BDA" w:rsidRDefault="00E74685" w:rsidP="00E74685">
      <w:pPr>
        <w:pStyle w:val="ListParagraph"/>
        <w:keepNext/>
        <w:numPr>
          <w:ilvl w:val="0"/>
          <w:numId w:val="20"/>
        </w:numPr>
        <w:autoSpaceDE w:val="0"/>
        <w:autoSpaceDN w:val="0"/>
        <w:adjustRightInd w:val="0"/>
        <w:spacing w:before="120" w:after="120"/>
        <w:ind w:left="1140" w:hanging="573"/>
        <w:contextualSpacing w:val="0"/>
        <w:jc w:val="both"/>
        <w:rPr>
          <w:rFonts w:ascii="Arial" w:hAnsi="Arial" w:cs="Arial"/>
          <w:sz w:val="22"/>
          <w:szCs w:val="22"/>
          <w:lang w:val="ru-RU"/>
        </w:rPr>
      </w:pPr>
      <w:r>
        <w:rPr>
          <w:rFonts w:ascii="Arial" w:hAnsi="Arial" w:cs="Arial"/>
          <w:sz w:val="22"/>
          <w:szCs w:val="22"/>
          <w:u w:val="single"/>
          <w:lang w:val="ru-RU"/>
        </w:rPr>
        <w:t>рассмотрев</w:t>
      </w:r>
      <w:r w:rsidRPr="00F72076">
        <w:rPr>
          <w:rFonts w:ascii="Arial" w:hAnsi="Arial" w:cs="Arial"/>
          <w:sz w:val="22"/>
          <w:szCs w:val="22"/>
          <w:lang w:val="ru-RU"/>
        </w:rPr>
        <w:t xml:space="preserve"> документы</w:t>
      </w:r>
      <w:r w:rsidRPr="002F7BDA">
        <w:rPr>
          <w:rFonts w:ascii="Arial" w:hAnsi="Arial" w:cs="Arial"/>
          <w:sz w:val="22"/>
          <w:szCs w:val="22"/>
          <w:lang w:val="ru-RU"/>
        </w:rPr>
        <w:t xml:space="preserve"> </w:t>
      </w:r>
      <w:r w:rsidRPr="003A0AD4">
        <w:rPr>
          <w:rFonts w:ascii="Arial" w:hAnsi="Arial" w:cs="Arial"/>
          <w:sz w:val="22"/>
          <w:szCs w:val="22"/>
          <w:lang w:val="en-GB"/>
        </w:rPr>
        <w:t>ITH</w:t>
      </w:r>
      <w:r w:rsidRPr="002F7BDA">
        <w:rPr>
          <w:rFonts w:ascii="Arial" w:hAnsi="Arial" w:cs="Arial"/>
          <w:sz w:val="22"/>
          <w:szCs w:val="22"/>
          <w:lang w:val="ru-RU"/>
        </w:rPr>
        <w:t>/16/6.</w:t>
      </w:r>
      <w:r w:rsidRPr="003A0AD4">
        <w:rPr>
          <w:rFonts w:ascii="Arial" w:hAnsi="Arial" w:cs="Arial"/>
          <w:sz w:val="22"/>
          <w:szCs w:val="22"/>
          <w:lang w:val="en-GB"/>
        </w:rPr>
        <w:t>GA</w:t>
      </w:r>
      <w:r w:rsidRPr="002F7BDA">
        <w:rPr>
          <w:rFonts w:ascii="Arial" w:hAnsi="Arial" w:cs="Arial"/>
          <w:sz w:val="22"/>
          <w:szCs w:val="22"/>
          <w:lang w:val="ru-RU"/>
        </w:rPr>
        <w:t xml:space="preserve">/9, </w:t>
      </w:r>
      <w:r w:rsidRPr="003A0AD4">
        <w:rPr>
          <w:rFonts w:ascii="Arial" w:hAnsi="Arial" w:cs="Arial"/>
          <w:sz w:val="22"/>
          <w:szCs w:val="22"/>
          <w:lang w:val="en-GB"/>
        </w:rPr>
        <w:t>ITH</w:t>
      </w:r>
      <w:r w:rsidRPr="002F7BDA">
        <w:rPr>
          <w:rFonts w:ascii="Arial" w:hAnsi="Arial" w:cs="Arial"/>
          <w:sz w:val="22"/>
          <w:szCs w:val="22"/>
          <w:lang w:val="ru-RU"/>
        </w:rPr>
        <w:t>/16/6.</w:t>
      </w:r>
      <w:r w:rsidRPr="003A0AD4">
        <w:rPr>
          <w:rFonts w:ascii="Arial" w:hAnsi="Arial" w:cs="Arial"/>
          <w:sz w:val="22"/>
          <w:szCs w:val="22"/>
          <w:lang w:val="en-GB"/>
        </w:rPr>
        <w:t>GA</w:t>
      </w:r>
      <w:r w:rsidRPr="002F7BDA">
        <w:rPr>
          <w:rFonts w:ascii="Arial" w:hAnsi="Arial" w:cs="Arial"/>
          <w:sz w:val="22"/>
          <w:szCs w:val="22"/>
          <w:lang w:val="ru-RU"/>
        </w:rPr>
        <w:t>/</w:t>
      </w:r>
      <w:r>
        <w:rPr>
          <w:rFonts w:ascii="Arial" w:hAnsi="Arial" w:cs="Arial"/>
          <w:sz w:val="22"/>
          <w:szCs w:val="22"/>
          <w:lang w:val="en-GB"/>
        </w:rPr>
        <w:t>INF</w:t>
      </w:r>
      <w:r w:rsidRPr="002F7BDA">
        <w:rPr>
          <w:rFonts w:ascii="Arial" w:hAnsi="Arial" w:cs="Arial"/>
          <w:sz w:val="22"/>
          <w:szCs w:val="22"/>
          <w:lang w:val="ru-RU"/>
        </w:rPr>
        <w:t xml:space="preserve">.9.1 </w:t>
      </w:r>
      <w:r>
        <w:rPr>
          <w:rFonts w:ascii="Arial" w:hAnsi="Arial" w:cs="Arial"/>
          <w:sz w:val="22"/>
          <w:szCs w:val="22"/>
          <w:lang w:val="ru-RU"/>
        </w:rPr>
        <w:t>и</w:t>
      </w:r>
      <w:r w:rsidRPr="002F7BDA">
        <w:rPr>
          <w:rFonts w:ascii="Arial" w:hAnsi="Arial" w:cs="Arial"/>
          <w:sz w:val="22"/>
          <w:szCs w:val="22"/>
          <w:lang w:val="ru-RU"/>
        </w:rPr>
        <w:t xml:space="preserve"> </w:t>
      </w:r>
      <w:r w:rsidRPr="003A0AD4">
        <w:rPr>
          <w:rFonts w:ascii="Arial" w:hAnsi="Arial" w:cs="Arial"/>
          <w:sz w:val="22"/>
          <w:szCs w:val="22"/>
          <w:lang w:val="en-GB"/>
        </w:rPr>
        <w:t>ITH</w:t>
      </w:r>
      <w:r w:rsidRPr="002F7BDA">
        <w:rPr>
          <w:rFonts w:ascii="Arial" w:hAnsi="Arial" w:cs="Arial"/>
          <w:sz w:val="22"/>
          <w:szCs w:val="22"/>
          <w:lang w:val="ru-RU"/>
        </w:rPr>
        <w:t>/16/6.</w:t>
      </w:r>
      <w:r w:rsidRPr="003A0AD4">
        <w:rPr>
          <w:rFonts w:ascii="Arial" w:hAnsi="Arial" w:cs="Arial"/>
          <w:sz w:val="22"/>
          <w:szCs w:val="22"/>
          <w:lang w:val="en-GB"/>
        </w:rPr>
        <w:t>GA</w:t>
      </w:r>
      <w:r w:rsidRPr="002F7BDA">
        <w:rPr>
          <w:rFonts w:ascii="Arial" w:hAnsi="Arial" w:cs="Arial"/>
          <w:sz w:val="22"/>
          <w:szCs w:val="22"/>
          <w:lang w:val="ru-RU"/>
        </w:rPr>
        <w:t>/</w:t>
      </w:r>
      <w:r>
        <w:rPr>
          <w:rFonts w:ascii="Arial" w:hAnsi="Arial" w:cs="Arial"/>
          <w:sz w:val="22"/>
          <w:szCs w:val="22"/>
          <w:lang w:val="en-GB"/>
        </w:rPr>
        <w:t>INF</w:t>
      </w:r>
      <w:r w:rsidRPr="002F7BDA">
        <w:rPr>
          <w:rFonts w:ascii="Arial" w:hAnsi="Arial" w:cs="Arial"/>
          <w:sz w:val="22"/>
          <w:szCs w:val="22"/>
          <w:lang w:val="ru-RU"/>
        </w:rPr>
        <w:t>.9.2,</w:t>
      </w:r>
    </w:p>
    <w:p w:rsidR="00E74685" w:rsidRPr="00A61400" w:rsidRDefault="00E74685" w:rsidP="00E74685">
      <w:pPr>
        <w:pStyle w:val="ListParagraph"/>
        <w:numPr>
          <w:ilvl w:val="0"/>
          <w:numId w:val="20"/>
        </w:numPr>
        <w:autoSpaceDE w:val="0"/>
        <w:autoSpaceDN w:val="0"/>
        <w:adjustRightInd w:val="0"/>
        <w:spacing w:before="120" w:after="120"/>
        <w:ind w:left="1140" w:hanging="573"/>
        <w:contextualSpacing w:val="0"/>
        <w:jc w:val="both"/>
        <w:rPr>
          <w:rFonts w:ascii="Arial" w:hAnsi="Arial" w:cs="Arial"/>
          <w:sz w:val="22"/>
          <w:szCs w:val="22"/>
          <w:lang w:val="ru-RU"/>
        </w:rPr>
      </w:pPr>
      <w:r w:rsidRPr="00C746EB">
        <w:rPr>
          <w:rFonts w:ascii="Arial" w:hAnsi="Arial" w:cs="Arial"/>
          <w:sz w:val="22"/>
          <w:szCs w:val="22"/>
          <w:u w:val="single"/>
          <w:lang w:val="ru-RU"/>
        </w:rPr>
        <w:t>ссылаясь</w:t>
      </w:r>
      <w:r w:rsidRPr="00A61400">
        <w:rPr>
          <w:rFonts w:ascii="Arial" w:hAnsi="Arial" w:cs="Arial"/>
          <w:sz w:val="22"/>
          <w:szCs w:val="22"/>
          <w:lang w:val="ru-RU"/>
        </w:rPr>
        <w:t xml:space="preserve"> </w:t>
      </w:r>
      <w:r>
        <w:rPr>
          <w:rFonts w:ascii="Arial" w:hAnsi="Arial" w:cs="Arial"/>
          <w:sz w:val="22"/>
          <w:szCs w:val="22"/>
          <w:lang w:val="ru-RU"/>
        </w:rPr>
        <w:t>на</w:t>
      </w:r>
      <w:r w:rsidRPr="00A61400">
        <w:rPr>
          <w:rFonts w:ascii="Arial" w:hAnsi="Arial" w:cs="Arial"/>
          <w:sz w:val="22"/>
          <w:szCs w:val="22"/>
          <w:lang w:val="ru-RU"/>
        </w:rPr>
        <w:t xml:space="preserve"> </w:t>
      </w:r>
      <w:r>
        <w:rPr>
          <w:rFonts w:ascii="Arial" w:hAnsi="Arial" w:cs="Arial"/>
          <w:sz w:val="22"/>
          <w:szCs w:val="22"/>
          <w:lang w:val="ru-RU"/>
        </w:rPr>
        <w:t>Статью</w:t>
      </w:r>
      <w:r w:rsidRPr="00A61400">
        <w:rPr>
          <w:rFonts w:ascii="Arial" w:hAnsi="Arial" w:cs="Arial"/>
          <w:sz w:val="22"/>
          <w:szCs w:val="22"/>
          <w:lang w:val="ru-RU"/>
        </w:rPr>
        <w:t xml:space="preserve"> </w:t>
      </w:r>
      <w:r>
        <w:rPr>
          <w:rFonts w:ascii="Arial" w:hAnsi="Arial" w:cs="Arial"/>
          <w:sz w:val="22"/>
          <w:szCs w:val="22"/>
          <w:lang w:val="ru-RU"/>
        </w:rPr>
        <w:t>7(с) Конвенции</w:t>
      </w:r>
      <w:r w:rsidRPr="00A61400">
        <w:rPr>
          <w:rFonts w:ascii="Arial" w:hAnsi="Arial" w:cs="Arial"/>
          <w:sz w:val="22"/>
          <w:szCs w:val="22"/>
          <w:lang w:val="ru-RU"/>
        </w:rPr>
        <w:t xml:space="preserve"> и </w:t>
      </w:r>
      <w:r>
        <w:rPr>
          <w:rFonts w:ascii="Arial" w:hAnsi="Arial" w:cs="Arial"/>
          <w:sz w:val="22"/>
          <w:szCs w:val="22"/>
          <w:lang w:val="ru-RU"/>
        </w:rPr>
        <w:t>пункты</w:t>
      </w:r>
      <w:r w:rsidRPr="00A61400">
        <w:rPr>
          <w:rFonts w:ascii="Arial" w:hAnsi="Arial" w:cs="Arial"/>
          <w:sz w:val="22"/>
          <w:szCs w:val="22"/>
          <w:lang w:val="ru-RU"/>
        </w:rPr>
        <w:t xml:space="preserve"> 66 и </w:t>
      </w:r>
      <w:r>
        <w:rPr>
          <w:rFonts w:ascii="Arial" w:hAnsi="Arial" w:cs="Arial"/>
          <w:sz w:val="22"/>
          <w:szCs w:val="22"/>
          <w:lang w:val="ru-RU"/>
        </w:rPr>
        <w:t>67 Оперативного руководства,</w:t>
      </w:r>
    </w:p>
    <w:p w:rsidR="00E74685" w:rsidRPr="00A61400" w:rsidRDefault="00E74685" w:rsidP="00E74685">
      <w:pPr>
        <w:pStyle w:val="ListParagraph"/>
        <w:numPr>
          <w:ilvl w:val="0"/>
          <w:numId w:val="20"/>
        </w:numPr>
        <w:autoSpaceDE w:val="0"/>
        <w:autoSpaceDN w:val="0"/>
        <w:adjustRightInd w:val="0"/>
        <w:spacing w:before="120" w:after="120"/>
        <w:ind w:left="1140" w:hanging="573"/>
        <w:contextualSpacing w:val="0"/>
        <w:jc w:val="both"/>
        <w:rPr>
          <w:rFonts w:ascii="Arial" w:hAnsi="Arial" w:cs="Arial"/>
          <w:sz w:val="22"/>
          <w:szCs w:val="22"/>
          <w:lang w:val="ru-RU"/>
        </w:rPr>
      </w:pPr>
      <w:proofErr w:type="gramStart"/>
      <w:r w:rsidRPr="00C746EB">
        <w:rPr>
          <w:rFonts w:ascii="Arial" w:hAnsi="Arial" w:cs="Arial"/>
          <w:sz w:val="22"/>
          <w:szCs w:val="22"/>
          <w:u w:val="single"/>
          <w:lang w:val="ru-RU"/>
        </w:rPr>
        <w:t>утверждает</w:t>
      </w:r>
      <w:r w:rsidRPr="00A61400">
        <w:rPr>
          <w:rFonts w:ascii="Arial" w:hAnsi="Arial" w:cs="Arial"/>
          <w:sz w:val="22"/>
          <w:szCs w:val="22"/>
          <w:lang w:val="ru-RU"/>
        </w:rPr>
        <w:t xml:space="preserve"> </w:t>
      </w:r>
      <w:r>
        <w:rPr>
          <w:rFonts w:ascii="Arial" w:hAnsi="Arial" w:cs="Arial"/>
          <w:sz w:val="22"/>
          <w:szCs w:val="22"/>
          <w:lang w:val="ru-RU"/>
        </w:rPr>
        <w:t>план</w:t>
      </w:r>
      <w:r w:rsidRPr="00A61400">
        <w:rPr>
          <w:rFonts w:ascii="Arial" w:hAnsi="Arial" w:cs="Arial"/>
          <w:sz w:val="22"/>
          <w:szCs w:val="22"/>
          <w:lang w:val="ru-RU"/>
        </w:rPr>
        <w:t xml:space="preserve"> </w:t>
      </w:r>
      <w:r>
        <w:rPr>
          <w:rFonts w:ascii="Arial" w:hAnsi="Arial" w:cs="Arial"/>
          <w:sz w:val="22"/>
          <w:szCs w:val="22"/>
          <w:lang w:val="ru-RU"/>
        </w:rPr>
        <w:t>использования</w:t>
      </w:r>
      <w:r w:rsidRPr="00A61400">
        <w:rPr>
          <w:rFonts w:ascii="Arial" w:hAnsi="Arial" w:cs="Arial"/>
          <w:sz w:val="22"/>
          <w:szCs w:val="22"/>
          <w:lang w:val="ru-RU"/>
        </w:rPr>
        <w:t xml:space="preserve"> </w:t>
      </w:r>
      <w:r>
        <w:rPr>
          <w:rFonts w:ascii="Arial" w:hAnsi="Arial" w:cs="Arial"/>
          <w:sz w:val="22"/>
          <w:szCs w:val="22"/>
          <w:lang w:val="ru-RU"/>
        </w:rPr>
        <w:t>средств</w:t>
      </w:r>
      <w:r w:rsidRPr="00A61400">
        <w:rPr>
          <w:rFonts w:ascii="Arial" w:hAnsi="Arial" w:cs="Arial"/>
          <w:sz w:val="22"/>
          <w:szCs w:val="22"/>
          <w:lang w:val="ru-RU"/>
        </w:rPr>
        <w:t xml:space="preserve"> </w:t>
      </w:r>
      <w:r>
        <w:rPr>
          <w:rFonts w:ascii="Arial" w:hAnsi="Arial" w:cs="Arial"/>
          <w:sz w:val="22"/>
          <w:szCs w:val="22"/>
          <w:lang w:val="ru-RU"/>
        </w:rPr>
        <w:t>Фонда</w:t>
      </w:r>
      <w:r w:rsidRPr="00A61400">
        <w:rPr>
          <w:rFonts w:ascii="Arial" w:hAnsi="Arial" w:cs="Arial"/>
          <w:sz w:val="22"/>
          <w:szCs w:val="22"/>
          <w:lang w:val="ru-RU"/>
        </w:rPr>
        <w:t xml:space="preserve"> </w:t>
      </w:r>
      <w:r>
        <w:rPr>
          <w:rFonts w:ascii="Arial" w:hAnsi="Arial" w:cs="Arial"/>
          <w:sz w:val="22"/>
          <w:szCs w:val="22"/>
          <w:lang w:val="ru-RU"/>
        </w:rPr>
        <w:t>на</w:t>
      </w:r>
      <w:r w:rsidRPr="00A61400">
        <w:rPr>
          <w:rFonts w:ascii="Arial" w:hAnsi="Arial" w:cs="Arial"/>
          <w:sz w:val="22"/>
          <w:szCs w:val="22"/>
          <w:lang w:val="ru-RU"/>
        </w:rPr>
        <w:t xml:space="preserve"> </w:t>
      </w:r>
      <w:r>
        <w:rPr>
          <w:rFonts w:ascii="Arial" w:hAnsi="Arial" w:cs="Arial"/>
          <w:sz w:val="22"/>
          <w:szCs w:val="22"/>
          <w:lang w:val="ru-RU"/>
        </w:rPr>
        <w:t>период</w:t>
      </w:r>
      <w:r w:rsidRPr="00A61400">
        <w:rPr>
          <w:rFonts w:ascii="Arial" w:hAnsi="Arial" w:cs="Arial"/>
          <w:sz w:val="22"/>
          <w:szCs w:val="22"/>
          <w:lang w:val="ru-RU"/>
        </w:rPr>
        <w:t xml:space="preserve"> </w:t>
      </w:r>
      <w:r>
        <w:rPr>
          <w:rFonts w:ascii="Arial" w:hAnsi="Arial" w:cs="Arial"/>
          <w:sz w:val="22"/>
          <w:szCs w:val="22"/>
          <w:lang w:val="ru-RU"/>
        </w:rPr>
        <w:t>с</w:t>
      </w:r>
      <w:r w:rsidRPr="00A61400">
        <w:rPr>
          <w:rFonts w:ascii="Arial" w:hAnsi="Arial" w:cs="Arial"/>
          <w:sz w:val="22"/>
          <w:szCs w:val="22"/>
          <w:lang w:val="ru-RU"/>
        </w:rPr>
        <w:t xml:space="preserve"> 1 </w:t>
      </w:r>
      <w:r>
        <w:rPr>
          <w:rFonts w:ascii="Arial" w:hAnsi="Arial" w:cs="Arial"/>
          <w:sz w:val="22"/>
          <w:szCs w:val="22"/>
          <w:lang w:val="ru-RU"/>
        </w:rPr>
        <w:t>января</w:t>
      </w:r>
      <w:r w:rsidRPr="00A61400">
        <w:rPr>
          <w:rFonts w:ascii="Arial" w:hAnsi="Arial" w:cs="Arial"/>
          <w:sz w:val="22"/>
          <w:szCs w:val="22"/>
          <w:lang w:val="ru-RU"/>
        </w:rPr>
        <w:t xml:space="preserve"> 2016 </w:t>
      </w:r>
      <w:r>
        <w:rPr>
          <w:rFonts w:ascii="Arial" w:hAnsi="Arial" w:cs="Arial"/>
          <w:sz w:val="22"/>
          <w:szCs w:val="22"/>
          <w:lang w:val="ru-RU"/>
        </w:rPr>
        <w:t>года</w:t>
      </w:r>
      <w:r w:rsidRPr="00A61400">
        <w:rPr>
          <w:rFonts w:ascii="Arial" w:hAnsi="Arial" w:cs="Arial"/>
          <w:sz w:val="22"/>
          <w:szCs w:val="22"/>
          <w:lang w:val="ru-RU"/>
        </w:rPr>
        <w:t xml:space="preserve"> </w:t>
      </w:r>
      <w:r>
        <w:rPr>
          <w:rFonts w:ascii="Arial" w:hAnsi="Arial" w:cs="Arial"/>
          <w:sz w:val="22"/>
          <w:szCs w:val="22"/>
          <w:lang w:val="ru-RU"/>
        </w:rPr>
        <w:t>до</w:t>
      </w:r>
      <w:r w:rsidRPr="00A61400">
        <w:rPr>
          <w:rFonts w:ascii="Arial" w:hAnsi="Arial" w:cs="Arial"/>
          <w:sz w:val="22"/>
          <w:szCs w:val="22"/>
          <w:lang w:val="ru-RU"/>
        </w:rPr>
        <w:t xml:space="preserve"> 31 </w:t>
      </w:r>
      <w:r>
        <w:rPr>
          <w:rFonts w:ascii="Arial" w:hAnsi="Arial" w:cs="Arial"/>
          <w:sz w:val="22"/>
          <w:szCs w:val="22"/>
          <w:lang w:val="ru-RU"/>
        </w:rPr>
        <w:t>декабря</w:t>
      </w:r>
      <w:r w:rsidRPr="00A61400">
        <w:rPr>
          <w:rFonts w:ascii="Arial" w:hAnsi="Arial" w:cs="Arial"/>
          <w:sz w:val="22"/>
          <w:szCs w:val="22"/>
          <w:lang w:val="ru-RU"/>
        </w:rPr>
        <w:t xml:space="preserve"> 2017 </w:t>
      </w:r>
      <w:r>
        <w:rPr>
          <w:rFonts w:ascii="Arial" w:hAnsi="Arial" w:cs="Arial"/>
          <w:sz w:val="22"/>
          <w:szCs w:val="22"/>
          <w:lang w:val="ru-RU"/>
        </w:rPr>
        <w:t>года</w:t>
      </w:r>
      <w:r w:rsidRPr="00A61400">
        <w:rPr>
          <w:rFonts w:ascii="Arial" w:hAnsi="Arial" w:cs="Arial"/>
          <w:sz w:val="22"/>
          <w:szCs w:val="22"/>
          <w:lang w:val="ru-RU"/>
        </w:rPr>
        <w:t xml:space="preserve">, </w:t>
      </w:r>
      <w:r>
        <w:rPr>
          <w:rFonts w:ascii="Arial" w:hAnsi="Arial" w:cs="Arial"/>
          <w:sz w:val="22"/>
          <w:szCs w:val="22"/>
          <w:lang w:val="ru-RU"/>
        </w:rPr>
        <w:t>а</w:t>
      </w:r>
      <w:r w:rsidRPr="00A61400">
        <w:rPr>
          <w:rFonts w:ascii="Arial" w:hAnsi="Arial" w:cs="Arial"/>
          <w:sz w:val="22"/>
          <w:szCs w:val="22"/>
          <w:lang w:val="ru-RU"/>
        </w:rPr>
        <w:t xml:space="preserve"> </w:t>
      </w:r>
      <w:r>
        <w:rPr>
          <w:rFonts w:ascii="Arial" w:hAnsi="Arial" w:cs="Arial"/>
          <w:sz w:val="22"/>
          <w:szCs w:val="22"/>
          <w:lang w:val="ru-RU"/>
        </w:rPr>
        <w:t>также</w:t>
      </w:r>
      <w:r w:rsidRPr="00A61400">
        <w:rPr>
          <w:rFonts w:ascii="Arial" w:hAnsi="Arial" w:cs="Arial"/>
          <w:sz w:val="22"/>
          <w:szCs w:val="22"/>
          <w:lang w:val="ru-RU"/>
        </w:rPr>
        <w:t xml:space="preserve"> </w:t>
      </w:r>
      <w:r>
        <w:rPr>
          <w:rFonts w:ascii="Arial" w:hAnsi="Arial" w:cs="Arial"/>
          <w:sz w:val="22"/>
          <w:szCs w:val="22"/>
          <w:lang w:val="ru-RU"/>
        </w:rPr>
        <w:t>на</w:t>
      </w:r>
      <w:r w:rsidRPr="00A61400">
        <w:rPr>
          <w:rFonts w:ascii="Arial" w:hAnsi="Arial" w:cs="Arial"/>
          <w:sz w:val="22"/>
          <w:szCs w:val="22"/>
          <w:lang w:val="ru-RU"/>
        </w:rPr>
        <w:t xml:space="preserve"> </w:t>
      </w:r>
      <w:r>
        <w:rPr>
          <w:rFonts w:ascii="Arial" w:hAnsi="Arial" w:cs="Arial"/>
          <w:sz w:val="22"/>
          <w:szCs w:val="22"/>
          <w:lang w:val="ru-RU"/>
        </w:rPr>
        <w:t>период</w:t>
      </w:r>
      <w:r w:rsidRPr="00A61400">
        <w:rPr>
          <w:rFonts w:ascii="Arial" w:hAnsi="Arial" w:cs="Arial"/>
          <w:sz w:val="22"/>
          <w:szCs w:val="22"/>
          <w:lang w:val="ru-RU"/>
        </w:rPr>
        <w:t xml:space="preserve"> </w:t>
      </w:r>
      <w:r>
        <w:rPr>
          <w:rFonts w:ascii="Arial" w:hAnsi="Arial" w:cs="Arial"/>
          <w:sz w:val="22"/>
          <w:szCs w:val="22"/>
          <w:lang w:val="ru-RU"/>
        </w:rPr>
        <w:t>с</w:t>
      </w:r>
      <w:r w:rsidRPr="00A61400">
        <w:rPr>
          <w:rFonts w:ascii="Arial" w:hAnsi="Arial" w:cs="Arial"/>
          <w:sz w:val="22"/>
          <w:szCs w:val="22"/>
          <w:lang w:val="ru-RU"/>
        </w:rPr>
        <w:t xml:space="preserve"> 1 </w:t>
      </w:r>
      <w:r>
        <w:rPr>
          <w:rFonts w:ascii="Arial" w:hAnsi="Arial" w:cs="Arial"/>
          <w:sz w:val="22"/>
          <w:szCs w:val="22"/>
          <w:lang w:val="ru-RU"/>
        </w:rPr>
        <w:t>января</w:t>
      </w:r>
      <w:r w:rsidRPr="00A61400">
        <w:rPr>
          <w:rFonts w:ascii="Arial" w:hAnsi="Arial" w:cs="Arial"/>
          <w:sz w:val="22"/>
          <w:szCs w:val="22"/>
          <w:lang w:val="ru-RU"/>
        </w:rPr>
        <w:t xml:space="preserve"> </w:t>
      </w:r>
      <w:r>
        <w:rPr>
          <w:rFonts w:ascii="Arial" w:hAnsi="Arial" w:cs="Arial"/>
          <w:sz w:val="22"/>
          <w:szCs w:val="22"/>
          <w:lang w:val="ru-RU"/>
        </w:rPr>
        <w:t>2018 года до</w:t>
      </w:r>
      <w:r w:rsidRPr="00A61400">
        <w:rPr>
          <w:rFonts w:ascii="Arial" w:hAnsi="Arial" w:cs="Arial"/>
          <w:sz w:val="22"/>
          <w:szCs w:val="22"/>
          <w:lang w:val="ru-RU"/>
        </w:rPr>
        <w:t xml:space="preserve"> </w:t>
      </w:r>
      <w:r>
        <w:rPr>
          <w:rFonts w:ascii="Arial" w:hAnsi="Arial" w:cs="Arial"/>
          <w:sz w:val="22"/>
          <w:szCs w:val="22"/>
          <w:lang w:val="ru-RU"/>
        </w:rPr>
        <w:t>30</w:t>
      </w:r>
      <w:r w:rsidRPr="00A61400">
        <w:rPr>
          <w:rFonts w:ascii="Arial" w:hAnsi="Arial" w:cs="Arial"/>
          <w:sz w:val="22"/>
          <w:szCs w:val="22"/>
          <w:lang w:val="ru-RU"/>
        </w:rPr>
        <w:t xml:space="preserve"> </w:t>
      </w:r>
      <w:r>
        <w:rPr>
          <w:rFonts w:ascii="Arial" w:hAnsi="Arial" w:cs="Arial"/>
          <w:sz w:val="22"/>
          <w:szCs w:val="22"/>
          <w:lang w:val="ru-RU"/>
        </w:rPr>
        <w:t>июня</w:t>
      </w:r>
      <w:r w:rsidRPr="00A61400">
        <w:rPr>
          <w:rFonts w:ascii="Arial" w:hAnsi="Arial" w:cs="Arial"/>
          <w:sz w:val="22"/>
          <w:szCs w:val="22"/>
          <w:lang w:val="ru-RU"/>
        </w:rPr>
        <w:t xml:space="preserve"> </w:t>
      </w:r>
      <w:r>
        <w:rPr>
          <w:rFonts w:ascii="Arial" w:hAnsi="Arial" w:cs="Arial"/>
          <w:sz w:val="22"/>
          <w:szCs w:val="22"/>
          <w:lang w:val="ru-RU"/>
        </w:rPr>
        <w:t>2018</w:t>
      </w:r>
      <w:r w:rsidRPr="00A61400">
        <w:rPr>
          <w:rFonts w:ascii="Arial" w:hAnsi="Arial" w:cs="Arial"/>
          <w:sz w:val="22"/>
          <w:szCs w:val="22"/>
          <w:lang w:val="ru-RU"/>
        </w:rPr>
        <w:t xml:space="preserve"> </w:t>
      </w:r>
      <w:r>
        <w:rPr>
          <w:rFonts w:ascii="Arial" w:hAnsi="Arial" w:cs="Arial"/>
          <w:sz w:val="22"/>
          <w:szCs w:val="22"/>
          <w:lang w:val="ru-RU"/>
        </w:rPr>
        <w:t>года</w:t>
      </w:r>
      <w:r w:rsidRPr="00A61400">
        <w:rPr>
          <w:rFonts w:ascii="Arial" w:hAnsi="Arial" w:cs="Arial"/>
          <w:sz w:val="22"/>
          <w:szCs w:val="22"/>
          <w:lang w:val="ru-RU"/>
        </w:rPr>
        <w:t xml:space="preserve">, </w:t>
      </w:r>
      <w:r>
        <w:rPr>
          <w:rFonts w:ascii="Arial" w:hAnsi="Arial" w:cs="Arial"/>
          <w:sz w:val="22"/>
          <w:szCs w:val="22"/>
          <w:lang w:val="ru-RU"/>
        </w:rPr>
        <w:t>который</w:t>
      </w:r>
      <w:r w:rsidRPr="00A61400">
        <w:rPr>
          <w:rFonts w:ascii="Arial" w:hAnsi="Arial" w:cs="Arial"/>
          <w:sz w:val="22"/>
          <w:szCs w:val="22"/>
          <w:lang w:val="ru-RU"/>
        </w:rPr>
        <w:t xml:space="preserve"> </w:t>
      </w:r>
      <w:r>
        <w:rPr>
          <w:rFonts w:ascii="Arial" w:hAnsi="Arial" w:cs="Arial"/>
          <w:sz w:val="22"/>
          <w:szCs w:val="22"/>
          <w:lang w:val="ru-RU"/>
        </w:rPr>
        <w:t>содержится в</w:t>
      </w:r>
      <w:r w:rsidRPr="00A61400">
        <w:rPr>
          <w:rFonts w:ascii="Arial" w:hAnsi="Arial" w:cs="Arial"/>
          <w:sz w:val="22"/>
          <w:szCs w:val="22"/>
          <w:lang w:val="ru-RU"/>
        </w:rPr>
        <w:t xml:space="preserve"> </w:t>
      </w:r>
      <w:r>
        <w:rPr>
          <w:rFonts w:ascii="Arial" w:hAnsi="Arial" w:cs="Arial"/>
          <w:sz w:val="22"/>
          <w:szCs w:val="22"/>
          <w:lang w:val="ru-RU"/>
        </w:rPr>
        <w:t>Приложении</w:t>
      </w:r>
      <w:r w:rsidRPr="00A61400">
        <w:rPr>
          <w:rFonts w:ascii="Arial" w:hAnsi="Arial" w:cs="Arial"/>
          <w:sz w:val="22"/>
          <w:szCs w:val="22"/>
          <w:lang w:val="ru-RU"/>
        </w:rPr>
        <w:t xml:space="preserve"> </w:t>
      </w:r>
      <w:r>
        <w:rPr>
          <w:rFonts w:ascii="Arial" w:hAnsi="Arial" w:cs="Arial"/>
          <w:sz w:val="22"/>
          <w:szCs w:val="22"/>
          <w:lang w:val="ru-RU"/>
        </w:rPr>
        <w:t>к</w:t>
      </w:r>
      <w:r w:rsidRPr="00A61400">
        <w:rPr>
          <w:rFonts w:ascii="Arial" w:hAnsi="Arial" w:cs="Arial"/>
          <w:sz w:val="22"/>
          <w:szCs w:val="22"/>
          <w:lang w:val="ru-RU"/>
        </w:rPr>
        <w:t xml:space="preserve"> </w:t>
      </w:r>
      <w:r>
        <w:rPr>
          <w:rFonts w:ascii="Arial" w:hAnsi="Arial" w:cs="Arial"/>
          <w:sz w:val="22"/>
          <w:szCs w:val="22"/>
          <w:lang w:val="ru-RU"/>
        </w:rPr>
        <w:t>данной</w:t>
      </w:r>
      <w:r w:rsidRPr="00A61400">
        <w:rPr>
          <w:rFonts w:ascii="Arial" w:hAnsi="Arial" w:cs="Arial"/>
          <w:sz w:val="22"/>
          <w:szCs w:val="22"/>
          <w:lang w:val="ru-RU"/>
        </w:rPr>
        <w:t xml:space="preserve"> </w:t>
      </w:r>
      <w:r>
        <w:rPr>
          <w:rFonts w:ascii="Arial" w:hAnsi="Arial" w:cs="Arial"/>
          <w:sz w:val="22"/>
          <w:szCs w:val="22"/>
          <w:lang w:val="ru-RU"/>
        </w:rPr>
        <w:t>Резолюции</w:t>
      </w:r>
      <w:r w:rsidRPr="00A61400">
        <w:rPr>
          <w:rFonts w:ascii="Arial" w:hAnsi="Arial" w:cs="Arial"/>
          <w:sz w:val="22"/>
          <w:szCs w:val="22"/>
          <w:lang w:val="ru-RU"/>
        </w:rPr>
        <w:t xml:space="preserve">, </w:t>
      </w:r>
      <w:r>
        <w:rPr>
          <w:rFonts w:ascii="Arial" w:hAnsi="Arial" w:cs="Arial"/>
          <w:sz w:val="22"/>
          <w:szCs w:val="22"/>
          <w:lang w:val="ru-RU"/>
        </w:rPr>
        <w:t>подразумевая</w:t>
      </w:r>
      <w:r w:rsidRPr="00A61400">
        <w:rPr>
          <w:rFonts w:ascii="Arial" w:hAnsi="Arial" w:cs="Arial"/>
          <w:sz w:val="22"/>
          <w:szCs w:val="22"/>
          <w:lang w:val="ru-RU"/>
        </w:rPr>
        <w:t xml:space="preserve">, </w:t>
      </w:r>
      <w:r>
        <w:rPr>
          <w:rFonts w:ascii="Arial" w:hAnsi="Arial" w:cs="Arial"/>
          <w:sz w:val="22"/>
          <w:szCs w:val="22"/>
          <w:lang w:val="ru-RU"/>
        </w:rPr>
        <w:t>что</w:t>
      </w:r>
      <w:r w:rsidRPr="00A61400">
        <w:rPr>
          <w:rFonts w:ascii="Arial" w:hAnsi="Arial" w:cs="Arial"/>
          <w:sz w:val="22"/>
          <w:szCs w:val="22"/>
          <w:lang w:val="ru-RU"/>
        </w:rPr>
        <w:t xml:space="preserve"> </w:t>
      </w:r>
      <w:r>
        <w:rPr>
          <w:rFonts w:ascii="Arial" w:hAnsi="Arial" w:cs="Arial"/>
          <w:sz w:val="22"/>
          <w:szCs w:val="22"/>
          <w:lang w:val="ru-RU"/>
        </w:rPr>
        <w:t>во</w:t>
      </w:r>
      <w:r w:rsidRPr="00A61400">
        <w:rPr>
          <w:rFonts w:ascii="Arial" w:hAnsi="Arial" w:cs="Arial"/>
          <w:sz w:val="22"/>
          <w:szCs w:val="22"/>
          <w:lang w:val="ru-RU"/>
        </w:rPr>
        <w:t xml:space="preserve"> </w:t>
      </w:r>
      <w:r>
        <w:rPr>
          <w:rFonts w:ascii="Arial" w:hAnsi="Arial" w:cs="Arial"/>
          <w:sz w:val="22"/>
          <w:szCs w:val="22"/>
          <w:lang w:val="ru-RU"/>
        </w:rPr>
        <w:t>время</w:t>
      </w:r>
      <w:r w:rsidRPr="00A61400">
        <w:rPr>
          <w:rFonts w:ascii="Arial" w:hAnsi="Arial" w:cs="Arial"/>
          <w:sz w:val="22"/>
          <w:szCs w:val="22"/>
          <w:lang w:val="ru-RU"/>
        </w:rPr>
        <w:t xml:space="preserve"> </w:t>
      </w:r>
      <w:r>
        <w:rPr>
          <w:rFonts w:ascii="Arial" w:hAnsi="Arial" w:cs="Arial"/>
          <w:sz w:val="22"/>
          <w:szCs w:val="22"/>
          <w:lang w:val="ru-RU"/>
        </w:rPr>
        <w:t>седьмой</w:t>
      </w:r>
      <w:r w:rsidRPr="00A61400">
        <w:rPr>
          <w:rFonts w:ascii="Arial" w:hAnsi="Arial" w:cs="Arial"/>
          <w:sz w:val="22"/>
          <w:szCs w:val="22"/>
          <w:lang w:val="ru-RU"/>
        </w:rPr>
        <w:t xml:space="preserve"> </w:t>
      </w:r>
      <w:r>
        <w:rPr>
          <w:rFonts w:ascii="Arial" w:hAnsi="Arial" w:cs="Arial"/>
          <w:sz w:val="22"/>
          <w:szCs w:val="22"/>
          <w:lang w:val="ru-RU"/>
        </w:rPr>
        <w:t>сессии</w:t>
      </w:r>
      <w:r w:rsidRPr="00A61400">
        <w:rPr>
          <w:rFonts w:ascii="Arial" w:hAnsi="Arial" w:cs="Arial"/>
          <w:sz w:val="22"/>
          <w:szCs w:val="22"/>
          <w:lang w:val="ru-RU"/>
        </w:rPr>
        <w:t xml:space="preserve">, </w:t>
      </w:r>
      <w:r>
        <w:rPr>
          <w:rFonts w:ascii="Arial" w:hAnsi="Arial" w:cs="Arial"/>
          <w:sz w:val="22"/>
          <w:szCs w:val="22"/>
          <w:lang w:val="ru-RU"/>
        </w:rPr>
        <w:t>которая</w:t>
      </w:r>
      <w:r w:rsidRPr="00A61400">
        <w:rPr>
          <w:rFonts w:ascii="Arial" w:hAnsi="Arial" w:cs="Arial"/>
          <w:sz w:val="22"/>
          <w:szCs w:val="22"/>
          <w:lang w:val="ru-RU"/>
        </w:rPr>
        <w:t xml:space="preserve"> </w:t>
      </w:r>
      <w:r>
        <w:rPr>
          <w:rFonts w:ascii="Arial" w:hAnsi="Arial" w:cs="Arial"/>
          <w:sz w:val="22"/>
          <w:szCs w:val="22"/>
          <w:lang w:val="ru-RU"/>
        </w:rPr>
        <w:t>состоится</w:t>
      </w:r>
      <w:r w:rsidRPr="00A61400">
        <w:rPr>
          <w:rFonts w:ascii="Arial" w:hAnsi="Arial" w:cs="Arial"/>
          <w:sz w:val="22"/>
          <w:szCs w:val="22"/>
          <w:lang w:val="ru-RU"/>
        </w:rPr>
        <w:t xml:space="preserve"> </w:t>
      </w:r>
      <w:r>
        <w:rPr>
          <w:rFonts w:ascii="Arial" w:hAnsi="Arial" w:cs="Arial"/>
          <w:sz w:val="22"/>
          <w:szCs w:val="22"/>
          <w:lang w:val="ru-RU"/>
        </w:rPr>
        <w:t>в</w:t>
      </w:r>
      <w:r w:rsidRPr="00A61400">
        <w:rPr>
          <w:rFonts w:ascii="Arial" w:hAnsi="Arial" w:cs="Arial"/>
          <w:sz w:val="22"/>
          <w:szCs w:val="22"/>
          <w:lang w:val="ru-RU"/>
        </w:rPr>
        <w:t xml:space="preserve"> </w:t>
      </w:r>
      <w:r>
        <w:rPr>
          <w:rFonts w:ascii="Arial" w:hAnsi="Arial" w:cs="Arial"/>
          <w:sz w:val="22"/>
          <w:szCs w:val="22"/>
          <w:lang w:val="ru-RU"/>
        </w:rPr>
        <w:t>июне</w:t>
      </w:r>
      <w:r w:rsidRPr="00A61400">
        <w:rPr>
          <w:rFonts w:ascii="Arial" w:hAnsi="Arial" w:cs="Arial"/>
          <w:sz w:val="22"/>
          <w:szCs w:val="22"/>
          <w:lang w:val="ru-RU"/>
        </w:rPr>
        <w:t xml:space="preserve"> 2018 </w:t>
      </w:r>
      <w:r>
        <w:rPr>
          <w:rFonts w:ascii="Arial" w:hAnsi="Arial" w:cs="Arial"/>
          <w:sz w:val="22"/>
          <w:szCs w:val="22"/>
          <w:lang w:val="ru-RU"/>
        </w:rPr>
        <w:t>года</w:t>
      </w:r>
      <w:r w:rsidRPr="00A61400">
        <w:rPr>
          <w:rFonts w:ascii="Arial" w:hAnsi="Arial" w:cs="Arial"/>
          <w:sz w:val="22"/>
          <w:szCs w:val="22"/>
          <w:lang w:val="ru-RU"/>
        </w:rPr>
        <w:t xml:space="preserve">, </w:t>
      </w:r>
      <w:r>
        <w:rPr>
          <w:rFonts w:ascii="Arial" w:hAnsi="Arial" w:cs="Arial"/>
          <w:sz w:val="22"/>
          <w:szCs w:val="22"/>
          <w:lang w:val="ru-RU"/>
        </w:rPr>
        <w:t>она</w:t>
      </w:r>
      <w:r w:rsidRPr="00A61400">
        <w:rPr>
          <w:rFonts w:ascii="Arial" w:hAnsi="Arial" w:cs="Arial"/>
          <w:sz w:val="22"/>
          <w:szCs w:val="22"/>
          <w:lang w:val="ru-RU"/>
        </w:rPr>
        <w:t xml:space="preserve"> </w:t>
      </w:r>
      <w:r>
        <w:rPr>
          <w:rFonts w:ascii="Arial" w:hAnsi="Arial" w:cs="Arial"/>
          <w:sz w:val="22"/>
          <w:szCs w:val="22"/>
          <w:lang w:val="ru-RU"/>
        </w:rPr>
        <w:t>может</w:t>
      </w:r>
      <w:r w:rsidRPr="00A61400">
        <w:rPr>
          <w:rFonts w:ascii="Arial" w:hAnsi="Arial" w:cs="Arial"/>
          <w:sz w:val="22"/>
          <w:szCs w:val="22"/>
          <w:lang w:val="ru-RU"/>
        </w:rPr>
        <w:t xml:space="preserve"> </w:t>
      </w:r>
      <w:r>
        <w:rPr>
          <w:rFonts w:ascii="Arial" w:hAnsi="Arial" w:cs="Arial"/>
          <w:sz w:val="22"/>
          <w:szCs w:val="22"/>
          <w:lang w:val="ru-RU"/>
        </w:rPr>
        <w:t>внести</w:t>
      </w:r>
      <w:r w:rsidRPr="00A61400">
        <w:rPr>
          <w:rFonts w:ascii="Arial" w:hAnsi="Arial" w:cs="Arial"/>
          <w:sz w:val="22"/>
          <w:szCs w:val="22"/>
          <w:lang w:val="ru-RU"/>
        </w:rPr>
        <w:t xml:space="preserve"> </w:t>
      </w:r>
      <w:r>
        <w:rPr>
          <w:rFonts w:ascii="Arial" w:hAnsi="Arial" w:cs="Arial"/>
          <w:sz w:val="22"/>
          <w:szCs w:val="22"/>
          <w:lang w:val="ru-RU"/>
        </w:rPr>
        <w:t>изменения</w:t>
      </w:r>
      <w:r w:rsidRPr="00A61400">
        <w:rPr>
          <w:rFonts w:ascii="Arial" w:hAnsi="Arial" w:cs="Arial"/>
          <w:sz w:val="22"/>
          <w:szCs w:val="22"/>
          <w:lang w:val="ru-RU"/>
        </w:rPr>
        <w:t xml:space="preserve"> </w:t>
      </w:r>
      <w:r>
        <w:rPr>
          <w:rFonts w:ascii="Arial" w:hAnsi="Arial" w:cs="Arial"/>
          <w:sz w:val="22"/>
          <w:szCs w:val="22"/>
          <w:lang w:val="ru-RU"/>
        </w:rPr>
        <w:t>в</w:t>
      </w:r>
      <w:r w:rsidRPr="00A61400">
        <w:rPr>
          <w:rFonts w:ascii="Arial" w:hAnsi="Arial" w:cs="Arial"/>
          <w:sz w:val="22"/>
          <w:szCs w:val="22"/>
          <w:lang w:val="ru-RU"/>
        </w:rPr>
        <w:t xml:space="preserve"> </w:t>
      </w:r>
      <w:r>
        <w:rPr>
          <w:rFonts w:ascii="Arial" w:hAnsi="Arial" w:cs="Arial"/>
          <w:sz w:val="22"/>
          <w:szCs w:val="22"/>
          <w:lang w:val="ru-RU"/>
        </w:rPr>
        <w:t>бюджетный</w:t>
      </w:r>
      <w:r w:rsidRPr="00A61400">
        <w:rPr>
          <w:rFonts w:ascii="Arial" w:hAnsi="Arial" w:cs="Arial"/>
          <w:sz w:val="22"/>
          <w:szCs w:val="22"/>
          <w:lang w:val="ru-RU"/>
        </w:rPr>
        <w:t xml:space="preserve"> </w:t>
      </w:r>
      <w:r>
        <w:rPr>
          <w:rFonts w:ascii="Arial" w:hAnsi="Arial" w:cs="Arial"/>
          <w:sz w:val="22"/>
          <w:szCs w:val="22"/>
          <w:lang w:val="ru-RU"/>
        </w:rPr>
        <w:t>план</w:t>
      </w:r>
      <w:r w:rsidRPr="00A61400">
        <w:rPr>
          <w:rFonts w:ascii="Arial" w:hAnsi="Arial" w:cs="Arial"/>
          <w:sz w:val="22"/>
          <w:szCs w:val="22"/>
          <w:lang w:val="ru-RU"/>
        </w:rPr>
        <w:t xml:space="preserve"> </w:t>
      </w:r>
      <w:r>
        <w:rPr>
          <w:rFonts w:ascii="Arial" w:hAnsi="Arial" w:cs="Arial"/>
          <w:sz w:val="22"/>
          <w:szCs w:val="22"/>
          <w:lang w:val="ru-RU"/>
        </w:rPr>
        <w:t>на</w:t>
      </w:r>
      <w:r w:rsidRPr="00A61400">
        <w:rPr>
          <w:rFonts w:ascii="Arial" w:hAnsi="Arial" w:cs="Arial"/>
          <w:sz w:val="22"/>
          <w:szCs w:val="22"/>
          <w:lang w:val="ru-RU"/>
        </w:rPr>
        <w:t xml:space="preserve"> </w:t>
      </w:r>
      <w:r>
        <w:rPr>
          <w:rFonts w:ascii="Arial" w:hAnsi="Arial" w:cs="Arial"/>
          <w:sz w:val="22"/>
          <w:szCs w:val="22"/>
          <w:lang w:val="ru-RU"/>
        </w:rPr>
        <w:t>период</w:t>
      </w:r>
      <w:r w:rsidRPr="00A61400">
        <w:rPr>
          <w:rFonts w:ascii="Arial" w:hAnsi="Arial" w:cs="Arial"/>
          <w:sz w:val="22"/>
          <w:szCs w:val="22"/>
          <w:lang w:val="ru-RU"/>
        </w:rPr>
        <w:t xml:space="preserve"> </w:t>
      </w:r>
      <w:r>
        <w:rPr>
          <w:rFonts w:ascii="Arial" w:hAnsi="Arial" w:cs="Arial"/>
          <w:sz w:val="22"/>
          <w:szCs w:val="22"/>
          <w:lang w:val="ru-RU"/>
        </w:rPr>
        <w:t>с</w:t>
      </w:r>
      <w:proofErr w:type="gramEnd"/>
      <w:r w:rsidRPr="00A61400">
        <w:rPr>
          <w:rFonts w:ascii="Arial" w:hAnsi="Arial" w:cs="Arial"/>
          <w:sz w:val="22"/>
          <w:szCs w:val="22"/>
          <w:lang w:val="ru-RU"/>
        </w:rPr>
        <w:t xml:space="preserve"> 1 </w:t>
      </w:r>
      <w:r>
        <w:rPr>
          <w:rFonts w:ascii="Arial" w:hAnsi="Arial" w:cs="Arial"/>
          <w:sz w:val="22"/>
          <w:szCs w:val="22"/>
          <w:lang w:val="ru-RU"/>
        </w:rPr>
        <w:t>января</w:t>
      </w:r>
      <w:r w:rsidRPr="00A61400">
        <w:rPr>
          <w:rFonts w:ascii="Arial" w:hAnsi="Arial" w:cs="Arial"/>
          <w:sz w:val="22"/>
          <w:szCs w:val="22"/>
          <w:lang w:val="ru-RU"/>
        </w:rPr>
        <w:t xml:space="preserve"> </w:t>
      </w:r>
      <w:r>
        <w:rPr>
          <w:rFonts w:ascii="Arial" w:hAnsi="Arial" w:cs="Arial"/>
          <w:sz w:val="22"/>
          <w:szCs w:val="22"/>
          <w:lang w:val="ru-RU"/>
        </w:rPr>
        <w:t>2018 года до</w:t>
      </w:r>
      <w:r w:rsidRPr="00A61400">
        <w:rPr>
          <w:rFonts w:ascii="Arial" w:hAnsi="Arial" w:cs="Arial"/>
          <w:sz w:val="22"/>
          <w:szCs w:val="22"/>
          <w:lang w:val="ru-RU"/>
        </w:rPr>
        <w:t xml:space="preserve"> 30 </w:t>
      </w:r>
      <w:r>
        <w:rPr>
          <w:rFonts w:ascii="Arial" w:hAnsi="Arial" w:cs="Arial"/>
          <w:sz w:val="22"/>
          <w:szCs w:val="22"/>
          <w:lang w:val="ru-RU"/>
        </w:rPr>
        <w:t>июня</w:t>
      </w:r>
      <w:r w:rsidRPr="00A61400">
        <w:rPr>
          <w:rFonts w:ascii="Arial" w:hAnsi="Arial" w:cs="Arial"/>
          <w:sz w:val="22"/>
          <w:szCs w:val="22"/>
          <w:lang w:val="ru-RU"/>
        </w:rPr>
        <w:t xml:space="preserve"> 2018 </w:t>
      </w:r>
      <w:r>
        <w:rPr>
          <w:rFonts w:ascii="Arial" w:hAnsi="Arial" w:cs="Arial"/>
          <w:sz w:val="22"/>
          <w:szCs w:val="22"/>
          <w:lang w:val="ru-RU"/>
        </w:rPr>
        <w:t>года</w:t>
      </w:r>
      <w:r w:rsidRPr="00A61400">
        <w:rPr>
          <w:rFonts w:ascii="Arial" w:hAnsi="Arial" w:cs="Arial"/>
          <w:sz w:val="22"/>
          <w:szCs w:val="22"/>
          <w:lang w:val="ru-RU"/>
        </w:rPr>
        <w:t>;</w:t>
      </w:r>
    </w:p>
    <w:p w:rsidR="00E74685" w:rsidRPr="003D7C2A" w:rsidRDefault="00E74685" w:rsidP="00E74685">
      <w:pPr>
        <w:numPr>
          <w:ilvl w:val="0"/>
          <w:numId w:val="20"/>
        </w:numPr>
        <w:autoSpaceDE w:val="0"/>
        <w:autoSpaceDN w:val="0"/>
        <w:adjustRightInd w:val="0"/>
        <w:spacing w:before="120" w:after="120"/>
        <w:jc w:val="both"/>
        <w:rPr>
          <w:rFonts w:ascii="Arial" w:hAnsi="Arial" w:cs="Arial"/>
          <w:sz w:val="22"/>
          <w:szCs w:val="22"/>
          <w:lang w:val="ru-RU"/>
        </w:rPr>
      </w:pPr>
      <w:r w:rsidRPr="00DC78A7">
        <w:rPr>
          <w:rFonts w:ascii="Arial" w:hAnsi="Arial" w:cs="Arial"/>
          <w:sz w:val="22"/>
          <w:szCs w:val="22"/>
          <w:u w:val="single"/>
          <w:lang w:val="ru-RU"/>
        </w:rPr>
        <w:t>уполномочивает</w:t>
      </w:r>
      <w:r w:rsidRPr="00F72076">
        <w:rPr>
          <w:rFonts w:ascii="Arial" w:hAnsi="Arial" w:cs="Arial"/>
          <w:sz w:val="22"/>
          <w:szCs w:val="22"/>
          <w:lang w:val="ru-RU"/>
        </w:rPr>
        <w:t xml:space="preserve"> </w:t>
      </w:r>
      <w:r>
        <w:rPr>
          <w:rFonts w:ascii="Arial" w:hAnsi="Arial" w:cs="Arial"/>
          <w:sz w:val="22"/>
          <w:szCs w:val="22"/>
          <w:lang w:val="ru-RU"/>
        </w:rPr>
        <w:t>Комитет</w:t>
      </w:r>
      <w:r w:rsidRPr="003D7C2A">
        <w:rPr>
          <w:rFonts w:ascii="Arial" w:hAnsi="Arial" w:cs="Arial"/>
          <w:sz w:val="22"/>
          <w:szCs w:val="22"/>
          <w:lang w:val="ru-RU"/>
        </w:rPr>
        <w:t xml:space="preserve"> </w:t>
      </w:r>
      <w:r>
        <w:rPr>
          <w:rFonts w:ascii="Arial" w:hAnsi="Arial" w:cs="Arial"/>
          <w:sz w:val="22"/>
          <w:szCs w:val="22"/>
          <w:lang w:val="ru-RU"/>
        </w:rPr>
        <w:t>в дальнейшем незамедлительно использовать</w:t>
      </w:r>
      <w:r w:rsidRPr="003D7C2A">
        <w:rPr>
          <w:rFonts w:ascii="Arial" w:hAnsi="Arial" w:cs="Arial"/>
          <w:sz w:val="22"/>
          <w:szCs w:val="22"/>
          <w:lang w:val="ru-RU"/>
        </w:rPr>
        <w:t xml:space="preserve"> </w:t>
      </w:r>
      <w:r>
        <w:rPr>
          <w:rFonts w:ascii="Arial" w:hAnsi="Arial" w:cs="Arial"/>
          <w:sz w:val="22"/>
          <w:szCs w:val="22"/>
          <w:lang w:val="ru-RU"/>
        </w:rPr>
        <w:t>любые</w:t>
      </w:r>
      <w:r w:rsidRPr="003D7C2A">
        <w:rPr>
          <w:rFonts w:ascii="Arial" w:hAnsi="Arial" w:cs="Arial"/>
          <w:sz w:val="22"/>
          <w:szCs w:val="22"/>
          <w:lang w:val="ru-RU"/>
        </w:rPr>
        <w:t xml:space="preserve"> </w:t>
      </w:r>
      <w:r>
        <w:rPr>
          <w:rFonts w:ascii="Arial" w:hAnsi="Arial" w:cs="Arial"/>
          <w:sz w:val="22"/>
          <w:szCs w:val="22"/>
          <w:lang w:val="ru-RU"/>
        </w:rPr>
        <w:t>дополнительные добровольные взносы</w:t>
      </w:r>
      <w:r w:rsidRPr="003D7C2A">
        <w:rPr>
          <w:rFonts w:ascii="Arial" w:hAnsi="Arial" w:cs="Arial"/>
          <w:sz w:val="22"/>
          <w:szCs w:val="22"/>
          <w:lang w:val="ru-RU"/>
        </w:rPr>
        <w:t xml:space="preserve">, </w:t>
      </w:r>
      <w:r>
        <w:rPr>
          <w:rFonts w:ascii="Arial" w:hAnsi="Arial" w:cs="Arial"/>
          <w:sz w:val="22"/>
          <w:szCs w:val="22"/>
          <w:lang w:val="ru-RU"/>
        </w:rPr>
        <w:t>полученные</w:t>
      </w:r>
      <w:r w:rsidRPr="003D7C2A">
        <w:rPr>
          <w:rFonts w:ascii="Arial" w:hAnsi="Arial" w:cs="Arial"/>
          <w:sz w:val="22"/>
          <w:szCs w:val="22"/>
          <w:lang w:val="ru-RU"/>
        </w:rPr>
        <w:t xml:space="preserve"> </w:t>
      </w:r>
      <w:r>
        <w:rPr>
          <w:rFonts w:ascii="Arial" w:hAnsi="Arial" w:cs="Arial"/>
          <w:sz w:val="22"/>
          <w:szCs w:val="22"/>
          <w:lang w:val="ru-RU"/>
        </w:rPr>
        <w:t>им</w:t>
      </w:r>
      <w:r w:rsidRPr="003D7C2A">
        <w:rPr>
          <w:rFonts w:ascii="Arial" w:hAnsi="Arial" w:cs="Arial"/>
          <w:sz w:val="22"/>
          <w:szCs w:val="22"/>
          <w:lang w:val="ru-RU"/>
        </w:rPr>
        <w:t xml:space="preserve"> </w:t>
      </w:r>
      <w:r>
        <w:rPr>
          <w:rFonts w:ascii="Arial" w:hAnsi="Arial" w:cs="Arial"/>
          <w:sz w:val="22"/>
          <w:szCs w:val="22"/>
          <w:lang w:val="ru-RU"/>
        </w:rPr>
        <w:t>в</w:t>
      </w:r>
      <w:r w:rsidRPr="003D7C2A">
        <w:rPr>
          <w:rFonts w:ascii="Arial" w:hAnsi="Arial" w:cs="Arial"/>
          <w:sz w:val="22"/>
          <w:szCs w:val="22"/>
          <w:lang w:val="ru-RU"/>
        </w:rPr>
        <w:t xml:space="preserve"> </w:t>
      </w:r>
      <w:r>
        <w:rPr>
          <w:rFonts w:ascii="Arial" w:hAnsi="Arial" w:cs="Arial"/>
          <w:sz w:val="22"/>
          <w:szCs w:val="22"/>
          <w:lang w:val="ru-RU"/>
        </w:rPr>
        <w:t>течение</w:t>
      </w:r>
      <w:r w:rsidRPr="003D7C2A">
        <w:rPr>
          <w:rFonts w:ascii="Arial" w:hAnsi="Arial" w:cs="Arial"/>
          <w:sz w:val="22"/>
          <w:szCs w:val="22"/>
          <w:lang w:val="ru-RU"/>
        </w:rPr>
        <w:t xml:space="preserve"> </w:t>
      </w:r>
      <w:r>
        <w:rPr>
          <w:rFonts w:ascii="Arial" w:hAnsi="Arial" w:cs="Arial"/>
          <w:sz w:val="22"/>
          <w:szCs w:val="22"/>
          <w:lang w:val="ru-RU"/>
        </w:rPr>
        <w:t>этого</w:t>
      </w:r>
      <w:r w:rsidRPr="003D7C2A">
        <w:rPr>
          <w:rFonts w:ascii="Arial" w:hAnsi="Arial" w:cs="Arial"/>
          <w:sz w:val="22"/>
          <w:szCs w:val="22"/>
          <w:lang w:val="ru-RU"/>
        </w:rPr>
        <w:t xml:space="preserve"> </w:t>
      </w:r>
      <w:r>
        <w:rPr>
          <w:rFonts w:ascii="Arial" w:hAnsi="Arial" w:cs="Arial"/>
          <w:sz w:val="22"/>
          <w:szCs w:val="22"/>
          <w:lang w:val="ru-RU"/>
        </w:rPr>
        <w:t>периода</w:t>
      </w:r>
      <w:r w:rsidRPr="003D7C2A">
        <w:rPr>
          <w:rFonts w:ascii="Arial" w:hAnsi="Arial" w:cs="Arial"/>
          <w:sz w:val="22"/>
          <w:szCs w:val="22"/>
          <w:lang w:val="ru-RU"/>
        </w:rPr>
        <w:t xml:space="preserve">, </w:t>
      </w:r>
      <w:r>
        <w:rPr>
          <w:rFonts w:ascii="Arial" w:hAnsi="Arial" w:cs="Arial"/>
          <w:sz w:val="22"/>
          <w:szCs w:val="22"/>
          <w:lang w:val="ru-RU"/>
        </w:rPr>
        <w:t>как</w:t>
      </w:r>
      <w:r w:rsidRPr="003D7C2A">
        <w:rPr>
          <w:rFonts w:ascii="Arial" w:hAnsi="Arial" w:cs="Arial"/>
          <w:sz w:val="22"/>
          <w:szCs w:val="22"/>
          <w:lang w:val="ru-RU"/>
        </w:rPr>
        <w:t xml:space="preserve"> </w:t>
      </w:r>
      <w:r>
        <w:rPr>
          <w:rFonts w:ascii="Arial" w:hAnsi="Arial" w:cs="Arial"/>
          <w:sz w:val="22"/>
          <w:szCs w:val="22"/>
          <w:lang w:val="ru-RU"/>
        </w:rPr>
        <w:t>это</w:t>
      </w:r>
      <w:r w:rsidRPr="003D7C2A">
        <w:rPr>
          <w:rFonts w:ascii="Arial" w:hAnsi="Arial" w:cs="Arial"/>
          <w:sz w:val="22"/>
          <w:szCs w:val="22"/>
          <w:lang w:val="ru-RU"/>
        </w:rPr>
        <w:t xml:space="preserve"> </w:t>
      </w:r>
      <w:r>
        <w:rPr>
          <w:rFonts w:ascii="Arial" w:hAnsi="Arial" w:cs="Arial"/>
          <w:sz w:val="22"/>
          <w:szCs w:val="22"/>
          <w:lang w:val="ru-RU"/>
        </w:rPr>
        <w:t>предусмотрено</w:t>
      </w:r>
      <w:r w:rsidRPr="003D7C2A">
        <w:rPr>
          <w:rFonts w:ascii="Arial" w:hAnsi="Arial" w:cs="Arial"/>
          <w:sz w:val="22"/>
          <w:szCs w:val="22"/>
          <w:lang w:val="ru-RU"/>
        </w:rPr>
        <w:t xml:space="preserve"> </w:t>
      </w:r>
      <w:r>
        <w:rPr>
          <w:rFonts w:ascii="Arial" w:hAnsi="Arial" w:cs="Arial"/>
          <w:sz w:val="22"/>
          <w:szCs w:val="22"/>
          <w:lang w:val="ru-RU"/>
        </w:rPr>
        <w:t>в</w:t>
      </w:r>
      <w:r w:rsidRPr="003D7C2A">
        <w:rPr>
          <w:rFonts w:ascii="Arial" w:hAnsi="Arial" w:cs="Arial"/>
          <w:sz w:val="22"/>
          <w:szCs w:val="22"/>
          <w:lang w:val="ru-RU"/>
        </w:rPr>
        <w:t xml:space="preserve"> </w:t>
      </w:r>
      <w:r>
        <w:rPr>
          <w:rFonts w:ascii="Arial" w:hAnsi="Arial" w:cs="Arial"/>
          <w:sz w:val="22"/>
          <w:szCs w:val="22"/>
          <w:lang w:val="ru-RU"/>
        </w:rPr>
        <w:t>Статье</w:t>
      </w:r>
      <w:r w:rsidRPr="003D7C2A">
        <w:rPr>
          <w:rFonts w:ascii="Arial" w:hAnsi="Arial" w:cs="Arial"/>
          <w:sz w:val="22"/>
          <w:szCs w:val="22"/>
          <w:lang w:val="ru-RU"/>
        </w:rPr>
        <w:t xml:space="preserve"> 2</w:t>
      </w:r>
      <w:r>
        <w:rPr>
          <w:rFonts w:ascii="Arial" w:hAnsi="Arial" w:cs="Arial"/>
          <w:sz w:val="22"/>
          <w:szCs w:val="22"/>
          <w:lang w:val="ru-RU"/>
        </w:rPr>
        <w:t>7</w:t>
      </w:r>
      <w:r w:rsidRPr="003D7C2A">
        <w:rPr>
          <w:rFonts w:ascii="Arial" w:hAnsi="Arial" w:cs="Arial"/>
          <w:sz w:val="22"/>
          <w:szCs w:val="22"/>
          <w:lang w:val="ru-RU"/>
        </w:rPr>
        <w:t xml:space="preserve"> </w:t>
      </w:r>
      <w:r>
        <w:rPr>
          <w:rFonts w:ascii="Arial" w:hAnsi="Arial" w:cs="Arial"/>
          <w:sz w:val="22"/>
          <w:szCs w:val="22"/>
          <w:lang w:val="ru-RU"/>
        </w:rPr>
        <w:t>Конвенции, в соответствии с процентными соотношениями, указанными в плане</w:t>
      </w:r>
      <w:r w:rsidRPr="00F72076">
        <w:rPr>
          <w:rFonts w:ascii="Arial" w:hAnsi="Arial" w:cs="Arial"/>
          <w:sz w:val="22"/>
          <w:szCs w:val="22"/>
          <w:lang w:val="ru-RU"/>
        </w:rPr>
        <w:t>;</w:t>
      </w:r>
    </w:p>
    <w:p w:rsidR="00E74685" w:rsidRDefault="00E74685" w:rsidP="00E74685">
      <w:pPr>
        <w:numPr>
          <w:ilvl w:val="0"/>
          <w:numId w:val="20"/>
        </w:numPr>
        <w:autoSpaceDE w:val="0"/>
        <w:autoSpaceDN w:val="0"/>
        <w:adjustRightInd w:val="0"/>
        <w:spacing w:before="120" w:after="120"/>
        <w:jc w:val="both"/>
        <w:rPr>
          <w:rFonts w:ascii="Arial" w:hAnsi="Arial" w:cs="Arial"/>
          <w:sz w:val="22"/>
          <w:szCs w:val="22"/>
          <w:lang w:val="ru-RU"/>
        </w:rPr>
      </w:pPr>
      <w:r w:rsidRPr="00A41EDD">
        <w:rPr>
          <w:rFonts w:ascii="Arial" w:hAnsi="Arial" w:cs="Arial"/>
          <w:sz w:val="22"/>
          <w:szCs w:val="22"/>
          <w:u w:val="single"/>
          <w:lang w:val="ru-RU"/>
        </w:rPr>
        <w:t>уполномочивает</w:t>
      </w:r>
      <w:r w:rsidRPr="00F72076">
        <w:rPr>
          <w:rFonts w:ascii="Arial" w:hAnsi="Arial" w:cs="Arial"/>
          <w:sz w:val="22"/>
          <w:szCs w:val="22"/>
          <w:u w:val="single"/>
          <w:lang w:val="ru-RU"/>
        </w:rPr>
        <w:t xml:space="preserve"> далее</w:t>
      </w:r>
      <w:r>
        <w:rPr>
          <w:rFonts w:ascii="Arial" w:hAnsi="Arial" w:cs="Arial"/>
          <w:sz w:val="22"/>
          <w:szCs w:val="22"/>
          <w:lang w:val="ru-RU"/>
        </w:rPr>
        <w:t xml:space="preserve"> Комитет</w:t>
      </w:r>
      <w:r w:rsidRPr="003D7C2A">
        <w:rPr>
          <w:rFonts w:ascii="Arial" w:hAnsi="Arial" w:cs="Arial"/>
          <w:sz w:val="22"/>
          <w:szCs w:val="22"/>
          <w:lang w:val="ru-RU"/>
        </w:rPr>
        <w:t xml:space="preserve"> </w:t>
      </w:r>
      <w:r>
        <w:rPr>
          <w:rFonts w:ascii="Arial" w:hAnsi="Arial" w:cs="Arial"/>
          <w:sz w:val="22"/>
          <w:szCs w:val="22"/>
          <w:lang w:val="ru-RU"/>
        </w:rPr>
        <w:t>в дальнейшем незамедлительно использовать</w:t>
      </w:r>
      <w:r w:rsidRPr="003D7C2A">
        <w:rPr>
          <w:rFonts w:ascii="Arial" w:hAnsi="Arial" w:cs="Arial"/>
          <w:sz w:val="22"/>
          <w:szCs w:val="22"/>
          <w:lang w:val="ru-RU"/>
        </w:rPr>
        <w:t xml:space="preserve"> </w:t>
      </w:r>
      <w:r>
        <w:rPr>
          <w:rFonts w:ascii="Arial" w:hAnsi="Arial" w:cs="Arial"/>
          <w:sz w:val="22"/>
          <w:szCs w:val="22"/>
          <w:lang w:val="ru-RU"/>
        </w:rPr>
        <w:t>любые</w:t>
      </w:r>
      <w:r w:rsidRPr="003D7C2A">
        <w:rPr>
          <w:rFonts w:ascii="Arial" w:hAnsi="Arial" w:cs="Arial"/>
          <w:sz w:val="22"/>
          <w:szCs w:val="22"/>
          <w:lang w:val="ru-RU"/>
        </w:rPr>
        <w:t xml:space="preserve"> </w:t>
      </w:r>
      <w:r>
        <w:rPr>
          <w:rFonts w:ascii="Arial" w:hAnsi="Arial" w:cs="Arial"/>
          <w:sz w:val="22"/>
          <w:szCs w:val="22"/>
          <w:lang w:val="ru-RU"/>
        </w:rPr>
        <w:t>взносы</w:t>
      </w:r>
      <w:r w:rsidRPr="003D7C2A">
        <w:rPr>
          <w:rFonts w:ascii="Arial" w:hAnsi="Arial" w:cs="Arial"/>
          <w:sz w:val="22"/>
          <w:szCs w:val="22"/>
          <w:lang w:val="ru-RU"/>
        </w:rPr>
        <w:t xml:space="preserve">, </w:t>
      </w:r>
      <w:r>
        <w:rPr>
          <w:rFonts w:ascii="Arial" w:hAnsi="Arial" w:cs="Arial"/>
          <w:sz w:val="22"/>
          <w:szCs w:val="22"/>
          <w:lang w:val="ru-RU"/>
        </w:rPr>
        <w:t>полученные</w:t>
      </w:r>
      <w:r w:rsidRPr="003D7C2A">
        <w:rPr>
          <w:rFonts w:ascii="Arial" w:hAnsi="Arial" w:cs="Arial"/>
          <w:sz w:val="22"/>
          <w:szCs w:val="22"/>
          <w:lang w:val="ru-RU"/>
        </w:rPr>
        <w:t xml:space="preserve"> </w:t>
      </w:r>
      <w:r>
        <w:rPr>
          <w:rFonts w:ascii="Arial" w:hAnsi="Arial" w:cs="Arial"/>
          <w:sz w:val="22"/>
          <w:szCs w:val="22"/>
          <w:lang w:val="ru-RU"/>
        </w:rPr>
        <w:t>им</w:t>
      </w:r>
      <w:r w:rsidRPr="003D7C2A">
        <w:rPr>
          <w:rFonts w:ascii="Arial" w:hAnsi="Arial" w:cs="Arial"/>
          <w:sz w:val="22"/>
          <w:szCs w:val="22"/>
          <w:lang w:val="ru-RU"/>
        </w:rPr>
        <w:t xml:space="preserve"> </w:t>
      </w:r>
      <w:r>
        <w:rPr>
          <w:rFonts w:ascii="Arial" w:hAnsi="Arial" w:cs="Arial"/>
          <w:sz w:val="22"/>
          <w:szCs w:val="22"/>
          <w:lang w:val="ru-RU"/>
        </w:rPr>
        <w:t>в</w:t>
      </w:r>
      <w:r w:rsidRPr="003D7C2A">
        <w:rPr>
          <w:rFonts w:ascii="Arial" w:hAnsi="Arial" w:cs="Arial"/>
          <w:sz w:val="22"/>
          <w:szCs w:val="22"/>
          <w:lang w:val="ru-RU"/>
        </w:rPr>
        <w:t xml:space="preserve"> </w:t>
      </w:r>
      <w:r>
        <w:rPr>
          <w:rFonts w:ascii="Arial" w:hAnsi="Arial" w:cs="Arial"/>
          <w:sz w:val="22"/>
          <w:szCs w:val="22"/>
          <w:lang w:val="ru-RU"/>
        </w:rPr>
        <w:t>течение</w:t>
      </w:r>
      <w:r w:rsidRPr="003D7C2A">
        <w:rPr>
          <w:rFonts w:ascii="Arial" w:hAnsi="Arial" w:cs="Arial"/>
          <w:sz w:val="22"/>
          <w:szCs w:val="22"/>
          <w:lang w:val="ru-RU"/>
        </w:rPr>
        <w:t xml:space="preserve"> </w:t>
      </w:r>
      <w:r>
        <w:rPr>
          <w:rFonts w:ascii="Arial" w:hAnsi="Arial" w:cs="Arial"/>
          <w:sz w:val="22"/>
          <w:szCs w:val="22"/>
          <w:lang w:val="ru-RU"/>
        </w:rPr>
        <w:t>этого</w:t>
      </w:r>
      <w:r w:rsidRPr="003D7C2A">
        <w:rPr>
          <w:rFonts w:ascii="Arial" w:hAnsi="Arial" w:cs="Arial"/>
          <w:sz w:val="22"/>
          <w:szCs w:val="22"/>
          <w:lang w:val="ru-RU"/>
        </w:rPr>
        <w:t xml:space="preserve"> </w:t>
      </w:r>
      <w:r>
        <w:rPr>
          <w:rFonts w:ascii="Arial" w:hAnsi="Arial" w:cs="Arial"/>
          <w:sz w:val="22"/>
          <w:szCs w:val="22"/>
          <w:lang w:val="ru-RU"/>
        </w:rPr>
        <w:t>периода</w:t>
      </w:r>
      <w:r w:rsidRPr="003D7C2A">
        <w:rPr>
          <w:rFonts w:ascii="Arial" w:hAnsi="Arial" w:cs="Arial"/>
          <w:sz w:val="22"/>
          <w:szCs w:val="22"/>
          <w:lang w:val="ru-RU"/>
        </w:rPr>
        <w:t xml:space="preserve">, </w:t>
      </w:r>
      <w:r>
        <w:rPr>
          <w:rFonts w:ascii="Arial" w:hAnsi="Arial" w:cs="Arial"/>
          <w:sz w:val="22"/>
          <w:szCs w:val="22"/>
          <w:lang w:val="ru-RU"/>
        </w:rPr>
        <w:t>для</w:t>
      </w:r>
      <w:r w:rsidRPr="003D7C2A">
        <w:rPr>
          <w:rFonts w:ascii="Arial" w:hAnsi="Arial" w:cs="Arial"/>
          <w:sz w:val="22"/>
          <w:szCs w:val="22"/>
          <w:lang w:val="ru-RU"/>
        </w:rPr>
        <w:t xml:space="preserve"> </w:t>
      </w:r>
      <w:r>
        <w:rPr>
          <w:rFonts w:ascii="Arial" w:hAnsi="Arial" w:cs="Arial"/>
          <w:sz w:val="22"/>
          <w:szCs w:val="22"/>
          <w:lang w:val="ru-RU"/>
        </w:rPr>
        <w:t>конкретных</w:t>
      </w:r>
      <w:r w:rsidRPr="003D7C2A">
        <w:rPr>
          <w:rFonts w:ascii="Arial" w:hAnsi="Arial" w:cs="Arial"/>
          <w:sz w:val="22"/>
          <w:szCs w:val="22"/>
          <w:lang w:val="ru-RU"/>
        </w:rPr>
        <w:t xml:space="preserve"> </w:t>
      </w:r>
      <w:r>
        <w:rPr>
          <w:rFonts w:ascii="Arial" w:hAnsi="Arial" w:cs="Arial"/>
          <w:sz w:val="22"/>
          <w:szCs w:val="22"/>
          <w:lang w:val="ru-RU"/>
        </w:rPr>
        <w:t>целей</w:t>
      </w:r>
      <w:r w:rsidRPr="003D7C2A">
        <w:rPr>
          <w:rFonts w:ascii="Arial" w:hAnsi="Arial" w:cs="Arial"/>
          <w:sz w:val="22"/>
          <w:szCs w:val="22"/>
          <w:lang w:val="ru-RU"/>
        </w:rPr>
        <w:t xml:space="preserve">, </w:t>
      </w:r>
      <w:r>
        <w:rPr>
          <w:rFonts w:ascii="Arial" w:hAnsi="Arial" w:cs="Arial"/>
          <w:sz w:val="22"/>
          <w:szCs w:val="22"/>
          <w:lang w:val="ru-RU"/>
        </w:rPr>
        <w:t>относящихся</w:t>
      </w:r>
      <w:r w:rsidRPr="003D7C2A">
        <w:rPr>
          <w:rFonts w:ascii="Arial" w:hAnsi="Arial" w:cs="Arial"/>
          <w:sz w:val="22"/>
          <w:szCs w:val="22"/>
          <w:lang w:val="ru-RU"/>
        </w:rPr>
        <w:t xml:space="preserve"> </w:t>
      </w:r>
      <w:r>
        <w:rPr>
          <w:rFonts w:ascii="Arial" w:hAnsi="Arial" w:cs="Arial"/>
          <w:sz w:val="22"/>
          <w:szCs w:val="22"/>
          <w:lang w:val="ru-RU"/>
        </w:rPr>
        <w:t>к</w:t>
      </w:r>
      <w:r w:rsidRPr="003D7C2A">
        <w:rPr>
          <w:rFonts w:ascii="Arial" w:hAnsi="Arial" w:cs="Arial"/>
          <w:sz w:val="22"/>
          <w:szCs w:val="22"/>
          <w:lang w:val="ru-RU"/>
        </w:rPr>
        <w:t xml:space="preserve"> </w:t>
      </w:r>
      <w:r>
        <w:rPr>
          <w:rFonts w:ascii="Arial" w:hAnsi="Arial" w:cs="Arial"/>
          <w:sz w:val="22"/>
          <w:szCs w:val="22"/>
          <w:lang w:val="ru-RU"/>
        </w:rPr>
        <w:t>определенным</w:t>
      </w:r>
      <w:r w:rsidRPr="003D7C2A">
        <w:rPr>
          <w:rFonts w:ascii="Arial" w:hAnsi="Arial" w:cs="Arial"/>
          <w:sz w:val="22"/>
          <w:szCs w:val="22"/>
          <w:lang w:val="ru-RU"/>
        </w:rPr>
        <w:t xml:space="preserve"> </w:t>
      </w:r>
      <w:r>
        <w:rPr>
          <w:rFonts w:ascii="Arial" w:hAnsi="Arial" w:cs="Arial"/>
          <w:sz w:val="22"/>
          <w:szCs w:val="22"/>
          <w:lang w:val="ru-RU"/>
        </w:rPr>
        <w:t>проектам</w:t>
      </w:r>
      <w:r w:rsidRPr="003D7C2A">
        <w:rPr>
          <w:rFonts w:ascii="Arial" w:hAnsi="Arial" w:cs="Arial"/>
          <w:sz w:val="22"/>
          <w:szCs w:val="22"/>
          <w:lang w:val="ru-RU"/>
        </w:rPr>
        <w:t xml:space="preserve">, </w:t>
      </w:r>
      <w:r>
        <w:rPr>
          <w:rFonts w:ascii="Arial" w:hAnsi="Arial" w:cs="Arial"/>
          <w:sz w:val="22"/>
          <w:szCs w:val="22"/>
          <w:lang w:val="ru-RU"/>
        </w:rPr>
        <w:t>при</w:t>
      </w:r>
      <w:r w:rsidRPr="003D7C2A">
        <w:rPr>
          <w:rFonts w:ascii="Arial" w:hAnsi="Arial" w:cs="Arial"/>
          <w:sz w:val="22"/>
          <w:szCs w:val="22"/>
          <w:lang w:val="ru-RU"/>
        </w:rPr>
        <w:t xml:space="preserve"> </w:t>
      </w:r>
      <w:r>
        <w:rPr>
          <w:rFonts w:ascii="Arial" w:hAnsi="Arial" w:cs="Arial"/>
          <w:sz w:val="22"/>
          <w:szCs w:val="22"/>
          <w:lang w:val="ru-RU"/>
        </w:rPr>
        <w:t>условии</w:t>
      </w:r>
      <w:r w:rsidRPr="003D7C2A">
        <w:rPr>
          <w:rFonts w:ascii="Arial" w:hAnsi="Arial" w:cs="Arial"/>
          <w:sz w:val="22"/>
          <w:szCs w:val="22"/>
          <w:lang w:val="ru-RU"/>
        </w:rPr>
        <w:t xml:space="preserve">, </w:t>
      </w:r>
      <w:r>
        <w:rPr>
          <w:rFonts w:ascii="Arial" w:hAnsi="Arial" w:cs="Arial"/>
          <w:sz w:val="22"/>
          <w:szCs w:val="22"/>
          <w:lang w:val="ru-RU"/>
        </w:rPr>
        <w:t>что</w:t>
      </w:r>
      <w:r w:rsidRPr="003D7C2A">
        <w:rPr>
          <w:rFonts w:ascii="Arial" w:hAnsi="Arial" w:cs="Arial"/>
          <w:sz w:val="22"/>
          <w:szCs w:val="22"/>
          <w:lang w:val="ru-RU"/>
        </w:rPr>
        <w:t xml:space="preserve"> </w:t>
      </w:r>
      <w:r>
        <w:rPr>
          <w:rFonts w:ascii="Arial" w:hAnsi="Arial" w:cs="Arial"/>
          <w:sz w:val="22"/>
          <w:szCs w:val="22"/>
          <w:lang w:val="ru-RU"/>
        </w:rPr>
        <w:t>эти</w:t>
      </w:r>
      <w:r w:rsidRPr="003D7C2A">
        <w:rPr>
          <w:rFonts w:ascii="Arial" w:hAnsi="Arial" w:cs="Arial"/>
          <w:sz w:val="22"/>
          <w:szCs w:val="22"/>
          <w:lang w:val="ru-RU"/>
        </w:rPr>
        <w:t xml:space="preserve"> </w:t>
      </w:r>
      <w:r>
        <w:rPr>
          <w:rFonts w:ascii="Arial" w:hAnsi="Arial" w:cs="Arial"/>
          <w:sz w:val="22"/>
          <w:szCs w:val="22"/>
          <w:lang w:val="ru-RU"/>
        </w:rPr>
        <w:t>проекты</w:t>
      </w:r>
      <w:r w:rsidRPr="003D7C2A">
        <w:rPr>
          <w:rFonts w:ascii="Arial" w:hAnsi="Arial" w:cs="Arial"/>
          <w:sz w:val="22"/>
          <w:szCs w:val="22"/>
          <w:lang w:val="ru-RU"/>
        </w:rPr>
        <w:t xml:space="preserve"> </w:t>
      </w:r>
      <w:r>
        <w:rPr>
          <w:rFonts w:ascii="Arial" w:hAnsi="Arial" w:cs="Arial"/>
          <w:sz w:val="22"/>
          <w:szCs w:val="22"/>
          <w:lang w:val="ru-RU"/>
        </w:rPr>
        <w:t>были</w:t>
      </w:r>
      <w:r w:rsidRPr="003D7C2A">
        <w:rPr>
          <w:rFonts w:ascii="Arial" w:hAnsi="Arial" w:cs="Arial"/>
          <w:sz w:val="22"/>
          <w:szCs w:val="22"/>
          <w:lang w:val="ru-RU"/>
        </w:rPr>
        <w:t xml:space="preserve"> </w:t>
      </w:r>
      <w:r>
        <w:rPr>
          <w:rFonts w:ascii="Arial" w:hAnsi="Arial" w:cs="Arial"/>
          <w:sz w:val="22"/>
          <w:szCs w:val="22"/>
          <w:lang w:val="ru-RU"/>
        </w:rPr>
        <w:t>одобрены</w:t>
      </w:r>
      <w:r w:rsidRPr="003D7C2A">
        <w:rPr>
          <w:rFonts w:ascii="Arial" w:hAnsi="Arial" w:cs="Arial"/>
          <w:sz w:val="22"/>
          <w:szCs w:val="22"/>
          <w:lang w:val="ru-RU"/>
        </w:rPr>
        <w:t xml:space="preserve"> </w:t>
      </w:r>
      <w:r>
        <w:rPr>
          <w:rFonts w:ascii="Arial" w:hAnsi="Arial" w:cs="Arial"/>
          <w:sz w:val="22"/>
          <w:szCs w:val="22"/>
          <w:lang w:val="ru-RU"/>
        </w:rPr>
        <w:t>Комитетом</w:t>
      </w:r>
      <w:r w:rsidRPr="003D7C2A">
        <w:rPr>
          <w:rFonts w:ascii="Arial" w:hAnsi="Arial" w:cs="Arial"/>
          <w:sz w:val="22"/>
          <w:szCs w:val="22"/>
          <w:lang w:val="ru-RU"/>
        </w:rPr>
        <w:t xml:space="preserve"> </w:t>
      </w:r>
      <w:r>
        <w:rPr>
          <w:rFonts w:ascii="Arial" w:hAnsi="Arial" w:cs="Arial"/>
          <w:sz w:val="22"/>
          <w:szCs w:val="22"/>
          <w:lang w:val="ru-RU"/>
        </w:rPr>
        <w:t>до</w:t>
      </w:r>
      <w:r w:rsidRPr="003D7C2A">
        <w:rPr>
          <w:rFonts w:ascii="Arial" w:hAnsi="Arial" w:cs="Arial"/>
          <w:sz w:val="22"/>
          <w:szCs w:val="22"/>
          <w:lang w:val="ru-RU"/>
        </w:rPr>
        <w:t xml:space="preserve"> </w:t>
      </w:r>
      <w:r>
        <w:rPr>
          <w:rFonts w:ascii="Arial" w:hAnsi="Arial" w:cs="Arial"/>
          <w:sz w:val="22"/>
          <w:szCs w:val="22"/>
          <w:lang w:val="ru-RU"/>
        </w:rPr>
        <w:t>получения</w:t>
      </w:r>
      <w:r w:rsidRPr="003D7C2A">
        <w:rPr>
          <w:rFonts w:ascii="Arial" w:hAnsi="Arial" w:cs="Arial"/>
          <w:sz w:val="22"/>
          <w:szCs w:val="22"/>
          <w:lang w:val="ru-RU"/>
        </w:rPr>
        <w:t xml:space="preserve"> </w:t>
      </w:r>
      <w:r>
        <w:rPr>
          <w:rFonts w:ascii="Arial" w:hAnsi="Arial" w:cs="Arial"/>
          <w:sz w:val="22"/>
          <w:szCs w:val="22"/>
          <w:lang w:val="ru-RU"/>
        </w:rPr>
        <w:t>данных</w:t>
      </w:r>
      <w:r w:rsidRPr="003D7C2A">
        <w:rPr>
          <w:rFonts w:ascii="Arial" w:hAnsi="Arial" w:cs="Arial"/>
          <w:sz w:val="22"/>
          <w:szCs w:val="22"/>
          <w:lang w:val="ru-RU"/>
        </w:rPr>
        <w:t xml:space="preserve"> </w:t>
      </w:r>
      <w:r>
        <w:rPr>
          <w:rFonts w:ascii="Arial" w:hAnsi="Arial" w:cs="Arial"/>
          <w:sz w:val="22"/>
          <w:szCs w:val="22"/>
          <w:lang w:val="ru-RU"/>
        </w:rPr>
        <w:t>средств</w:t>
      </w:r>
      <w:r w:rsidRPr="003D7C2A">
        <w:rPr>
          <w:rFonts w:ascii="Arial" w:hAnsi="Arial" w:cs="Arial"/>
          <w:sz w:val="22"/>
          <w:szCs w:val="22"/>
          <w:lang w:val="ru-RU"/>
        </w:rPr>
        <w:t xml:space="preserve">, </w:t>
      </w:r>
      <w:r>
        <w:rPr>
          <w:rFonts w:ascii="Arial" w:hAnsi="Arial" w:cs="Arial"/>
          <w:sz w:val="22"/>
          <w:szCs w:val="22"/>
          <w:lang w:val="ru-RU"/>
        </w:rPr>
        <w:t>как</w:t>
      </w:r>
      <w:r w:rsidRPr="003D7C2A">
        <w:rPr>
          <w:rFonts w:ascii="Arial" w:hAnsi="Arial" w:cs="Arial"/>
          <w:sz w:val="22"/>
          <w:szCs w:val="22"/>
          <w:lang w:val="ru-RU"/>
        </w:rPr>
        <w:t xml:space="preserve"> </w:t>
      </w:r>
      <w:r>
        <w:rPr>
          <w:rFonts w:ascii="Arial" w:hAnsi="Arial" w:cs="Arial"/>
          <w:sz w:val="22"/>
          <w:szCs w:val="22"/>
          <w:lang w:val="ru-RU"/>
        </w:rPr>
        <w:t>это</w:t>
      </w:r>
      <w:r w:rsidRPr="003D7C2A">
        <w:rPr>
          <w:rFonts w:ascii="Arial" w:hAnsi="Arial" w:cs="Arial"/>
          <w:sz w:val="22"/>
          <w:szCs w:val="22"/>
          <w:lang w:val="ru-RU"/>
        </w:rPr>
        <w:t xml:space="preserve"> </w:t>
      </w:r>
      <w:r>
        <w:rPr>
          <w:rFonts w:ascii="Arial" w:hAnsi="Arial" w:cs="Arial"/>
          <w:sz w:val="22"/>
          <w:szCs w:val="22"/>
          <w:lang w:val="ru-RU"/>
        </w:rPr>
        <w:t>предусмотрено</w:t>
      </w:r>
      <w:r w:rsidRPr="003D7C2A">
        <w:rPr>
          <w:rFonts w:ascii="Arial" w:hAnsi="Arial" w:cs="Arial"/>
          <w:sz w:val="22"/>
          <w:szCs w:val="22"/>
          <w:lang w:val="ru-RU"/>
        </w:rPr>
        <w:t xml:space="preserve"> </w:t>
      </w:r>
      <w:r>
        <w:rPr>
          <w:rFonts w:ascii="Arial" w:hAnsi="Arial" w:cs="Arial"/>
          <w:sz w:val="22"/>
          <w:szCs w:val="22"/>
          <w:lang w:val="ru-RU"/>
        </w:rPr>
        <w:t>в</w:t>
      </w:r>
      <w:r w:rsidRPr="003D7C2A">
        <w:rPr>
          <w:rFonts w:ascii="Arial" w:hAnsi="Arial" w:cs="Arial"/>
          <w:sz w:val="22"/>
          <w:szCs w:val="22"/>
          <w:lang w:val="ru-RU"/>
        </w:rPr>
        <w:t xml:space="preserve"> </w:t>
      </w:r>
      <w:r>
        <w:rPr>
          <w:rFonts w:ascii="Arial" w:hAnsi="Arial" w:cs="Arial"/>
          <w:sz w:val="22"/>
          <w:szCs w:val="22"/>
          <w:lang w:val="ru-RU"/>
        </w:rPr>
        <w:t>Статье</w:t>
      </w:r>
      <w:r w:rsidRPr="003D7C2A">
        <w:rPr>
          <w:rFonts w:ascii="Arial" w:hAnsi="Arial" w:cs="Arial"/>
          <w:sz w:val="22"/>
          <w:szCs w:val="22"/>
          <w:lang w:val="ru-RU"/>
        </w:rPr>
        <w:t xml:space="preserve"> 25.5 </w:t>
      </w:r>
      <w:r>
        <w:rPr>
          <w:rFonts w:ascii="Arial" w:hAnsi="Arial" w:cs="Arial"/>
          <w:sz w:val="22"/>
          <w:szCs w:val="22"/>
          <w:lang w:val="ru-RU"/>
        </w:rPr>
        <w:t>Конвенции</w:t>
      </w:r>
      <w:r w:rsidRPr="003D7C2A">
        <w:rPr>
          <w:rFonts w:ascii="Arial" w:hAnsi="Arial" w:cs="Arial"/>
          <w:sz w:val="22"/>
          <w:szCs w:val="22"/>
          <w:lang w:val="ru-RU"/>
        </w:rPr>
        <w:t>;</w:t>
      </w:r>
    </w:p>
    <w:p w:rsidR="00E74685" w:rsidRPr="003D7C2A" w:rsidRDefault="00E74685" w:rsidP="00E74685">
      <w:pPr>
        <w:numPr>
          <w:ilvl w:val="0"/>
          <w:numId w:val="20"/>
        </w:numPr>
        <w:autoSpaceDE w:val="0"/>
        <w:autoSpaceDN w:val="0"/>
        <w:adjustRightInd w:val="0"/>
        <w:spacing w:before="120" w:after="120"/>
        <w:jc w:val="both"/>
        <w:rPr>
          <w:rFonts w:ascii="Arial" w:hAnsi="Arial" w:cs="Arial"/>
          <w:sz w:val="22"/>
          <w:szCs w:val="22"/>
          <w:lang w:val="ru-RU"/>
        </w:rPr>
      </w:pPr>
      <w:r w:rsidRPr="00F72076">
        <w:rPr>
          <w:rFonts w:ascii="Arial" w:hAnsi="Arial" w:cs="Arial"/>
          <w:sz w:val="22"/>
          <w:szCs w:val="22"/>
          <w:u w:val="single"/>
          <w:lang w:val="ru-RU"/>
        </w:rPr>
        <w:t>принимает во внимание</w:t>
      </w:r>
      <w:r w:rsidRPr="00A928AC">
        <w:rPr>
          <w:rFonts w:ascii="Arial" w:hAnsi="Arial" w:cs="Arial"/>
          <w:sz w:val="22"/>
          <w:szCs w:val="22"/>
          <w:lang w:val="ru-RU"/>
        </w:rPr>
        <w:t>, что Комитет установи</w:t>
      </w:r>
      <w:r>
        <w:rPr>
          <w:rFonts w:ascii="Arial" w:hAnsi="Arial" w:cs="Arial"/>
          <w:sz w:val="22"/>
          <w:szCs w:val="22"/>
          <w:lang w:val="ru-RU"/>
        </w:rPr>
        <w:t>л</w:t>
      </w:r>
      <w:r w:rsidRPr="00A928AC">
        <w:rPr>
          <w:rFonts w:ascii="Arial" w:hAnsi="Arial" w:cs="Arial"/>
          <w:sz w:val="22"/>
          <w:szCs w:val="22"/>
          <w:lang w:val="ru-RU"/>
        </w:rPr>
        <w:t xml:space="preserve"> объем </w:t>
      </w:r>
      <w:r>
        <w:rPr>
          <w:rFonts w:ascii="Arial" w:hAnsi="Arial" w:cs="Arial"/>
          <w:sz w:val="22"/>
          <w:szCs w:val="22"/>
          <w:lang w:val="ru-RU"/>
        </w:rPr>
        <w:t>Р</w:t>
      </w:r>
      <w:r w:rsidRPr="00A928AC">
        <w:rPr>
          <w:rFonts w:ascii="Arial" w:hAnsi="Arial" w:cs="Arial"/>
          <w:sz w:val="22"/>
          <w:szCs w:val="22"/>
          <w:lang w:val="ru-RU"/>
        </w:rPr>
        <w:t xml:space="preserve">езервного фонда </w:t>
      </w:r>
      <w:r>
        <w:rPr>
          <w:rFonts w:ascii="Arial" w:hAnsi="Arial" w:cs="Arial"/>
          <w:sz w:val="22"/>
          <w:szCs w:val="22"/>
          <w:lang w:val="ru-RU"/>
        </w:rPr>
        <w:t xml:space="preserve">в размере </w:t>
      </w:r>
      <w:r w:rsidRPr="00A928AC">
        <w:rPr>
          <w:rFonts w:ascii="Arial" w:hAnsi="Arial" w:cs="Arial"/>
          <w:sz w:val="22"/>
          <w:szCs w:val="22"/>
          <w:lang w:val="ru-RU"/>
        </w:rPr>
        <w:t xml:space="preserve">1 </w:t>
      </w:r>
      <w:proofErr w:type="gramStart"/>
      <w:r w:rsidRPr="00A928AC">
        <w:rPr>
          <w:rFonts w:ascii="Arial" w:hAnsi="Arial" w:cs="Arial"/>
          <w:sz w:val="22"/>
          <w:szCs w:val="22"/>
          <w:lang w:val="ru-RU"/>
        </w:rPr>
        <w:t>млн</w:t>
      </w:r>
      <w:proofErr w:type="gramEnd"/>
      <w:r w:rsidRPr="00A928AC">
        <w:rPr>
          <w:rFonts w:ascii="Arial" w:hAnsi="Arial" w:cs="Arial"/>
          <w:sz w:val="22"/>
          <w:szCs w:val="22"/>
          <w:lang w:val="ru-RU"/>
        </w:rPr>
        <w:t xml:space="preserve"> </w:t>
      </w:r>
      <w:r>
        <w:rPr>
          <w:rFonts w:ascii="Arial" w:hAnsi="Arial" w:cs="Arial"/>
          <w:sz w:val="22"/>
          <w:szCs w:val="22"/>
          <w:lang w:val="ru-RU"/>
        </w:rPr>
        <w:t>долларов</w:t>
      </w:r>
      <w:r w:rsidRPr="00A928AC">
        <w:rPr>
          <w:rFonts w:ascii="Arial" w:hAnsi="Arial" w:cs="Arial"/>
          <w:sz w:val="22"/>
          <w:szCs w:val="22"/>
          <w:lang w:val="ru-RU"/>
        </w:rPr>
        <w:t>;</w:t>
      </w:r>
    </w:p>
    <w:p w:rsidR="00E74685" w:rsidRPr="003D7C2A" w:rsidRDefault="00E74685" w:rsidP="00E74685">
      <w:pPr>
        <w:pStyle w:val="5GAParaResolution"/>
        <w:numPr>
          <w:ilvl w:val="0"/>
          <w:numId w:val="20"/>
        </w:numPr>
        <w:rPr>
          <w:lang w:val="ru-RU"/>
        </w:rPr>
      </w:pPr>
      <w:proofErr w:type="gramStart"/>
      <w:r w:rsidRPr="00722BF1">
        <w:rPr>
          <w:color w:val="000000"/>
          <w:u w:val="single"/>
          <w:lang w:val="ru-RU"/>
        </w:rPr>
        <w:t>принимает</w:t>
      </w:r>
      <w:r w:rsidRPr="003D7C2A">
        <w:rPr>
          <w:color w:val="000000"/>
          <w:u w:val="single"/>
          <w:lang w:val="ru-RU"/>
        </w:rPr>
        <w:t xml:space="preserve"> </w:t>
      </w:r>
      <w:r w:rsidRPr="002459A4">
        <w:rPr>
          <w:u w:val="single"/>
          <w:lang w:val="ru-RU"/>
        </w:rPr>
        <w:t>во внимание</w:t>
      </w:r>
      <w:r w:rsidRPr="00722BF1">
        <w:rPr>
          <w:color w:val="000000"/>
          <w:u w:val="single"/>
          <w:lang w:val="ru-RU"/>
        </w:rPr>
        <w:t xml:space="preserve"> </w:t>
      </w:r>
      <w:r>
        <w:rPr>
          <w:color w:val="000000"/>
          <w:u w:val="single"/>
          <w:lang w:val="ru-RU"/>
        </w:rPr>
        <w:t>также</w:t>
      </w:r>
      <w:r w:rsidRPr="003D7C2A">
        <w:rPr>
          <w:color w:val="000000"/>
          <w:lang w:val="ru-RU"/>
        </w:rPr>
        <w:t xml:space="preserve">, </w:t>
      </w:r>
      <w:r>
        <w:rPr>
          <w:color w:val="000000"/>
          <w:lang w:val="ru-RU"/>
        </w:rPr>
        <w:t>что</w:t>
      </w:r>
      <w:r w:rsidRPr="003D7C2A">
        <w:rPr>
          <w:color w:val="000000"/>
          <w:lang w:val="ru-RU"/>
        </w:rPr>
        <w:t xml:space="preserve"> </w:t>
      </w:r>
      <w:r>
        <w:rPr>
          <w:color w:val="000000"/>
          <w:lang w:val="ru-RU"/>
        </w:rPr>
        <w:t>доноры</w:t>
      </w:r>
      <w:r w:rsidRPr="003D7C2A">
        <w:rPr>
          <w:color w:val="000000"/>
          <w:lang w:val="ru-RU"/>
        </w:rPr>
        <w:t xml:space="preserve">, </w:t>
      </w:r>
      <w:r>
        <w:rPr>
          <w:color w:val="000000"/>
          <w:lang w:val="ru-RU"/>
        </w:rPr>
        <w:t>а</w:t>
      </w:r>
      <w:r w:rsidRPr="003D7C2A">
        <w:rPr>
          <w:color w:val="000000"/>
          <w:lang w:val="ru-RU"/>
        </w:rPr>
        <w:t xml:space="preserve"> </w:t>
      </w:r>
      <w:r>
        <w:rPr>
          <w:color w:val="000000"/>
          <w:lang w:val="ru-RU"/>
        </w:rPr>
        <w:t>именно</w:t>
      </w:r>
      <w:r w:rsidRPr="003D7C2A">
        <w:rPr>
          <w:color w:val="000000"/>
          <w:lang w:val="ru-RU"/>
        </w:rPr>
        <w:t xml:space="preserve"> </w:t>
      </w:r>
      <w:r>
        <w:rPr>
          <w:color w:val="000000"/>
          <w:lang w:val="ru-RU"/>
        </w:rPr>
        <w:t>Азербайджан</w:t>
      </w:r>
      <w:r w:rsidRPr="003D7C2A">
        <w:rPr>
          <w:color w:val="000000"/>
          <w:lang w:val="ru-RU"/>
        </w:rPr>
        <w:t xml:space="preserve">, </w:t>
      </w:r>
      <w:r>
        <w:rPr>
          <w:color w:val="000000"/>
          <w:lang w:val="ru-RU"/>
        </w:rPr>
        <w:t>Буркина</w:t>
      </w:r>
      <w:r w:rsidRPr="003D7C2A">
        <w:rPr>
          <w:color w:val="000000"/>
          <w:lang w:val="ru-RU"/>
        </w:rPr>
        <w:t>-</w:t>
      </w:r>
      <w:r>
        <w:rPr>
          <w:color w:val="000000"/>
          <w:lang w:val="ru-RU"/>
        </w:rPr>
        <w:t>Фасо</w:t>
      </w:r>
      <w:r w:rsidRPr="003D7C2A">
        <w:rPr>
          <w:color w:val="000000"/>
          <w:lang w:val="ru-RU"/>
        </w:rPr>
        <w:t xml:space="preserve">, </w:t>
      </w:r>
      <w:r>
        <w:rPr>
          <w:color w:val="000000"/>
          <w:lang w:val="ru-RU"/>
        </w:rPr>
        <w:t>Китай</w:t>
      </w:r>
      <w:r w:rsidRPr="003D7C2A">
        <w:rPr>
          <w:color w:val="000000"/>
          <w:lang w:val="ru-RU"/>
        </w:rPr>
        <w:t xml:space="preserve">, </w:t>
      </w:r>
      <w:r>
        <w:rPr>
          <w:color w:val="000000"/>
          <w:lang w:val="ru-RU"/>
        </w:rPr>
        <w:t>Грузия</w:t>
      </w:r>
      <w:r w:rsidRPr="003D7C2A">
        <w:rPr>
          <w:color w:val="000000"/>
          <w:lang w:val="ru-RU"/>
        </w:rPr>
        <w:t xml:space="preserve">, </w:t>
      </w:r>
      <w:r>
        <w:rPr>
          <w:color w:val="000000"/>
          <w:lang w:val="ru-RU"/>
        </w:rPr>
        <w:t>Япония</w:t>
      </w:r>
      <w:r w:rsidRPr="003D7C2A">
        <w:rPr>
          <w:color w:val="000000"/>
          <w:lang w:val="ru-RU"/>
        </w:rPr>
        <w:t xml:space="preserve">, </w:t>
      </w:r>
      <w:r>
        <w:rPr>
          <w:color w:val="000000"/>
          <w:lang w:val="ru-RU"/>
        </w:rPr>
        <w:t>Монако</w:t>
      </w:r>
      <w:r w:rsidRPr="003D7C2A">
        <w:rPr>
          <w:color w:val="000000"/>
          <w:lang w:val="ru-RU"/>
        </w:rPr>
        <w:t xml:space="preserve">, </w:t>
      </w:r>
      <w:r>
        <w:rPr>
          <w:color w:val="000000"/>
          <w:lang w:val="ru-RU"/>
        </w:rPr>
        <w:t>Нидерланды</w:t>
      </w:r>
      <w:r w:rsidRPr="003D7C2A">
        <w:rPr>
          <w:color w:val="000000"/>
          <w:lang w:val="ru-RU"/>
        </w:rPr>
        <w:t xml:space="preserve">, </w:t>
      </w:r>
      <w:r>
        <w:rPr>
          <w:color w:val="000000"/>
          <w:lang w:val="ru-RU"/>
        </w:rPr>
        <w:t>Норвегия</w:t>
      </w:r>
      <w:r w:rsidRPr="003D7C2A">
        <w:rPr>
          <w:color w:val="000000"/>
          <w:lang w:val="ru-RU"/>
        </w:rPr>
        <w:t xml:space="preserve">, </w:t>
      </w:r>
      <w:r>
        <w:rPr>
          <w:color w:val="000000"/>
          <w:lang w:val="ru-RU"/>
        </w:rPr>
        <w:t>Португалия</w:t>
      </w:r>
      <w:r w:rsidRPr="003D7C2A">
        <w:rPr>
          <w:color w:val="000000"/>
          <w:lang w:val="ru-RU"/>
        </w:rPr>
        <w:t xml:space="preserve">, </w:t>
      </w:r>
      <w:r>
        <w:rPr>
          <w:color w:val="000000"/>
          <w:lang w:val="ru-RU"/>
        </w:rPr>
        <w:t>Испания</w:t>
      </w:r>
      <w:r w:rsidRPr="003D7C2A">
        <w:rPr>
          <w:color w:val="000000"/>
          <w:lang w:val="ru-RU"/>
        </w:rPr>
        <w:t xml:space="preserve"> </w:t>
      </w:r>
      <w:r>
        <w:rPr>
          <w:color w:val="000000"/>
          <w:lang w:val="ru-RU"/>
        </w:rPr>
        <w:t>и</w:t>
      </w:r>
      <w:r w:rsidRPr="003D7C2A">
        <w:rPr>
          <w:color w:val="000000"/>
          <w:lang w:val="ru-RU"/>
        </w:rPr>
        <w:t xml:space="preserve"> </w:t>
      </w:r>
      <w:r>
        <w:rPr>
          <w:color w:val="000000"/>
          <w:lang w:val="ru-RU"/>
        </w:rPr>
        <w:t>Объединенные</w:t>
      </w:r>
      <w:r w:rsidRPr="003D7C2A">
        <w:rPr>
          <w:color w:val="000000"/>
          <w:lang w:val="ru-RU"/>
        </w:rPr>
        <w:t xml:space="preserve"> </w:t>
      </w:r>
      <w:r>
        <w:rPr>
          <w:color w:val="000000"/>
          <w:lang w:val="ru-RU"/>
        </w:rPr>
        <w:t>Арабские</w:t>
      </w:r>
      <w:r w:rsidRPr="003D7C2A">
        <w:rPr>
          <w:color w:val="000000"/>
          <w:lang w:val="ru-RU"/>
        </w:rPr>
        <w:t xml:space="preserve"> </w:t>
      </w:r>
      <w:r>
        <w:rPr>
          <w:color w:val="000000"/>
          <w:lang w:val="ru-RU"/>
        </w:rPr>
        <w:t>Эмираты</w:t>
      </w:r>
      <w:r w:rsidRPr="003D7C2A">
        <w:rPr>
          <w:color w:val="000000"/>
          <w:lang w:val="ru-RU"/>
        </w:rPr>
        <w:t xml:space="preserve">, </w:t>
      </w:r>
      <w:r>
        <w:rPr>
          <w:color w:val="000000"/>
          <w:lang w:val="ru-RU"/>
        </w:rPr>
        <w:t>а</w:t>
      </w:r>
      <w:r w:rsidRPr="003D7C2A">
        <w:rPr>
          <w:color w:val="000000"/>
          <w:lang w:val="ru-RU"/>
        </w:rPr>
        <w:t xml:space="preserve"> </w:t>
      </w:r>
      <w:r>
        <w:rPr>
          <w:color w:val="000000"/>
          <w:lang w:val="ru-RU"/>
        </w:rPr>
        <w:t>также</w:t>
      </w:r>
      <w:r w:rsidRPr="003D7C2A">
        <w:rPr>
          <w:color w:val="000000"/>
          <w:lang w:val="ru-RU"/>
        </w:rPr>
        <w:t xml:space="preserve"> </w:t>
      </w:r>
      <w:r>
        <w:rPr>
          <w:color w:val="000000"/>
          <w:lang w:val="ru-RU"/>
        </w:rPr>
        <w:t>Ассоциация</w:t>
      </w:r>
      <w:r w:rsidRPr="003D7C2A">
        <w:rPr>
          <w:color w:val="000000"/>
          <w:lang w:val="ru-RU"/>
        </w:rPr>
        <w:t xml:space="preserve"> </w:t>
      </w:r>
      <w:r>
        <w:rPr>
          <w:color w:val="000000"/>
          <w:lang w:val="ru-RU"/>
        </w:rPr>
        <w:t>по</w:t>
      </w:r>
      <w:r w:rsidRPr="003D7C2A">
        <w:rPr>
          <w:color w:val="000000"/>
          <w:lang w:val="ru-RU"/>
        </w:rPr>
        <w:t xml:space="preserve"> </w:t>
      </w:r>
      <w:r>
        <w:rPr>
          <w:color w:val="000000"/>
          <w:lang w:val="ru-RU"/>
        </w:rPr>
        <w:t>защите</w:t>
      </w:r>
      <w:r w:rsidRPr="003D7C2A">
        <w:rPr>
          <w:color w:val="000000"/>
          <w:lang w:val="ru-RU"/>
        </w:rPr>
        <w:t xml:space="preserve"> </w:t>
      </w:r>
      <w:r>
        <w:rPr>
          <w:color w:val="000000"/>
          <w:lang w:val="ru-RU"/>
        </w:rPr>
        <w:t>нематериального</w:t>
      </w:r>
      <w:r w:rsidRPr="003D7C2A">
        <w:rPr>
          <w:color w:val="000000"/>
          <w:lang w:val="ru-RU"/>
        </w:rPr>
        <w:t xml:space="preserve"> </w:t>
      </w:r>
      <w:r>
        <w:rPr>
          <w:color w:val="000000"/>
          <w:lang w:val="ru-RU"/>
        </w:rPr>
        <w:t>культурного</w:t>
      </w:r>
      <w:r w:rsidRPr="003D7C2A">
        <w:rPr>
          <w:color w:val="000000"/>
          <w:lang w:val="ru-RU"/>
        </w:rPr>
        <w:t xml:space="preserve"> </w:t>
      </w:r>
      <w:r>
        <w:rPr>
          <w:color w:val="000000"/>
          <w:lang w:val="ru-RU"/>
        </w:rPr>
        <w:t>наследия</w:t>
      </w:r>
      <w:r w:rsidRPr="003D7C2A">
        <w:rPr>
          <w:color w:val="000000"/>
          <w:lang w:val="ru-RU"/>
        </w:rPr>
        <w:t xml:space="preserve"> (</w:t>
      </w:r>
      <w:r>
        <w:rPr>
          <w:color w:val="000000"/>
          <w:lang w:val="ru-RU"/>
        </w:rPr>
        <w:t>Италия</w:t>
      </w:r>
      <w:r w:rsidRPr="003D7C2A">
        <w:rPr>
          <w:color w:val="000000"/>
          <w:lang w:val="ru-RU"/>
        </w:rPr>
        <w:t xml:space="preserve">) </w:t>
      </w:r>
      <w:r>
        <w:rPr>
          <w:color w:val="000000"/>
          <w:lang w:val="ru-RU"/>
        </w:rPr>
        <w:t>и</w:t>
      </w:r>
      <w:r w:rsidRPr="003D7C2A">
        <w:rPr>
          <w:color w:val="000000"/>
          <w:lang w:val="ru-RU"/>
        </w:rPr>
        <w:t xml:space="preserve"> </w:t>
      </w:r>
      <w:r>
        <w:rPr>
          <w:color w:val="000000"/>
          <w:lang w:val="ru-RU"/>
        </w:rPr>
        <w:t>Норвежский</w:t>
      </w:r>
      <w:r w:rsidRPr="003D7C2A">
        <w:rPr>
          <w:color w:val="000000"/>
          <w:lang w:val="ru-RU"/>
        </w:rPr>
        <w:t xml:space="preserve"> </w:t>
      </w:r>
      <w:r>
        <w:rPr>
          <w:color w:val="000000"/>
          <w:lang w:val="ru-RU"/>
        </w:rPr>
        <w:t>центр</w:t>
      </w:r>
      <w:r w:rsidRPr="003D7C2A">
        <w:rPr>
          <w:color w:val="000000"/>
          <w:lang w:val="ru-RU"/>
        </w:rPr>
        <w:t xml:space="preserve"> </w:t>
      </w:r>
      <w:r>
        <w:rPr>
          <w:color w:val="000000"/>
          <w:lang w:val="ru-RU"/>
        </w:rPr>
        <w:t>традиционной</w:t>
      </w:r>
      <w:r w:rsidRPr="003D7C2A">
        <w:rPr>
          <w:color w:val="000000"/>
          <w:lang w:val="ru-RU"/>
        </w:rPr>
        <w:t xml:space="preserve"> </w:t>
      </w:r>
      <w:r>
        <w:rPr>
          <w:color w:val="000000"/>
          <w:lang w:val="ru-RU"/>
        </w:rPr>
        <w:t>музыки</w:t>
      </w:r>
      <w:r w:rsidRPr="003D7C2A">
        <w:rPr>
          <w:color w:val="000000"/>
          <w:lang w:val="ru-RU"/>
        </w:rPr>
        <w:t xml:space="preserve">, </w:t>
      </w:r>
      <w:r>
        <w:rPr>
          <w:color w:val="000000"/>
          <w:lang w:val="ru-RU"/>
        </w:rPr>
        <w:t>в</w:t>
      </w:r>
      <w:r w:rsidRPr="003D7C2A">
        <w:rPr>
          <w:color w:val="000000"/>
          <w:lang w:val="ru-RU"/>
        </w:rPr>
        <w:t xml:space="preserve"> </w:t>
      </w:r>
      <w:r>
        <w:rPr>
          <w:color w:val="000000"/>
          <w:lang w:val="ru-RU"/>
        </w:rPr>
        <w:t>период</w:t>
      </w:r>
      <w:r w:rsidRPr="003D7C2A">
        <w:rPr>
          <w:color w:val="000000"/>
          <w:lang w:val="ru-RU"/>
        </w:rPr>
        <w:t xml:space="preserve"> </w:t>
      </w:r>
      <w:r>
        <w:rPr>
          <w:color w:val="000000"/>
          <w:lang w:val="ru-RU"/>
        </w:rPr>
        <w:t>после</w:t>
      </w:r>
      <w:r w:rsidRPr="003D7C2A">
        <w:rPr>
          <w:color w:val="000000"/>
          <w:lang w:val="ru-RU"/>
        </w:rPr>
        <w:t xml:space="preserve"> </w:t>
      </w:r>
      <w:r>
        <w:rPr>
          <w:color w:val="000000"/>
          <w:lang w:val="ru-RU"/>
        </w:rPr>
        <w:t>последней</w:t>
      </w:r>
      <w:r w:rsidRPr="003D7C2A">
        <w:rPr>
          <w:color w:val="000000"/>
          <w:lang w:val="ru-RU"/>
        </w:rPr>
        <w:t xml:space="preserve"> </w:t>
      </w:r>
      <w:r>
        <w:rPr>
          <w:color w:val="000000"/>
          <w:lang w:val="ru-RU"/>
        </w:rPr>
        <w:t>сессии</w:t>
      </w:r>
      <w:r w:rsidRPr="003D7C2A">
        <w:rPr>
          <w:color w:val="000000"/>
          <w:lang w:val="ru-RU"/>
        </w:rPr>
        <w:t xml:space="preserve"> </w:t>
      </w:r>
      <w:r>
        <w:rPr>
          <w:color w:val="000000"/>
          <w:lang w:val="ru-RU"/>
        </w:rPr>
        <w:t>внесли</w:t>
      </w:r>
      <w:r w:rsidRPr="003D7C2A">
        <w:rPr>
          <w:color w:val="000000"/>
          <w:lang w:val="ru-RU"/>
        </w:rPr>
        <w:t xml:space="preserve"> </w:t>
      </w:r>
      <w:r>
        <w:rPr>
          <w:color w:val="000000"/>
          <w:lang w:val="ru-RU"/>
        </w:rPr>
        <w:t>дополнительные</w:t>
      </w:r>
      <w:r w:rsidRPr="003D7C2A">
        <w:rPr>
          <w:color w:val="000000"/>
          <w:lang w:val="ru-RU"/>
        </w:rPr>
        <w:t xml:space="preserve"> </w:t>
      </w:r>
      <w:r>
        <w:rPr>
          <w:color w:val="000000"/>
          <w:lang w:val="ru-RU"/>
        </w:rPr>
        <w:t>добровольные</w:t>
      </w:r>
      <w:r w:rsidRPr="003D7C2A">
        <w:rPr>
          <w:color w:val="000000"/>
          <w:lang w:val="ru-RU"/>
        </w:rPr>
        <w:t xml:space="preserve"> </w:t>
      </w:r>
      <w:r>
        <w:rPr>
          <w:color w:val="000000"/>
          <w:lang w:val="ru-RU"/>
        </w:rPr>
        <w:t>взносы</w:t>
      </w:r>
      <w:r w:rsidRPr="003D7C2A">
        <w:rPr>
          <w:color w:val="000000"/>
          <w:lang w:val="ru-RU"/>
        </w:rPr>
        <w:t xml:space="preserve"> </w:t>
      </w:r>
      <w:r>
        <w:rPr>
          <w:color w:val="000000"/>
          <w:lang w:val="ru-RU"/>
        </w:rPr>
        <w:t>в</w:t>
      </w:r>
      <w:r w:rsidRPr="003D7C2A">
        <w:rPr>
          <w:color w:val="000000"/>
          <w:lang w:val="ru-RU"/>
        </w:rPr>
        <w:t xml:space="preserve"> </w:t>
      </w:r>
      <w:r>
        <w:rPr>
          <w:color w:val="000000"/>
          <w:lang w:val="ru-RU"/>
        </w:rPr>
        <w:t>Фонд</w:t>
      </w:r>
      <w:r w:rsidRPr="003D7C2A">
        <w:rPr>
          <w:rFonts w:eastAsia="Times New Roman"/>
          <w:lang w:val="ru-RU"/>
        </w:rPr>
        <w:t>;</w:t>
      </w:r>
      <w:proofErr w:type="gramEnd"/>
    </w:p>
    <w:p w:rsidR="00E74685" w:rsidRPr="003D7C2A" w:rsidRDefault="00E74685" w:rsidP="00E74685">
      <w:pPr>
        <w:numPr>
          <w:ilvl w:val="0"/>
          <w:numId w:val="20"/>
        </w:numPr>
        <w:autoSpaceDE w:val="0"/>
        <w:autoSpaceDN w:val="0"/>
        <w:adjustRightInd w:val="0"/>
        <w:spacing w:before="120" w:after="120"/>
        <w:jc w:val="both"/>
        <w:rPr>
          <w:rFonts w:ascii="Arial" w:hAnsi="Arial" w:cs="Arial"/>
          <w:sz w:val="22"/>
          <w:szCs w:val="22"/>
          <w:lang w:val="ru-RU"/>
        </w:rPr>
      </w:pPr>
      <w:r w:rsidRPr="005C6A16">
        <w:rPr>
          <w:rFonts w:ascii="Arial" w:hAnsi="Arial" w:cs="Arial"/>
          <w:sz w:val="22"/>
          <w:szCs w:val="22"/>
          <w:u w:val="single"/>
          <w:lang w:val="ru-RU"/>
        </w:rPr>
        <w:t>благодарит</w:t>
      </w:r>
      <w:r w:rsidRPr="003D7C2A">
        <w:rPr>
          <w:rFonts w:ascii="Arial" w:hAnsi="Arial" w:cs="Arial"/>
          <w:sz w:val="22"/>
          <w:szCs w:val="22"/>
          <w:lang w:val="ru-RU"/>
        </w:rPr>
        <w:t xml:space="preserve"> </w:t>
      </w:r>
      <w:r>
        <w:rPr>
          <w:rFonts w:ascii="Arial" w:hAnsi="Arial" w:cs="Arial"/>
          <w:sz w:val="22"/>
          <w:szCs w:val="22"/>
          <w:lang w:val="ru-RU"/>
        </w:rPr>
        <w:t>всех</w:t>
      </w:r>
      <w:r w:rsidRPr="003D7C2A">
        <w:rPr>
          <w:rFonts w:ascii="Arial" w:hAnsi="Arial" w:cs="Arial"/>
          <w:sz w:val="22"/>
          <w:szCs w:val="22"/>
          <w:lang w:val="ru-RU"/>
        </w:rPr>
        <w:t xml:space="preserve">, </w:t>
      </w:r>
      <w:r>
        <w:rPr>
          <w:rFonts w:ascii="Arial" w:hAnsi="Arial" w:cs="Arial"/>
          <w:sz w:val="22"/>
          <w:szCs w:val="22"/>
          <w:lang w:val="ru-RU"/>
        </w:rPr>
        <w:t>кто</w:t>
      </w:r>
      <w:r w:rsidRPr="003D7C2A">
        <w:rPr>
          <w:rFonts w:ascii="Arial" w:hAnsi="Arial" w:cs="Arial"/>
          <w:sz w:val="22"/>
          <w:szCs w:val="22"/>
          <w:lang w:val="ru-RU"/>
        </w:rPr>
        <w:t xml:space="preserve"> </w:t>
      </w:r>
      <w:r>
        <w:rPr>
          <w:rFonts w:ascii="Arial" w:hAnsi="Arial" w:cs="Arial"/>
          <w:sz w:val="22"/>
          <w:szCs w:val="22"/>
          <w:lang w:val="ru-RU"/>
        </w:rPr>
        <w:t>оказал</w:t>
      </w:r>
      <w:r w:rsidRPr="003D7C2A">
        <w:rPr>
          <w:rFonts w:ascii="Arial" w:hAnsi="Arial" w:cs="Arial"/>
          <w:sz w:val="22"/>
          <w:szCs w:val="22"/>
          <w:lang w:val="ru-RU"/>
        </w:rPr>
        <w:t xml:space="preserve"> </w:t>
      </w:r>
      <w:r>
        <w:rPr>
          <w:rFonts w:ascii="Arial" w:hAnsi="Arial" w:cs="Arial"/>
          <w:sz w:val="22"/>
          <w:szCs w:val="22"/>
          <w:lang w:val="ru-RU"/>
        </w:rPr>
        <w:t>поддержку</w:t>
      </w:r>
      <w:r w:rsidRPr="003D7C2A">
        <w:rPr>
          <w:rFonts w:ascii="Arial" w:hAnsi="Arial" w:cs="Arial"/>
          <w:sz w:val="22"/>
          <w:szCs w:val="22"/>
          <w:lang w:val="ru-RU"/>
        </w:rPr>
        <w:t xml:space="preserve"> </w:t>
      </w:r>
      <w:r>
        <w:rPr>
          <w:rFonts w:ascii="Arial" w:hAnsi="Arial" w:cs="Arial"/>
          <w:sz w:val="22"/>
          <w:szCs w:val="22"/>
          <w:lang w:val="ru-RU"/>
        </w:rPr>
        <w:t>Конвенции</w:t>
      </w:r>
      <w:r w:rsidRPr="003D7C2A">
        <w:rPr>
          <w:rFonts w:ascii="Arial" w:hAnsi="Arial" w:cs="Arial"/>
          <w:sz w:val="22"/>
          <w:szCs w:val="22"/>
          <w:lang w:val="ru-RU"/>
        </w:rPr>
        <w:t xml:space="preserve"> </w:t>
      </w:r>
      <w:r>
        <w:rPr>
          <w:rFonts w:ascii="Arial" w:hAnsi="Arial" w:cs="Arial"/>
          <w:sz w:val="22"/>
          <w:szCs w:val="22"/>
          <w:lang w:val="ru-RU"/>
        </w:rPr>
        <w:t>и</w:t>
      </w:r>
      <w:r w:rsidRPr="003D7C2A">
        <w:rPr>
          <w:rFonts w:ascii="Arial" w:hAnsi="Arial" w:cs="Arial"/>
          <w:sz w:val="22"/>
          <w:szCs w:val="22"/>
          <w:lang w:val="ru-RU"/>
        </w:rPr>
        <w:t xml:space="preserve"> </w:t>
      </w:r>
      <w:r>
        <w:rPr>
          <w:rFonts w:ascii="Arial" w:hAnsi="Arial" w:cs="Arial"/>
          <w:sz w:val="22"/>
          <w:szCs w:val="22"/>
          <w:lang w:val="ru-RU"/>
        </w:rPr>
        <w:t>ее</w:t>
      </w:r>
      <w:r w:rsidRPr="003D7C2A">
        <w:rPr>
          <w:rFonts w:ascii="Arial" w:hAnsi="Arial" w:cs="Arial"/>
          <w:sz w:val="22"/>
          <w:szCs w:val="22"/>
          <w:lang w:val="ru-RU"/>
        </w:rPr>
        <w:t xml:space="preserve"> </w:t>
      </w:r>
      <w:r>
        <w:rPr>
          <w:rFonts w:ascii="Arial" w:hAnsi="Arial" w:cs="Arial"/>
          <w:sz w:val="22"/>
          <w:szCs w:val="22"/>
          <w:lang w:val="ru-RU"/>
        </w:rPr>
        <w:t>Секретариату</w:t>
      </w:r>
      <w:r w:rsidRPr="003D7C2A">
        <w:rPr>
          <w:rFonts w:ascii="Arial" w:hAnsi="Arial" w:cs="Arial"/>
          <w:sz w:val="22"/>
          <w:szCs w:val="22"/>
          <w:lang w:val="ru-RU"/>
        </w:rPr>
        <w:t xml:space="preserve"> </w:t>
      </w:r>
      <w:r>
        <w:rPr>
          <w:rFonts w:ascii="Arial" w:hAnsi="Arial" w:cs="Arial"/>
          <w:sz w:val="22"/>
          <w:szCs w:val="22"/>
          <w:lang w:val="ru-RU"/>
        </w:rPr>
        <w:t>в</w:t>
      </w:r>
      <w:r w:rsidRPr="003D7C2A">
        <w:rPr>
          <w:rFonts w:ascii="Arial" w:hAnsi="Arial" w:cs="Arial"/>
          <w:sz w:val="22"/>
          <w:szCs w:val="22"/>
          <w:lang w:val="ru-RU"/>
        </w:rPr>
        <w:t xml:space="preserve"> </w:t>
      </w:r>
      <w:r>
        <w:rPr>
          <w:rFonts w:ascii="Arial" w:hAnsi="Arial" w:cs="Arial"/>
          <w:sz w:val="22"/>
          <w:szCs w:val="22"/>
          <w:lang w:val="ru-RU"/>
        </w:rPr>
        <w:t>период</w:t>
      </w:r>
      <w:r w:rsidRPr="003D7C2A">
        <w:rPr>
          <w:rFonts w:ascii="Arial" w:hAnsi="Arial" w:cs="Arial"/>
          <w:sz w:val="22"/>
          <w:szCs w:val="22"/>
          <w:lang w:val="ru-RU"/>
        </w:rPr>
        <w:t xml:space="preserve"> </w:t>
      </w:r>
      <w:r>
        <w:rPr>
          <w:rFonts w:ascii="Arial" w:hAnsi="Arial" w:cs="Arial"/>
          <w:sz w:val="22"/>
          <w:szCs w:val="22"/>
          <w:lang w:val="ru-RU"/>
        </w:rPr>
        <w:t>после</w:t>
      </w:r>
      <w:r w:rsidRPr="003D7C2A">
        <w:rPr>
          <w:rFonts w:ascii="Arial" w:hAnsi="Arial" w:cs="Arial"/>
          <w:sz w:val="22"/>
          <w:szCs w:val="22"/>
          <w:lang w:val="ru-RU"/>
        </w:rPr>
        <w:t xml:space="preserve"> </w:t>
      </w:r>
      <w:r>
        <w:rPr>
          <w:rFonts w:ascii="Arial" w:hAnsi="Arial" w:cs="Arial"/>
          <w:sz w:val="22"/>
          <w:szCs w:val="22"/>
          <w:lang w:val="ru-RU"/>
        </w:rPr>
        <w:t>последней</w:t>
      </w:r>
      <w:r w:rsidRPr="003D7C2A">
        <w:rPr>
          <w:rFonts w:ascii="Arial" w:hAnsi="Arial" w:cs="Arial"/>
          <w:sz w:val="22"/>
          <w:szCs w:val="22"/>
          <w:lang w:val="ru-RU"/>
        </w:rPr>
        <w:t xml:space="preserve"> </w:t>
      </w:r>
      <w:r>
        <w:rPr>
          <w:rFonts w:ascii="Arial" w:hAnsi="Arial" w:cs="Arial"/>
          <w:sz w:val="22"/>
          <w:szCs w:val="22"/>
          <w:lang w:val="ru-RU"/>
        </w:rPr>
        <w:t>сессии</w:t>
      </w:r>
      <w:r w:rsidRPr="003D7C2A">
        <w:rPr>
          <w:rFonts w:ascii="Arial" w:hAnsi="Arial" w:cs="Arial"/>
          <w:sz w:val="22"/>
          <w:szCs w:val="22"/>
          <w:lang w:val="ru-RU"/>
        </w:rPr>
        <w:t xml:space="preserve">, </w:t>
      </w:r>
      <w:r>
        <w:rPr>
          <w:rFonts w:ascii="Arial" w:hAnsi="Arial" w:cs="Arial"/>
          <w:sz w:val="22"/>
          <w:szCs w:val="22"/>
          <w:lang w:val="ru-RU"/>
        </w:rPr>
        <w:t>используя</w:t>
      </w:r>
      <w:r w:rsidRPr="003D7C2A">
        <w:rPr>
          <w:rFonts w:ascii="Arial" w:hAnsi="Arial" w:cs="Arial"/>
          <w:sz w:val="22"/>
          <w:szCs w:val="22"/>
          <w:lang w:val="ru-RU"/>
        </w:rPr>
        <w:t xml:space="preserve"> </w:t>
      </w:r>
      <w:r>
        <w:rPr>
          <w:rFonts w:ascii="Arial" w:hAnsi="Arial" w:cs="Arial"/>
          <w:sz w:val="22"/>
          <w:szCs w:val="22"/>
          <w:lang w:val="ru-RU"/>
        </w:rPr>
        <w:t>разные</w:t>
      </w:r>
      <w:r w:rsidRPr="003D7C2A">
        <w:rPr>
          <w:rFonts w:ascii="Arial" w:hAnsi="Arial" w:cs="Arial"/>
          <w:sz w:val="22"/>
          <w:szCs w:val="22"/>
          <w:lang w:val="ru-RU"/>
        </w:rPr>
        <w:t xml:space="preserve"> </w:t>
      </w:r>
      <w:r>
        <w:rPr>
          <w:rFonts w:ascii="Arial" w:hAnsi="Arial" w:cs="Arial"/>
          <w:sz w:val="22"/>
          <w:szCs w:val="22"/>
          <w:lang w:val="ru-RU"/>
        </w:rPr>
        <w:t>виды</w:t>
      </w:r>
      <w:r w:rsidRPr="003D7C2A">
        <w:rPr>
          <w:rFonts w:ascii="Arial" w:hAnsi="Arial" w:cs="Arial"/>
          <w:sz w:val="22"/>
          <w:szCs w:val="22"/>
          <w:lang w:val="ru-RU"/>
        </w:rPr>
        <w:t xml:space="preserve"> </w:t>
      </w:r>
      <w:r>
        <w:rPr>
          <w:rFonts w:ascii="Arial" w:hAnsi="Arial" w:cs="Arial"/>
          <w:sz w:val="22"/>
          <w:szCs w:val="22"/>
          <w:lang w:val="ru-RU"/>
        </w:rPr>
        <w:t>помощи</w:t>
      </w:r>
      <w:r w:rsidRPr="003D7C2A">
        <w:rPr>
          <w:rFonts w:ascii="Arial" w:hAnsi="Arial" w:cs="Arial"/>
          <w:sz w:val="22"/>
          <w:szCs w:val="22"/>
          <w:lang w:val="ru-RU"/>
        </w:rPr>
        <w:t xml:space="preserve">, </w:t>
      </w:r>
      <w:r>
        <w:rPr>
          <w:rFonts w:ascii="Arial" w:hAnsi="Arial" w:cs="Arial"/>
          <w:sz w:val="22"/>
          <w:szCs w:val="22"/>
          <w:lang w:val="ru-RU"/>
        </w:rPr>
        <w:t>финансовой</w:t>
      </w:r>
      <w:r w:rsidRPr="003D7C2A">
        <w:rPr>
          <w:rFonts w:ascii="Arial" w:hAnsi="Arial" w:cs="Arial"/>
          <w:sz w:val="22"/>
          <w:szCs w:val="22"/>
          <w:lang w:val="ru-RU"/>
        </w:rPr>
        <w:t xml:space="preserve"> </w:t>
      </w:r>
      <w:r>
        <w:rPr>
          <w:rFonts w:ascii="Arial" w:hAnsi="Arial" w:cs="Arial"/>
          <w:sz w:val="22"/>
          <w:szCs w:val="22"/>
          <w:lang w:val="ru-RU"/>
        </w:rPr>
        <w:t>или</w:t>
      </w:r>
      <w:r w:rsidRPr="003D7C2A">
        <w:rPr>
          <w:rFonts w:ascii="Arial" w:hAnsi="Arial" w:cs="Arial"/>
          <w:sz w:val="22"/>
          <w:szCs w:val="22"/>
          <w:lang w:val="ru-RU"/>
        </w:rPr>
        <w:t xml:space="preserve"> </w:t>
      </w:r>
      <w:proofErr w:type="spellStart"/>
      <w:r>
        <w:rPr>
          <w:rFonts w:ascii="Arial" w:hAnsi="Arial" w:cs="Arial"/>
          <w:sz w:val="22"/>
          <w:szCs w:val="22"/>
          <w:lang w:val="ru-RU"/>
        </w:rPr>
        <w:t>неденежной</w:t>
      </w:r>
      <w:proofErr w:type="spellEnd"/>
      <w:r w:rsidRPr="003D7C2A">
        <w:rPr>
          <w:rFonts w:ascii="Arial" w:hAnsi="Arial" w:cs="Arial"/>
          <w:sz w:val="22"/>
          <w:szCs w:val="22"/>
          <w:lang w:val="ru-RU"/>
        </w:rPr>
        <w:t xml:space="preserve">, </w:t>
      </w:r>
      <w:r>
        <w:rPr>
          <w:rFonts w:ascii="Arial" w:hAnsi="Arial" w:cs="Arial"/>
          <w:sz w:val="22"/>
          <w:szCs w:val="22"/>
          <w:lang w:val="ru-RU"/>
        </w:rPr>
        <w:t>такие как зарезервированные дополнительные</w:t>
      </w:r>
      <w:r w:rsidRPr="003D7C2A">
        <w:rPr>
          <w:rFonts w:ascii="Arial" w:hAnsi="Arial" w:cs="Arial"/>
          <w:sz w:val="22"/>
          <w:szCs w:val="22"/>
          <w:lang w:val="ru-RU"/>
        </w:rPr>
        <w:t xml:space="preserve"> </w:t>
      </w:r>
      <w:r>
        <w:rPr>
          <w:rFonts w:ascii="Arial" w:hAnsi="Arial" w:cs="Arial"/>
          <w:sz w:val="22"/>
          <w:szCs w:val="22"/>
          <w:lang w:val="ru-RU"/>
        </w:rPr>
        <w:t>добровольные</w:t>
      </w:r>
      <w:r w:rsidRPr="003D7C2A">
        <w:rPr>
          <w:rFonts w:ascii="Arial" w:hAnsi="Arial" w:cs="Arial"/>
          <w:sz w:val="22"/>
          <w:szCs w:val="22"/>
          <w:lang w:val="ru-RU"/>
        </w:rPr>
        <w:t xml:space="preserve"> </w:t>
      </w:r>
      <w:proofErr w:type="gramStart"/>
      <w:r>
        <w:rPr>
          <w:rFonts w:ascii="Arial" w:hAnsi="Arial" w:cs="Arial"/>
          <w:sz w:val="22"/>
          <w:szCs w:val="22"/>
          <w:lang w:val="ru-RU"/>
        </w:rPr>
        <w:t>взносы</w:t>
      </w:r>
      <w:proofErr w:type="gramEnd"/>
      <w:r w:rsidRPr="003D7C2A">
        <w:rPr>
          <w:rFonts w:ascii="Arial" w:hAnsi="Arial" w:cs="Arial"/>
          <w:sz w:val="22"/>
          <w:szCs w:val="22"/>
          <w:lang w:val="ru-RU"/>
        </w:rPr>
        <w:t xml:space="preserve"> </w:t>
      </w:r>
      <w:r>
        <w:rPr>
          <w:rFonts w:ascii="Arial" w:hAnsi="Arial" w:cs="Arial"/>
          <w:sz w:val="22"/>
          <w:szCs w:val="22"/>
          <w:lang w:val="ru-RU"/>
        </w:rPr>
        <w:t>в</w:t>
      </w:r>
      <w:r w:rsidRPr="003D7C2A">
        <w:rPr>
          <w:rFonts w:ascii="Arial" w:hAnsi="Arial" w:cs="Arial"/>
          <w:sz w:val="22"/>
          <w:szCs w:val="22"/>
          <w:lang w:val="ru-RU"/>
        </w:rPr>
        <w:t xml:space="preserve"> </w:t>
      </w:r>
      <w:r>
        <w:rPr>
          <w:rFonts w:ascii="Arial" w:hAnsi="Arial" w:cs="Arial"/>
          <w:sz w:val="22"/>
          <w:szCs w:val="22"/>
          <w:lang w:val="ru-RU"/>
        </w:rPr>
        <w:t>Фонд</w:t>
      </w:r>
      <w:r w:rsidRPr="003D7C2A">
        <w:rPr>
          <w:rFonts w:ascii="Arial" w:hAnsi="Arial" w:cs="Arial"/>
          <w:sz w:val="22"/>
          <w:szCs w:val="22"/>
          <w:lang w:val="ru-RU"/>
        </w:rPr>
        <w:t xml:space="preserve"> </w:t>
      </w:r>
      <w:r>
        <w:rPr>
          <w:rFonts w:ascii="Arial" w:hAnsi="Arial" w:cs="Arial"/>
          <w:sz w:val="22"/>
          <w:szCs w:val="22"/>
          <w:lang w:val="ru-RU"/>
        </w:rPr>
        <w:t>нематериального</w:t>
      </w:r>
      <w:r w:rsidRPr="003D7C2A">
        <w:rPr>
          <w:rFonts w:ascii="Arial" w:hAnsi="Arial" w:cs="Arial"/>
          <w:sz w:val="22"/>
          <w:szCs w:val="22"/>
          <w:lang w:val="ru-RU"/>
        </w:rPr>
        <w:t xml:space="preserve"> </w:t>
      </w:r>
      <w:r>
        <w:rPr>
          <w:rFonts w:ascii="Arial" w:hAnsi="Arial" w:cs="Arial"/>
          <w:sz w:val="22"/>
          <w:szCs w:val="22"/>
          <w:lang w:val="ru-RU"/>
        </w:rPr>
        <w:t>культурного</w:t>
      </w:r>
      <w:r w:rsidRPr="003D7C2A">
        <w:rPr>
          <w:rFonts w:ascii="Arial" w:hAnsi="Arial" w:cs="Arial"/>
          <w:sz w:val="22"/>
          <w:szCs w:val="22"/>
          <w:lang w:val="ru-RU"/>
        </w:rPr>
        <w:t xml:space="preserve"> </w:t>
      </w:r>
      <w:r>
        <w:rPr>
          <w:rFonts w:ascii="Arial" w:hAnsi="Arial" w:cs="Arial"/>
          <w:sz w:val="22"/>
          <w:szCs w:val="22"/>
          <w:lang w:val="ru-RU"/>
        </w:rPr>
        <w:t>наследия</w:t>
      </w:r>
      <w:r w:rsidRPr="003D7C2A">
        <w:rPr>
          <w:rFonts w:ascii="Arial" w:hAnsi="Arial" w:cs="Arial"/>
          <w:sz w:val="22"/>
          <w:szCs w:val="22"/>
          <w:lang w:val="ru-RU"/>
        </w:rPr>
        <w:t xml:space="preserve"> </w:t>
      </w:r>
      <w:r>
        <w:rPr>
          <w:rFonts w:ascii="Arial" w:hAnsi="Arial" w:cs="Arial"/>
          <w:sz w:val="22"/>
          <w:szCs w:val="22"/>
          <w:lang w:val="ru-RU"/>
        </w:rPr>
        <w:t>или</w:t>
      </w:r>
      <w:r w:rsidRPr="003D7C2A">
        <w:rPr>
          <w:rFonts w:ascii="Arial" w:hAnsi="Arial" w:cs="Arial"/>
          <w:sz w:val="22"/>
          <w:szCs w:val="22"/>
          <w:lang w:val="ru-RU"/>
        </w:rPr>
        <w:t xml:space="preserve"> </w:t>
      </w:r>
      <w:r>
        <w:rPr>
          <w:rFonts w:ascii="Arial" w:hAnsi="Arial" w:cs="Arial"/>
          <w:sz w:val="22"/>
          <w:szCs w:val="22"/>
          <w:lang w:val="ru-RU"/>
        </w:rPr>
        <w:t>в</w:t>
      </w:r>
      <w:r w:rsidRPr="003D7C2A">
        <w:rPr>
          <w:rFonts w:ascii="Arial" w:hAnsi="Arial" w:cs="Arial"/>
          <w:sz w:val="22"/>
          <w:szCs w:val="22"/>
          <w:lang w:val="ru-RU"/>
        </w:rPr>
        <w:t xml:space="preserve"> </w:t>
      </w:r>
      <w:proofErr w:type="spellStart"/>
      <w:r>
        <w:rPr>
          <w:rFonts w:ascii="Arial" w:hAnsi="Arial" w:cs="Arial"/>
          <w:sz w:val="22"/>
          <w:szCs w:val="22"/>
          <w:lang w:val="ru-RU"/>
        </w:rPr>
        <w:t>суб</w:t>
      </w:r>
      <w:proofErr w:type="spellEnd"/>
      <w:r>
        <w:rPr>
          <w:rFonts w:ascii="Arial" w:hAnsi="Arial" w:cs="Arial"/>
          <w:sz w:val="22"/>
          <w:szCs w:val="22"/>
          <w:lang w:val="ru-RU"/>
        </w:rPr>
        <w:t>-фонд</w:t>
      </w:r>
      <w:r w:rsidRPr="003D7C2A">
        <w:rPr>
          <w:rFonts w:ascii="Arial" w:hAnsi="Arial" w:cs="Arial"/>
          <w:sz w:val="22"/>
          <w:szCs w:val="22"/>
          <w:lang w:val="ru-RU"/>
        </w:rPr>
        <w:t xml:space="preserve"> </w:t>
      </w:r>
      <w:r>
        <w:rPr>
          <w:rFonts w:ascii="Arial" w:hAnsi="Arial" w:cs="Arial"/>
          <w:sz w:val="22"/>
          <w:szCs w:val="22"/>
          <w:lang w:val="ru-RU"/>
        </w:rPr>
        <w:t>для</w:t>
      </w:r>
      <w:r w:rsidRPr="003D7C2A">
        <w:rPr>
          <w:rFonts w:ascii="Arial" w:hAnsi="Arial" w:cs="Arial"/>
          <w:sz w:val="22"/>
          <w:szCs w:val="22"/>
          <w:lang w:val="ru-RU"/>
        </w:rPr>
        <w:t xml:space="preserve"> </w:t>
      </w:r>
      <w:r>
        <w:rPr>
          <w:rFonts w:ascii="Arial" w:hAnsi="Arial" w:cs="Arial"/>
          <w:sz w:val="22"/>
          <w:szCs w:val="22"/>
          <w:lang w:val="ru-RU"/>
        </w:rPr>
        <w:t>укрепления</w:t>
      </w:r>
      <w:r w:rsidRPr="003D7C2A">
        <w:rPr>
          <w:rFonts w:ascii="Arial" w:hAnsi="Arial" w:cs="Arial"/>
          <w:sz w:val="22"/>
          <w:szCs w:val="22"/>
          <w:lang w:val="ru-RU"/>
        </w:rPr>
        <w:t xml:space="preserve"> </w:t>
      </w:r>
      <w:r>
        <w:rPr>
          <w:rFonts w:ascii="Arial" w:hAnsi="Arial" w:cs="Arial"/>
          <w:sz w:val="22"/>
          <w:szCs w:val="22"/>
          <w:lang w:val="ru-RU"/>
        </w:rPr>
        <w:t>людских</w:t>
      </w:r>
      <w:r w:rsidRPr="003D7C2A">
        <w:rPr>
          <w:rFonts w:ascii="Arial" w:hAnsi="Arial" w:cs="Arial"/>
          <w:sz w:val="22"/>
          <w:szCs w:val="22"/>
          <w:lang w:val="ru-RU"/>
        </w:rPr>
        <w:t xml:space="preserve"> </w:t>
      </w:r>
      <w:r>
        <w:rPr>
          <w:rFonts w:ascii="Arial" w:hAnsi="Arial" w:cs="Arial"/>
          <w:sz w:val="22"/>
          <w:szCs w:val="22"/>
          <w:lang w:val="ru-RU"/>
        </w:rPr>
        <w:t>ресурсов</w:t>
      </w:r>
      <w:r w:rsidRPr="003D7C2A">
        <w:rPr>
          <w:rFonts w:ascii="Arial" w:hAnsi="Arial" w:cs="Arial"/>
          <w:sz w:val="22"/>
          <w:szCs w:val="22"/>
          <w:lang w:val="ru-RU"/>
        </w:rPr>
        <w:t xml:space="preserve"> </w:t>
      </w:r>
      <w:r>
        <w:rPr>
          <w:rFonts w:ascii="Arial" w:hAnsi="Arial" w:cs="Arial"/>
          <w:sz w:val="22"/>
          <w:szCs w:val="22"/>
          <w:lang w:val="ru-RU"/>
        </w:rPr>
        <w:t>Секретариата</w:t>
      </w:r>
      <w:r w:rsidRPr="003D7C2A">
        <w:rPr>
          <w:rFonts w:ascii="Arial" w:hAnsi="Arial" w:cs="Arial"/>
          <w:sz w:val="22"/>
          <w:szCs w:val="22"/>
          <w:lang w:val="ru-RU"/>
        </w:rPr>
        <w:t xml:space="preserve">, </w:t>
      </w:r>
      <w:r>
        <w:rPr>
          <w:rFonts w:ascii="Arial" w:hAnsi="Arial" w:cs="Arial"/>
          <w:sz w:val="22"/>
          <w:szCs w:val="22"/>
          <w:lang w:val="ru-RU"/>
        </w:rPr>
        <w:t>доверительные</w:t>
      </w:r>
      <w:r w:rsidRPr="003D7C2A">
        <w:rPr>
          <w:rFonts w:ascii="Arial" w:hAnsi="Arial" w:cs="Arial"/>
          <w:sz w:val="22"/>
          <w:szCs w:val="22"/>
          <w:lang w:val="ru-RU"/>
        </w:rPr>
        <w:t xml:space="preserve"> </w:t>
      </w:r>
      <w:r>
        <w:rPr>
          <w:rFonts w:ascii="Arial" w:hAnsi="Arial" w:cs="Arial"/>
          <w:sz w:val="22"/>
          <w:szCs w:val="22"/>
          <w:lang w:val="ru-RU"/>
        </w:rPr>
        <w:t>фонды</w:t>
      </w:r>
      <w:r w:rsidRPr="003D7C2A">
        <w:rPr>
          <w:rFonts w:ascii="Arial" w:hAnsi="Arial" w:cs="Arial"/>
          <w:sz w:val="22"/>
          <w:szCs w:val="22"/>
          <w:lang w:val="ru-RU"/>
        </w:rPr>
        <w:t xml:space="preserve"> </w:t>
      </w:r>
      <w:r>
        <w:rPr>
          <w:rFonts w:ascii="Arial" w:hAnsi="Arial" w:cs="Arial"/>
          <w:sz w:val="22"/>
          <w:szCs w:val="22"/>
          <w:lang w:val="ru-RU"/>
        </w:rPr>
        <w:t>или</w:t>
      </w:r>
      <w:r w:rsidRPr="003D7C2A">
        <w:rPr>
          <w:rFonts w:ascii="Arial" w:hAnsi="Arial" w:cs="Arial"/>
          <w:sz w:val="22"/>
          <w:szCs w:val="22"/>
          <w:lang w:val="ru-RU"/>
        </w:rPr>
        <w:t xml:space="preserve"> </w:t>
      </w:r>
      <w:r>
        <w:rPr>
          <w:rFonts w:ascii="Arial" w:hAnsi="Arial" w:cs="Arial"/>
          <w:sz w:val="22"/>
          <w:szCs w:val="22"/>
          <w:lang w:val="ru-RU"/>
        </w:rPr>
        <w:t>направляя ей в помощь</w:t>
      </w:r>
      <w:r w:rsidRPr="003D7C2A">
        <w:rPr>
          <w:rFonts w:ascii="Arial" w:hAnsi="Arial" w:cs="Arial"/>
          <w:sz w:val="22"/>
          <w:szCs w:val="22"/>
          <w:lang w:val="ru-RU"/>
        </w:rPr>
        <w:t xml:space="preserve"> </w:t>
      </w:r>
      <w:r>
        <w:rPr>
          <w:rFonts w:ascii="Arial" w:hAnsi="Arial" w:cs="Arial"/>
          <w:sz w:val="22"/>
          <w:szCs w:val="22"/>
          <w:lang w:val="ru-RU"/>
        </w:rPr>
        <w:t>своих</w:t>
      </w:r>
      <w:r w:rsidRPr="003D7C2A">
        <w:rPr>
          <w:rFonts w:ascii="Arial" w:hAnsi="Arial" w:cs="Arial"/>
          <w:sz w:val="22"/>
          <w:szCs w:val="22"/>
          <w:lang w:val="ru-RU"/>
        </w:rPr>
        <w:t xml:space="preserve"> </w:t>
      </w:r>
      <w:r>
        <w:rPr>
          <w:rFonts w:ascii="Arial" w:hAnsi="Arial" w:cs="Arial"/>
          <w:sz w:val="22"/>
          <w:szCs w:val="22"/>
          <w:lang w:val="ru-RU"/>
        </w:rPr>
        <w:t>сотрудников</w:t>
      </w:r>
      <w:r w:rsidRPr="003D7C2A">
        <w:rPr>
          <w:rFonts w:ascii="Arial" w:hAnsi="Arial" w:cs="Arial"/>
          <w:sz w:val="22"/>
          <w:szCs w:val="22"/>
          <w:lang w:val="ru-RU"/>
        </w:rPr>
        <w:t xml:space="preserve">, </w:t>
      </w:r>
      <w:r>
        <w:rPr>
          <w:rFonts w:ascii="Arial" w:hAnsi="Arial" w:cs="Arial"/>
          <w:sz w:val="22"/>
          <w:szCs w:val="22"/>
          <w:lang w:val="ru-RU"/>
        </w:rPr>
        <w:t>и</w:t>
      </w:r>
      <w:r w:rsidRPr="003D7C2A">
        <w:rPr>
          <w:rFonts w:ascii="Arial" w:hAnsi="Arial" w:cs="Arial"/>
          <w:sz w:val="22"/>
          <w:szCs w:val="22"/>
          <w:lang w:val="ru-RU"/>
        </w:rPr>
        <w:t xml:space="preserve"> </w:t>
      </w:r>
      <w:r w:rsidRPr="00D61BF5">
        <w:rPr>
          <w:rFonts w:ascii="Arial" w:hAnsi="Arial" w:cs="Arial"/>
          <w:sz w:val="22"/>
          <w:szCs w:val="22"/>
          <w:u w:val="single"/>
          <w:lang w:val="ru-RU"/>
        </w:rPr>
        <w:t>призывает</w:t>
      </w:r>
      <w:r w:rsidRPr="003D7C2A">
        <w:rPr>
          <w:rFonts w:ascii="Arial" w:hAnsi="Arial" w:cs="Arial"/>
          <w:sz w:val="22"/>
          <w:szCs w:val="22"/>
          <w:lang w:val="ru-RU"/>
        </w:rPr>
        <w:t xml:space="preserve"> </w:t>
      </w:r>
      <w:r>
        <w:rPr>
          <w:rFonts w:ascii="Arial" w:hAnsi="Arial" w:cs="Arial"/>
          <w:sz w:val="22"/>
          <w:szCs w:val="22"/>
          <w:lang w:val="ru-RU"/>
        </w:rPr>
        <w:t>другие</w:t>
      </w:r>
      <w:r w:rsidRPr="003D7C2A">
        <w:rPr>
          <w:rFonts w:ascii="Arial" w:hAnsi="Arial" w:cs="Arial"/>
          <w:sz w:val="22"/>
          <w:szCs w:val="22"/>
          <w:lang w:val="ru-RU"/>
        </w:rPr>
        <w:t xml:space="preserve"> </w:t>
      </w:r>
      <w:r>
        <w:rPr>
          <w:rFonts w:ascii="Arial" w:hAnsi="Arial" w:cs="Arial"/>
          <w:sz w:val="22"/>
          <w:szCs w:val="22"/>
          <w:lang w:val="ru-RU"/>
        </w:rPr>
        <w:t>государства</w:t>
      </w:r>
      <w:r w:rsidRPr="003D7C2A">
        <w:rPr>
          <w:rFonts w:ascii="Arial" w:hAnsi="Arial" w:cs="Arial"/>
          <w:sz w:val="22"/>
          <w:szCs w:val="22"/>
          <w:lang w:val="ru-RU"/>
        </w:rPr>
        <w:t xml:space="preserve"> </w:t>
      </w:r>
      <w:r>
        <w:rPr>
          <w:rFonts w:ascii="Arial" w:hAnsi="Arial" w:cs="Arial"/>
          <w:sz w:val="22"/>
          <w:szCs w:val="22"/>
          <w:lang w:val="ru-RU"/>
        </w:rPr>
        <w:t>рассмотреть</w:t>
      </w:r>
      <w:r w:rsidRPr="003D7C2A">
        <w:rPr>
          <w:rFonts w:ascii="Arial" w:hAnsi="Arial" w:cs="Arial"/>
          <w:sz w:val="22"/>
          <w:szCs w:val="22"/>
          <w:lang w:val="ru-RU"/>
        </w:rPr>
        <w:t xml:space="preserve"> </w:t>
      </w:r>
      <w:r>
        <w:rPr>
          <w:rFonts w:ascii="Arial" w:hAnsi="Arial" w:cs="Arial"/>
          <w:sz w:val="22"/>
          <w:szCs w:val="22"/>
          <w:lang w:val="ru-RU"/>
        </w:rPr>
        <w:t>возможность</w:t>
      </w:r>
      <w:r w:rsidRPr="003D7C2A">
        <w:rPr>
          <w:rFonts w:ascii="Arial" w:hAnsi="Arial" w:cs="Arial"/>
          <w:sz w:val="22"/>
          <w:szCs w:val="22"/>
          <w:lang w:val="ru-RU"/>
        </w:rPr>
        <w:t xml:space="preserve"> </w:t>
      </w:r>
      <w:r>
        <w:rPr>
          <w:rFonts w:ascii="Arial" w:hAnsi="Arial" w:cs="Arial"/>
          <w:sz w:val="22"/>
          <w:szCs w:val="22"/>
          <w:lang w:val="ru-RU"/>
        </w:rPr>
        <w:t>поддержать</w:t>
      </w:r>
      <w:r w:rsidRPr="003D7C2A">
        <w:rPr>
          <w:rFonts w:ascii="Arial" w:hAnsi="Arial" w:cs="Arial"/>
          <w:sz w:val="22"/>
          <w:szCs w:val="22"/>
          <w:lang w:val="ru-RU"/>
        </w:rPr>
        <w:t xml:space="preserve"> </w:t>
      </w:r>
      <w:r>
        <w:rPr>
          <w:rFonts w:ascii="Arial" w:hAnsi="Arial" w:cs="Arial"/>
          <w:sz w:val="22"/>
          <w:szCs w:val="22"/>
          <w:lang w:val="ru-RU"/>
        </w:rPr>
        <w:t>Конвенцию</w:t>
      </w:r>
      <w:r w:rsidRPr="003D7C2A">
        <w:rPr>
          <w:rFonts w:ascii="Arial" w:hAnsi="Arial" w:cs="Arial"/>
          <w:sz w:val="22"/>
          <w:szCs w:val="22"/>
          <w:lang w:val="ru-RU"/>
        </w:rPr>
        <w:t xml:space="preserve"> </w:t>
      </w:r>
      <w:r>
        <w:rPr>
          <w:rFonts w:ascii="Arial" w:hAnsi="Arial" w:cs="Arial"/>
          <w:sz w:val="22"/>
          <w:szCs w:val="22"/>
          <w:lang w:val="ru-RU"/>
        </w:rPr>
        <w:t>в</w:t>
      </w:r>
      <w:r w:rsidRPr="003D7C2A">
        <w:rPr>
          <w:rFonts w:ascii="Arial" w:hAnsi="Arial" w:cs="Arial"/>
          <w:sz w:val="22"/>
          <w:szCs w:val="22"/>
          <w:lang w:val="ru-RU"/>
        </w:rPr>
        <w:t xml:space="preserve"> </w:t>
      </w:r>
      <w:r>
        <w:rPr>
          <w:rFonts w:ascii="Arial" w:hAnsi="Arial" w:cs="Arial"/>
          <w:sz w:val="22"/>
          <w:szCs w:val="22"/>
          <w:lang w:val="ru-RU"/>
        </w:rPr>
        <w:t>любом</w:t>
      </w:r>
      <w:r w:rsidRPr="003D7C2A">
        <w:rPr>
          <w:rFonts w:ascii="Arial" w:hAnsi="Arial" w:cs="Arial"/>
          <w:sz w:val="22"/>
          <w:szCs w:val="22"/>
          <w:lang w:val="ru-RU"/>
        </w:rPr>
        <w:t xml:space="preserve"> </w:t>
      </w:r>
      <w:r>
        <w:rPr>
          <w:rFonts w:ascii="Arial" w:hAnsi="Arial" w:cs="Arial"/>
          <w:sz w:val="22"/>
          <w:szCs w:val="22"/>
          <w:lang w:val="ru-RU"/>
        </w:rPr>
        <w:t>виде</w:t>
      </w:r>
      <w:r w:rsidRPr="003D7C2A">
        <w:rPr>
          <w:rFonts w:ascii="Arial" w:hAnsi="Arial" w:cs="Arial"/>
          <w:sz w:val="22"/>
          <w:szCs w:val="22"/>
          <w:lang w:val="ru-RU"/>
        </w:rPr>
        <w:t xml:space="preserve"> </w:t>
      </w:r>
      <w:r>
        <w:rPr>
          <w:rFonts w:ascii="Arial" w:hAnsi="Arial" w:cs="Arial"/>
          <w:sz w:val="22"/>
          <w:szCs w:val="22"/>
          <w:lang w:val="ru-RU"/>
        </w:rPr>
        <w:t>по</w:t>
      </w:r>
      <w:r w:rsidRPr="003D7C2A">
        <w:rPr>
          <w:rFonts w:ascii="Arial" w:hAnsi="Arial" w:cs="Arial"/>
          <w:sz w:val="22"/>
          <w:szCs w:val="22"/>
          <w:lang w:val="ru-RU"/>
        </w:rPr>
        <w:t xml:space="preserve"> </w:t>
      </w:r>
      <w:r>
        <w:rPr>
          <w:rFonts w:ascii="Arial" w:hAnsi="Arial" w:cs="Arial"/>
          <w:sz w:val="22"/>
          <w:szCs w:val="22"/>
          <w:lang w:val="ru-RU"/>
        </w:rPr>
        <w:t>их</w:t>
      </w:r>
      <w:r w:rsidRPr="003D7C2A">
        <w:rPr>
          <w:rFonts w:ascii="Arial" w:hAnsi="Arial" w:cs="Arial"/>
          <w:sz w:val="22"/>
          <w:szCs w:val="22"/>
          <w:lang w:val="ru-RU"/>
        </w:rPr>
        <w:t xml:space="preserve"> </w:t>
      </w:r>
      <w:r>
        <w:rPr>
          <w:rFonts w:ascii="Arial" w:hAnsi="Arial" w:cs="Arial"/>
          <w:sz w:val="22"/>
          <w:szCs w:val="22"/>
          <w:lang w:val="ru-RU"/>
        </w:rPr>
        <w:t>усмотрению</w:t>
      </w:r>
      <w:r w:rsidRPr="003D7C2A">
        <w:rPr>
          <w:rFonts w:ascii="Arial" w:hAnsi="Arial" w:cs="Arial"/>
          <w:sz w:val="22"/>
          <w:szCs w:val="22"/>
          <w:lang w:val="ru-RU"/>
        </w:rPr>
        <w:t xml:space="preserve">. </w:t>
      </w:r>
    </w:p>
    <w:p w:rsidR="00E74685" w:rsidRDefault="00E74685" w:rsidP="00E74685">
      <w:pPr>
        <w:pStyle w:val="GAPara"/>
        <w:numPr>
          <w:ilvl w:val="0"/>
          <w:numId w:val="0"/>
        </w:numPr>
        <w:ind w:left="567"/>
        <w:rPr>
          <w:lang w:val="fr-FR"/>
        </w:rPr>
        <w:sectPr w:rsidR="00E74685" w:rsidSect="00E74685">
          <w:headerReference w:type="even" r:id="rId19"/>
          <w:headerReference w:type="default" r:id="rId20"/>
          <w:headerReference w:type="first" r:id="rId21"/>
          <w:pgSz w:w="11906" w:h="16838" w:code="9"/>
          <w:pgMar w:top="1418" w:right="1134" w:bottom="709" w:left="1134" w:header="397" w:footer="284" w:gutter="0"/>
          <w:cols w:space="708"/>
          <w:titlePg/>
          <w:docGrid w:linePitch="360"/>
        </w:sectPr>
      </w:pPr>
    </w:p>
    <w:p w:rsidR="00E74685" w:rsidRPr="00F12B33" w:rsidRDefault="00E74685" w:rsidP="00E74685">
      <w:pPr>
        <w:pStyle w:val="5GAParaResolution"/>
        <w:spacing w:before="240" w:after="240"/>
        <w:ind w:left="0" w:firstLine="0"/>
        <w:jc w:val="center"/>
        <w:rPr>
          <w:b/>
          <w:lang w:val="ru-RU"/>
        </w:rPr>
      </w:pPr>
      <w:r>
        <w:rPr>
          <w:b/>
          <w:lang w:val="ru-RU"/>
        </w:rPr>
        <w:lastRenderedPageBreak/>
        <w:t>ПРИЛОЖЕНИЕ</w:t>
      </w:r>
    </w:p>
    <w:tbl>
      <w:tblPr>
        <w:tblW w:w="5369" w:type="pct"/>
        <w:tblLayout w:type="fixed"/>
        <w:tblCellMar>
          <w:left w:w="70" w:type="dxa"/>
          <w:right w:w="70" w:type="dxa"/>
        </w:tblCellMar>
        <w:tblLook w:val="04A0" w:firstRow="1" w:lastRow="0" w:firstColumn="1" w:lastColumn="0" w:noHBand="0" w:noVBand="1"/>
      </w:tblPr>
      <w:tblGrid>
        <w:gridCol w:w="457"/>
        <w:gridCol w:w="5160"/>
        <w:gridCol w:w="1428"/>
        <w:gridCol w:w="162"/>
        <w:gridCol w:w="1424"/>
        <w:gridCol w:w="288"/>
        <w:gridCol w:w="1581"/>
      </w:tblGrid>
      <w:tr w:rsidR="00E74685" w:rsidRPr="001D1762" w:rsidTr="00160CB3">
        <w:trPr>
          <w:gridAfter w:val="1"/>
          <w:wAfter w:w="753" w:type="pct"/>
          <w:trHeight w:val="386"/>
        </w:trPr>
        <w:tc>
          <w:tcPr>
            <w:tcW w:w="335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74685" w:rsidRPr="00B81F48" w:rsidRDefault="00E74685" w:rsidP="00160CB3">
            <w:pPr>
              <w:spacing w:before="60" w:after="60"/>
              <w:jc w:val="center"/>
              <w:rPr>
                <w:rFonts w:ascii="Arial" w:hAnsi="Arial" w:cs="Arial"/>
                <w:sz w:val="20"/>
                <w:szCs w:val="20"/>
                <w:lang w:val="ru-RU"/>
              </w:rPr>
            </w:pPr>
            <w:r>
              <w:rPr>
                <w:rFonts w:ascii="Arial" w:hAnsi="Arial" w:cs="Arial"/>
                <w:b/>
                <w:bCs/>
                <w:sz w:val="20"/>
                <w:szCs w:val="20"/>
                <w:lang w:val="ru-RU"/>
              </w:rPr>
              <w:t>Проект плана использования средств Фонда</w:t>
            </w:r>
          </w:p>
        </w:tc>
        <w:tc>
          <w:tcPr>
            <w:tcW w:w="77" w:type="pct"/>
            <w:tcBorders>
              <w:top w:val="nil"/>
              <w:left w:val="single" w:sz="4" w:space="0" w:color="auto"/>
              <w:bottom w:val="dashed" w:sz="4" w:space="0" w:color="auto"/>
              <w:right w:val="nil"/>
            </w:tcBorders>
            <w:shd w:val="clear" w:color="auto" w:fill="auto"/>
            <w:noWrap/>
            <w:vAlign w:val="center"/>
            <w:hideMark/>
          </w:tcPr>
          <w:p w:rsidR="00E74685" w:rsidRPr="00B81F48" w:rsidRDefault="00E74685" w:rsidP="00160CB3">
            <w:pPr>
              <w:spacing w:before="60" w:after="60"/>
              <w:jc w:val="center"/>
              <w:rPr>
                <w:rFonts w:ascii="Arial" w:hAnsi="Arial" w:cs="Arial"/>
                <w:sz w:val="20"/>
                <w:szCs w:val="20"/>
                <w:lang w:val="ru-RU"/>
              </w:rPr>
            </w:pPr>
          </w:p>
        </w:tc>
        <w:tc>
          <w:tcPr>
            <w:tcW w:w="815" w:type="pct"/>
            <w:gridSpan w:val="2"/>
            <w:tcBorders>
              <w:top w:val="nil"/>
              <w:left w:val="nil"/>
              <w:bottom w:val="dashed" w:sz="4" w:space="0" w:color="auto"/>
              <w:right w:val="nil"/>
            </w:tcBorders>
          </w:tcPr>
          <w:p w:rsidR="00E74685" w:rsidRPr="00B81F48" w:rsidRDefault="00E74685" w:rsidP="00160CB3">
            <w:pPr>
              <w:spacing w:before="60" w:after="60"/>
              <w:jc w:val="center"/>
              <w:rPr>
                <w:rFonts w:ascii="Arial" w:hAnsi="Arial" w:cs="Arial"/>
                <w:sz w:val="20"/>
                <w:szCs w:val="20"/>
                <w:lang w:val="ru-RU"/>
              </w:rPr>
            </w:pPr>
          </w:p>
        </w:tc>
      </w:tr>
      <w:tr w:rsidR="00E74685" w:rsidRPr="001D1762" w:rsidTr="00160CB3">
        <w:trPr>
          <w:trHeight w:val="255"/>
        </w:trPr>
        <w:tc>
          <w:tcPr>
            <w:tcW w:w="2675" w:type="pct"/>
            <w:gridSpan w:val="2"/>
            <w:tcBorders>
              <w:top w:val="single" w:sz="4" w:space="0" w:color="auto"/>
              <w:left w:val="single" w:sz="4" w:space="0" w:color="auto"/>
              <w:bottom w:val="single" w:sz="4" w:space="0" w:color="auto"/>
              <w:right w:val="single" w:sz="4" w:space="0" w:color="auto"/>
            </w:tcBorders>
            <w:shd w:val="clear" w:color="auto" w:fill="auto"/>
            <w:noWrap/>
          </w:tcPr>
          <w:p w:rsidR="00E74685" w:rsidRPr="00E74685" w:rsidRDefault="00E74685" w:rsidP="00160CB3">
            <w:pPr>
              <w:spacing w:before="60" w:after="60"/>
              <w:rPr>
                <w:rFonts w:ascii="Arial" w:hAnsi="Arial" w:cs="Arial"/>
                <w:b/>
                <w:bCs/>
                <w:sz w:val="18"/>
                <w:szCs w:val="18"/>
                <w:lang w:val="ru-RU"/>
              </w:rPr>
            </w:pPr>
            <w:r w:rsidRPr="00E74685">
              <w:rPr>
                <w:rFonts w:ascii="Arial" w:hAnsi="Arial" w:cs="Arial"/>
                <w:sz w:val="18"/>
                <w:szCs w:val="18"/>
                <w:lang w:val="ru-RU"/>
              </w:rPr>
              <w:t>В период между 1 января 2016 и 31 декабря 2017 года, а также в период с 1 января 2018 года до 30 июня 2018 года средства Фонда нематериального культурного наследия можно использовать для следующих целей:</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685" w:rsidRPr="00E74685" w:rsidRDefault="00E74685" w:rsidP="00160CB3">
            <w:pPr>
              <w:spacing w:before="60" w:after="60"/>
              <w:jc w:val="center"/>
              <w:rPr>
                <w:rFonts w:ascii="Arial" w:hAnsi="Arial" w:cs="Arial"/>
                <w:sz w:val="18"/>
                <w:szCs w:val="18"/>
                <w:lang w:val="ru-RU"/>
              </w:rPr>
            </w:pPr>
            <w:r w:rsidRPr="00E74685">
              <w:rPr>
                <w:rFonts w:ascii="Arial" w:hAnsi="Arial" w:cs="Arial"/>
                <w:sz w:val="18"/>
                <w:szCs w:val="18"/>
                <w:lang w:val="en-GB"/>
              </w:rPr>
              <w:t xml:space="preserve">% </w:t>
            </w:r>
            <w:r w:rsidRPr="00E74685">
              <w:rPr>
                <w:rFonts w:ascii="Arial" w:hAnsi="Arial" w:cs="Arial"/>
                <w:sz w:val="18"/>
                <w:szCs w:val="18"/>
                <w:lang w:val="ru-RU"/>
              </w:rPr>
              <w:t>от общей суммы</w:t>
            </w:r>
            <w:r w:rsidRPr="00E74685">
              <w:rPr>
                <w:rStyle w:val="FootnoteReference"/>
                <w:rFonts w:ascii="Arial" w:hAnsi="Arial" w:cs="Arial"/>
                <w:sz w:val="18"/>
                <w:szCs w:val="18"/>
                <w:lang w:val="ru-RU"/>
              </w:rPr>
              <w:footnoteReference w:id="2"/>
            </w:r>
          </w:p>
        </w:tc>
        <w:tc>
          <w:tcPr>
            <w:tcW w:w="755" w:type="pct"/>
            <w:gridSpan w:val="2"/>
            <w:tcBorders>
              <w:top w:val="dashed" w:sz="4" w:space="0" w:color="auto"/>
              <w:left w:val="single" w:sz="4" w:space="0" w:color="auto"/>
              <w:bottom w:val="dashed" w:sz="4" w:space="0" w:color="auto"/>
              <w:right w:val="dashed" w:sz="4" w:space="0" w:color="auto"/>
            </w:tcBorders>
            <w:shd w:val="clear" w:color="auto" w:fill="auto"/>
            <w:noWrap/>
            <w:vAlign w:val="center"/>
          </w:tcPr>
          <w:p w:rsidR="00E74685" w:rsidRPr="00E74685" w:rsidRDefault="00E74685" w:rsidP="00160CB3">
            <w:pPr>
              <w:spacing w:before="60" w:after="60"/>
              <w:jc w:val="center"/>
              <w:rPr>
                <w:rFonts w:ascii="Arial" w:hAnsi="Arial" w:cs="Arial"/>
                <w:sz w:val="18"/>
                <w:szCs w:val="18"/>
                <w:lang w:val="en-GB"/>
              </w:rPr>
            </w:pPr>
            <w:r w:rsidRPr="00E74685">
              <w:rPr>
                <w:rFonts w:ascii="Arial" w:hAnsi="Arial" w:cs="Arial"/>
                <w:sz w:val="18"/>
                <w:szCs w:val="18"/>
                <w:lang w:val="ru-RU"/>
              </w:rPr>
              <w:t>Ориентировочная сумма на</w:t>
            </w:r>
            <w:r w:rsidRPr="00E74685">
              <w:rPr>
                <w:rFonts w:ascii="Arial" w:hAnsi="Arial" w:cs="Arial"/>
                <w:sz w:val="18"/>
                <w:szCs w:val="18"/>
                <w:lang w:val="en-GB"/>
              </w:rPr>
              <w:br/>
              <w:t>2016-2017</w:t>
            </w:r>
          </w:p>
        </w:tc>
        <w:tc>
          <w:tcPr>
            <w:tcW w:w="890" w:type="pct"/>
            <w:gridSpan w:val="2"/>
            <w:tcBorders>
              <w:top w:val="dashed" w:sz="4" w:space="0" w:color="auto"/>
              <w:left w:val="dashed" w:sz="4" w:space="0" w:color="auto"/>
              <w:bottom w:val="dashed" w:sz="4" w:space="0" w:color="auto"/>
              <w:right w:val="dashed" w:sz="4" w:space="0" w:color="auto"/>
            </w:tcBorders>
            <w:vAlign w:val="center"/>
          </w:tcPr>
          <w:p w:rsidR="00E74685" w:rsidRPr="00E74685" w:rsidRDefault="00E74685" w:rsidP="00160CB3">
            <w:pPr>
              <w:spacing w:before="60" w:after="60"/>
              <w:jc w:val="center"/>
              <w:rPr>
                <w:rFonts w:ascii="Arial" w:hAnsi="Arial" w:cs="Arial"/>
                <w:sz w:val="18"/>
                <w:szCs w:val="18"/>
                <w:lang w:val="ru-RU"/>
              </w:rPr>
            </w:pPr>
            <w:r w:rsidRPr="00E74685">
              <w:rPr>
                <w:rFonts w:ascii="Arial" w:hAnsi="Arial" w:cs="Arial"/>
                <w:sz w:val="18"/>
                <w:szCs w:val="18"/>
                <w:lang w:val="ru-RU"/>
              </w:rPr>
              <w:t>Ориентировочная сумма на</w:t>
            </w:r>
            <w:r w:rsidRPr="00E74685">
              <w:rPr>
                <w:rFonts w:ascii="Arial" w:hAnsi="Arial" w:cs="Arial"/>
                <w:sz w:val="18"/>
                <w:szCs w:val="18"/>
                <w:lang w:val="ru-RU"/>
              </w:rPr>
              <w:br/>
              <w:t>январь-июнь 2018</w:t>
            </w:r>
          </w:p>
        </w:tc>
      </w:tr>
      <w:tr w:rsidR="00E74685" w:rsidRPr="003A0AD4" w:rsidTr="00160CB3">
        <w:trPr>
          <w:trHeight w:val="2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sz w:val="18"/>
                <w:szCs w:val="18"/>
                <w:lang w:val="en-GB"/>
              </w:rPr>
            </w:pPr>
            <w:r w:rsidRPr="00E74685">
              <w:rPr>
                <w:rFonts w:ascii="Arial" w:hAnsi="Arial" w:cs="Arial"/>
                <w:bCs/>
                <w:sz w:val="18"/>
                <w:szCs w:val="18"/>
                <w:lang w:val="en-GB"/>
              </w:rPr>
              <w:t>1.</w:t>
            </w:r>
          </w:p>
        </w:tc>
        <w:tc>
          <w:tcPr>
            <w:tcW w:w="2457"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sz w:val="18"/>
                <w:szCs w:val="18"/>
                <w:lang w:val="ru-RU"/>
              </w:rPr>
            </w:pPr>
            <w:r w:rsidRPr="00E74685">
              <w:rPr>
                <w:rFonts w:ascii="Arial" w:hAnsi="Arial" w:cs="Arial"/>
                <w:bCs/>
                <w:sz w:val="18"/>
                <w:szCs w:val="18"/>
                <w:lang w:val="ru-RU"/>
              </w:rPr>
              <w:t>Международная помощь, которая включает охрану элементов наследия, включенных в Список нематериального культурного наследия, нуждающегося в срочной охране, подготовка перечней и оказание поддержки другим программам, проектам и мероприятиям по охране;</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E74685" w:rsidRDefault="00E74685" w:rsidP="00160CB3">
            <w:pPr>
              <w:spacing w:before="60" w:after="60"/>
              <w:jc w:val="center"/>
              <w:rPr>
                <w:rFonts w:ascii="Arial" w:hAnsi="Arial" w:cs="Arial"/>
                <w:sz w:val="18"/>
                <w:szCs w:val="18"/>
                <w:lang w:val="en-GB"/>
              </w:rPr>
            </w:pPr>
            <w:r w:rsidRPr="00E74685">
              <w:rPr>
                <w:rFonts w:ascii="Arial" w:hAnsi="Arial" w:cs="Arial"/>
                <w:sz w:val="18"/>
                <w:szCs w:val="18"/>
                <w:lang w:val="en-GB"/>
              </w:rPr>
              <w:t>59</w:t>
            </w:r>
            <w:r w:rsidRPr="00E74685">
              <w:rPr>
                <w:rFonts w:ascii="Arial" w:hAnsi="Arial" w:cs="Arial"/>
                <w:sz w:val="18"/>
                <w:szCs w:val="18"/>
                <w:lang w:val="ru-RU"/>
              </w:rPr>
              <w:t>,</w:t>
            </w:r>
            <w:r w:rsidRPr="00E74685">
              <w:rPr>
                <w:rFonts w:ascii="Arial" w:hAnsi="Arial" w:cs="Arial"/>
                <w:sz w:val="18"/>
                <w:szCs w:val="18"/>
                <w:lang w:val="en-GB"/>
              </w:rPr>
              <w:t>00%</w:t>
            </w:r>
          </w:p>
        </w:tc>
        <w:tc>
          <w:tcPr>
            <w:tcW w:w="755" w:type="pct"/>
            <w:gridSpan w:val="2"/>
            <w:tcBorders>
              <w:top w:val="dashed" w:sz="4" w:space="0" w:color="auto"/>
              <w:left w:val="single" w:sz="4" w:space="0" w:color="auto"/>
              <w:bottom w:val="dashed" w:sz="4" w:space="0" w:color="auto"/>
              <w:right w:val="dashed" w:sz="4" w:space="0" w:color="auto"/>
            </w:tcBorders>
            <w:shd w:val="clear" w:color="auto" w:fill="auto"/>
            <w:noWrap/>
            <w:vAlign w:val="center"/>
            <w:hideMark/>
          </w:tcPr>
          <w:p w:rsidR="00E74685" w:rsidRPr="00E74685" w:rsidRDefault="00E74685" w:rsidP="00160CB3">
            <w:pPr>
              <w:spacing w:before="60" w:after="60"/>
              <w:jc w:val="right"/>
              <w:rPr>
                <w:rFonts w:ascii="Arial" w:hAnsi="Arial" w:cs="Arial"/>
                <w:sz w:val="18"/>
                <w:szCs w:val="18"/>
                <w:lang w:val="en-GB"/>
              </w:rPr>
            </w:pPr>
            <w:r w:rsidRPr="00E74685">
              <w:rPr>
                <w:rFonts w:ascii="Arial" w:hAnsi="Arial" w:cs="Arial"/>
                <w:sz w:val="18"/>
                <w:szCs w:val="18"/>
                <w:lang w:val="en-GB"/>
              </w:rPr>
              <w:t>4 692 700</w:t>
            </w:r>
            <w:r w:rsidRPr="00E74685">
              <w:rPr>
                <w:rFonts w:ascii="Arial" w:hAnsi="Arial" w:cs="Arial"/>
                <w:sz w:val="18"/>
                <w:szCs w:val="18"/>
                <w:lang w:val="ru-RU"/>
              </w:rPr>
              <w:t xml:space="preserve"> долларов</w:t>
            </w:r>
            <w:r w:rsidRPr="00E74685">
              <w:rPr>
                <w:rFonts w:ascii="Arial" w:hAnsi="Arial" w:cs="Arial"/>
                <w:sz w:val="18"/>
                <w:szCs w:val="18"/>
                <w:lang w:val="en-GB"/>
              </w:rPr>
              <w:t xml:space="preserve">  </w:t>
            </w:r>
          </w:p>
        </w:tc>
        <w:tc>
          <w:tcPr>
            <w:tcW w:w="890" w:type="pct"/>
            <w:gridSpan w:val="2"/>
            <w:tcBorders>
              <w:top w:val="dashed" w:sz="4" w:space="0" w:color="auto"/>
              <w:left w:val="dashed" w:sz="4" w:space="0" w:color="auto"/>
              <w:bottom w:val="dashed" w:sz="4" w:space="0" w:color="auto"/>
              <w:right w:val="dashed" w:sz="4" w:space="0" w:color="auto"/>
            </w:tcBorders>
            <w:vAlign w:val="center"/>
          </w:tcPr>
          <w:p w:rsidR="00E74685" w:rsidRPr="00E74685" w:rsidRDefault="00E74685" w:rsidP="00E74685">
            <w:pPr>
              <w:spacing w:before="60" w:after="60"/>
              <w:contextualSpacing/>
              <w:jc w:val="right"/>
              <w:rPr>
                <w:rFonts w:ascii="Arial" w:hAnsi="Arial" w:cs="Arial"/>
                <w:sz w:val="18"/>
                <w:szCs w:val="18"/>
                <w:lang w:val="en-GB"/>
              </w:rPr>
            </w:pPr>
            <w:r w:rsidRPr="00E74685">
              <w:rPr>
                <w:rFonts w:ascii="Arial" w:hAnsi="Arial" w:cs="Arial"/>
                <w:sz w:val="18"/>
                <w:szCs w:val="18"/>
                <w:lang w:val="en-GB"/>
              </w:rPr>
              <w:t xml:space="preserve">1 173 175 </w:t>
            </w:r>
            <w:proofErr w:type="spellStart"/>
            <w:r w:rsidRPr="00E74685">
              <w:rPr>
                <w:rFonts w:ascii="Arial" w:hAnsi="Arial" w:cs="Arial"/>
                <w:sz w:val="18"/>
                <w:szCs w:val="18"/>
                <w:lang w:val="en-GB"/>
              </w:rPr>
              <w:t>долларов</w:t>
            </w:r>
            <w:proofErr w:type="spellEnd"/>
            <w:r w:rsidRPr="00E74685">
              <w:rPr>
                <w:rFonts w:ascii="Arial" w:hAnsi="Arial" w:cs="Arial"/>
                <w:sz w:val="18"/>
                <w:szCs w:val="18"/>
                <w:lang w:val="en-GB"/>
              </w:rPr>
              <w:t xml:space="preserve"> </w:t>
            </w:r>
          </w:p>
        </w:tc>
        <w:bookmarkStart w:id="0" w:name="_GoBack"/>
        <w:bookmarkEnd w:id="0"/>
      </w:tr>
      <w:tr w:rsidR="00E74685" w:rsidRPr="002B1AFF" w:rsidTr="00160CB3">
        <w:trPr>
          <w:trHeight w:val="2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sz w:val="18"/>
                <w:szCs w:val="18"/>
                <w:lang w:val="en-GB"/>
              </w:rPr>
            </w:pPr>
            <w:r w:rsidRPr="00E74685">
              <w:rPr>
                <w:rFonts w:ascii="Arial" w:hAnsi="Arial" w:cs="Arial"/>
                <w:bCs/>
                <w:sz w:val="18"/>
                <w:szCs w:val="18"/>
                <w:lang w:val="en-GB"/>
              </w:rPr>
              <w:t>2.</w:t>
            </w:r>
          </w:p>
        </w:tc>
        <w:tc>
          <w:tcPr>
            <w:tcW w:w="2457"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bCs/>
                <w:sz w:val="18"/>
                <w:szCs w:val="18"/>
                <w:lang w:val="ru-RU"/>
              </w:rPr>
            </w:pPr>
            <w:r w:rsidRPr="00E74685">
              <w:rPr>
                <w:rFonts w:ascii="Arial" w:hAnsi="Arial" w:cs="Arial"/>
                <w:bCs/>
                <w:sz w:val="18"/>
                <w:szCs w:val="18"/>
                <w:lang w:val="ru-RU"/>
              </w:rPr>
              <w:t xml:space="preserve">Помощь в подготовке </w:t>
            </w:r>
            <w:proofErr w:type="spellStart"/>
            <w:r w:rsidRPr="00E74685">
              <w:rPr>
                <w:rFonts w:ascii="Arial" w:hAnsi="Arial" w:cs="Arial"/>
                <w:bCs/>
                <w:sz w:val="18"/>
                <w:szCs w:val="18"/>
                <w:lang w:val="ru-RU"/>
              </w:rPr>
              <w:t>номинационных</w:t>
            </w:r>
            <w:proofErr w:type="spellEnd"/>
            <w:r w:rsidRPr="00E74685">
              <w:rPr>
                <w:rFonts w:ascii="Arial" w:hAnsi="Arial" w:cs="Arial"/>
                <w:bCs/>
                <w:sz w:val="18"/>
                <w:szCs w:val="18"/>
                <w:lang w:val="ru-RU"/>
              </w:rPr>
              <w:t xml:space="preserve"> досье на включение в Список нематериального культурного наследия, нуждающегося в срочной охране, на включение в Реестр передовой практики в области охраны, а также заявок на международную помощь;</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E74685" w:rsidRDefault="00E74685" w:rsidP="00160CB3">
            <w:pPr>
              <w:spacing w:before="60" w:after="60"/>
              <w:jc w:val="center"/>
              <w:rPr>
                <w:rFonts w:ascii="Arial" w:hAnsi="Arial" w:cs="Arial"/>
                <w:sz w:val="18"/>
                <w:szCs w:val="18"/>
                <w:lang w:val="ru-RU"/>
              </w:rPr>
            </w:pPr>
            <w:r w:rsidRPr="00E74685">
              <w:rPr>
                <w:rFonts w:ascii="Arial" w:hAnsi="Arial" w:cs="Arial"/>
                <w:sz w:val="18"/>
                <w:szCs w:val="18"/>
                <w:lang w:val="ru-RU"/>
              </w:rPr>
              <w:t>5,50%</w:t>
            </w:r>
          </w:p>
        </w:tc>
        <w:tc>
          <w:tcPr>
            <w:tcW w:w="755" w:type="pct"/>
            <w:gridSpan w:val="2"/>
            <w:tcBorders>
              <w:top w:val="dashed" w:sz="4" w:space="0" w:color="auto"/>
              <w:left w:val="single" w:sz="4" w:space="0" w:color="auto"/>
              <w:bottom w:val="dashed" w:sz="4" w:space="0" w:color="auto"/>
              <w:right w:val="dashed" w:sz="4" w:space="0" w:color="auto"/>
            </w:tcBorders>
            <w:shd w:val="clear" w:color="auto" w:fill="auto"/>
            <w:noWrap/>
            <w:vAlign w:val="center"/>
            <w:hideMark/>
          </w:tcPr>
          <w:p w:rsidR="00E74685" w:rsidRPr="00E74685" w:rsidRDefault="00E74685" w:rsidP="00160CB3">
            <w:pPr>
              <w:spacing w:before="60" w:after="60"/>
              <w:jc w:val="right"/>
              <w:rPr>
                <w:rFonts w:ascii="Arial" w:hAnsi="Arial" w:cs="Arial"/>
                <w:sz w:val="18"/>
                <w:szCs w:val="18"/>
                <w:lang w:val="ru-RU"/>
              </w:rPr>
            </w:pPr>
            <w:r w:rsidRPr="00E74685">
              <w:rPr>
                <w:rFonts w:ascii="Arial" w:hAnsi="Arial" w:cs="Arial"/>
                <w:sz w:val="18"/>
                <w:szCs w:val="18"/>
                <w:lang w:val="ru-RU"/>
              </w:rPr>
              <w:t xml:space="preserve">437 455 долларов  </w:t>
            </w:r>
          </w:p>
        </w:tc>
        <w:tc>
          <w:tcPr>
            <w:tcW w:w="890" w:type="pct"/>
            <w:gridSpan w:val="2"/>
            <w:tcBorders>
              <w:top w:val="dashed" w:sz="4" w:space="0" w:color="auto"/>
              <w:left w:val="dashed" w:sz="4" w:space="0" w:color="auto"/>
              <w:bottom w:val="dashed" w:sz="4" w:space="0" w:color="auto"/>
              <w:right w:val="dashed" w:sz="4" w:space="0" w:color="auto"/>
            </w:tcBorders>
            <w:vAlign w:val="center"/>
          </w:tcPr>
          <w:p w:rsidR="00E74685" w:rsidRPr="00E74685" w:rsidRDefault="00E74685" w:rsidP="00E74685">
            <w:pPr>
              <w:spacing w:before="60" w:after="60"/>
              <w:contextualSpacing/>
              <w:jc w:val="right"/>
              <w:rPr>
                <w:rFonts w:ascii="Arial" w:hAnsi="Arial" w:cs="Arial"/>
                <w:sz w:val="18"/>
                <w:szCs w:val="18"/>
                <w:lang w:val="ru-RU"/>
              </w:rPr>
            </w:pPr>
            <w:r w:rsidRPr="00E74685">
              <w:rPr>
                <w:rFonts w:ascii="Arial" w:hAnsi="Arial" w:cs="Arial"/>
                <w:sz w:val="18"/>
                <w:szCs w:val="18"/>
                <w:lang w:val="ru-RU"/>
              </w:rPr>
              <w:t>109</w:t>
            </w:r>
            <w:r w:rsidRPr="00E74685">
              <w:rPr>
                <w:rFonts w:ascii="Arial" w:hAnsi="Arial" w:cs="Arial"/>
                <w:sz w:val="18"/>
                <w:szCs w:val="18"/>
                <w:lang w:val="en-GB"/>
              </w:rPr>
              <w:t> </w:t>
            </w:r>
            <w:r w:rsidRPr="00E74685">
              <w:rPr>
                <w:rFonts w:ascii="Arial" w:hAnsi="Arial" w:cs="Arial"/>
                <w:sz w:val="18"/>
                <w:szCs w:val="18"/>
                <w:lang w:val="ru-RU"/>
              </w:rPr>
              <w:t xml:space="preserve">364 </w:t>
            </w:r>
          </w:p>
          <w:p w:rsidR="00E74685" w:rsidRPr="00E74685" w:rsidRDefault="00E74685" w:rsidP="00E74685">
            <w:pPr>
              <w:spacing w:before="60" w:after="60"/>
              <w:contextualSpacing/>
              <w:jc w:val="right"/>
              <w:rPr>
                <w:rFonts w:ascii="Arial" w:hAnsi="Arial" w:cs="Arial"/>
                <w:sz w:val="18"/>
                <w:szCs w:val="18"/>
                <w:lang w:val="ru-RU"/>
              </w:rPr>
            </w:pPr>
            <w:r w:rsidRPr="00E74685">
              <w:rPr>
                <w:rFonts w:ascii="Arial" w:hAnsi="Arial" w:cs="Arial"/>
                <w:sz w:val="18"/>
                <w:szCs w:val="18"/>
                <w:lang w:val="ru-RU"/>
              </w:rPr>
              <w:t xml:space="preserve">долларов </w:t>
            </w:r>
          </w:p>
        </w:tc>
      </w:tr>
      <w:tr w:rsidR="00E74685" w:rsidRPr="003A0AD4" w:rsidTr="00E74685">
        <w:trPr>
          <w:trHeight w:val="2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sz w:val="18"/>
                <w:szCs w:val="18"/>
                <w:lang w:val="ru-RU"/>
              </w:rPr>
            </w:pPr>
            <w:r w:rsidRPr="00E74685">
              <w:rPr>
                <w:rFonts w:ascii="Arial" w:hAnsi="Arial" w:cs="Arial"/>
                <w:bCs/>
                <w:sz w:val="18"/>
                <w:szCs w:val="18"/>
                <w:lang w:val="ru-RU"/>
              </w:rPr>
              <w:t>3.</w:t>
            </w:r>
          </w:p>
        </w:tc>
        <w:tc>
          <w:tcPr>
            <w:tcW w:w="24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E74685" w:rsidRDefault="00E74685" w:rsidP="00160CB3">
            <w:pPr>
              <w:spacing w:before="60" w:after="60"/>
              <w:rPr>
                <w:rFonts w:ascii="Arial" w:hAnsi="Arial" w:cs="Arial"/>
                <w:bCs/>
                <w:sz w:val="18"/>
                <w:szCs w:val="18"/>
                <w:lang w:val="ru-RU"/>
              </w:rPr>
            </w:pPr>
            <w:r w:rsidRPr="00E74685">
              <w:rPr>
                <w:rFonts w:ascii="Arial" w:hAnsi="Arial" w:cs="Arial"/>
                <w:bCs/>
                <w:sz w:val="18"/>
                <w:szCs w:val="18"/>
                <w:lang w:val="ru-RU"/>
              </w:rPr>
              <w:t>Другие функции Комитета, предусмотренные в Статье 7 Конвенции и в Оперативном руководстве;</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E74685" w:rsidRDefault="00E74685" w:rsidP="00160CB3">
            <w:pPr>
              <w:spacing w:before="60" w:after="60"/>
              <w:jc w:val="center"/>
              <w:rPr>
                <w:rFonts w:ascii="Arial" w:hAnsi="Arial" w:cs="Arial"/>
                <w:sz w:val="18"/>
                <w:szCs w:val="18"/>
                <w:lang w:val="en-GB"/>
              </w:rPr>
            </w:pPr>
            <w:r w:rsidRPr="00E74685">
              <w:rPr>
                <w:rFonts w:ascii="Arial" w:hAnsi="Arial" w:cs="Arial"/>
                <w:sz w:val="18"/>
                <w:szCs w:val="18"/>
                <w:lang w:val="en-GB"/>
              </w:rPr>
              <w:t>20,00%</w:t>
            </w:r>
          </w:p>
        </w:tc>
        <w:tc>
          <w:tcPr>
            <w:tcW w:w="755" w:type="pct"/>
            <w:gridSpan w:val="2"/>
            <w:tcBorders>
              <w:top w:val="dashed" w:sz="4" w:space="0" w:color="auto"/>
              <w:left w:val="single" w:sz="4" w:space="0" w:color="auto"/>
              <w:bottom w:val="dashed" w:sz="4" w:space="0" w:color="auto"/>
              <w:right w:val="dashed" w:sz="4" w:space="0" w:color="auto"/>
            </w:tcBorders>
            <w:shd w:val="clear" w:color="auto" w:fill="auto"/>
            <w:noWrap/>
            <w:vAlign w:val="center"/>
            <w:hideMark/>
          </w:tcPr>
          <w:p w:rsidR="00E74685" w:rsidRPr="00E74685" w:rsidRDefault="00E74685" w:rsidP="00160CB3">
            <w:pPr>
              <w:spacing w:before="60" w:after="60"/>
              <w:jc w:val="right"/>
              <w:rPr>
                <w:rFonts w:ascii="Arial" w:hAnsi="Arial" w:cs="Arial"/>
                <w:sz w:val="18"/>
                <w:szCs w:val="18"/>
                <w:lang w:val="en-GB"/>
              </w:rPr>
            </w:pPr>
            <w:r w:rsidRPr="00E74685">
              <w:rPr>
                <w:rFonts w:ascii="Arial" w:hAnsi="Arial" w:cs="Arial"/>
                <w:sz w:val="18"/>
                <w:szCs w:val="18"/>
                <w:lang w:val="en-GB"/>
              </w:rPr>
              <w:t>1 590 746</w:t>
            </w:r>
            <w:r w:rsidRPr="00E74685">
              <w:rPr>
                <w:rFonts w:ascii="Arial" w:hAnsi="Arial" w:cs="Arial"/>
                <w:sz w:val="18"/>
                <w:szCs w:val="18"/>
                <w:lang w:val="ru-RU"/>
              </w:rPr>
              <w:t xml:space="preserve"> долларов</w:t>
            </w:r>
            <w:r w:rsidRPr="00E74685">
              <w:rPr>
                <w:rFonts w:ascii="Arial" w:hAnsi="Arial" w:cs="Arial"/>
                <w:sz w:val="18"/>
                <w:szCs w:val="18"/>
                <w:lang w:val="en-GB"/>
              </w:rPr>
              <w:t xml:space="preserve"> </w:t>
            </w:r>
          </w:p>
        </w:tc>
        <w:tc>
          <w:tcPr>
            <w:tcW w:w="890" w:type="pct"/>
            <w:gridSpan w:val="2"/>
            <w:tcBorders>
              <w:top w:val="dashed" w:sz="4" w:space="0" w:color="auto"/>
              <w:left w:val="dashed" w:sz="4" w:space="0" w:color="auto"/>
              <w:bottom w:val="dashed" w:sz="4" w:space="0" w:color="auto"/>
              <w:right w:val="dashed" w:sz="4" w:space="0" w:color="auto"/>
            </w:tcBorders>
            <w:vAlign w:val="center"/>
          </w:tcPr>
          <w:p w:rsidR="00E74685" w:rsidRPr="00E74685" w:rsidRDefault="00E74685" w:rsidP="00E74685">
            <w:pPr>
              <w:spacing w:before="60" w:after="60"/>
              <w:contextualSpacing/>
              <w:jc w:val="right"/>
              <w:rPr>
                <w:rFonts w:ascii="Arial" w:hAnsi="Arial" w:cs="Arial"/>
                <w:sz w:val="18"/>
                <w:szCs w:val="18"/>
                <w:lang w:val="en-GB"/>
              </w:rPr>
            </w:pPr>
            <w:r w:rsidRPr="00E74685">
              <w:rPr>
                <w:rFonts w:ascii="Arial" w:hAnsi="Arial" w:cs="Arial"/>
                <w:sz w:val="18"/>
                <w:szCs w:val="18"/>
                <w:lang w:val="en-GB"/>
              </w:rPr>
              <w:t>397 687</w:t>
            </w:r>
          </w:p>
          <w:p w:rsidR="00E74685" w:rsidRPr="00E74685" w:rsidRDefault="00E74685" w:rsidP="00E74685">
            <w:pPr>
              <w:spacing w:before="60" w:after="60"/>
              <w:contextualSpacing/>
              <w:jc w:val="right"/>
              <w:rPr>
                <w:rFonts w:ascii="Arial" w:hAnsi="Arial" w:cs="Arial"/>
                <w:sz w:val="18"/>
                <w:szCs w:val="18"/>
                <w:lang w:val="en-GB"/>
              </w:rPr>
            </w:pPr>
            <w:r w:rsidRPr="00E74685">
              <w:rPr>
                <w:rFonts w:ascii="Arial" w:hAnsi="Arial" w:cs="Arial"/>
                <w:sz w:val="18"/>
                <w:szCs w:val="18"/>
                <w:lang w:val="en-GB"/>
              </w:rPr>
              <w:t xml:space="preserve"> </w:t>
            </w:r>
            <w:proofErr w:type="spellStart"/>
            <w:r w:rsidRPr="00E74685">
              <w:rPr>
                <w:rFonts w:ascii="Arial" w:hAnsi="Arial" w:cs="Arial"/>
                <w:sz w:val="18"/>
                <w:szCs w:val="18"/>
                <w:lang w:val="en-GB"/>
              </w:rPr>
              <w:t>долларов</w:t>
            </w:r>
            <w:proofErr w:type="spellEnd"/>
            <w:r w:rsidRPr="00E74685">
              <w:rPr>
                <w:rFonts w:ascii="Arial" w:hAnsi="Arial" w:cs="Arial"/>
                <w:sz w:val="18"/>
                <w:szCs w:val="18"/>
                <w:lang w:val="en-GB"/>
              </w:rPr>
              <w:t xml:space="preserve"> </w:t>
            </w:r>
          </w:p>
        </w:tc>
      </w:tr>
      <w:tr w:rsidR="00E74685" w:rsidRPr="003A0AD4" w:rsidTr="00160CB3">
        <w:trPr>
          <w:trHeight w:val="2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sz w:val="18"/>
                <w:szCs w:val="18"/>
                <w:lang w:val="en-GB"/>
              </w:rPr>
            </w:pPr>
            <w:r w:rsidRPr="00E74685">
              <w:rPr>
                <w:rFonts w:ascii="Arial" w:hAnsi="Arial" w:cs="Arial"/>
                <w:bCs/>
                <w:sz w:val="18"/>
                <w:szCs w:val="18"/>
                <w:lang w:val="en-GB"/>
              </w:rPr>
              <w:t>4.</w:t>
            </w:r>
          </w:p>
        </w:tc>
        <w:tc>
          <w:tcPr>
            <w:tcW w:w="2457"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bCs/>
                <w:sz w:val="18"/>
                <w:szCs w:val="18"/>
                <w:lang w:val="ru-RU"/>
              </w:rPr>
            </w:pPr>
            <w:r w:rsidRPr="00E74685">
              <w:rPr>
                <w:rFonts w:ascii="Arial" w:hAnsi="Arial" w:cs="Arial"/>
                <w:bCs/>
                <w:sz w:val="18"/>
                <w:szCs w:val="18"/>
                <w:lang w:val="ru-RU"/>
              </w:rPr>
              <w:t>Участие экспертов в области нематериального культурного наследия из развивающихся государств-членов Комитета в работе Комитета, его Президиума и вспомогательных органов;</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E74685" w:rsidRDefault="00E74685" w:rsidP="00160CB3">
            <w:pPr>
              <w:spacing w:before="60" w:after="60"/>
              <w:jc w:val="center"/>
              <w:rPr>
                <w:rFonts w:ascii="Arial" w:hAnsi="Arial" w:cs="Arial"/>
                <w:sz w:val="18"/>
                <w:szCs w:val="18"/>
                <w:lang w:val="en-GB"/>
              </w:rPr>
            </w:pPr>
            <w:r w:rsidRPr="00E74685">
              <w:rPr>
                <w:rFonts w:ascii="Arial" w:hAnsi="Arial" w:cs="Arial"/>
                <w:sz w:val="18"/>
                <w:szCs w:val="18"/>
                <w:lang w:val="en-GB"/>
              </w:rPr>
              <w:t>2,25%</w:t>
            </w:r>
          </w:p>
        </w:tc>
        <w:tc>
          <w:tcPr>
            <w:tcW w:w="755" w:type="pct"/>
            <w:gridSpan w:val="2"/>
            <w:tcBorders>
              <w:top w:val="dashed" w:sz="4" w:space="0" w:color="auto"/>
              <w:left w:val="single" w:sz="4" w:space="0" w:color="auto"/>
              <w:bottom w:val="dashed" w:sz="4" w:space="0" w:color="auto"/>
              <w:right w:val="dashed" w:sz="4" w:space="0" w:color="auto"/>
            </w:tcBorders>
            <w:shd w:val="clear" w:color="auto" w:fill="auto"/>
            <w:noWrap/>
            <w:vAlign w:val="center"/>
            <w:hideMark/>
          </w:tcPr>
          <w:p w:rsidR="00E74685" w:rsidRPr="00E74685" w:rsidRDefault="00E74685" w:rsidP="00160CB3">
            <w:pPr>
              <w:spacing w:before="60" w:after="60"/>
              <w:jc w:val="right"/>
              <w:rPr>
                <w:rFonts w:ascii="Arial" w:hAnsi="Arial" w:cs="Arial"/>
                <w:sz w:val="18"/>
                <w:szCs w:val="18"/>
                <w:lang w:val="en-GB"/>
              </w:rPr>
            </w:pPr>
            <w:r w:rsidRPr="00E74685">
              <w:rPr>
                <w:rFonts w:ascii="Arial" w:hAnsi="Arial" w:cs="Arial"/>
                <w:sz w:val="18"/>
                <w:szCs w:val="18"/>
                <w:lang w:val="en-GB"/>
              </w:rPr>
              <w:t>178 959</w:t>
            </w:r>
            <w:r w:rsidRPr="00E74685">
              <w:rPr>
                <w:rFonts w:ascii="Arial" w:hAnsi="Arial" w:cs="Arial"/>
                <w:sz w:val="18"/>
                <w:szCs w:val="18"/>
                <w:lang w:val="ru-RU"/>
              </w:rPr>
              <w:t xml:space="preserve"> долларов</w:t>
            </w:r>
            <w:r w:rsidRPr="00E74685">
              <w:rPr>
                <w:rFonts w:ascii="Arial" w:hAnsi="Arial" w:cs="Arial"/>
                <w:sz w:val="18"/>
                <w:szCs w:val="18"/>
                <w:lang w:val="en-GB"/>
              </w:rPr>
              <w:t xml:space="preserve">  </w:t>
            </w:r>
          </w:p>
        </w:tc>
        <w:tc>
          <w:tcPr>
            <w:tcW w:w="890" w:type="pct"/>
            <w:gridSpan w:val="2"/>
            <w:tcBorders>
              <w:top w:val="dashed" w:sz="4" w:space="0" w:color="auto"/>
              <w:left w:val="dashed" w:sz="4" w:space="0" w:color="auto"/>
              <w:bottom w:val="dashed" w:sz="4" w:space="0" w:color="auto"/>
              <w:right w:val="dashed" w:sz="4" w:space="0" w:color="auto"/>
            </w:tcBorders>
            <w:vAlign w:val="center"/>
          </w:tcPr>
          <w:p w:rsidR="00E74685" w:rsidRPr="00E74685" w:rsidRDefault="00E74685" w:rsidP="00E74685">
            <w:pPr>
              <w:spacing w:before="60" w:after="60"/>
              <w:contextualSpacing/>
              <w:jc w:val="right"/>
              <w:rPr>
                <w:rFonts w:ascii="Arial" w:hAnsi="Arial" w:cs="Arial"/>
                <w:sz w:val="18"/>
                <w:szCs w:val="18"/>
                <w:lang w:val="en-GB"/>
              </w:rPr>
            </w:pPr>
            <w:r w:rsidRPr="00E74685">
              <w:rPr>
                <w:rFonts w:ascii="Arial" w:hAnsi="Arial" w:cs="Arial"/>
                <w:sz w:val="18"/>
                <w:szCs w:val="18"/>
                <w:lang w:val="en-GB"/>
              </w:rPr>
              <w:t xml:space="preserve">44 740 </w:t>
            </w:r>
          </w:p>
          <w:p w:rsidR="00E74685" w:rsidRPr="00E74685" w:rsidRDefault="00E74685" w:rsidP="00E74685">
            <w:pPr>
              <w:spacing w:before="60" w:after="60"/>
              <w:contextualSpacing/>
              <w:jc w:val="right"/>
              <w:rPr>
                <w:rFonts w:ascii="Arial" w:hAnsi="Arial" w:cs="Arial"/>
                <w:sz w:val="18"/>
                <w:szCs w:val="18"/>
                <w:lang w:val="en-GB"/>
              </w:rPr>
            </w:pPr>
            <w:proofErr w:type="spellStart"/>
            <w:r w:rsidRPr="00E74685">
              <w:rPr>
                <w:rFonts w:ascii="Arial" w:hAnsi="Arial" w:cs="Arial"/>
                <w:sz w:val="18"/>
                <w:szCs w:val="18"/>
                <w:lang w:val="en-GB"/>
              </w:rPr>
              <w:t>долларов</w:t>
            </w:r>
            <w:proofErr w:type="spellEnd"/>
            <w:r w:rsidRPr="00E74685">
              <w:rPr>
                <w:rFonts w:ascii="Arial" w:hAnsi="Arial" w:cs="Arial"/>
                <w:sz w:val="18"/>
                <w:szCs w:val="18"/>
                <w:lang w:val="en-GB"/>
              </w:rPr>
              <w:t xml:space="preserve"> </w:t>
            </w:r>
          </w:p>
        </w:tc>
      </w:tr>
      <w:tr w:rsidR="00E74685" w:rsidRPr="003A0AD4" w:rsidTr="00160CB3">
        <w:trPr>
          <w:trHeight w:val="2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sz w:val="18"/>
                <w:szCs w:val="18"/>
                <w:lang w:val="en-GB"/>
              </w:rPr>
            </w:pPr>
            <w:r w:rsidRPr="00E74685">
              <w:rPr>
                <w:rFonts w:ascii="Arial" w:hAnsi="Arial" w:cs="Arial"/>
                <w:bCs/>
                <w:sz w:val="18"/>
                <w:szCs w:val="18"/>
                <w:lang w:val="en-GB"/>
              </w:rPr>
              <w:t>5.</w:t>
            </w:r>
          </w:p>
        </w:tc>
        <w:tc>
          <w:tcPr>
            <w:tcW w:w="2457"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bCs/>
                <w:sz w:val="18"/>
                <w:szCs w:val="18"/>
                <w:lang w:val="ru-RU"/>
              </w:rPr>
            </w:pPr>
            <w:r w:rsidRPr="00E74685">
              <w:rPr>
                <w:rFonts w:ascii="Arial" w:hAnsi="Arial" w:cs="Arial"/>
                <w:bCs/>
                <w:sz w:val="18"/>
                <w:szCs w:val="18"/>
                <w:lang w:val="ru-RU"/>
              </w:rPr>
              <w:t>Участие экспертов в области нематериального культурного наследия из развивающихся государств, являющихся участниками Конвенции, но не членами Комитета, в сессиях Комитета и в его консультационных органах;</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E74685" w:rsidRDefault="00E74685" w:rsidP="00160CB3">
            <w:pPr>
              <w:spacing w:before="60" w:after="60"/>
              <w:jc w:val="center"/>
              <w:rPr>
                <w:rFonts w:ascii="Arial" w:hAnsi="Arial" w:cs="Arial"/>
                <w:sz w:val="18"/>
                <w:szCs w:val="18"/>
                <w:lang w:val="en-GB"/>
              </w:rPr>
            </w:pPr>
            <w:r w:rsidRPr="00E74685">
              <w:rPr>
                <w:rFonts w:ascii="Arial" w:hAnsi="Arial" w:cs="Arial"/>
                <w:sz w:val="18"/>
                <w:szCs w:val="18"/>
                <w:lang w:val="en-GB"/>
              </w:rPr>
              <w:t>2,75%</w:t>
            </w:r>
          </w:p>
        </w:tc>
        <w:tc>
          <w:tcPr>
            <w:tcW w:w="755" w:type="pct"/>
            <w:gridSpan w:val="2"/>
            <w:tcBorders>
              <w:top w:val="dashed" w:sz="4" w:space="0" w:color="auto"/>
              <w:left w:val="single" w:sz="4" w:space="0" w:color="auto"/>
              <w:bottom w:val="dashed" w:sz="4" w:space="0" w:color="auto"/>
              <w:right w:val="dashed" w:sz="4" w:space="0" w:color="auto"/>
            </w:tcBorders>
            <w:shd w:val="clear" w:color="auto" w:fill="auto"/>
            <w:noWrap/>
            <w:vAlign w:val="center"/>
            <w:hideMark/>
          </w:tcPr>
          <w:p w:rsidR="00E74685" w:rsidRPr="00E74685" w:rsidRDefault="00E74685" w:rsidP="00160CB3">
            <w:pPr>
              <w:spacing w:before="60" w:after="60"/>
              <w:jc w:val="right"/>
              <w:rPr>
                <w:rFonts w:ascii="Arial" w:hAnsi="Arial" w:cs="Arial"/>
                <w:sz w:val="18"/>
                <w:szCs w:val="18"/>
                <w:lang w:val="en-GB"/>
              </w:rPr>
            </w:pPr>
            <w:r w:rsidRPr="00E74685">
              <w:rPr>
                <w:rFonts w:ascii="Arial" w:hAnsi="Arial" w:cs="Arial"/>
                <w:sz w:val="18"/>
                <w:szCs w:val="18"/>
                <w:lang w:val="en-GB"/>
              </w:rPr>
              <w:t>218 728</w:t>
            </w:r>
            <w:r w:rsidRPr="00E74685">
              <w:rPr>
                <w:rFonts w:ascii="Arial" w:hAnsi="Arial" w:cs="Arial"/>
                <w:sz w:val="18"/>
                <w:szCs w:val="18"/>
                <w:lang w:val="ru-RU"/>
              </w:rPr>
              <w:t xml:space="preserve"> долларов</w:t>
            </w:r>
            <w:r w:rsidRPr="00E74685">
              <w:rPr>
                <w:rFonts w:ascii="Arial" w:hAnsi="Arial" w:cs="Arial"/>
                <w:sz w:val="18"/>
                <w:szCs w:val="18"/>
                <w:lang w:val="en-GB"/>
              </w:rPr>
              <w:t xml:space="preserve">  </w:t>
            </w:r>
          </w:p>
        </w:tc>
        <w:tc>
          <w:tcPr>
            <w:tcW w:w="890" w:type="pct"/>
            <w:gridSpan w:val="2"/>
            <w:tcBorders>
              <w:top w:val="dashed" w:sz="4" w:space="0" w:color="auto"/>
              <w:left w:val="dashed" w:sz="4" w:space="0" w:color="auto"/>
              <w:bottom w:val="dashed" w:sz="4" w:space="0" w:color="auto"/>
              <w:right w:val="dashed" w:sz="4" w:space="0" w:color="auto"/>
            </w:tcBorders>
            <w:vAlign w:val="center"/>
          </w:tcPr>
          <w:p w:rsidR="00E74685" w:rsidRPr="00E74685" w:rsidRDefault="00E74685" w:rsidP="00E74685">
            <w:pPr>
              <w:spacing w:before="60" w:after="60"/>
              <w:contextualSpacing/>
              <w:jc w:val="right"/>
              <w:rPr>
                <w:rFonts w:ascii="Arial" w:hAnsi="Arial" w:cs="Arial"/>
                <w:sz w:val="18"/>
                <w:szCs w:val="18"/>
                <w:lang w:val="en-GB"/>
              </w:rPr>
            </w:pPr>
            <w:r w:rsidRPr="00E74685">
              <w:rPr>
                <w:rFonts w:ascii="Arial" w:hAnsi="Arial" w:cs="Arial"/>
                <w:sz w:val="18"/>
                <w:szCs w:val="18"/>
                <w:lang w:val="en-GB"/>
              </w:rPr>
              <w:t xml:space="preserve">54,682 </w:t>
            </w:r>
          </w:p>
          <w:p w:rsidR="00E74685" w:rsidRPr="00E74685" w:rsidRDefault="00E74685" w:rsidP="00E74685">
            <w:pPr>
              <w:spacing w:before="60" w:after="60"/>
              <w:contextualSpacing/>
              <w:jc w:val="right"/>
              <w:rPr>
                <w:rFonts w:ascii="Arial" w:hAnsi="Arial" w:cs="Arial"/>
                <w:sz w:val="18"/>
                <w:szCs w:val="18"/>
                <w:lang w:val="en-GB"/>
              </w:rPr>
            </w:pPr>
            <w:proofErr w:type="spellStart"/>
            <w:r w:rsidRPr="00E74685">
              <w:rPr>
                <w:rFonts w:ascii="Arial" w:hAnsi="Arial" w:cs="Arial"/>
                <w:sz w:val="18"/>
                <w:szCs w:val="18"/>
                <w:lang w:val="en-GB"/>
              </w:rPr>
              <w:t>долларов</w:t>
            </w:r>
            <w:proofErr w:type="spellEnd"/>
          </w:p>
        </w:tc>
      </w:tr>
      <w:tr w:rsidR="00E74685" w:rsidRPr="003A0AD4" w:rsidTr="00160CB3">
        <w:trPr>
          <w:trHeight w:val="2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sz w:val="18"/>
                <w:szCs w:val="18"/>
                <w:lang w:val="en-GB"/>
              </w:rPr>
            </w:pPr>
            <w:r w:rsidRPr="00E74685">
              <w:rPr>
                <w:rFonts w:ascii="Arial" w:hAnsi="Arial" w:cs="Arial"/>
                <w:bCs/>
                <w:sz w:val="18"/>
                <w:szCs w:val="18"/>
                <w:lang w:val="en-GB"/>
              </w:rPr>
              <w:t>6.</w:t>
            </w:r>
          </w:p>
        </w:tc>
        <w:tc>
          <w:tcPr>
            <w:tcW w:w="2457"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bCs/>
                <w:sz w:val="18"/>
                <w:szCs w:val="18"/>
                <w:lang w:val="ru-RU"/>
              </w:rPr>
            </w:pPr>
            <w:proofErr w:type="gramStart"/>
            <w:r w:rsidRPr="00E74685">
              <w:rPr>
                <w:rFonts w:ascii="Arial" w:hAnsi="Arial" w:cs="Arial"/>
                <w:bCs/>
                <w:sz w:val="18"/>
                <w:szCs w:val="18"/>
                <w:lang w:val="ru-RU"/>
              </w:rPr>
              <w:t>Участие государственных и частных организаций, отдельных частных лиц, в особенности членов сообществ и групп, приглашенных Комитетом  для консультаций по конкретным вопросам, а также экспертов в области нематериального культурного наследия, представляющих аккредитованные НПО из развивающихся государств, в работе сессий Комитета, его Президиума и вспомогательных и консультативных органов;</w:t>
            </w:r>
            <w:proofErr w:type="gramEnd"/>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E74685" w:rsidRDefault="00E74685" w:rsidP="00160CB3">
            <w:pPr>
              <w:spacing w:before="60" w:after="60"/>
              <w:jc w:val="center"/>
              <w:rPr>
                <w:rFonts w:ascii="Arial" w:hAnsi="Arial" w:cs="Arial"/>
                <w:sz w:val="18"/>
                <w:szCs w:val="18"/>
                <w:lang w:val="en-GB"/>
              </w:rPr>
            </w:pPr>
            <w:r w:rsidRPr="00E74685">
              <w:rPr>
                <w:rFonts w:ascii="Arial" w:hAnsi="Arial" w:cs="Arial"/>
                <w:sz w:val="18"/>
                <w:szCs w:val="18"/>
                <w:lang w:val="en-GB"/>
              </w:rPr>
              <w:t>4,50%</w:t>
            </w:r>
          </w:p>
        </w:tc>
        <w:tc>
          <w:tcPr>
            <w:tcW w:w="755" w:type="pct"/>
            <w:gridSpan w:val="2"/>
            <w:tcBorders>
              <w:top w:val="dashed" w:sz="4" w:space="0" w:color="auto"/>
              <w:left w:val="single" w:sz="4" w:space="0" w:color="auto"/>
              <w:bottom w:val="dashed" w:sz="4" w:space="0" w:color="auto"/>
              <w:right w:val="dashed" w:sz="4" w:space="0" w:color="auto"/>
            </w:tcBorders>
            <w:shd w:val="clear" w:color="auto" w:fill="auto"/>
            <w:noWrap/>
            <w:vAlign w:val="center"/>
            <w:hideMark/>
          </w:tcPr>
          <w:p w:rsidR="00E74685" w:rsidRPr="00E74685" w:rsidRDefault="00E74685" w:rsidP="00160CB3">
            <w:pPr>
              <w:spacing w:before="60" w:after="60"/>
              <w:jc w:val="right"/>
              <w:rPr>
                <w:rFonts w:ascii="Arial" w:hAnsi="Arial" w:cs="Arial"/>
                <w:sz w:val="18"/>
                <w:szCs w:val="18"/>
                <w:lang w:val="en-GB"/>
              </w:rPr>
            </w:pPr>
            <w:r w:rsidRPr="00E74685">
              <w:rPr>
                <w:rFonts w:ascii="Arial" w:hAnsi="Arial" w:cs="Arial"/>
                <w:sz w:val="18"/>
                <w:szCs w:val="18"/>
                <w:lang w:val="en-GB"/>
              </w:rPr>
              <w:t>357 918</w:t>
            </w:r>
            <w:r w:rsidRPr="00E74685">
              <w:rPr>
                <w:rFonts w:ascii="Arial" w:hAnsi="Arial" w:cs="Arial"/>
                <w:sz w:val="18"/>
                <w:szCs w:val="18"/>
                <w:lang w:val="ru-RU"/>
              </w:rPr>
              <w:t xml:space="preserve"> долларов</w:t>
            </w:r>
            <w:r w:rsidRPr="00E74685">
              <w:rPr>
                <w:rFonts w:ascii="Arial" w:hAnsi="Arial" w:cs="Arial"/>
                <w:sz w:val="18"/>
                <w:szCs w:val="18"/>
                <w:lang w:val="en-GB"/>
              </w:rPr>
              <w:t xml:space="preserve">  </w:t>
            </w:r>
          </w:p>
        </w:tc>
        <w:tc>
          <w:tcPr>
            <w:tcW w:w="890" w:type="pct"/>
            <w:gridSpan w:val="2"/>
            <w:tcBorders>
              <w:top w:val="dashed" w:sz="4" w:space="0" w:color="auto"/>
              <w:left w:val="dashed" w:sz="4" w:space="0" w:color="auto"/>
              <w:bottom w:val="dashed" w:sz="4" w:space="0" w:color="auto"/>
              <w:right w:val="dashed" w:sz="4" w:space="0" w:color="auto"/>
            </w:tcBorders>
            <w:vAlign w:val="center"/>
          </w:tcPr>
          <w:p w:rsidR="00E74685" w:rsidRPr="00E74685" w:rsidRDefault="00E74685" w:rsidP="00E74685">
            <w:pPr>
              <w:spacing w:before="60" w:after="60"/>
              <w:contextualSpacing/>
              <w:jc w:val="right"/>
              <w:rPr>
                <w:rFonts w:ascii="Arial" w:hAnsi="Arial" w:cs="Arial"/>
                <w:sz w:val="18"/>
                <w:szCs w:val="18"/>
                <w:lang w:val="ru-RU"/>
              </w:rPr>
            </w:pPr>
            <w:r w:rsidRPr="00E74685">
              <w:rPr>
                <w:rFonts w:ascii="Arial" w:hAnsi="Arial" w:cs="Arial"/>
                <w:sz w:val="18"/>
                <w:szCs w:val="18"/>
                <w:lang w:val="en-GB"/>
              </w:rPr>
              <w:t>89 480</w:t>
            </w:r>
            <w:r w:rsidRPr="00E74685">
              <w:rPr>
                <w:rFonts w:ascii="Arial" w:hAnsi="Arial" w:cs="Arial"/>
                <w:sz w:val="18"/>
                <w:szCs w:val="18"/>
                <w:lang w:val="ru-RU"/>
              </w:rPr>
              <w:t xml:space="preserve"> </w:t>
            </w:r>
          </w:p>
          <w:p w:rsidR="00E74685" w:rsidRPr="00E74685" w:rsidRDefault="00E74685" w:rsidP="00E74685">
            <w:pPr>
              <w:spacing w:before="60" w:after="60"/>
              <w:contextualSpacing/>
              <w:jc w:val="right"/>
              <w:rPr>
                <w:rFonts w:ascii="Arial" w:hAnsi="Arial" w:cs="Arial"/>
                <w:sz w:val="18"/>
                <w:szCs w:val="18"/>
                <w:lang w:val="en-GB"/>
              </w:rPr>
            </w:pPr>
            <w:r w:rsidRPr="00E74685">
              <w:rPr>
                <w:rFonts w:ascii="Arial" w:hAnsi="Arial" w:cs="Arial"/>
                <w:sz w:val="18"/>
                <w:szCs w:val="18"/>
                <w:lang w:val="ru-RU"/>
              </w:rPr>
              <w:t>долларов</w:t>
            </w:r>
            <w:r w:rsidRPr="00E74685">
              <w:rPr>
                <w:rFonts w:ascii="Arial" w:hAnsi="Arial" w:cs="Arial"/>
                <w:sz w:val="18"/>
                <w:szCs w:val="18"/>
                <w:lang w:val="en-GB"/>
              </w:rPr>
              <w:t xml:space="preserve">  </w:t>
            </w:r>
          </w:p>
        </w:tc>
      </w:tr>
      <w:tr w:rsidR="00E74685" w:rsidRPr="003A0AD4" w:rsidTr="00160CB3">
        <w:trPr>
          <w:trHeight w:val="1020"/>
        </w:trPr>
        <w:tc>
          <w:tcPr>
            <w:tcW w:w="218" w:type="pct"/>
            <w:tcBorders>
              <w:top w:val="single" w:sz="4" w:space="0" w:color="auto"/>
              <w:left w:val="single" w:sz="4" w:space="0" w:color="auto"/>
              <w:bottom w:val="single" w:sz="4" w:space="0" w:color="auto"/>
              <w:right w:val="single" w:sz="4" w:space="0" w:color="auto"/>
            </w:tcBorders>
            <w:shd w:val="clear" w:color="auto" w:fill="auto"/>
            <w:hideMark/>
          </w:tcPr>
          <w:p w:rsidR="00E74685" w:rsidRPr="00E74685" w:rsidRDefault="00E74685" w:rsidP="00160CB3">
            <w:pPr>
              <w:spacing w:before="60" w:after="60"/>
              <w:rPr>
                <w:rFonts w:ascii="Arial" w:hAnsi="Arial" w:cs="Arial"/>
                <w:sz w:val="18"/>
                <w:szCs w:val="18"/>
                <w:lang w:val="en-GB"/>
              </w:rPr>
            </w:pPr>
            <w:r w:rsidRPr="00E74685">
              <w:rPr>
                <w:rFonts w:ascii="Arial" w:hAnsi="Arial" w:cs="Arial"/>
                <w:bCs/>
                <w:sz w:val="18"/>
                <w:szCs w:val="18"/>
                <w:lang w:val="en-GB"/>
              </w:rPr>
              <w:t>7.</w:t>
            </w:r>
          </w:p>
        </w:tc>
        <w:tc>
          <w:tcPr>
            <w:tcW w:w="2457" w:type="pct"/>
            <w:tcBorders>
              <w:top w:val="single" w:sz="4" w:space="0" w:color="auto"/>
              <w:left w:val="single" w:sz="4" w:space="0" w:color="auto"/>
              <w:bottom w:val="single" w:sz="4" w:space="0" w:color="auto"/>
              <w:right w:val="single" w:sz="4" w:space="0" w:color="auto"/>
            </w:tcBorders>
            <w:shd w:val="clear" w:color="auto" w:fill="auto"/>
            <w:hideMark/>
          </w:tcPr>
          <w:p w:rsidR="00E74685" w:rsidRPr="00E74685" w:rsidRDefault="00E74685" w:rsidP="00160CB3">
            <w:pPr>
              <w:spacing w:before="60" w:after="60"/>
              <w:rPr>
                <w:rFonts w:ascii="Arial" w:hAnsi="Arial" w:cs="Arial"/>
                <w:bCs/>
                <w:sz w:val="18"/>
                <w:szCs w:val="18"/>
                <w:lang w:val="ru-RU"/>
              </w:rPr>
            </w:pPr>
            <w:r w:rsidRPr="00E74685">
              <w:rPr>
                <w:rFonts w:ascii="Arial" w:hAnsi="Arial" w:cs="Arial"/>
                <w:bCs/>
                <w:sz w:val="18"/>
                <w:szCs w:val="18"/>
                <w:lang w:val="ru-RU"/>
              </w:rPr>
              <w:t>Покрытие расходов на консультационные услуги, представленные по просьбе Комитета, в том числе, на оказание поддержки развивающимся странам, чьи представители были назначены в Оценочный орган;</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E74685" w:rsidRDefault="00E74685" w:rsidP="00160CB3">
            <w:pPr>
              <w:spacing w:before="60" w:after="60"/>
              <w:jc w:val="center"/>
              <w:rPr>
                <w:rFonts w:ascii="Arial" w:hAnsi="Arial" w:cs="Arial"/>
                <w:sz w:val="18"/>
                <w:szCs w:val="18"/>
                <w:lang w:val="en-GB"/>
              </w:rPr>
            </w:pPr>
            <w:r w:rsidRPr="00E74685">
              <w:rPr>
                <w:rFonts w:ascii="Arial" w:hAnsi="Arial" w:cs="Arial"/>
                <w:sz w:val="18"/>
                <w:szCs w:val="18"/>
                <w:lang w:val="en-GB"/>
              </w:rPr>
              <w:t>6</w:t>
            </w:r>
            <w:r w:rsidRPr="00E74685">
              <w:rPr>
                <w:rFonts w:ascii="Arial" w:hAnsi="Arial" w:cs="Arial"/>
                <w:sz w:val="18"/>
                <w:szCs w:val="18"/>
                <w:lang w:val="ru-RU"/>
              </w:rPr>
              <w:t>,</w:t>
            </w:r>
            <w:r w:rsidRPr="00E74685">
              <w:rPr>
                <w:rFonts w:ascii="Arial" w:hAnsi="Arial" w:cs="Arial"/>
                <w:sz w:val="18"/>
                <w:szCs w:val="18"/>
                <w:lang w:val="en-GB"/>
              </w:rPr>
              <w:t>00%</w:t>
            </w:r>
          </w:p>
        </w:tc>
        <w:tc>
          <w:tcPr>
            <w:tcW w:w="755" w:type="pct"/>
            <w:gridSpan w:val="2"/>
            <w:tcBorders>
              <w:top w:val="dashed" w:sz="4" w:space="0" w:color="auto"/>
              <w:left w:val="single" w:sz="4" w:space="0" w:color="auto"/>
              <w:bottom w:val="dashed" w:sz="4" w:space="0" w:color="auto"/>
              <w:right w:val="dashed" w:sz="4" w:space="0" w:color="auto"/>
            </w:tcBorders>
            <w:shd w:val="clear" w:color="auto" w:fill="auto"/>
            <w:noWrap/>
            <w:vAlign w:val="center"/>
            <w:hideMark/>
          </w:tcPr>
          <w:p w:rsidR="00E74685" w:rsidRPr="00E74685" w:rsidRDefault="00E74685" w:rsidP="00160CB3">
            <w:pPr>
              <w:spacing w:before="60" w:after="60"/>
              <w:jc w:val="right"/>
              <w:rPr>
                <w:rFonts w:ascii="Arial" w:hAnsi="Arial" w:cs="Arial"/>
                <w:sz w:val="18"/>
                <w:szCs w:val="18"/>
                <w:lang w:val="en-GB"/>
              </w:rPr>
            </w:pPr>
            <w:r w:rsidRPr="00E74685">
              <w:rPr>
                <w:rFonts w:ascii="Arial" w:hAnsi="Arial" w:cs="Arial"/>
                <w:sz w:val="18"/>
                <w:szCs w:val="18"/>
                <w:lang w:val="en-GB"/>
              </w:rPr>
              <w:t>477 224</w:t>
            </w:r>
            <w:r w:rsidRPr="00E74685">
              <w:rPr>
                <w:rFonts w:ascii="Arial" w:hAnsi="Arial" w:cs="Arial"/>
                <w:sz w:val="18"/>
                <w:szCs w:val="18"/>
                <w:lang w:val="ru-RU"/>
              </w:rPr>
              <w:t xml:space="preserve"> долларов</w:t>
            </w:r>
            <w:r w:rsidRPr="00E74685">
              <w:rPr>
                <w:rFonts w:ascii="Arial" w:hAnsi="Arial" w:cs="Arial"/>
                <w:sz w:val="18"/>
                <w:szCs w:val="18"/>
                <w:lang w:val="en-GB"/>
              </w:rPr>
              <w:t xml:space="preserve">  </w:t>
            </w:r>
          </w:p>
        </w:tc>
        <w:tc>
          <w:tcPr>
            <w:tcW w:w="890" w:type="pct"/>
            <w:gridSpan w:val="2"/>
            <w:tcBorders>
              <w:top w:val="dashed" w:sz="4" w:space="0" w:color="auto"/>
              <w:left w:val="dashed" w:sz="4" w:space="0" w:color="auto"/>
              <w:bottom w:val="dashed" w:sz="4" w:space="0" w:color="auto"/>
              <w:right w:val="dashed" w:sz="4" w:space="0" w:color="auto"/>
            </w:tcBorders>
            <w:vAlign w:val="center"/>
          </w:tcPr>
          <w:p w:rsidR="00E74685" w:rsidRPr="00E74685" w:rsidRDefault="00E74685" w:rsidP="00E74685">
            <w:pPr>
              <w:spacing w:before="60" w:after="60"/>
              <w:contextualSpacing/>
              <w:jc w:val="right"/>
              <w:rPr>
                <w:rFonts w:ascii="Arial" w:hAnsi="Arial" w:cs="Arial"/>
                <w:sz w:val="18"/>
                <w:szCs w:val="18"/>
                <w:lang w:val="ru-RU"/>
              </w:rPr>
            </w:pPr>
            <w:r w:rsidRPr="00E74685">
              <w:rPr>
                <w:rFonts w:ascii="Arial" w:hAnsi="Arial" w:cs="Arial"/>
                <w:sz w:val="18"/>
                <w:szCs w:val="18"/>
                <w:lang w:val="en-GB"/>
              </w:rPr>
              <w:t>119 306</w:t>
            </w:r>
            <w:r w:rsidRPr="00E74685">
              <w:rPr>
                <w:rFonts w:ascii="Arial" w:hAnsi="Arial" w:cs="Arial"/>
                <w:sz w:val="18"/>
                <w:szCs w:val="18"/>
                <w:lang w:val="ru-RU"/>
              </w:rPr>
              <w:t xml:space="preserve"> </w:t>
            </w:r>
          </w:p>
          <w:p w:rsidR="00E74685" w:rsidRPr="00E74685" w:rsidRDefault="00E74685" w:rsidP="00E74685">
            <w:pPr>
              <w:spacing w:before="60" w:after="60"/>
              <w:contextualSpacing/>
              <w:jc w:val="right"/>
              <w:rPr>
                <w:rFonts w:ascii="Arial" w:hAnsi="Arial" w:cs="Arial"/>
                <w:sz w:val="18"/>
                <w:szCs w:val="18"/>
                <w:lang w:val="en-GB"/>
              </w:rPr>
            </w:pPr>
            <w:r w:rsidRPr="00E74685">
              <w:rPr>
                <w:rFonts w:ascii="Arial" w:hAnsi="Arial" w:cs="Arial"/>
                <w:sz w:val="18"/>
                <w:szCs w:val="18"/>
                <w:lang w:val="ru-RU"/>
              </w:rPr>
              <w:t>долларов</w:t>
            </w:r>
            <w:r w:rsidRPr="00E74685">
              <w:rPr>
                <w:rFonts w:ascii="Arial" w:hAnsi="Arial" w:cs="Arial"/>
                <w:sz w:val="18"/>
                <w:szCs w:val="18"/>
                <w:lang w:val="en-GB"/>
              </w:rPr>
              <w:t xml:space="preserve"> </w:t>
            </w:r>
          </w:p>
        </w:tc>
      </w:tr>
      <w:tr w:rsidR="00E74685" w:rsidRPr="003A0AD4" w:rsidTr="00160CB3">
        <w:trPr>
          <w:trHeight w:val="255"/>
        </w:trPr>
        <w:tc>
          <w:tcPr>
            <w:tcW w:w="218"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sz w:val="18"/>
                <w:szCs w:val="18"/>
                <w:lang w:val="en-GB"/>
              </w:rPr>
            </w:pPr>
            <w:r w:rsidRPr="00E74685">
              <w:rPr>
                <w:rFonts w:ascii="Arial" w:hAnsi="Arial" w:cs="Arial"/>
                <w:bCs/>
                <w:sz w:val="18"/>
                <w:szCs w:val="18"/>
                <w:lang w:val="en-GB"/>
              </w:rPr>
              <w:t>8.</w:t>
            </w:r>
          </w:p>
        </w:tc>
        <w:tc>
          <w:tcPr>
            <w:tcW w:w="2457" w:type="pct"/>
            <w:tcBorders>
              <w:top w:val="single" w:sz="4" w:space="0" w:color="auto"/>
              <w:left w:val="single" w:sz="4" w:space="0" w:color="auto"/>
              <w:bottom w:val="single" w:sz="4" w:space="0" w:color="auto"/>
              <w:right w:val="single" w:sz="4" w:space="0" w:color="auto"/>
            </w:tcBorders>
            <w:shd w:val="clear" w:color="auto" w:fill="auto"/>
            <w:noWrap/>
            <w:hideMark/>
          </w:tcPr>
          <w:p w:rsidR="00E74685" w:rsidRPr="00E74685" w:rsidRDefault="00E74685" w:rsidP="00160CB3">
            <w:pPr>
              <w:spacing w:before="60" w:after="60"/>
              <w:rPr>
                <w:rFonts w:ascii="Arial" w:hAnsi="Arial" w:cs="Arial"/>
                <w:bCs/>
                <w:sz w:val="18"/>
                <w:szCs w:val="18"/>
                <w:lang w:val="ru-RU"/>
              </w:rPr>
            </w:pPr>
            <w:r w:rsidRPr="00E74685">
              <w:rPr>
                <w:rFonts w:ascii="Arial" w:hAnsi="Arial" w:cs="Arial"/>
                <w:bCs/>
                <w:sz w:val="18"/>
                <w:szCs w:val="18"/>
                <w:lang w:val="ru-RU"/>
              </w:rPr>
              <w:t>Формирование Резервного фонда, необходимого для удовлетворения просьб о помощи в случаях чрезвычайно срочности</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E74685" w:rsidRDefault="00E74685" w:rsidP="00160CB3">
            <w:pPr>
              <w:spacing w:before="60" w:after="60"/>
              <w:jc w:val="center"/>
              <w:rPr>
                <w:rFonts w:ascii="Arial" w:hAnsi="Arial" w:cs="Arial"/>
                <w:sz w:val="18"/>
                <w:szCs w:val="18"/>
                <w:lang w:val="ru-RU"/>
              </w:rPr>
            </w:pPr>
            <w:proofErr w:type="spellStart"/>
            <w:r w:rsidRPr="00E74685">
              <w:rPr>
                <w:rFonts w:ascii="Arial" w:hAnsi="Arial" w:cs="Arial"/>
                <w:sz w:val="18"/>
                <w:szCs w:val="18"/>
                <w:lang w:val="en-GB"/>
              </w:rPr>
              <w:t>не</w:t>
            </w:r>
            <w:proofErr w:type="spellEnd"/>
            <w:r w:rsidRPr="00E74685">
              <w:rPr>
                <w:rFonts w:ascii="Arial" w:hAnsi="Arial" w:cs="Arial"/>
                <w:sz w:val="18"/>
                <w:szCs w:val="18"/>
                <w:lang w:val="en-GB"/>
              </w:rPr>
              <w:t xml:space="preserve"> </w:t>
            </w:r>
            <w:r w:rsidRPr="00E74685">
              <w:rPr>
                <w:rFonts w:ascii="Arial" w:hAnsi="Arial" w:cs="Arial"/>
                <w:sz w:val="18"/>
                <w:szCs w:val="18"/>
                <w:lang w:val="ru-RU"/>
              </w:rPr>
              <w:t>применяется</w:t>
            </w:r>
          </w:p>
        </w:tc>
        <w:tc>
          <w:tcPr>
            <w:tcW w:w="755" w:type="pct"/>
            <w:gridSpan w:val="2"/>
            <w:tcBorders>
              <w:top w:val="dashed" w:sz="4" w:space="0" w:color="auto"/>
              <w:left w:val="single" w:sz="4" w:space="0" w:color="auto"/>
              <w:bottom w:val="dashed" w:sz="4" w:space="0" w:color="auto"/>
              <w:right w:val="dashed" w:sz="4" w:space="0" w:color="auto"/>
            </w:tcBorders>
            <w:shd w:val="clear" w:color="auto" w:fill="auto"/>
            <w:noWrap/>
            <w:vAlign w:val="center"/>
            <w:hideMark/>
          </w:tcPr>
          <w:p w:rsidR="00E74685" w:rsidRPr="00E74685" w:rsidRDefault="00E74685" w:rsidP="00160CB3">
            <w:pPr>
              <w:spacing w:before="60" w:after="60"/>
              <w:jc w:val="right"/>
              <w:rPr>
                <w:rFonts w:ascii="Arial" w:hAnsi="Arial" w:cs="Arial"/>
                <w:sz w:val="18"/>
                <w:szCs w:val="18"/>
                <w:lang w:val="en-GB"/>
              </w:rPr>
            </w:pPr>
            <w:r w:rsidRPr="00E74685">
              <w:rPr>
                <w:rFonts w:ascii="Arial" w:hAnsi="Arial" w:cs="Arial"/>
                <w:sz w:val="18"/>
                <w:szCs w:val="18"/>
                <w:lang w:val="en-GB"/>
              </w:rPr>
              <w:t>24</w:t>
            </w:r>
            <w:r w:rsidRPr="00E74685">
              <w:rPr>
                <w:rFonts w:ascii="Arial" w:hAnsi="Arial" w:cs="Arial"/>
                <w:sz w:val="18"/>
                <w:szCs w:val="18"/>
                <w:lang w:val="ru-RU"/>
              </w:rPr>
              <w:t> </w:t>
            </w:r>
            <w:r w:rsidRPr="00E74685">
              <w:rPr>
                <w:rFonts w:ascii="Arial" w:hAnsi="Arial" w:cs="Arial"/>
                <w:sz w:val="18"/>
                <w:szCs w:val="18"/>
                <w:lang w:val="en-GB"/>
              </w:rPr>
              <w:t>190</w:t>
            </w:r>
          </w:p>
          <w:p w:rsidR="00E74685" w:rsidRPr="00E74685" w:rsidRDefault="00E74685" w:rsidP="00160CB3">
            <w:pPr>
              <w:spacing w:before="60" w:after="60"/>
              <w:jc w:val="right"/>
              <w:rPr>
                <w:rFonts w:ascii="Arial" w:hAnsi="Arial" w:cs="Arial"/>
                <w:sz w:val="18"/>
                <w:szCs w:val="18"/>
                <w:lang w:val="en-GB"/>
              </w:rPr>
            </w:pPr>
            <w:r w:rsidRPr="00E74685">
              <w:rPr>
                <w:rFonts w:ascii="Arial" w:hAnsi="Arial" w:cs="Arial"/>
                <w:sz w:val="18"/>
                <w:szCs w:val="18"/>
                <w:lang w:val="ru-RU"/>
              </w:rPr>
              <w:t>долларов</w:t>
            </w:r>
            <w:r w:rsidRPr="00E74685">
              <w:rPr>
                <w:rFonts w:ascii="Arial" w:hAnsi="Arial" w:cs="Arial"/>
                <w:sz w:val="18"/>
                <w:szCs w:val="18"/>
                <w:lang w:val="en-GB"/>
              </w:rPr>
              <w:t xml:space="preserve">  </w:t>
            </w:r>
          </w:p>
        </w:tc>
        <w:tc>
          <w:tcPr>
            <w:tcW w:w="890" w:type="pct"/>
            <w:gridSpan w:val="2"/>
            <w:tcBorders>
              <w:top w:val="dashed" w:sz="4" w:space="0" w:color="auto"/>
              <w:left w:val="dashed" w:sz="4" w:space="0" w:color="auto"/>
              <w:bottom w:val="dashed" w:sz="4" w:space="0" w:color="auto"/>
              <w:right w:val="dashed" w:sz="4" w:space="0" w:color="auto"/>
            </w:tcBorders>
            <w:vAlign w:val="center"/>
          </w:tcPr>
          <w:p w:rsidR="00E74685" w:rsidRPr="00E74685" w:rsidRDefault="00E74685" w:rsidP="00E74685">
            <w:pPr>
              <w:spacing w:before="60" w:after="60"/>
              <w:contextualSpacing/>
              <w:jc w:val="center"/>
              <w:rPr>
                <w:rFonts w:ascii="Arial" w:hAnsi="Arial" w:cs="Arial"/>
                <w:sz w:val="18"/>
                <w:szCs w:val="18"/>
                <w:lang w:val="en-GB"/>
              </w:rPr>
            </w:pPr>
            <w:r w:rsidRPr="00E74685">
              <w:rPr>
                <w:rFonts w:ascii="Arial" w:hAnsi="Arial" w:cs="Arial"/>
                <w:sz w:val="18"/>
                <w:szCs w:val="18"/>
                <w:lang w:val="en-GB"/>
              </w:rPr>
              <w:t>-</w:t>
            </w:r>
          </w:p>
        </w:tc>
      </w:tr>
      <w:tr w:rsidR="00E74685" w:rsidRPr="003A0AD4" w:rsidTr="00E74685">
        <w:trPr>
          <w:trHeight w:val="255"/>
        </w:trPr>
        <w:tc>
          <w:tcPr>
            <w:tcW w:w="26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295A67" w:rsidRDefault="00E74685" w:rsidP="00160CB3">
            <w:pPr>
              <w:spacing w:before="60" w:after="60"/>
              <w:rPr>
                <w:rFonts w:ascii="Arial" w:hAnsi="Arial" w:cs="Arial"/>
                <w:b/>
                <w:bCs/>
                <w:sz w:val="20"/>
                <w:szCs w:val="20"/>
                <w:lang w:val="ru-RU"/>
              </w:rPr>
            </w:pPr>
            <w:r w:rsidRPr="00E74685">
              <w:rPr>
                <w:rFonts w:ascii="Arial" w:hAnsi="Arial" w:cs="Arial"/>
                <w:b/>
                <w:bCs/>
                <w:sz w:val="20"/>
                <w:szCs w:val="20"/>
                <w:lang w:val="en-GB"/>
              </w:rPr>
              <w:t>ИТОГО</w:t>
            </w:r>
          </w:p>
        </w:tc>
        <w:tc>
          <w:tcPr>
            <w:tcW w:w="6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4685" w:rsidRPr="003A0AD4" w:rsidRDefault="00E74685" w:rsidP="00160CB3">
            <w:pPr>
              <w:spacing w:before="60" w:after="60"/>
              <w:jc w:val="right"/>
              <w:rPr>
                <w:rFonts w:ascii="Arial" w:hAnsi="Arial" w:cs="Arial"/>
                <w:b/>
                <w:bCs/>
                <w:sz w:val="20"/>
                <w:szCs w:val="20"/>
                <w:lang w:val="en-GB"/>
              </w:rPr>
            </w:pPr>
            <w:r>
              <w:rPr>
                <w:rFonts w:ascii="Arial" w:hAnsi="Arial" w:cs="Arial"/>
                <w:b/>
                <w:bCs/>
                <w:sz w:val="20"/>
                <w:szCs w:val="20"/>
                <w:lang w:val="en-GB"/>
              </w:rPr>
              <w:t>100</w:t>
            </w:r>
            <w:r>
              <w:rPr>
                <w:rFonts w:ascii="Arial" w:hAnsi="Arial" w:cs="Arial"/>
                <w:b/>
                <w:bCs/>
                <w:sz w:val="20"/>
                <w:szCs w:val="20"/>
                <w:lang w:val="ru-RU"/>
              </w:rPr>
              <w:t>,</w:t>
            </w:r>
            <w:r w:rsidRPr="003A0AD4">
              <w:rPr>
                <w:rFonts w:ascii="Arial" w:hAnsi="Arial" w:cs="Arial"/>
                <w:b/>
                <w:bCs/>
                <w:sz w:val="20"/>
                <w:szCs w:val="20"/>
                <w:lang w:val="en-GB"/>
              </w:rPr>
              <w:t>00%</w:t>
            </w:r>
          </w:p>
        </w:tc>
        <w:tc>
          <w:tcPr>
            <w:tcW w:w="755" w:type="pct"/>
            <w:gridSpan w:val="2"/>
            <w:tcBorders>
              <w:top w:val="dashed" w:sz="4" w:space="0" w:color="auto"/>
              <w:left w:val="single" w:sz="4" w:space="0" w:color="auto"/>
              <w:bottom w:val="dashed" w:sz="4" w:space="0" w:color="auto"/>
              <w:right w:val="dashed" w:sz="4" w:space="0" w:color="auto"/>
            </w:tcBorders>
            <w:shd w:val="clear" w:color="auto" w:fill="auto"/>
            <w:noWrap/>
            <w:vAlign w:val="center"/>
            <w:hideMark/>
          </w:tcPr>
          <w:p w:rsidR="00E74685" w:rsidRPr="003A0AD4" w:rsidRDefault="00E74685" w:rsidP="00160CB3">
            <w:pPr>
              <w:spacing w:before="60" w:after="60"/>
              <w:jc w:val="right"/>
              <w:rPr>
                <w:rFonts w:ascii="Arial" w:hAnsi="Arial" w:cs="Arial"/>
                <w:b/>
                <w:bCs/>
                <w:sz w:val="20"/>
                <w:szCs w:val="20"/>
                <w:lang w:val="en-GB"/>
              </w:rPr>
            </w:pPr>
            <w:r>
              <w:rPr>
                <w:rFonts w:ascii="Arial" w:hAnsi="Arial" w:cs="Arial"/>
                <w:b/>
                <w:bCs/>
                <w:sz w:val="20"/>
                <w:szCs w:val="20"/>
                <w:lang w:val="en-GB"/>
              </w:rPr>
              <w:t>7 977 920</w:t>
            </w:r>
            <w:r>
              <w:rPr>
                <w:rFonts w:ascii="Arial" w:hAnsi="Arial" w:cs="Arial"/>
                <w:b/>
                <w:bCs/>
                <w:sz w:val="20"/>
                <w:szCs w:val="20"/>
                <w:lang w:val="ru-RU"/>
              </w:rPr>
              <w:t xml:space="preserve"> долларов</w:t>
            </w:r>
            <w:r w:rsidRPr="003A0AD4">
              <w:rPr>
                <w:rFonts w:ascii="Arial" w:hAnsi="Arial" w:cs="Arial"/>
                <w:b/>
                <w:bCs/>
                <w:sz w:val="20"/>
                <w:szCs w:val="20"/>
                <w:lang w:val="en-GB"/>
              </w:rPr>
              <w:t xml:space="preserve">  </w:t>
            </w:r>
          </w:p>
        </w:tc>
        <w:tc>
          <w:tcPr>
            <w:tcW w:w="890" w:type="pct"/>
            <w:gridSpan w:val="2"/>
            <w:tcBorders>
              <w:top w:val="dashed" w:sz="4" w:space="0" w:color="auto"/>
              <w:left w:val="dashed" w:sz="4" w:space="0" w:color="auto"/>
              <w:bottom w:val="dashed" w:sz="4" w:space="0" w:color="auto"/>
              <w:right w:val="dashed" w:sz="4" w:space="0" w:color="auto"/>
            </w:tcBorders>
          </w:tcPr>
          <w:p w:rsidR="00E74685" w:rsidRPr="00295A67" w:rsidRDefault="00E74685" w:rsidP="00160CB3">
            <w:pPr>
              <w:spacing w:before="60" w:after="60"/>
              <w:jc w:val="right"/>
              <w:rPr>
                <w:rFonts w:ascii="Arial" w:hAnsi="Arial" w:cs="Arial"/>
                <w:b/>
                <w:bCs/>
                <w:sz w:val="20"/>
                <w:szCs w:val="20"/>
                <w:lang w:val="ru-RU"/>
              </w:rPr>
            </w:pPr>
            <w:r>
              <w:rPr>
                <w:rFonts w:ascii="Arial" w:hAnsi="Arial" w:cs="Arial"/>
                <w:b/>
                <w:bCs/>
                <w:sz w:val="20"/>
                <w:szCs w:val="20"/>
                <w:lang w:val="en-GB"/>
              </w:rPr>
              <w:t>1 988</w:t>
            </w:r>
            <w:r>
              <w:rPr>
                <w:rFonts w:ascii="Arial" w:hAnsi="Arial" w:cs="Arial"/>
                <w:b/>
                <w:bCs/>
                <w:sz w:val="20"/>
                <w:szCs w:val="20"/>
                <w:lang w:val="ru-RU"/>
              </w:rPr>
              <w:t> </w:t>
            </w:r>
            <w:r>
              <w:rPr>
                <w:rFonts w:ascii="Arial" w:hAnsi="Arial" w:cs="Arial"/>
                <w:b/>
                <w:bCs/>
                <w:sz w:val="20"/>
                <w:szCs w:val="20"/>
                <w:lang w:val="en-GB"/>
              </w:rPr>
              <w:t>434</w:t>
            </w:r>
            <w:r>
              <w:rPr>
                <w:rFonts w:ascii="Arial" w:hAnsi="Arial" w:cs="Arial"/>
                <w:b/>
                <w:bCs/>
                <w:sz w:val="20"/>
                <w:szCs w:val="20"/>
                <w:lang w:val="ru-RU"/>
              </w:rPr>
              <w:t xml:space="preserve"> долларов</w:t>
            </w:r>
          </w:p>
        </w:tc>
      </w:tr>
      <w:tr w:rsidR="00E74685" w:rsidRPr="00147E95" w:rsidTr="00160CB3">
        <w:trPr>
          <w:trHeight w:val="255"/>
        </w:trPr>
        <w:tc>
          <w:tcPr>
            <w:tcW w:w="3355" w:type="pct"/>
            <w:gridSpan w:val="3"/>
            <w:tcBorders>
              <w:top w:val="single" w:sz="4" w:space="0" w:color="auto"/>
              <w:left w:val="single" w:sz="4" w:space="0" w:color="auto"/>
              <w:bottom w:val="single" w:sz="4" w:space="0" w:color="auto"/>
              <w:right w:val="single" w:sz="4" w:space="0" w:color="auto"/>
            </w:tcBorders>
            <w:shd w:val="clear" w:color="auto" w:fill="auto"/>
            <w:noWrap/>
          </w:tcPr>
          <w:p w:rsidR="00E74685" w:rsidRPr="00E74685" w:rsidRDefault="00E74685" w:rsidP="00160CB3">
            <w:pPr>
              <w:spacing w:before="60" w:after="60"/>
              <w:jc w:val="both"/>
              <w:rPr>
                <w:rFonts w:ascii="Arial" w:hAnsi="Arial" w:cs="Arial"/>
                <w:b/>
                <w:bCs/>
                <w:sz w:val="18"/>
                <w:szCs w:val="18"/>
                <w:lang w:val="ru-RU"/>
              </w:rPr>
            </w:pPr>
            <w:r w:rsidRPr="00E74685">
              <w:rPr>
                <w:rFonts w:ascii="Arial" w:hAnsi="Arial" w:cs="Arial"/>
                <w:sz w:val="18"/>
                <w:szCs w:val="18"/>
                <w:lang w:val="ru-RU"/>
              </w:rPr>
              <w:t>Средства, которые не были ассигнованы до конца периода, предусмотренного планом, переносятся на следующий финансовый период и будут использованы в соответствии с планом, утвержденным Генеральной ассамблеей.</w:t>
            </w:r>
          </w:p>
        </w:tc>
        <w:tc>
          <w:tcPr>
            <w:tcW w:w="755" w:type="pct"/>
            <w:gridSpan w:val="2"/>
            <w:tcBorders>
              <w:left w:val="single" w:sz="4" w:space="0" w:color="auto"/>
            </w:tcBorders>
            <w:shd w:val="clear" w:color="auto" w:fill="auto"/>
            <w:noWrap/>
            <w:vAlign w:val="center"/>
          </w:tcPr>
          <w:p w:rsidR="00E74685" w:rsidRPr="00A164B8" w:rsidRDefault="00E74685" w:rsidP="00160CB3">
            <w:pPr>
              <w:spacing w:before="60" w:after="60"/>
              <w:jc w:val="right"/>
              <w:rPr>
                <w:rFonts w:ascii="Arial" w:hAnsi="Arial" w:cs="Arial"/>
                <w:b/>
                <w:bCs/>
                <w:sz w:val="20"/>
                <w:szCs w:val="20"/>
                <w:lang w:val="ru-RU"/>
              </w:rPr>
            </w:pPr>
          </w:p>
        </w:tc>
        <w:tc>
          <w:tcPr>
            <w:tcW w:w="890" w:type="pct"/>
            <w:gridSpan w:val="2"/>
            <w:tcBorders>
              <w:top w:val="dashed" w:sz="4" w:space="0" w:color="auto"/>
              <w:left w:val="nil"/>
            </w:tcBorders>
          </w:tcPr>
          <w:p w:rsidR="00E74685" w:rsidRPr="001D1762" w:rsidRDefault="00E74685" w:rsidP="00160CB3">
            <w:pPr>
              <w:spacing w:before="60" w:after="60"/>
              <w:jc w:val="right"/>
              <w:rPr>
                <w:rFonts w:ascii="Arial" w:hAnsi="Arial" w:cs="Arial"/>
                <w:b/>
                <w:bCs/>
                <w:sz w:val="20"/>
                <w:szCs w:val="20"/>
              </w:rPr>
            </w:pPr>
          </w:p>
        </w:tc>
      </w:tr>
      <w:tr w:rsidR="00E74685" w:rsidRPr="0009012E" w:rsidTr="00160CB3">
        <w:trPr>
          <w:trHeight w:val="255"/>
        </w:trPr>
        <w:tc>
          <w:tcPr>
            <w:tcW w:w="335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74685" w:rsidRPr="00E74685" w:rsidRDefault="00E74685" w:rsidP="00160CB3">
            <w:pPr>
              <w:spacing w:before="60" w:after="60"/>
              <w:jc w:val="both"/>
              <w:rPr>
                <w:rFonts w:ascii="Arial" w:hAnsi="Arial" w:cs="Arial"/>
                <w:b/>
                <w:bCs/>
                <w:sz w:val="18"/>
                <w:szCs w:val="18"/>
                <w:lang w:val="ru-RU"/>
              </w:rPr>
            </w:pPr>
            <w:r w:rsidRPr="00E74685">
              <w:rPr>
                <w:rFonts w:ascii="Arial" w:hAnsi="Arial" w:cs="Arial"/>
                <w:sz w:val="18"/>
                <w:szCs w:val="18"/>
                <w:lang w:val="ru-RU"/>
              </w:rPr>
              <w:t xml:space="preserve">На период с 1 января 2018 года до 31 июня 2018 года  на временной основе выделяется сумма, равная одной четвертой части от суммы, утвержденной на финансовый период 2016-2017 гг., исключая Резервный фонд, объем </w:t>
            </w:r>
            <w:proofErr w:type="gramStart"/>
            <w:r w:rsidRPr="00E74685">
              <w:rPr>
                <w:rFonts w:ascii="Arial" w:hAnsi="Arial" w:cs="Arial"/>
                <w:sz w:val="18"/>
                <w:szCs w:val="18"/>
                <w:lang w:val="ru-RU"/>
              </w:rPr>
              <w:t>средств</w:t>
            </w:r>
            <w:proofErr w:type="gramEnd"/>
            <w:r w:rsidRPr="00E74685">
              <w:rPr>
                <w:rFonts w:ascii="Arial" w:hAnsi="Arial" w:cs="Arial"/>
                <w:sz w:val="18"/>
                <w:szCs w:val="18"/>
                <w:lang w:val="ru-RU"/>
              </w:rPr>
              <w:t xml:space="preserve"> которого установлен Комитетом и должен равняться 1 миллиону долларов (</w:t>
            </w:r>
            <w:hyperlink r:id="rId22" w:history="1">
              <w:r w:rsidRPr="00E74685">
                <w:rPr>
                  <w:rStyle w:val="Hyperlink"/>
                  <w:rFonts w:ascii="Arial" w:hAnsi="Arial" w:cs="Arial"/>
                  <w:sz w:val="18"/>
                  <w:szCs w:val="18"/>
                  <w:lang w:val="ru-RU"/>
                </w:rPr>
                <w:t>Решение 10.</w:t>
              </w:r>
              <w:r w:rsidRPr="00E74685">
                <w:rPr>
                  <w:rStyle w:val="Hyperlink"/>
                  <w:rFonts w:ascii="Arial" w:hAnsi="Arial" w:cs="Arial"/>
                  <w:sz w:val="18"/>
                  <w:szCs w:val="18"/>
                </w:rPr>
                <w:t>COM </w:t>
              </w:r>
            </w:hyperlink>
            <w:r w:rsidRPr="00E74685">
              <w:rPr>
                <w:rFonts w:ascii="Arial" w:hAnsi="Arial" w:cs="Arial"/>
                <w:sz w:val="18"/>
                <w:szCs w:val="18"/>
                <w:lang w:val="ru-RU"/>
              </w:rPr>
              <w:t>8).</w:t>
            </w:r>
          </w:p>
        </w:tc>
        <w:tc>
          <w:tcPr>
            <w:tcW w:w="755" w:type="pct"/>
            <w:gridSpan w:val="2"/>
            <w:tcBorders>
              <w:left w:val="single" w:sz="4" w:space="0" w:color="auto"/>
            </w:tcBorders>
            <w:shd w:val="clear" w:color="auto" w:fill="auto"/>
            <w:noWrap/>
            <w:vAlign w:val="center"/>
          </w:tcPr>
          <w:p w:rsidR="00E74685" w:rsidRPr="0009012E" w:rsidRDefault="00E74685" w:rsidP="00160CB3">
            <w:pPr>
              <w:spacing w:before="60" w:after="60"/>
              <w:jc w:val="right"/>
              <w:rPr>
                <w:rFonts w:ascii="Arial" w:hAnsi="Arial" w:cs="Arial"/>
                <w:b/>
                <w:bCs/>
                <w:sz w:val="20"/>
                <w:szCs w:val="20"/>
                <w:lang w:val="ru-RU"/>
              </w:rPr>
            </w:pPr>
          </w:p>
        </w:tc>
        <w:tc>
          <w:tcPr>
            <w:tcW w:w="890" w:type="pct"/>
            <w:gridSpan w:val="2"/>
          </w:tcPr>
          <w:p w:rsidR="00E74685" w:rsidRPr="0009012E" w:rsidRDefault="00E74685" w:rsidP="00160CB3">
            <w:pPr>
              <w:spacing w:before="60" w:after="60"/>
              <w:jc w:val="right"/>
              <w:rPr>
                <w:rFonts w:ascii="Arial" w:hAnsi="Arial" w:cs="Arial"/>
                <w:b/>
                <w:bCs/>
                <w:sz w:val="20"/>
                <w:szCs w:val="20"/>
                <w:lang w:val="ru-RU"/>
              </w:rPr>
            </w:pPr>
          </w:p>
        </w:tc>
      </w:tr>
    </w:tbl>
    <w:p w:rsidR="00BD5F0E" w:rsidRPr="00E74685" w:rsidRDefault="00BD5F0E" w:rsidP="00E74685">
      <w:pPr>
        <w:pStyle w:val="GAPara"/>
        <w:numPr>
          <w:ilvl w:val="0"/>
          <w:numId w:val="0"/>
        </w:numPr>
        <w:ind w:left="567"/>
        <w:rPr>
          <w:lang w:val="fr-FR"/>
        </w:rPr>
      </w:pPr>
    </w:p>
    <w:sectPr w:rsidR="00BD5F0E" w:rsidRPr="00E74685" w:rsidSect="00E74685">
      <w:headerReference w:type="first" r:id="rId23"/>
      <w:pgSz w:w="11906" w:h="16838" w:code="9"/>
      <w:pgMar w:top="993" w:right="1134" w:bottom="709"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0F5" w:rsidRDefault="005C00F5" w:rsidP="00655736">
      <w:r>
        <w:separator/>
      </w:r>
    </w:p>
  </w:endnote>
  <w:endnote w:type="continuationSeparator" w:id="0">
    <w:p w:rsidR="005C00F5" w:rsidRDefault="005C00F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0F5" w:rsidRDefault="005C00F5" w:rsidP="00655736">
      <w:r>
        <w:separator/>
      </w:r>
    </w:p>
  </w:footnote>
  <w:footnote w:type="continuationSeparator" w:id="0">
    <w:p w:rsidR="005C00F5" w:rsidRDefault="005C00F5" w:rsidP="00655736">
      <w:r>
        <w:continuationSeparator/>
      </w:r>
    </w:p>
  </w:footnote>
  <w:footnote w:id="1">
    <w:p w:rsidR="00E74685" w:rsidRPr="00662C44" w:rsidRDefault="00E74685" w:rsidP="00E74685">
      <w:pPr>
        <w:pStyle w:val="FootnoteText"/>
        <w:ind w:left="567" w:hanging="567"/>
        <w:jc w:val="both"/>
        <w:rPr>
          <w:rFonts w:ascii="Arial" w:hAnsi="Arial" w:cs="Arial"/>
          <w:lang w:val="ru-RU"/>
        </w:rPr>
      </w:pPr>
      <w:r w:rsidRPr="00570F8B">
        <w:rPr>
          <w:rStyle w:val="FootnoteReference"/>
          <w:rFonts w:ascii="Arial" w:hAnsi="Arial" w:cs="Arial"/>
          <w:vertAlign w:val="baseline"/>
          <w:lang w:val="en-GB"/>
        </w:rPr>
        <w:footnoteRef/>
      </w:r>
      <w:r w:rsidRPr="0088325B">
        <w:rPr>
          <w:rFonts w:ascii="Arial" w:hAnsi="Arial" w:cs="Arial"/>
          <w:lang w:val="ru-RU"/>
        </w:rPr>
        <w:t>.</w:t>
      </w:r>
      <w:r w:rsidRPr="0088325B">
        <w:rPr>
          <w:rFonts w:ascii="Arial" w:hAnsi="Arial" w:cs="Arial"/>
          <w:lang w:val="ru-RU"/>
        </w:rPr>
        <w:tab/>
      </w:r>
      <w:r>
        <w:rPr>
          <w:rFonts w:ascii="Arial" w:hAnsi="Arial" w:cs="Arial"/>
          <w:lang w:val="ru-RU"/>
        </w:rPr>
        <w:t>Во</w:t>
      </w:r>
      <w:r w:rsidRPr="00662C44">
        <w:rPr>
          <w:rFonts w:ascii="Arial" w:hAnsi="Arial" w:cs="Arial"/>
          <w:lang w:val="ru-RU"/>
        </w:rPr>
        <w:t xml:space="preserve"> </w:t>
      </w:r>
      <w:r>
        <w:rPr>
          <w:rFonts w:ascii="Arial" w:hAnsi="Arial" w:cs="Arial"/>
          <w:lang w:val="ru-RU"/>
        </w:rPr>
        <w:t>время</w:t>
      </w:r>
      <w:r w:rsidRPr="00662C44">
        <w:rPr>
          <w:rFonts w:ascii="Arial" w:hAnsi="Arial" w:cs="Arial"/>
          <w:lang w:val="ru-RU"/>
        </w:rPr>
        <w:t xml:space="preserve"> </w:t>
      </w:r>
      <w:r>
        <w:rPr>
          <w:rFonts w:ascii="Arial" w:hAnsi="Arial" w:cs="Arial"/>
          <w:lang w:val="ru-RU"/>
        </w:rPr>
        <w:t>создания</w:t>
      </w:r>
      <w:r w:rsidRPr="00662C44">
        <w:rPr>
          <w:rFonts w:ascii="Arial" w:hAnsi="Arial" w:cs="Arial"/>
          <w:lang w:val="ru-RU"/>
        </w:rPr>
        <w:t xml:space="preserve"> </w:t>
      </w:r>
      <w:proofErr w:type="spellStart"/>
      <w:r>
        <w:rPr>
          <w:rFonts w:ascii="Arial" w:hAnsi="Arial" w:cs="Arial"/>
          <w:lang w:val="ru-RU"/>
        </w:rPr>
        <w:t>суб</w:t>
      </w:r>
      <w:proofErr w:type="spellEnd"/>
      <w:r>
        <w:rPr>
          <w:rFonts w:ascii="Arial" w:hAnsi="Arial" w:cs="Arial"/>
          <w:lang w:val="ru-RU"/>
        </w:rPr>
        <w:t>-фонда</w:t>
      </w:r>
      <w:r w:rsidRPr="00662C44">
        <w:rPr>
          <w:rFonts w:ascii="Arial" w:hAnsi="Arial" w:cs="Arial"/>
          <w:lang w:val="ru-RU"/>
        </w:rPr>
        <w:t xml:space="preserve"> </w:t>
      </w:r>
      <w:r>
        <w:rPr>
          <w:rFonts w:ascii="Arial" w:hAnsi="Arial" w:cs="Arial"/>
          <w:lang w:val="ru-RU"/>
        </w:rPr>
        <w:t>в</w:t>
      </w:r>
      <w:r w:rsidRPr="00662C44">
        <w:rPr>
          <w:rFonts w:ascii="Arial" w:hAnsi="Arial" w:cs="Arial"/>
          <w:lang w:val="ru-RU"/>
        </w:rPr>
        <w:t xml:space="preserve"> 2010 </w:t>
      </w:r>
      <w:r>
        <w:rPr>
          <w:rFonts w:ascii="Arial" w:hAnsi="Arial" w:cs="Arial"/>
          <w:lang w:val="ru-RU"/>
        </w:rPr>
        <w:t>году</w:t>
      </w:r>
      <w:r w:rsidRPr="00662C44">
        <w:rPr>
          <w:rFonts w:ascii="Arial" w:hAnsi="Arial" w:cs="Arial"/>
          <w:lang w:val="ru-RU"/>
        </w:rPr>
        <w:t xml:space="preserve"> </w:t>
      </w:r>
      <w:r>
        <w:rPr>
          <w:rFonts w:ascii="Arial" w:hAnsi="Arial" w:cs="Arial"/>
          <w:lang w:val="ru-RU"/>
        </w:rPr>
        <w:t>Генеральная</w:t>
      </w:r>
      <w:r w:rsidRPr="00662C44">
        <w:rPr>
          <w:rFonts w:ascii="Arial" w:hAnsi="Arial" w:cs="Arial"/>
          <w:lang w:val="ru-RU"/>
        </w:rPr>
        <w:t xml:space="preserve"> </w:t>
      </w:r>
      <w:r>
        <w:rPr>
          <w:rFonts w:ascii="Arial" w:hAnsi="Arial" w:cs="Arial"/>
          <w:lang w:val="ru-RU"/>
        </w:rPr>
        <w:t>ассамблея</w:t>
      </w:r>
      <w:r w:rsidRPr="00662C44">
        <w:rPr>
          <w:rFonts w:ascii="Arial" w:hAnsi="Arial" w:cs="Arial"/>
          <w:lang w:val="ru-RU"/>
        </w:rPr>
        <w:t xml:space="preserve"> </w:t>
      </w:r>
      <w:r>
        <w:rPr>
          <w:rFonts w:ascii="Arial" w:hAnsi="Arial" w:cs="Arial"/>
          <w:lang w:val="ru-RU"/>
        </w:rPr>
        <w:t>предполагала</w:t>
      </w:r>
      <w:r w:rsidRPr="00662C44">
        <w:rPr>
          <w:rFonts w:ascii="Arial" w:hAnsi="Arial" w:cs="Arial"/>
          <w:lang w:val="ru-RU"/>
        </w:rPr>
        <w:t xml:space="preserve">, </w:t>
      </w:r>
      <w:r>
        <w:rPr>
          <w:rFonts w:ascii="Arial" w:hAnsi="Arial" w:cs="Arial"/>
          <w:lang w:val="ru-RU"/>
        </w:rPr>
        <w:t>что</w:t>
      </w:r>
      <w:r w:rsidRPr="00662C44">
        <w:rPr>
          <w:rFonts w:ascii="Arial" w:hAnsi="Arial" w:cs="Arial"/>
          <w:lang w:val="ru-RU"/>
        </w:rPr>
        <w:t xml:space="preserve"> </w:t>
      </w:r>
      <w:r>
        <w:rPr>
          <w:rFonts w:ascii="Arial" w:hAnsi="Arial" w:cs="Arial"/>
          <w:lang w:val="ru-RU"/>
        </w:rPr>
        <w:t>он</w:t>
      </w:r>
      <w:r w:rsidRPr="00662C44">
        <w:rPr>
          <w:rFonts w:ascii="Arial" w:hAnsi="Arial" w:cs="Arial"/>
          <w:lang w:val="ru-RU"/>
        </w:rPr>
        <w:t xml:space="preserve"> </w:t>
      </w:r>
      <w:r>
        <w:rPr>
          <w:rFonts w:ascii="Arial" w:hAnsi="Arial" w:cs="Arial"/>
          <w:lang w:val="ru-RU"/>
        </w:rPr>
        <w:t>будет</w:t>
      </w:r>
      <w:r w:rsidRPr="00662C44">
        <w:rPr>
          <w:rFonts w:ascii="Arial" w:hAnsi="Arial" w:cs="Arial"/>
          <w:lang w:val="ru-RU"/>
        </w:rPr>
        <w:t xml:space="preserve"> </w:t>
      </w:r>
      <w:r>
        <w:rPr>
          <w:rFonts w:ascii="Arial" w:hAnsi="Arial" w:cs="Arial"/>
          <w:lang w:val="ru-RU"/>
        </w:rPr>
        <w:t>использован</w:t>
      </w:r>
      <w:r w:rsidRPr="00662C44">
        <w:rPr>
          <w:rFonts w:ascii="Arial" w:hAnsi="Arial" w:cs="Arial"/>
          <w:lang w:val="ru-RU"/>
        </w:rPr>
        <w:t xml:space="preserve"> </w:t>
      </w:r>
      <w:r>
        <w:rPr>
          <w:rFonts w:ascii="Arial" w:hAnsi="Arial" w:cs="Arial"/>
          <w:lang w:val="ru-RU"/>
        </w:rPr>
        <w:t>в</w:t>
      </w:r>
      <w:r w:rsidRPr="00662C44">
        <w:rPr>
          <w:rFonts w:ascii="Arial" w:hAnsi="Arial" w:cs="Arial"/>
          <w:lang w:val="ru-RU"/>
        </w:rPr>
        <w:t xml:space="preserve"> </w:t>
      </w:r>
      <w:r>
        <w:rPr>
          <w:rFonts w:ascii="Arial" w:hAnsi="Arial" w:cs="Arial"/>
          <w:lang w:val="ru-RU"/>
        </w:rPr>
        <w:t>рамках</w:t>
      </w:r>
      <w:r w:rsidRPr="00662C44">
        <w:rPr>
          <w:rFonts w:ascii="Arial" w:hAnsi="Arial" w:cs="Arial"/>
          <w:lang w:val="ru-RU"/>
        </w:rPr>
        <w:t xml:space="preserve"> </w:t>
      </w:r>
      <w:r>
        <w:rPr>
          <w:rFonts w:ascii="Arial" w:hAnsi="Arial" w:cs="Arial"/>
          <w:lang w:val="ru-RU"/>
        </w:rPr>
        <w:t>Фонда</w:t>
      </w:r>
      <w:r w:rsidRPr="00662C44">
        <w:rPr>
          <w:rFonts w:ascii="Arial" w:hAnsi="Arial" w:cs="Arial"/>
          <w:lang w:val="ru-RU"/>
        </w:rPr>
        <w:t xml:space="preserve"> </w:t>
      </w:r>
      <w:r>
        <w:rPr>
          <w:rFonts w:ascii="Arial" w:hAnsi="Arial" w:cs="Arial"/>
          <w:lang w:val="ru-RU"/>
        </w:rPr>
        <w:t>нематериального</w:t>
      </w:r>
      <w:r w:rsidRPr="00662C44">
        <w:rPr>
          <w:rFonts w:ascii="Arial" w:hAnsi="Arial" w:cs="Arial"/>
          <w:lang w:val="ru-RU"/>
        </w:rPr>
        <w:t xml:space="preserve"> </w:t>
      </w:r>
      <w:r>
        <w:rPr>
          <w:rFonts w:ascii="Arial" w:hAnsi="Arial" w:cs="Arial"/>
          <w:lang w:val="ru-RU"/>
        </w:rPr>
        <w:t>культурного</w:t>
      </w:r>
      <w:r w:rsidRPr="00662C44">
        <w:rPr>
          <w:rFonts w:ascii="Arial" w:hAnsi="Arial" w:cs="Arial"/>
          <w:lang w:val="ru-RU"/>
        </w:rPr>
        <w:t xml:space="preserve"> </w:t>
      </w:r>
      <w:r>
        <w:rPr>
          <w:rFonts w:ascii="Arial" w:hAnsi="Arial" w:cs="Arial"/>
          <w:lang w:val="ru-RU"/>
        </w:rPr>
        <w:t>наследия</w:t>
      </w:r>
      <w:r w:rsidRPr="00662C44">
        <w:rPr>
          <w:rFonts w:ascii="Arial" w:hAnsi="Arial" w:cs="Arial"/>
          <w:lang w:val="ru-RU"/>
        </w:rPr>
        <w:t xml:space="preserve"> </w:t>
      </w:r>
      <w:r>
        <w:rPr>
          <w:rFonts w:ascii="Arial" w:hAnsi="Arial" w:cs="Arial"/>
          <w:lang w:val="ru-RU"/>
        </w:rPr>
        <w:t>исключительно</w:t>
      </w:r>
      <w:r w:rsidRPr="00662C44">
        <w:rPr>
          <w:rFonts w:ascii="Arial" w:hAnsi="Arial" w:cs="Arial"/>
          <w:lang w:val="ru-RU"/>
        </w:rPr>
        <w:t xml:space="preserve"> </w:t>
      </w:r>
      <w:r>
        <w:rPr>
          <w:rFonts w:ascii="Arial" w:hAnsi="Arial" w:cs="Arial"/>
          <w:lang w:val="ru-RU"/>
        </w:rPr>
        <w:t>для</w:t>
      </w:r>
      <w:r w:rsidRPr="00662C44">
        <w:rPr>
          <w:rFonts w:ascii="Arial" w:hAnsi="Arial" w:cs="Arial"/>
          <w:lang w:val="ru-RU"/>
        </w:rPr>
        <w:t xml:space="preserve"> </w:t>
      </w:r>
      <w:r>
        <w:rPr>
          <w:rFonts w:ascii="Arial" w:hAnsi="Arial" w:cs="Arial"/>
          <w:lang w:val="ru-RU"/>
        </w:rPr>
        <w:t>укрепления</w:t>
      </w:r>
      <w:r w:rsidRPr="00662C44">
        <w:rPr>
          <w:rFonts w:ascii="Arial" w:hAnsi="Arial" w:cs="Arial"/>
          <w:lang w:val="ru-RU"/>
        </w:rPr>
        <w:t xml:space="preserve"> </w:t>
      </w:r>
      <w:r>
        <w:rPr>
          <w:rFonts w:ascii="Arial" w:hAnsi="Arial" w:cs="Arial"/>
          <w:lang w:val="ru-RU"/>
        </w:rPr>
        <w:t>людских</w:t>
      </w:r>
      <w:r w:rsidRPr="00662C44">
        <w:rPr>
          <w:rFonts w:ascii="Arial" w:hAnsi="Arial" w:cs="Arial"/>
          <w:lang w:val="ru-RU"/>
        </w:rPr>
        <w:t xml:space="preserve"> </w:t>
      </w:r>
      <w:r>
        <w:rPr>
          <w:rFonts w:ascii="Arial" w:hAnsi="Arial" w:cs="Arial"/>
          <w:lang w:val="ru-RU"/>
        </w:rPr>
        <w:t>ресурсов</w:t>
      </w:r>
      <w:r w:rsidRPr="00662C44">
        <w:rPr>
          <w:rFonts w:ascii="Arial" w:hAnsi="Arial" w:cs="Arial"/>
          <w:lang w:val="ru-RU"/>
        </w:rPr>
        <w:t xml:space="preserve"> </w:t>
      </w:r>
      <w:r>
        <w:rPr>
          <w:rFonts w:ascii="Arial" w:hAnsi="Arial" w:cs="Arial"/>
          <w:lang w:val="ru-RU"/>
        </w:rPr>
        <w:t>Секретариата</w:t>
      </w:r>
      <w:r w:rsidRPr="00662C44">
        <w:rPr>
          <w:rFonts w:ascii="Arial" w:hAnsi="Arial" w:cs="Arial"/>
          <w:lang w:val="ru-RU"/>
        </w:rPr>
        <w:t xml:space="preserve"> </w:t>
      </w:r>
      <w:r>
        <w:rPr>
          <w:rFonts w:ascii="Arial" w:hAnsi="Arial" w:cs="Arial"/>
          <w:lang w:val="ru-RU"/>
        </w:rPr>
        <w:t>и</w:t>
      </w:r>
      <w:r w:rsidRPr="00662C44">
        <w:rPr>
          <w:rFonts w:ascii="Arial" w:hAnsi="Arial" w:cs="Arial"/>
          <w:lang w:val="ru-RU"/>
        </w:rPr>
        <w:t xml:space="preserve"> </w:t>
      </w:r>
      <w:r>
        <w:rPr>
          <w:rFonts w:ascii="Arial" w:hAnsi="Arial" w:cs="Arial"/>
          <w:lang w:val="ru-RU"/>
        </w:rPr>
        <w:t>будет</w:t>
      </w:r>
      <w:r w:rsidRPr="00662C44">
        <w:rPr>
          <w:rFonts w:ascii="Arial" w:hAnsi="Arial" w:cs="Arial"/>
          <w:lang w:val="ru-RU"/>
        </w:rPr>
        <w:t xml:space="preserve"> </w:t>
      </w:r>
      <w:proofErr w:type="gramStart"/>
      <w:r>
        <w:rPr>
          <w:rFonts w:ascii="Arial" w:hAnsi="Arial" w:cs="Arial"/>
          <w:lang w:val="ru-RU"/>
        </w:rPr>
        <w:t>получать</w:t>
      </w:r>
      <w:proofErr w:type="gramEnd"/>
      <w:r>
        <w:rPr>
          <w:rFonts w:ascii="Arial" w:hAnsi="Arial" w:cs="Arial"/>
          <w:lang w:val="ru-RU"/>
        </w:rPr>
        <w:t xml:space="preserve"> по меньшей мере 1 100 000 долларов в год в</w:t>
      </w:r>
      <w:r w:rsidRPr="00662C44">
        <w:rPr>
          <w:rFonts w:ascii="Arial" w:hAnsi="Arial" w:cs="Arial"/>
          <w:lang w:val="ru-RU"/>
        </w:rPr>
        <w:t xml:space="preserve"> </w:t>
      </w:r>
      <w:r>
        <w:rPr>
          <w:rFonts w:ascii="Arial" w:hAnsi="Arial" w:cs="Arial"/>
          <w:lang w:val="ru-RU"/>
        </w:rPr>
        <w:t>виде</w:t>
      </w:r>
      <w:r w:rsidRPr="00662C44">
        <w:rPr>
          <w:rFonts w:ascii="Arial" w:hAnsi="Arial" w:cs="Arial"/>
          <w:lang w:val="ru-RU"/>
        </w:rPr>
        <w:t xml:space="preserve"> </w:t>
      </w:r>
      <w:r>
        <w:rPr>
          <w:rFonts w:ascii="Arial" w:hAnsi="Arial" w:cs="Arial"/>
          <w:lang w:val="ru-RU"/>
        </w:rPr>
        <w:t>дополнительных</w:t>
      </w:r>
      <w:r w:rsidRPr="00662C44">
        <w:rPr>
          <w:rFonts w:ascii="Arial" w:hAnsi="Arial" w:cs="Arial"/>
          <w:lang w:val="ru-RU"/>
        </w:rPr>
        <w:t xml:space="preserve"> </w:t>
      </w:r>
      <w:r>
        <w:rPr>
          <w:rFonts w:ascii="Arial" w:hAnsi="Arial" w:cs="Arial"/>
          <w:lang w:val="ru-RU"/>
        </w:rPr>
        <w:t>добровольных</w:t>
      </w:r>
      <w:r w:rsidRPr="00662C44">
        <w:rPr>
          <w:rFonts w:ascii="Arial" w:hAnsi="Arial" w:cs="Arial"/>
          <w:lang w:val="ru-RU"/>
        </w:rPr>
        <w:t xml:space="preserve"> </w:t>
      </w:r>
      <w:r>
        <w:rPr>
          <w:rFonts w:ascii="Arial" w:hAnsi="Arial" w:cs="Arial"/>
          <w:lang w:val="ru-RU"/>
        </w:rPr>
        <w:t xml:space="preserve">взносов, что позволит Секретариату соответствовать потребностям и запросам государств-членов. На момент написания данного документа, </w:t>
      </w:r>
      <w:proofErr w:type="spellStart"/>
      <w:r>
        <w:rPr>
          <w:rFonts w:ascii="Arial" w:hAnsi="Arial" w:cs="Arial"/>
          <w:lang w:val="ru-RU"/>
        </w:rPr>
        <w:t>суб</w:t>
      </w:r>
      <w:proofErr w:type="spellEnd"/>
      <w:r>
        <w:rPr>
          <w:rFonts w:ascii="Arial" w:hAnsi="Arial" w:cs="Arial"/>
          <w:lang w:val="ru-RU"/>
        </w:rPr>
        <w:t>-фонд получил немногим более пятой части тех средств, которые предполагалось получить за период с момента его создания</w:t>
      </w:r>
      <w:r w:rsidRPr="00662C44">
        <w:rPr>
          <w:rFonts w:ascii="Arial" w:hAnsi="Arial" w:cs="Arial"/>
          <w:lang w:val="ru-RU"/>
        </w:rPr>
        <w:t>.</w:t>
      </w:r>
    </w:p>
  </w:footnote>
  <w:footnote w:id="2">
    <w:p w:rsidR="00E74685" w:rsidRPr="00E74685" w:rsidRDefault="00E74685" w:rsidP="00E74685">
      <w:pPr>
        <w:pStyle w:val="FootnoteText"/>
        <w:rPr>
          <w:rFonts w:ascii="Arial" w:hAnsi="Arial" w:cs="Arial"/>
          <w:lang w:val="ru-RU"/>
        </w:rPr>
      </w:pPr>
      <w:r w:rsidRPr="00E74685">
        <w:rPr>
          <w:rStyle w:val="FootnoteReference"/>
          <w:rFonts w:ascii="Arial" w:hAnsi="Arial" w:cs="Arial"/>
        </w:rPr>
        <w:footnoteRef/>
      </w:r>
      <w:r w:rsidRPr="00E74685">
        <w:rPr>
          <w:rFonts w:ascii="Arial" w:hAnsi="Arial" w:cs="Arial"/>
        </w:rPr>
        <w:t xml:space="preserve"> </w:t>
      </w:r>
      <w:r w:rsidRPr="00A41EDD">
        <w:rPr>
          <w:rFonts w:ascii="Arial" w:hAnsi="Arial" w:cs="Arial"/>
          <w:lang w:val="ru-RU"/>
        </w:rPr>
        <w:t>Процент</w:t>
      </w:r>
      <w:r>
        <w:rPr>
          <w:rFonts w:ascii="Arial" w:hAnsi="Arial" w:cs="Arial"/>
          <w:lang w:val="ru-RU"/>
        </w:rPr>
        <w:t xml:space="preserve">ные соотношения </w:t>
      </w:r>
      <w:r w:rsidRPr="002B1AFF">
        <w:rPr>
          <w:rFonts w:ascii="Arial" w:hAnsi="Arial" w:cs="Arial"/>
          <w:lang w:val="ru-RU"/>
        </w:rPr>
        <w:t>применяются к балансу Фонда по состоянию на 31 декабря 2015 года за вычетом суммы, которую Комитет предложил перечислить в Резервный фонд (24 190 долл.) для того, чтобы установить его общую сумму на уровне 1 млн. долл</w:t>
      </w:r>
      <w:r w:rsidRPr="00E74685">
        <w:rPr>
          <w:rFonts w:ascii="Arial" w:hAnsi="Arial" w:cs="Arial"/>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C23A97" w:rsidRDefault="004A34A0">
    <w:pPr>
      <w:pStyle w:val="Header"/>
      <w:rPr>
        <w:rFonts w:ascii="Arial" w:hAnsi="Arial" w:cs="Arial"/>
        <w:lang w:val="en-GB"/>
      </w:rPr>
    </w:pPr>
    <w:r>
      <w:rPr>
        <w:rFonts w:ascii="Arial" w:hAnsi="Arial" w:cs="Arial"/>
        <w:sz w:val="20"/>
        <w:szCs w:val="20"/>
      </w:rPr>
      <w:t>ITH/1</w:t>
    </w:r>
    <w:r w:rsidR="002F7512">
      <w:rPr>
        <w:rFonts w:ascii="Arial" w:hAnsi="Arial" w:cs="Arial"/>
        <w:sz w:val="20"/>
        <w:szCs w:val="20"/>
      </w:rPr>
      <w:t>6</w:t>
    </w:r>
    <w:r>
      <w:rPr>
        <w:rFonts w:ascii="Arial" w:hAnsi="Arial" w:cs="Arial"/>
        <w:sz w:val="20"/>
        <w:szCs w:val="20"/>
      </w:rPr>
      <w:t>/</w:t>
    </w:r>
    <w:r w:rsidR="002F7512">
      <w:rPr>
        <w:rFonts w:ascii="Arial" w:hAnsi="Arial" w:cs="Arial"/>
        <w:sz w:val="20"/>
        <w:szCs w:val="20"/>
      </w:rPr>
      <w:t>6</w:t>
    </w:r>
    <w:r>
      <w:rPr>
        <w:rFonts w:ascii="Arial" w:hAnsi="Arial" w:cs="Arial"/>
        <w:sz w:val="20"/>
        <w:szCs w:val="20"/>
      </w:rPr>
      <w:t>.GA/</w:t>
    </w:r>
    <w:r w:rsidR="00E74685">
      <w:rPr>
        <w:rFonts w:ascii="Arial" w:hAnsi="Arial" w:cs="Arial"/>
        <w:sz w:val="20"/>
        <w:szCs w:val="20"/>
      </w:rPr>
      <w:t>9</w:t>
    </w:r>
    <w:r>
      <w:rPr>
        <w:rFonts w:ascii="Arial" w:hAnsi="Arial" w:cs="Arial"/>
        <w:sz w:val="20"/>
        <w:szCs w:val="20"/>
      </w:rPr>
      <w:t xml:space="preserve"> – </w:t>
    </w:r>
    <w:r w:rsidR="002402C9">
      <w:rPr>
        <w:rFonts w:ascii="Arial" w:hAnsi="Arial" w:cs="Arial"/>
        <w:bCs/>
        <w:sz w:val="20"/>
        <w:szCs w:val="20"/>
        <w:lang w:val="ru-RU"/>
      </w:rPr>
      <w:t>страница</w:t>
    </w:r>
    <w:r w:rsidR="002402C9" w:rsidRPr="00C23A97">
      <w:rPr>
        <w:rStyle w:val="PageNumber"/>
        <w:rFonts w:ascii="Arial" w:hAnsi="Arial" w:cs="Arial"/>
        <w:sz w:val="20"/>
        <w:szCs w:val="20"/>
        <w:lang w:val="en-GB"/>
      </w:rPr>
      <w:t xml:space="preserve"> </w:t>
    </w:r>
    <w:r w:rsidR="00AF7986" w:rsidRPr="00C23A97">
      <w:rPr>
        <w:rStyle w:val="PageNumber"/>
        <w:rFonts w:ascii="Arial" w:hAnsi="Arial" w:cs="Arial"/>
        <w:sz w:val="20"/>
        <w:szCs w:val="20"/>
        <w:lang w:val="en-GB"/>
      </w:rPr>
      <w:fldChar w:fldCharType="begin"/>
    </w:r>
    <w:r>
      <w:rPr>
        <w:rStyle w:val="PageNumber"/>
        <w:rFonts w:ascii="Arial" w:hAnsi="Arial" w:cs="Arial"/>
        <w:sz w:val="20"/>
        <w:szCs w:val="20"/>
      </w:rPr>
      <w:instrText xml:space="preserve"> PAGE </w:instrText>
    </w:r>
    <w:r w:rsidR="00AF7986" w:rsidRPr="00C23A97">
      <w:rPr>
        <w:rStyle w:val="PageNumber"/>
        <w:rFonts w:ascii="Arial" w:hAnsi="Arial" w:cs="Arial"/>
        <w:sz w:val="20"/>
        <w:szCs w:val="20"/>
        <w:lang w:val="en-GB"/>
      </w:rPr>
      <w:fldChar w:fldCharType="separate"/>
    </w:r>
    <w:r w:rsidR="00E74685">
      <w:rPr>
        <w:rStyle w:val="PageNumber"/>
        <w:rFonts w:ascii="Arial" w:hAnsi="Arial" w:cs="Arial"/>
        <w:noProof/>
        <w:sz w:val="20"/>
        <w:szCs w:val="20"/>
      </w:rPr>
      <w:t>8</w:t>
    </w:r>
    <w:r w:rsidR="00AF7986"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63300C" w:rsidRDefault="004A34A0" w:rsidP="0063300C">
    <w:pPr>
      <w:pStyle w:val="Header"/>
      <w:jc w:val="right"/>
      <w:rPr>
        <w:rFonts w:ascii="Arial" w:hAnsi="Arial" w:cs="Arial"/>
        <w:lang w:val="en-GB"/>
      </w:rPr>
    </w:pPr>
    <w:r>
      <w:rPr>
        <w:rFonts w:ascii="Arial" w:hAnsi="Arial" w:cs="Arial"/>
        <w:sz w:val="20"/>
        <w:szCs w:val="20"/>
      </w:rPr>
      <w:t>ITH/1</w:t>
    </w:r>
    <w:r w:rsidR="00BD5F0E">
      <w:rPr>
        <w:rFonts w:ascii="Arial" w:hAnsi="Arial" w:cs="Arial"/>
        <w:sz w:val="20"/>
        <w:szCs w:val="20"/>
      </w:rPr>
      <w:t>6</w:t>
    </w:r>
    <w:r>
      <w:rPr>
        <w:rFonts w:ascii="Arial" w:hAnsi="Arial" w:cs="Arial"/>
        <w:sz w:val="20"/>
        <w:szCs w:val="20"/>
      </w:rPr>
      <w:t>/</w:t>
    </w:r>
    <w:r w:rsidR="005E47FE">
      <w:rPr>
        <w:rFonts w:ascii="Arial" w:hAnsi="Arial" w:cs="Arial"/>
        <w:sz w:val="20"/>
        <w:szCs w:val="20"/>
      </w:rPr>
      <w:t>6</w:t>
    </w:r>
    <w:r>
      <w:rPr>
        <w:rFonts w:ascii="Arial" w:hAnsi="Arial" w:cs="Arial"/>
        <w:sz w:val="20"/>
        <w:szCs w:val="20"/>
      </w:rPr>
      <w:t>.GA/</w:t>
    </w:r>
    <w:r w:rsidR="00E74685">
      <w:rPr>
        <w:rFonts w:ascii="Arial" w:hAnsi="Arial" w:cs="Arial"/>
        <w:sz w:val="20"/>
        <w:szCs w:val="20"/>
      </w:rPr>
      <w:t>9</w:t>
    </w:r>
    <w:r>
      <w:rPr>
        <w:rFonts w:ascii="Arial" w:hAnsi="Arial" w:cs="Arial"/>
        <w:sz w:val="20"/>
        <w:szCs w:val="20"/>
      </w:rPr>
      <w:t xml:space="preserve"> – page </w:t>
    </w:r>
    <w:r w:rsidR="00AF7986" w:rsidRPr="0063300C">
      <w:rPr>
        <w:rStyle w:val="PageNumber"/>
        <w:rFonts w:ascii="Arial" w:hAnsi="Arial" w:cs="Arial"/>
        <w:sz w:val="20"/>
        <w:szCs w:val="20"/>
        <w:lang w:val="en-GB"/>
      </w:rPr>
      <w:fldChar w:fldCharType="begin"/>
    </w:r>
    <w:r>
      <w:rPr>
        <w:rStyle w:val="PageNumber"/>
        <w:rFonts w:ascii="Arial" w:hAnsi="Arial" w:cs="Arial"/>
        <w:sz w:val="20"/>
        <w:szCs w:val="20"/>
      </w:rPr>
      <w:instrText xml:space="preserve"> PAGE </w:instrText>
    </w:r>
    <w:r w:rsidR="00AF7986" w:rsidRPr="0063300C">
      <w:rPr>
        <w:rStyle w:val="PageNumber"/>
        <w:rFonts w:ascii="Arial" w:hAnsi="Arial" w:cs="Arial"/>
        <w:sz w:val="20"/>
        <w:szCs w:val="20"/>
        <w:lang w:val="en-GB"/>
      </w:rPr>
      <w:fldChar w:fldCharType="separate"/>
    </w:r>
    <w:r w:rsidR="00E74685">
      <w:rPr>
        <w:rStyle w:val="PageNumber"/>
        <w:rFonts w:ascii="Arial" w:hAnsi="Arial" w:cs="Arial"/>
        <w:noProof/>
        <w:sz w:val="20"/>
        <w:szCs w:val="20"/>
      </w:rPr>
      <w:t>7</w:t>
    </w:r>
    <w:r w:rsidR="00AF7986"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8724E5" w:rsidRDefault="002402C9">
    <w:pPr>
      <w:pStyle w:val="Header"/>
    </w:pPr>
    <w:r>
      <w:rPr>
        <w:rFonts w:ascii="Arial" w:hAnsi="Arial" w:cs="Arial"/>
        <w:b/>
        <w:noProof/>
        <w:sz w:val="44"/>
        <w:szCs w:val="44"/>
      </w:rPr>
      <w:drawing>
        <wp:anchor distT="0" distB="0" distL="114300" distR="114300" simplePos="0" relativeHeight="251658240" behindDoc="0" locked="0" layoutInCell="1" allowOverlap="1" wp14:anchorId="78F857F9" wp14:editId="6A53EB48">
          <wp:simplePos x="0" y="0"/>
          <wp:positionH relativeFrom="column">
            <wp:posOffset>-419100</wp:posOffset>
          </wp:positionH>
          <wp:positionV relativeFrom="paragraph">
            <wp:posOffset>4445</wp:posOffset>
          </wp:positionV>
          <wp:extent cx="2479675" cy="1415415"/>
          <wp:effectExtent l="0" t="0" r="0" b="0"/>
          <wp:wrapNone/>
          <wp:docPr id="1" name="Image 1" descr="unesco_logo_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9675" cy="1415415"/>
                  </a:xfrm>
                  <a:prstGeom prst="rect">
                    <a:avLst/>
                  </a:prstGeom>
                  <a:noFill/>
                  <a:ln>
                    <a:noFill/>
                  </a:ln>
                </pic:spPr>
              </pic:pic>
            </a:graphicData>
          </a:graphic>
        </wp:anchor>
      </w:drawing>
    </w:r>
  </w:p>
  <w:p w:rsidR="00D95C4C" w:rsidRPr="002402C9" w:rsidRDefault="002F7512" w:rsidP="00655736">
    <w:pPr>
      <w:pStyle w:val="Header"/>
      <w:spacing w:after="520"/>
      <w:jc w:val="right"/>
      <w:rPr>
        <w:rFonts w:ascii="Arial" w:hAnsi="Arial" w:cs="Arial"/>
        <w:b/>
        <w:sz w:val="44"/>
        <w:szCs w:val="44"/>
        <w:lang w:val="nl-BE"/>
      </w:rPr>
    </w:pPr>
    <w:r>
      <w:rPr>
        <w:rFonts w:ascii="Arial" w:hAnsi="Arial" w:cs="Arial"/>
        <w:b/>
        <w:sz w:val="44"/>
        <w:szCs w:val="44"/>
        <w:lang w:val="nl-BE"/>
      </w:rPr>
      <w:t>6</w:t>
    </w:r>
    <w:r w:rsidR="004A34A0" w:rsidRPr="002402C9">
      <w:rPr>
        <w:rFonts w:ascii="Arial" w:hAnsi="Arial" w:cs="Arial"/>
        <w:b/>
        <w:sz w:val="44"/>
        <w:szCs w:val="44"/>
        <w:lang w:val="nl-BE"/>
      </w:rPr>
      <w:t xml:space="preserve"> GA</w:t>
    </w:r>
  </w:p>
  <w:p w:rsidR="00E74685" w:rsidRPr="00E74685" w:rsidRDefault="00E74685" w:rsidP="00E74685">
    <w:pPr>
      <w:jc w:val="right"/>
      <w:rPr>
        <w:rFonts w:ascii="Arial" w:hAnsi="Arial" w:cs="Arial"/>
        <w:b/>
        <w:sz w:val="22"/>
        <w:szCs w:val="22"/>
        <w:lang w:val="ru-RU"/>
      </w:rPr>
    </w:pPr>
    <w:r w:rsidRPr="00E74685">
      <w:rPr>
        <w:rFonts w:ascii="Arial" w:hAnsi="Arial" w:cs="Arial"/>
        <w:b/>
        <w:sz w:val="22"/>
        <w:szCs w:val="22"/>
        <w:lang w:val="nl-BE"/>
      </w:rPr>
      <w:t>ITH</w:t>
    </w:r>
    <w:r w:rsidRPr="00E74685">
      <w:rPr>
        <w:rFonts w:ascii="Arial" w:hAnsi="Arial" w:cs="Arial"/>
        <w:b/>
        <w:sz w:val="22"/>
        <w:szCs w:val="22"/>
        <w:lang w:val="ru-RU"/>
      </w:rPr>
      <w:t>/16/6</w:t>
    </w:r>
    <w:proofErr w:type="gramStart"/>
    <w:r w:rsidRPr="00E74685">
      <w:rPr>
        <w:rFonts w:ascii="Arial" w:hAnsi="Arial" w:cs="Arial"/>
        <w:b/>
        <w:sz w:val="22"/>
        <w:szCs w:val="22"/>
        <w:lang w:val="ru-RU"/>
      </w:rPr>
      <w:t>.</w:t>
    </w:r>
    <w:r w:rsidRPr="00E74685">
      <w:rPr>
        <w:rFonts w:ascii="Arial" w:hAnsi="Arial" w:cs="Arial"/>
        <w:b/>
        <w:sz w:val="22"/>
        <w:szCs w:val="22"/>
        <w:lang w:val="nl-BE"/>
      </w:rPr>
      <w:t>GA</w:t>
    </w:r>
    <w:proofErr w:type="gramEnd"/>
    <w:r w:rsidRPr="00E74685">
      <w:rPr>
        <w:rFonts w:ascii="Arial" w:hAnsi="Arial" w:cs="Arial"/>
        <w:b/>
        <w:sz w:val="22"/>
        <w:szCs w:val="22"/>
        <w:lang w:val="ru-RU"/>
      </w:rPr>
      <w:t>/9</w:t>
    </w:r>
  </w:p>
  <w:p w:rsidR="00E74685" w:rsidRPr="00E74685" w:rsidRDefault="00E74685" w:rsidP="00E74685">
    <w:pPr>
      <w:jc w:val="right"/>
      <w:rPr>
        <w:rFonts w:ascii="Arial" w:hAnsi="Arial" w:cs="Arial"/>
        <w:b/>
        <w:sz w:val="22"/>
        <w:szCs w:val="22"/>
        <w:lang w:val="ru-RU"/>
      </w:rPr>
    </w:pPr>
    <w:r>
      <w:rPr>
        <w:rFonts w:ascii="Arial" w:hAnsi="Arial" w:cs="Arial"/>
        <w:b/>
        <w:sz w:val="22"/>
        <w:szCs w:val="22"/>
        <w:lang w:val="ru-RU"/>
      </w:rPr>
      <w:t>Париж</w:t>
    </w:r>
    <w:r w:rsidRPr="00E74685">
      <w:rPr>
        <w:rFonts w:ascii="Arial" w:hAnsi="Arial" w:cs="Arial"/>
        <w:b/>
        <w:sz w:val="22"/>
        <w:szCs w:val="22"/>
        <w:lang w:val="ru-RU"/>
      </w:rPr>
      <w:t xml:space="preserve">, </w:t>
    </w:r>
    <w:r>
      <w:rPr>
        <w:rFonts w:ascii="Arial" w:hAnsi="Arial" w:cs="Arial"/>
        <w:b/>
        <w:sz w:val="22"/>
        <w:szCs w:val="22"/>
        <w:lang w:val="ru-RU"/>
      </w:rPr>
      <w:t>29 апреля</w:t>
    </w:r>
    <w:r w:rsidRPr="00E74685">
      <w:rPr>
        <w:rFonts w:ascii="Arial" w:hAnsi="Arial" w:cs="Arial"/>
        <w:b/>
        <w:sz w:val="22"/>
        <w:szCs w:val="22"/>
        <w:lang w:val="ru-RU"/>
      </w:rPr>
      <w:t xml:space="preserve"> 2016</w:t>
    </w:r>
  </w:p>
  <w:p w:rsidR="00E74685" w:rsidRPr="00227C30" w:rsidRDefault="00E74685" w:rsidP="00E74685">
    <w:pPr>
      <w:jc w:val="right"/>
      <w:rPr>
        <w:rFonts w:ascii="Arial" w:hAnsi="Arial" w:cs="Arial"/>
        <w:b/>
        <w:sz w:val="22"/>
        <w:szCs w:val="22"/>
        <w:lang w:val="ru-RU"/>
      </w:rPr>
    </w:pPr>
    <w:r>
      <w:rPr>
        <w:rFonts w:ascii="Arial" w:hAnsi="Arial" w:cs="Arial"/>
        <w:b/>
        <w:sz w:val="22"/>
        <w:szCs w:val="22"/>
        <w:lang w:val="ru-RU"/>
      </w:rPr>
      <w:t>Оригинал</w:t>
    </w:r>
    <w:r w:rsidRPr="00E74685">
      <w:rPr>
        <w:rFonts w:ascii="Arial" w:hAnsi="Arial" w:cs="Arial"/>
        <w:b/>
        <w:sz w:val="22"/>
        <w:szCs w:val="22"/>
        <w:lang w:val="ru-RU"/>
      </w:rPr>
      <w:t xml:space="preserve">: </w:t>
    </w:r>
    <w:r>
      <w:rPr>
        <w:rFonts w:ascii="Arial" w:hAnsi="Arial" w:cs="Arial"/>
        <w:b/>
        <w:sz w:val="22"/>
        <w:szCs w:val="22"/>
        <w:lang w:val="ru-RU"/>
      </w:rPr>
      <w:t>английский</w:t>
    </w:r>
  </w:p>
  <w:p w:rsidR="00D95C4C" w:rsidRPr="002402C9" w:rsidRDefault="00D95C4C">
    <w:pPr>
      <w:pStyle w:val="Head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685" w:rsidRPr="00E74685" w:rsidRDefault="00E74685" w:rsidP="00E74685">
    <w:pPr>
      <w:pStyle w:val="Header"/>
      <w:jc w:val="right"/>
      <w:rPr>
        <w:rFonts w:ascii="Arial" w:hAnsi="Arial" w:cs="Arial"/>
        <w:lang w:val="en-GB"/>
      </w:rPr>
    </w:pPr>
    <w:r>
      <w:rPr>
        <w:rFonts w:ascii="Arial" w:hAnsi="Arial" w:cs="Arial"/>
        <w:sz w:val="20"/>
        <w:szCs w:val="20"/>
      </w:rPr>
      <w:t xml:space="preserve">ITH/16/6.GA/9 – </w:t>
    </w:r>
    <w:r>
      <w:rPr>
        <w:rFonts w:ascii="Arial" w:hAnsi="Arial" w:cs="Arial"/>
        <w:bCs/>
        <w:sz w:val="20"/>
        <w:szCs w:val="20"/>
        <w:lang w:val="ru-RU"/>
      </w:rPr>
      <w:t>страница</w:t>
    </w:r>
    <w:r w:rsidRPr="00C23A97">
      <w:rPr>
        <w:rStyle w:val="PageNumber"/>
        <w:rFonts w:ascii="Arial" w:hAnsi="Arial" w:cs="Arial"/>
        <w:sz w:val="20"/>
        <w:szCs w:val="20"/>
        <w:lang w:val="en-GB"/>
      </w:rPr>
      <w:t xml:space="preserve"> </w:t>
    </w:r>
    <w:r w:rsidRPr="00C23A97">
      <w:rPr>
        <w:rStyle w:val="PageNumber"/>
        <w:rFonts w:ascii="Arial" w:hAnsi="Arial" w:cs="Arial"/>
        <w:sz w:val="20"/>
        <w:szCs w:val="20"/>
        <w:lang w:val="en-GB"/>
      </w:rPr>
      <w:fldChar w:fldCharType="begin"/>
    </w:r>
    <w:r>
      <w:rPr>
        <w:rStyle w:val="PageNumber"/>
        <w:rFonts w:ascii="Arial" w:hAnsi="Arial" w:cs="Arial"/>
        <w:sz w:val="20"/>
        <w:szCs w:val="20"/>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noProof/>
        <w:sz w:val="20"/>
        <w:szCs w:val="20"/>
      </w:rPr>
      <w:t>9</w:t>
    </w:r>
    <w:r w:rsidRPr="00C23A97">
      <w:rPr>
        <w:rStyle w:val="PageNumber"/>
        <w:rFonts w:ascii="Arial" w:hAnsi="Arial" w:cs="Arial"/>
        <w:sz w:val="20"/>
        <w:szCs w:val="20"/>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2CD"/>
    <w:multiLevelType w:val="hybridMultilevel"/>
    <w:tmpl w:val="3C48280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nsid w:val="0ADA76B9"/>
    <w:multiLevelType w:val="hybridMultilevel"/>
    <w:tmpl w:val="A4F2784A"/>
    <w:lvl w:ilvl="0" w:tplc="3208CFA2">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nsid w:val="11AC23FD"/>
    <w:multiLevelType w:val="hybridMultilevel"/>
    <w:tmpl w:val="50705A4A"/>
    <w:lvl w:ilvl="0" w:tplc="0AAA5900">
      <w:start w:val="1"/>
      <w:numFmt w:val="decimal"/>
      <w:pStyle w:val="Paragraph"/>
      <w:lvlText w:val="%1."/>
      <w:lvlJc w:val="left"/>
      <w:pPr>
        <w:tabs>
          <w:tab w:val="num" w:pos="363"/>
        </w:tabs>
        <w:ind w:left="363" w:hanging="360"/>
      </w:pPr>
      <w:rPr>
        <w:b w:val="0"/>
      </w:rPr>
    </w:lvl>
    <w:lvl w:ilvl="1" w:tplc="BB401AD4">
      <w:start w:val="1"/>
      <w:numFmt w:val="bullet"/>
      <w:lvlText w:val="-"/>
      <w:lvlJc w:val="left"/>
      <w:pPr>
        <w:tabs>
          <w:tab w:val="num" w:pos="1083"/>
        </w:tabs>
        <w:ind w:left="1083" w:hanging="360"/>
      </w:pPr>
      <w:rPr>
        <w:rFonts w:ascii="Arial" w:eastAsia="Times New Roman" w:hAnsi="Arial" w:cs="Arial" w:hint="default"/>
      </w:rPr>
    </w:lvl>
    <w:lvl w:ilvl="2" w:tplc="0CD4806C">
      <w:start w:val="1"/>
      <w:numFmt w:val="lowerLetter"/>
      <w:lvlText w:val="%3)"/>
      <w:lvlJc w:val="left"/>
      <w:pPr>
        <w:ind w:left="1983" w:hanging="360"/>
      </w:pPr>
      <w:rPr>
        <w:rFonts w:hint="default"/>
      </w:r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4">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1D7D728D"/>
    <w:multiLevelType w:val="hybridMultilevel"/>
    <w:tmpl w:val="2102979A"/>
    <w:lvl w:ilvl="0" w:tplc="5CB0214C">
      <w:start w:val="1"/>
      <w:numFmt w:val="decimal"/>
      <w:pStyle w:val="5GAparabodytext"/>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nsid w:val="47A66CBA"/>
    <w:multiLevelType w:val="hybridMultilevel"/>
    <w:tmpl w:val="2676D780"/>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6">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8"/>
  </w:num>
  <w:num w:numId="3">
    <w:abstractNumId w:val="4"/>
  </w:num>
  <w:num w:numId="4">
    <w:abstractNumId w:val="19"/>
  </w:num>
  <w:num w:numId="5">
    <w:abstractNumId w:val="17"/>
  </w:num>
  <w:num w:numId="6">
    <w:abstractNumId w:val="2"/>
  </w:num>
  <w:num w:numId="7">
    <w:abstractNumId w:val="6"/>
  </w:num>
  <w:num w:numId="8">
    <w:abstractNumId w:val="12"/>
  </w:num>
  <w:num w:numId="9">
    <w:abstractNumId w:val="7"/>
  </w:num>
  <w:num w:numId="10">
    <w:abstractNumId w:val="9"/>
  </w:num>
  <w:num w:numId="11">
    <w:abstractNumId w:val="11"/>
  </w:num>
  <w:num w:numId="12">
    <w:abstractNumId w:val="10"/>
  </w:num>
  <w:num w:numId="13">
    <w:abstractNumId w:val="18"/>
  </w:num>
  <w:num w:numId="14">
    <w:abstractNumId w:val="14"/>
  </w:num>
  <w:num w:numId="15">
    <w:abstractNumId w:val="15"/>
  </w:num>
  <w:num w:numId="16">
    <w:abstractNumId w:val="5"/>
  </w:num>
  <w:num w:numId="17">
    <w:abstractNumId w:val="3"/>
  </w:num>
  <w:num w:numId="18">
    <w:abstractNumId w:val="1"/>
  </w:num>
  <w:num w:numId="19">
    <w:abstractNumId w:val="0"/>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sol, Christine">
    <w15:presenceInfo w15:providerId="AD" w15:userId="S-1-5-21-1606980848-1958367476-725345543-6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0F5"/>
    <w:rsid w:val="000048ED"/>
    <w:rsid w:val="00041A66"/>
    <w:rsid w:val="0005176E"/>
    <w:rsid w:val="000765F7"/>
    <w:rsid w:val="00077AB7"/>
    <w:rsid w:val="00081CD8"/>
    <w:rsid w:val="000A7F0E"/>
    <w:rsid w:val="000C0D61"/>
    <w:rsid w:val="000F3A3F"/>
    <w:rsid w:val="00102557"/>
    <w:rsid w:val="00164D56"/>
    <w:rsid w:val="00167B10"/>
    <w:rsid w:val="0017402F"/>
    <w:rsid w:val="00196C1B"/>
    <w:rsid w:val="001B0F73"/>
    <w:rsid w:val="001D5C04"/>
    <w:rsid w:val="00222A2D"/>
    <w:rsid w:val="00223029"/>
    <w:rsid w:val="00234745"/>
    <w:rsid w:val="002402C9"/>
    <w:rsid w:val="002407AF"/>
    <w:rsid w:val="002C09E3"/>
    <w:rsid w:val="002D620C"/>
    <w:rsid w:val="002E6363"/>
    <w:rsid w:val="002F7512"/>
    <w:rsid w:val="00317566"/>
    <w:rsid w:val="00345CB4"/>
    <w:rsid w:val="003D069C"/>
    <w:rsid w:val="003D7646"/>
    <w:rsid w:val="003F113A"/>
    <w:rsid w:val="0040099B"/>
    <w:rsid w:val="00414643"/>
    <w:rsid w:val="004421E5"/>
    <w:rsid w:val="00452284"/>
    <w:rsid w:val="004856CA"/>
    <w:rsid w:val="0049705E"/>
    <w:rsid w:val="004A34A0"/>
    <w:rsid w:val="004F1223"/>
    <w:rsid w:val="00526B7B"/>
    <w:rsid w:val="005308CE"/>
    <w:rsid w:val="0057439C"/>
    <w:rsid w:val="0059476C"/>
    <w:rsid w:val="005B0127"/>
    <w:rsid w:val="005B7A35"/>
    <w:rsid w:val="005C00F5"/>
    <w:rsid w:val="005C4B73"/>
    <w:rsid w:val="005E1D2B"/>
    <w:rsid w:val="005E47FE"/>
    <w:rsid w:val="00600D93"/>
    <w:rsid w:val="0063300C"/>
    <w:rsid w:val="00655736"/>
    <w:rsid w:val="00663B8D"/>
    <w:rsid w:val="00696C8D"/>
    <w:rsid w:val="006A2AC2"/>
    <w:rsid w:val="006A3617"/>
    <w:rsid w:val="006C541A"/>
    <w:rsid w:val="006E46E4"/>
    <w:rsid w:val="00717DA5"/>
    <w:rsid w:val="00744484"/>
    <w:rsid w:val="00773188"/>
    <w:rsid w:val="00783782"/>
    <w:rsid w:val="00784B8C"/>
    <w:rsid w:val="00823A11"/>
    <w:rsid w:val="0085414A"/>
    <w:rsid w:val="0086269D"/>
    <w:rsid w:val="0086543A"/>
    <w:rsid w:val="008724E5"/>
    <w:rsid w:val="00884A9D"/>
    <w:rsid w:val="0088512B"/>
    <w:rsid w:val="008A2B2D"/>
    <w:rsid w:val="008A4E1E"/>
    <w:rsid w:val="008C296C"/>
    <w:rsid w:val="008D4305"/>
    <w:rsid w:val="009163A7"/>
    <w:rsid w:val="00946D0B"/>
    <w:rsid w:val="009A18CD"/>
    <w:rsid w:val="00A12558"/>
    <w:rsid w:val="00A13903"/>
    <w:rsid w:val="00A34ED5"/>
    <w:rsid w:val="00A45DBF"/>
    <w:rsid w:val="00A755A2"/>
    <w:rsid w:val="00AA6660"/>
    <w:rsid w:val="00AB0A78"/>
    <w:rsid w:val="00AB2C36"/>
    <w:rsid w:val="00AB70B6"/>
    <w:rsid w:val="00AD1A86"/>
    <w:rsid w:val="00AE103E"/>
    <w:rsid w:val="00AF0A07"/>
    <w:rsid w:val="00AF4AEC"/>
    <w:rsid w:val="00AF625E"/>
    <w:rsid w:val="00AF7986"/>
    <w:rsid w:val="00BB04AF"/>
    <w:rsid w:val="00BD52C9"/>
    <w:rsid w:val="00BD5F0E"/>
    <w:rsid w:val="00BE6354"/>
    <w:rsid w:val="00C23A97"/>
    <w:rsid w:val="00C43C73"/>
    <w:rsid w:val="00C70EA7"/>
    <w:rsid w:val="00C7516E"/>
    <w:rsid w:val="00C75770"/>
    <w:rsid w:val="00D00B2B"/>
    <w:rsid w:val="00D24877"/>
    <w:rsid w:val="00D95C4C"/>
    <w:rsid w:val="00DA36ED"/>
    <w:rsid w:val="00DE34F1"/>
    <w:rsid w:val="00DF4942"/>
    <w:rsid w:val="00E627B1"/>
    <w:rsid w:val="00E74685"/>
    <w:rsid w:val="00E81718"/>
    <w:rsid w:val="00E9376C"/>
    <w:rsid w:val="00EA335E"/>
    <w:rsid w:val="00EA528C"/>
    <w:rsid w:val="00EB3EF7"/>
    <w:rsid w:val="00EF34E2"/>
    <w:rsid w:val="00F31F80"/>
    <w:rsid w:val="00F53DE9"/>
    <w:rsid w:val="00F576CB"/>
    <w:rsid w:val="00F71A02"/>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E74685"/>
    <w:pPr>
      <w:ind w:left="720"/>
      <w:contextualSpacing/>
    </w:pPr>
  </w:style>
  <w:style w:type="character" w:customStyle="1" w:styleId="hps">
    <w:name w:val="hps"/>
    <w:rsid w:val="00E74685"/>
  </w:style>
  <w:style w:type="paragraph" w:customStyle="1" w:styleId="5GAparabodytext">
    <w:name w:val="5GA para body text"/>
    <w:basedOn w:val="Marge"/>
    <w:autoRedefine/>
    <w:qFormat/>
    <w:rsid w:val="00E74685"/>
    <w:pPr>
      <w:numPr>
        <w:numId w:val="16"/>
      </w:numPr>
      <w:spacing w:after="120"/>
      <w:ind w:left="567" w:hanging="567"/>
    </w:pPr>
    <w:rPr>
      <w:rFonts w:cs="Arial"/>
      <w:szCs w:val="22"/>
      <w:lang w:val="en-GB"/>
    </w:rPr>
  </w:style>
  <w:style w:type="character" w:styleId="Hyperlink">
    <w:name w:val="Hyperlink"/>
    <w:unhideWhenUsed/>
    <w:rsid w:val="00E74685"/>
    <w:rPr>
      <w:color w:val="0000FF"/>
      <w:u w:val="single"/>
    </w:rPr>
  </w:style>
  <w:style w:type="character" w:styleId="FollowedHyperlink">
    <w:name w:val="FollowedHyperlink"/>
    <w:basedOn w:val="DefaultParagraphFont"/>
    <w:uiPriority w:val="99"/>
    <w:semiHidden/>
    <w:unhideWhenUsed/>
    <w:rsid w:val="00E74685"/>
    <w:rPr>
      <w:color w:val="954F72" w:themeColor="followedHyperlink"/>
      <w:u w:val="single"/>
    </w:rPr>
  </w:style>
  <w:style w:type="paragraph" w:styleId="FootnoteText">
    <w:name w:val="footnote text"/>
    <w:basedOn w:val="Normal"/>
    <w:link w:val="FootnoteTextChar"/>
    <w:uiPriority w:val="99"/>
    <w:semiHidden/>
    <w:unhideWhenUsed/>
    <w:rsid w:val="00E74685"/>
    <w:rPr>
      <w:sz w:val="20"/>
      <w:szCs w:val="20"/>
      <w:lang w:val="x-none"/>
    </w:rPr>
  </w:style>
  <w:style w:type="character" w:customStyle="1" w:styleId="FootnoteTextChar">
    <w:name w:val="Footnote Text Char"/>
    <w:basedOn w:val="DefaultParagraphFont"/>
    <w:link w:val="FootnoteText"/>
    <w:uiPriority w:val="99"/>
    <w:semiHidden/>
    <w:rsid w:val="00E74685"/>
    <w:rPr>
      <w:rFonts w:ascii="Times New Roman" w:eastAsia="Times New Roman" w:hAnsi="Times New Roman"/>
      <w:lang w:val="x-none" w:eastAsia="fr-FR"/>
    </w:rPr>
  </w:style>
  <w:style w:type="character" w:styleId="FootnoteReference">
    <w:name w:val="footnote reference"/>
    <w:uiPriority w:val="99"/>
    <w:unhideWhenUsed/>
    <w:rsid w:val="00E74685"/>
    <w:rPr>
      <w:vertAlign w:val="superscript"/>
    </w:rPr>
  </w:style>
  <w:style w:type="paragraph" w:customStyle="1" w:styleId="Default">
    <w:name w:val="Default"/>
    <w:link w:val="DefaultChar"/>
    <w:uiPriority w:val="99"/>
    <w:rsid w:val="00E74685"/>
    <w:pPr>
      <w:autoSpaceDE w:val="0"/>
      <w:autoSpaceDN w:val="0"/>
      <w:adjustRightInd w:val="0"/>
    </w:pPr>
    <w:rPr>
      <w:rFonts w:ascii="Arial" w:hAnsi="Arial" w:cs="Arial"/>
      <w:color w:val="000000"/>
      <w:sz w:val="24"/>
      <w:szCs w:val="24"/>
      <w:lang w:val="en-US" w:eastAsia="zh-CN"/>
    </w:rPr>
  </w:style>
  <w:style w:type="character" w:customStyle="1" w:styleId="DefaultChar">
    <w:name w:val="Default Char"/>
    <w:link w:val="Default"/>
    <w:uiPriority w:val="99"/>
    <w:rsid w:val="00E74685"/>
    <w:rPr>
      <w:rFonts w:ascii="Arial" w:hAnsi="Arial" w:cs="Arial"/>
      <w:color w:val="000000"/>
      <w:sz w:val="24"/>
      <w:szCs w:val="24"/>
      <w:lang w:val="en-US" w:eastAsia="zh-CN"/>
    </w:rPr>
  </w:style>
  <w:style w:type="paragraph" w:customStyle="1" w:styleId="COMPara">
    <w:name w:val="COM Para"/>
    <w:qFormat/>
    <w:rsid w:val="00E74685"/>
    <w:pPr>
      <w:spacing w:after="120"/>
      <w:ind w:left="567" w:hanging="567"/>
    </w:pPr>
    <w:rPr>
      <w:rFonts w:ascii="Arial" w:eastAsia="Times New Roman" w:hAnsi="Arial" w:cs="Arial"/>
      <w:snapToGrid w:val="0"/>
      <w:sz w:val="22"/>
      <w:szCs w:val="22"/>
      <w:lang w:eastAsia="en-US"/>
    </w:rPr>
  </w:style>
  <w:style w:type="paragraph" w:customStyle="1" w:styleId="Paragraph">
    <w:name w:val="Paragraph"/>
    <w:basedOn w:val="Default"/>
    <w:link w:val="ParagraphChar"/>
    <w:qFormat/>
    <w:rsid w:val="00E74685"/>
    <w:pPr>
      <w:numPr>
        <w:numId w:val="17"/>
      </w:numPr>
      <w:spacing w:after="240"/>
      <w:jc w:val="both"/>
    </w:pPr>
    <w:rPr>
      <w:bCs/>
      <w:sz w:val="22"/>
      <w:szCs w:val="22"/>
      <w:lang w:val="en-GB"/>
    </w:rPr>
  </w:style>
  <w:style w:type="character" w:customStyle="1" w:styleId="ParagraphChar">
    <w:name w:val="Paragraph Char"/>
    <w:link w:val="Paragraph"/>
    <w:rsid w:val="00E74685"/>
    <w:rPr>
      <w:rFonts w:ascii="Arial" w:hAnsi="Arial" w:cs="Arial"/>
      <w:bCs/>
      <w:color w:val="000000"/>
      <w:sz w:val="22"/>
      <w:szCs w:val="22"/>
      <w:lang w:eastAsia="zh-CN"/>
    </w:rPr>
  </w:style>
  <w:style w:type="paragraph" w:customStyle="1" w:styleId="5GAParaResolution">
    <w:name w:val="5GA Para Resolution"/>
    <w:basedOn w:val="Normal"/>
    <w:qFormat/>
    <w:rsid w:val="00E74685"/>
    <w:pPr>
      <w:autoSpaceDE w:val="0"/>
      <w:autoSpaceDN w:val="0"/>
      <w:adjustRightInd w:val="0"/>
      <w:spacing w:after="120"/>
      <w:ind w:left="1134" w:hanging="567"/>
      <w:jc w:val="both"/>
    </w:pPr>
    <w:rPr>
      <w:rFonts w:ascii="Arial" w:eastAsia="SimSun" w:hAnsi="Arial" w:cs="Arial"/>
      <w:sz w:val="22"/>
      <w:szCs w:val="22"/>
      <w:lang w:val="en-GB"/>
    </w:rPr>
  </w:style>
  <w:style w:type="character" w:styleId="CommentReference">
    <w:name w:val="annotation reference"/>
    <w:basedOn w:val="DefaultParagraphFont"/>
    <w:uiPriority w:val="99"/>
    <w:semiHidden/>
    <w:unhideWhenUsed/>
    <w:rsid w:val="00E74685"/>
    <w:rPr>
      <w:sz w:val="16"/>
      <w:szCs w:val="16"/>
    </w:rPr>
  </w:style>
  <w:style w:type="paragraph" w:styleId="CommentText">
    <w:name w:val="annotation text"/>
    <w:basedOn w:val="Normal"/>
    <w:link w:val="CommentTextChar"/>
    <w:uiPriority w:val="99"/>
    <w:semiHidden/>
    <w:unhideWhenUsed/>
    <w:rsid w:val="00E74685"/>
    <w:rPr>
      <w:sz w:val="20"/>
      <w:szCs w:val="20"/>
    </w:rPr>
  </w:style>
  <w:style w:type="character" w:customStyle="1" w:styleId="CommentTextChar">
    <w:name w:val="Comment Text Char"/>
    <w:basedOn w:val="DefaultParagraphFont"/>
    <w:link w:val="CommentText"/>
    <w:uiPriority w:val="99"/>
    <w:semiHidden/>
    <w:rsid w:val="00E74685"/>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E74685"/>
    <w:rPr>
      <w:b/>
      <w:bCs/>
    </w:rPr>
  </w:style>
  <w:style w:type="character" w:customStyle="1" w:styleId="CommentSubjectChar">
    <w:name w:val="Comment Subject Char"/>
    <w:basedOn w:val="CommentTextChar"/>
    <w:link w:val="CommentSubject"/>
    <w:uiPriority w:val="99"/>
    <w:semiHidden/>
    <w:rsid w:val="00E74685"/>
    <w:rPr>
      <w:rFonts w:ascii="Times New Roman" w:eastAsia="Times New Roman" w:hAnsi="Times New Roman"/>
      <w:b/>
      <w:bCs/>
      <w:lang w:val="fr-FR" w:eastAsia="fr-FR"/>
    </w:rPr>
  </w:style>
  <w:style w:type="paragraph" w:customStyle="1" w:styleId="COMParaDecision">
    <w:name w:val="COM Para Decision"/>
    <w:basedOn w:val="Normal"/>
    <w:qFormat/>
    <w:rsid w:val="00E74685"/>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5GATitleResolution">
    <w:name w:val="5GA Title Resolution"/>
    <w:basedOn w:val="Normal"/>
    <w:qFormat/>
    <w:rsid w:val="00E74685"/>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E74685"/>
    <w:pPr>
      <w:keepNext/>
      <w:spacing w:after="120"/>
      <w:ind w:left="567"/>
      <w:jc w:val="both"/>
    </w:pPr>
    <w:rPr>
      <w:rFonts w:ascii="Arial" w:hAnsi="Arial" w:cs="Arial"/>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E74685"/>
    <w:pPr>
      <w:ind w:left="720"/>
      <w:contextualSpacing/>
    </w:pPr>
  </w:style>
  <w:style w:type="character" w:customStyle="1" w:styleId="hps">
    <w:name w:val="hps"/>
    <w:rsid w:val="00E74685"/>
  </w:style>
  <w:style w:type="paragraph" w:customStyle="1" w:styleId="5GAparabodytext">
    <w:name w:val="5GA para body text"/>
    <w:basedOn w:val="Marge"/>
    <w:autoRedefine/>
    <w:qFormat/>
    <w:rsid w:val="00E74685"/>
    <w:pPr>
      <w:numPr>
        <w:numId w:val="16"/>
      </w:numPr>
      <w:spacing w:after="120"/>
      <w:ind w:left="567" w:hanging="567"/>
    </w:pPr>
    <w:rPr>
      <w:rFonts w:cs="Arial"/>
      <w:szCs w:val="22"/>
      <w:lang w:val="en-GB"/>
    </w:rPr>
  </w:style>
  <w:style w:type="character" w:styleId="Hyperlink">
    <w:name w:val="Hyperlink"/>
    <w:unhideWhenUsed/>
    <w:rsid w:val="00E74685"/>
    <w:rPr>
      <w:color w:val="0000FF"/>
      <w:u w:val="single"/>
    </w:rPr>
  </w:style>
  <w:style w:type="character" w:styleId="FollowedHyperlink">
    <w:name w:val="FollowedHyperlink"/>
    <w:basedOn w:val="DefaultParagraphFont"/>
    <w:uiPriority w:val="99"/>
    <w:semiHidden/>
    <w:unhideWhenUsed/>
    <w:rsid w:val="00E74685"/>
    <w:rPr>
      <w:color w:val="954F72" w:themeColor="followedHyperlink"/>
      <w:u w:val="single"/>
    </w:rPr>
  </w:style>
  <w:style w:type="paragraph" w:styleId="FootnoteText">
    <w:name w:val="footnote text"/>
    <w:basedOn w:val="Normal"/>
    <w:link w:val="FootnoteTextChar"/>
    <w:uiPriority w:val="99"/>
    <w:semiHidden/>
    <w:unhideWhenUsed/>
    <w:rsid w:val="00E74685"/>
    <w:rPr>
      <w:sz w:val="20"/>
      <w:szCs w:val="20"/>
      <w:lang w:val="x-none"/>
    </w:rPr>
  </w:style>
  <w:style w:type="character" w:customStyle="1" w:styleId="FootnoteTextChar">
    <w:name w:val="Footnote Text Char"/>
    <w:basedOn w:val="DefaultParagraphFont"/>
    <w:link w:val="FootnoteText"/>
    <w:uiPriority w:val="99"/>
    <w:semiHidden/>
    <w:rsid w:val="00E74685"/>
    <w:rPr>
      <w:rFonts w:ascii="Times New Roman" w:eastAsia="Times New Roman" w:hAnsi="Times New Roman"/>
      <w:lang w:val="x-none" w:eastAsia="fr-FR"/>
    </w:rPr>
  </w:style>
  <w:style w:type="character" w:styleId="FootnoteReference">
    <w:name w:val="footnote reference"/>
    <w:uiPriority w:val="99"/>
    <w:unhideWhenUsed/>
    <w:rsid w:val="00E74685"/>
    <w:rPr>
      <w:vertAlign w:val="superscript"/>
    </w:rPr>
  </w:style>
  <w:style w:type="paragraph" w:customStyle="1" w:styleId="Default">
    <w:name w:val="Default"/>
    <w:link w:val="DefaultChar"/>
    <w:uiPriority w:val="99"/>
    <w:rsid w:val="00E74685"/>
    <w:pPr>
      <w:autoSpaceDE w:val="0"/>
      <w:autoSpaceDN w:val="0"/>
      <w:adjustRightInd w:val="0"/>
    </w:pPr>
    <w:rPr>
      <w:rFonts w:ascii="Arial" w:hAnsi="Arial" w:cs="Arial"/>
      <w:color w:val="000000"/>
      <w:sz w:val="24"/>
      <w:szCs w:val="24"/>
      <w:lang w:val="en-US" w:eastAsia="zh-CN"/>
    </w:rPr>
  </w:style>
  <w:style w:type="character" w:customStyle="1" w:styleId="DefaultChar">
    <w:name w:val="Default Char"/>
    <w:link w:val="Default"/>
    <w:uiPriority w:val="99"/>
    <w:rsid w:val="00E74685"/>
    <w:rPr>
      <w:rFonts w:ascii="Arial" w:hAnsi="Arial" w:cs="Arial"/>
      <w:color w:val="000000"/>
      <w:sz w:val="24"/>
      <w:szCs w:val="24"/>
      <w:lang w:val="en-US" w:eastAsia="zh-CN"/>
    </w:rPr>
  </w:style>
  <w:style w:type="paragraph" w:customStyle="1" w:styleId="COMPara">
    <w:name w:val="COM Para"/>
    <w:qFormat/>
    <w:rsid w:val="00E74685"/>
    <w:pPr>
      <w:spacing w:after="120"/>
      <w:ind w:left="567" w:hanging="567"/>
    </w:pPr>
    <w:rPr>
      <w:rFonts w:ascii="Arial" w:eastAsia="Times New Roman" w:hAnsi="Arial" w:cs="Arial"/>
      <w:snapToGrid w:val="0"/>
      <w:sz w:val="22"/>
      <w:szCs w:val="22"/>
      <w:lang w:eastAsia="en-US"/>
    </w:rPr>
  </w:style>
  <w:style w:type="paragraph" w:customStyle="1" w:styleId="Paragraph">
    <w:name w:val="Paragraph"/>
    <w:basedOn w:val="Default"/>
    <w:link w:val="ParagraphChar"/>
    <w:qFormat/>
    <w:rsid w:val="00E74685"/>
    <w:pPr>
      <w:numPr>
        <w:numId w:val="17"/>
      </w:numPr>
      <w:spacing w:after="240"/>
      <w:jc w:val="both"/>
    </w:pPr>
    <w:rPr>
      <w:bCs/>
      <w:sz w:val="22"/>
      <w:szCs w:val="22"/>
      <w:lang w:val="en-GB"/>
    </w:rPr>
  </w:style>
  <w:style w:type="character" w:customStyle="1" w:styleId="ParagraphChar">
    <w:name w:val="Paragraph Char"/>
    <w:link w:val="Paragraph"/>
    <w:rsid w:val="00E74685"/>
    <w:rPr>
      <w:rFonts w:ascii="Arial" w:hAnsi="Arial" w:cs="Arial"/>
      <w:bCs/>
      <w:color w:val="000000"/>
      <w:sz w:val="22"/>
      <w:szCs w:val="22"/>
      <w:lang w:eastAsia="zh-CN"/>
    </w:rPr>
  </w:style>
  <w:style w:type="paragraph" w:customStyle="1" w:styleId="5GAParaResolution">
    <w:name w:val="5GA Para Resolution"/>
    <w:basedOn w:val="Normal"/>
    <w:qFormat/>
    <w:rsid w:val="00E74685"/>
    <w:pPr>
      <w:autoSpaceDE w:val="0"/>
      <w:autoSpaceDN w:val="0"/>
      <w:adjustRightInd w:val="0"/>
      <w:spacing w:after="120"/>
      <w:ind w:left="1134" w:hanging="567"/>
      <w:jc w:val="both"/>
    </w:pPr>
    <w:rPr>
      <w:rFonts w:ascii="Arial" w:eastAsia="SimSun" w:hAnsi="Arial" w:cs="Arial"/>
      <w:sz w:val="22"/>
      <w:szCs w:val="22"/>
      <w:lang w:val="en-GB"/>
    </w:rPr>
  </w:style>
  <w:style w:type="character" w:styleId="CommentReference">
    <w:name w:val="annotation reference"/>
    <w:basedOn w:val="DefaultParagraphFont"/>
    <w:uiPriority w:val="99"/>
    <w:semiHidden/>
    <w:unhideWhenUsed/>
    <w:rsid w:val="00E74685"/>
    <w:rPr>
      <w:sz w:val="16"/>
      <w:szCs w:val="16"/>
    </w:rPr>
  </w:style>
  <w:style w:type="paragraph" w:styleId="CommentText">
    <w:name w:val="annotation text"/>
    <w:basedOn w:val="Normal"/>
    <w:link w:val="CommentTextChar"/>
    <w:uiPriority w:val="99"/>
    <w:semiHidden/>
    <w:unhideWhenUsed/>
    <w:rsid w:val="00E74685"/>
    <w:rPr>
      <w:sz w:val="20"/>
      <w:szCs w:val="20"/>
    </w:rPr>
  </w:style>
  <w:style w:type="character" w:customStyle="1" w:styleId="CommentTextChar">
    <w:name w:val="Comment Text Char"/>
    <w:basedOn w:val="DefaultParagraphFont"/>
    <w:link w:val="CommentText"/>
    <w:uiPriority w:val="99"/>
    <w:semiHidden/>
    <w:rsid w:val="00E74685"/>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E74685"/>
    <w:rPr>
      <w:b/>
      <w:bCs/>
    </w:rPr>
  </w:style>
  <w:style w:type="character" w:customStyle="1" w:styleId="CommentSubjectChar">
    <w:name w:val="Comment Subject Char"/>
    <w:basedOn w:val="CommentTextChar"/>
    <w:link w:val="CommentSubject"/>
    <w:uiPriority w:val="99"/>
    <w:semiHidden/>
    <w:rsid w:val="00E74685"/>
    <w:rPr>
      <w:rFonts w:ascii="Times New Roman" w:eastAsia="Times New Roman" w:hAnsi="Times New Roman"/>
      <w:b/>
      <w:bCs/>
      <w:lang w:val="fr-FR" w:eastAsia="fr-FR"/>
    </w:rPr>
  </w:style>
  <w:style w:type="paragraph" w:customStyle="1" w:styleId="COMParaDecision">
    <w:name w:val="COM Para Decision"/>
    <w:basedOn w:val="Normal"/>
    <w:qFormat/>
    <w:rsid w:val="00E74685"/>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5GATitleResolution">
    <w:name w:val="5GA Title Resolution"/>
    <w:basedOn w:val="Normal"/>
    <w:qFormat/>
    <w:rsid w:val="00E74685"/>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E74685"/>
    <w:pPr>
      <w:keepNext/>
      <w:spacing w:after="120"/>
      <w:ind w:left="567"/>
      <w:jc w:val="both"/>
    </w:pPr>
    <w:rPr>
      <w:rFonts w:ascii="Arial"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en/Decisions/8.COM/7.c" TargetMode="External"/><Relationship Id="rId18" Type="http://schemas.openxmlformats.org/officeDocument/2006/relationships/hyperlink" Target="http://www.unesco.org/culture/ich/en/Decisions/8.COM/11"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unesco.org/culture/ich/en/d%C3%A9cisions/9.COM/7?dec=decisions&amp;ref_decision=9.COM" TargetMode="External"/><Relationship Id="rId17" Type="http://schemas.openxmlformats.org/officeDocument/2006/relationships/hyperlink" Target="http://www.unesco.org/culture/ich/doc/src/ITH-14-9.COM-Decisions-EN.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esco.org/culture/ich/en/Decisions/10.COM/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doc/src/ITH-14-5.GA-Resolutions-RU__.doc"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esco.org/culture/ich/en/Decisions/10.COM/8" TargetMode="External"/><Relationship Id="rId23" Type="http://schemas.openxmlformats.org/officeDocument/2006/relationships/header" Target="header4.xml"/><Relationship Id="rId10" Type="http://schemas.openxmlformats.org/officeDocument/2006/relationships/hyperlink" Target="http://unesdoc.unesco.org/images/0021/002150/215084r.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esco.org/culture/ich/en/Decisions/10.COM/8" TargetMode="External"/><Relationship Id="rId14" Type="http://schemas.openxmlformats.org/officeDocument/2006/relationships/hyperlink" Target="http://www.unesco.org/culture/ich/en/Decisions/10.COM/8" TargetMode="External"/><Relationship Id="rId22" Type="http://schemas.openxmlformats.org/officeDocument/2006/relationships/hyperlink" Target="http://www.unesco.org/culture/ich/en/Decisions/10.COM/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84BE3-3612-47EA-A9F6-CD3887DD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23AF3FA0.dotm</Template>
  <TotalTime>0</TotalTime>
  <Pages>9</Pages>
  <Words>4812</Words>
  <Characters>26469</Characters>
  <Application>Microsoft Office Word</Application>
  <DocSecurity>0</DocSecurity>
  <Lines>220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UNESCO</dc:creator>
  <cp:lastModifiedBy>Elena Constantinou</cp:lastModifiedBy>
  <cp:revision>2</cp:revision>
  <cp:lastPrinted>2011-08-06T09:22:00Z</cp:lastPrinted>
  <dcterms:created xsi:type="dcterms:W3CDTF">2016-04-29T14:46:00Z</dcterms:created>
  <dcterms:modified xsi:type="dcterms:W3CDTF">2016-04-29T14:46:00Z</dcterms:modified>
</cp:coreProperties>
</file>