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40BB9" w14:textId="77777777" w:rsidR="00655736" w:rsidRPr="007D0D5E" w:rsidRDefault="00655736" w:rsidP="00655736">
      <w:pPr>
        <w:spacing w:before="1440"/>
        <w:jc w:val="center"/>
        <w:rPr>
          <w:rFonts w:ascii="Arial" w:hAnsi="Arial" w:cs="Arial"/>
          <w:b/>
          <w:sz w:val="22"/>
          <w:szCs w:val="22"/>
        </w:rPr>
      </w:pPr>
      <w:r w:rsidRPr="007D0D5E">
        <w:rPr>
          <w:rFonts w:ascii="Arial" w:hAnsi="Arial" w:cs="Arial"/>
          <w:b/>
          <w:sz w:val="22"/>
        </w:rPr>
        <w:t xml:space="preserve">CONVENCIÓN PARA LA SALVAGUARDIA DEL </w:t>
      </w:r>
      <w:r w:rsidRPr="007D0D5E">
        <w:rPr>
          <w:rFonts w:ascii="Arial" w:hAnsi="Arial" w:cs="Arial"/>
          <w:b/>
          <w:sz w:val="22"/>
          <w:szCs w:val="22"/>
        </w:rPr>
        <w:br/>
      </w:r>
      <w:r w:rsidRPr="007D0D5E">
        <w:rPr>
          <w:rFonts w:ascii="Arial" w:hAnsi="Arial" w:cs="Arial"/>
          <w:b/>
          <w:sz w:val="22"/>
        </w:rPr>
        <w:t>PATRIMONIO CULTURAL INMATERIAL</w:t>
      </w:r>
    </w:p>
    <w:p w14:paraId="01226ADD" w14:textId="687277E7" w:rsidR="00655736" w:rsidRPr="007D0D5E" w:rsidRDefault="00D95C4C" w:rsidP="00655736">
      <w:pPr>
        <w:spacing w:before="1200"/>
        <w:jc w:val="center"/>
        <w:rPr>
          <w:rFonts w:ascii="Arial" w:hAnsi="Arial" w:cs="Arial"/>
          <w:b/>
          <w:sz w:val="22"/>
          <w:szCs w:val="22"/>
        </w:rPr>
      </w:pPr>
      <w:r w:rsidRPr="007D0D5E">
        <w:rPr>
          <w:rFonts w:ascii="Arial" w:hAnsi="Arial" w:cs="Arial"/>
          <w:b/>
          <w:sz w:val="22"/>
        </w:rPr>
        <w:t>ASAMBLEA GENERAL DE</w:t>
      </w:r>
      <w:r w:rsidRPr="00DF393C">
        <w:rPr>
          <w:rFonts w:ascii="Arial" w:hAnsi="Arial" w:cs="Arial"/>
          <w:b/>
        </w:rPr>
        <w:t xml:space="preserve"> ESTADOS PARTES EN LA CONVENCIÓN</w:t>
      </w:r>
    </w:p>
    <w:p w14:paraId="206A4BAC" w14:textId="77777777" w:rsidR="00D95C4C" w:rsidRPr="007D0D5E" w:rsidRDefault="00763A0D" w:rsidP="00D95C4C">
      <w:pPr>
        <w:spacing w:before="840"/>
        <w:jc w:val="center"/>
        <w:rPr>
          <w:rFonts w:ascii="Arial" w:hAnsi="Arial" w:cs="Arial"/>
          <w:b/>
          <w:sz w:val="22"/>
          <w:szCs w:val="22"/>
        </w:rPr>
      </w:pPr>
      <w:r w:rsidRPr="004951B4">
        <w:rPr>
          <w:rFonts w:ascii="Arial" w:hAnsi="Arial" w:cs="Arial"/>
          <w:b/>
          <w:sz w:val="22"/>
        </w:rPr>
        <w:t>Sexta reunión</w:t>
      </w:r>
    </w:p>
    <w:p w14:paraId="28E5BF7B" w14:textId="77777777" w:rsidR="00D95C4C" w:rsidRPr="007D0D5E" w:rsidRDefault="00D95C4C" w:rsidP="00D95C4C">
      <w:pPr>
        <w:jc w:val="center"/>
        <w:rPr>
          <w:rFonts w:ascii="Arial" w:hAnsi="Arial" w:cs="Arial"/>
          <w:b/>
          <w:sz w:val="22"/>
          <w:szCs w:val="22"/>
        </w:rPr>
      </w:pPr>
      <w:r w:rsidRPr="004951B4">
        <w:rPr>
          <w:rFonts w:ascii="Arial" w:hAnsi="Arial" w:cs="Arial"/>
          <w:b/>
          <w:sz w:val="22"/>
        </w:rPr>
        <w:t>Sede de la UNESCO, Sala II</w:t>
      </w:r>
    </w:p>
    <w:p w14:paraId="10EFA74B" w14:textId="7770BD05" w:rsidR="00655736" w:rsidRPr="007D0D5E" w:rsidRDefault="00763A0D" w:rsidP="00D95C4C">
      <w:pPr>
        <w:jc w:val="center"/>
        <w:rPr>
          <w:rFonts w:ascii="Arial" w:hAnsi="Arial" w:cs="Arial"/>
          <w:b/>
          <w:sz w:val="22"/>
          <w:szCs w:val="22"/>
        </w:rPr>
      </w:pPr>
      <w:r w:rsidRPr="004951B4">
        <w:rPr>
          <w:rFonts w:ascii="Arial" w:hAnsi="Arial" w:cs="Arial"/>
          <w:b/>
          <w:sz w:val="22"/>
        </w:rPr>
        <w:t xml:space="preserve">30 de </w:t>
      </w:r>
      <w:r w:rsidR="007D0D5E" w:rsidRPr="007D0D5E">
        <w:rPr>
          <w:rFonts w:ascii="Arial" w:hAnsi="Arial" w:cs="Arial"/>
          <w:b/>
          <w:sz w:val="22"/>
        </w:rPr>
        <w:t>m</w:t>
      </w:r>
      <w:r w:rsidR="007D0D5E" w:rsidRPr="004951B4">
        <w:rPr>
          <w:rFonts w:ascii="Arial" w:hAnsi="Arial" w:cs="Arial"/>
          <w:b/>
          <w:sz w:val="22"/>
        </w:rPr>
        <w:t xml:space="preserve">ayo </w:t>
      </w:r>
      <w:r w:rsidRPr="004951B4">
        <w:rPr>
          <w:rFonts w:ascii="Arial" w:hAnsi="Arial" w:cs="Arial"/>
          <w:b/>
          <w:sz w:val="22"/>
        </w:rPr>
        <w:t xml:space="preserve">a 1 de </w:t>
      </w:r>
      <w:r w:rsidR="001841BA">
        <w:rPr>
          <w:rFonts w:ascii="Arial" w:hAnsi="Arial" w:cs="Arial"/>
          <w:b/>
          <w:sz w:val="22"/>
        </w:rPr>
        <w:t>junio</w:t>
      </w:r>
      <w:r w:rsidR="001841BA" w:rsidRPr="007D0D5E">
        <w:rPr>
          <w:rFonts w:ascii="Arial" w:hAnsi="Arial" w:cs="Arial"/>
          <w:b/>
          <w:sz w:val="22"/>
        </w:rPr>
        <w:t xml:space="preserve"> </w:t>
      </w:r>
      <w:r w:rsidRPr="004951B4">
        <w:rPr>
          <w:rFonts w:ascii="Arial" w:hAnsi="Arial" w:cs="Arial"/>
          <w:b/>
          <w:sz w:val="22"/>
        </w:rPr>
        <w:t>de 2016</w:t>
      </w:r>
    </w:p>
    <w:p w14:paraId="54F19CA8" w14:textId="5F45A0B8" w:rsidR="00655736" w:rsidRPr="007D0D5E" w:rsidRDefault="00655736" w:rsidP="00655736">
      <w:pPr>
        <w:pStyle w:val="Sansinterligne2"/>
        <w:spacing w:before="1200"/>
        <w:jc w:val="center"/>
        <w:rPr>
          <w:rFonts w:ascii="Arial" w:hAnsi="Arial" w:cs="Arial"/>
          <w:b/>
          <w:sz w:val="22"/>
          <w:szCs w:val="22"/>
        </w:rPr>
      </w:pPr>
      <w:r w:rsidRPr="004951B4">
        <w:rPr>
          <w:rFonts w:ascii="Arial" w:hAnsi="Arial" w:cs="Arial"/>
          <w:b/>
          <w:sz w:val="22"/>
          <w:u w:val="single"/>
        </w:rPr>
        <w:t xml:space="preserve">Punto 9 del </w:t>
      </w:r>
      <w:r w:rsidR="007D0D5E" w:rsidRPr="007D0D5E">
        <w:rPr>
          <w:rFonts w:ascii="Arial" w:hAnsi="Arial" w:cs="Arial"/>
          <w:b/>
          <w:sz w:val="22"/>
          <w:u w:val="single"/>
        </w:rPr>
        <w:t>o</w:t>
      </w:r>
      <w:r w:rsidR="007D0D5E" w:rsidRPr="004951B4">
        <w:rPr>
          <w:rFonts w:ascii="Arial" w:hAnsi="Arial" w:cs="Arial"/>
          <w:b/>
          <w:sz w:val="22"/>
          <w:u w:val="single"/>
        </w:rPr>
        <w:t xml:space="preserve">rden </w:t>
      </w:r>
      <w:r w:rsidRPr="004951B4">
        <w:rPr>
          <w:rFonts w:ascii="Arial" w:hAnsi="Arial" w:cs="Arial"/>
          <w:b/>
          <w:sz w:val="22"/>
          <w:u w:val="single"/>
        </w:rPr>
        <w:t xml:space="preserve">del </w:t>
      </w:r>
      <w:r w:rsidR="007D0D5E" w:rsidRPr="007D0D5E">
        <w:rPr>
          <w:rFonts w:ascii="Arial" w:hAnsi="Arial" w:cs="Arial"/>
          <w:b/>
          <w:sz w:val="22"/>
          <w:u w:val="single"/>
        </w:rPr>
        <w:t>d</w:t>
      </w:r>
      <w:r w:rsidR="007D0D5E" w:rsidRPr="004951B4">
        <w:rPr>
          <w:rFonts w:ascii="Arial" w:hAnsi="Arial" w:cs="Arial"/>
          <w:b/>
          <w:sz w:val="22"/>
          <w:u w:val="single"/>
        </w:rPr>
        <w:t xml:space="preserve">ía </w:t>
      </w:r>
      <w:r w:rsidR="007D0D5E" w:rsidRPr="007D0D5E">
        <w:rPr>
          <w:rFonts w:ascii="Arial" w:hAnsi="Arial" w:cs="Arial"/>
          <w:b/>
          <w:sz w:val="22"/>
          <w:u w:val="single"/>
        </w:rPr>
        <w:t>p</w:t>
      </w:r>
      <w:r w:rsidR="007D0D5E" w:rsidRPr="004951B4">
        <w:rPr>
          <w:rFonts w:ascii="Arial" w:hAnsi="Arial" w:cs="Arial"/>
          <w:b/>
          <w:sz w:val="22"/>
          <w:u w:val="single"/>
        </w:rPr>
        <w:t>rovisional</w:t>
      </w:r>
      <w:r w:rsidRPr="004951B4">
        <w:rPr>
          <w:rFonts w:ascii="Arial" w:hAnsi="Arial" w:cs="Arial"/>
          <w:b/>
          <w:sz w:val="22"/>
          <w:u w:val="single"/>
        </w:rPr>
        <w:t>:</w:t>
      </w:r>
    </w:p>
    <w:p w14:paraId="5413C843" w14:textId="77777777" w:rsidR="002F312A" w:rsidRPr="007D0D5E" w:rsidRDefault="003D5AD2" w:rsidP="002F312A">
      <w:pPr>
        <w:pStyle w:val="Sansinterligne2"/>
        <w:spacing w:after="1200"/>
        <w:jc w:val="center"/>
        <w:rPr>
          <w:rFonts w:ascii="Arial" w:hAnsi="Arial" w:cs="Arial"/>
          <w:b/>
          <w:sz w:val="22"/>
          <w:szCs w:val="22"/>
        </w:rPr>
      </w:pPr>
      <w:r w:rsidRPr="004951B4">
        <w:rPr>
          <w:rFonts w:ascii="Arial" w:hAnsi="Arial" w:cs="Arial"/>
          <w:b/>
          <w:sz w:val="22"/>
        </w:rPr>
        <w:t>Utilización de los recursos del Fondo del Patrimonio Cultural Inmaterial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7D0D5E" w14:paraId="0AC767B6" w14:textId="77777777" w:rsidTr="002F312A">
        <w:trPr>
          <w:jc w:val="center"/>
        </w:trPr>
        <w:tc>
          <w:tcPr>
            <w:tcW w:w="5670" w:type="dxa"/>
            <w:vAlign w:val="center"/>
          </w:tcPr>
          <w:p w14:paraId="15F691CD" w14:textId="77777777" w:rsidR="0057439C" w:rsidRPr="007D0D5E" w:rsidRDefault="0057439C" w:rsidP="005B7A35">
            <w:pPr>
              <w:pStyle w:val="Sansinterligne1"/>
              <w:spacing w:before="200" w:after="200"/>
              <w:jc w:val="center"/>
              <w:rPr>
                <w:rFonts w:ascii="Arial" w:hAnsi="Arial" w:cs="Arial"/>
                <w:b/>
                <w:sz w:val="22"/>
                <w:szCs w:val="22"/>
              </w:rPr>
            </w:pPr>
            <w:r w:rsidRPr="004951B4">
              <w:rPr>
                <w:rFonts w:ascii="Arial" w:hAnsi="Arial" w:cs="Arial"/>
                <w:b/>
                <w:sz w:val="22"/>
              </w:rPr>
              <w:t>Resumen</w:t>
            </w:r>
          </w:p>
          <w:p w14:paraId="2F4428AF" w14:textId="5024074B" w:rsidR="003D5AD2" w:rsidRPr="007D0D5E" w:rsidRDefault="003D5AD2" w:rsidP="005B7A35">
            <w:pPr>
              <w:pStyle w:val="Sansinterligne2"/>
              <w:spacing w:after="120"/>
              <w:jc w:val="both"/>
              <w:rPr>
                <w:rFonts w:ascii="Arial" w:hAnsi="Arial" w:cs="Arial"/>
                <w:sz w:val="22"/>
                <w:szCs w:val="22"/>
              </w:rPr>
            </w:pPr>
            <w:r w:rsidRPr="004951B4">
              <w:rPr>
                <w:rFonts w:ascii="Arial" w:hAnsi="Arial" w:cs="Arial"/>
                <w:sz w:val="22"/>
              </w:rPr>
              <w:t xml:space="preserve">El </w:t>
            </w:r>
            <w:r w:rsidR="007D0D5E" w:rsidRPr="007D0D5E">
              <w:rPr>
                <w:rFonts w:ascii="Arial" w:hAnsi="Arial" w:cs="Arial"/>
                <w:sz w:val="22"/>
              </w:rPr>
              <w:t>artículo </w:t>
            </w:r>
            <w:r w:rsidRPr="004951B4">
              <w:rPr>
                <w:rFonts w:ascii="Arial" w:hAnsi="Arial" w:cs="Arial"/>
                <w:sz w:val="22"/>
              </w:rPr>
              <w:t xml:space="preserve">7(c) de la Convención establece que el Comité debe preparar un proyecto de utilización de los recursos del Fondo y someterlo a la aprobación de la Asamblea General. Este documento presenta el proyecto </w:t>
            </w:r>
            <w:r w:rsidRPr="00CA2BB9">
              <w:rPr>
                <w:rFonts w:ascii="Arial" w:hAnsi="Arial" w:cs="Arial"/>
                <w:sz w:val="22"/>
              </w:rPr>
              <w:t>recomendado por el Comité para el periodo 2016-2017 y el primer semestre de 2018 (Anexo I).</w:t>
            </w:r>
          </w:p>
          <w:p w14:paraId="64D998CA" w14:textId="725166A1" w:rsidR="00655736" w:rsidRPr="007D0D5E" w:rsidRDefault="0057439C" w:rsidP="005B7A35">
            <w:pPr>
              <w:pStyle w:val="Sansinterligne2"/>
              <w:spacing w:after="120"/>
              <w:jc w:val="both"/>
              <w:rPr>
                <w:rFonts w:ascii="Arial" w:hAnsi="Arial" w:cs="Arial"/>
                <w:b/>
                <w:sz w:val="22"/>
                <w:szCs w:val="22"/>
              </w:rPr>
            </w:pPr>
            <w:r w:rsidRPr="004951B4">
              <w:rPr>
                <w:rFonts w:ascii="Arial" w:hAnsi="Arial" w:cs="Arial"/>
                <w:b/>
                <w:sz w:val="22"/>
              </w:rPr>
              <w:t xml:space="preserve">Decisión requerida: </w:t>
            </w:r>
            <w:r w:rsidRPr="004951B4">
              <w:rPr>
                <w:rFonts w:ascii="Arial" w:hAnsi="Arial" w:cs="Arial"/>
                <w:sz w:val="22"/>
              </w:rPr>
              <w:t xml:space="preserve">párrafo </w:t>
            </w:r>
            <w:r w:rsidRPr="00DF393C">
              <w:rPr>
                <w:rFonts w:ascii="Arial" w:hAnsi="Arial" w:cs="Arial"/>
                <w:sz w:val="22"/>
              </w:rPr>
              <w:t>25</w:t>
            </w:r>
          </w:p>
        </w:tc>
      </w:tr>
    </w:tbl>
    <w:p w14:paraId="1EE25AEE" w14:textId="77777777" w:rsidR="00176720" w:rsidRPr="007D0D5E" w:rsidRDefault="00655736" w:rsidP="00176720">
      <w:pPr>
        <w:pStyle w:val="GAPara"/>
        <w:jc w:val="both"/>
      </w:pPr>
      <w:r w:rsidRPr="007D0D5E">
        <w:br w:type="page"/>
      </w:r>
    </w:p>
    <w:p w14:paraId="6CC71D92" w14:textId="05B8B7AF" w:rsidR="00176720" w:rsidRPr="007D0D5E" w:rsidRDefault="003D5AD2" w:rsidP="00490911">
      <w:pPr>
        <w:pStyle w:val="5GAparabodytext"/>
      </w:pPr>
      <w:r w:rsidRPr="007D0D5E">
        <w:lastRenderedPageBreak/>
        <w:t xml:space="preserve">El </w:t>
      </w:r>
      <w:r w:rsidR="007D0D5E" w:rsidRPr="007D0D5E">
        <w:t>artículo</w:t>
      </w:r>
      <w:r w:rsidRPr="007D0D5E">
        <w:t xml:space="preserve">7(c) de la Convención solicita al Comité «preparar </w:t>
      </w:r>
      <w:r w:rsidR="007D0D5E" w:rsidRPr="007D0D5E">
        <w:t xml:space="preserve">y someter a la aprobación de la Asamblea General </w:t>
      </w:r>
      <w:r w:rsidRPr="007D0D5E">
        <w:t>un proyecto de utilización de los recursos del Fondo [del Patrimonio Cultural Inmaterial]</w:t>
      </w:r>
      <w:r w:rsidR="007D0D5E" w:rsidRPr="007D0D5E">
        <w:t>, de conformidad con</w:t>
      </w:r>
      <w:r w:rsidRPr="007D0D5E">
        <w:t xml:space="preserve"> el </w:t>
      </w:r>
      <w:r w:rsidR="007D0D5E" w:rsidRPr="007D0D5E">
        <w:t>artículo</w:t>
      </w:r>
      <w:r w:rsidRPr="007D0D5E">
        <w:t xml:space="preserve"> 25». El </w:t>
      </w:r>
      <w:r w:rsidR="007D0D5E" w:rsidRPr="007D0D5E">
        <w:t>artículo</w:t>
      </w:r>
      <w:r w:rsidRPr="007D0D5E">
        <w:t xml:space="preserve"> 25.4 de la Convención estipula que el uso de los recursos del Fondo por parte del Comité «se decidirá a tenor de las </w:t>
      </w:r>
      <w:r w:rsidR="007D0D5E" w:rsidRPr="007D0D5E">
        <w:t xml:space="preserve">orientaciones </w:t>
      </w:r>
      <w:r w:rsidRPr="007D0D5E">
        <w:t xml:space="preserve">que formule al respecto la Asamblea General». Esas orientaciones fueron aprobadas por la Asamblea General de los Estados Partes en su segunda reunión en 2008 y figuran en el Capítulo II.1 de las Directrices Operativas para la aplicación de la Convención. El proyecto presentado por el Comité en su </w:t>
      </w:r>
      <w:hyperlink r:id="rId9" w:history="1">
        <w:r w:rsidR="007D0D5E" w:rsidRPr="007D0D5E">
          <w:rPr>
            <w:rStyle w:val="Hyperlink"/>
          </w:rPr>
          <w:t>d</w:t>
        </w:r>
        <w:r w:rsidR="007D0D5E" w:rsidRPr="00DF393C">
          <w:rPr>
            <w:rStyle w:val="Hyperlink"/>
          </w:rPr>
          <w:t>ecisión</w:t>
        </w:r>
        <w:r w:rsidR="007D0D5E" w:rsidRPr="007D0D5E">
          <w:rPr>
            <w:rStyle w:val="Hyperlink"/>
          </w:rPr>
          <w:t> </w:t>
        </w:r>
        <w:r w:rsidRPr="00DF393C">
          <w:rPr>
            <w:rStyle w:val="Hyperlink"/>
          </w:rPr>
          <w:t>10.COM 8</w:t>
        </w:r>
      </w:hyperlink>
      <w:r w:rsidRPr="007D0D5E">
        <w:t xml:space="preserve">, anexo a este documento, fue preparado siguiendo estas </w:t>
      </w:r>
      <w:r w:rsidR="007D0D5E" w:rsidRPr="007D0D5E">
        <w:t xml:space="preserve">orientaciones </w:t>
      </w:r>
      <w:r w:rsidRPr="007D0D5E">
        <w:t xml:space="preserve">y se basó en la experiencia de la </w:t>
      </w:r>
      <w:r w:rsidR="007D0D5E" w:rsidRPr="007D0D5E">
        <w:t xml:space="preserve">ejecución </w:t>
      </w:r>
      <w:r w:rsidRPr="007D0D5E">
        <w:t xml:space="preserve">del </w:t>
      </w:r>
      <w:r w:rsidR="007D0D5E" w:rsidRPr="007D0D5E">
        <w:t xml:space="preserve">Plan </w:t>
      </w:r>
      <w:r w:rsidRPr="007D0D5E">
        <w:t xml:space="preserve">en los periodos 2012-2013 y 2014-2015. El informe financiero para el periodo comprendido entre el 1 de </w:t>
      </w:r>
      <w:r w:rsidR="007D0D5E" w:rsidRPr="007D0D5E">
        <w:t>enero</w:t>
      </w:r>
      <w:r w:rsidRPr="007D0D5E">
        <w:t xml:space="preserve"> de 2014 y el 31 de </w:t>
      </w:r>
      <w:r w:rsidR="007D0D5E" w:rsidRPr="007D0D5E">
        <w:t>diciembre</w:t>
      </w:r>
      <w:r w:rsidRPr="007D0D5E">
        <w:t xml:space="preserve"> de 2015 se encuentra disponible en el documento </w:t>
      </w:r>
      <w:r w:rsidRPr="00DF393C">
        <w:t>ITH/16/6.GA/INF.9.1</w:t>
      </w:r>
      <w:r w:rsidRPr="007D0D5E">
        <w:t>, junto a una nota explicativa.</w:t>
      </w:r>
    </w:p>
    <w:p w14:paraId="2DC66453" w14:textId="112E604F" w:rsidR="003D5AD2" w:rsidRPr="007D0D5E" w:rsidRDefault="003D5AD2" w:rsidP="00A53E7F">
      <w:pPr>
        <w:pStyle w:val="5GAparabodytext"/>
      </w:pPr>
      <w:r w:rsidRPr="007D0D5E">
        <w:t>A pesar de que los programas de la UNESCO se definen por ciclos cuatrienales, la Conferencia General decidió (</w:t>
      </w:r>
      <w:hyperlink r:id="rId10">
        <w:r w:rsidRPr="007D0D5E">
          <w:rPr>
            <w:rStyle w:val="Hyperlink"/>
          </w:rPr>
          <w:t>36 C/Resolución 105</w:t>
        </w:r>
      </w:hyperlink>
      <w:r w:rsidRPr="007D0D5E">
        <w:t xml:space="preserve">) mantener el ciclo bienal para la consignación del presupuesto. Por ende, el presupuesto de la </w:t>
      </w:r>
      <w:r w:rsidR="001841BA">
        <w:t>O</w:t>
      </w:r>
      <w:r w:rsidR="001841BA" w:rsidRPr="007D0D5E">
        <w:t xml:space="preserve">rganización </w:t>
      </w:r>
      <w:r w:rsidRPr="007D0D5E">
        <w:t xml:space="preserve">sigue siendo aprobado por la Conferencia General al final de los años impares y se aplica durante dos años consecutivos comenzando el 1 de </w:t>
      </w:r>
      <w:r w:rsidR="007D0D5E" w:rsidRPr="007D0D5E">
        <w:t>enero</w:t>
      </w:r>
      <w:r w:rsidRPr="007D0D5E">
        <w:t xml:space="preserve"> de un año par, finalizando el 31 de </w:t>
      </w:r>
      <w:r w:rsidR="007D0D5E" w:rsidRPr="007D0D5E">
        <w:t>diciembre</w:t>
      </w:r>
      <w:r w:rsidRPr="007D0D5E">
        <w:t xml:space="preserve"> del siguiente año impar. Según lo establecido por el </w:t>
      </w:r>
      <w:r w:rsidR="007D0D5E" w:rsidRPr="007D0D5E">
        <w:t>artículo</w:t>
      </w:r>
      <w:r w:rsidRPr="007D0D5E">
        <w:t xml:space="preserve"> 2 del Reglamento Financiero, el Fondo opera en el mismo ejercicio </w:t>
      </w:r>
      <w:r w:rsidR="001841BA">
        <w:t>financiero</w:t>
      </w:r>
      <w:r w:rsidRPr="007D0D5E">
        <w:t xml:space="preserve">. Ahora bien, </w:t>
      </w:r>
      <w:r w:rsidR="001841BA">
        <w:t xml:space="preserve">surge una complicación debido a que </w:t>
      </w:r>
      <w:r w:rsidRPr="007D0D5E">
        <w:t>la Asamblea General de los Estados Partes en la Convención celebra reuniones ordinarias los años pares, unos seis meses después del inicio del ejercicio financiero de la UNESCO.</w:t>
      </w:r>
    </w:p>
    <w:p w14:paraId="2F03886A" w14:textId="43023E4E" w:rsidR="00C923AD" w:rsidRPr="007D0D5E" w:rsidRDefault="00F22DE5" w:rsidP="004E5075">
      <w:pPr>
        <w:pStyle w:val="5GAparabodytext"/>
      </w:pPr>
      <w:r w:rsidRPr="007D0D5E">
        <w:t xml:space="preserve">En consecuencia, se solicita a la Asamblea General en su sexta reunión en </w:t>
      </w:r>
      <w:r w:rsidR="001841BA">
        <w:t>junio</w:t>
      </w:r>
      <w:r w:rsidRPr="007D0D5E">
        <w:t xml:space="preserve"> de 2016, aprobar un plan para el uso de los recursos del Fondo que abarque 24 meses desde el 1 de </w:t>
      </w:r>
      <w:r w:rsidR="007D0D5E" w:rsidRPr="007D0D5E">
        <w:t>enero</w:t>
      </w:r>
      <w:r w:rsidRPr="007D0D5E">
        <w:t xml:space="preserve"> de 2016 al 31 de </w:t>
      </w:r>
      <w:r w:rsidR="007D0D5E" w:rsidRPr="007D0D5E">
        <w:t>diciembre</w:t>
      </w:r>
      <w:r w:rsidRPr="007D0D5E">
        <w:t xml:space="preserve"> de 2017 y, con carácter provisional, los seis primeros meses del siguiente ejercicio </w:t>
      </w:r>
      <w:r w:rsidR="001841BA">
        <w:t>financiero</w:t>
      </w:r>
      <w:r w:rsidRPr="007D0D5E">
        <w:t xml:space="preserve">, p. ej. desde el 1 de </w:t>
      </w:r>
      <w:r w:rsidR="007D0D5E" w:rsidRPr="007D0D5E">
        <w:t>enero</w:t>
      </w:r>
      <w:r w:rsidRPr="007D0D5E">
        <w:t xml:space="preserve"> al 30 de </w:t>
      </w:r>
      <w:r w:rsidR="001841BA">
        <w:t>junio</w:t>
      </w:r>
      <w:r w:rsidRPr="007D0D5E">
        <w:t xml:space="preserve"> de 2018, precediendo la séptima reunión de la Asamblea General. El presupuesto provisional para el primer semestre de 2016 adoptado en la quinta reunión de la Asamblea General (</w:t>
      </w:r>
      <w:hyperlink r:id="rId11">
        <w:r w:rsidRPr="007D0D5E">
          <w:rPr>
            <w:rStyle w:val="Hyperlink"/>
          </w:rPr>
          <w:t>Resolución 5.GA 7</w:t>
        </w:r>
      </w:hyperlink>
      <w:r w:rsidRPr="007D0D5E">
        <w:t xml:space="preserve">) será suplantado por el presente </w:t>
      </w:r>
      <w:r w:rsidR="001841BA">
        <w:t>P</w:t>
      </w:r>
      <w:r w:rsidR="001841BA" w:rsidRPr="007D0D5E">
        <w:t xml:space="preserve">lan </w:t>
      </w:r>
      <w:r w:rsidRPr="007D0D5E">
        <w:t>una vez que sea adoptado en la sexta reunión de la Asamblea General.</w:t>
      </w:r>
    </w:p>
    <w:p w14:paraId="35951031" w14:textId="0EFA4EBA" w:rsidR="00F22DE5" w:rsidRPr="007D0D5E" w:rsidRDefault="00F22DE5" w:rsidP="004E5075">
      <w:pPr>
        <w:pStyle w:val="5GAparabodytext"/>
      </w:pPr>
      <w:r w:rsidRPr="007D0D5E">
        <w:t xml:space="preserve">El </w:t>
      </w:r>
      <w:r w:rsidR="00F91CB1">
        <w:t>proyecto</w:t>
      </w:r>
      <w:r w:rsidRPr="007D0D5E">
        <w:t xml:space="preserve"> presentado por el Comité se basa en </w:t>
      </w:r>
      <w:r w:rsidR="00CE1C6A">
        <w:t>el saldo de libre disposición</w:t>
      </w:r>
      <w:r w:rsidRPr="007D0D5E">
        <w:t xml:space="preserve"> </w:t>
      </w:r>
      <w:r w:rsidR="00CE1C6A">
        <w:t>el</w:t>
      </w:r>
      <w:r w:rsidR="00CE1C6A" w:rsidRPr="007D0D5E">
        <w:t xml:space="preserve"> </w:t>
      </w:r>
      <w:r w:rsidRPr="007D0D5E">
        <w:t xml:space="preserve">31 de </w:t>
      </w:r>
      <w:r w:rsidR="007D0D5E" w:rsidRPr="007D0D5E">
        <w:t>diciembre</w:t>
      </w:r>
      <w:r w:rsidRPr="007D0D5E">
        <w:t xml:space="preserve"> de 2015 (</w:t>
      </w:r>
      <w:r w:rsidRPr="00DF393C">
        <w:t>7</w:t>
      </w:r>
      <w:r w:rsidR="00A279B9">
        <w:t>. </w:t>
      </w:r>
      <w:r w:rsidR="00A279B9" w:rsidRPr="00DF393C">
        <w:t>977</w:t>
      </w:r>
      <w:r w:rsidR="00A279B9">
        <w:t>.</w:t>
      </w:r>
      <w:r w:rsidRPr="00DF393C">
        <w:t>920</w:t>
      </w:r>
      <w:r w:rsidR="00A279B9">
        <w:t> dólares</w:t>
      </w:r>
      <w:r w:rsidRPr="007D0D5E">
        <w:t xml:space="preserve">). </w:t>
      </w:r>
      <w:r w:rsidRPr="007D0D5E">
        <w:rPr>
          <w:rStyle w:val="hps"/>
        </w:rPr>
        <w:t>E</w:t>
      </w:r>
      <w:r w:rsidRPr="007D0D5E">
        <w:t xml:space="preserve">ste monto total excluye tres tipos de fondos de uso restringido: en primer lugar, el Fondo de Reserva que está destinado a la asistencia internacional de urgencia (ver </w:t>
      </w:r>
      <w:r w:rsidR="007D0D5E" w:rsidRPr="007D0D5E">
        <w:t>artículo</w:t>
      </w:r>
      <w:r w:rsidRPr="007D0D5E">
        <w:t xml:space="preserve"> 6 del Reglamento Financiero del Fondo); luego están las contribuciones reservadas para fines específicos, ligados a proyectos concretos (ver el </w:t>
      </w:r>
      <w:r w:rsidR="007D0D5E" w:rsidRPr="007D0D5E">
        <w:t>artículo</w:t>
      </w:r>
      <w:r w:rsidRPr="007D0D5E">
        <w:t xml:space="preserve"> 25.5 de la Convención); finalmente están </w:t>
      </w:r>
      <w:r w:rsidR="00A279B9">
        <w:t>el</w:t>
      </w:r>
      <w:r w:rsidR="00A279B9" w:rsidRPr="007D0D5E">
        <w:t xml:space="preserve"> </w:t>
      </w:r>
      <w:proofErr w:type="spellStart"/>
      <w:r w:rsidRPr="007D0D5E">
        <w:t>subfondo</w:t>
      </w:r>
      <w:proofErr w:type="spellEnd"/>
      <w:r w:rsidRPr="007D0D5E">
        <w:t xml:space="preserve"> que se utiliza exclusivamente para reforzar las capacidades humanas en la Secretaría</w:t>
      </w:r>
      <w:r w:rsidR="00A279B9">
        <w:t>,</w:t>
      </w:r>
      <w:r w:rsidRPr="007D0D5E">
        <w:t xml:space="preserve"> según lo establecido por la </w:t>
      </w:r>
      <w:hyperlink r:id="rId12" w:history="1">
        <w:r w:rsidRPr="00DF393C">
          <w:rPr>
            <w:rStyle w:val="Hyperlink"/>
          </w:rPr>
          <w:t>Resolución 3.GA 9</w:t>
        </w:r>
      </w:hyperlink>
      <w:r w:rsidRPr="007D0D5E">
        <w:t>.</w:t>
      </w:r>
    </w:p>
    <w:p w14:paraId="329AFECB" w14:textId="0CBDE18A" w:rsidR="00AD6494" w:rsidRPr="007D0D5E" w:rsidRDefault="00AD6494" w:rsidP="004E5075">
      <w:pPr>
        <w:pStyle w:val="5GAparabodytext"/>
        <w:rPr>
          <w:bCs/>
        </w:rPr>
      </w:pPr>
      <w:r w:rsidRPr="007D0D5E">
        <w:t xml:space="preserve">El presupuesto presentado en el proyecto anexo a continuación prevé la asignación de fondos para cada </w:t>
      </w:r>
      <w:r w:rsidR="00A279B9">
        <w:t>partida presupuestaria</w:t>
      </w:r>
      <w:r w:rsidR="00A279B9" w:rsidRPr="007D0D5E">
        <w:t xml:space="preserve"> </w:t>
      </w:r>
      <w:r w:rsidRPr="007D0D5E">
        <w:t xml:space="preserve">excepto una, en términos porcentuales de la totalidad de los recursos disponibles en lugar de cifras absolutas, a fin de permitir al Comité la utilización de cualquier contribución voluntaria complementaria no restringida relevante (como se describe en el </w:t>
      </w:r>
      <w:r w:rsidR="007D0D5E" w:rsidRPr="007D0D5E">
        <w:t>artículo</w:t>
      </w:r>
      <w:r w:rsidRPr="007D0D5E">
        <w:t xml:space="preserve"> 27) que pueda ser acreditada al Fondo durante el bienio. En caso de que un donante desee realizar una importante contribución complementaria, se propone que la Asamblea General autorice al Comité, como lo hizo durante sus reuniones previas, a utilizar inmediatamente dicha contribución a partir de su recepción, en conformidad con los porcentajes establecidos en el </w:t>
      </w:r>
      <w:r w:rsidR="00A279B9">
        <w:t>P</w:t>
      </w:r>
      <w:r w:rsidR="00A279B9" w:rsidRPr="007D0D5E">
        <w:t>lan</w:t>
      </w:r>
      <w:r w:rsidRPr="007D0D5E">
        <w:t>.</w:t>
      </w:r>
    </w:p>
    <w:p w14:paraId="7F2D8729" w14:textId="79811C7B" w:rsidR="000B5CBB" w:rsidRPr="007D0D5E" w:rsidRDefault="00AD6494" w:rsidP="004E5075">
      <w:pPr>
        <w:pStyle w:val="5GAparabodytext"/>
      </w:pPr>
      <w:r w:rsidRPr="007D0D5E">
        <w:t>La Convención también confiere al Comité el derecho a «aceptar contribuciones o asistencia de otra índole que se le ofrezca con fines generales o específicos, ligados a proyectos concretos, siempre y cuando esos proyectos cuenten con su aprobación» (</w:t>
      </w:r>
      <w:r w:rsidR="007D0D5E" w:rsidRPr="007D0D5E">
        <w:t>artículo</w:t>
      </w:r>
      <w:r w:rsidRPr="007D0D5E">
        <w:t xml:space="preserve"> 25.5), que son denominadas contribuciones «</w:t>
      </w:r>
      <w:r w:rsidR="00A279B9">
        <w:t>reservadas</w:t>
      </w:r>
      <w:r w:rsidRPr="007D0D5E">
        <w:t xml:space="preserve">». A fin de permitir un uso estratégico y eficaz de dichas contribuciones, se propone asimismo que la Asamblea General autorice al Comité, como lo hizo en las reuniones previas, a utilizarlas inmediatamente siempre y </w:t>
      </w:r>
      <w:r w:rsidRPr="007D0D5E">
        <w:lastRenderedPageBreak/>
        <w:t xml:space="preserve">cuando los proyectos hayan sido aprobados por el Comité antes de la recepción de los fondos. </w:t>
      </w:r>
    </w:p>
    <w:p w14:paraId="10A732CC" w14:textId="0FE2AE39" w:rsidR="00AD6494" w:rsidRPr="007D0D5E" w:rsidRDefault="000B5CBB" w:rsidP="004E5075">
      <w:pPr>
        <w:pStyle w:val="5GAparabodytext"/>
      </w:pPr>
      <w:r w:rsidRPr="007D0D5E">
        <w:t>Siguiendo la misma línea de eficacia, vale la pena destacar que el Comité, en su novena reunión, fue un paso más adelante aprobando la Nota Conceptual para el Programa Adicional Complementario para el periodo 2014-2017 llamado «Reforzando capacidades para la salvaguardia del patrimonio cultural inmaterial para el desarrollo sostenible» (</w:t>
      </w:r>
      <w:hyperlink r:id="rId13">
        <w:r w:rsidR="007D0D5E" w:rsidRPr="007D0D5E">
          <w:rPr>
            <w:rStyle w:val="Hyperlink"/>
          </w:rPr>
          <w:t>decisión</w:t>
        </w:r>
        <w:r w:rsidRPr="007D0D5E">
          <w:rPr>
            <w:rStyle w:val="Hyperlink"/>
          </w:rPr>
          <w:t> 9.C</w:t>
        </w:r>
        <w:r w:rsidRPr="00A279B9">
          <w:rPr>
            <w:rStyle w:val="Hyperlink"/>
          </w:rPr>
          <w:t>OM 7</w:t>
        </w:r>
      </w:hyperlink>
      <w:r w:rsidRPr="007D0D5E">
        <w:t xml:space="preserve">) desarrollado por la Secretaría para extender el alcance y la eficacia de dicha estrategia mundial de </w:t>
      </w:r>
      <w:r w:rsidR="00A279B9">
        <w:t>fortalecimiento</w:t>
      </w:r>
      <w:r w:rsidR="00A279B9" w:rsidRPr="007D0D5E">
        <w:t xml:space="preserve"> </w:t>
      </w:r>
      <w:r w:rsidRPr="007D0D5E">
        <w:t xml:space="preserve">de capacidades e informar a los donantes de las necesidades de financiamiento de este programa. En efecto, a fin de garantizar que el Comité – en su rol de órgano rector de la Convención con capacidad de decidir sobre el uso de los recursos del Fondo del Patrimonio Cultural Inmaterial – y la Conferencia General de los Estados Miembros – en su rol de órgano rector de la UNESCO con capacidad de determinar las políticas y las líneas generales del trabajo de la Organización – compartieran la misma </w:t>
      </w:r>
      <w:r w:rsidRPr="007D0D5E">
        <w:rPr>
          <w:rStyle w:val="hps"/>
        </w:rPr>
        <w:t>visión</w:t>
      </w:r>
      <w:r w:rsidRPr="007D0D5E">
        <w:t xml:space="preserve"> de las prioridades de acción de la UNESCO en el </w:t>
      </w:r>
      <w:r w:rsidR="00A279B9">
        <w:t>ámbito</w:t>
      </w:r>
      <w:r w:rsidR="00A279B9" w:rsidRPr="007D0D5E">
        <w:t xml:space="preserve"> </w:t>
      </w:r>
      <w:r w:rsidRPr="007D0D5E">
        <w:t xml:space="preserve">del patrimonio cultural inmaterial, el Comité consideró apropiado apoyar el marco programático descrito en el Programa Complementario Adicional </w:t>
      </w:r>
      <w:r w:rsidR="00A279B9">
        <w:t>en la medida en que</w:t>
      </w:r>
      <w:r w:rsidRPr="007D0D5E">
        <w:t xml:space="preserve"> estrictamente alineado con el Programa Ordinario. Asimismo, el Comité aceptó, en la misma decisión, cualquier futura contribución voluntaria complementaria que pudiese realizarse para apoyar las actividades de </w:t>
      </w:r>
      <w:r w:rsidR="00A279B9">
        <w:t>fortalecimiento</w:t>
      </w:r>
      <w:r w:rsidR="00A279B9" w:rsidRPr="007D0D5E">
        <w:t xml:space="preserve"> </w:t>
      </w:r>
      <w:r w:rsidRPr="007D0D5E">
        <w:t xml:space="preserve">de capacidades dentro del alcance de dicho marco programático </w:t>
      </w:r>
      <w:r w:rsidRPr="007D0D5E">
        <w:rPr>
          <w:rStyle w:val="hps"/>
        </w:rPr>
        <w:t>entre</w:t>
      </w:r>
      <w:r w:rsidRPr="007D0D5E">
        <w:t xml:space="preserve"> </w:t>
      </w:r>
      <w:r w:rsidRPr="007D0D5E">
        <w:rPr>
          <w:rStyle w:val="hps"/>
        </w:rPr>
        <w:t>dos reuniones del Comité</w:t>
      </w:r>
      <w:r w:rsidRPr="007D0D5E">
        <w:t xml:space="preserve">, autorizó a la Secretaría a utilizarla inmediatamente y le solicitó informar sobre el progreso en la </w:t>
      </w:r>
      <w:r w:rsidR="00A279B9">
        <w:t>ejecución</w:t>
      </w:r>
      <w:r w:rsidR="00A279B9" w:rsidRPr="007D0D5E">
        <w:t xml:space="preserve"> </w:t>
      </w:r>
      <w:r w:rsidRPr="007D0D5E">
        <w:t>de toda contribución voluntaria complementaria que hubiese recibido desde su última reunión.</w:t>
      </w:r>
    </w:p>
    <w:p w14:paraId="79547C2B" w14:textId="66D8919F" w:rsidR="00BC4AC8" w:rsidRPr="007D0D5E" w:rsidRDefault="00BC4AC8" w:rsidP="004E5075">
      <w:pPr>
        <w:pStyle w:val="5GAparabodytext"/>
      </w:pPr>
      <w:r w:rsidRPr="007D0D5E">
        <w:t xml:space="preserve">La lista de dichos donantes y los montos de sus contribuciones pueden encontrarse en los documentos informativos </w:t>
      </w:r>
      <w:r w:rsidRPr="00DF393C">
        <w:t>ITH/16/6.GA/INF.9.1</w:t>
      </w:r>
      <w:r w:rsidRPr="007D0D5E">
        <w:t xml:space="preserve"> y </w:t>
      </w:r>
      <w:r w:rsidRPr="00DF393C">
        <w:t>ITH/16/6.GA/INF.9.2</w:t>
      </w:r>
      <w:r w:rsidRPr="007D0D5E">
        <w:t xml:space="preserve">, que abarcan dos periodos ligeramente diferentes: el anexo I del primer documento provee la lista de las contribuciones voluntarias recibidas para actividades asignadas en el periodo comprendido entre el 1 de </w:t>
      </w:r>
      <w:r w:rsidR="007D0D5E" w:rsidRPr="007D0D5E">
        <w:t>enero</w:t>
      </w:r>
      <w:r w:rsidRPr="007D0D5E">
        <w:t xml:space="preserve"> de 2014 y el 31 de </w:t>
      </w:r>
      <w:r w:rsidR="007D0D5E" w:rsidRPr="007D0D5E">
        <w:t>diciembre</w:t>
      </w:r>
      <w:r w:rsidRPr="007D0D5E">
        <w:t xml:space="preserve"> de 2015, mientras que el segundo documente provee, entre otras informaciones, la lista de dichas contribuciones voluntarias recibidas en el periodo comprendido entre el </w:t>
      </w:r>
      <w:r w:rsidRPr="00DF393C">
        <w:t xml:space="preserve">1 de </w:t>
      </w:r>
      <w:r w:rsidR="001841BA">
        <w:t>junio</w:t>
      </w:r>
      <w:r w:rsidRPr="00DF393C">
        <w:t xml:space="preserve"> de 2014</w:t>
      </w:r>
      <w:r w:rsidRPr="007D0D5E">
        <w:t xml:space="preserve"> y </w:t>
      </w:r>
      <w:r w:rsidR="00422C3D">
        <w:t>el 31 de marzo de 2016</w:t>
      </w:r>
      <w:r w:rsidRPr="007D0D5E">
        <w:t xml:space="preserve">, un periodo que abarca el lapso entre la quinta y la sexta reunión de la Asamblea General, según lo establecido por el párrafo 77 de las Directivas Operativas. </w:t>
      </w:r>
    </w:p>
    <w:p w14:paraId="392C8970" w14:textId="77777777" w:rsidR="0002544E" w:rsidRPr="007D0D5E" w:rsidRDefault="0002544E" w:rsidP="0002544E">
      <w:pPr>
        <w:pStyle w:val="Default"/>
        <w:keepNext/>
        <w:spacing w:before="360" w:after="120"/>
        <w:ind w:left="567"/>
        <w:jc w:val="both"/>
        <w:rPr>
          <w:b/>
          <w:bCs/>
          <w:sz w:val="22"/>
          <w:szCs w:val="22"/>
        </w:rPr>
      </w:pPr>
      <w:r w:rsidRPr="007D0D5E">
        <w:rPr>
          <w:b/>
          <w:sz w:val="22"/>
        </w:rPr>
        <w:t>Partidas presupuestarias y asignaciones</w:t>
      </w:r>
    </w:p>
    <w:p w14:paraId="1B734BB2" w14:textId="13BFE606" w:rsidR="00422C3D" w:rsidRPr="007D0D5E" w:rsidRDefault="0002544E">
      <w:pPr>
        <w:pStyle w:val="5GAparabodytext"/>
      </w:pPr>
      <w:r w:rsidRPr="007D0D5E">
        <w:t xml:space="preserve">Si se lo compara al Plan </w:t>
      </w:r>
      <w:r w:rsidR="00422C3D" w:rsidRPr="00D47D64">
        <w:t xml:space="preserve">actual </w:t>
      </w:r>
      <w:r w:rsidRPr="007D0D5E">
        <w:t>para el uso de los recursos del Fondo, la</w:t>
      </w:r>
      <w:r w:rsidR="00422C3D">
        <w:t>s</w:t>
      </w:r>
      <w:r w:rsidRPr="007D0D5E">
        <w:t xml:space="preserve"> partida</w:t>
      </w:r>
      <w:r w:rsidR="00422C3D">
        <w:t>s</w:t>
      </w:r>
      <w:r w:rsidRPr="007D0D5E">
        <w:t xml:space="preserve"> presupuestaria</w:t>
      </w:r>
      <w:r w:rsidR="00422C3D">
        <w:t>s</w:t>
      </w:r>
      <w:r w:rsidRPr="007D0D5E">
        <w:t xml:space="preserve"> mantiene un alcance prácticamente idéntico. En tres casos se </w:t>
      </w:r>
      <w:r w:rsidR="00422C3D">
        <w:t>propone que los</w:t>
      </w:r>
      <w:r w:rsidR="00422C3D" w:rsidRPr="007D0D5E">
        <w:t xml:space="preserve"> </w:t>
      </w:r>
      <w:r w:rsidRPr="007D0D5E">
        <w:t xml:space="preserve">porcentajes </w:t>
      </w:r>
      <w:r w:rsidR="00422C3D">
        <w:t>sean</w:t>
      </w:r>
      <w:r w:rsidR="00422C3D" w:rsidRPr="007D0D5E">
        <w:t xml:space="preserve"> reduci</w:t>
      </w:r>
      <w:r w:rsidR="00422C3D">
        <w:t>dos</w:t>
      </w:r>
      <w:r w:rsidR="00422C3D" w:rsidRPr="007D0D5E">
        <w:t xml:space="preserve"> </w:t>
      </w:r>
      <w:r w:rsidRPr="007D0D5E">
        <w:t xml:space="preserve">o </w:t>
      </w:r>
      <w:r w:rsidR="00422C3D" w:rsidRPr="007D0D5E">
        <w:t>incrementa</w:t>
      </w:r>
      <w:r w:rsidR="00422C3D">
        <w:t xml:space="preserve">dos </w:t>
      </w:r>
      <w:r w:rsidRPr="007D0D5E">
        <w:t xml:space="preserve"> y</w:t>
      </w:r>
      <w:r w:rsidR="00422C3D">
        <w:t>, en general, se aplican al saldo del Fondo a 31 de diciembre del 2015 menos la cantidad que el Comité proponer transferir al</w:t>
      </w:r>
      <w:r w:rsidRPr="007D0D5E">
        <w:t xml:space="preserve"> Fondo de Reserva</w:t>
      </w:r>
      <w:r w:rsidR="00422C3D">
        <w:t xml:space="preserve"> (24.190 dólares) con el fin de fijar su asignación total a 1 millón de dólares. </w:t>
      </w:r>
      <w:r w:rsidRPr="007D0D5E">
        <w:t xml:space="preserve">Sin embargo, considerando que el </w:t>
      </w:r>
      <w:r w:rsidR="00422C3D">
        <w:t>saldo</w:t>
      </w:r>
      <w:r w:rsidR="00422C3D" w:rsidRPr="007D0D5E">
        <w:t xml:space="preserve"> </w:t>
      </w:r>
      <w:r w:rsidRPr="007D0D5E">
        <w:t xml:space="preserve">inicial que sirve de base para el Plan ha aumentado </w:t>
      </w:r>
      <w:r w:rsidRPr="00DF393C">
        <w:t>(</w:t>
      </w:r>
      <w:r w:rsidR="00422C3D">
        <w:t>24 % de dicho saldo</w:t>
      </w:r>
      <w:r w:rsidRPr="007D0D5E">
        <w:t xml:space="preserve"> </w:t>
      </w:r>
      <w:r w:rsidR="00422C3D">
        <w:t>a</w:t>
      </w:r>
      <w:r w:rsidRPr="007D0D5E">
        <w:t xml:space="preserve"> 31 de </w:t>
      </w:r>
      <w:r w:rsidR="007D0D5E" w:rsidRPr="007D0D5E">
        <w:t>diciembre</w:t>
      </w:r>
      <w:r w:rsidRPr="007D0D5E">
        <w:t xml:space="preserve"> de 2013), las asignaciones constantes de todas las partidas presupuestarias serán incrementadas, con una excepción destacada a continuación (</w:t>
      </w:r>
      <w:r w:rsidRPr="00DF393C">
        <w:t>párrafo 14</w:t>
      </w:r>
      <w:r w:rsidRPr="007D0D5E">
        <w:t>).</w:t>
      </w:r>
    </w:p>
    <w:p w14:paraId="3EF60229" w14:textId="5742B36D" w:rsidR="00E65016" w:rsidRPr="007D0D5E" w:rsidRDefault="000D6221" w:rsidP="00A53E7F">
      <w:pPr>
        <w:pStyle w:val="5GAparabodytext"/>
      </w:pPr>
      <w:r w:rsidRPr="007D0D5E">
        <w:t xml:space="preserve">Siguiendo la línea de </w:t>
      </w:r>
      <w:r w:rsidR="00422C3D">
        <w:t>orientaciones</w:t>
      </w:r>
      <w:r w:rsidR="00422C3D" w:rsidRPr="007D0D5E">
        <w:t xml:space="preserve"> </w:t>
      </w:r>
      <w:r w:rsidRPr="007D0D5E">
        <w:t xml:space="preserve">trazada por las Directrices para </w:t>
      </w:r>
      <w:r w:rsidR="00422C3D">
        <w:t>la utilización</w:t>
      </w:r>
      <w:r w:rsidRPr="007D0D5E">
        <w:t xml:space="preserve"> de los recursos del Fondo en el capítulo II.1 de las Directrices Operativas, se propone nuevamente que la mayoría de los recursos (</w:t>
      </w:r>
      <w:r w:rsidRPr="007D0D5E">
        <w:rPr>
          <w:b/>
        </w:rPr>
        <w:t>partida presupuestaria</w:t>
      </w:r>
      <w:r w:rsidRPr="007D0D5E">
        <w:t xml:space="preserve"> </w:t>
      </w:r>
      <w:r w:rsidRPr="007D0D5E">
        <w:rPr>
          <w:b/>
        </w:rPr>
        <w:t>1</w:t>
      </w:r>
      <w:r w:rsidRPr="007D0D5E">
        <w:t xml:space="preserve">, 59 %) sea asignada a la asistencia internacional a los Estados Partes en sus esfuerzos nacionales para la salvaguardia del patrimonio cultural inmaterial. A pesar de que por el momento los fondos disponibles para esta partida han sido </w:t>
      </w:r>
      <w:r w:rsidR="00422C3D">
        <w:t>infra</w:t>
      </w:r>
      <w:r w:rsidRPr="007D0D5E">
        <w:t xml:space="preserve">utilizados, la décima reunión del Comité propuso aumentar el porcentaje de recursos asignados a la </w:t>
      </w:r>
      <w:r w:rsidR="00422C3D">
        <w:t>a</w:t>
      </w:r>
      <w:r w:rsidR="00422C3D" w:rsidRPr="007D0D5E">
        <w:t xml:space="preserve">sistencia </w:t>
      </w:r>
      <w:r w:rsidR="00422C3D">
        <w:t>i</w:t>
      </w:r>
      <w:r w:rsidR="00422C3D" w:rsidRPr="007D0D5E">
        <w:t xml:space="preserve">nternacional </w:t>
      </w:r>
      <w:r w:rsidRPr="007D0D5E">
        <w:t xml:space="preserve">de 54 % a 59 %. En su última reunión, las decisiones del Comité abrieron las posibilidades detalladas en los </w:t>
      </w:r>
      <w:r w:rsidRPr="00DF393C">
        <w:t>párrafos 20 y 21</w:t>
      </w:r>
      <w:r w:rsidRPr="007D0D5E">
        <w:t xml:space="preserve"> del presente documento, que permiten esperar que la tendencia de subutilización de los recursos disponibles para la asistencia internacional sea revertida en el bienio actual. </w:t>
      </w:r>
    </w:p>
    <w:p w14:paraId="2B02EC15" w14:textId="05FB5CBC" w:rsidR="00AF1052" w:rsidRPr="007D0D5E" w:rsidRDefault="00AF1052" w:rsidP="004E5075">
      <w:pPr>
        <w:pStyle w:val="5GAparabodytext"/>
      </w:pPr>
      <w:r w:rsidRPr="007D0D5E">
        <w:lastRenderedPageBreak/>
        <w:t>Se propone mantener el porcentaje de los fondos presupuestados para la asistencia preparatoria (</w:t>
      </w:r>
      <w:r w:rsidRPr="007D0D5E">
        <w:rPr>
          <w:b/>
        </w:rPr>
        <w:t>partida presupuestaria 2</w:t>
      </w:r>
      <w:r w:rsidRPr="007D0D5E">
        <w:t xml:space="preserve">) en 5,5 %. Además de la asistencia preparatoria para </w:t>
      </w:r>
      <w:r w:rsidR="00422C3D">
        <w:t>las candidaturas a</w:t>
      </w:r>
      <w:r w:rsidRPr="007D0D5E">
        <w:t xml:space="preserve"> la Lista de Salvaguardia Urgente y para las propuestas para el Registro de </w:t>
      </w:r>
      <w:r w:rsidR="00422C3D">
        <w:t>Mejores</w:t>
      </w:r>
      <w:r w:rsidR="00422C3D" w:rsidRPr="007D0D5E">
        <w:t xml:space="preserve"> </w:t>
      </w:r>
      <w:r w:rsidRPr="007D0D5E">
        <w:t>Prácticas de Salvaguardia, el Comité decidió utilizar esta partida para ofrecer asistencia técnica a los Estados Partes para la preparación de solicitudes de Asistencia Internacional, como lo decidió el Comité (</w:t>
      </w:r>
      <w:hyperlink r:id="rId14">
        <w:r w:rsidR="007D0D5E" w:rsidRPr="007D0D5E">
          <w:rPr>
            <w:rStyle w:val="Hyperlink"/>
          </w:rPr>
          <w:t>decisión</w:t>
        </w:r>
        <w:r w:rsidRPr="007D0D5E">
          <w:rPr>
            <w:rStyle w:val="Hyperlink"/>
          </w:rPr>
          <w:t> 8.COM 7</w:t>
        </w:r>
        <w:r w:rsidR="00422C3D">
          <w:rPr>
            <w:rStyle w:val="Hyperlink"/>
          </w:rPr>
          <w:t>.</w:t>
        </w:r>
        <w:r w:rsidRPr="007D0D5E">
          <w:rPr>
            <w:rStyle w:val="Hyperlink"/>
          </w:rPr>
          <w:t>c</w:t>
        </w:r>
      </w:hyperlink>
      <w:r w:rsidRPr="007D0D5E">
        <w:t xml:space="preserve">). Considerando que los Estados han solicitado más asistencia técnica que asistencia preparatoria tradicional, se propone que los fondos disponibles para esta partida sigan siendo utilizados para la provisión de expertos, como se describe en el </w:t>
      </w:r>
      <w:r w:rsidR="007D0D5E" w:rsidRPr="007D0D5E">
        <w:t>artículo</w:t>
      </w:r>
      <w:r w:rsidRPr="007D0D5E">
        <w:t xml:space="preserve"> 21 de la Convención, para asistir a un Estado Parte en el desarrollo de sus ideas y requerimientos, </w:t>
      </w:r>
      <w:r w:rsidR="00422C3D">
        <w:t xml:space="preserve">a partir </w:t>
      </w:r>
      <w:r w:rsidRPr="007D0D5E">
        <w:t xml:space="preserve">de una breve nota conceptual </w:t>
      </w:r>
      <w:r w:rsidR="00422C3D">
        <w:t>hasta</w:t>
      </w:r>
      <w:r w:rsidRPr="007D0D5E">
        <w:t xml:space="preserve"> una solicitud </w:t>
      </w:r>
      <w:r w:rsidR="00422C3D">
        <w:t>en toda regla</w:t>
      </w:r>
      <w:r w:rsidRPr="007D0D5E">
        <w:t>. Además, se espera que esta asistencia técnica incrementará las posibilidades de éxito de una mayor cantidad de solicitudes, lo que también justifica el incremento del porcentaje de los fondos asignados a la partida presupuestaria 1.</w:t>
      </w:r>
    </w:p>
    <w:p w14:paraId="2A27B34D" w14:textId="344AE000" w:rsidR="00AF1052" w:rsidRPr="007D0D5E" w:rsidRDefault="00AF1052" w:rsidP="004E5075">
      <w:pPr>
        <w:pStyle w:val="5GAparabodytext"/>
        <w:rPr>
          <w:rStyle w:val="hps"/>
        </w:rPr>
      </w:pPr>
      <w:r w:rsidRPr="00DF393C">
        <w:t xml:space="preserve">La </w:t>
      </w:r>
      <w:r w:rsidRPr="007D0D5E">
        <w:rPr>
          <w:b/>
        </w:rPr>
        <w:t>partida presupuestaria 3</w:t>
      </w:r>
      <w:r w:rsidRPr="007D0D5E">
        <w:t xml:space="preserve"> «otras funciones del Comité», también se mantendr</w:t>
      </w:r>
      <w:r w:rsidR="00422C3D">
        <w:t>ía</w:t>
      </w:r>
      <w:r w:rsidRPr="007D0D5E">
        <w:t xml:space="preserve"> al 20 %. Dichas funciones están enumeradas en el </w:t>
      </w:r>
      <w:r w:rsidR="007D0D5E" w:rsidRPr="007D0D5E">
        <w:t>artículo</w:t>
      </w:r>
      <w:r w:rsidRPr="007D0D5E">
        <w:t xml:space="preserve"> 7 de la Convención. La Secretaría utiliza estos fondos para asistir al Comité en la ejecución de estas funciones, como lo indica el </w:t>
      </w:r>
      <w:r w:rsidR="007D0D5E" w:rsidRPr="007D0D5E">
        <w:t>artículo</w:t>
      </w:r>
      <w:r w:rsidRPr="007D0D5E">
        <w:t xml:space="preserve"> 10 de la Convención. La Secretaría utilizará, en consecuencia, estos fondos principalmente para promover los objetivos de la Convención, y </w:t>
      </w:r>
      <w:r w:rsidR="0041529B">
        <w:t>fomentar</w:t>
      </w:r>
      <w:r w:rsidR="0041529B" w:rsidRPr="007D0D5E">
        <w:t xml:space="preserve"> </w:t>
      </w:r>
      <w:r w:rsidRPr="007D0D5E">
        <w:t xml:space="preserve">y realizar el seguimiento de su </w:t>
      </w:r>
      <w:r w:rsidR="0041529B">
        <w:t>aplicación</w:t>
      </w:r>
      <w:r w:rsidR="0041529B" w:rsidRPr="007D0D5E">
        <w:t xml:space="preserve"> </w:t>
      </w:r>
      <w:r w:rsidRPr="007D0D5E">
        <w:t>(</w:t>
      </w:r>
      <w:r w:rsidR="007D0D5E" w:rsidRPr="007D0D5E">
        <w:t>artículo</w:t>
      </w:r>
      <w:r w:rsidRPr="007D0D5E">
        <w:t xml:space="preserve"> 7 [a]). Para ello, los fondos asignados a esta partida presupuestaria continuarán </w:t>
      </w:r>
      <w:r w:rsidRPr="007D0D5E">
        <w:rPr>
          <w:rStyle w:val="hps"/>
        </w:rPr>
        <w:t xml:space="preserve">proveyendo apoyo esencial para varias necesidades transversales del programa de </w:t>
      </w:r>
      <w:r w:rsidR="0041529B">
        <w:rPr>
          <w:rStyle w:val="hps"/>
        </w:rPr>
        <w:t>fortalecimiento</w:t>
      </w:r>
      <w:r w:rsidR="0041529B" w:rsidRPr="007D0D5E">
        <w:rPr>
          <w:rStyle w:val="hps"/>
        </w:rPr>
        <w:t xml:space="preserve"> </w:t>
      </w:r>
      <w:r w:rsidRPr="007D0D5E">
        <w:rPr>
          <w:rStyle w:val="hps"/>
        </w:rPr>
        <w:t xml:space="preserve">de capacidades, tales como </w:t>
      </w:r>
      <w:r w:rsidRPr="007D0D5E">
        <w:t xml:space="preserve">desarrollar contenidos y materiales de formación, reforzar la red de </w:t>
      </w:r>
      <w:r w:rsidR="0041529B">
        <w:t>expertos facilitadores</w:t>
      </w:r>
      <w:r w:rsidRPr="007D0D5E">
        <w:t xml:space="preserve"> y supervisar, evaluar y adaptar la estrategia en consecuencia. Análogamente, esta partida presupuestaria será vital para garantizar el mejoramiento continuo de la gestión del conocimiento y la información, incluyendo el sitio web de la Convención que permite a la Secretaría continuar ofreciendo servicios a los Estados Partes y los órganos rectores de la Convención, de la forma más rápida y precisa posible. A fin de </w:t>
      </w:r>
      <w:r w:rsidRPr="007D0D5E">
        <w:rPr>
          <w:rStyle w:val="hps"/>
        </w:rPr>
        <w:t xml:space="preserve">asistir al Comité en el cumplimiento de sus responsabilidades de promoción de la Convención, los fondos asignados a esta partida presupuestaria también </w:t>
      </w:r>
      <w:r w:rsidR="0041529B">
        <w:rPr>
          <w:rStyle w:val="hps"/>
        </w:rPr>
        <w:t>deberían</w:t>
      </w:r>
      <w:r w:rsidR="0041529B" w:rsidRPr="007D0D5E">
        <w:rPr>
          <w:rStyle w:val="hps"/>
        </w:rPr>
        <w:t xml:space="preserve"> </w:t>
      </w:r>
      <w:r w:rsidRPr="007D0D5E">
        <w:rPr>
          <w:rStyle w:val="hps"/>
        </w:rPr>
        <w:t xml:space="preserve">contribuir a garantizar una mejor </w:t>
      </w:r>
      <w:r w:rsidRPr="007D0D5E">
        <w:t xml:space="preserve">visibilidad de las actividades emprendidas en el mundo en el </w:t>
      </w:r>
      <w:r w:rsidR="0041529B">
        <w:t>marco</w:t>
      </w:r>
      <w:r w:rsidR="0041529B" w:rsidRPr="007D0D5E">
        <w:t xml:space="preserve"> </w:t>
      </w:r>
      <w:r w:rsidRPr="007D0D5E">
        <w:t xml:space="preserve">de la Convención y a </w:t>
      </w:r>
      <w:r w:rsidR="0041529B">
        <w:t>mejorar</w:t>
      </w:r>
      <w:r w:rsidR="0041529B" w:rsidRPr="007D0D5E">
        <w:t xml:space="preserve"> </w:t>
      </w:r>
      <w:r w:rsidRPr="007D0D5E">
        <w:t xml:space="preserve">su capacidad </w:t>
      </w:r>
      <w:r w:rsidR="0041529B">
        <w:t>de</w:t>
      </w:r>
      <w:r w:rsidR="0041529B" w:rsidRPr="007D0D5E">
        <w:t xml:space="preserve"> </w:t>
      </w:r>
      <w:r w:rsidRPr="007D0D5E">
        <w:t xml:space="preserve">influenciar e </w:t>
      </w:r>
      <w:r w:rsidR="0041529B">
        <w:t>tener un impacto</w:t>
      </w:r>
      <w:r w:rsidR="0041529B" w:rsidRPr="007D0D5E">
        <w:t xml:space="preserve"> </w:t>
      </w:r>
      <w:r w:rsidR="0041529B">
        <w:t>sobre</w:t>
      </w:r>
      <w:r w:rsidR="0041529B" w:rsidRPr="007D0D5E">
        <w:t xml:space="preserve"> </w:t>
      </w:r>
      <w:r w:rsidRPr="007D0D5E">
        <w:t xml:space="preserve">el sector </w:t>
      </w:r>
      <w:r w:rsidR="0041529B">
        <w:t>de políticas de</w:t>
      </w:r>
      <w:r w:rsidR="0041529B" w:rsidRPr="007D0D5E">
        <w:t xml:space="preserve"> </w:t>
      </w:r>
      <w:r w:rsidRPr="007D0D5E">
        <w:t>desarrollo</w:t>
      </w:r>
      <w:r w:rsidR="0041529B">
        <w:t>,</w:t>
      </w:r>
      <w:r w:rsidRPr="007D0D5E">
        <w:t xml:space="preserve"> </w:t>
      </w:r>
      <w:r w:rsidR="0041529B">
        <w:t>siguiendo</w:t>
      </w:r>
      <w:r w:rsidRPr="007D0D5E">
        <w:t xml:space="preserve"> los lineamientos de la agenda de 2030 para el desarrollo, en especial mediante el </w:t>
      </w:r>
      <w:r w:rsidR="0041529B">
        <w:t xml:space="preserve">esfuerzos renovados para sensibilizar a </w:t>
      </w:r>
      <w:r w:rsidRPr="007D0D5E">
        <w:t xml:space="preserve">la importancia del patrimonio cultural inmaterial y de </w:t>
      </w:r>
      <w:r w:rsidR="0041529B">
        <w:t>su reconocimiento recíproco</w:t>
      </w:r>
      <w:r w:rsidRPr="007D0D5E">
        <w:t xml:space="preserve">. </w:t>
      </w:r>
      <w:r w:rsidRPr="007D0D5E">
        <w:rPr>
          <w:rStyle w:val="hps"/>
        </w:rPr>
        <w:t xml:space="preserve">Finalmente, estos fondos serán utilizados para </w:t>
      </w:r>
      <w:r w:rsidR="006064B2">
        <w:rPr>
          <w:rStyle w:val="hps"/>
        </w:rPr>
        <w:t>ayudar</w:t>
      </w:r>
      <w:r w:rsidR="006064B2" w:rsidRPr="007D0D5E">
        <w:rPr>
          <w:rStyle w:val="hps"/>
        </w:rPr>
        <w:t xml:space="preserve"> </w:t>
      </w:r>
      <w:r w:rsidRPr="007D0D5E">
        <w:rPr>
          <w:rStyle w:val="hps"/>
        </w:rPr>
        <w:t xml:space="preserve">al Comité </w:t>
      </w:r>
      <w:r w:rsidR="006064B2">
        <w:rPr>
          <w:rStyle w:val="hps"/>
        </w:rPr>
        <w:t>a brindar asesoramiento</w:t>
      </w:r>
      <w:r w:rsidRPr="007D0D5E">
        <w:rPr>
          <w:rStyle w:val="hps"/>
        </w:rPr>
        <w:t xml:space="preserve"> </w:t>
      </w:r>
      <w:r w:rsidRPr="007D0D5E">
        <w:t>sobre</w:t>
      </w:r>
      <w:r w:rsidRPr="007D0D5E">
        <w:rPr>
          <w:rStyle w:val="hps"/>
        </w:rPr>
        <w:t xml:space="preserve"> medidas para la salvaguardia del patrimonio cultural inmaterial. </w:t>
      </w:r>
      <w:r w:rsidR="006064B2">
        <w:rPr>
          <w:rStyle w:val="hps"/>
        </w:rPr>
        <w:t>En toda</w:t>
      </w:r>
      <w:r w:rsidR="006064B2" w:rsidRPr="007D0D5E">
        <w:rPr>
          <w:rStyle w:val="hps"/>
        </w:rPr>
        <w:t xml:space="preserve"> </w:t>
      </w:r>
      <w:r w:rsidRPr="007D0D5E">
        <w:rPr>
          <w:rStyle w:val="hps"/>
        </w:rPr>
        <w:t>la a</w:t>
      </w:r>
      <w:r w:rsidRPr="006064B2">
        <w:rPr>
          <w:rStyle w:val="hps"/>
        </w:rPr>
        <w:t xml:space="preserve">sistencia provista al Comité, la Secretaría </w:t>
      </w:r>
      <w:r w:rsidR="006064B2">
        <w:rPr>
          <w:rStyle w:val="hps"/>
        </w:rPr>
        <w:t>tratará</w:t>
      </w:r>
      <w:r w:rsidR="006064B2" w:rsidRPr="006064B2">
        <w:rPr>
          <w:rStyle w:val="hps"/>
        </w:rPr>
        <w:t xml:space="preserve"> </w:t>
      </w:r>
      <w:r w:rsidRPr="007D0D5E">
        <w:t>seguir las recomendaciones del Servicio de Supervisión Interna de la UNESCO (IOS) sobre el trabajo normativo de la UNESCO en el Sector Cultural relativo a la Convención</w:t>
      </w:r>
      <w:r w:rsidRPr="007D0D5E">
        <w:rPr>
          <w:rStyle w:val="hps"/>
        </w:rPr>
        <w:t xml:space="preserve">, como ya lo ha hecho en el bienio previo. Una importante cantidad de </w:t>
      </w:r>
      <w:r w:rsidRPr="007D0D5E">
        <w:t xml:space="preserve">tales acciones de seguimiento sobre la cuales ha informado la Secretaría en el </w:t>
      </w:r>
      <w:r w:rsidRPr="00DF393C">
        <w:rPr>
          <w:snapToGrid/>
        </w:rPr>
        <w:t>documento ITH/16/6.GA/6</w:t>
      </w:r>
      <w:r w:rsidRPr="007D0D5E">
        <w:t xml:space="preserve"> fueron posibles gracias al apoyo de esta partida presupuestaria.</w:t>
      </w:r>
    </w:p>
    <w:p w14:paraId="50166A5D" w14:textId="4CADC4FC" w:rsidR="001749C6" w:rsidRPr="007D0D5E" w:rsidRDefault="001749C6" w:rsidP="004E5075">
      <w:pPr>
        <w:pStyle w:val="5GAparabodytext"/>
      </w:pPr>
      <w:r w:rsidRPr="007D0D5E">
        <w:t>Como en los anteriores Planes para del uso del Fondo, el Comité ha delegado a su Mesa la autoridad de decidir sobre la utilización de los fondos asignados a la partida presupuestaria 3, sobre la base de propuestas concretas que deben ser preparadas por la Secretaría (</w:t>
      </w:r>
      <w:hyperlink r:id="rId15" w:history="1">
        <w:r w:rsidR="007D0D5E" w:rsidRPr="00DF393C">
          <w:rPr>
            <w:rStyle w:val="Hyperlink"/>
          </w:rPr>
          <w:t>decisión</w:t>
        </w:r>
        <w:r w:rsidRPr="00DF393C">
          <w:rPr>
            <w:rStyle w:val="Hyperlink"/>
          </w:rPr>
          <w:t> 10.COM 9</w:t>
        </w:r>
      </w:hyperlink>
      <w:r w:rsidRPr="007D0D5E">
        <w:t xml:space="preserve">). </w:t>
      </w:r>
      <w:r w:rsidRPr="007D0D5E">
        <w:rPr>
          <w:rStyle w:val="hps"/>
        </w:rPr>
        <w:t xml:space="preserve">En la misma decisión, y siguiendo los lineamientos de la última práctica, </w:t>
      </w:r>
      <w:r w:rsidRPr="007D0D5E">
        <w:t xml:space="preserve">el Comité autorizó a la Secretaría a realizar transferencias entre actividades dentro de la partida presupuestaria 3 hasta un monto acumulativo equivalente al 2 % de la asignación total inicial que probablemente sea propuesta a este propósito a la Asamblea General. Dicha autorización es similar a la que la Conferencia General utiliza para autorizar al Director General a realizar transferencias entre partidas </w:t>
      </w:r>
      <w:r w:rsidR="006064B2">
        <w:t>presupuestarias</w:t>
      </w:r>
      <w:r w:rsidRPr="007D0D5E">
        <w:t xml:space="preserve"> del programa ordinario de la UNESCO hasta un monto equivalente al 2 % de la asignación inicial. </w:t>
      </w:r>
    </w:p>
    <w:p w14:paraId="06FB4004" w14:textId="7F0391AC" w:rsidR="001749C6" w:rsidRPr="007D0D5E" w:rsidRDefault="001749C6" w:rsidP="004E5075">
      <w:pPr>
        <w:pStyle w:val="5GAparabodytext"/>
      </w:pPr>
      <w:r w:rsidRPr="007D0D5E">
        <w:t xml:space="preserve">La participación en reuniones estatutarias de expertos en patrimonio cultural inmaterial que representan Estados Partes en vías de desarrollo está cubierta por la </w:t>
      </w:r>
      <w:r w:rsidRPr="007D0D5E">
        <w:rPr>
          <w:b/>
        </w:rPr>
        <w:t>partida presupuestaria</w:t>
      </w:r>
      <w:r w:rsidR="006064B2">
        <w:rPr>
          <w:b/>
        </w:rPr>
        <w:t> </w:t>
      </w:r>
      <w:r w:rsidRPr="007D0D5E">
        <w:rPr>
          <w:b/>
        </w:rPr>
        <w:t xml:space="preserve">4 </w:t>
      </w:r>
      <w:r w:rsidRPr="007D0D5E">
        <w:t xml:space="preserve">cuando son miembros del Comité o por la </w:t>
      </w:r>
      <w:r w:rsidRPr="007D0D5E">
        <w:rPr>
          <w:b/>
        </w:rPr>
        <w:t xml:space="preserve">partida presupuestaria 5 </w:t>
      </w:r>
      <w:r w:rsidRPr="007D0D5E">
        <w:t xml:space="preserve">cuando no lo son. En el </w:t>
      </w:r>
      <w:r w:rsidR="006064B2">
        <w:t>proyecto</w:t>
      </w:r>
      <w:r w:rsidRPr="007D0D5E">
        <w:t xml:space="preserve"> propuesto, esta última </w:t>
      </w:r>
      <w:r w:rsidR="006064B2">
        <w:t>partida</w:t>
      </w:r>
      <w:r w:rsidR="006064B2" w:rsidRPr="007D0D5E">
        <w:t xml:space="preserve"> </w:t>
      </w:r>
      <w:r w:rsidRPr="007D0D5E">
        <w:t xml:space="preserve">no será alterada en términos </w:t>
      </w:r>
      <w:r w:rsidRPr="007D0D5E">
        <w:lastRenderedPageBreak/>
        <w:t xml:space="preserve">porcentuales en comparación al </w:t>
      </w:r>
      <w:r w:rsidR="006064B2">
        <w:t>P</w:t>
      </w:r>
      <w:r w:rsidR="006064B2" w:rsidRPr="007D0D5E">
        <w:t xml:space="preserve">lan </w:t>
      </w:r>
      <w:r w:rsidRPr="007D0D5E">
        <w:t xml:space="preserve">previo, mientras que el anterior reducirá el porcentaje de 2,75 % a 2,25 %. Los fondos previstos para la participación de los expertos </w:t>
      </w:r>
      <w:r w:rsidR="00FA3F92">
        <w:t>representantes</w:t>
      </w:r>
      <w:r w:rsidR="00FA3F92" w:rsidRPr="007D0D5E">
        <w:t xml:space="preserve"> </w:t>
      </w:r>
      <w:r w:rsidRPr="007D0D5E">
        <w:t xml:space="preserve">de Estados </w:t>
      </w:r>
      <w:r w:rsidR="00FA3F92">
        <w:t>en desarrollo m</w:t>
      </w:r>
      <w:r w:rsidR="00FA3F92" w:rsidRPr="007D0D5E">
        <w:t xml:space="preserve">iembros </w:t>
      </w:r>
      <w:r w:rsidRPr="007D0D5E">
        <w:t xml:space="preserve">del Comité es más que suficiente para cubrir su participación en el Comité y en la Mesa. </w:t>
      </w:r>
      <w:r w:rsidR="00FA3F92">
        <w:t>El número</w:t>
      </w:r>
      <w:r w:rsidRPr="007D0D5E">
        <w:t xml:space="preserve"> de Estados </w:t>
      </w:r>
      <w:r w:rsidR="00FA3F92">
        <w:t>m</w:t>
      </w:r>
      <w:r w:rsidR="00FA3F92" w:rsidRPr="007D0D5E">
        <w:t xml:space="preserve">iembros </w:t>
      </w:r>
      <w:r w:rsidRPr="007D0D5E">
        <w:t xml:space="preserve">del Comité elegibles es limitada, y se espera que el porcentaje levemente reducido continuará siendo más que suficiente, pues en valores absolutos la reducción es de </w:t>
      </w:r>
      <w:r w:rsidRPr="00DF393C">
        <w:t>6</w:t>
      </w:r>
      <w:r w:rsidR="006064B2">
        <w:t>.</w:t>
      </w:r>
      <w:r w:rsidRPr="007D0D5E">
        <w:t>816 </w:t>
      </w:r>
      <w:r w:rsidR="006064B2">
        <w:t>dólares</w:t>
      </w:r>
      <w:r w:rsidR="006064B2" w:rsidRPr="007D0D5E">
        <w:t xml:space="preserve">. </w:t>
      </w:r>
      <w:r w:rsidRPr="007D0D5E">
        <w:t xml:space="preserve">Además, los representantes de los Estados </w:t>
      </w:r>
      <w:r w:rsidR="00FA3F92">
        <w:t>m</w:t>
      </w:r>
      <w:r w:rsidR="00FA3F92" w:rsidRPr="007D0D5E">
        <w:t xml:space="preserve">iembros </w:t>
      </w:r>
      <w:r w:rsidRPr="007D0D5E">
        <w:t xml:space="preserve">del Comité no pueden ser miembros del Órgano de </w:t>
      </w:r>
      <w:r w:rsidR="00FA3F92">
        <w:t>evaluación</w:t>
      </w:r>
      <w:r w:rsidRPr="007D0D5E">
        <w:t xml:space="preserve">, y por ende no habrá costos relativos a la evaluación de expedientes asignados a esa partida. Por otro lado, los miembros individuales del Órgano de </w:t>
      </w:r>
      <w:r w:rsidR="00FA3F92">
        <w:t>evaluación</w:t>
      </w:r>
      <w:r w:rsidRPr="007D0D5E">
        <w:t xml:space="preserve"> participan actualmente como representes de un Estado Parte y los costos de su participación en las reuniones del Órgano son, en consecuencia, deducibles de la partida presupuestaria 5. Considerando que el porcentaje mantenido a 2,75 % representa un incremento en la asignación para el próximo bienio (</w:t>
      </w:r>
      <w:r w:rsidRPr="00DF393C">
        <w:t>17,74</w:t>
      </w:r>
      <w:r w:rsidRPr="007D0D5E">
        <w:t xml:space="preserve"> % de la asignación de 2014-2015, es decir un incremento de 32 953 $), los fondos disponibles para esta partida deben seguir permitiendo la participación en el Comité de expertos en patrimonio cultural inmaterial que representan Estados Partes en desarrollo, y de los miembros del Órgano de </w:t>
      </w:r>
      <w:r w:rsidR="00FA3F92">
        <w:t>evaluación</w:t>
      </w:r>
      <w:r w:rsidRPr="007D0D5E">
        <w:t xml:space="preserve"> en sus reuniones.</w:t>
      </w:r>
    </w:p>
    <w:p w14:paraId="6FD37ED7" w14:textId="4F9DCA22" w:rsidR="00CF0F9D" w:rsidRPr="007D0D5E" w:rsidRDefault="00CF0F9D" w:rsidP="004E5075">
      <w:pPr>
        <w:pStyle w:val="5GAparabodytext"/>
      </w:pPr>
      <w:r w:rsidRPr="007D0D5E">
        <w:t>Se propone asimismo que la</w:t>
      </w:r>
      <w:r w:rsidRPr="007D0D5E">
        <w:rPr>
          <w:b/>
        </w:rPr>
        <w:t xml:space="preserve"> partida presupuestaria 6</w:t>
      </w:r>
      <w:r w:rsidRPr="007D0D5E">
        <w:t xml:space="preserve"> sea mantenida a 4,5 %. En el bienio previo, este porcentaje ha sido suficiente para cubrir la participación de expertos en patrimonio cultural inmaterial que representan organizaciones no gubernamentales acreditadas tanto en las reuniones del Comité – cuando provienen de países en vías de desarrollo – como en las reuniones del Órgano Consultativo en 2014 y en las reuniones del Órgano de </w:t>
      </w:r>
      <w:r w:rsidR="00FA3F92">
        <w:t>evaluación</w:t>
      </w:r>
      <w:r w:rsidRPr="007D0D5E">
        <w:t xml:space="preserve"> en 2015 – cuando son </w:t>
      </w:r>
      <w:r w:rsidR="00FA3F92" w:rsidRPr="002D10DF">
        <w:t>miembros</w:t>
      </w:r>
      <w:r w:rsidR="00FA3F92" w:rsidRPr="007D0D5E">
        <w:t xml:space="preserve"> </w:t>
      </w:r>
      <w:r w:rsidRPr="007D0D5E">
        <w:t xml:space="preserve">elegidos como. Además, como lo indica el párrafo anterior, los individuos que forman parte del Órgano de </w:t>
      </w:r>
      <w:r w:rsidR="00FA3F92">
        <w:t>evaluación</w:t>
      </w:r>
      <w:r w:rsidRPr="007D0D5E">
        <w:t xml:space="preserve"> ya no lo hacen en calidad de expertos independientes sino como representantes de un Estado Parte, esta partida será </w:t>
      </w:r>
      <w:r w:rsidR="00FA3F92">
        <w:t>relevada de ese gasto</w:t>
      </w:r>
      <w:r w:rsidR="00FA3F92" w:rsidRPr="007D0D5E">
        <w:t xml:space="preserve"> </w:t>
      </w:r>
      <w:r w:rsidRPr="007D0D5E">
        <w:t>y los fondos serán suficientes para cubrir las necesidades.</w:t>
      </w:r>
    </w:p>
    <w:p w14:paraId="1FB5F073" w14:textId="53D0EA2F" w:rsidR="00CF0F9D" w:rsidRPr="007D0D5E" w:rsidRDefault="00CF0F9D" w:rsidP="004E5075">
      <w:pPr>
        <w:pStyle w:val="5GAparabodytext"/>
      </w:pPr>
      <w:r w:rsidRPr="007D0D5E">
        <w:t xml:space="preserve">La </w:t>
      </w:r>
      <w:r w:rsidRPr="007D0D5E">
        <w:rPr>
          <w:b/>
        </w:rPr>
        <w:t>partida presupuestaria 7</w:t>
      </w:r>
      <w:r w:rsidRPr="007D0D5E">
        <w:t xml:space="preserve"> cubre los costos de los servicios de asesoramiento provistos a pedido del Comité (6 %). El incremento propuesto, del 5,5 % al 6 % – y que absorbe la reducción de la partida presupuestaria 4 – se debe a la necesidad de contar con un monto disponible, al comienzo de los años pares, que sea suficiente para establecer los contratos de los miembros </w:t>
      </w:r>
      <w:r w:rsidR="001277B1" w:rsidRPr="00C32522">
        <w:t xml:space="preserve">del Órgano de </w:t>
      </w:r>
      <w:r w:rsidR="001277B1">
        <w:t>evaluación</w:t>
      </w:r>
      <w:r w:rsidR="001277B1" w:rsidRPr="007D0D5E" w:rsidDel="001277B1">
        <w:t xml:space="preserve"> </w:t>
      </w:r>
      <w:r w:rsidR="001277B1" w:rsidRPr="007D0D5E">
        <w:t>elegibles</w:t>
      </w:r>
      <w:r w:rsidRPr="007D0D5E">
        <w:t xml:space="preserve"> para una compensación financiera . El Comité establece el Órgano de </w:t>
      </w:r>
      <w:r w:rsidR="00FA3F92">
        <w:t>evaluación</w:t>
      </w:r>
      <w:r w:rsidRPr="007D0D5E">
        <w:t xml:space="preserve"> al final de cada año y el Órgano se reúne, por primera vez en un ciclo, en el primer cuarto del año. </w:t>
      </w:r>
      <w:r w:rsidR="001277B1">
        <w:t xml:space="preserve">Los miembros con derecho a ser contratados </w:t>
      </w:r>
      <w:r w:rsidRPr="007D0D5E">
        <w:t>debe</w:t>
      </w:r>
      <w:r w:rsidR="001277B1">
        <w:t>n serlo</w:t>
      </w:r>
      <w:r w:rsidRPr="007D0D5E">
        <w:t xml:space="preserve"> antes de su desplazamiento. Por ende, el presupuesto requerido para cubrir todos los contratos debe estar disponible al comienzo del año, </w:t>
      </w:r>
      <w:r w:rsidR="00A61C17">
        <w:t>a pesar de que</w:t>
      </w:r>
      <w:r w:rsidRPr="007D0D5E">
        <w:t xml:space="preserve"> los pagos se realizan a lo largo del año. Sin embargo, en los años pares los fondos disponibles al comienzo de cada año corresponden al cuarto del monto asignado en el bienio anterior, a la espera de la reunión de la Asamblea General en </w:t>
      </w:r>
      <w:r w:rsidR="001841BA">
        <w:t>junio</w:t>
      </w:r>
      <w:r w:rsidRPr="007D0D5E">
        <w:t>, que decide sobre la asignación de todo el bienio. Por ende, es necesario un porcentaje más elevado para garantizar que un cuarto del total de la asignación es suficiente para cubrir todos los contratos de los años pares.</w:t>
      </w:r>
    </w:p>
    <w:p w14:paraId="21D62673" w14:textId="20BF0965" w:rsidR="00AF1052" w:rsidRPr="007D0D5E" w:rsidRDefault="00CF0F9D" w:rsidP="004E5075">
      <w:pPr>
        <w:pStyle w:val="5GAparabodytext"/>
      </w:pPr>
      <w:r w:rsidRPr="007D0D5E">
        <w:t xml:space="preserve">El Reglamento Financiero del Fondo del Patrimonio Cultural Inmaterial estipula la creación de un </w:t>
      </w:r>
      <w:r w:rsidRPr="007D0D5E">
        <w:rPr>
          <w:b/>
        </w:rPr>
        <w:t>Fondo de Reserva</w:t>
      </w:r>
      <w:r w:rsidRPr="007D0D5E">
        <w:t xml:space="preserve"> para responder a las solicitudes de asistencia urgentes, como lo prevé el </w:t>
      </w:r>
      <w:r w:rsidR="007D0D5E" w:rsidRPr="007D0D5E">
        <w:t>artículo</w:t>
      </w:r>
      <w:r w:rsidRPr="007D0D5E">
        <w:t xml:space="preserve"> 22.2 de la Convención. A partir del 31 de </w:t>
      </w:r>
      <w:r w:rsidR="007D0D5E" w:rsidRPr="007D0D5E">
        <w:t>diciembre</w:t>
      </w:r>
      <w:r w:rsidRPr="007D0D5E">
        <w:t xml:space="preserve"> de 2015, el Fondo de Reserva </w:t>
      </w:r>
      <w:r w:rsidR="00A80E04">
        <w:t>era de</w:t>
      </w:r>
      <w:r w:rsidR="00A80E04" w:rsidRPr="007D0D5E">
        <w:t xml:space="preserve"> </w:t>
      </w:r>
      <w:r w:rsidR="00A80E04">
        <w:t> </w:t>
      </w:r>
      <w:r w:rsidR="00A80E04" w:rsidRPr="007D0D5E">
        <w:t>975</w:t>
      </w:r>
      <w:r w:rsidR="00A80E04">
        <w:t>.</w:t>
      </w:r>
      <w:r w:rsidRPr="007D0D5E">
        <w:t>810 </w:t>
      </w:r>
      <w:r w:rsidR="00A80E04">
        <w:t>dólares</w:t>
      </w:r>
      <w:r w:rsidR="00A80E04" w:rsidRPr="007D0D5E">
        <w:t xml:space="preserve"> </w:t>
      </w:r>
      <w:r w:rsidRPr="007D0D5E">
        <w:t xml:space="preserve">(Declaración </w:t>
      </w:r>
      <w:r w:rsidR="00A80E04">
        <w:t>financiera </w:t>
      </w:r>
      <w:r w:rsidRPr="007D0D5E">
        <w:t xml:space="preserve">II del documento </w:t>
      </w:r>
      <w:r w:rsidRPr="00DF393C">
        <w:t>ITH/16/6.GA/INF.9.1</w:t>
      </w:r>
      <w:r w:rsidRPr="007D0D5E">
        <w:t xml:space="preserve">). Considerando que esta reserva será utilizada en casos de asistencia urgente </w:t>
      </w:r>
      <w:r w:rsidRPr="007D0D5E">
        <w:rPr>
          <w:i/>
        </w:rPr>
        <w:t>únicamente</w:t>
      </w:r>
      <w:r w:rsidRPr="007D0D5E">
        <w:t xml:space="preserve"> cuando los fondos de la partida presupuestaria 1 no estén disponibles, el Comité decidió, según lo estipulado por el </w:t>
      </w:r>
      <w:r w:rsidR="007D0D5E" w:rsidRPr="007D0D5E">
        <w:t>artículo</w:t>
      </w:r>
      <w:r w:rsidRPr="007D0D5E">
        <w:t xml:space="preserve"> 6 del Reglamento Financiero, fijar el monto del Fondo de Reserva a 1 millón de dólares (</w:t>
      </w:r>
      <w:hyperlink r:id="rId16" w:history="1">
        <w:r w:rsidRPr="00DF393C">
          <w:rPr>
            <w:rStyle w:val="Hyperlink"/>
          </w:rPr>
          <w:t>decisión 10.COM 8</w:t>
        </w:r>
      </w:hyperlink>
      <w:r w:rsidRPr="007D0D5E">
        <w:t xml:space="preserve">). Por </w:t>
      </w:r>
      <w:r w:rsidR="00EA7EFF">
        <w:t>lo tanto</w:t>
      </w:r>
      <w:r w:rsidRPr="007D0D5E">
        <w:t>, el proyecto anexo a continuación propone transferir al Fondo de Reserva únicamente el monto necesario para alcanzar la suma de 1 millón de dólares (24</w:t>
      </w:r>
      <w:r w:rsidR="00EA7EFF">
        <w:t>.</w:t>
      </w:r>
      <w:r w:rsidRPr="007D0D5E">
        <w:t>190 </w:t>
      </w:r>
      <w:r w:rsidR="00EA7EFF">
        <w:t>dólares</w:t>
      </w:r>
      <w:r w:rsidR="00EA7EFF" w:rsidRPr="007D0D5E">
        <w:t xml:space="preserve">) </w:t>
      </w:r>
      <w:r w:rsidRPr="007D0D5E">
        <w:t>y que ya no se fije un porcentaje.</w:t>
      </w:r>
    </w:p>
    <w:p w14:paraId="2F8DC5DF" w14:textId="77777777" w:rsidR="00EB3866" w:rsidRPr="007D0D5E" w:rsidRDefault="00EB3866" w:rsidP="00EB3866">
      <w:pPr>
        <w:pStyle w:val="Default"/>
        <w:keepNext/>
        <w:spacing w:before="360" w:after="120"/>
        <w:ind w:left="567"/>
        <w:jc w:val="both"/>
        <w:rPr>
          <w:b/>
          <w:bCs/>
          <w:sz w:val="22"/>
          <w:szCs w:val="22"/>
        </w:rPr>
      </w:pPr>
      <w:r w:rsidRPr="007D0D5E">
        <w:rPr>
          <w:b/>
          <w:sz w:val="22"/>
        </w:rPr>
        <w:lastRenderedPageBreak/>
        <w:t>Perspectivas para futuros ciclos presupuestarios</w:t>
      </w:r>
    </w:p>
    <w:p w14:paraId="6CECC969" w14:textId="00D9D45D" w:rsidR="003B61C2" w:rsidRPr="007D0D5E" w:rsidRDefault="003B61C2" w:rsidP="00490911">
      <w:pPr>
        <w:pStyle w:val="5GAparabodytext"/>
      </w:pPr>
      <w:r w:rsidRPr="00DF393C">
        <w:t xml:space="preserve">A la fecha, los </w:t>
      </w:r>
      <w:r w:rsidR="00EA7EFF" w:rsidRPr="00DF393C">
        <w:t>16</w:t>
      </w:r>
      <w:r w:rsidR="00EA7EFF">
        <w:t>6</w:t>
      </w:r>
      <w:r w:rsidR="00EA7EFF" w:rsidRPr="00DF393C">
        <w:t xml:space="preserve"> </w:t>
      </w:r>
      <w:r w:rsidRPr="00DF393C">
        <w:t>Estados Partes</w:t>
      </w:r>
      <w:r w:rsidRPr="007D0D5E">
        <w:t xml:space="preserve"> de la Convención representan más del </w:t>
      </w:r>
      <w:r w:rsidRPr="00DF393C">
        <w:t>60</w:t>
      </w:r>
      <w:r w:rsidRPr="007D0D5E">
        <w:t> %</w:t>
      </w:r>
      <w:r w:rsidRPr="00DF393C">
        <w:t xml:space="preserve"> </w:t>
      </w:r>
      <w:r w:rsidRPr="007D0D5E">
        <w:t xml:space="preserve">de todas las contribuciones asignadas al presupuesto ordinario de la UNESCO, con los índices para contribuciones asignadas a la Convención fijados al 1 % de </w:t>
      </w:r>
      <w:r w:rsidR="00EA7EFF">
        <w:t>la</w:t>
      </w:r>
      <w:r w:rsidR="00EA7EFF" w:rsidRPr="007D0D5E">
        <w:t xml:space="preserve"> </w:t>
      </w:r>
      <w:r w:rsidRPr="007D0D5E">
        <w:t xml:space="preserve">contribución </w:t>
      </w:r>
      <w:r w:rsidR="00EA7EFF">
        <w:t>de cada Estado</w:t>
      </w:r>
      <w:r w:rsidR="00EA7EFF" w:rsidRPr="007D0D5E">
        <w:t xml:space="preserve"> </w:t>
      </w:r>
      <w:r w:rsidRPr="007D0D5E">
        <w:t xml:space="preserve">al presupuesto ordinario de la UNESCO. </w:t>
      </w:r>
      <w:r w:rsidR="00EA7EFF">
        <w:t>Como en el</w:t>
      </w:r>
      <w:r w:rsidRPr="007D0D5E">
        <w:t xml:space="preserve"> bienio previo, el Fondo recibirá aproximadamente 4 millones de dólares en contribuciones asignadas de los Estados Partes en 2016-2017 (3,5 millones de dólares en contribuciones </w:t>
      </w:r>
      <w:r w:rsidR="00EA7EFF" w:rsidRPr="00E40DA8">
        <w:t>asignadas</w:t>
      </w:r>
      <w:r w:rsidR="00EA7EFF" w:rsidRPr="007D0D5E">
        <w:t xml:space="preserve"> </w:t>
      </w:r>
      <w:r w:rsidRPr="007D0D5E">
        <w:t xml:space="preserve">obligatorias y 0,5 millones de dólares en contribuciones </w:t>
      </w:r>
      <w:r w:rsidR="00EA7EFF">
        <w:t xml:space="preserve">asignadas </w:t>
      </w:r>
      <w:r w:rsidRPr="007D0D5E">
        <w:t xml:space="preserve">voluntarias). En cada bienio previo, los ingresos al Fondo excedieron los gastos y el </w:t>
      </w:r>
      <w:r w:rsidR="00EA7EFF">
        <w:t>saldo</w:t>
      </w:r>
      <w:r w:rsidR="00EA7EFF" w:rsidRPr="007D0D5E">
        <w:t xml:space="preserve"> </w:t>
      </w:r>
      <w:r w:rsidRPr="007D0D5E">
        <w:t xml:space="preserve">de fondos sin restricciones y no comprometidos al final del bienio ha aumentado ininterrumpidamente. </w:t>
      </w:r>
      <w:r w:rsidR="00EA7EFF">
        <w:t>Sin embargo, e</w:t>
      </w:r>
      <w:r w:rsidR="00EA7EFF" w:rsidRPr="007D0D5E">
        <w:t xml:space="preserve">l </w:t>
      </w:r>
      <w:r w:rsidR="00EA7EFF">
        <w:t>saldo</w:t>
      </w:r>
      <w:r w:rsidR="00EA7EFF" w:rsidRPr="007D0D5E">
        <w:t xml:space="preserve"> </w:t>
      </w:r>
      <w:r w:rsidRPr="007D0D5E">
        <w:t xml:space="preserve">de los fondos sin restricciones y no comprometidos a 31 de </w:t>
      </w:r>
      <w:r w:rsidR="007D0D5E" w:rsidRPr="007D0D5E">
        <w:t>diciembre</w:t>
      </w:r>
      <w:r w:rsidRPr="007D0D5E">
        <w:t xml:space="preserve"> de 2015 muestra un incremento similar (18 %) comparado al bienio anterior (16 %). </w:t>
      </w:r>
    </w:p>
    <w:p w14:paraId="52F7B356" w14:textId="0FB29054" w:rsidR="00AE7164" w:rsidRPr="007D0D5E" w:rsidRDefault="00AE7164" w:rsidP="00A53E7F">
      <w:pPr>
        <w:pStyle w:val="5GAparabodytext"/>
      </w:pPr>
      <w:r w:rsidRPr="007D0D5E">
        <w:t xml:space="preserve">Existen dos factores que explican esta situación: el primero radica en que los Estados Partes han contribuido al Fondo desde que la Convención entró en vigor en 2006, mientras que el mecanismo principal para utilizar el Fondo – asistencia internacional – fue establecido en 2008. Las primeras solicitudes de dicha asistencia fueron presentadas al Comité en 2009 y su </w:t>
      </w:r>
      <w:r w:rsidR="00EA7EFF">
        <w:t>ejecución</w:t>
      </w:r>
      <w:r w:rsidR="00EA7EFF" w:rsidRPr="007D0D5E">
        <w:t xml:space="preserve"> </w:t>
      </w:r>
      <w:r w:rsidRPr="007D0D5E">
        <w:t>comenzó en 2010. Por ende, hubo una acumulación continua de ingresos durante cuatro años antes de que comenzaran los gastos. El otro factor es el siguiente: a pesar de que el párrafo 66 de las Directrices Operativas indica que los recursos del Fondo «deben ser utilizados principalmente para ofrecer asistencia internacional», el ritmo de utilización de dichos fondos, que depende en primer lugar de la cantidad de solicitudes presentadas por los Estados Partes y aprobadas por el Comité o su Mesa, sigue siendo muy bajo (13 % para el periodo 2014-2015).</w:t>
      </w:r>
    </w:p>
    <w:p w14:paraId="48E69DED" w14:textId="60519F65" w:rsidR="00A53E7F" w:rsidRPr="007D0D5E" w:rsidRDefault="00B11DE2" w:rsidP="00A53E7F">
      <w:pPr>
        <w:pStyle w:val="5GAparabodytext"/>
      </w:pPr>
      <w:r w:rsidRPr="007D0D5E">
        <w:rPr>
          <w:rStyle w:val="hps"/>
        </w:rPr>
        <w:t>A pesar de que</w:t>
      </w:r>
      <w:r w:rsidRPr="007D0D5E">
        <w:t xml:space="preserve"> </w:t>
      </w:r>
      <w:r w:rsidRPr="007D0D5E">
        <w:rPr>
          <w:rStyle w:val="hps"/>
        </w:rPr>
        <w:t xml:space="preserve">la cantidad </w:t>
      </w:r>
      <w:r w:rsidRPr="007D0D5E">
        <w:t xml:space="preserve">de solicitudes de asistencia internacional </w:t>
      </w:r>
      <w:r w:rsidRPr="007D0D5E">
        <w:rPr>
          <w:rStyle w:val="hps"/>
        </w:rPr>
        <w:t>presentadas por los Estados</w:t>
      </w:r>
      <w:r w:rsidRPr="007D0D5E">
        <w:t xml:space="preserve"> </w:t>
      </w:r>
      <w:r w:rsidRPr="007D0D5E">
        <w:rPr>
          <w:rStyle w:val="hps"/>
        </w:rPr>
        <w:t>Partes sigue siendo reducida (un promedio de 16 por año desde 2010), una serie de</w:t>
      </w:r>
      <w:r w:rsidRPr="007D0D5E">
        <w:t xml:space="preserve"> </w:t>
      </w:r>
      <w:r w:rsidRPr="007D0D5E">
        <w:rPr>
          <w:rStyle w:val="hps"/>
        </w:rPr>
        <w:t>medidas proactivas han sido propuestas por el Comité en</w:t>
      </w:r>
      <w:r w:rsidRPr="007D0D5E">
        <w:t xml:space="preserve"> </w:t>
      </w:r>
      <w:r w:rsidRPr="007D0D5E">
        <w:rPr>
          <w:rStyle w:val="hps"/>
        </w:rPr>
        <w:t>su</w:t>
      </w:r>
      <w:r w:rsidRPr="007D0D5E">
        <w:t xml:space="preserve"> </w:t>
      </w:r>
      <w:r w:rsidRPr="007D0D5E">
        <w:rPr>
          <w:rStyle w:val="hps"/>
        </w:rPr>
        <w:t>última reunión</w:t>
      </w:r>
      <w:r w:rsidRPr="007D0D5E">
        <w:t xml:space="preserve">. Como se anuncia en el </w:t>
      </w:r>
      <w:r w:rsidRPr="00DF393C">
        <w:t>párrafo 10</w:t>
      </w:r>
      <w:r w:rsidRPr="007D0D5E">
        <w:t xml:space="preserve">, se abre una nueva perspectiva mediante la revisión de las Directrices Operativas recomendada por el Comité y examinada por la Asamblea General en su presente reunión en el documento ITH/16/6.GA/7. Al incrementar las cantidades máximas de solicitudes que pueden ser examinadas por la Mesa de </w:t>
      </w:r>
      <w:r w:rsidR="00EA7EFF" w:rsidRPr="007D0D5E">
        <w:t>25</w:t>
      </w:r>
      <w:r w:rsidR="00EA7EFF">
        <w:t>.</w:t>
      </w:r>
      <w:r w:rsidRPr="007D0D5E">
        <w:t>000 </w:t>
      </w:r>
      <w:r w:rsidR="00EA7EFF">
        <w:t>dólares</w:t>
      </w:r>
      <w:r w:rsidR="00EA7EFF" w:rsidRPr="007D0D5E">
        <w:t xml:space="preserve"> </w:t>
      </w:r>
      <w:r w:rsidRPr="007D0D5E">
        <w:t xml:space="preserve">a </w:t>
      </w:r>
      <w:r w:rsidR="00EA7EFF">
        <w:t> </w:t>
      </w:r>
      <w:r w:rsidR="00EA7EFF" w:rsidRPr="007D0D5E">
        <w:t>100</w:t>
      </w:r>
      <w:r w:rsidR="00EA7EFF">
        <w:t>.</w:t>
      </w:r>
      <w:r w:rsidRPr="007D0D5E">
        <w:t>000 </w:t>
      </w:r>
      <w:r w:rsidR="00EA7EFF">
        <w:t>dólares</w:t>
      </w:r>
      <w:r w:rsidR="00EA7EFF" w:rsidRPr="007D0D5E">
        <w:t xml:space="preserve">, </w:t>
      </w:r>
      <w:r w:rsidRPr="007D0D5E">
        <w:t xml:space="preserve">los Estados tendrán la oportunidad de </w:t>
      </w:r>
      <w:r w:rsidR="00EA7EFF">
        <w:t>que se les examine una solicitud</w:t>
      </w:r>
      <w:r w:rsidRPr="007D0D5E">
        <w:t xml:space="preserve"> de hasta 100 000 $ y una candidatura en el mismo año, pues su </w:t>
      </w:r>
      <w:r w:rsidR="00EA7EFF">
        <w:t>examen</w:t>
      </w:r>
      <w:r w:rsidR="00EA7EFF" w:rsidRPr="007D0D5E">
        <w:t xml:space="preserve"> </w:t>
      </w:r>
      <w:r w:rsidRPr="007D0D5E">
        <w:t>ya no estará a cargo del mismo órgano. Además, puesto que estas solicitudes pueden ser presentadas en cualquier momento del año y la Mesa se reúne entre tres y cuatro veces por año – incluyendo consultas electrónicas – mientras que el Comité se reúne sólo una, deberían presentarse más oportunidades para conceder dichas solicitudes.</w:t>
      </w:r>
    </w:p>
    <w:p w14:paraId="03A7BD31" w14:textId="472AC237" w:rsidR="00A8342D" w:rsidRPr="007D0D5E" w:rsidRDefault="007A3E7A" w:rsidP="00A53E7F">
      <w:pPr>
        <w:pStyle w:val="5GAparabodytext"/>
      </w:pPr>
      <w:r w:rsidRPr="007D0D5E">
        <w:t xml:space="preserve">La otra perspectiva se abre mediante la interpretación ampliada del </w:t>
      </w:r>
      <w:r w:rsidR="007D0D5E" w:rsidRPr="007D0D5E">
        <w:t>artículo</w:t>
      </w:r>
      <w:r w:rsidRPr="007D0D5E">
        <w:t xml:space="preserve"> 21 y la promoción de la asistencia, no necesariamente como una concesión de fondos sino como servicios provistos por la UNESCO. A la fecha, el </w:t>
      </w:r>
      <w:r w:rsidR="007D0D5E" w:rsidRPr="007D0D5E">
        <w:t>artículo</w:t>
      </w:r>
      <w:r w:rsidRPr="007D0D5E">
        <w:t xml:space="preserve"> 21 de la Convención relativo a las formas de asistencia internacional ha sido interpretado por los Estados Partes y la Secretaría de forma restringida, sólo en el sentido del párrafo (g), es decir la asistencia financiera, y en particular las donaciones. Sin embargo, el </w:t>
      </w:r>
      <w:r w:rsidR="007D0D5E" w:rsidRPr="007D0D5E">
        <w:t>artículo</w:t>
      </w:r>
      <w:r w:rsidRPr="007D0D5E">
        <w:t xml:space="preserve"> 21 se refiere a otras formas de asistencia, tales como estudios relativos a los diferentes aspectos de la salvaguardia (párrafo [a]), los servicios de expertos y </w:t>
      </w:r>
      <w:r w:rsidR="00EA7EFF">
        <w:t>otras personas con experiencia práctica</w:t>
      </w:r>
      <w:r w:rsidR="00EA7EFF" w:rsidRPr="007D0D5E">
        <w:t xml:space="preserve"> </w:t>
      </w:r>
      <w:r w:rsidRPr="007D0D5E">
        <w:t xml:space="preserve">(párrafo [b]), la formación de todo el personal necesario (párrafo [c]), la elaboración de medidas normativas o de otra índole (párrafo [d]), la creación y utilización de infraestructuras (párrafo [e]), el aporte de material y de conocimientos especializados (párrafo [f]), que no requieren necesariamente la transferencia de fondos sino la provisión de servicios del Fondo para apoyar al estado solicitante en sus esfuerzos de salvaguardia. Al promover estas otras formas de </w:t>
      </w:r>
      <w:r w:rsidR="00EA7EFF">
        <w:t>a</w:t>
      </w:r>
      <w:r w:rsidR="00EA7EFF" w:rsidRPr="007D0D5E">
        <w:t xml:space="preserve">sistencia </w:t>
      </w:r>
      <w:r w:rsidR="00EA7EFF">
        <w:t>i</w:t>
      </w:r>
      <w:r w:rsidR="00EA7EFF" w:rsidRPr="007D0D5E">
        <w:t xml:space="preserve">nternacional </w:t>
      </w:r>
      <w:r w:rsidRPr="007D0D5E">
        <w:t xml:space="preserve">y en particular aquellas previstas en los párrafos b y c, </w:t>
      </w:r>
      <w:r w:rsidR="00EA7EFF">
        <w:t xml:space="preserve">se espera que </w:t>
      </w:r>
      <w:r w:rsidR="00EA7EFF" w:rsidRPr="004303AD">
        <w:t xml:space="preserve">los Estados se </w:t>
      </w:r>
      <w:r w:rsidR="00EA7EFF">
        <w:t>liberen</w:t>
      </w:r>
      <w:r w:rsidR="00EA7EFF" w:rsidRPr="004303AD">
        <w:t xml:space="preserve"> de la carga de </w:t>
      </w:r>
      <w:r w:rsidR="00EA7EFF">
        <w:t>tener que calcular el costo de</w:t>
      </w:r>
      <w:r w:rsidR="00EA7EFF" w:rsidRPr="004303AD">
        <w:t xml:space="preserve"> sus necesidades y prioridades</w:t>
      </w:r>
      <w:r w:rsidR="00EA7EFF" w:rsidRPr="007D0D5E">
        <w:t xml:space="preserve"> </w:t>
      </w:r>
      <w:r w:rsidRPr="007D0D5E">
        <w:t xml:space="preserve">al presentar a los Órganos </w:t>
      </w:r>
      <w:r w:rsidR="00EA7EFF">
        <w:t>r</w:t>
      </w:r>
      <w:r w:rsidR="00EA7EFF" w:rsidRPr="007D0D5E">
        <w:t xml:space="preserve">ectores </w:t>
      </w:r>
      <w:r w:rsidRPr="007D0D5E">
        <w:t xml:space="preserve">solicitudes derivadas de una estrecha cooperación entre el Estado solicitante y la Secretaría. En consecuencia, es probable que mejore el uso de recursos dedicados a la asistencia </w:t>
      </w:r>
      <w:r w:rsidRPr="007D0D5E">
        <w:lastRenderedPageBreak/>
        <w:t xml:space="preserve">internacional. El Comité avaló esta interpretación más completa y precisa del </w:t>
      </w:r>
      <w:r w:rsidR="007D0D5E" w:rsidRPr="007D0D5E">
        <w:t>artículo</w:t>
      </w:r>
      <w:r w:rsidRPr="007D0D5E">
        <w:t xml:space="preserve"> 21, como lo demuestra su </w:t>
      </w:r>
      <w:hyperlink r:id="rId17" w:history="1">
        <w:r w:rsidRPr="00DF393C">
          <w:rPr>
            <w:rStyle w:val="Hyperlink"/>
          </w:rPr>
          <w:t>decisión 10.COM 8</w:t>
        </w:r>
      </w:hyperlink>
      <w:r w:rsidRPr="007D0D5E">
        <w:t xml:space="preserve"> mediante la cual se solicita a la Secretaría «revisar el </w:t>
      </w:r>
      <w:r w:rsidR="00E72D83">
        <w:t>f</w:t>
      </w:r>
      <w:r w:rsidR="00E72D83" w:rsidRPr="007D0D5E">
        <w:t xml:space="preserve">ormulario </w:t>
      </w:r>
      <w:r w:rsidRPr="007D0D5E">
        <w:t xml:space="preserve">ICH-04 para que refleje mejor las disposiciones del </w:t>
      </w:r>
      <w:r w:rsidR="007D0D5E" w:rsidRPr="007D0D5E">
        <w:t>artículo</w:t>
      </w:r>
      <w:r w:rsidRPr="007D0D5E">
        <w:t xml:space="preserve"> 21 de la Convención relativas a las formas de Asistencia Internacional». Sin embargo, es importante destacar que ambas perspectivas implicarán un incremento importante de la carga laboral de la Secretaría.</w:t>
      </w:r>
    </w:p>
    <w:p w14:paraId="5511B733" w14:textId="07331AFA" w:rsidR="00AE7164" w:rsidRPr="007D0D5E" w:rsidRDefault="004E5075" w:rsidP="004E5075">
      <w:pPr>
        <w:pStyle w:val="5GAparabodytext"/>
        <w:rPr>
          <w:rStyle w:val="hps"/>
        </w:rPr>
      </w:pPr>
      <w:r w:rsidRPr="007D0D5E">
        <w:t>El incremento en la utilización del formulario combinado ICH-01 bis (</w:t>
      </w:r>
      <w:hyperlink r:id="rId18">
        <w:r w:rsidR="007D0D5E" w:rsidRPr="007D0D5E">
          <w:rPr>
            <w:rStyle w:val="Hyperlink"/>
          </w:rPr>
          <w:t>decisión</w:t>
        </w:r>
        <w:r w:rsidRPr="007D0D5E">
          <w:rPr>
            <w:rStyle w:val="Hyperlink"/>
          </w:rPr>
          <w:t> 9.COM 9</w:t>
        </w:r>
      </w:hyperlink>
      <w:r w:rsidRPr="007D0D5E">
        <w:t xml:space="preserve">), que permite a los Estados Partes </w:t>
      </w:r>
      <w:r w:rsidR="00E72D83">
        <w:t>proponer</w:t>
      </w:r>
      <w:r w:rsidR="00E72D83" w:rsidRPr="007D0D5E">
        <w:t xml:space="preserve"> </w:t>
      </w:r>
      <w:r w:rsidRPr="007D0D5E">
        <w:t xml:space="preserve">un elemento para su inscripción en la Lista de Salvaguardia Urgente y solicitar simultáneamente asistencia internacional al Fondo del Patrimonio Cultural Inmaterial para apoyar el plan de salvaguardia propuesto, y de la asistencia técnica para la elaboración de solicitudes de Asistencia Internacional mediante los servicios de expertos también implicará un aumento de la utilización de la </w:t>
      </w:r>
      <w:r w:rsidR="00E72D83">
        <w:t>a</w:t>
      </w:r>
      <w:r w:rsidRPr="007D0D5E">
        <w:t xml:space="preserve">sistencia </w:t>
      </w:r>
      <w:r w:rsidR="00E72D83">
        <w:t>i</w:t>
      </w:r>
      <w:r w:rsidRPr="007D0D5E">
        <w:t>nternacional</w:t>
      </w:r>
      <w:r w:rsidR="00E72D83">
        <w:t>.</w:t>
      </w:r>
      <w:r w:rsidRPr="007D0D5E">
        <w:t xml:space="preserve"> </w:t>
      </w:r>
      <w:r w:rsidR="00E72D83">
        <w:t>A</w:t>
      </w:r>
      <w:r w:rsidR="00E72D83" w:rsidRPr="007D0D5E">
        <w:t xml:space="preserve"> </w:t>
      </w:r>
      <w:r w:rsidRPr="007D0D5E">
        <w:t>largo plazo</w:t>
      </w:r>
      <w:r w:rsidR="00E72D83">
        <w:t>,</w:t>
      </w:r>
      <w:r w:rsidRPr="007D0D5E">
        <w:t xml:space="preserve"> </w:t>
      </w:r>
      <w:r w:rsidR="00E72D83">
        <w:t>e</w:t>
      </w:r>
      <w:r w:rsidR="00E72D83" w:rsidRPr="007D0D5E">
        <w:t xml:space="preserve">l </w:t>
      </w:r>
      <w:r w:rsidRPr="007D0D5E">
        <w:t xml:space="preserve">apoyo del Fondo para el programa de </w:t>
      </w:r>
      <w:r w:rsidR="00E72D83">
        <w:t>fortalecimiento</w:t>
      </w:r>
      <w:r w:rsidR="00E72D83" w:rsidRPr="007D0D5E">
        <w:t xml:space="preserve"> </w:t>
      </w:r>
      <w:r w:rsidRPr="007D0D5E">
        <w:t xml:space="preserve">de capacidades (gracias a las contribuciones asignadas a programas operativos concretos y a los fondos </w:t>
      </w:r>
      <w:r w:rsidR="00E72D83">
        <w:t>de</w:t>
      </w:r>
      <w:r w:rsidRPr="007D0D5E">
        <w:t xml:space="preserve"> la partida presupuestaria 3 que fueron utilizados, entre otros usos, para desarrollar materiales de capacitación sobre asistencia internacional) </w:t>
      </w:r>
      <w:r w:rsidRPr="007D0D5E">
        <w:rPr>
          <w:rStyle w:val="hps"/>
        </w:rPr>
        <w:t>también</w:t>
      </w:r>
      <w:r w:rsidRPr="007D0D5E">
        <w:t xml:space="preserve"> </w:t>
      </w:r>
      <w:r w:rsidRPr="007D0D5E">
        <w:rPr>
          <w:rStyle w:val="hps"/>
        </w:rPr>
        <w:t>tendrá un</w:t>
      </w:r>
      <w:r w:rsidRPr="007D0D5E">
        <w:t xml:space="preserve"> </w:t>
      </w:r>
      <w:r w:rsidRPr="007D0D5E">
        <w:rPr>
          <w:rStyle w:val="hps"/>
        </w:rPr>
        <w:t>impacto positivo en</w:t>
      </w:r>
      <w:r w:rsidRPr="007D0D5E">
        <w:t xml:space="preserve"> </w:t>
      </w:r>
      <w:r w:rsidRPr="007D0D5E">
        <w:rPr>
          <w:rStyle w:val="hps"/>
        </w:rPr>
        <w:t xml:space="preserve">la </w:t>
      </w:r>
      <w:r w:rsidRPr="007D0D5E">
        <w:t>utilización de los fondos presupuestados para la asistencia internacional</w:t>
      </w:r>
      <w:r w:rsidRPr="007D0D5E">
        <w:rPr>
          <w:rStyle w:val="hps"/>
        </w:rPr>
        <w:t>.</w:t>
      </w:r>
    </w:p>
    <w:p w14:paraId="23ADF46C" w14:textId="7C539FBE" w:rsidR="008F6379" w:rsidRPr="007D0D5E" w:rsidRDefault="0072414E" w:rsidP="004E5075">
      <w:pPr>
        <w:pStyle w:val="5GAparabodytext"/>
      </w:pPr>
      <w:r w:rsidRPr="007D0D5E">
        <w:t xml:space="preserve">En general, como en todos los fondos extrapresupuestarios, su </w:t>
      </w:r>
      <w:r w:rsidR="00E72D83">
        <w:t>ejecución</w:t>
      </w:r>
      <w:r w:rsidR="00E72D83" w:rsidRPr="007D0D5E">
        <w:t xml:space="preserve"> </w:t>
      </w:r>
      <w:r w:rsidRPr="007D0D5E">
        <w:t>eficaz también depende del cálculo preciso de los costos de actividad, incluyendo el tiempo de trabajo del personal. Los esfuerzos de la Secretaría para aplicar la política de recuperación de costos de la Organización cuando se utilizan recursos del Fondo, como lo solicitó el Comité (</w:t>
      </w:r>
      <w:hyperlink r:id="rId19" w:history="1">
        <w:r w:rsidR="007D0D5E" w:rsidRPr="00DF393C">
          <w:rPr>
            <w:rStyle w:val="Hyperlink"/>
          </w:rPr>
          <w:t>decisión</w:t>
        </w:r>
        <w:r w:rsidRPr="00DF393C">
          <w:rPr>
            <w:rStyle w:val="Hyperlink"/>
          </w:rPr>
          <w:t xml:space="preserve"> 8.COM 11</w:t>
        </w:r>
      </w:hyperlink>
      <w:r w:rsidRPr="007D0D5E">
        <w:t xml:space="preserve">) según lo establecido por el </w:t>
      </w:r>
      <w:r w:rsidR="007D0D5E" w:rsidRPr="007D0D5E">
        <w:t>artículo</w:t>
      </w:r>
      <w:r w:rsidRPr="007D0D5E">
        <w:t xml:space="preserve"> 5.2 del Reglamento Financiero, también tendrán un impacto positivo en la </w:t>
      </w:r>
      <w:r w:rsidR="00E72D83">
        <w:t>ejecución</w:t>
      </w:r>
      <w:r w:rsidR="00E72D83" w:rsidRPr="007D0D5E">
        <w:t xml:space="preserve"> </w:t>
      </w:r>
      <w:r w:rsidRPr="007D0D5E">
        <w:t xml:space="preserve">de la </w:t>
      </w:r>
      <w:r w:rsidR="00E72D83">
        <w:t>as</w:t>
      </w:r>
      <w:r w:rsidR="00E72D83" w:rsidRPr="007D0D5E">
        <w:t xml:space="preserve">istencia </w:t>
      </w:r>
      <w:r w:rsidR="00E72D83">
        <w:t>i</w:t>
      </w:r>
      <w:r w:rsidR="00E72D83" w:rsidRPr="007D0D5E">
        <w:t xml:space="preserve">nternacional </w:t>
      </w:r>
      <w:r w:rsidRPr="007D0D5E">
        <w:t xml:space="preserve">al permitir recuperar los costos de personal directamente empleados en la </w:t>
      </w:r>
      <w:r w:rsidR="009B78A4">
        <w:t>ejecución</w:t>
      </w:r>
      <w:r w:rsidR="009B78A4" w:rsidRPr="007D0D5E">
        <w:t xml:space="preserve"> </w:t>
      </w:r>
      <w:r w:rsidRPr="007D0D5E">
        <w:t xml:space="preserve">de los proyectos financiados o en la asistencia técnica. </w:t>
      </w:r>
    </w:p>
    <w:p w14:paraId="11F0183C" w14:textId="24D376E7" w:rsidR="004E5075" w:rsidRPr="007D0D5E" w:rsidRDefault="004E5075" w:rsidP="004E5075">
      <w:pPr>
        <w:pStyle w:val="5GAparabodytext"/>
      </w:pPr>
      <w:r w:rsidRPr="007D0D5E">
        <w:t xml:space="preserve">El objetivo para la utilización de los recursos del Fondo en el último bienio era que los gastos fuesen iguales o que incluso excediesen los ingresos generados por las contribuciones asignadas en este mismo periodo, lo que hubiese generado un </w:t>
      </w:r>
      <w:r w:rsidR="00EA7EFF">
        <w:t>saldo</w:t>
      </w:r>
      <w:r w:rsidR="00EA7EFF" w:rsidRPr="007D0D5E">
        <w:t xml:space="preserve"> </w:t>
      </w:r>
      <w:r w:rsidRPr="007D0D5E">
        <w:t xml:space="preserve">del </w:t>
      </w:r>
      <w:r w:rsidR="00EA7EFF">
        <w:t>F</w:t>
      </w:r>
      <w:r w:rsidR="00EA7EFF" w:rsidRPr="007D0D5E">
        <w:t xml:space="preserve">ondo </w:t>
      </w:r>
      <w:r w:rsidRPr="007D0D5E">
        <w:t xml:space="preserve">a finales de 2015 no superior al de finales de 2013. Considerando que no se logró el objetivo, parece razonable establecer la misma meta para el presente bienio, que está implementando la totalidad de los </w:t>
      </w:r>
      <w:r w:rsidR="009B78A4">
        <w:t>7.953.</w:t>
      </w:r>
      <w:r w:rsidR="009B78A4" w:rsidRPr="00C81630">
        <w:t>730</w:t>
      </w:r>
      <w:r w:rsidR="009B78A4">
        <w:t> dólares</w:t>
      </w:r>
      <w:r w:rsidRPr="007D0D5E">
        <w:t xml:space="preserve"> del Plan para la utilización de los recursos del Fondo a fin de que el </w:t>
      </w:r>
      <w:r w:rsidR="00EA7EFF">
        <w:t>saldo</w:t>
      </w:r>
      <w:r w:rsidR="00EA7EFF" w:rsidRPr="007D0D5E">
        <w:t xml:space="preserve"> </w:t>
      </w:r>
      <w:r w:rsidRPr="007D0D5E">
        <w:t xml:space="preserve">a finales del bienio no incremente respecto al comienzo. </w:t>
      </w:r>
    </w:p>
    <w:p w14:paraId="3F8270E5" w14:textId="671C46C3" w:rsidR="000416AF" w:rsidRPr="007D0D5E" w:rsidRDefault="000416AF" w:rsidP="004E5075">
      <w:pPr>
        <w:pStyle w:val="5GAparabodytext"/>
      </w:pPr>
      <w:r w:rsidRPr="007D0D5E">
        <w:t xml:space="preserve">A pesar de que las contribuciones voluntarias complementarias al Fondo no están sujetas al Plan para la utilización de los recursos del Fondo que requiere la aprobación de la Asamblea General, vale la pena mencionar que el apoyo voluntario a la Convención mediante el Fondo del Patrimonio Cultural Inmaterial está en franco declive en términos de contribuciones asignadas al programa de </w:t>
      </w:r>
      <w:r w:rsidR="009B78A4">
        <w:t>fortalecimiento</w:t>
      </w:r>
      <w:r w:rsidR="009B78A4" w:rsidRPr="007D0D5E">
        <w:t xml:space="preserve"> </w:t>
      </w:r>
      <w:r w:rsidRPr="007D0D5E">
        <w:t xml:space="preserve">de capacidades y de contribuciones al </w:t>
      </w:r>
      <w:proofErr w:type="spellStart"/>
      <w:r w:rsidRPr="007D0D5E">
        <w:t>subfondo</w:t>
      </w:r>
      <w:proofErr w:type="spellEnd"/>
      <w:r w:rsidRPr="007D0D5E">
        <w:t xml:space="preserve"> para el refuerzo de los recursos humanos de la Secretaría</w:t>
      </w:r>
      <w:r w:rsidRPr="007D0D5E">
        <w:rPr>
          <w:rStyle w:val="FootnoteReference"/>
          <w:color w:val="000000"/>
        </w:rPr>
        <w:footnoteReference w:id="1"/>
      </w:r>
      <w:r w:rsidRPr="007D0D5E">
        <w:t>.</w:t>
      </w:r>
      <w:r w:rsidRPr="007D0D5E">
        <w:rPr>
          <w:color w:val="000000"/>
        </w:rPr>
        <w:t xml:space="preserve"> </w:t>
      </w:r>
      <w:r w:rsidRPr="007D0D5E">
        <w:t xml:space="preserve">En el primer caso, la subutilización de esta modalidad es lamentable, pues se adapta perfectamente al espíritu de la estrategia de </w:t>
      </w:r>
      <w:r w:rsidR="009B78A4">
        <w:t>fortalecimiento</w:t>
      </w:r>
      <w:r w:rsidR="009B78A4" w:rsidRPr="007D0D5E">
        <w:t xml:space="preserve"> </w:t>
      </w:r>
      <w:r w:rsidRPr="007D0D5E">
        <w:t xml:space="preserve">de capacidades ya que permite la utilización eficaz de los recursos por la UNESCO, desde una minuciosa evaluación de necesidades y consultas con homólogos nacionales hasta la </w:t>
      </w:r>
      <w:r w:rsidR="009B78A4">
        <w:t>ejecución</w:t>
      </w:r>
      <w:r w:rsidR="009B78A4" w:rsidRPr="007D0D5E">
        <w:t xml:space="preserve"> </w:t>
      </w:r>
      <w:r w:rsidRPr="007D0D5E">
        <w:t xml:space="preserve">del proyecto. En el segundo caso, su subutilización es igualmente desafortunada pues, sin restar méritos a </w:t>
      </w:r>
      <w:r w:rsidRPr="007D0D5E">
        <w:rPr>
          <w:rStyle w:val="hps"/>
        </w:rPr>
        <w:t>las</w:t>
      </w:r>
      <w:r w:rsidRPr="007D0D5E">
        <w:t xml:space="preserve"> otras modalidades, el </w:t>
      </w:r>
      <w:proofErr w:type="spellStart"/>
      <w:r w:rsidRPr="007D0D5E">
        <w:t>subfondo</w:t>
      </w:r>
      <w:proofErr w:type="spellEnd"/>
      <w:r w:rsidRPr="007D0D5E">
        <w:t xml:space="preserve"> es el único mecanismo que puede garantizar una fuerza laboral estable adaptada a las funciones </w:t>
      </w:r>
      <w:r w:rsidR="009B78A4">
        <w:t>estatutarias</w:t>
      </w:r>
      <w:r w:rsidR="009B78A4" w:rsidRPr="007D0D5E">
        <w:t xml:space="preserve"> </w:t>
      </w:r>
      <w:r w:rsidRPr="007D0D5E">
        <w:t>que debe llevar a cabo la Secretaría.</w:t>
      </w:r>
    </w:p>
    <w:p w14:paraId="0A31DD0F" w14:textId="77777777" w:rsidR="00617CA4" w:rsidRPr="007D0D5E" w:rsidRDefault="00617CA4" w:rsidP="00617CA4">
      <w:pPr>
        <w:pStyle w:val="5GATitleResolution"/>
      </w:pPr>
      <w:r w:rsidRPr="007D0D5E">
        <w:lastRenderedPageBreak/>
        <w:t>PROYECTO DE RESOLUCIÓN 6.GA 9</w:t>
      </w:r>
    </w:p>
    <w:p w14:paraId="35FA3016" w14:textId="77777777" w:rsidR="00617CA4" w:rsidRPr="007D0D5E" w:rsidRDefault="00617CA4" w:rsidP="00617CA4">
      <w:pPr>
        <w:pStyle w:val="5GAPreambulaResolution"/>
      </w:pPr>
      <w:r w:rsidRPr="007D0D5E">
        <w:t>La Asamblea General,</w:t>
      </w:r>
    </w:p>
    <w:p w14:paraId="5A139934" w14:textId="42D391FD" w:rsidR="00617CA4" w:rsidRPr="0028446E" w:rsidRDefault="00617CA4" w:rsidP="003A0AD4">
      <w:pPr>
        <w:pStyle w:val="ListParagraph"/>
        <w:keepNext/>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sidRPr="004951B4">
        <w:rPr>
          <w:rFonts w:ascii="Arial" w:hAnsi="Arial" w:cs="Arial"/>
          <w:sz w:val="22"/>
          <w:u w:val="single"/>
        </w:rPr>
        <w:t>Habiendo examinado</w:t>
      </w:r>
      <w:r w:rsidRPr="004951B4">
        <w:rPr>
          <w:rFonts w:ascii="Arial" w:hAnsi="Arial" w:cs="Arial"/>
          <w:sz w:val="22"/>
        </w:rPr>
        <w:t xml:space="preserve"> los </w:t>
      </w:r>
      <w:r w:rsidR="0028446E">
        <w:rPr>
          <w:rFonts w:ascii="Arial" w:hAnsi="Arial" w:cs="Arial"/>
          <w:sz w:val="22"/>
        </w:rPr>
        <w:t>d</w:t>
      </w:r>
      <w:r w:rsidR="0028446E" w:rsidRPr="004951B4">
        <w:rPr>
          <w:rFonts w:ascii="Arial" w:hAnsi="Arial" w:cs="Arial"/>
          <w:sz w:val="22"/>
        </w:rPr>
        <w:t xml:space="preserve">ocumentos </w:t>
      </w:r>
      <w:r w:rsidRPr="004951B4">
        <w:rPr>
          <w:rFonts w:ascii="Arial" w:hAnsi="Arial" w:cs="Arial"/>
          <w:sz w:val="22"/>
        </w:rPr>
        <w:t xml:space="preserve">ITH/16/6.GA/9, ITH/16/6.GA/INF.9.1 </w:t>
      </w:r>
      <w:r w:rsidRPr="00CA2BB9">
        <w:rPr>
          <w:rFonts w:ascii="Arial" w:hAnsi="Arial" w:cs="Arial"/>
          <w:sz w:val="22"/>
          <w:szCs w:val="22"/>
        </w:rPr>
        <w:t>e ITH/16/6.GA/INF.9.2,</w:t>
      </w:r>
    </w:p>
    <w:p w14:paraId="3CE9383B" w14:textId="49946702" w:rsidR="003A0AD4" w:rsidRPr="0028446E" w:rsidRDefault="003A0AD4"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sidRPr="004951B4">
        <w:rPr>
          <w:rFonts w:ascii="Arial" w:hAnsi="Arial" w:cs="Arial"/>
          <w:sz w:val="22"/>
          <w:szCs w:val="22"/>
          <w:u w:val="single"/>
        </w:rPr>
        <w:t>Recordando</w:t>
      </w:r>
      <w:r w:rsidRPr="004951B4">
        <w:rPr>
          <w:rFonts w:ascii="Arial" w:hAnsi="Arial" w:cs="Arial"/>
          <w:sz w:val="22"/>
          <w:szCs w:val="22"/>
        </w:rPr>
        <w:t xml:space="preserve"> el </w:t>
      </w:r>
      <w:r w:rsidR="007D0D5E" w:rsidRPr="004951B4">
        <w:rPr>
          <w:rFonts w:ascii="Arial" w:hAnsi="Arial" w:cs="Arial"/>
          <w:sz w:val="22"/>
          <w:szCs w:val="22"/>
        </w:rPr>
        <w:t>artículo</w:t>
      </w:r>
      <w:r w:rsidRPr="004951B4">
        <w:rPr>
          <w:rFonts w:ascii="Arial" w:hAnsi="Arial" w:cs="Arial"/>
          <w:sz w:val="22"/>
          <w:szCs w:val="22"/>
        </w:rPr>
        <w:t xml:space="preserve"> 7(c) de la Convención y los párrafos 66 y 67 de las Directrices Operativas,</w:t>
      </w:r>
    </w:p>
    <w:p w14:paraId="5A1F0F31" w14:textId="0A674BAA" w:rsidR="003A0AD4" w:rsidRPr="0028446E" w:rsidRDefault="003A0AD4"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sidRPr="004951B4">
        <w:rPr>
          <w:rFonts w:ascii="Arial" w:hAnsi="Arial" w:cs="Arial"/>
          <w:sz w:val="22"/>
          <w:szCs w:val="22"/>
          <w:u w:val="single"/>
        </w:rPr>
        <w:t>Aprueba</w:t>
      </w:r>
      <w:r w:rsidRPr="004951B4">
        <w:rPr>
          <w:rFonts w:ascii="Arial" w:hAnsi="Arial" w:cs="Arial"/>
          <w:sz w:val="22"/>
          <w:szCs w:val="22"/>
        </w:rPr>
        <w:t xml:space="preserve"> el </w:t>
      </w:r>
      <w:r w:rsidR="0028446E" w:rsidRPr="004951B4">
        <w:rPr>
          <w:rFonts w:ascii="Arial" w:hAnsi="Arial" w:cs="Arial"/>
          <w:sz w:val="22"/>
          <w:szCs w:val="22"/>
        </w:rPr>
        <w:t xml:space="preserve">Plan </w:t>
      </w:r>
      <w:r w:rsidRPr="004951B4">
        <w:rPr>
          <w:rFonts w:ascii="Arial" w:hAnsi="Arial" w:cs="Arial"/>
          <w:sz w:val="22"/>
          <w:szCs w:val="22"/>
        </w:rPr>
        <w:t xml:space="preserve">para la utilización de los recursos del Fondo para el periodo comprendido entre el 1 de </w:t>
      </w:r>
      <w:r w:rsidR="007D0D5E" w:rsidRPr="00DF393C">
        <w:rPr>
          <w:rFonts w:ascii="Arial" w:hAnsi="Arial" w:cs="Arial"/>
          <w:sz w:val="22"/>
          <w:szCs w:val="22"/>
        </w:rPr>
        <w:t>enero</w:t>
      </w:r>
      <w:r w:rsidRPr="00DF393C">
        <w:rPr>
          <w:rFonts w:ascii="Arial" w:hAnsi="Arial" w:cs="Arial"/>
          <w:sz w:val="22"/>
          <w:szCs w:val="22"/>
        </w:rPr>
        <w:t xml:space="preserve"> de 2016 y el 31 de </w:t>
      </w:r>
      <w:r w:rsidR="007D0D5E" w:rsidRPr="00DF393C">
        <w:rPr>
          <w:rFonts w:ascii="Arial" w:hAnsi="Arial" w:cs="Arial"/>
          <w:sz w:val="22"/>
          <w:szCs w:val="22"/>
        </w:rPr>
        <w:t>diciembre</w:t>
      </w:r>
      <w:r w:rsidRPr="00DF393C">
        <w:rPr>
          <w:rFonts w:ascii="Arial" w:hAnsi="Arial" w:cs="Arial"/>
          <w:sz w:val="22"/>
          <w:szCs w:val="22"/>
        </w:rPr>
        <w:t xml:space="preserve"> de 2017 y para el periodo comprendido entre el 1 de </w:t>
      </w:r>
      <w:r w:rsidR="007D0D5E" w:rsidRPr="00DF393C">
        <w:rPr>
          <w:rFonts w:ascii="Arial" w:hAnsi="Arial" w:cs="Arial"/>
          <w:sz w:val="22"/>
          <w:szCs w:val="22"/>
        </w:rPr>
        <w:t>enero</w:t>
      </w:r>
      <w:r w:rsidRPr="00DF393C">
        <w:rPr>
          <w:rFonts w:ascii="Arial" w:hAnsi="Arial" w:cs="Arial"/>
          <w:sz w:val="22"/>
          <w:szCs w:val="22"/>
        </w:rPr>
        <w:t xml:space="preserve"> y el 30 de </w:t>
      </w:r>
      <w:r w:rsidR="001841BA" w:rsidRPr="00DF393C">
        <w:rPr>
          <w:rFonts w:ascii="Arial" w:hAnsi="Arial" w:cs="Arial"/>
          <w:sz w:val="22"/>
          <w:szCs w:val="22"/>
        </w:rPr>
        <w:t>junio</w:t>
      </w:r>
      <w:r w:rsidRPr="00DF393C">
        <w:rPr>
          <w:rFonts w:ascii="Arial" w:hAnsi="Arial" w:cs="Arial"/>
          <w:sz w:val="22"/>
          <w:szCs w:val="22"/>
        </w:rPr>
        <w:t xml:space="preserve"> de 2018 que figura como anexo de la presente Resolución, en el entendimiento de que en su séptima reunión en </w:t>
      </w:r>
      <w:r w:rsidR="001841BA" w:rsidRPr="00DF393C">
        <w:rPr>
          <w:rFonts w:ascii="Arial" w:hAnsi="Arial" w:cs="Arial"/>
          <w:sz w:val="22"/>
          <w:szCs w:val="22"/>
        </w:rPr>
        <w:t>junio</w:t>
      </w:r>
      <w:r w:rsidRPr="00DF393C">
        <w:rPr>
          <w:rFonts w:ascii="Arial" w:hAnsi="Arial" w:cs="Arial"/>
          <w:sz w:val="22"/>
          <w:szCs w:val="22"/>
        </w:rPr>
        <w:t xml:space="preserve"> de 2018, podrá reajustar el plan presupuestario del periodo comprendido entre el 1 de </w:t>
      </w:r>
      <w:r w:rsidR="007D0D5E" w:rsidRPr="00DF393C">
        <w:rPr>
          <w:rFonts w:ascii="Arial" w:hAnsi="Arial" w:cs="Arial"/>
          <w:sz w:val="22"/>
          <w:szCs w:val="22"/>
        </w:rPr>
        <w:t>enero</w:t>
      </w:r>
      <w:r w:rsidRPr="00DF393C">
        <w:rPr>
          <w:rFonts w:ascii="Arial" w:hAnsi="Arial" w:cs="Arial"/>
          <w:sz w:val="22"/>
          <w:szCs w:val="22"/>
        </w:rPr>
        <w:t xml:space="preserve"> y el 30 de </w:t>
      </w:r>
      <w:r w:rsidR="001841BA" w:rsidRPr="00DF393C">
        <w:rPr>
          <w:rFonts w:ascii="Arial" w:hAnsi="Arial" w:cs="Arial"/>
          <w:sz w:val="22"/>
          <w:szCs w:val="22"/>
        </w:rPr>
        <w:t>junio</w:t>
      </w:r>
      <w:r w:rsidRPr="00DF393C">
        <w:rPr>
          <w:rFonts w:ascii="Arial" w:hAnsi="Arial" w:cs="Arial"/>
          <w:sz w:val="22"/>
          <w:szCs w:val="22"/>
        </w:rPr>
        <w:t xml:space="preserve"> de 2018;</w:t>
      </w:r>
    </w:p>
    <w:p w14:paraId="7496A9E2" w14:textId="03DED9B3" w:rsidR="003A0AD4" w:rsidRPr="0028446E" w:rsidRDefault="003A0AD4" w:rsidP="003A0AD4">
      <w:pPr>
        <w:numPr>
          <w:ilvl w:val="0"/>
          <w:numId w:val="23"/>
        </w:numPr>
        <w:autoSpaceDE w:val="0"/>
        <w:autoSpaceDN w:val="0"/>
        <w:adjustRightInd w:val="0"/>
        <w:spacing w:before="120" w:after="120"/>
        <w:jc w:val="both"/>
        <w:rPr>
          <w:rFonts w:ascii="Arial" w:hAnsi="Arial" w:cs="Arial"/>
          <w:sz w:val="22"/>
          <w:szCs w:val="22"/>
        </w:rPr>
      </w:pPr>
      <w:r w:rsidRPr="004951B4">
        <w:rPr>
          <w:rFonts w:ascii="Arial" w:hAnsi="Arial" w:cs="Arial"/>
          <w:sz w:val="22"/>
          <w:szCs w:val="22"/>
          <w:u w:val="single"/>
        </w:rPr>
        <w:t>Autoriza</w:t>
      </w:r>
      <w:r w:rsidRPr="004951B4">
        <w:rPr>
          <w:rFonts w:ascii="Arial" w:hAnsi="Arial" w:cs="Arial"/>
          <w:sz w:val="22"/>
          <w:szCs w:val="22"/>
        </w:rPr>
        <w:t xml:space="preserve"> al Comité a utilizar inmediatamente todas las contribuciones voluntarias complementarias que puedan recibirse durante esos periodos, como se indica en el </w:t>
      </w:r>
      <w:r w:rsidR="007D0D5E" w:rsidRPr="004951B4">
        <w:rPr>
          <w:rFonts w:ascii="Arial" w:hAnsi="Arial" w:cs="Arial"/>
          <w:sz w:val="22"/>
          <w:szCs w:val="22"/>
        </w:rPr>
        <w:t>artículo</w:t>
      </w:r>
      <w:r w:rsidRPr="004951B4">
        <w:rPr>
          <w:rFonts w:ascii="Arial" w:hAnsi="Arial" w:cs="Arial"/>
          <w:sz w:val="22"/>
          <w:szCs w:val="22"/>
        </w:rPr>
        <w:t xml:space="preserve"> 27 de la Convención, de acuerdo con los porcentajes establecidos en el </w:t>
      </w:r>
      <w:r w:rsidR="0028446E">
        <w:rPr>
          <w:rFonts w:ascii="Arial" w:hAnsi="Arial" w:cs="Arial"/>
          <w:sz w:val="22"/>
          <w:szCs w:val="22"/>
        </w:rPr>
        <w:t>P</w:t>
      </w:r>
      <w:r w:rsidR="0028446E" w:rsidRPr="004951B4">
        <w:rPr>
          <w:rFonts w:ascii="Arial" w:hAnsi="Arial" w:cs="Arial"/>
          <w:sz w:val="22"/>
          <w:szCs w:val="22"/>
        </w:rPr>
        <w:t>lan</w:t>
      </w:r>
      <w:r w:rsidRPr="004951B4">
        <w:rPr>
          <w:rFonts w:ascii="Arial" w:hAnsi="Arial" w:cs="Arial"/>
          <w:sz w:val="22"/>
          <w:szCs w:val="22"/>
        </w:rPr>
        <w:t>;</w:t>
      </w:r>
    </w:p>
    <w:p w14:paraId="53003032" w14:textId="17525403" w:rsidR="003A0AD4" w:rsidRDefault="003A0AD4" w:rsidP="003A0AD4">
      <w:pPr>
        <w:numPr>
          <w:ilvl w:val="0"/>
          <w:numId w:val="23"/>
        </w:numPr>
        <w:autoSpaceDE w:val="0"/>
        <w:autoSpaceDN w:val="0"/>
        <w:adjustRightInd w:val="0"/>
        <w:spacing w:before="120" w:after="120"/>
        <w:jc w:val="both"/>
        <w:rPr>
          <w:rFonts w:ascii="Arial" w:hAnsi="Arial" w:cs="Arial"/>
          <w:sz w:val="22"/>
          <w:szCs w:val="22"/>
        </w:rPr>
      </w:pPr>
      <w:r w:rsidRPr="004951B4">
        <w:rPr>
          <w:rFonts w:ascii="Arial" w:hAnsi="Arial" w:cs="Arial"/>
          <w:sz w:val="22"/>
          <w:szCs w:val="22"/>
          <w:u w:val="single"/>
        </w:rPr>
        <w:t>Autoriza</w:t>
      </w:r>
      <w:r w:rsidRPr="00DF393C">
        <w:rPr>
          <w:rFonts w:ascii="Arial" w:hAnsi="Arial" w:cs="Arial"/>
          <w:sz w:val="22"/>
          <w:szCs w:val="22"/>
          <w:u w:val="single"/>
        </w:rPr>
        <w:t xml:space="preserve"> además</w:t>
      </w:r>
      <w:r w:rsidRPr="004951B4">
        <w:rPr>
          <w:rFonts w:ascii="Arial" w:hAnsi="Arial" w:cs="Arial"/>
          <w:sz w:val="22"/>
          <w:szCs w:val="22"/>
        </w:rPr>
        <w:t xml:space="preserve"> al Comité a utilizar inmediatamente todas las contribuciones que pueda aceptar durante esos periodos con fines específicos, ligados a proyectos concre</w:t>
      </w:r>
      <w:r w:rsidRPr="00CA2BB9">
        <w:rPr>
          <w:rFonts w:ascii="Arial" w:hAnsi="Arial" w:cs="Arial"/>
          <w:sz w:val="22"/>
          <w:szCs w:val="22"/>
        </w:rPr>
        <w:t xml:space="preserve">tos, siempre y cuando esos proyectos cuenten con su aprobación antes de la recepción de los fondos, como se indica en el </w:t>
      </w:r>
      <w:r w:rsidR="007D0D5E" w:rsidRPr="00DF393C">
        <w:rPr>
          <w:rFonts w:ascii="Arial" w:hAnsi="Arial" w:cs="Arial"/>
          <w:sz w:val="22"/>
          <w:szCs w:val="22"/>
        </w:rPr>
        <w:t>artículo</w:t>
      </w:r>
      <w:r w:rsidRPr="00DF393C">
        <w:rPr>
          <w:rFonts w:ascii="Arial" w:hAnsi="Arial" w:cs="Arial"/>
          <w:sz w:val="22"/>
          <w:szCs w:val="22"/>
        </w:rPr>
        <w:t xml:space="preserve"> 25.5 de la Convención;</w:t>
      </w:r>
    </w:p>
    <w:p w14:paraId="423A680F" w14:textId="3FAF5D5A" w:rsidR="00061641" w:rsidRPr="0028446E" w:rsidRDefault="00061641" w:rsidP="00061641">
      <w:pPr>
        <w:numPr>
          <w:ilvl w:val="0"/>
          <w:numId w:val="23"/>
        </w:numPr>
        <w:autoSpaceDE w:val="0"/>
        <w:autoSpaceDN w:val="0"/>
        <w:adjustRightInd w:val="0"/>
        <w:spacing w:before="120" w:after="120"/>
        <w:jc w:val="both"/>
        <w:rPr>
          <w:rFonts w:ascii="Arial" w:hAnsi="Arial" w:cs="Arial"/>
          <w:sz w:val="22"/>
          <w:szCs w:val="22"/>
        </w:rPr>
      </w:pPr>
      <w:r w:rsidRPr="00DF393C">
        <w:rPr>
          <w:rFonts w:ascii="Arial" w:hAnsi="Arial" w:cs="Arial"/>
          <w:sz w:val="22"/>
          <w:szCs w:val="22"/>
          <w:u w:val="single"/>
        </w:rPr>
        <w:t>Toma nota</w:t>
      </w:r>
      <w:r w:rsidRPr="00061641">
        <w:rPr>
          <w:rFonts w:ascii="Arial" w:hAnsi="Arial" w:cs="Arial"/>
          <w:sz w:val="22"/>
          <w:szCs w:val="22"/>
        </w:rPr>
        <w:t xml:space="preserve"> de que la Comisión </w:t>
      </w:r>
      <w:r w:rsidR="004E783F">
        <w:rPr>
          <w:rFonts w:ascii="Arial" w:hAnsi="Arial" w:cs="Arial"/>
          <w:sz w:val="22"/>
          <w:szCs w:val="22"/>
        </w:rPr>
        <w:t>estableció</w:t>
      </w:r>
      <w:r w:rsidRPr="00061641">
        <w:rPr>
          <w:rFonts w:ascii="Arial" w:hAnsi="Arial" w:cs="Arial"/>
          <w:sz w:val="22"/>
          <w:szCs w:val="22"/>
        </w:rPr>
        <w:t xml:space="preserve"> </w:t>
      </w:r>
      <w:r>
        <w:rPr>
          <w:rFonts w:ascii="Arial" w:hAnsi="Arial" w:cs="Arial"/>
          <w:sz w:val="22"/>
          <w:szCs w:val="22"/>
        </w:rPr>
        <w:t>la cantidad del Fondo de Reserva en 1 </w:t>
      </w:r>
      <w:r w:rsidRPr="00061641">
        <w:rPr>
          <w:rFonts w:ascii="Arial" w:hAnsi="Arial" w:cs="Arial"/>
          <w:sz w:val="22"/>
          <w:szCs w:val="22"/>
        </w:rPr>
        <w:t>millón</w:t>
      </w:r>
      <w:r>
        <w:rPr>
          <w:rFonts w:ascii="Arial" w:hAnsi="Arial" w:cs="Arial"/>
          <w:sz w:val="22"/>
          <w:szCs w:val="22"/>
        </w:rPr>
        <w:t xml:space="preserve"> de dólares</w:t>
      </w:r>
      <w:r w:rsidRPr="00061641">
        <w:rPr>
          <w:rFonts w:ascii="Arial" w:hAnsi="Arial" w:cs="Arial"/>
          <w:sz w:val="22"/>
          <w:szCs w:val="22"/>
        </w:rPr>
        <w:t>;</w:t>
      </w:r>
    </w:p>
    <w:p w14:paraId="4945D9FC" w14:textId="4C6DC278" w:rsidR="009149F8" w:rsidRPr="0028446E" w:rsidRDefault="009149F8" w:rsidP="009149F8">
      <w:pPr>
        <w:pStyle w:val="5GAParaResolution"/>
        <w:numPr>
          <w:ilvl w:val="0"/>
          <w:numId w:val="23"/>
        </w:numPr>
      </w:pPr>
      <w:r w:rsidRPr="0028446E">
        <w:rPr>
          <w:u w:val="single"/>
        </w:rPr>
        <w:t>Toma nota</w:t>
      </w:r>
      <w:r w:rsidR="00061641">
        <w:rPr>
          <w:u w:val="single"/>
        </w:rPr>
        <w:t xml:space="preserve"> además</w:t>
      </w:r>
      <w:r w:rsidRPr="0028446E">
        <w:t xml:space="preserve"> </w:t>
      </w:r>
      <w:r w:rsidRPr="0028446E">
        <w:rPr>
          <w:color w:val="000000"/>
        </w:rPr>
        <w:t xml:space="preserve">de los donantes que han aportado contribuciones voluntarias complementarias al Fondo desde su última reunión, es decir Azerbaiyán, Burkina Faso, China, Georgia, Japón, Mónaco, los Países Bajos, Noruega, Portugal, España y los Emiratos Árabes Unidos, </w:t>
      </w:r>
      <w:r w:rsidR="00061641">
        <w:rPr>
          <w:color w:val="000000"/>
        </w:rPr>
        <w:t>así como</w:t>
      </w:r>
      <w:r w:rsidRPr="0028446E">
        <w:rPr>
          <w:color w:val="000000"/>
        </w:rPr>
        <w:t xml:space="preserve"> la Asociación para la Salvaguardia del Patrimonio Cultural Inmaterial (Italia) y el Centro Noruego de Música Tradicional (Noruega);</w:t>
      </w:r>
    </w:p>
    <w:p w14:paraId="17C88100" w14:textId="44B15B87" w:rsidR="00617CA4" w:rsidRPr="007D0D5E" w:rsidRDefault="00061641" w:rsidP="009149F8">
      <w:pPr>
        <w:numPr>
          <w:ilvl w:val="0"/>
          <w:numId w:val="23"/>
        </w:numPr>
        <w:autoSpaceDE w:val="0"/>
        <w:autoSpaceDN w:val="0"/>
        <w:adjustRightInd w:val="0"/>
        <w:spacing w:before="120" w:after="120"/>
        <w:jc w:val="both"/>
        <w:rPr>
          <w:rFonts w:ascii="Arial" w:hAnsi="Arial" w:cs="Arial"/>
          <w:sz w:val="22"/>
          <w:szCs w:val="22"/>
        </w:rPr>
      </w:pPr>
      <w:r>
        <w:rPr>
          <w:rFonts w:ascii="Arial" w:hAnsi="Arial" w:cs="Arial"/>
          <w:sz w:val="22"/>
          <w:szCs w:val="22"/>
          <w:u w:val="single"/>
        </w:rPr>
        <w:t>Agradece</w:t>
      </w:r>
      <w:r w:rsidRPr="00DF393C">
        <w:rPr>
          <w:rFonts w:ascii="Arial" w:hAnsi="Arial" w:cs="Arial"/>
          <w:sz w:val="22"/>
          <w:szCs w:val="22"/>
        </w:rPr>
        <w:t xml:space="preserve"> </w:t>
      </w:r>
      <w:r w:rsidR="009149F8" w:rsidRPr="004951B4">
        <w:rPr>
          <w:rFonts w:ascii="Arial" w:hAnsi="Arial" w:cs="Arial"/>
          <w:sz w:val="22"/>
          <w:szCs w:val="22"/>
        </w:rPr>
        <w:t xml:space="preserve">a todos los contribuyentes que, desde su última reunión, han aportado a la Convención y su Secretaría diferentes tipos de apoyo, financiero o en especie, en forma por ejemplo de contribuciones voluntarias complementarias </w:t>
      </w:r>
      <w:r>
        <w:rPr>
          <w:rFonts w:ascii="Arial" w:hAnsi="Arial" w:cs="Arial"/>
          <w:sz w:val="22"/>
          <w:szCs w:val="22"/>
        </w:rPr>
        <w:t>reservadas</w:t>
      </w:r>
      <w:r w:rsidRPr="004951B4">
        <w:rPr>
          <w:rFonts w:ascii="Arial" w:hAnsi="Arial" w:cs="Arial"/>
          <w:sz w:val="22"/>
          <w:szCs w:val="22"/>
        </w:rPr>
        <w:t xml:space="preserve"> </w:t>
      </w:r>
      <w:r w:rsidR="009149F8" w:rsidRPr="004951B4">
        <w:rPr>
          <w:rFonts w:ascii="Arial" w:hAnsi="Arial" w:cs="Arial"/>
          <w:sz w:val="22"/>
          <w:szCs w:val="22"/>
        </w:rPr>
        <w:t xml:space="preserve">a fines específicos al Fondo del patrimonio cultural inmaterial o </w:t>
      </w:r>
      <w:r>
        <w:rPr>
          <w:rFonts w:ascii="Arial" w:hAnsi="Arial" w:cs="Arial"/>
          <w:sz w:val="22"/>
          <w:szCs w:val="22"/>
        </w:rPr>
        <w:t>a</w:t>
      </w:r>
      <w:r w:rsidRPr="004951B4">
        <w:rPr>
          <w:rFonts w:ascii="Arial" w:hAnsi="Arial" w:cs="Arial"/>
          <w:sz w:val="22"/>
          <w:szCs w:val="22"/>
        </w:rPr>
        <w:t xml:space="preserve">l </w:t>
      </w:r>
      <w:proofErr w:type="spellStart"/>
      <w:r w:rsidR="009149F8" w:rsidRPr="004951B4">
        <w:rPr>
          <w:rFonts w:ascii="Arial" w:hAnsi="Arial" w:cs="Arial"/>
          <w:sz w:val="22"/>
          <w:szCs w:val="22"/>
        </w:rPr>
        <w:t>subfondo</w:t>
      </w:r>
      <w:proofErr w:type="spellEnd"/>
      <w:r w:rsidR="009149F8" w:rsidRPr="004951B4">
        <w:rPr>
          <w:rFonts w:ascii="Arial" w:hAnsi="Arial" w:cs="Arial"/>
          <w:sz w:val="22"/>
          <w:szCs w:val="22"/>
        </w:rPr>
        <w:t xml:space="preserve"> para el </w:t>
      </w:r>
      <w:r>
        <w:rPr>
          <w:rFonts w:ascii="Arial" w:hAnsi="Arial" w:cs="Arial"/>
          <w:sz w:val="22"/>
          <w:szCs w:val="22"/>
        </w:rPr>
        <w:t>refuerzo</w:t>
      </w:r>
      <w:r w:rsidRPr="004951B4">
        <w:rPr>
          <w:rFonts w:ascii="Arial" w:hAnsi="Arial" w:cs="Arial"/>
          <w:sz w:val="22"/>
          <w:szCs w:val="22"/>
        </w:rPr>
        <w:t xml:space="preserve"> </w:t>
      </w:r>
      <w:r w:rsidR="009149F8" w:rsidRPr="004951B4">
        <w:rPr>
          <w:rFonts w:ascii="Arial" w:hAnsi="Arial" w:cs="Arial"/>
          <w:sz w:val="22"/>
          <w:szCs w:val="22"/>
        </w:rPr>
        <w:t>de las capacidades humanas de la Secretaría, fondos fiduciarios</w:t>
      </w:r>
      <w:r w:rsidR="009149F8" w:rsidRPr="00CA2BB9">
        <w:rPr>
          <w:rFonts w:ascii="Arial" w:hAnsi="Arial" w:cs="Arial"/>
          <w:sz w:val="22"/>
          <w:szCs w:val="22"/>
        </w:rPr>
        <w:t xml:space="preserve"> </w:t>
      </w:r>
      <w:r w:rsidR="009149F8" w:rsidRPr="00DF393C">
        <w:rPr>
          <w:rFonts w:ascii="Arial" w:hAnsi="Arial" w:cs="Arial"/>
          <w:sz w:val="22"/>
          <w:szCs w:val="22"/>
        </w:rPr>
        <w:t xml:space="preserve">o cesiones de personal en comisión de servicios, y </w:t>
      </w:r>
      <w:r w:rsidR="009149F8" w:rsidRPr="00DF393C">
        <w:rPr>
          <w:rFonts w:ascii="Arial" w:hAnsi="Arial" w:cs="Arial"/>
          <w:sz w:val="22"/>
          <w:szCs w:val="22"/>
          <w:u w:val="single"/>
        </w:rPr>
        <w:t>alienta</w:t>
      </w:r>
      <w:r w:rsidR="009149F8" w:rsidRPr="00DF393C">
        <w:rPr>
          <w:rFonts w:ascii="Arial" w:hAnsi="Arial" w:cs="Arial"/>
          <w:sz w:val="22"/>
          <w:szCs w:val="22"/>
        </w:rPr>
        <w:t xml:space="preserve"> a otros Estados a considerar la posibilidad de apoyar a la Convención utilizando la modalidad de su elección.</w:t>
      </w:r>
    </w:p>
    <w:p w14:paraId="0209986C" w14:textId="77777777" w:rsidR="00EB3866" w:rsidRPr="007D0D5E" w:rsidRDefault="00EB3866" w:rsidP="004E5075">
      <w:pPr>
        <w:pStyle w:val="5GAparabodytext"/>
        <w:numPr>
          <w:ilvl w:val="0"/>
          <w:numId w:val="0"/>
        </w:numPr>
        <w:ind w:left="567"/>
      </w:pPr>
    </w:p>
    <w:p w14:paraId="45291C49" w14:textId="77777777" w:rsidR="009149F8" w:rsidRPr="007D0D5E" w:rsidRDefault="009149F8" w:rsidP="00D72A72">
      <w:pPr>
        <w:pStyle w:val="5GAparabodytext"/>
        <w:numPr>
          <w:ilvl w:val="0"/>
          <w:numId w:val="0"/>
        </w:numPr>
        <w:ind w:left="567"/>
        <w:sectPr w:rsidR="009149F8" w:rsidRPr="007D0D5E" w:rsidSect="00A65B49">
          <w:headerReference w:type="even" r:id="rId20"/>
          <w:headerReference w:type="default" r:id="rId21"/>
          <w:headerReference w:type="first" r:id="rId22"/>
          <w:pgSz w:w="11906" w:h="16838" w:code="9"/>
          <w:pgMar w:top="1418" w:right="1134" w:bottom="1134" w:left="1134" w:header="397" w:footer="284" w:gutter="0"/>
          <w:cols w:space="708"/>
          <w:titlePg/>
          <w:docGrid w:linePitch="360"/>
        </w:sectPr>
      </w:pPr>
    </w:p>
    <w:p w14:paraId="552EE713" w14:textId="77777777" w:rsidR="009149F8" w:rsidRPr="007D0D5E" w:rsidRDefault="009149F8" w:rsidP="009149F8">
      <w:pPr>
        <w:pStyle w:val="5GAParaResolution"/>
        <w:spacing w:before="240" w:after="240"/>
        <w:ind w:left="0" w:firstLine="0"/>
        <w:jc w:val="center"/>
        <w:rPr>
          <w:b/>
        </w:rPr>
      </w:pPr>
      <w:r w:rsidRPr="007D0D5E">
        <w:rPr>
          <w:b/>
        </w:rPr>
        <w:lastRenderedPageBreak/>
        <w:t>ANEXO</w:t>
      </w:r>
    </w:p>
    <w:tbl>
      <w:tblPr>
        <w:tblW w:w="5000" w:type="pct"/>
        <w:tblLayout w:type="fixed"/>
        <w:tblCellMar>
          <w:left w:w="70" w:type="dxa"/>
          <w:right w:w="70" w:type="dxa"/>
        </w:tblCellMar>
        <w:tblLook w:val="04A0" w:firstRow="1" w:lastRow="0" w:firstColumn="1" w:lastColumn="0" w:noHBand="0" w:noVBand="1"/>
      </w:tblPr>
      <w:tblGrid>
        <w:gridCol w:w="456"/>
        <w:gridCol w:w="5159"/>
        <w:gridCol w:w="1291"/>
        <w:gridCol w:w="1437"/>
        <w:gridCol w:w="1435"/>
      </w:tblGrid>
      <w:tr w:rsidR="009149F8" w:rsidRPr="004E783F" w14:paraId="56A302C8" w14:textId="77777777" w:rsidTr="00A65B49">
        <w:trPr>
          <w:trHeight w:val="386"/>
        </w:trPr>
        <w:tc>
          <w:tcPr>
            <w:tcW w:w="35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63AA7C" w14:textId="63112FDE" w:rsidR="009149F8" w:rsidRPr="004951B4" w:rsidRDefault="009149F8" w:rsidP="004951B4">
            <w:pPr>
              <w:spacing w:before="60" w:after="60"/>
              <w:jc w:val="center"/>
              <w:rPr>
                <w:rFonts w:ascii="Arial" w:hAnsi="Arial" w:cs="Arial"/>
                <w:sz w:val="20"/>
                <w:szCs w:val="20"/>
              </w:rPr>
            </w:pPr>
            <w:r w:rsidRPr="00DF393C">
              <w:rPr>
                <w:rFonts w:ascii="Arial" w:hAnsi="Arial" w:cs="Arial"/>
                <w:b/>
                <w:sz w:val="20"/>
                <w:szCs w:val="20"/>
              </w:rPr>
              <w:t>Proyecto para la utilización de los recursos del Fondo</w:t>
            </w:r>
          </w:p>
        </w:tc>
        <w:tc>
          <w:tcPr>
            <w:tcW w:w="735" w:type="pct"/>
            <w:tcBorders>
              <w:top w:val="nil"/>
              <w:left w:val="single" w:sz="4" w:space="0" w:color="auto"/>
              <w:bottom w:val="dashed" w:sz="4" w:space="0" w:color="auto"/>
              <w:right w:val="nil"/>
            </w:tcBorders>
            <w:shd w:val="clear" w:color="auto" w:fill="auto"/>
            <w:noWrap/>
            <w:vAlign w:val="center"/>
            <w:hideMark/>
          </w:tcPr>
          <w:p w14:paraId="218FFDB6" w14:textId="77777777" w:rsidR="009149F8" w:rsidRPr="00601FBC" w:rsidRDefault="009149F8" w:rsidP="007B7CAB">
            <w:pPr>
              <w:spacing w:before="60" w:after="60"/>
              <w:jc w:val="center"/>
              <w:rPr>
                <w:rFonts w:ascii="Arial" w:hAnsi="Arial" w:cs="Arial"/>
                <w:sz w:val="20"/>
                <w:szCs w:val="20"/>
              </w:rPr>
            </w:pPr>
          </w:p>
        </w:tc>
        <w:tc>
          <w:tcPr>
            <w:tcW w:w="734" w:type="pct"/>
            <w:tcBorders>
              <w:top w:val="nil"/>
              <w:left w:val="nil"/>
              <w:bottom w:val="dashed" w:sz="4" w:space="0" w:color="auto"/>
              <w:right w:val="nil"/>
            </w:tcBorders>
          </w:tcPr>
          <w:p w14:paraId="2C04FE78" w14:textId="77777777" w:rsidR="009149F8" w:rsidRPr="00601FBC" w:rsidRDefault="009149F8" w:rsidP="007B7CAB">
            <w:pPr>
              <w:spacing w:before="60" w:after="60"/>
              <w:jc w:val="center"/>
              <w:rPr>
                <w:rFonts w:ascii="Arial" w:hAnsi="Arial" w:cs="Arial"/>
                <w:sz w:val="20"/>
                <w:szCs w:val="20"/>
              </w:rPr>
            </w:pPr>
          </w:p>
        </w:tc>
      </w:tr>
      <w:tr w:rsidR="009149F8" w:rsidRPr="004E783F" w14:paraId="2387E28D" w14:textId="77777777" w:rsidTr="00EF7F51">
        <w:trPr>
          <w:trHeight w:val="255"/>
        </w:trPr>
        <w:tc>
          <w:tcPr>
            <w:tcW w:w="2871" w:type="pct"/>
            <w:gridSpan w:val="2"/>
            <w:tcBorders>
              <w:top w:val="single" w:sz="4" w:space="0" w:color="auto"/>
              <w:left w:val="single" w:sz="4" w:space="0" w:color="auto"/>
              <w:bottom w:val="single" w:sz="4" w:space="0" w:color="auto"/>
              <w:right w:val="single" w:sz="4" w:space="0" w:color="auto"/>
            </w:tcBorders>
            <w:shd w:val="clear" w:color="auto" w:fill="auto"/>
            <w:noWrap/>
          </w:tcPr>
          <w:p w14:paraId="46AE8D8B" w14:textId="2889233F" w:rsidR="009149F8" w:rsidRPr="004E783F" w:rsidRDefault="009149F8" w:rsidP="007B7CAB">
            <w:pPr>
              <w:spacing w:before="60" w:after="60"/>
              <w:rPr>
                <w:rFonts w:ascii="Arial" w:hAnsi="Arial" w:cs="Arial"/>
                <w:b/>
                <w:bCs/>
                <w:sz w:val="20"/>
                <w:szCs w:val="20"/>
              </w:rPr>
            </w:pPr>
            <w:r w:rsidRPr="004951B4">
              <w:rPr>
                <w:rFonts w:ascii="Arial" w:hAnsi="Arial" w:cs="Arial"/>
                <w:sz w:val="20"/>
              </w:rPr>
              <w:t xml:space="preserve">Para el periodo comprendido entre el 1 de </w:t>
            </w:r>
            <w:r w:rsidR="007D0D5E" w:rsidRPr="004E783F">
              <w:rPr>
                <w:rFonts w:ascii="Arial" w:hAnsi="Arial" w:cs="Arial"/>
                <w:sz w:val="20"/>
              </w:rPr>
              <w:t>enero</w:t>
            </w:r>
            <w:r w:rsidRPr="004951B4">
              <w:rPr>
                <w:rFonts w:ascii="Arial" w:hAnsi="Arial" w:cs="Arial"/>
                <w:sz w:val="20"/>
              </w:rPr>
              <w:t xml:space="preserve"> de 2016 y el 31 de </w:t>
            </w:r>
            <w:r w:rsidR="007D0D5E" w:rsidRPr="004E783F">
              <w:rPr>
                <w:rFonts w:ascii="Arial" w:hAnsi="Arial" w:cs="Arial"/>
                <w:sz w:val="20"/>
              </w:rPr>
              <w:t>diciembre</w:t>
            </w:r>
            <w:r w:rsidRPr="004951B4">
              <w:rPr>
                <w:rFonts w:ascii="Arial" w:hAnsi="Arial" w:cs="Arial"/>
                <w:sz w:val="20"/>
              </w:rPr>
              <w:t xml:space="preserve"> de 2017, y el periodo comprendido entre el 1 de </w:t>
            </w:r>
            <w:r w:rsidR="007D0D5E" w:rsidRPr="004E783F">
              <w:rPr>
                <w:rFonts w:ascii="Arial" w:hAnsi="Arial" w:cs="Arial"/>
                <w:sz w:val="20"/>
              </w:rPr>
              <w:t>enero</w:t>
            </w:r>
            <w:r w:rsidR="004E783F" w:rsidRPr="004E783F">
              <w:rPr>
                <w:rFonts w:ascii="Arial" w:hAnsi="Arial" w:cs="Arial"/>
                <w:sz w:val="20"/>
              </w:rPr>
              <w:t xml:space="preserve"> de 2018</w:t>
            </w:r>
            <w:r w:rsidRPr="004951B4">
              <w:rPr>
                <w:rFonts w:ascii="Arial" w:hAnsi="Arial" w:cs="Arial"/>
                <w:sz w:val="20"/>
              </w:rPr>
              <w:t xml:space="preserve"> y el 30 de </w:t>
            </w:r>
            <w:r w:rsidR="001841BA" w:rsidRPr="004E783F">
              <w:rPr>
                <w:rFonts w:ascii="Arial" w:hAnsi="Arial" w:cs="Arial"/>
                <w:sz w:val="20"/>
              </w:rPr>
              <w:t>junio</w:t>
            </w:r>
            <w:r w:rsidRPr="004951B4">
              <w:rPr>
                <w:rFonts w:ascii="Arial" w:hAnsi="Arial" w:cs="Arial"/>
                <w:sz w:val="20"/>
              </w:rPr>
              <w:t xml:space="preserve"> de 2018, los recursos del Fondo del Patrimonio Cultural Inmaterial podrán ser utilizados para los siguientes objetivos:</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8F400" w14:textId="078E1678"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 de la cantidad total</w:t>
            </w:r>
            <w:r w:rsidR="004E783F">
              <w:rPr>
                <w:rStyle w:val="FootnoteReference"/>
                <w:rFonts w:ascii="Arial" w:hAnsi="Arial" w:cs="Arial"/>
                <w:sz w:val="20"/>
              </w:rPr>
              <w:footnoteReference w:id="2"/>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08356A10" w14:textId="77777777" w:rsidR="009149F8" w:rsidRPr="00601FBC" w:rsidRDefault="009149F8" w:rsidP="007B7CAB">
            <w:pPr>
              <w:spacing w:before="60" w:after="60"/>
              <w:jc w:val="center"/>
              <w:rPr>
                <w:rFonts w:ascii="Arial" w:hAnsi="Arial" w:cs="Arial"/>
                <w:sz w:val="20"/>
                <w:szCs w:val="20"/>
              </w:rPr>
            </w:pPr>
            <w:r w:rsidRPr="004951B4">
              <w:rPr>
                <w:rFonts w:ascii="Arial" w:hAnsi="Arial" w:cs="Arial"/>
                <w:sz w:val="20"/>
                <w:szCs w:val="20"/>
              </w:rPr>
              <w:t>Cantidades indicativas</w:t>
            </w:r>
            <w:r w:rsidRPr="00601FBC">
              <w:rPr>
                <w:rFonts w:ascii="Arial" w:hAnsi="Arial" w:cs="Arial"/>
                <w:sz w:val="20"/>
                <w:szCs w:val="20"/>
              </w:rPr>
              <w:br/>
            </w:r>
            <w:r w:rsidRPr="004951B4">
              <w:rPr>
                <w:rFonts w:ascii="Arial" w:hAnsi="Arial" w:cs="Arial"/>
                <w:sz w:val="20"/>
                <w:szCs w:val="20"/>
              </w:rPr>
              <w:t>2016-2017</w:t>
            </w:r>
          </w:p>
        </w:tc>
        <w:tc>
          <w:tcPr>
            <w:tcW w:w="734" w:type="pct"/>
            <w:tcBorders>
              <w:top w:val="dashed" w:sz="4" w:space="0" w:color="auto"/>
              <w:left w:val="dashed" w:sz="4" w:space="0" w:color="auto"/>
              <w:bottom w:val="dashed" w:sz="4" w:space="0" w:color="auto"/>
              <w:right w:val="dashed" w:sz="4" w:space="0" w:color="auto"/>
            </w:tcBorders>
            <w:vAlign w:val="center"/>
          </w:tcPr>
          <w:p w14:paraId="043294EC" w14:textId="3019F643" w:rsidR="009149F8" w:rsidRPr="00601FBC" w:rsidRDefault="009149F8" w:rsidP="007B7CAB">
            <w:pPr>
              <w:spacing w:before="60" w:after="60"/>
              <w:jc w:val="center"/>
              <w:rPr>
                <w:rFonts w:ascii="Arial" w:hAnsi="Arial" w:cs="Arial"/>
                <w:sz w:val="20"/>
                <w:szCs w:val="20"/>
              </w:rPr>
            </w:pPr>
            <w:r w:rsidRPr="004951B4">
              <w:rPr>
                <w:rFonts w:ascii="Arial" w:hAnsi="Arial" w:cs="Arial"/>
                <w:sz w:val="20"/>
                <w:szCs w:val="20"/>
              </w:rPr>
              <w:t>Cantidades indicativas</w:t>
            </w:r>
            <w:r w:rsidRPr="00601FBC">
              <w:rPr>
                <w:rFonts w:ascii="Arial" w:hAnsi="Arial" w:cs="Arial"/>
                <w:sz w:val="20"/>
                <w:szCs w:val="20"/>
              </w:rPr>
              <w:br/>
            </w:r>
            <w:r w:rsidRPr="004951B4">
              <w:rPr>
                <w:rFonts w:ascii="Arial" w:hAnsi="Arial" w:cs="Arial"/>
                <w:sz w:val="20"/>
                <w:szCs w:val="20"/>
              </w:rPr>
              <w:t>Ene-</w:t>
            </w:r>
            <w:r w:rsidR="001841BA" w:rsidRPr="00CA2BB9">
              <w:rPr>
                <w:rFonts w:ascii="Arial" w:hAnsi="Arial" w:cs="Arial"/>
                <w:sz w:val="20"/>
                <w:szCs w:val="20"/>
              </w:rPr>
              <w:t>junio</w:t>
            </w:r>
            <w:r w:rsidRPr="00DF393C">
              <w:rPr>
                <w:rFonts w:ascii="Arial" w:hAnsi="Arial" w:cs="Arial"/>
                <w:sz w:val="20"/>
                <w:szCs w:val="20"/>
              </w:rPr>
              <w:t xml:space="preserve"> 2018</w:t>
            </w:r>
          </w:p>
        </w:tc>
      </w:tr>
      <w:tr w:rsidR="00EF7F51" w:rsidRPr="004E783F" w14:paraId="62CE5603"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2F0AF345" w14:textId="77777777" w:rsidR="009149F8" w:rsidRPr="004E783F" w:rsidRDefault="009149F8" w:rsidP="007B7CAB">
            <w:pPr>
              <w:spacing w:before="60" w:after="60"/>
              <w:rPr>
                <w:rFonts w:ascii="Arial" w:hAnsi="Arial" w:cs="Arial"/>
                <w:sz w:val="20"/>
                <w:szCs w:val="20"/>
              </w:rPr>
            </w:pPr>
            <w:r w:rsidRPr="004951B4">
              <w:rPr>
                <w:rFonts w:ascii="Arial" w:hAnsi="Arial" w:cs="Arial"/>
                <w:sz w:val="20"/>
              </w:rPr>
              <w:t>1.</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522372CF" w14:textId="6F094207" w:rsidR="009149F8" w:rsidRPr="004E783F" w:rsidRDefault="009149F8">
            <w:pPr>
              <w:spacing w:before="60" w:after="60"/>
              <w:rPr>
                <w:rFonts w:ascii="Arial" w:hAnsi="Arial" w:cs="Arial"/>
                <w:sz w:val="20"/>
                <w:szCs w:val="20"/>
              </w:rPr>
            </w:pPr>
            <w:r w:rsidRPr="004951B4">
              <w:rPr>
                <w:rFonts w:ascii="Arial" w:hAnsi="Arial" w:cs="Arial"/>
                <w:sz w:val="20"/>
              </w:rPr>
              <w:t xml:space="preserve">Asistencia internacional, </w:t>
            </w:r>
            <w:r w:rsidR="00601FBC">
              <w:rPr>
                <w:rFonts w:ascii="Arial" w:hAnsi="Arial" w:cs="Arial"/>
                <w:sz w:val="20"/>
              </w:rPr>
              <w:t>que comprende</w:t>
            </w:r>
            <w:r w:rsidRPr="004951B4">
              <w:rPr>
                <w:rFonts w:ascii="Arial" w:hAnsi="Arial" w:cs="Arial"/>
                <w:sz w:val="20"/>
              </w:rPr>
              <w:t xml:space="preserve"> la salvaguardia del patrimonio inscrito en la Lista de Salvaguardia Urgente, la preparación de inventarios y el apoyo a otros programas, proyectos y actividades de salvaguardia;</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859C0" w14:textId="77777777"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59,00</w:t>
            </w:r>
            <w:r w:rsidRPr="00DF393C">
              <w:rPr>
                <w:rFonts w:ascii="Arial" w:hAnsi="Arial" w:cs="Arial"/>
              </w:rPr>
              <w:t>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3697D977" w14:textId="43BAA536" w:rsidR="009149F8" w:rsidRPr="00601FBC" w:rsidRDefault="00A65B49" w:rsidP="007B7CAB">
            <w:pPr>
              <w:spacing w:before="60" w:after="60"/>
              <w:jc w:val="right"/>
              <w:rPr>
                <w:rFonts w:ascii="Arial" w:hAnsi="Arial" w:cs="Arial"/>
                <w:sz w:val="20"/>
                <w:szCs w:val="20"/>
              </w:rPr>
            </w:pPr>
            <w:r w:rsidRPr="004951B4">
              <w:rPr>
                <w:rFonts w:ascii="Arial" w:hAnsi="Arial" w:cs="Arial"/>
                <w:sz w:val="20"/>
                <w:szCs w:val="20"/>
              </w:rPr>
              <w:t>4</w:t>
            </w:r>
            <w:r w:rsidR="00601FBC" w:rsidRPr="00DF393C">
              <w:rPr>
                <w:rFonts w:ascii="Arial" w:hAnsi="Arial" w:cs="Arial"/>
                <w:sz w:val="20"/>
                <w:szCs w:val="20"/>
              </w:rPr>
              <w:t>.</w:t>
            </w:r>
            <w:r w:rsidRPr="00DF393C">
              <w:rPr>
                <w:rFonts w:ascii="Arial" w:hAnsi="Arial" w:cs="Arial"/>
                <w:sz w:val="20"/>
                <w:szCs w:val="20"/>
              </w:rPr>
              <w:t>692</w:t>
            </w:r>
            <w:r w:rsidR="00601FBC">
              <w:rPr>
                <w:rFonts w:ascii="Arial" w:hAnsi="Arial" w:cs="Arial"/>
                <w:sz w:val="20"/>
                <w:szCs w:val="20"/>
              </w:rPr>
              <w:t>.</w:t>
            </w:r>
            <w:r w:rsidRPr="00DF393C">
              <w:rPr>
                <w:rFonts w:ascii="Arial" w:hAnsi="Arial" w:cs="Arial"/>
                <w:sz w:val="20"/>
                <w:szCs w:val="20"/>
              </w:rPr>
              <w:t xml:space="preserve">700 $  </w:t>
            </w:r>
          </w:p>
        </w:tc>
        <w:tc>
          <w:tcPr>
            <w:tcW w:w="734" w:type="pct"/>
            <w:tcBorders>
              <w:top w:val="dashed" w:sz="4" w:space="0" w:color="auto"/>
              <w:left w:val="dashed" w:sz="4" w:space="0" w:color="auto"/>
              <w:bottom w:val="dashed" w:sz="4" w:space="0" w:color="auto"/>
              <w:right w:val="dashed" w:sz="4" w:space="0" w:color="auto"/>
            </w:tcBorders>
            <w:vAlign w:val="center"/>
          </w:tcPr>
          <w:p w14:paraId="7A7E8557" w14:textId="20022984" w:rsidR="009149F8" w:rsidRPr="00601FBC" w:rsidRDefault="00EF7F51" w:rsidP="00EF7F51">
            <w:pPr>
              <w:spacing w:before="60" w:after="60"/>
              <w:jc w:val="right"/>
              <w:rPr>
                <w:rFonts w:ascii="Arial" w:hAnsi="Arial" w:cs="Arial"/>
                <w:sz w:val="20"/>
                <w:szCs w:val="20"/>
              </w:rPr>
            </w:pPr>
            <w:r w:rsidRPr="004951B4">
              <w:rPr>
                <w:rFonts w:ascii="Arial" w:hAnsi="Arial" w:cs="Arial"/>
                <w:sz w:val="20"/>
                <w:szCs w:val="20"/>
              </w:rPr>
              <w:t>1</w:t>
            </w:r>
            <w:r w:rsidR="00601FBC">
              <w:rPr>
                <w:rFonts w:ascii="Arial" w:hAnsi="Arial" w:cs="Arial"/>
                <w:sz w:val="20"/>
                <w:szCs w:val="20"/>
              </w:rPr>
              <w:t>.</w:t>
            </w:r>
            <w:r w:rsidRPr="00DF393C">
              <w:rPr>
                <w:rFonts w:ascii="Arial" w:hAnsi="Arial" w:cs="Arial"/>
                <w:sz w:val="20"/>
                <w:szCs w:val="20"/>
              </w:rPr>
              <w:t>173</w:t>
            </w:r>
            <w:r w:rsidR="00601FBC">
              <w:rPr>
                <w:rFonts w:ascii="Arial" w:hAnsi="Arial" w:cs="Arial"/>
                <w:sz w:val="20"/>
                <w:szCs w:val="20"/>
              </w:rPr>
              <w:t>.</w:t>
            </w:r>
            <w:r w:rsidRPr="00DF393C">
              <w:rPr>
                <w:rFonts w:ascii="Arial" w:hAnsi="Arial" w:cs="Arial"/>
                <w:sz w:val="20"/>
                <w:szCs w:val="20"/>
              </w:rPr>
              <w:t xml:space="preserve">175 $ </w:t>
            </w:r>
          </w:p>
        </w:tc>
      </w:tr>
      <w:tr w:rsidR="00EF7F51" w:rsidRPr="004E783F" w14:paraId="0EC9B960"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20C6913A" w14:textId="77777777" w:rsidR="009149F8" w:rsidRPr="004E783F" w:rsidRDefault="009149F8" w:rsidP="007B7CAB">
            <w:pPr>
              <w:spacing w:before="60" w:after="60"/>
              <w:rPr>
                <w:rFonts w:ascii="Arial" w:hAnsi="Arial" w:cs="Arial"/>
                <w:sz w:val="20"/>
                <w:szCs w:val="20"/>
              </w:rPr>
            </w:pPr>
            <w:r w:rsidRPr="004951B4">
              <w:rPr>
                <w:rFonts w:ascii="Arial" w:hAnsi="Arial" w:cs="Arial"/>
                <w:sz w:val="20"/>
              </w:rPr>
              <w:t>2.</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7CBE1344" w14:textId="1D3C5E6E" w:rsidR="009149F8" w:rsidRPr="004E783F" w:rsidRDefault="009149F8">
            <w:pPr>
              <w:spacing w:before="60" w:after="60"/>
              <w:rPr>
                <w:rFonts w:ascii="Arial" w:hAnsi="Arial" w:cs="Arial"/>
                <w:bCs/>
                <w:sz w:val="20"/>
                <w:szCs w:val="20"/>
              </w:rPr>
            </w:pPr>
            <w:r w:rsidRPr="004951B4">
              <w:rPr>
                <w:rFonts w:ascii="Arial" w:hAnsi="Arial" w:cs="Arial"/>
                <w:sz w:val="20"/>
              </w:rPr>
              <w:t xml:space="preserve">Asistencia preparatoria para la elaboración de expedientes de inscripción en la Lista de </w:t>
            </w:r>
            <w:r w:rsidR="00601FBC">
              <w:rPr>
                <w:rFonts w:ascii="Arial" w:hAnsi="Arial" w:cs="Arial"/>
                <w:sz w:val="20"/>
              </w:rPr>
              <w:t>s</w:t>
            </w:r>
            <w:r w:rsidR="00601FBC" w:rsidRPr="004951B4">
              <w:rPr>
                <w:rFonts w:ascii="Arial" w:hAnsi="Arial" w:cs="Arial"/>
                <w:sz w:val="20"/>
              </w:rPr>
              <w:t xml:space="preserve">alvaguardia </w:t>
            </w:r>
            <w:r w:rsidR="00601FBC">
              <w:rPr>
                <w:rFonts w:ascii="Arial" w:hAnsi="Arial" w:cs="Arial"/>
                <w:sz w:val="20"/>
              </w:rPr>
              <w:t>u</w:t>
            </w:r>
            <w:r w:rsidR="00601FBC" w:rsidRPr="004951B4">
              <w:rPr>
                <w:rFonts w:ascii="Arial" w:hAnsi="Arial" w:cs="Arial"/>
                <w:sz w:val="20"/>
              </w:rPr>
              <w:t>rgente</w:t>
            </w:r>
            <w:r w:rsidRPr="004951B4">
              <w:rPr>
                <w:rFonts w:ascii="Arial" w:hAnsi="Arial" w:cs="Arial"/>
                <w:sz w:val="20"/>
              </w:rPr>
              <w:t>, propuestas para el Registro de mejores prácticas de salvaguardia y solicitudes de asistencia internacional;</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6168F" w14:textId="77777777"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5,50</w:t>
            </w:r>
            <w:r w:rsidRPr="00DF393C">
              <w:rPr>
                <w:rFonts w:ascii="Arial" w:hAnsi="Arial" w:cs="Arial"/>
              </w:rPr>
              <w:t>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55CC335B" w14:textId="2FFF7356" w:rsidR="009149F8" w:rsidRPr="00601FBC" w:rsidRDefault="00A65B49" w:rsidP="007B7CAB">
            <w:pPr>
              <w:spacing w:before="60" w:after="60"/>
              <w:jc w:val="right"/>
              <w:rPr>
                <w:rFonts w:ascii="Arial" w:hAnsi="Arial" w:cs="Arial"/>
                <w:sz w:val="20"/>
                <w:szCs w:val="20"/>
              </w:rPr>
            </w:pPr>
            <w:r w:rsidRPr="004951B4">
              <w:rPr>
                <w:rFonts w:ascii="Arial" w:hAnsi="Arial" w:cs="Arial"/>
                <w:sz w:val="20"/>
                <w:szCs w:val="20"/>
              </w:rPr>
              <w:t>437</w:t>
            </w:r>
            <w:r w:rsidR="00601FBC">
              <w:rPr>
                <w:rFonts w:ascii="Arial" w:hAnsi="Arial" w:cs="Arial"/>
                <w:sz w:val="20"/>
                <w:szCs w:val="20"/>
              </w:rPr>
              <w:t>.</w:t>
            </w:r>
            <w:r w:rsidRPr="00DF393C">
              <w:rPr>
                <w:rFonts w:ascii="Arial" w:hAnsi="Arial" w:cs="Arial"/>
                <w:sz w:val="20"/>
                <w:szCs w:val="20"/>
              </w:rPr>
              <w:t xml:space="preserve">455 $  </w:t>
            </w:r>
          </w:p>
        </w:tc>
        <w:tc>
          <w:tcPr>
            <w:tcW w:w="734" w:type="pct"/>
            <w:tcBorders>
              <w:top w:val="dashed" w:sz="4" w:space="0" w:color="auto"/>
              <w:left w:val="dashed" w:sz="4" w:space="0" w:color="auto"/>
              <w:bottom w:val="dashed" w:sz="4" w:space="0" w:color="auto"/>
              <w:right w:val="dashed" w:sz="4" w:space="0" w:color="auto"/>
            </w:tcBorders>
            <w:vAlign w:val="center"/>
          </w:tcPr>
          <w:p w14:paraId="15DB07DF" w14:textId="75F867C1" w:rsidR="009149F8" w:rsidRPr="00601FBC" w:rsidRDefault="00EF7F51" w:rsidP="00905B80">
            <w:pPr>
              <w:spacing w:before="60" w:after="60"/>
              <w:jc w:val="right"/>
              <w:rPr>
                <w:rFonts w:ascii="Arial" w:hAnsi="Arial" w:cs="Arial"/>
                <w:sz w:val="20"/>
                <w:szCs w:val="20"/>
              </w:rPr>
            </w:pPr>
            <w:r w:rsidRPr="004951B4">
              <w:rPr>
                <w:rFonts w:ascii="Arial" w:hAnsi="Arial" w:cs="Arial"/>
                <w:sz w:val="20"/>
                <w:szCs w:val="20"/>
              </w:rPr>
              <w:t>109</w:t>
            </w:r>
            <w:r w:rsidR="00601FBC">
              <w:rPr>
                <w:rFonts w:ascii="Arial" w:hAnsi="Arial" w:cs="Arial"/>
                <w:sz w:val="20"/>
                <w:szCs w:val="20"/>
              </w:rPr>
              <w:t>.</w:t>
            </w:r>
            <w:r w:rsidRPr="00DF393C">
              <w:rPr>
                <w:rFonts w:ascii="Arial" w:hAnsi="Arial" w:cs="Arial"/>
                <w:sz w:val="20"/>
                <w:szCs w:val="20"/>
              </w:rPr>
              <w:t xml:space="preserve">364 $ </w:t>
            </w:r>
          </w:p>
        </w:tc>
      </w:tr>
      <w:tr w:rsidR="00EF7F51" w:rsidRPr="004E783F" w14:paraId="11A6967A"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956AA" w14:textId="77777777" w:rsidR="009149F8" w:rsidRPr="004E783F" w:rsidRDefault="009149F8" w:rsidP="007B7CAB">
            <w:pPr>
              <w:spacing w:before="60" w:after="60"/>
              <w:rPr>
                <w:rFonts w:ascii="Arial" w:hAnsi="Arial" w:cs="Arial"/>
                <w:sz w:val="20"/>
                <w:szCs w:val="20"/>
              </w:rPr>
            </w:pPr>
            <w:r w:rsidRPr="004951B4">
              <w:rPr>
                <w:rFonts w:ascii="Arial" w:hAnsi="Arial" w:cs="Arial"/>
                <w:sz w:val="20"/>
              </w:rPr>
              <w:t>3.</w:t>
            </w:r>
          </w:p>
        </w:tc>
        <w:tc>
          <w:tcPr>
            <w:tcW w:w="26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99D8" w14:textId="55B15C2F" w:rsidR="009149F8" w:rsidRPr="004E783F" w:rsidRDefault="009149F8" w:rsidP="007B7CAB">
            <w:pPr>
              <w:spacing w:before="60" w:after="60"/>
              <w:rPr>
                <w:rFonts w:ascii="Arial" w:hAnsi="Arial" w:cs="Arial"/>
                <w:bCs/>
                <w:sz w:val="20"/>
                <w:szCs w:val="20"/>
              </w:rPr>
            </w:pPr>
            <w:r w:rsidRPr="004951B4">
              <w:rPr>
                <w:rFonts w:ascii="Arial" w:hAnsi="Arial" w:cs="Arial"/>
                <w:sz w:val="20"/>
              </w:rPr>
              <w:t xml:space="preserve">Otras funciones del Comité descritas en el </w:t>
            </w:r>
            <w:r w:rsidR="007D0D5E" w:rsidRPr="004E783F">
              <w:rPr>
                <w:rFonts w:ascii="Arial" w:hAnsi="Arial" w:cs="Arial"/>
                <w:sz w:val="20"/>
              </w:rPr>
              <w:t>artículo</w:t>
            </w:r>
            <w:r w:rsidRPr="004951B4">
              <w:rPr>
                <w:rFonts w:ascii="Arial" w:hAnsi="Arial" w:cs="Arial"/>
                <w:sz w:val="20"/>
              </w:rPr>
              <w:t xml:space="preserve"> 7 de la Convención y en las Directrices Operativas;</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9E1A" w14:textId="77777777"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20,00</w:t>
            </w:r>
            <w:r w:rsidRPr="00DF393C">
              <w:rPr>
                <w:rFonts w:ascii="Arial" w:hAnsi="Arial" w:cs="Arial"/>
              </w:rPr>
              <w:t>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797E32D8" w14:textId="45D8CB5D" w:rsidR="009149F8" w:rsidRPr="00601FBC" w:rsidRDefault="00A65B49" w:rsidP="007B7CAB">
            <w:pPr>
              <w:spacing w:before="60" w:after="60"/>
              <w:jc w:val="right"/>
              <w:rPr>
                <w:rFonts w:ascii="Arial" w:hAnsi="Arial" w:cs="Arial"/>
                <w:sz w:val="20"/>
                <w:szCs w:val="20"/>
              </w:rPr>
            </w:pPr>
            <w:r w:rsidRPr="004951B4">
              <w:rPr>
                <w:rFonts w:ascii="Arial" w:hAnsi="Arial" w:cs="Arial"/>
                <w:sz w:val="20"/>
                <w:szCs w:val="20"/>
              </w:rPr>
              <w:t>1</w:t>
            </w:r>
            <w:r w:rsidR="00601FBC">
              <w:rPr>
                <w:rFonts w:ascii="Arial" w:hAnsi="Arial" w:cs="Arial"/>
                <w:sz w:val="20"/>
                <w:szCs w:val="20"/>
              </w:rPr>
              <w:t>.</w:t>
            </w:r>
            <w:r w:rsidRPr="00DF393C">
              <w:rPr>
                <w:rFonts w:ascii="Arial" w:hAnsi="Arial" w:cs="Arial"/>
                <w:sz w:val="20"/>
                <w:szCs w:val="20"/>
              </w:rPr>
              <w:t>590</w:t>
            </w:r>
            <w:r w:rsidR="00601FBC">
              <w:rPr>
                <w:rFonts w:ascii="Arial" w:hAnsi="Arial" w:cs="Arial"/>
                <w:sz w:val="20"/>
                <w:szCs w:val="20"/>
              </w:rPr>
              <w:t>.</w:t>
            </w:r>
            <w:r w:rsidRPr="00DF393C">
              <w:rPr>
                <w:rFonts w:ascii="Arial" w:hAnsi="Arial" w:cs="Arial"/>
                <w:sz w:val="20"/>
                <w:szCs w:val="20"/>
              </w:rPr>
              <w:t xml:space="preserve">746 $ </w:t>
            </w:r>
          </w:p>
        </w:tc>
        <w:tc>
          <w:tcPr>
            <w:tcW w:w="734" w:type="pct"/>
            <w:tcBorders>
              <w:top w:val="dashed" w:sz="4" w:space="0" w:color="auto"/>
              <w:left w:val="dashed" w:sz="4" w:space="0" w:color="auto"/>
              <w:bottom w:val="dashed" w:sz="4" w:space="0" w:color="auto"/>
              <w:right w:val="dashed" w:sz="4" w:space="0" w:color="auto"/>
            </w:tcBorders>
            <w:vAlign w:val="center"/>
          </w:tcPr>
          <w:p w14:paraId="79717BC8" w14:textId="28FE955D" w:rsidR="009149F8" w:rsidRPr="00601FBC" w:rsidRDefault="00EF7F51" w:rsidP="00EF7F51">
            <w:pPr>
              <w:spacing w:before="60" w:after="60"/>
              <w:jc w:val="right"/>
              <w:rPr>
                <w:rFonts w:ascii="Arial" w:hAnsi="Arial" w:cs="Arial"/>
                <w:sz w:val="20"/>
                <w:szCs w:val="20"/>
              </w:rPr>
            </w:pPr>
            <w:r w:rsidRPr="004951B4">
              <w:rPr>
                <w:rFonts w:ascii="Arial" w:hAnsi="Arial" w:cs="Arial"/>
                <w:sz w:val="20"/>
                <w:szCs w:val="20"/>
              </w:rPr>
              <w:t>397</w:t>
            </w:r>
            <w:r w:rsidR="00601FBC">
              <w:rPr>
                <w:rFonts w:ascii="Arial" w:hAnsi="Arial" w:cs="Arial"/>
                <w:sz w:val="20"/>
                <w:szCs w:val="20"/>
              </w:rPr>
              <w:t>.</w:t>
            </w:r>
            <w:r w:rsidRPr="00DF393C">
              <w:rPr>
                <w:rFonts w:ascii="Arial" w:hAnsi="Arial" w:cs="Arial"/>
                <w:sz w:val="20"/>
                <w:szCs w:val="20"/>
              </w:rPr>
              <w:t xml:space="preserve">687 $ </w:t>
            </w:r>
          </w:p>
        </w:tc>
      </w:tr>
      <w:tr w:rsidR="00EF7F51" w:rsidRPr="004E783F" w14:paraId="10604BCE"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3EE792AC" w14:textId="77777777" w:rsidR="009149F8" w:rsidRPr="004E783F" w:rsidRDefault="009149F8" w:rsidP="007B7CAB">
            <w:pPr>
              <w:spacing w:before="60" w:after="60"/>
              <w:rPr>
                <w:rFonts w:ascii="Arial" w:hAnsi="Arial" w:cs="Arial"/>
                <w:sz w:val="20"/>
                <w:szCs w:val="20"/>
              </w:rPr>
            </w:pPr>
            <w:r w:rsidRPr="004951B4">
              <w:rPr>
                <w:rFonts w:ascii="Arial" w:hAnsi="Arial" w:cs="Arial"/>
                <w:sz w:val="20"/>
              </w:rPr>
              <w:t>4.</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54F2ADD8" w14:textId="49B4DDD0" w:rsidR="009149F8" w:rsidRPr="004E783F" w:rsidRDefault="009149F8">
            <w:pPr>
              <w:spacing w:before="60" w:after="60"/>
              <w:rPr>
                <w:rFonts w:ascii="Arial" w:hAnsi="Arial" w:cs="Arial"/>
                <w:bCs/>
                <w:sz w:val="20"/>
                <w:szCs w:val="20"/>
              </w:rPr>
            </w:pPr>
            <w:r w:rsidRPr="004951B4">
              <w:rPr>
                <w:rFonts w:ascii="Arial" w:hAnsi="Arial" w:cs="Arial"/>
                <w:sz w:val="20"/>
              </w:rPr>
              <w:t xml:space="preserve">La participación en las reuniones del Comité, su Mesa y sus órganos subsidiarios de especialistas en el patrimonio cultural inmaterial que representen a Estados en desarrollo </w:t>
            </w:r>
            <w:r w:rsidR="00601FBC">
              <w:rPr>
                <w:rFonts w:ascii="Arial" w:hAnsi="Arial" w:cs="Arial"/>
                <w:sz w:val="20"/>
              </w:rPr>
              <w:t>m</w:t>
            </w:r>
            <w:r w:rsidR="00601FBC" w:rsidRPr="004E783F">
              <w:rPr>
                <w:rFonts w:ascii="Arial" w:hAnsi="Arial" w:cs="Arial"/>
                <w:sz w:val="20"/>
              </w:rPr>
              <w:t>iembros</w:t>
            </w:r>
            <w:r w:rsidR="00601FBC" w:rsidRPr="004951B4">
              <w:rPr>
                <w:rFonts w:ascii="Arial" w:hAnsi="Arial" w:cs="Arial"/>
                <w:sz w:val="20"/>
              </w:rPr>
              <w:t xml:space="preserve"> </w:t>
            </w:r>
            <w:r w:rsidRPr="004951B4">
              <w:rPr>
                <w:rFonts w:ascii="Arial" w:hAnsi="Arial" w:cs="Arial"/>
                <w:sz w:val="20"/>
              </w:rPr>
              <w:t>del Comité;</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DBE" w14:textId="77777777"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2,25</w:t>
            </w:r>
            <w:r w:rsidRPr="00DF393C">
              <w:rPr>
                <w:rFonts w:ascii="Arial" w:hAnsi="Arial" w:cs="Arial"/>
              </w:rPr>
              <w:t>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21F5FFE8" w14:textId="3AAE43EA" w:rsidR="009149F8" w:rsidRPr="00601FBC" w:rsidRDefault="00A65B49" w:rsidP="007B7CAB">
            <w:pPr>
              <w:spacing w:before="60" w:after="60"/>
              <w:jc w:val="right"/>
              <w:rPr>
                <w:rFonts w:ascii="Arial" w:hAnsi="Arial" w:cs="Arial"/>
                <w:sz w:val="20"/>
                <w:szCs w:val="20"/>
              </w:rPr>
            </w:pPr>
            <w:r w:rsidRPr="004951B4">
              <w:rPr>
                <w:rFonts w:ascii="Arial" w:hAnsi="Arial" w:cs="Arial"/>
                <w:sz w:val="20"/>
                <w:szCs w:val="20"/>
              </w:rPr>
              <w:t>178</w:t>
            </w:r>
            <w:r w:rsidR="00601FBC">
              <w:rPr>
                <w:rFonts w:ascii="Arial" w:hAnsi="Arial" w:cs="Arial"/>
                <w:sz w:val="20"/>
                <w:szCs w:val="20"/>
              </w:rPr>
              <w:t>.</w:t>
            </w:r>
            <w:r w:rsidRPr="00DF393C">
              <w:rPr>
                <w:rFonts w:ascii="Arial" w:hAnsi="Arial" w:cs="Arial"/>
                <w:sz w:val="20"/>
                <w:szCs w:val="20"/>
              </w:rPr>
              <w:t xml:space="preserve">959 $  </w:t>
            </w:r>
          </w:p>
        </w:tc>
        <w:tc>
          <w:tcPr>
            <w:tcW w:w="734" w:type="pct"/>
            <w:tcBorders>
              <w:top w:val="dashed" w:sz="4" w:space="0" w:color="auto"/>
              <w:left w:val="dashed" w:sz="4" w:space="0" w:color="auto"/>
              <w:bottom w:val="dashed" w:sz="4" w:space="0" w:color="auto"/>
              <w:right w:val="dashed" w:sz="4" w:space="0" w:color="auto"/>
            </w:tcBorders>
            <w:vAlign w:val="center"/>
          </w:tcPr>
          <w:p w14:paraId="756720C0" w14:textId="4A702932" w:rsidR="009149F8" w:rsidRPr="00601FBC" w:rsidRDefault="00EF7F51" w:rsidP="00EF7F51">
            <w:pPr>
              <w:spacing w:before="60" w:after="60"/>
              <w:jc w:val="right"/>
              <w:rPr>
                <w:rFonts w:ascii="Arial" w:hAnsi="Arial" w:cs="Arial"/>
                <w:sz w:val="20"/>
                <w:szCs w:val="20"/>
              </w:rPr>
            </w:pPr>
            <w:r w:rsidRPr="004951B4">
              <w:rPr>
                <w:rFonts w:ascii="Arial" w:hAnsi="Arial" w:cs="Arial"/>
                <w:sz w:val="20"/>
                <w:szCs w:val="20"/>
              </w:rPr>
              <w:t>44</w:t>
            </w:r>
            <w:r w:rsidR="00601FBC">
              <w:rPr>
                <w:rFonts w:ascii="Arial" w:hAnsi="Arial" w:cs="Arial"/>
                <w:sz w:val="20"/>
                <w:szCs w:val="20"/>
              </w:rPr>
              <w:t>.</w:t>
            </w:r>
            <w:r w:rsidRPr="00DF393C">
              <w:rPr>
                <w:rFonts w:ascii="Arial" w:hAnsi="Arial" w:cs="Arial"/>
                <w:sz w:val="20"/>
                <w:szCs w:val="20"/>
              </w:rPr>
              <w:t xml:space="preserve">740 $ </w:t>
            </w:r>
          </w:p>
        </w:tc>
      </w:tr>
      <w:tr w:rsidR="00EF7F51" w:rsidRPr="004E783F" w14:paraId="4559CCFB"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5948E099" w14:textId="77777777" w:rsidR="009149F8" w:rsidRPr="004E783F" w:rsidRDefault="009149F8" w:rsidP="007B7CAB">
            <w:pPr>
              <w:spacing w:before="60" w:after="60"/>
              <w:rPr>
                <w:rFonts w:ascii="Arial" w:hAnsi="Arial" w:cs="Arial"/>
                <w:sz w:val="20"/>
                <w:szCs w:val="20"/>
              </w:rPr>
            </w:pPr>
            <w:r w:rsidRPr="004951B4">
              <w:rPr>
                <w:rFonts w:ascii="Arial" w:hAnsi="Arial" w:cs="Arial"/>
                <w:sz w:val="20"/>
              </w:rPr>
              <w:t>5.</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5BDD215A" w14:textId="77777777" w:rsidR="009149F8" w:rsidRPr="004E783F" w:rsidRDefault="009149F8" w:rsidP="007B7CAB">
            <w:pPr>
              <w:spacing w:before="60" w:after="60"/>
              <w:rPr>
                <w:rFonts w:ascii="Arial" w:hAnsi="Arial" w:cs="Arial"/>
                <w:bCs/>
                <w:sz w:val="20"/>
                <w:szCs w:val="20"/>
              </w:rPr>
            </w:pPr>
            <w:r w:rsidRPr="004951B4">
              <w:rPr>
                <w:rFonts w:ascii="Arial" w:hAnsi="Arial" w:cs="Arial"/>
                <w:sz w:val="20"/>
              </w:rPr>
              <w:t>La participación en las reuniones del Comité de especialistas en el patrimonio cultural inmaterial que representen a Estados en desarrollo que sean Partes en la Convención pero no miembros del Comité;</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55662" w14:textId="39FDC648"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2,75</w:t>
            </w:r>
            <w:r w:rsidRPr="00DF393C">
              <w:rPr>
                <w:rFonts w:ascii="Arial" w:hAnsi="Arial" w:cs="Arial"/>
              </w:rPr>
              <w:t>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5DDFBB87" w14:textId="4BE93E0D" w:rsidR="009149F8" w:rsidRPr="00601FBC" w:rsidRDefault="00A65B49" w:rsidP="007B7CAB">
            <w:pPr>
              <w:spacing w:before="60" w:after="60"/>
              <w:jc w:val="right"/>
              <w:rPr>
                <w:rFonts w:ascii="Arial" w:hAnsi="Arial" w:cs="Arial"/>
                <w:sz w:val="20"/>
                <w:szCs w:val="20"/>
              </w:rPr>
            </w:pPr>
            <w:r w:rsidRPr="004951B4">
              <w:rPr>
                <w:rFonts w:ascii="Arial" w:hAnsi="Arial" w:cs="Arial"/>
                <w:sz w:val="20"/>
                <w:szCs w:val="20"/>
              </w:rPr>
              <w:t>218</w:t>
            </w:r>
            <w:r w:rsidR="00601FBC">
              <w:rPr>
                <w:rFonts w:ascii="Arial" w:hAnsi="Arial" w:cs="Arial"/>
                <w:sz w:val="20"/>
                <w:szCs w:val="20"/>
              </w:rPr>
              <w:t>.</w:t>
            </w:r>
            <w:r w:rsidRPr="00DF393C">
              <w:rPr>
                <w:rFonts w:ascii="Arial" w:hAnsi="Arial" w:cs="Arial"/>
                <w:sz w:val="20"/>
                <w:szCs w:val="20"/>
              </w:rPr>
              <w:t xml:space="preserve">728 $  </w:t>
            </w:r>
          </w:p>
        </w:tc>
        <w:tc>
          <w:tcPr>
            <w:tcW w:w="734" w:type="pct"/>
            <w:tcBorders>
              <w:top w:val="dashed" w:sz="4" w:space="0" w:color="auto"/>
              <w:left w:val="dashed" w:sz="4" w:space="0" w:color="auto"/>
              <w:bottom w:val="dashed" w:sz="4" w:space="0" w:color="auto"/>
              <w:right w:val="dashed" w:sz="4" w:space="0" w:color="auto"/>
            </w:tcBorders>
            <w:vAlign w:val="center"/>
          </w:tcPr>
          <w:p w14:paraId="6B2A0048" w14:textId="4DFE5F39" w:rsidR="009149F8" w:rsidRPr="00601FBC" w:rsidRDefault="00EF7F51" w:rsidP="00EF7F51">
            <w:pPr>
              <w:spacing w:before="60" w:after="60"/>
              <w:jc w:val="right"/>
              <w:rPr>
                <w:rFonts w:ascii="Arial" w:hAnsi="Arial" w:cs="Arial"/>
                <w:sz w:val="20"/>
                <w:szCs w:val="20"/>
              </w:rPr>
            </w:pPr>
            <w:r w:rsidRPr="004951B4">
              <w:rPr>
                <w:rFonts w:ascii="Arial" w:hAnsi="Arial" w:cs="Arial"/>
                <w:sz w:val="20"/>
                <w:szCs w:val="20"/>
              </w:rPr>
              <w:t>54</w:t>
            </w:r>
            <w:r w:rsidR="00601FBC">
              <w:rPr>
                <w:rFonts w:ascii="Arial" w:hAnsi="Arial" w:cs="Arial"/>
                <w:sz w:val="20"/>
                <w:szCs w:val="20"/>
              </w:rPr>
              <w:t>.</w:t>
            </w:r>
            <w:r w:rsidRPr="00DF393C">
              <w:rPr>
                <w:rFonts w:ascii="Arial" w:hAnsi="Arial" w:cs="Arial"/>
                <w:sz w:val="20"/>
                <w:szCs w:val="20"/>
              </w:rPr>
              <w:t xml:space="preserve">682 $ </w:t>
            </w:r>
          </w:p>
        </w:tc>
      </w:tr>
      <w:tr w:rsidR="00EF7F51" w:rsidRPr="004E783F" w14:paraId="2AB7C057"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211998B8" w14:textId="77777777" w:rsidR="009149F8" w:rsidRPr="004E783F" w:rsidRDefault="009149F8" w:rsidP="007B7CAB">
            <w:pPr>
              <w:spacing w:before="60" w:after="60"/>
              <w:rPr>
                <w:rFonts w:ascii="Arial" w:hAnsi="Arial" w:cs="Arial"/>
                <w:sz w:val="20"/>
                <w:szCs w:val="20"/>
              </w:rPr>
            </w:pPr>
            <w:r w:rsidRPr="004951B4">
              <w:rPr>
                <w:rFonts w:ascii="Arial" w:hAnsi="Arial" w:cs="Arial"/>
                <w:sz w:val="20"/>
              </w:rPr>
              <w:t>6.</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6E049505" w14:textId="263D3695" w:rsidR="009149F8" w:rsidRPr="004E783F" w:rsidRDefault="009149F8" w:rsidP="007B7CAB">
            <w:pPr>
              <w:spacing w:before="60" w:after="60"/>
              <w:rPr>
                <w:rFonts w:ascii="Arial" w:hAnsi="Arial" w:cs="Arial"/>
                <w:bCs/>
                <w:sz w:val="20"/>
                <w:szCs w:val="20"/>
              </w:rPr>
            </w:pPr>
            <w:r w:rsidRPr="004951B4">
              <w:rPr>
                <w:rFonts w:ascii="Arial" w:hAnsi="Arial" w:cs="Arial"/>
                <w:sz w:val="20"/>
              </w:rPr>
              <w:t xml:space="preserve">La participación en las reuniones del Comité, su Mesa y sus órganos subsidiarios </w:t>
            </w:r>
            <w:r w:rsidR="004E783F" w:rsidRPr="004E783F">
              <w:rPr>
                <w:rFonts w:ascii="Arial" w:hAnsi="Arial" w:cs="Arial"/>
                <w:sz w:val="20"/>
              </w:rPr>
              <w:t xml:space="preserve">y consultivos </w:t>
            </w:r>
            <w:r w:rsidRPr="004951B4">
              <w:rPr>
                <w:rFonts w:ascii="Arial" w:hAnsi="Arial" w:cs="Arial"/>
                <w:sz w:val="20"/>
              </w:rPr>
              <w:t>de organismos públicos o privados, así como de personas físicas, en particular miembros de comunidades y grupos, que hayan sido invitados por el Comité a sus reu</w:t>
            </w:r>
            <w:r w:rsidRPr="00CA2BB9">
              <w:rPr>
                <w:rFonts w:ascii="Arial" w:hAnsi="Arial" w:cs="Arial"/>
                <w:sz w:val="20"/>
              </w:rPr>
              <w:t>niones para ser consultados sobre asuntos específicos, y de especialistas en el patrimonio cultural inmaterial que representen a ONG acreditadas de países en desarrollo;</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5DA47" w14:textId="65961824"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4,50</w:t>
            </w:r>
            <w:r w:rsidRPr="00DF393C">
              <w:rPr>
                <w:rFonts w:ascii="Arial" w:hAnsi="Arial" w:cs="Arial"/>
              </w:rPr>
              <w:t>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67239A33" w14:textId="3297FA21" w:rsidR="009149F8" w:rsidRPr="00601FBC" w:rsidRDefault="00A65B49" w:rsidP="007B7CAB">
            <w:pPr>
              <w:spacing w:before="60" w:after="60"/>
              <w:jc w:val="right"/>
              <w:rPr>
                <w:rFonts w:ascii="Arial" w:hAnsi="Arial" w:cs="Arial"/>
                <w:sz w:val="20"/>
                <w:szCs w:val="20"/>
              </w:rPr>
            </w:pPr>
            <w:r w:rsidRPr="004951B4">
              <w:rPr>
                <w:rFonts w:ascii="Arial" w:hAnsi="Arial" w:cs="Arial"/>
                <w:sz w:val="20"/>
                <w:szCs w:val="20"/>
              </w:rPr>
              <w:t>357</w:t>
            </w:r>
            <w:r w:rsidR="00601FBC">
              <w:rPr>
                <w:rFonts w:ascii="Arial" w:hAnsi="Arial" w:cs="Arial"/>
                <w:sz w:val="20"/>
                <w:szCs w:val="20"/>
              </w:rPr>
              <w:t>.</w:t>
            </w:r>
            <w:r w:rsidRPr="00DF393C">
              <w:rPr>
                <w:rFonts w:ascii="Arial" w:hAnsi="Arial" w:cs="Arial"/>
                <w:sz w:val="20"/>
                <w:szCs w:val="20"/>
              </w:rPr>
              <w:t xml:space="preserve">918 $  </w:t>
            </w:r>
          </w:p>
        </w:tc>
        <w:tc>
          <w:tcPr>
            <w:tcW w:w="734" w:type="pct"/>
            <w:tcBorders>
              <w:top w:val="dashed" w:sz="4" w:space="0" w:color="auto"/>
              <w:left w:val="dashed" w:sz="4" w:space="0" w:color="auto"/>
              <w:bottom w:val="dashed" w:sz="4" w:space="0" w:color="auto"/>
              <w:right w:val="dashed" w:sz="4" w:space="0" w:color="auto"/>
            </w:tcBorders>
            <w:vAlign w:val="center"/>
          </w:tcPr>
          <w:p w14:paraId="5BDF9082" w14:textId="0B639776" w:rsidR="009149F8" w:rsidRPr="00601FBC" w:rsidRDefault="00EF7F51" w:rsidP="00EF7F51">
            <w:pPr>
              <w:spacing w:before="60" w:after="60"/>
              <w:jc w:val="right"/>
              <w:rPr>
                <w:rFonts w:ascii="Arial" w:hAnsi="Arial" w:cs="Arial"/>
                <w:sz w:val="20"/>
                <w:szCs w:val="20"/>
              </w:rPr>
            </w:pPr>
            <w:r w:rsidRPr="004951B4">
              <w:rPr>
                <w:rFonts w:ascii="Arial" w:hAnsi="Arial" w:cs="Arial"/>
                <w:sz w:val="20"/>
                <w:szCs w:val="20"/>
              </w:rPr>
              <w:t>89</w:t>
            </w:r>
            <w:r w:rsidR="00601FBC">
              <w:rPr>
                <w:rFonts w:ascii="Arial" w:hAnsi="Arial" w:cs="Arial"/>
                <w:sz w:val="20"/>
                <w:szCs w:val="20"/>
              </w:rPr>
              <w:t>.</w:t>
            </w:r>
            <w:r w:rsidRPr="00DF393C">
              <w:rPr>
                <w:rFonts w:ascii="Arial" w:hAnsi="Arial" w:cs="Arial"/>
                <w:sz w:val="20"/>
                <w:szCs w:val="20"/>
              </w:rPr>
              <w:t xml:space="preserve">480 $  </w:t>
            </w:r>
          </w:p>
        </w:tc>
      </w:tr>
      <w:tr w:rsidR="00EF7F51" w:rsidRPr="004E783F" w14:paraId="5D362F20" w14:textId="77777777" w:rsidTr="00EF7F51">
        <w:trPr>
          <w:trHeight w:val="1020"/>
        </w:trPr>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665A9FC5" w14:textId="77777777" w:rsidR="009149F8" w:rsidRPr="004E783F" w:rsidRDefault="009149F8" w:rsidP="007B7CAB">
            <w:pPr>
              <w:spacing w:before="60" w:after="60"/>
              <w:rPr>
                <w:rFonts w:ascii="Arial" w:hAnsi="Arial" w:cs="Arial"/>
                <w:sz w:val="20"/>
                <w:szCs w:val="20"/>
              </w:rPr>
            </w:pPr>
            <w:r w:rsidRPr="004951B4">
              <w:rPr>
                <w:rFonts w:ascii="Arial" w:hAnsi="Arial" w:cs="Arial"/>
                <w:sz w:val="20"/>
              </w:rPr>
              <w:t>7.</w:t>
            </w:r>
          </w:p>
        </w:tc>
        <w:tc>
          <w:tcPr>
            <w:tcW w:w="2638" w:type="pct"/>
            <w:tcBorders>
              <w:top w:val="single" w:sz="4" w:space="0" w:color="auto"/>
              <w:left w:val="single" w:sz="4" w:space="0" w:color="auto"/>
              <w:bottom w:val="single" w:sz="4" w:space="0" w:color="auto"/>
              <w:right w:val="single" w:sz="4" w:space="0" w:color="auto"/>
            </w:tcBorders>
            <w:shd w:val="clear" w:color="auto" w:fill="auto"/>
            <w:hideMark/>
          </w:tcPr>
          <w:p w14:paraId="3DB0446C" w14:textId="06B64AAF" w:rsidR="009149F8" w:rsidRPr="004E783F" w:rsidRDefault="009149F8" w:rsidP="007B7CAB">
            <w:pPr>
              <w:spacing w:before="60" w:after="60"/>
              <w:rPr>
                <w:rFonts w:ascii="Arial" w:hAnsi="Arial" w:cs="Arial"/>
                <w:bCs/>
                <w:sz w:val="20"/>
                <w:szCs w:val="20"/>
              </w:rPr>
            </w:pPr>
            <w:r w:rsidRPr="004951B4">
              <w:rPr>
                <w:rFonts w:ascii="Arial" w:hAnsi="Arial" w:cs="Arial"/>
                <w:sz w:val="20"/>
              </w:rPr>
              <w:t xml:space="preserve">Los costos de los servicios consultivos prestados a petición del Comité, incluido el apoyo a Estados en desarrollo cuyos representantes hayan sido nombrados miembros del Órgano de </w:t>
            </w:r>
            <w:r w:rsidR="00FA3F92" w:rsidRPr="004E783F">
              <w:rPr>
                <w:rFonts w:ascii="Arial" w:hAnsi="Arial" w:cs="Arial"/>
                <w:sz w:val="20"/>
              </w:rPr>
              <w:t>evaluación</w:t>
            </w:r>
            <w:r w:rsidRPr="004951B4">
              <w:rPr>
                <w:rFonts w:ascii="Arial" w:hAnsi="Arial" w:cs="Arial"/>
                <w:sz w:val="20"/>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C6BE" w14:textId="77777777"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6,00</w:t>
            </w:r>
            <w:r w:rsidRPr="00DF393C">
              <w:rPr>
                <w:rFonts w:ascii="Arial" w:hAnsi="Arial" w:cs="Arial"/>
              </w:rPr>
              <w:t>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12FE22E5" w14:textId="1A5BD3A0" w:rsidR="009149F8" w:rsidRPr="00601FBC" w:rsidRDefault="00A65B49" w:rsidP="007B7CAB">
            <w:pPr>
              <w:spacing w:before="60" w:after="60"/>
              <w:jc w:val="right"/>
              <w:rPr>
                <w:rFonts w:ascii="Arial" w:hAnsi="Arial" w:cs="Arial"/>
                <w:sz w:val="20"/>
                <w:szCs w:val="20"/>
              </w:rPr>
            </w:pPr>
            <w:r w:rsidRPr="004951B4">
              <w:rPr>
                <w:rFonts w:ascii="Arial" w:hAnsi="Arial" w:cs="Arial"/>
                <w:sz w:val="20"/>
                <w:szCs w:val="20"/>
              </w:rPr>
              <w:t>477</w:t>
            </w:r>
            <w:r w:rsidR="00601FBC">
              <w:rPr>
                <w:rFonts w:ascii="Arial" w:hAnsi="Arial" w:cs="Arial"/>
                <w:sz w:val="20"/>
                <w:szCs w:val="20"/>
              </w:rPr>
              <w:t>.</w:t>
            </w:r>
            <w:r w:rsidRPr="00DF393C">
              <w:rPr>
                <w:rFonts w:ascii="Arial" w:hAnsi="Arial" w:cs="Arial"/>
                <w:sz w:val="20"/>
                <w:szCs w:val="20"/>
              </w:rPr>
              <w:t xml:space="preserve">224 $  </w:t>
            </w:r>
          </w:p>
        </w:tc>
        <w:tc>
          <w:tcPr>
            <w:tcW w:w="734" w:type="pct"/>
            <w:tcBorders>
              <w:top w:val="dashed" w:sz="4" w:space="0" w:color="auto"/>
              <w:left w:val="dashed" w:sz="4" w:space="0" w:color="auto"/>
              <w:bottom w:val="dashed" w:sz="4" w:space="0" w:color="auto"/>
              <w:right w:val="dashed" w:sz="4" w:space="0" w:color="auto"/>
            </w:tcBorders>
            <w:vAlign w:val="center"/>
          </w:tcPr>
          <w:p w14:paraId="3A8D63B0" w14:textId="4FD24F81" w:rsidR="009149F8" w:rsidRPr="00601FBC" w:rsidRDefault="00EF7F51" w:rsidP="00EF7F51">
            <w:pPr>
              <w:spacing w:before="60" w:after="60"/>
              <w:jc w:val="right"/>
              <w:rPr>
                <w:rFonts w:ascii="Arial" w:hAnsi="Arial" w:cs="Arial"/>
                <w:sz w:val="20"/>
                <w:szCs w:val="20"/>
              </w:rPr>
            </w:pPr>
            <w:r w:rsidRPr="004951B4">
              <w:rPr>
                <w:rFonts w:ascii="Arial" w:hAnsi="Arial" w:cs="Arial"/>
                <w:sz w:val="20"/>
                <w:szCs w:val="20"/>
              </w:rPr>
              <w:t>119</w:t>
            </w:r>
            <w:r w:rsidR="00601FBC">
              <w:rPr>
                <w:rFonts w:ascii="Arial" w:hAnsi="Arial" w:cs="Arial"/>
                <w:sz w:val="20"/>
                <w:szCs w:val="20"/>
              </w:rPr>
              <w:t>.</w:t>
            </w:r>
            <w:r w:rsidRPr="00DF393C">
              <w:rPr>
                <w:rFonts w:ascii="Arial" w:hAnsi="Arial" w:cs="Arial"/>
                <w:sz w:val="20"/>
                <w:szCs w:val="20"/>
              </w:rPr>
              <w:t xml:space="preserve">306 $ </w:t>
            </w:r>
          </w:p>
        </w:tc>
      </w:tr>
      <w:tr w:rsidR="00EF7F51" w:rsidRPr="004E783F" w14:paraId="63CAF4B6"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02BAD6D0" w14:textId="77777777" w:rsidR="009149F8" w:rsidRPr="004E783F" w:rsidRDefault="009149F8" w:rsidP="007B7CAB">
            <w:pPr>
              <w:spacing w:before="60" w:after="60"/>
              <w:rPr>
                <w:rFonts w:ascii="Arial" w:hAnsi="Arial" w:cs="Arial"/>
                <w:sz w:val="20"/>
                <w:szCs w:val="20"/>
              </w:rPr>
            </w:pPr>
            <w:r w:rsidRPr="004951B4">
              <w:rPr>
                <w:rFonts w:ascii="Arial" w:hAnsi="Arial" w:cs="Arial"/>
                <w:sz w:val="20"/>
              </w:rPr>
              <w:t>8.</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54CFAA86" w14:textId="5240F269" w:rsidR="009149F8" w:rsidRPr="004E783F" w:rsidRDefault="009149F8">
            <w:pPr>
              <w:spacing w:before="60" w:after="60"/>
              <w:rPr>
                <w:rFonts w:ascii="Arial" w:hAnsi="Arial" w:cs="Arial"/>
                <w:bCs/>
                <w:sz w:val="20"/>
                <w:szCs w:val="20"/>
              </w:rPr>
            </w:pPr>
            <w:r w:rsidRPr="004951B4">
              <w:rPr>
                <w:rFonts w:ascii="Arial" w:hAnsi="Arial" w:cs="Arial"/>
                <w:sz w:val="20"/>
              </w:rPr>
              <w:t xml:space="preserve">Fondo de Reserva para </w:t>
            </w:r>
            <w:r w:rsidR="00601FBC">
              <w:rPr>
                <w:rFonts w:ascii="Arial" w:hAnsi="Arial" w:cs="Arial"/>
                <w:sz w:val="20"/>
              </w:rPr>
              <w:t>atender</w:t>
            </w:r>
            <w:r w:rsidR="00601FBC" w:rsidRPr="004951B4">
              <w:rPr>
                <w:rFonts w:ascii="Arial" w:hAnsi="Arial" w:cs="Arial"/>
                <w:sz w:val="20"/>
              </w:rPr>
              <w:t xml:space="preserve"> </w:t>
            </w:r>
            <w:r w:rsidRPr="004951B4">
              <w:rPr>
                <w:rFonts w:ascii="Arial" w:hAnsi="Arial" w:cs="Arial"/>
                <w:sz w:val="20"/>
              </w:rPr>
              <w:t>solicitudes de asistencia en casos de extrema urgencia.</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DC307" w14:textId="77777777" w:rsidR="009149F8" w:rsidRPr="004E783F" w:rsidRDefault="009149F8" w:rsidP="007B7CAB">
            <w:pPr>
              <w:spacing w:before="60" w:after="60"/>
              <w:jc w:val="center"/>
              <w:rPr>
                <w:rFonts w:ascii="Arial" w:hAnsi="Arial" w:cs="Arial"/>
                <w:sz w:val="20"/>
                <w:szCs w:val="20"/>
              </w:rPr>
            </w:pPr>
            <w:r w:rsidRPr="004951B4">
              <w:rPr>
                <w:rFonts w:ascii="Arial" w:hAnsi="Arial" w:cs="Arial"/>
                <w:sz w:val="20"/>
              </w:rPr>
              <w:t>N/D</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19BFC70D" w14:textId="20A08B3A" w:rsidR="009149F8" w:rsidRPr="00601FBC" w:rsidRDefault="00A65B49" w:rsidP="007B7CAB">
            <w:pPr>
              <w:spacing w:before="60" w:after="60"/>
              <w:jc w:val="right"/>
              <w:rPr>
                <w:rFonts w:ascii="Arial" w:hAnsi="Arial" w:cs="Arial"/>
                <w:sz w:val="20"/>
                <w:szCs w:val="20"/>
              </w:rPr>
            </w:pPr>
            <w:r w:rsidRPr="004951B4">
              <w:rPr>
                <w:rFonts w:ascii="Arial" w:hAnsi="Arial" w:cs="Arial"/>
                <w:sz w:val="20"/>
                <w:szCs w:val="20"/>
              </w:rPr>
              <w:t>24</w:t>
            </w:r>
            <w:r w:rsidR="00601FBC">
              <w:rPr>
                <w:rFonts w:ascii="Arial" w:hAnsi="Arial" w:cs="Arial"/>
                <w:sz w:val="20"/>
                <w:szCs w:val="20"/>
              </w:rPr>
              <w:t>.</w:t>
            </w:r>
            <w:r w:rsidRPr="00DF393C">
              <w:rPr>
                <w:rFonts w:ascii="Arial" w:hAnsi="Arial" w:cs="Arial"/>
                <w:sz w:val="20"/>
                <w:szCs w:val="20"/>
              </w:rPr>
              <w:t xml:space="preserve">190 $  </w:t>
            </w:r>
          </w:p>
        </w:tc>
        <w:tc>
          <w:tcPr>
            <w:tcW w:w="734" w:type="pct"/>
            <w:tcBorders>
              <w:top w:val="dashed" w:sz="4" w:space="0" w:color="auto"/>
              <w:left w:val="dashed" w:sz="4" w:space="0" w:color="auto"/>
              <w:bottom w:val="dashed" w:sz="4" w:space="0" w:color="auto"/>
              <w:right w:val="dashed" w:sz="4" w:space="0" w:color="auto"/>
            </w:tcBorders>
            <w:vAlign w:val="center"/>
          </w:tcPr>
          <w:p w14:paraId="6D43F997" w14:textId="77777777" w:rsidR="009149F8" w:rsidRPr="00601FBC" w:rsidRDefault="00AA1789" w:rsidP="00EF7F51">
            <w:pPr>
              <w:spacing w:before="60" w:after="60"/>
              <w:jc w:val="center"/>
              <w:rPr>
                <w:rFonts w:ascii="Arial" w:hAnsi="Arial" w:cs="Arial"/>
                <w:sz w:val="20"/>
                <w:szCs w:val="20"/>
              </w:rPr>
            </w:pPr>
            <w:r w:rsidRPr="004951B4">
              <w:rPr>
                <w:rFonts w:ascii="Arial" w:hAnsi="Arial" w:cs="Arial"/>
                <w:sz w:val="20"/>
                <w:szCs w:val="20"/>
              </w:rPr>
              <w:t>-</w:t>
            </w:r>
          </w:p>
        </w:tc>
      </w:tr>
      <w:tr w:rsidR="00EF7F51" w:rsidRPr="004E783F" w14:paraId="41D09A32" w14:textId="77777777" w:rsidTr="00EF7F51">
        <w:trPr>
          <w:trHeight w:val="255"/>
        </w:trPr>
        <w:tc>
          <w:tcPr>
            <w:tcW w:w="2871"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7C1AE8D1" w14:textId="77777777" w:rsidR="00EF7F51" w:rsidRPr="004E783F" w:rsidRDefault="00EF7F51" w:rsidP="007B7CAB">
            <w:pPr>
              <w:spacing w:before="60" w:after="60"/>
              <w:rPr>
                <w:rFonts w:ascii="Arial" w:hAnsi="Arial" w:cs="Arial"/>
                <w:b/>
                <w:bCs/>
                <w:sz w:val="20"/>
                <w:szCs w:val="20"/>
              </w:rPr>
            </w:pPr>
            <w:r w:rsidRPr="004951B4">
              <w:rPr>
                <w:rFonts w:ascii="Arial" w:hAnsi="Arial" w:cs="Arial"/>
                <w:b/>
                <w:sz w:val="20"/>
                <w:szCs w:val="20"/>
              </w:rPr>
              <w:t>TOTAL</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A00C" w14:textId="33FEC0B4" w:rsidR="00EF7F51" w:rsidRPr="004E783F" w:rsidRDefault="00EF7F51" w:rsidP="007B7CAB">
            <w:pPr>
              <w:spacing w:before="60" w:after="60"/>
              <w:jc w:val="right"/>
              <w:rPr>
                <w:rFonts w:ascii="Arial" w:hAnsi="Arial" w:cs="Arial"/>
                <w:b/>
                <w:bCs/>
                <w:sz w:val="20"/>
                <w:szCs w:val="20"/>
              </w:rPr>
            </w:pPr>
            <w:r w:rsidRPr="004951B4">
              <w:rPr>
                <w:rFonts w:ascii="Arial" w:hAnsi="Arial" w:cs="Arial"/>
                <w:b/>
                <w:sz w:val="20"/>
                <w:szCs w:val="20"/>
              </w:rPr>
              <w:t>100,00</w:t>
            </w:r>
            <w:r w:rsidRPr="00DF393C">
              <w:rPr>
                <w:rFonts w:ascii="Arial" w:hAnsi="Arial" w:cs="Arial"/>
                <w:b/>
                <w:sz w:val="20"/>
                <w:szCs w:val="20"/>
              </w:rPr>
              <w:t> %</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75A2CB97" w14:textId="789C2154" w:rsidR="00EF7F51" w:rsidRPr="00601FBC" w:rsidRDefault="00EF7F51" w:rsidP="007B7CAB">
            <w:pPr>
              <w:spacing w:before="60" w:after="60"/>
              <w:jc w:val="right"/>
              <w:rPr>
                <w:rFonts w:ascii="Arial" w:hAnsi="Arial" w:cs="Arial"/>
                <w:b/>
                <w:bCs/>
                <w:sz w:val="20"/>
                <w:szCs w:val="20"/>
              </w:rPr>
            </w:pPr>
            <w:r w:rsidRPr="004951B4">
              <w:rPr>
                <w:rFonts w:ascii="Arial" w:hAnsi="Arial" w:cs="Arial"/>
                <w:b/>
                <w:sz w:val="20"/>
                <w:szCs w:val="20"/>
              </w:rPr>
              <w:t>7</w:t>
            </w:r>
            <w:r w:rsidR="00601FBC">
              <w:rPr>
                <w:rFonts w:ascii="Arial" w:hAnsi="Arial" w:cs="Arial"/>
                <w:b/>
                <w:sz w:val="20"/>
                <w:szCs w:val="20"/>
              </w:rPr>
              <w:t>.</w:t>
            </w:r>
            <w:r w:rsidRPr="00DF393C">
              <w:rPr>
                <w:rFonts w:ascii="Arial" w:hAnsi="Arial" w:cs="Arial"/>
                <w:b/>
                <w:sz w:val="20"/>
                <w:szCs w:val="20"/>
              </w:rPr>
              <w:t>977</w:t>
            </w:r>
            <w:r w:rsidR="00601FBC">
              <w:rPr>
                <w:rFonts w:ascii="Arial" w:hAnsi="Arial" w:cs="Arial"/>
                <w:b/>
                <w:sz w:val="20"/>
                <w:szCs w:val="20"/>
              </w:rPr>
              <w:t>.</w:t>
            </w:r>
            <w:r w:rsidRPr="00DF393C">
              <w:rPr>
                <w:rFonts w:ascii="Arial" w:hAnsi="Arial" w:cs="Arial"/>
                <w:b/>
                <w:sz w:val="20"/>
                <w:szCs w:val="20"/>
              </w:rPr>
              <w:t xml:space="preserve">920 $  </w:t>
            </w:r>
          </w:p>
        </w:tc>
        <w:tc>
          <w:tcPr>
            <w:tcW w:w="734" w:type="pct"/>
            <w:tcBorders>
              <w:top w:val="dashed" w:sz="4" w:space="0" w:color="auto"/>
              <w:left w:val="dashed" w:sz="4" w:space="0" w:color="auto"/>
              <w:bottom w:val="dashed" w:sz="4" w:space="0" w:color="auto"/>
              <w:right w:val="dashed" w:sz="4" w:space="0" w:color="auto"/>
            </w:tcBorders>
          </w:tcPr>
          <w:p w14:paraId="01695AE4" w14:textId="569960EE" w:rsidR="00EF7F51" w:rsidRPr="00601FBC" w:rsidRDefault="00EF7F51" w:rsidP="007B7CAB">
            <w:pPr>
              <w:spacing w:before="60" w:after="60"/>
              <w:jc w:val="right"/>
              <w:rPr>
                <w:rFonts w:ascii="Arial" w:hAnsi="Arial" w:cs="Arial"/>
                <w:b/>
                <w:bCs/>
                <w:sz w:val="20"/>
                <w:szCs w:val="20"/>
              </w:rPr>
            </w:pPr>
            <w:r w:rsidRPr="004951B4">
              <w:rPr>
                <w:rFonts w:ascii="Arial" w:hAnsi="Arial" w:cs="Arial"/>
                <w:b/>
                <w:sz w:val="20"/>
                <w:szCs w:val="20"/>
              </w:rPr>
              <w:t>1</w:t>
            </w:r>
            <w:r w:rsidR="00601FBC">
              <w:rPr>
                <w:rFonts w:ascii="Arial" w:hAnsi="Arial" w:cs="Arial"/>
                <w:b/>
                <w:sz w:val="20"/>
                <w:szCs w:val="20"/>
              </w:rPr>
              <w:t>.</w:t>
            </w:r>
            <w:r w:rsidRPr="00DF393C">
              <w:rPr>
                <w:rFonts w:ascii="Arial" w:hAnsi="Arial" w:cs="Arial"/>
                <w:b/>
                <w:sz w:val="20"/>
                <w:szCs w:val="20"/>
              </w:rPr>
              <w:t>988</w:t>
            </w:r>
            <w:r w:rsidR="00601FBC">
              <w:rPr>
                <w:rFonts w:ascii="Arial" w:hAnsi="Arial" w:cs="Arial"/>
                <w:b/>
                <w:sz w:val="20"/>
                <w:szCs w:val="20"/>
              </w:rPr>
              <w:t>.</w:t>
            </w:r>
            <w:r w:rsidRPr="00DF393C">
              <w:rPr>
                <w:rFonts w:ascii="Arial" w:hAnsi="Arial" w:cs="Arial"/>
                <w:b/>
                <w:sz w:val="20"/>
                <w:szCs w:val="20"/>
              </w:rPr>
              <w:t>434 $</w:t>
            </w:r>
          </w:p>
        </w:tc>
      </w:tr>
      <w:tr w:rsidR="00EF7F51" w:rsidRPr="004E783F" w14:paraId="1973961A" w14:textId="77777777" w:rsidTr="00EF7F51">
        <w:trPr>
          <w:trHeight w:val="255"/>
        </w:trPr>
        <w:tc>
          <w:tcPr>
            <w:tcW w:w="3531" w:type="pct"/>
            <w:gridSpan w:val="3"/>
            <w:tcBorders>
              <w:top w:val="single" w:sz="4" w:space="0" w:color="auto"/>
              <w:left w:val="single" w:sz="4" w:space="0" w:color="auto"/>
              <w:bottom w:val="single" w:sz="4" w:space="0" w:color="auto"/>
              <w:right w:val="single" w:sz="4" w:space="0" w:color="auto"/>
            </w:tcBorders>
            <w:shd w:val="clear" w:color="auto" w:fill="auto"/>
            <w:noWrap/>
          </w:tcPr>
          <w:p w14:paraId="7AB840EF" w14:textId="0C1DB2CF" w:rsidR="00EF7F51" w:rsidRPr="004E783F" w:rsidRDefault="00EF7F51">
            <w:pPr>
              <w:spacing w:before="60" w:after="60"/>
              <w:jc w:val="both"/>
              <w:rPr>
                <w:rFonts w:ascii="Arial" w:hAnsi="Arial" w:cs="Arial"/>
                <w:b/>
                <w:bCs/>
                <w:sz w:val="20"/>
                <w:szCs w:val="20"/>
              </w:rPr>
            </w:pPr>
            <w:r w:rsidRPr="004951B4">
              <w:rPr>
                <w:rFonts w:ascii="Arial" w:hAnsi="Arial" w:cs="Arial"/>
                <w:sz w:val="20"/>
                <w:szCs w:val="20"/>
              </w:rPr>
              <w:t xml:space="preserve">Los Fondos que no hayan sido </w:t>
            </w:r>
            <w:r w:rsidR="00601FBC">
              <w:rPr>
                <w:rFonts w:ascii="Arial" w:hAnsi="Arial" w:cs="Arial"/>
                <w:sz w:val="20"/>
                <w:szCs w:val="20"/>
              </w:rPr>
              <w:t>comprometidos</w:t>
            </w:r>
            <w:r w:rsidR="00601FBC" w:rsidRPr="004951B4">
              <w:rPr>
                <w:rFonts w:ascii="Arial" w:hAnsi="Arial" w:cs="Arial"/>
                <w:sz w:val="20"/>
                <w:szCs w:val="20"/>
              </w:rPr>
              <w:t xml:space="preserve"> </w:t>
            </w:r>
            <w:r w:rsidRPr="004951B4">
              <w:rPr>
                <w:rFonts w:ascii="Arial" w:hAnsi="Arial" w:cs="Arial"/>
                <w:sz w:val="20"/>
                <w:szCs w:val="20"/>
              </w:rPr>
              <w:t>al final del periodo de este Plan son</w:t>
            </w:r>
            <w:r w:rsidRPr="00DF393C">
              <w:rPr>
                <w:rFonts w:ascii="Arial" w:hAnsi="Arial" w:cs="Arial"/>
                <w:sz w:val="20"/>
                <w:szCs w:val="20"/>
              </w:rPr>
              <w:t xml:space="preserve"> transferidos al siguiente ejercicio </w:t>
            </w:r>
            <w:r w:rsidR="00601FBC">
              <w:rPr>
                <w:rFonts w:ascii="Arial" w:hAnsi="Arial" w:cs="Arial"/>
                <w:sz w:val="20"/>
                <w:szCs w:val="20"/>
              </w:rPr>
              <w:t>financiero</w:t>
            </w:r>
            <w:r w:rsidR="00601FBC" w:rsidRPr="00DF393C">
              <w:rPr>
                <w:rFonts w:ascii="Arial" w:hAnsi="Arial" w:cs="Arial"/>
                <w:sz w:val="20"/>
                <w:szCs w:val="20"/>
              </w:rPr>
              <w:t xml:space="preserve"> </w:t>
            </w:r>
            <w:r w:rsidRPr="00DF393C">
              <w:rPr>
                <w:rFonts w:ascii="Arial" w:hAnsi="Arial" w:cs="Arial"/>
                <w:sz w:val="20"/>
                <w:szCs w:val="20"/>
              </w:rPr>
              <w:t>y serán asignados según lo establecido por el Plan aprobado por la Asamblea General en ese momento.</w:t>
            </w:r>
          </w:p>
        </w:tc>
        <w:tc>
          <w:tcPr>
            <w:tcW w:w="735" w:type="pct"/>
            <w:tcBorders>
              <w:left w:val="single" w:sz="4" w:space="0" w:color="auto"/>
            </w:tcBorders>
            <w:shd w:val="clear" w:color="auto" w:fill="auto"/>
            <w:noWrap/>
            <w:vAlign w:val="center"/>
          </w:tcPr>
          <w:p w14:paraId="09A01527" w14:textId="77777777" w:rsidR="00EF7F51" w:rsidRPr="00601FBC" w:rsidRDefault="00EF7F51" w:rsidP="007B7CAB">
            <w:pPr>
              <w:spacing w:before="60" w:after="60"/>
              <w:jc w:val="right"/>
              <w:rPr>
                <w:rFonts w:ascii="Arial" w:hAnsi="Arial" w:cs="Arial"/>
                <w:b/>
                <w:bCs/>
                <w:sz w:val="20"/>
                <w:szCs w:val="20"/>
              </w:rPr>
            </w:pPr>
          </w:p>
        </w:tc>
        <w:tc>
          <w:tcPr>
            <w:tcW w:w="734" w:type="pct"/>
            <w:tcBorders>
              <w:top w:val="dashed" w:sz="4" w:space="0" w:color="auto"/>
              <w:left w:val="nil"/>
            </w:tcBorders>
          </w:tcPr>
          <w:p w14:paraId="5D582440" w14:textId="77777777" w:rsidR="00EF7F51" w:rsidRPr="00601FBC" w:rsidRDefault="00EF7F51" w:rsidP="007B7CAB">
            <w:pPr>
              <w:spacing w:before="60" w:after="60"/>
              <w:jc w:val="right"/>
              <w:rPr>
                <w:rFonts w:ascii="Arial" w:hAnsi="Arial" w:cs="Arial"/>
                <w:b/>
                <w:bCs/>
                <w:sz w:val="20"/>
                <w:szCs w:val="20"/>
              </w:rPr>
            </w:pPr>
          </w:p>
        </w:tc>
        <w:bookmarkStart w:id="0" w:name="_GoBack"/>
        <w:bookmarkEnd w:id="0"/>
      </w:tr>
      <w:tr w:rsidR="00EF7F51" w:rsidRPr="004E783F" w14:paraId="192F473E" w14:textId="77777777" w:rsidTr="00EF7F51">
        <w:trPr>
          <w:trHeight w:val="255"/>
        </w:trPr>
        <w:tc>
          <w:tcPr>
            <w:tcW w:w="353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5217AD" w14:textId="14E4C7DA" w:rsidR="00EF7F51" w:rsidRPr="004E783F" w:rsidRDefault="00EF7F51" w:rsidP="00905B80">
            <w:pPr>
              <w:spacing w:before="60" w:after="60"/>
              <w:jc w:val="both"/>
              <w:rPr>
                <w:rFonts w:ascii="Arial" w:hAnsi="Arial" w:cs="Arial"/>
                <w:b/>
                <w:bCs/>
                <w:sz w:val="20"/>
                <w:szCs w:val="20"/>
              </w:rPr>
            </w:pPr>
            <w:r w:rsidRPr="004951B4">
              <w:rPr>
                <w:rFonts w:ascii="Arial" w:hAnsi="Arial" w:cs="Arial"/>
                <w:sz w:val="20"/>
                <w:szCs w:val="20"/>
              </w:rPr>
              <w:t xml:space="preserve">Para el periodo comprendido entre el 1 de </w:t>
            </w:r>
            <w:r w:rsidR="007D0D5E" w:rsidRPr="004951B4">
              <w:rPr>
                <w:rFonts w:ascii="Arial" w:hAnsi="Arial" w:cs="Arial"/>
                <w:sz w:val="20"/>
                <w:szCs w:val="20"/>
              </w:rPr>
              <w:t>enero</w:t>
            </w:r>
            <w:r w:rsidRPr="00DF393C">
              <w:rPr>
                <w:rFonts w:ascii="Arial" w:hAnsi="Arial" w:cs="Arial"/>
                <w:sz w:val="20"/>
                <w:szCs w:val="20"/>
              </w:rPr>
              <w:t xml:space="preserve"> </w:t>
            </w:r>
            <w:r w:rsidR="004E783F">
              <w:rPr>
                <w:rFonts w:ascii="Arial" w:hAnsi="Arial" w:cs="Arial"/>
                <w:sz w:val="20"/>
                <w:szCs w:val="20"/>
              </w:rPr>
              <w:t xml:space="preserve">de 2018 </w:t>
            </w:r>
            <w:r w:rsidRPr="004951B4">
              <w:rPr>
                <w:rFonts w:ascii="Arial" w:hAnsi="Arial" w:cs="Arial"/>
                <w:sz w:val="20"/>
                <w:szCs w:val="20"/>
              </w:rPr>
              <w:t xml:space="preserve">y el 30 de </w:t>
            </w:r>
            <w:r w:rsidR="001841BA" w:rsidRPr="00DF393C">
              <w:rPr>
                <w:rFonts w:ascii="Arial" w:hAnsi="Arial" w:cs="Arial"/>
                <w:sz w:val="20"/>
                <w:szCs w:val="20"/>
              </w:rPr>
              <w:t>junio</w:t>
            </w:r>
            <w:r w:rsidRPr="00DF393C">
              <w:rPr>
                <w:rFonts w:ascii="Arial" w:hAnsi="Arial" w:cs="Arial"/>
                <w:sz w:val="20"/>
                <w:szCs w:val="20"/>
              </w:rPr>
              <w:t xml:space="preserve"> de </w:t>
            </w:r>
            <w:r w:rsidRPr="00DF393C">
              <w:rPr>
                <w:rFonts w:ascii="Arial" w:hAnsi="Arial" w:cs="Arial"/>
                <w:sz w:val="20"/>
                <w:szCs w:val="20"/>
              </w:rPr>
              <w:lastRenderedPageBreak/>
              <w:t>2018, una cuarta parte de la cantidad establecida para los veinticuatro meses del ejercicio económico 2016-2017 será asignada con carácter provisional, excepto para el Fondo de Reserva, cuyo monto fue determinado por el Comité en 1 millón de dólares (</w:t>
            </w:r>
            <w:hyperlink r:id="rId23" w:history="1">
              <w:r w:rsidR="007D0D5E" w:rsidRPr="00DF393C">
                <w:rPr>
                  <w:rStyle w:val="Hyperlink"/>
                  <w:sz w:val="20"/>
                  <w:szCs w:val="20"/>
                </w:rPr>
                <w:t>decisión</w:t>
              </w:r>
              <w:r w:rsidRPr="00DF393C">
                <w:rPr>
                  <w:rStyle w:val="Hyperlink"/>
                  <w:rFonts w:ascii="Arial" w:hAnsi="Arial" w:cs="Arial"/>
                  <w:sz w:val="20"/>
                  <w:szCs w:val="20"/>
                </w:rPr>
                <w:t> 10.COM 8</w:t>
              </w:r>
            </w:hyperlink>
            <w:r w:rsidRPr="00DF393C">
              <w:rPr>
                <w:rFonts w:ascii="Arial" w:hAnsi="Arial" w:cs="Arial"/>
                <w:sz w:val="20"/>
                <w:szCs w:val="20"/>
              </w:rPr>
              <w:t xml:space="preserve">). </w:t>
            </w:r>
          </w:p>
        </w:tc>
        <w:tc>
          <w:tcPr>
            <w:tcW w:w="735" w:type="pct"/>
            <w:tcBorders>
              <w:left w:val="single" w:sz="4" w:space="0" w:color="auto"/>
            </w:tcBorders>
            <w:shd w:val="clear" w:color="auto" w:fill="auto"/>
            <w:noWrap/>
            <w:vAlign w:val="center"/>
          </w:tcPr>
          <w:p w14:paraId="2262EC1D" w14:textId="77777777" w:rsidR="00EF7F51" w:rsidRPr="00601FBC" w:rsidRDefault="00EF7F51" w:rsidP="007B7CAB">
            <w:pPr>
              <w:spacing w:before="60" w:after="60"/>
              <w:jc w:val="right"/>
              <w:rPr>
                <w:rFonts w:ascii="Arial" w:hAnsi="Arial" w:cs="Arial"/>
                <w:b/>
                <w:bCs/>
                <w:sz w:val="20"/>
                <w:szCs w:val="20"/>
              </w:rPr>
            </w:pPr>
          </w:p>
        </w:tc>
        <w:tc>
          <w:tcPr>
            <w:tcW w:w="734" w:type="pct"/>
          </w:tcPr>
          <w:p w14:paraId="4808EB14" w14:textId="77777777" w:rsidR="00EF7F51" w:rsidRPr="00601FBC" w:rsidRDefault="00EF7F51" w:rsidP="007B7CAB">
            <w:pPr>
              <w:spacing w:before="60" w:after="60"/>
              <w:jc w:val="right"/>
              <w:rPr>
                <w:rFonts w:ascii="Arial" w:hAnsi="Arial" w:cs="Arial"/>
                <w:b/>
                <w:bCs/>
                <w:sz w:val="20"/>
                <w:szCs w:val="20"/>
              </w:rPr>
            </w:pPr>
          </w:p>
        </w:tc>
      </w:tr>
    </w:tbl>
    <w:p w14:paraId="588F72A2" w14:textId="77777777" w:rsidR="00EB3866" w:rsidRPr="007D0D5E" w:rsidRDefault="00EB3866" w:rsidP="00A61A78">
      <w:pPr>
        <w:pStyle w:val="5GAparabodytext"/>
        <w:numPr>
          <w:ilvl w:val="0"/>
          <w:numId w:val="0"/>
        </w:numPr>
        <w:ind w:left="567"/>
      </w:pPr>
    </w:p>
    <w:sectPr w:rsidR="00EB3866" w:rsidRPr="007D0D5E" w:rsidSect="00A61A78">
      <w:headerReference w:type="even" r:id="rId24"/>
      <w:headerReference w:type="default" r:id="rId25"/>
      <w:headerReference w:type="first" r:id="rId26"/>
      <w:pgSz w:w="11906" w:h="16838" w:code="9"/>
      <w:pgMar w:top="709" w:right="1134" w:bottom="709"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5E0D2" w14:textId="77777777" w:rsidR="00422C3D" w:rsidRDefault="00422C3D" w:rsidP="00655736">
      <w:r>
        <w:separator/>
      </w:r>
    </w:p>
  </w:endnote>
  <w:endnote w:type="continuationSeparator" w:id="0">
    <w:p w14:paraId="7AB4EE5D" w14:textId="77777777" w:rsidR="00422C3D" w:rsidRDefault="00422C3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BA679" w14:textId="77777777" w:rsidR="00422C3D" w:rsidRDefault="00422C3D" w:rsidP="00655736">
      <w:r>
        <w:separator/>
      </w:r>
    </w:p>
  </w:footnote>
  <w:footnote w:type="continuationSeparator" w:id="0">
    <w:p w14:paraId="07FB3049" w14:textId="77777777" w:rsidR="00422C3D" w:rsidRDefault="00422C3D" w:rsidP="00655736">
      <w:r>
        <w:continuationSeparator/>
      </w:r>
    </w:p>
  </w:footnote>
  <w:footnote w:id="1">
    <w:p w14:paraId="76057512" w14:textId="07B5A710" w:rsidR="00422C3D" w:rsidRPr="00DF393C" w:rsidRDefault="00422C3D" w:rsidP="00EB194B">
      <w:pPr>
        <w:pStyle w:val="FootnoteText"/>
        <w:ind w:left="567" w:hanging="567"/>
        <w:jc w:val="both"/>
        <w:rPr>
          <w:rFonts w:ascii="Arial" w:hAnsi="Arial" w:cs="Arial"/>
        </w:rPr>
      </w:pPr>
      <w:r>
        <w:rPr>
          <w:rStyle w:val="FootnoteReference"/>
          <w:rFonts w:ascii="Arial" w:hAnsi="Arial"/>
          <w:vertAlign w:val="baseline"/>
        </w:rPr>
        <w:footnoteRef/>
      </w:r>
      <w:r>
        <w:rPr>
          <w:rFonts w:ascii="Arial" w:hAnsi="Arial"/>
        </w:rPr>
        <w:t>.</w:t>
      </w:r>
      <w:r>
        <w:tab/>
      </w:r>
      <w:r w:rsidRPr="009B78A4">
        <w:rPr>
          <w:rFonts w:ascii="Arial" w:hAnsi="Arial" w:cs="Arial"/>
        </w:rPr>
        <w:t xml:space="preserve">En el momento de su establecimiento en 2010, la Asamblea General consideró que el </w:t>
      </w:r>
      <w:proofErr w:type="spellStart"/>
      <w:r w:rsidRPr="009B78A4">
        <w:rPr>
          <w:rFonts w:ascii="Arial" w:hAnsi="Arial" w:cs="Arial"/>
        </w:rPr>
        <w:t>subfondo</w:t>
      </w:r>
      <w:proofErr w:type="spellEnd"/>
      <w:r w:rsidRPr="009B78A4">
        <w:rPr>
          <w:rFonts w:ascii="Arial" w:hAnsi="Arial" w:cs="Arial"/>
        </w:rPr>
        <w:t xml:space="preserve"> del Fondo del Patrimonio Cultural Inmaterial, destinado exclusivamente al refuerzo de las capacidades humanas de la Secretaría, debía recibir contribuciones voluntarias complementarias por un monto de al menos 1</w:t>
      </w:r>
      <w:r w:rsidR="009B78A4">
        <w:rPr>
          <w:rFonts w:ascii="Arial" w:hAnsi="Arial" w:cs="Arial"/>
        </w:rPr>
        <w:t>.</w:t>
      </w:r>
      <w:r w:rsidRPr="00DF393C">
        <w:rPr>
          <w:rFonts w:ascii="Arial" w:hAnsi="Arial" w:cs="Arial"/>
        </w:rPr>
        <w:t>100</w:t>
      </w:r>
      <w:r w:rsidR="009B78A4">
        <w:rPr>
          <w:rFonts w:ascii="Arial" w:hAnsi="Arial" w:cs="Arial"/>
        </w:rPr>
        <w:t>.</w:t>
      </w:r>
      <w:r w:rsidRPr="00DF393C">
        <w:rPr>
          <w:rFonts w:ascii="Arial" w:hAnsi="Arial" w:cs="Arial"/>
        </w:rPr>
        <w:t>000 </w:t>
      </w:r>
      <w:r w:rsidR="009B78A4">
        <w:rPr>
          <w:rFonts w:ascii="Arial" w:hAnsi="Arial" w:cs="Arial"/>
        </w:rPr>
        <w:t>dólares</w:t>
      </w:r>
      <w:r w:rsidR="009B78A4" w:rsidRPr="00DF393C">
        <w:rPr>
          <w:rFonts w:ascii="Arial" w:hAnsi="Arial" w:cs="Arial"/>
        </w:rPr>
        <w:t xml:space="preserve"> </w:t>
      </w:r>
      <w:r w:rsidRPr="00DF393C">
        <w:rPr>
          <w:rFonts w:ascii="Arial" w:hAnsi="Arial" w:cs="Arial"/>
        </w:rPr>
        <w:t xml:space="preserve">por año para que la Secretaría </w:t>
      </w:r>
      <w:r w:rsidR="009B78A4">
        <w:rPr>
          <w:rFonts w:ascii="Arial" w:hAnsi="Arial" w:cs="Arial"/>
        </w:rPr>
        <w:t>pudiese</w:t>
      </w:r>
      <w:r w:rsidRPr="00DF393C">
        <w:rPr>
          <w:rFonts w:ascii="Arial" w:hAnsi="Arial" w:cs="Arial"/>
        </w:rPr>
        <w:t xml:space="preserve"> responder apropiadamente a las necesidades y pedidos de los Estados Partes. Actualmente, el </w:t>
      </w:r>
      <w:proofErr w:type="spellStart"/>
      <w:r w:rsidRPr="00DF393C">
        <w:rPr>
          <w:rFonts w:ascii="Arial" w:hAnsi="Arial" w:cs="Arial"/>
        </w:rPr>
        <w:t>subfondo</w:t>
      </w:r>
      <w:proofErr w:type="spellEnd"/>
      <w:r w:rsidRPr="00DF393C">
        <w:rPr>
          <w:rFonts w:ascii="Arial" w:hAnsi="Arial" w:cs="Arial"/>
        </w:rPr>
        <w:t xml:space="preserve"> ha recibido </w:t>
      </w:r>
      <w:r w:rsidR="009B78A4">
        <w:rPr>
          <w:rFonts w:ascii="Arial" w:hAnsi="Arial" w:cs="Arial"/>
        </w:rPr>
        <w:t>poco más de</w:t>
      </w:r>
      <w:r w:rsidR="009B78A4" w:rsidRPr="00DF393C">
        <w:rPr>
          <w:rFonts w:ascii="Arial" w:hAnsi="Arial" w:cs="Arial"/>
        </w:rPr>
        <w:t xml:space="preserve"> </w:t>
      </w:r>
      <w:r w:rsidRPr="00DF393C">
        <w:rPr>
          <w:rFonts w:ascii="Arial" w:hAnsi="Arial" w:cs="Arial"/>
        </w:rPr>
        <w:t>una quinta parte de los recursos previstos requeridos para el periodo desde su creación.</w:t>
      </w:r>
    </w:p>
  </w:footnote>
  <w:footnote w:id="2">
    <w:p w14:paraId="7100C02C" w14:textId="641EEA40" w:rsidR="004E783F" w:rsidRPr="00DF393C" w:rsidRDefault="004E783F" w:rsidP="00DF393C">
      <w:pPr>
        <w:pStyle w:val="FootnoteText"/>
        <w:ind w:left="567" w:hanging="567"/>
        <w:jc w:val="both"/>
        <w:rPr>
          <w:rFonts w:ascii="Arial" w:hAnsi="Arial" w:cs="Arial"/>
        </w:rPr>
      </w:pPr>
      <w:r w:rsidRPr="00DF393C">
        <w:rPr>
          <w:rStyle w:val="FootnoteReference"/>
          <w:rFonts w:ascii="Arial" w:hAnsi="Arial" w:cs="Arial"/>
          <w:vertAlign w:val="baseline"/>
        </w:rPr>
        <w:footnoteRef/>
      </w:r>
      <w:r>
        <w:rPr>
          <w:rFonts w:ascii="Arial" w:hAnsi="Arial" w:cs="Arial"/>
        </w:rPr>
        <w:t>.</w:t>
      </w:r>
      <w:r>
        <w:rPr>
          <w:rFonts w:ascii="Arial" w:hAnsi="Arial" w:cs="Arial"/>
        </w:rPr>
        <w:tab/>
      </w:r>
      <w:r w:rsidRPr="004E783F">
        <w:rPr>
          <w:rFonts w:ascii="Arial" w:hAnsi="Arial" w:cs="Arial"/>
        </w:rPr>
        <w:t>Los porcentajes se</w:t>
      </w:r>
      <w:r>
        <w:rPr>
          <w:rFonts w:ascii="Arial" w:hAnsi="Arial" w:cs="Arial"/>
        </w:rPr>
        <w:t xml:space="preserve"> aplicarán al saldo del Fondo a</w:t>
      </w:r>
      <w:r w:rsidRPr="004E783F">
        <w:rPr>
          <w:rFonts w:ascii="Arial" w:hAnsi="Arial" w:cs="Arial"/>
        </w:rPr>
        <w:t xml:space="preserve"> 31 de diciembre el año 2015 menos de cantidad que el Comité propone trans</w:t>
      </w:r>
      <w:r>
        <w:rPr>
          <w:rFonts w:ascii="Arial" w:hAnsi="Arial" w:cs="Arial"/>
        </w:rPr>
        <w:t>ferir al Fondo de Reserva (</w:t>
      </w:r>
      <w:r w:rsidRPr="004E783F">
        <w:rPr>
          <w:rFonts w:ascii="Arial" w:hAnsi="Arial" w:cs="Arial"/>
        </w:rPr>
        <w:t>24.190</w:t>
      </w:r>
      <w:r>
        <w:rPr>
          <w:rFonts w:ascii="Arial" w:hAnsi="Arial" w:cs="Arial"/>
        </w:rPr>
        <w:t> dólares</w:t>
      </w:r>
      <w:r w:rsidRPr="004E783F">
        <w:rPr>
          <w:rFonts w:ascii="Arial" w:hAnsi="Arial" w:cs="Arial"/>
        </w:rPr>
        <w:t xml:space="preserve">) con el fin de establecer su cantidad total </w:t>
      </w:r>
      <w:r>
        <w:rPr>
          <w:rFonts w:ascii="Arial" w:hAnsi="Arial" w:cs="Arial"/>
        </w:rPr>
        <w:t>en</w:t>
      </w:r>
      <w:r w:rsidRPr="004E783F">
        <w:rPr>
          <w:rFonts w:ascii="Arial" w:hAnsi="Arial" w:cs="Arial"/>
        </w:rPr>
        <w:t xml:space="preserve"> </w:t>
      </w:r>
      <w:r>
        <w:rPr>
          <w:rFonts w:ascii="Arial" w:hAnsi="Arial" w:cs="Arial"/>
        </w:rPr>
        <w:t>1 </w:t>
      </w:r>
      <w:r w:rsidRPr="004E783F">
        <w:rPr>
          <w:rFonts w:ascii="Arial" w:hAnsi="Arial" w:cs="Arial"/>
        </w:rPr>
        <w:t>millón</w:t>
      </w:r>
      <w:r>
        <w:rPr>
          <w:rFonts w:ascii="Arial" w:hAnsi="Arial" w:cs="Arial"/>
        </w:rPr>
        <w:t xml:space="preserve"> de dólares</w:t>
      </w:r>
      <w:r w:rsidRPr="004E783F">
        <w:rPr>
          <w:rFonts w:ascii="Arial" w:hAnsi="Arial" w:cs="Arial"/>
        </w:rPr>
        <w:t>.</w:t>
      </w:r>
      <w:r w:rsidRPr="00DF393C">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86B6C" w14:textId="1C02C136" w:rsidR="00422C3D" w:rsidRPr="00C23A97" w:rsidRDefault="00422C3D">
    <w:pPr>
      <w:pStyle w:val="Header"/>
      <w:rPr>
        <w:rFonts w:ascii="Arial" w:hAnsi="Arial" w:cs="Arial"/>
      </w:rPr>
    </w:pPr>
    <w:r>
      <w:rPr>
        <w:rFonts w:ascii="Arial" w:hAnsi="Arial"/>
        <w:sz w:val="20"/>
      </w:rPr>
      <w:t xml:space="preserve">ITH/16/6.GA/9 – página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A61A78">
      <w:rPr>
        <w:rStyle w:val="PageNumber"/>
        <w:rFonts w:ascii="Arial" w:hAnsi="Arial" w:cs="Arial"/>
        <w:noProof/>
        <w:sz w:val="20"/>
        <w:szCs w:val="20"/>
      </w:rPr>
      <w:t>2</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89CC" w14:textId="400103A2" w:rsidR="00422C3D" w:rsidRPr="0063300C" w:rsidRDefault="00422C3D" w:rsidP="0063300C">
    <w:pPr>
      <w:pStyle w:val="Header"/>
      <w:jc w:val="right"/>
      <w:rPr>
        <w:rFonts w:ascii="Arial" w:hAnsi="Arial" w:cs="Arial"/>
      </w:rPr>
    </w:pPr>
    <w:r>
      <w:rPr>
        <w:rFonts w:ascii="Arial" w:hAnsi="Arial"/>
        <w:sz w:val="20"/>
      </w:rPr>
      <w:t xml:space="preserve">ITH/16/6.GA/9 –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A61A78">
      <w:rPr>
        <w:rStyle w:val="PageNumber"/>
        <w:rFonts w:ascii="Arial" w:hAnsi="Arial" w:cs="Arial"/>
        <w:noProof/>
        <w:sz w:val="20"/>
        <w:szCs w:val="20"/>
      </w:rPr>
      <w:t>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D564" w14:textId="2F6A4E64" w:rsidR="00422C3D" w:rsidRPr="008724E5" w:rsidRDefault="00422C3D">
    <w:pPr>
      <w:pStyle w:val="Header"/>
    </w:pPr>
    <w:r>
      <w:rPr>
        <w:noProof/>
        <w:lang w:val="fr-FR" w:eastAsia="fr-FR" w:bidi="ar-SA"/>
      </w:rPr>
      <w:drawing>
        <wp:anchor distT="0" distB="0" distL="114300" distR="114300" simplePos="0" relativeHeight="251661824" behindDoc="1" locked="0" layoutInCell="1" allowOverlap="1" wp14:anchorId="1C4E1B63" wp14:editId="06121806">
          <wp:simplePos x="0" y="0"/>
          <wp:positionH relativeFrom="column">
            <wp:posOffset>-508185</wp:posOffset>
          </wp:positionH>
          <wp:positionV relativeFrom="paragraph">
            <wp:posOffset>-141219</wp:posOffset>
          </wp:positionV>
          <wp:extent cx="2133600" cy="1438275"/>
          <wp:effectExtent l="0" t="0" r="0" b="9525"/>
          <wp:wrapNone/>
          <wp:docPr id="2"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33600" cy="1438275"/>
                  </a:xfrm>
                  <a:prstGeom prst="rect">
                    <a:avLst/>
                  </a:prstGeom>
                  <a:noFill/>
                  <a:ln w="9525">
                    <a:noFill/>
                    <a:miter lim="800000"/>
                    <a:headEnd/>
                    <a:tailEnd/>
                  </a:ln>
                </pic:spPr>
              </pic:pic>
            </a:graphicData>
          </a:graphic>
        </wp:anchor>
      </w:drawing>
    </w:r>
  </w:p>
  <w:p w14:paraId="542730B9" w14:textId="77777777" w:rsidR="00422C3D" w:rsidRPr="00C23A97" w:rsidRDefault="00422C3D" w:rsidP="00655736">
    <w:pPr>
      <w:pStyle w:val="Header"/>
      <w:spacing w:after="520"/>
      <w:jc w:val="right"/>
      <w:rPr>
        <w:rFonts w:ascii="Arial" w:hAnsi="Arial" w:cs="Arial"/>
        <w:b/>
        <w:sz w:val="44"/>
        <w:szCs w:val="44"/>
      </w:rPr>
    </w:pPr>
    <w:r>
      <w:rPr>
        <w:rFonts w:ascii="Arial" w:hAnsi="Arial"/>
        <w:b/>
        <w:sz w:val="44"/>
      </w:rPr>
      <w:t>6 GA</w:t>
    </w:r>
  </w:p>
  <w:p w14:paraId="7E850969" w14:textId="77777777" w:rsidR="00422C3D" w:rsidRPr="00C23A97" w:rsidRDefault="00422C3D" w:rsidP="00655736">
    <w:pPr>
      <w:jc w:val="right"/>
      <w:rPr>
        <w:rFonts w:ascii="Arial" w:hAnsi="Arial" w:cs="Arial"/>
        <w:b/>
        <w:sz w:val="22"/>
        <w:szCs w:val="22"/>
      </w:rPr>
    </w:pPr>
    <w:r>
      <w:rPr>
        <w:rFonts w:ascii="Arial" w:hAnsi="Arial"/>
        <w:b/>
        <w:sz w:val="22"/>
      </w:rPr>
      <w:t>ITH/16/6.GA/9</w:t>
    </w:r>
  </w:p>
  <w:p w14:paraId="50C70A0A" w14:textId="7D57C635" w:rsidR="00422C3D" w:rsidRPr="00C23A97" w:rsidRDefault="00422C3D" w:rsidP="00655736">
    <w:pPr>
      <w:jc w:val="right"/>
      <w:rPr>
        <w:rFonts w:ascii="Arial" w:hAnsi="Arial" w:cs="Arial"/>
        <w:b/>
        <w:sz w:val="22"/>
        <w:szCs w:val="22"/>
      </w:rPr>
    </w:pPr>
    <w:r>
      <w:rPr>
        <w:rFonts w:ascii="Arial" w:hAnsi="Arial"/>
        <w:b/>
        <w:sz w:val="22"/>
      </w:rPr>
      <w:t>París, 29 de abril de 2016</w:t>
    </w:r>
  </w:p>
  <w:p w14:paraId="7ED8F613" w14:textId="77777777" w:rsidR="00422C3D" w:rsidRDefault="00422C3D" w:rsidP="000048ED">
    <w:pPr>
      <w:jc w:val="right"/>
      <w:rPr>
        <w:rFonts w:ascii="Arial" w:hAnsi="Arial" w:cs="Arial"/>
        <w:b/>
        <w:sz w:val="22"/>
        <w:szCs w:val="22"/>
      </w:rPr>
    </w:pPr>
    <w:r>
      <w:rPr>
        <w:rFonts w:ascii="Arial" w:hAnsi="Arial"/>
        <w:b/>
        <w:sz w:val="22"/>
      </w:rPr>
      <w:t>Original: Inglés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ADE1B" w14:textId="77777777" w:rsidR="00422C3D" w:rsidRDefault="00422C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6F2A" w14:textId="4D38E1EB" w:rsidR="00422C3D" w:rsidRPr="00A61A78" w:rsidRDefault="00A61A78" w:rsidP="00A61A78">
    <w:pPr>
      <w:pStyle w:val="Header"/>
      <w:jc w:val="right"/>
      <w:rPr>
        <w:rFonts w:ascii="Arial" w:hAnsi="Arial" w:cs="Arial"/>
      </w:rPr>
    </w:pPr>
    <w:r>
      <w:rPr>
        <w:rFonts w:ascii="Arial" w:hAnsi="Arial"/>
        <w:sz w:val="20"/>
      </w:rPr>
      <w:t xml:space="preserve">ITH/16/6.GA/9 – página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Pr>
        <w:rStyle w:val="PageNumber"/>
        <w:rFonts w:ascii="Arial" w:hAnsi="Arial" w:cs="Arial"/>
        <w:noProof/>
        <w:sz w:val="20"/>
        <w:szCs w:val="20"/>
      </w:rPr>
      <w:t>9</w:t>
    </w:r>
    <w:r w:rsidRPr="00C23A97">
      <w:rPr>
        <w:rStyle w:val="PageNumber"/>
        <w:rFonts w:ascii="Arial" w:hAnsi="Arial" w:cs="Arial"/>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08C1" w14:textId="77777777" w:rsidR="00422C3D" w:rsidRPr="008724E5" w:rsidRDefault="00422C3D">
    <w:pPr>
      <w:pStyle w:val="Header"/>
    </w:pPr>
    <w:r>
      <w:rPr>
        <w:noProof/>
        <w:lang w:val="fr-FR" w:eastAsia="fr-FR" w:bidi="ar-SA"/>
      </w:rPr>
      <w:drawing>
        <wp:anchor distT="0" distB="0" distL="114300" distR="114300" simplePos="0" relativeHeight="251659776" behindDoc="0" locked="0" layoutInCell="1" allowOverlap="1" wp14:anchorId="1E144694" wp14:editId="0AE45E61">
          <wp:simplePos x="0" y="0"/>
          <wp:positionH relativeFrom="column">
            <wp:posOffset>-567690</wp:posOffset>
          </wp:positionH>
          <wp:positionV relativeFrom="paragraph">
            <wp:posOffset>3810</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BC241" w14:textId="77777777" w:rsidR="00422C3D" w:rsidRPr="00C23A97" w:rsidRDefault="00422C3D" w:rsidP="00655736">
    <w:pPr>
      <w:pStyle w:val="Header"/>
      <w:spacing w:after="520"/>
      <w:jc w:val="right"/>
      <w:rPr>
        <w:rFonts w:ascii="Arial" w:hAnsi="Arial" w:cs="Arial"/>
        <w:b/>
        <w:sz w:val="44"/>
        <w:szCs w:val="44"/>
      </w:rPr>
    </w:pPr>
    <w:r>
      <w:rPr>
        <w:rFonts w:ascii="Arial" w:hAnsi="Arial"/>
        <w:b/>
        <w:sz w:val="44"/>
      </w:rPr>
      <w:t>6 GA</w:t>
    </w:r>
  </w:p>
  <w:p w14:paraId="3BE83844" w14:textId="77777777" w:rsidR="00422C3D" w:rsidRPr="00C23A97" w:rsidRDefault="00422C3D" w:rsidP="00655736">
    <w:pPr>
      <w:jc w:val="right"/>
      <w:rPr>
        <w:rFonts w:ascii="Arial" w:hAnsi="Arial" w:cs="Arial"/>
        <w:b/>
        <w:sz w:val="22"/>
        <w:szCs w:val="22"/>
      </w:rPr>
    </w:pPr>
    <w:r>
      <w:rPr>
        <w:rFonts w:ascii="Arial" w:hAnsi="Arial"/>
        <w:b/>
        <w:sz w:val="22"/>
      </w:rPr>
      <w:t>ITH/16/6.GA/9</w:t>
    </w:r>
  </w:p>
  <w:p w14:paraId="56C35DE5" w14:textId="77777777" w:rsidR="00422C3D" w:rsidRPr="00C23A97" w:rsidRDefault="00422C3D" w:rsidP="00655736">
    <w:pPr>
      <w:jc w:val="right"/>
      <w:rPr>
        <w:rFonts w:ascii="Arial" w:hAnsi="Arial" w:cs="Arial"/>
        <w:b/>
        <w:sz w:val="22"/>
        <w:szCs w:val="22"/>
      </w:rPr>
    </w:pPr>
    <w:r>
      <w:rPr>
        <w:rFonts w:ascii="Arial" w:hAnsi="Arial"/>
        <w:b/>
        <w:sz w:val="22"/>
      </w:rPr>
      <w:t xml:space="preserve">París, </w:t>
    </w:r>
    <w:r>
      <w:rPr>
        <w:rFonts w:ascii="Arial" w:hAnsi="Arial"/>
        <w:b/>
        <w:sz w:val="22"/>
        <w:highlight w:val="yellow"/>
      </w:rPr>
      <w:t xml:space="preserve">xxx </w:t>
    </w:r>
    <w:proofErr w:type="spellStart"/>
    <w:r>
      <w:rPr>
        <w:rFonts w:ascii="Arial" w:hAnsi="Arial"/>
        <w:b/>
        <w:sz w:val="22"/>
        <w:highlight w:val="yellow"/>
      </w:rPr>
      <w:t>xxx</w:t>
    </w:r>
    <w:proofErr w:type="spellEnd"/>
    <w:r>
      <w:rPr>
        <w:rFonts w:ascii="Arial" w:hAnsi="Arial"/>
        <w:b/>
        <w:sz w:val="22"/>
      </w:rPr>
      <w:t xml:space="preserve"> 2016</w:t>
    </w:r>
  </w:p>
  <w:p w14:paraId="1FF60830" w14:textId="77777777" w:rsidR="00422C3D" w:rsidRPr="00C23A97" w:rsidRDefault="00422C3D" w:rsidP="000048ED">
    <w:pPr>
      <w:jc w:val="right"/>
      <w:rPr>
        <w:rFonts w:ascii="Arial" w:hAnsi="Arial" w:cs="Arial"/>
        <w:b/>
        <w:sz w:val="22"/>
        <w:szCs w:val="22"/>
      </w:rPr>
    </w:pPr>
    <w:r>
      <w:rPr>
        <w:rFonts w:ascii="Arial" w:hAnsi="Arial"/>
        <w:b/>
        <w:sz w:val="22"/>
      </w:rPr>
      <w:t>Original: Inglés</w:t>
    </w:r>
  </w:p>
  <w:p w14:paraId="3CA4E5CA" w14:textId="77777777" w:rsidR="00422C3D" w:rsidRPr="00C23A97" w:rsidRDefault="00422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2CD"/>
    <w:multiLevelType w:val="hybridMultilevel"/>
    <w:tmpl w:val="3C4828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0ADA76B9"/>
    <w:multiLevelType w:val="hybridMultilevel"/>
    <w:tmpl w:val="A4F2784A"/>
    <w:lvl w:ilvl="0" w:tplc="3208CFA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4">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1D7D728D"/>
    <w:multiLevelType w:val="hybridMultilevel"/>
    <w:tmpl w:val="2102979A"/>
    <w:lvl w:ilvl="0" w:tplc="5CB0214C">
      <w:start w:val="1"/>
      <w:numFmt w:val="decimal"/>
      <w:pStyle w:val="5GAparabodytext"/>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F07BFE"/>
    <w:multiLevelType w:val="hybridMultilevel"/>
    <w:tmpl w:val="E24AD55A"/>
    <w:lvl w:ilvl="0" w:tplc="76CAC304">
      <w:start w:val="1"/>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19"/>
  </w:num>
  <w:num w:numId="5">
    <w:abstractNumId w:val="17"/>
  </w:num>
  <w:num w:numId="6">
    <w:abstractNumId w:val="2"/>
  </w:num>
  <w:num w:numId="7">
    <w:abstractNumId w:val="6"/>
  </w:num>
  <w:num w:numId="8">
    <w:abstractNumId w:val="12"/>
  </w:num>
  <w:num w:numId="9">
    <w:abstractNumId w:val="7"/>
  </w:num>
  <w:num w:numId="10">
    <w:abstractNumId w:val="9"/>
  </w:num>
  <w:num w:numId="11">
    <w:abstractNumId w:val="11"/>
  </w:num>
  <w:num w:numId="12">
    <w:abstractNumId w:val="10"/>
  </w:num>
  <w:num w:numId="13">
    <w:abstractNumId w:val="18"/>
  </w:num>
  <w:num w:numId="14">
    <w:abstractNumId w:val="14"/>
  </w:num>
  <w:num w:numId="15">
    <w:abstractNumId w:val="15"/>
  </w:num>
  <w:num w:numId="16">
    <w:abstractNumId w:val="9"/>
  </w:num>
  <w:num w:numId="17">
    <w:abstractNumId w:val="9"/>
  </w:num>
  <w:num w:numId="18">
    <w:abstractNumId w:val="9"/>
  </w:num>
  <w:num w:numId="19">
    <w:abstractNumId w:val="5"/>
  </w:num>
  <w:num w:numId="20">
    <w:abstractNumId w:val="3"/>
  </w:num>
  <w:num w:numId="21">
    <w:abstractNumId w:val="1"/>
  </w:num>
  <w:num w:numId="22">
    <w:abstractNumId w:val="0"/>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2544E"/>
    <w:rsid w:val="000416AF"/>
    <w:rsid w:val="00041A66"/>
    <w:rsid w:val="0005176E"/>
    <w:rsid w:val="00061641"/>
    <w:rsid w:val="00071334"/>
    <w:rsid w:val="000765F7"/>
    <w:rsid w:val="00077AB7"/>
    <w:rsid w:val="00081CD8"/>
    <w:rsid w:val="00091D93"/>
    <w:rsid w:val="00094FC9"/>
    <w:rsid w:val="000A7F0E"/>
    <w:rsid w:val="000B053F"/>
    <w:rsid w:val="000B5B05"/>
    <w:rsid w:val="000B5CBB"/>
    <w:rsid w:val="000C0D61"/>
    <w:rsid w:val="000C23AE"/>
    <w:rsid w:val="000D6221"/>
    <w:rsid w:val="000F33F4"/>
    <w:rsid w:val="000F3A3F"/>
    <w:rsid w:val="00102557"/>
    <w:rsid w:val="00117E23"/>
    <w:rsid w:val="0012285E"/>
    <w:rsid w:val="001277B1"/>
    <w:rsid w:val="00147E95"/>
    <w:rsid w:val="00151687"/>
    <w:rsid w:val="00154C7E"/>
    <w:rsid w:val="00164D56"/>
    <w:rsid w:val="00167B10"/>
    <w:rsid w:val="0017402F"/>
    <w:rsid w:val="001749C6"/>
    <w:rsid w:val="00176720"/>
    <w:rsid w:val="001841BA"/>
    <w:rsid w:val="00184C1F"/>
    <w:rsid w:val="00196C1B"/>
    <w:rsid w:val="001B0F73"/>
    <w:rsid w:val="001D5C04"/>
    <w:rsid w:val="00200505"/>
    <w:rsid w:val="00206904"/>
    <w:rsid w:val="00217887"/>
    <w:rsid w:val="00217F81"/>
    <w:rsid w:val="00222A2D"/>
    <w:rsid w:val="00223029"/>
    <w:rsid w:val="00234745"/>
    <w:rsid w:val="002407AF"/>
    <w:rsid w:val="00256650"/>
    <w:rsid w:val="0028446E"/>
    <w:rsid w:val="002B03AC"/>
    <w:rsid w:val="002C09E3"/>
    <w:rsid w:val="002E6E29"/>
    <w:rsid w:val="002F312A"/>
    <w:rsid w:val="00315D31"/>
    <w:rsid w:val="00345CB4"/>
    <w:rsid w:val="003549B8"/>
    <w:rsid w:val="0039178A"/>
    <w:rsid w:val="003A0AD4"/>
    <w:rsid w:val="003B61C2"/>
    <w:rsid w:val="003D069C"/>
    <w:rsid w:val="003D5AD2"/>
    <w:rsid w:val="003D7646"/>
    <w:rsid w:val="003E4A62"/>
    <w:rsid w:val="003F113A"/>
    <w:rsid w:val="00414643"/>
    <w:rsid w:val="0041529B"/>
    <w:rsid w:val="00422C3D"/>
    <w:rsid w:val="00426D67"/>
    <w:rsid w:val="004421E5"/>
    <w:rsid w:val="00445E0C"/>
    <w:rsid w:val="004465AB"/>
    <w:rsid w:val="00452284"/>
    <w:rsid w:val="004856CA"/>
    <w:rsid w:val="00490911"/>
    <w:rsid w:val="004951B4"/>
    <w:rsid w:val="0049705E"/>
    <w:rsid w:val="004A34A0"/>
    <w:rsid w:val="004A6770"/>
    <w:rsid w:val="004E5075"/>
    <w:rsid w:val="004E783F"/>
    <w:rsid w:val="00524BBB"/>
    <w:rsid w:val="00526B7B"/>
    <w:rsid w:val="005308CE"/>
    <w:rsid w:val="00532C0C"/>
    <w:rsid w:val="00536138"/>
    <w:rsid w:val="00557542"/>
    <w:rsid w:val="005641B0"/>
    <w:rsid w:val="00570F8B"/>
    <w:rsid w:val="0057439C"/>
    <w:rsid w:val="00584EA3"/>
    <w:rsid w:val="005B0127"/>
    <w:rsid w:val="005B7A35"/>
    <w:rsid w:val="005C4B73"/>
    <w:rsid w:val="005E1D2B"/>
    <w:rsid w:val="00600D93"/>
    <w:rsid w:val="00601FBC"/>
    <w:rsid w:val="006064B2"/>
    <w:rsid w:val="00617CA4"/>
    <w:rsid w:val="0063300C"/>
    <w:rsid w:val="006421FD"/>
    <w:rsid w:val="00652703"/>
    <w:rsid w:val="00655736"/>
    <w:rsid w:val="00663B8D"/>
    <w:rsid w:val="00696C8D"/>
    <w:rsid w:val="006A2AC2"/>
    <w:rsid w:val="006A3617"/>
    <w:rsid w:val="006B75A5"/>
    <w:rsid w:val="006C4912"/>
    <w:rsid w:val="006D53E0"/>
    <w:rsid w:val="006E46E4"/>
    <w:rsid w:val="00714D68"/>
    <w:rsid w:val="00717DA5"/>
    <w:rsid w:val="0072414E"/>
    <w:rsid w:val="00744484"/>
    <w:rsid w:val="0075114A"/>
    <w:rsid w:val="00757589"/>
    <w:rsid w:val="00763A0D"/>
    <w:rsid w:val="00773188"/>
    <w:rsid w:val="00783782"/>
    <w:rsid w:val="00784B8C"/>
    <w:rsid w:val="007A3D04"/>
    <w:rsid w:val="007A3E7A"/>
    <w:rsid w:val="007B7CAB"/>
    <w:rsid w:val="007D0D5E"/>
    <w:rsid w:val="007E32F9"/>
    <w:rsid w:val="007F24BE"/>
    <w:rsid w:val="0080268D"/>
    <w:rsid w:val="00802A84"/>
    <w:rsid w:val="00823A11"/>
    <w:rsid w:val="008252B1"/>
    <w:rsid w:val="00834989"/>
    <w:rsid w:val="0084165D"/>
    <w:rsid w:val="008514F1"/>
    <w:rsid w:val="00852866"/>
    <w:rsid w:val="0085414A"/>
    <w:rsid w:val="00861B2B"/>
    <w:rsid w:val="0086211B"/>
    <w:rsid w:val="0086269D"/>
    <w:rsid w:val="0086543A"/>
    <w:rsid w:val="008724E5"/>
    <w:rsid w:val="00884A9D"/>
    <w:rsid w:val="0088512B"/>
    <w:rsid w:val="00892549"/>
    <w:rsid w:val="00893795"/>
    <w:rsid w:val="008A2B2D"/>
    <w:rsid w:val="008A4E1E"/>
    <w:rsid w:val="008A5A10"/>
    <w:rsid w:val="008C296C"/>
    <w:rsid w:val="008D4305"/>
    <w:rsid w:val="008F10D2"/>
    <w:rsid w:val="008F6379"/>
    <w:rsid w:val="00905B80"/>
    <w:rsid w:val="009149F8"/>
    <w:rsid w:val="009163A7"/>
    <w:rsid w:val="009457A2"/>
    <w:rsid w:val="00945AA4"/>
    <w:rsid w:val="00946D0B"/>
    <w:rsid w:val="00953D1E"/>
    <w:rsid w:val="009A03D5"/>
    <w:rsid w:val="009A18CD"/>
    <w:rsid w:val="009B78A4"/>
    <w:rsid w:val="009E7945"/>
    <w:rsid w:val="009F13C1"/>
    <w:rsid w:val="00A12558"/>
    <w:rsid w:val="00A13903"/>
    <w:rsid w:val="00A23A1D"/>
    <w:rsid w:val="00A24885"/>
    <w:rsid w:val="00A279B9"/>
    <w:rsid w:val="00A34ED5"/>
    <w:rsid w:val="00A45DBF"/>
    <w:rsid w:val="00A53E7F"/>
    <w:rsid w:val="00A61A78"/>
    <w:rsid w:val="00A61C17"/>
    <w:rsid w:val="00A65B49"/>
    <w:rsid w:val="00A70BB3"/>
    <w:rsid w:val="00A755A2"/>
    <w:rsid w:val="00A80E04"/>
    <w:rsid w:val="00A8342D"/>
    <w:rsid w:val="00AA1789"/>
    <w:rsid w:val="00AA6660"/>
    <w:rsid w:val="00AB2C36"/>
    <w:rsid w:val="00AB70B6"/>
    <w:rsid w:val="00AD1A86"/>
    <w:rsid w:val="00AD6494"/>
    <w:rsid w:val="00AE103E"/>
    <w:rsid w:val="00AE7164"/>
    <w:rsid w:val="00AF0A07"/>
    <w:rsid w:val="00AF1052"/>
    <w:rsid w:val="00AF4AEC"/>
    <w:rsid w:val="00AF625E"/>
    <w:rsid w:val="00B11DE2"/>
    <w:rsid w:val="00B50C61"/>
    <w:rsid w:val="00B67411"/>
    <w:rsid w:val="00B72E7C"/>
    <w:rsid w:val="00B749A7"/>
    <w:rsid w:val="00B96B09"/>
    <w:rsid w:val="00BB04AF"/>
    <w:rsid w:val="00BB3CB4"/>
    <w:rsid w:val="00BC4AC8"/>
    <w:rsid w:val="00BD52C9"/>
    <w:rsid w:val="00BE6354"/>
    <w:rsid w:val="00C23A97"/>
    <w:rsid w:val="00C70EA7"/>
    <w:rsid w:val="00C7516E"/>
    <w:rsid w:val="00C75770"/>
    <w:rsid w:val="00C84EEA"/>
    <w:rsid w:val="00C923AD"/>
    <w:rsid w:val="00CA2BB9"/>
    <w:rsid w:val="00CD7361"/>
    <w:rsid w:val="00CE1C6A"/>
    <w:rsid w:val="00CF0F9D"/>
    <w:rsid w:val="00D00B2B"/>
    <w:rsid w:val="00D115FE"/>
    <w:rsid w:val="00D24877"/>
    <w:rsid w:val="00D64427"/>
    <w:rsid w:val="00D729F7"/>
    <w:rsid w:val="00D72A72"/>
    <w:rsid w:val="00D82483"/>
    <w:rsid w:val="00D95C4C"/>
    <w:rsid w:val="00DA1ECB"/>
    <w:rsid w:val="00DA36ED"/>
    <w:rsid w:val="00DE34F1"/>
    <w:rsid w:val="00DF393C"/>
    <w:rsid w:val="00DF4942"/>
    <w:rsid w:val="00E0233B"/>
    <w:rsid w:val="00E36832"/>
    <w:rsid w:val="00E441AB"/>
    <w:rsid w:val="00E627B1"/>
    <w:rsid w:val="00E65016"/>
    <w:rsid w:val="00E72D83"/>
    <w:rsid w:val="00E9376C"/>
    <w:rsid w:val="00EA335E"/>
    <w:rsid w:val="00EA528C"/>
    <w:rsid w:val="00EA7EFF"/>
    <w:rsid w:val="00EB194B"/>
    <w:rsid w:val="00EB3866"/>
    <w:rsid w:val="00EF34E2"/>
    <w:rsid w:val="00EF4F1F"/>
    <w:rsid w:val="00EF7F51"/>
    <w:rsid w:val="00F02403"/>
    <w:rsid w:val="00F22DE5"/>
    <w:rsid w:val="00F53DE9"/>
    <w:rsid w:val="00F576CB"/>
    <w:rsid w:val="00F71A02"/>
    <w:rsid w:val="00F91CB1"/>
    <w:rsid w:val="00FA3F92"/>
    <w:rsid w:val="00FB4F35"/>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7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ind w:left="567" w:hanging="567"/>
    </w:pPr>
    <w:rPr>
      <w:rFonts w:cs="Arial"/>
      <w:szCs w:val="22"/>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semiHidden/>
    <w:unhideWhenUsed/>
    <w:rsid w:val="00AD6494"/>
    <w:rPr>
      <w:sz w:val="20"/>
      <w:szCs w:val="20"/>
    </w:rPr>
  </w:style>
  <w:style w:type="character" w:customStyle="1" w:styleId="FootnoteTextChar">
    <w:name w:val="Footnote Text Char"/>
    <w:basedOn w:val="DefaultParagraphFont"/>
    <w:link w:val="FootnoteText"/>
    <w:uiPriority w:val="99"/>
    <w:semiHidden/>
    <w:rsid w:val="00AD6494"/>
    <w:rPr>
      <w:rFonts w:ascii="Times New Roman" w:eastAsia="Times New Roman" w:hAnsi="Times New Roman"/>
      <w:lang w:val="es-ES" w:eastAsia="es-ES"/>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02544E"/>
    <w:rPr>
      <w:rFonts w:ascii="Arial" w:hAnsi="Arial" w:cs="Arial"/>
      <w:color w:val="000000"/>
      <w:sz w:val="24"/>
      <w:szCs w:val="24"/>
      <w:lang w:val="es-ES" w:eastAsia="es-ES"/>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rPr>
  </w:style>
  <w:style w:type="paragraph" w:customStyle="1" w:styleId="Paragraph">
    <w:name w:val="Paragraph"/>
    <w:basedOn w:val="Default"/>
    <w:link w:val="ParagraphChar"/>
    <w:qFormat/>
    <w:rsid w:val="001749C6"/>
    <w:pPr>
      <w:numPr>
        <w:numId w:val="20"/>
      </w:numPr>
      <w:spacing w:after="240"/>
      <w:jc w:val="both"/>
    </w:pPr>
    <w:rPr>
      <w:bCs/>
      <w:sz w:val="22"/>
      <w:szCs w:val="22"/>
    </w:rPr>
  </w:style>
  <w:style w:type="character" w:customStyle="1" w:styleId="ParagraphChar">
    <w:name w:val="Paragraph Char"/>
    <w:link w:val="Paragraph"/>
    <w:rsid w:val="001749C6"/>
    <w:rPr>
      <w:rFonts w:ascii="Arial" w:hAnsi="Arial" w:cs="Arial"/>
      <w:bCs/>
      <w:color w:val="000000"/>
      <w:sz w:val="22"/>
      <w:szCs w:val="22"/>
      <w:lang w:eastAsia="es-ES"/>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rPr>
  </w:style>
  <w:style w:type="character" w:styleId="CommentReference">
    <w:name w:val="annotation reference"/>
    <w:basedOn w:val="DefaultParagraphFont"/>
    <w:uiPriority w:val="99"/>
    <w:semiHidden/>
    <w:unhideWhenUsed/>
    <w:rsid w:val="003B61C2"/>
    <w:rPr>
      <w:sz w:val="16"/>
      <w:szCs w:val="16"/>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basedOn w:val="DefaultParagraphFont"/>
    <w:link w:val="CommentText"/>
    <w:uiPriority w:val="99"/>
    <w:semiHidden/>
    <w:rsid w:val="003B61C2"/>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es-ES" w:eastAsia="es-ES"/>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ind w:left="567" w:hanging="567"/>
    </w:pPr>
    <w:rPr>
      <w:rFonts w:cs="Arial"/>
      <w:szCs w:val="22"/>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semiHidden/>
    <w:unhideWhenUsed/>
    <w:rsid w:val="00AD6494"/>
    <w:rPr>
      <w:sz w:val="20"/>
      <w:szCs w:val="20"/>
    </w:rPr>
  </w:style>
  <w:style w:type="character" w:customStyle="1" w:styleId="FootnoteTextChar">
    <w:name w:val="Footnote Text Char"/>
    <w:basedOn w:val="DefaultParagraphFont"/>
    <w:link w:val="FootnoteText"/>
    <w:uiPriority w:val="99"/>
    <w:semiHidden/>
    <w:rsid w:val="00AD6494"/>
    <w:rPr>
      <w:rFonts w:ascii="Times New Roman" w:eastAsia="Times New Roman" w:hAnsi="Times New Roman"/>
      <w:lang w:val="es-ES" w:eastAsia="es-ES"/>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02544E"/>
    <w:rPr>
      <w:rFonts w:ascii="Arial" w:hAnsi="Arial" w:cs="Arial"/>
      <w:color w:val="000000"/>
      <w:sz w:val="24"/>
      <w:szCs w:val="24"/>
      <w:lang w:val="es-ES" w:eastAsia="es-ES"/>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rPr>
  </w:style>
  <w:style w:type="paragraph" w:customStyle="1" w:styleId="Paragraph">
    <w:name w:val="Paragraph"/>
    <w:basedOn w:val="Default"/>
    <w:link w:val="ParagraphChar"/>
    <w:qFormat/>
    <w:rsid w:val="001749C6"/>
    <w:pPr>
      <w:numPr>
        <w:numId w:val="20"/>
      </w:numPr>
      <w:spacing w:after="240"/>
      <w:jc w:val="both"/>
    </w:pPr>
    <w:rPr>
      <w:bCs/>
      <w:sz w:val="22"/>
      <w:szCs w:val="22"/>
    </w:rPr>
  </w:style>
  <w:style w:type="character" w:customStyle="1" w:styleId="ParagraphChar">
    <w:name w:val="Paragraph Char"/>
    <w:link w:val="Paragraph"/>
    <w:rsid w:val="001749C6"/>
    <w:rPr>
      <w:rFonts w:ascii="Arial" w:hAnsi="Arial" w:cs="Arial"/>
      <w:bCs/>
      <w:color w:val="000000"/>
      <w:sz w:val="22"/>
      <w:szCs w:val="22"/>
      <w:lang w:eastAsia="es-ES"/>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rPr>
  </w:style>
  <w:style w:type="character" w:styleId="CommentReference">
    <w:name w:val="annotation reference"/>
    <w:basedOn w:val="DefaultParagraphFont"/>
    <w:uiPriority w:val="99"/>
    <w:semiHidden/>
    <w:unhideWhenUsed/>
    <w:rsid w:val="003B61C2"/>
    <w:rPr>
      <w:sz w:val="16"/>
      <w:szCs w:val="16"/>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basedOn w:val="DefaultParagraphFont"/>
    <w:link w:val="CommentText"/>
    <w:uiPriority w:val="99"/>
    <w:semiHidden/>
    <w:rsid w:val="003B61C2"/>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es-ES" w:eastAsia="es-ES"/>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666">
      <w:bodyDiv w:val="1"/>
      <w:marLeft w:val="0"/>
      <w:marRight w:val="0"/>
      <w:marTop w:val="0"/>
      <w:marBottom w:val="0"/>
      <w:divBdr>
        <w:top w:val="none" w:sz="0" w:space="0" w:color="auto"/>
        <w:left w:val="none" w:sz="0" w:space="0" w:color="auto"/>
        <w:bottom w:val="none" w:sz="0" w:space="0" w:color="auto"/>
        <w:right w:val="none" w:sz="0" w:space="0" w:color="auto"/>
      </w:divBdr>
    </w:div>
    <w:div w:id="35785485">
      <w:bodyDiv w:val="1"/>
      <w:marLeft w:val="0"/>
      <w:marRight w:val="0"/>
      <w:marTop w:val="0"/>
      <w:marBottom w:val="0"/>
      <w:divBdr>
        <w:top w:val="none" w:sz="0" w:space="0" w:color="auto"/>
        <w:left w:val="none" w:sz="0" w:space="0" w:color="auto"/>
        <w:bottom w:val="none" w:sz="0" w:space="0" w:color="auto"/>
        <w:right w:val="none" w:sz="0" w:space="0" w:color="auto"/>
      </w:divBdr>
    </w:div>
    <w:div w:id="138495754">
      <w:bodyDiv w:val="1"/>
      <w:marLeft w:val="0"/>
      <w:marRight w:val="0"/>
      <w:marTop w:val="0"/>
      <w:marBottom w:val="0"/>
      <w:divBdr>
        <w:top w:val="none" w:sz="0" w:space="0" w:color="auto"/>
        <w:left w:val="none" w:sz="0" w:space="0" w:color="auto"/>
        <w:bottom w:val="none" w:sz="0" w:space="0" w:color="auto"/>
        <w:right w:val="none" w:sz="0" w:space="0" w:color="auto"/>
      </w:divBdr>
    </w:div>
    <w:div w:id="141237774">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9610809">
      <w:bodyDiv w:val="1"/>
      <w:marLeft w:val="0"/>
      <w:marRight w:val="0"/>
      <w:marTop w:val="0"/>
      <w:marBottom w:val="0"/>
      <w:divBdr>
        <w:top w:val="none" w:sz="0" w:space="0" w:color="auto"/>
        <w:left w:val="none" w:sz="0" w:space="0" w:color="auto"/>
        <w:bottom w:val="none" w:sz="0" w:space="0" w:color="auto"/>
        <w:right w:val="none" w:sz="0" w:space="0" w:color="auto"/>
      </w:divBdr>
    </w:div>
    <w:div w:id="882601420">
      <w:bodyDiv w:val="1"/>
      <w:marLeft w:val="0"/>
      <w:marRight w:val="0"/>
      <w:marTop w:val="0"/>
      <w:marBottom w:val="0"/>
      <w:divBdr>
        <w:top w:val="none" w:sz="0" w:space="0" w:color="auto"/>
        <w:left w:val="none" w:sz="0" w:space="0" w:color="auto"/>
        <w:bottom w:val="none" w:sz="0" w:space="0" w:color="auto"/>
        <w:right w:val="none" w:sz="0" w:space="0" w:color="auto"/>
      </w:divBdr>
    </w:div>
    <w:div w:id="917981183">
      <w:bodyDiv w:val="1"/>
      <w:marLeft w:val="0"/>
      <w:marRight w:val="0"/>
      <w:marTop w:val="0"/>
      <w:marBottom w:val="0"/>
      <w:divBdr>
        <w:top w:val="none" w:sz="0" w:space="0" w:color="auto"/>
        <w:left w:val="none" w:sz="0" w:space="0" w:color="auto"/>
        <w:bottom w:val="none" w:sz="0" w:space="0" w:color="auto"/>
        <w:right w:val="none" w:sz="0" w:space="0" w:color="auto"/>
      </w:divBdr>
    </w:div>
    <w:div w:id="99333424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5084427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1255859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1787139">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107255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en/d%C3%A9cisions/9.COM/7?dec=decisions&amp;ref_decision=9.COM" TargetMode="External"/><Relationship Id="rId18" Type="http://schemas.openxmlformats.org/officeDocument/2006/relationships/hyperlink" Target="http://www.unesco.org/culture/ich/en/Decisions/9.COM/9"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unesco.org/culture/ich/en/Resolutions/3.GA/9" TargetMode="External"/><Relationship Id="rId17" Type="http://schemas.openxmlformats.org/officeDocument/2006/relationships/hyperlink" Target="http://www.unesco.org/culture/ich/en/Decisions/10.COM/8"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unesco.org/culture/ich/en/Decisions/10.COM/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doc/src/ITH-14-5.GA-Resolutions-EN__.doc"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unesco.org/culture/ich/en/Decisions/10.COM/8" TargetMode="External"/><Relationship Id="rId23" Type="http://schemas.openxmlformats.org/officeDocument/2006/relationships/hyperlink" Target="http://www.unesco.org/culture/ich/en/Decisions/10.COM/8" TargetMode="External"/><Relationship Id="rId28" Type="http://schemas.openxmlformats.org/officeDocument/2006/relationships/theme" Target="theme/theme1.xml"/><Relationship Id="rId10" Type="http://schemas.openxmlformats.org/officeDocument/2006/relationships/hyperlink" Target="http://unesdoc.unesco.org/images/0021/002150/215084s.pdf" TargetMode="External"/><Relationship Id="rId19" Type="http://schemas.openxmlformats.org/officeDocument/2006/relationships/hyperlink" Target="http://www.unesco.org/culture/ich/en/Decisions/8.COM/11" TargetMode="External"/><Relationship Id="rId4" Type="http://schemas.microsoft.com/office/2007/relationships/stylesWithEffects" Target="stylesWithEffects.xml"/><Relationship Id="rId9" Type="http://schemas.openxmlformats.org/officeDocument/2006/relationships/hyperlink" Target="http://www.unesco.org/culture/ich/en/Decisions/10.COM/8" TargetMode="External"/><Relationship Id="rId14" Type="http://schemas.openxmlformats.org/officeDocument/2006/relationships/hyperlink" Target="http://www.unesco.org/culture/ich/en/Decisions/8.COM/7.c"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5DD9-5CB1-44C9-8FE0-5B5A2882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3</TotalTime>
  <Pages>9</Pages>
  <Words>5116</Words>
  <Characters>28140</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5</cp:revision>
  <cp:lastPrinted>2016-03-31T14:32:00Z</cp:lastPrinted>
  <dcterms:created xsi:type="dcterms:W3CDTF">2016-04-28T12:46:00Z</dcterms:created>
  <dcterms:modified xsi:type="dcterms:W3CDTF">2016-04-29T14:08:00Z</dcterms:modified>
</cp:coreProperties>
</file>