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8C" w:rsidRPr="004146FA" w:rsidRDefault="00680D8C" w:rsidP="00CB45BF">
      <w:pPr>
        <w:spacing w:before="1440"/>
        <w:jc w:val="center"/>
        <w:rPr>
          <w:rFonts w:eastAsia="Times New Roman"/>
          <w:b/>
          <w:lang w:val="en-GB"/>
        </w:rPr>
      </w:pPr>
      <w:bookmarkStart w:id="0" w:name="_GoBack"/>
      <w:bookmarkEnd w:id="0"/>
      <w:r w:rsidRPr="004146FA">
        <w:rPr>
          <w:bCs/>
          <w:rtl/>
          <w:lang w:bidi="ar-QA"/>
        </w:rPr>
        <w:t>اتفاقية صون التراث الثقافي غير المادي</w:t>
      </w:r>
    </w:p>
    <w:p w:rsidR="00680D8C" w:rsidRPr="004146FA" w:rsidRDefault="00680D8C" w:rsidP="00CB45BF">
      <w:pPr>
        <w:spacing w:before="1200"/>
        <w:jc w:val="center"/>
        <w:rPr>
          <w:rFonts w:eastAsia="Times New Roman"/>
          <w:b/>
          <w:lang w:val="en-GB"/>
        </w:rPr>
      </w:pPr>
      <w:r w:rsidRPr="004146FA">
        <w:rPr>
          <w:bCs/>
          <w:rtl/>
          <w:lang w:bidi="ar-QA"/>
        </w:rPr>
        <w:t>الجمعية العامة للدول الأطراف في الاتفاقية</w:t>
      </w:r>
    </w:p>
    <w:p w:rsidR="00680D8C" w:rsidRPr="004146FA" w:rsidRDefault="00680D8C" w:rsidP="00CB45BF">
      <w:pPr>
        <w:spacing w:before="840"/>
        <w:jc w:val="center"/>
        <w:rPr>
          <w:rFonts w:eastAsia="Times New Roman"/>
          <w:b/>
          <w:lang w:val="en-GB"/>
        </w:rPr>
      </w:pPr>
      <w:r w:rsidRPr="004146FA">
        <w:rPr>
          <w:bCs/>
          <w:rtl/>
          <w:lang w:bidi="ar-QA"/>
        </w:rPr>
        <w:t>الدورة السادسة</w:t>
      </w:r>
    </w:p>
    <w:p w:rsidR="00680D8C" w:rsidRPr="004146FA" w:rsidRDefault="00680D8C" w:rsidP="00CB45BF">
      <w:pPr>
        <w:jc w:val="center"/>
        <w:rPr>
          <w:rFonts w:eastAsia="Times New Roman"/>
          <w:b/>
          <w:lang w:val="en-GB"/>
        </w:rPr>
      </w:pPr>
      <w:r w:rsidRPr="004146FA">
        <w:rPr>
          <w:bCs/>
          <w:rtl/>
          <w:lang w:bidi="ar-QA"/>
        </w:rPr>
        <w:t>مقر اليونسكو، القاعة 2</w:t>
      </w:r>
    </w:p>
    <w:p w:rsidR="00680D8C" w:rsidRPr="004146FA" w:rsidRDefault="00680D8C" w:rsidP="00CB45BF">
      <w:pPr>
        <w:jc w:val="center"/>
        <w:rPr>
          <w:rFonts w:eastAsia="Times New Roman"/>
          <w:b/>
          <w:lang w:val="en-GB"/>
        </w:rPr>
      </w:pPr>
      <w:r w:rsidRPr="004146FA">
        <w:rPr>
          <w:bCs/>
          <w:rtl/>
          <w:lang w:bidi="ar-QA"/>
        </w:rPr>
        <w:t>30 ايار/مايو - 1 حزيران/يونيو 2016</w:t>
      </w:r>
    </w:p>
    <w:p w:rsidR="00680D8C" w:rsidRPr="004146FA" w:rsidRDefault="00680D8C" w:rsidP="004146FA">
      <w:pPr>
        <w:pStyle w:val="Sansinterligne2"/>
        <w:spacing w:before="1200"/>
        <w:jc w:val="center"/>
        <w:rPr>
          <w:rFonts w:eastAsia="Times New Roman"/>
          <w:b/>
          <w:lang w:val="en-GB"/>
        </w:rPr>
      </w:pPr>
      <w:r w:rsidRPr="004146FA">
        <w:rPr>
          <w:bCs/>
          <w:u w:val="single"/>
          <w:rtl/>
          <w:lang w:bidi="ar-QA"/>
        </w:rPr>
        <w:t>البند 9 من جدول الأعمال المؤقت:</w:t>
      </w:r>
    </w:p>
    <w:p w:rsidR="00680D8C" w:rsidRPr="004146FA" w:rsidRDefault="00680D8C" w:rsidP="004146FA">
      <w:pPr>
        <w:pStyle w:val="Sansinterligne2"/>
        <w:spacing w:after="1200"/>
        <w:jc w:val="center"/>
        <w:rPr>
          <w:bCs/>
          <w:rtl/>
          <w:lang w:bidi="ar-TN"/>
        </w:rPr>
      </w:pPr>
      <w:r w:rsidRPr="004146FA">
        <w:rPr>
          <w:bCs/>
          <w:rtl/>
          <w:lang w:bidi="ar-QA"/>
        </w:rPr>
        <w:t>استخدام موارد صندوق التراث الثقافي غير المادي</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680D8C" w:rsidRPr="004146FA">
        <w:trPr>
          <w:jc w:val="center"/>
        </w:trPr>
        <w:tc>
          <w:tcPr>
            <w:tcW w:w="7825" w:type="dxa"/>
            <w:vAlign w:val="center"/>
          </w:tcPr>
          <w:p w:rsidR="00680D8C" w:rsidRPr="004146FA" w:rsidRDefault="00680D8C" w:rsidP="00A320C4">
            <w:pPr>
              <w:pStyle w:val="Sansinterligne1"/>
              <w:spacing w:before="200" w:after="200"/>
              <w:jc w:val="center"/>
              <w:rPr>
                <w:rFonts w:eastAsia="Times New Roman"/>
                <w:b/>
                <w:lang w:val="en-GB"/>
              </w:rPr>
            </w:pPr>
            <w:r w:rsidRPr="004146FA">
              <w:rPr>
                <w:bCs/>
                <w:rtl/>
                <w:lang w:bidi="ar-QA"/>
              </w:rPr>
              <w:t>الملخّص</w:t>
            </w:r>
          </w:p>
          <w:p w:rsidR="00680D8C" w:rsidRPr="004146FA" w:rsidRDefault="00680D8C" w:rsidP="004146FA">
            <w:pPr>
              <w:pStyle w:val="Sansinterligne2"/>
              <w:spacing w:after="120"/>
              <w:jc w:val="both"/>
              <w:rPr>
                <w:rFonts w:eastAsia="Times New Roman"/>
                <w:lang w:val="en-GB"/>
              </w:rPr>
            </w:pPr>
            <w:r w:rsidRPr="004146FA">
              <w:rPr>
                <w:rtl/>
                <w:lang w:bidi="ar-QA"/>
              </w:rPr>
              <w:t>تقضي المادة 7 (جـ) من الاتفاقية بأن تتول</w:t>
            </w:r>
            <w:r w:rsidRPr="004146FA">
              <w:rPr>
                <w:rtl/>
                <w:lang w:bidi="ar-TN"/>
              </w:rPr>
              <w:t>ّ</w:t>
            </w:r>
            <w:r w:rsidRPr="004146FA">
              <w:rPr>
                <w:rtl/>
                <w:lang w:bidi="ar-QA"/>
              </w:rPr>
              <w:t>ى اللجنة إعداد مشروع خطة لاستخدام موارد الصندوق وعرضه على الجمعية العامة لإقراره.</w:t>
            </w:r>
            <w:r w:rsidRPr="004146FA">
              <w:rPr>
                <w:rFonts w:eastAsia="Times New Roman"/>
                <w:lang w:val="en-GB"/>
              </w:rPr>
              <w:t xml:space="preserve"> </w:t>
            </w:r>
            <w:r w:rsidRPr="004146FA">
              <w:rPr>
                <w:rtl/>
                <w:lang w:bidi="ar-QA"/>
              </w:rPr>
              <w:t xml:space="preserve">وتعرض هذه الوثيقة مشروع الخطة الذي أوصت به اللجنة لفترة العامين 2016-2017 والفصل الأول من عام 2018 (الملحق </w:t>
            </w:r>
            <w:r w:rsidRPr="004146FA">
              <w:rPr>
                <w:rFonts w:eastAsia="Times New Roman"/>
                <w:lang w:val="en-GB" w:bidi="ar-QA"/>
              </w:rPr>
              <w:t>I</w:t>
            </w:r>
            <w:r w:rsidRPr="004146FA">
              <w:rPr>
                <w:rtl/>
                <w:lang w:bidi="ar-QA"/>
              </w:rPr>
              <w:t>).</w:t>
            </w:r>
          </w:p>
          <w:p w:rsidR="00680D8C" w:rsidRPr="004146FA" w:rsidRDefault="00680D8C" w:rsidP="004146FA">
            <w:pPr>
              <w:pStyle w:val="Sansinterligne2"/>
              <w:spacing w:after="120"/>
              <w:jc w:val="both"/>
              <w:rPr>
                <w:rFonts w:eastAsia="Times New Roman"/>
                <w:bCs/>
                <w:lang w:bidi="ar-QA"/>
              </w:rPr>
            </w:pPr>
            <w:r w:rsidRPr="004146FA">
              <w:rPr>
                <w:bCs/>
                <w:rtl/>
                <w:lang w:bidi="ar-QA"/>
              </w:rPr>
              <w:t>القرار المطلوب:</w:t>
            </w:r>
            <w:r w:rsidRPr="004146FA">
              <w:rPr>
                <w:rFonts w:eastAsia="Times New Roman"/>
                <w:b/>
                <w:lang w:val="en-GB"/>
              </w:rPr>
              <w:t xml:space="preserve"> </w:t>
            </w:r>
            <w:r w:rsidRPr="004146FA">
              <w:rPr>
                <w:bCs/>
                <w:rtl/>
                <w:lang w:bidi="ar-QA"/>
              </w:rPr>
              <w:t xml:space="preserve">الفقرة </w:t>
            </w:r>
            <w:r w:rsidRPr="00523383">
              <w:rPr>
                <w:bCs/>
                <w:rtl/>
                <w:lang w:bidi="ar-QA"/>
              </w:rPr>
              <w:t>25</w:t>
            </w:r>
          </w:p>
        </w:tc>
      </w:tr>
    </w:tbl>
    <w:p w:rsidR="00680D8C" w:rsidRPr="005F7039" w:rsidRDefault="00680D8C" w:rsidP="004146FA">
      <w:pPr>
        <w:pStyle w:val="5GAparabodytext"/>
        <w:rPr>
          <w:sz w:val="24"/>
          <w:szCs w:val="24"/>
          <w:lang w:val="fr-FR"/>
        </w:rPr>
      </w:pPr>
      <w:r w:rsidRPr="005F7039">
        <w:rPr>
          <w:sz w:val="24"/>
          <w:szCs w:val="24"/>
          <w:lang w:val="fr-FR"/>
        </w:rPr>
        <w:br w:type="page"/>
      </w:r>
      <w:r w:rsidRPr="004146FA">
        <w:rPr>
          <w:sz w:val="24"/>
          <w:szCs w:val="24"/>
          <w:rtl/>
        </w:rPr>
        <w:lastRenderedPageBreak/>
        <w:t>تقضي المادة 7 (جـ) من الاتفاقية بأن تتولّى اللجنة "إعداد مشروع لاستخدام موارد الصندوق [صندوق التراث الثقافي غير المادي]، وعرضه على الجمعية العامة لإقراره وفقاً للمادة 25".</w:t>
      </w:r>
      <w:r w:rsidRPr="005F7039">
        <w:rPr>
          <w:sz w:val="24"/>
          <w:szCs w:val="24"/>
          <w:lang w:val="fr-FR"/>
        </w:rPr>
        <w:t xml:space="preserve"> </w:t>
      </w:r>
      <w:r w:rsidRPr="004146FA">
        <w:rPr>
          <w:sz w:val="24"/>
          <w:szCs w:val="24"/>
          <w:rtl/>
        </w:rPr>
        <w:t>وتنص المادة 25.4 من الاتفاقية على أن "تتقرر أوجه استعمال اللجنة لأموال الصندوق بناءً على توجيهات الجمعية العامة".</w:t>
      </w:r>
      <w:r w:rsidRPr="005F7039">
        <w:rPr>
          <w:sz w:val="24"/>
          <w:szCs w:val="24"/>
          <w:lang w:val="fr-FR"/>
        </w:rPr>
        <w:t xml:space="preserve"> </w:t>
      </w:r>
      <w:r w:rsidRPr="004146FA">
        <w:rPr>
          <w:sz w:val="24"/>
          <w:szCs w:val="24"/>
          <w:rtl/>
        </w:rPr>
        <w:t>وترد هذه التوجيهات التي اعتمدتها الجمعية العامة للدول الأطراف في دورتها الثانية في عام 2008 في الفقرة 2,1 من الفصل الثاني في وثيقة التوجيهات التنفيذية لتطبيق الاتفاقية.</w:t>
      </w:r>
      <w:r w:rsidRPr="005F7039">
        <w:rPr>
          <w:sz w:val="24"/>
          <w:szCs w:val="24"/>
          <w:lang w:val="fr-FR"/>
        </w:rPr>
        <w:t xml:space="preserve"> </w:t>
      </w:r>
      <w:r w:rsidRPr="004146FA">
        <w:rPr>
          <w:sz w:val="24"/>
          <w:szCs w:val="24"/>
          <w:rtl/>
        </w:rPr>
        <w:t xml:space="preserve">وقد أعد مشروع الخطة الذي قدمته اللجنة في قرارها </w:t>
      </w:r>
      <w:r w:rsidRPr="005F7039">
        <w:rPr>
          <w:sz w:val="24"/>
          <w:szCs w:val="24"/>
          <w:lang w:val="fr-FR"/>
        </w:rPr>
        <w:t>10.COM 8</w:t>
      </w:r>
      <w:r w:rsidRPr="004146FA">
        <w:rPr>
          <w:sz w:val="24"/>
          <w:szCs w:val="24"/>
          <w:rtl/>
        </w:rPr>
        <w:t>، والذي يرد في ملحق هذه الوثيقة، بما يتماشى مع هذه التوجيهات التنفيذية واستناداً إلى تجربة تنفيذ الخطة الخاصة بفترتي العامين 2012-2013 و2014-2015.</w:t>
      </w:r>
      <w:r w:rsidRPr="005F7039">
        <w:rPr>
          <w:sz w:val="24"/>
          <w:szCs w:val="24"/>
          <w:lang w:val="fr-FR"/>
        </w:rPr>
        <w:t xml:space="preserve"> </w:t>
      </w:r>
      <w:r w:rsidRPr="004146FA">
        <w:rPr>
          <w:sz w:val="24"/>
          <w:szCs w:val="24"/>
          <w:rtl/>
        </w:rPr>
        <w:t xml:space="preserve">ويرد التقرير المالي للفترة الممتدّة من 1 كانون الثاني/يناير 2014 إلى 31 كانون الأول/ديسمبر 2015 في الوثيقة </w:t>
      </w:r>
      <w:r w:rsidRPr="00523383">
        <w:rPr>
          <w:sz w:val="24"/>
          <w:szCs w:val="24"/>
          <w:lang w:val="fr-FR"/>
        </w:rPr>
        <w:t>ITH/16/6.GA/INF.9.1</w:t>
      </w:r>
      <w:r w:rsidRPr="00356ADA">
        <w:rPr>
          <w:sz w:val="24"/>
          <w:szCs w:val="24"/>
          <w:rtl/>
        </w:rPr>
        <w:t>،</w:t>
      </w:r>
      <w:r w:rsidRPr="004146FA">
        <w:rPr>
          <w:sz w:val="24"/>
          <w:szCs w:val="24"/>
          <w:rtl/>
        </w:rPr>
        <w:t xml:space="preserve"> إلى جانب مذكرة تفسيرية.</w:t>
      </w:r>
    </w:p>
    <w:p w:rsidR="00680D8C" w:rsidRPr="005F7039" w:rsidRDefault="00680D8C" w:rsidP="004146FA">
      <w:pPr>
        <w:pStyle w:val="5GAparabodytext"/>
        <w:rPr>
          <w:sz w:val="24"/>
          <w:szCs w:val="24"/>
          <w:lang w:val="fr-FR"/>
        </w:rPr>
      </w:pPr>
      <w:proofErr w:type="gramStart"/>
      <w:r w:rsidRPr="004146FA">
        <w:rPr>
          <w:sz w:val="24"/>
          <w:szCs w:val="24"/>
          <w:rtl/>
        </w:rPr>
        <w:t>ومع</w:t>
      </w:r>
      <w:proofErr w:type="gramEnd"/>
      <w:r w:rsidRPr="004146FA">
        <w:rPr>
          <w:sz w:val="24"/>
          <w:szCs w:val="24"/>
          <w:rtl/>
        </w:rPr>
        <w:t xml:space="preserve"> أن برامج اليونسكو أصبحت تحدد لفترات مدة كل منها أربعة أعوام، فإن المؤتمر العام قرّر الإبقاء على دورة العامين فيما يتعلق بتخصيص الميزانية العادية </w:t>
      </w:r>
      <w:r w:rsidRPr="005F7039">
        <w:rPr>
          <w:sz w:val="24"/>
          <w:szCs w:val="24"/>
          <w:lang w:val="fr-FR"/>
        </w:rPr>
        <w:t>(</w:t>
      </w:r>
      <w:hyperlink r:id="rId9" w:history="1">
        <w:r w:rsidRPr="005F7039">
          <w:rPr>
            <w:rStyle w:val="Hyperlink"/>
            <w:sz w:val="24"/>
            <w:szCs w:val="24"/>
            <w:lang w:val="fr-FR"/>
          </w:rPr>
          <w:t>36 C/</w:t>
        </w:r>
        <w:proofErr w:type="spellStart"/>
        <w:r w:rsidRPr="005F7039">
          <w:rPr>
            <w:rStyle w:val="Hyperlink"/>
            <w:sz w:val="24"/>
            <w:szCs w:val="24"/>
            <w:lang w:val="fr-FR"/>
          </w:rPr>
          <w:t>Resolution</w:t>
        </w:r>
        <w:proofErr w:type="spellEnd"/>
        <w:r w:rsidRPr="005F7039">
          <w:rPr>
            <w:rStyle w:val="Hyperlink"/>
            <w:sz w:val="24"/>
            <w:szCs w:val="24"/>
            <w:lang w:val="fr-FR"/>
          </w:rPr>
          <w:t> 105</w:t>
        </w:r>
      </w:hyperlink>
      <w:r w:rsidRPr="005F7039">
        <w:rPr>
          <w:sz w:val="24"/>
          <w:szCs w:val="24"/>
          <w:lang w:val="fr-FR"/>
        </w:rPr>
        <w:t>)</w:t>
      </w:r>
      <w:r w:rsidRPr="004146FA">
        <w:rPr>
          <w:sz w:val="24"/>
          <w:szCs w:val="24"/>
          <w:rtl/>
        </w:rPr>
        <w:t>. ولذا فإنّ المؤتمر العام سيستمرّ في الموافقة على الميزانية العادية في نهاية كل سنة فردية، وستشمل هذه الميزانية سنتين متتاليتين ابتداء من 1 كانون الثاني/يناير من كل سنة زوجية وانتهاء بيوم 31 كانون الأول/ديسمبر من السنة الفردية التالية.</w:t>
      </w:r>
      <w:r w:rsidRPr="005F7039">
        <w:rPr>
          <w:sz w:val="24"/>
          <w:szCs w:val="24"/>
          <w:lang w:val="fr-FR"/>
        </w:rPr>
        <w:t xml:space="preserve"> </w:t>
      </w:r>
      <w:r w:rsidRPr="004146FA">
        <w:rPr>
          <w:sz w:val="24"/>
          <w:szCs w:val="24"/>
          <w:rtl/>
        </w:rPr>
        <w:t>ويعمل الصندوق على أساس الفترة المالية نفسها، وفقاً للمادة 2 من نظامه المالي.</w:t>
      </w:r>
      <w:r w:rsidRPr="005F7039">
        <w:rPr>
          <w:sz w:val="24"/>
          <w:szCs w:val="24"/>
          <w:lang w:val="fr-FR"/>
        </w:rPr>
        <w:t xml:space="preserve"> </w:t>
      </w:r>
      <w:r w:rsidRPr="004146FA">
        <w:rPr>
          <w:sz w:val="24"/>
          <w:szCs w:val="24"/>
          <w:rtl/>
        </w:rPr>
        <w:t>ولكن الجمعية العامة للدول الأطراف في الاتفاقية تجتمع في دورات عادية خلال السنوات الزوجية، أي بعد بداية الفترة المالية بستة أشهر تقريباً.</w:t>
      </w:r>
    </w:p>
    <w:p w:rsidR="00680D8C" w:rsidRPr="005F7039" w:rsidRDefault="00680D8C" w:rsidP="008818F9">
      <w:pPr>
        <w:pStyle w:val="5GAparabodytext"/>
        <w:rPr>
          <w:sz w:val="24"/>
          <w:szCs w:val="24"/>
          <w:lang w:val="fr-FR"/>
        </w:rPr>
      </w:pPr>
      <w:r w:rsidRPr="004146FA">
        <w:rPr>
          <w:sz w:val="24"/>
          <w:szCs w:val="24"/>
          <w:rtl/>
        </w:rPr>
        <w:t>ولذلك يُطلب من الجمعية العامة أن توافق، في دورتها السادسة التي ستُعقد في حزيران/يونيو عام 2016، على خطة لاستخدام موارد الصندوق تشمل أربعة وعشرين شهراً من 1 كانون الثاني/يناير 2016 إلى 31 كانون الأول/ديسمبر 2017، كما تشمل على أساس مؤقت الأشهر الستة الأولى من الفترة المالية التالية، أي الفترة الممتدة من 1 كانون الثاني/يناير</w:t>
      </w:r>
      <w:r w:rsidR="008818F9" w:rsidRPr="00523383">
        <w:rPr>
          <w:sz w:val="24"/>
          <w:szCs w:val="24"/>
          <w:lang w:val="fr-FR"/>
        </w:rPr>
        <w:t xml:space="preserve"> 2018</w:t>
      </w:r>
      <w:r w:rsidRPr="004146FA">
        <w:rPr>
          <w:sz w:val="24"/>
          <w:szCs w:val="24"/>
          <w:rtl/>
        </w:rPr>
        <w:t xml:space="preserve"> إلى 30 حزيران/يونيو 2018، والتي تسبق انعقاد الدورة السابعة للجمعية العامة.</w:t>
      </w:r>
      <w:r w:rsidRPr="005F7039">
        <w:rPr>
          <w:sz w:val="24"/>
          <w:szCs w:val="24"/>
          <w:lang w:val="fr-FR"/>
        </w:rPr>
        <w:t xml:space="preserve"> </w:t>
      </w:r>
      <w:r w:rsidRPr="004146FA">
        <w:rPr>
          <w:sz w:val="24"/>
          <w:szCs w:val="24"/>
          <w:rtl/>
        </w:rPr>
        <w:t>وستحل هذه الخطة، بعد اعتمادها في الدورة السادسة للجمعية العامة (</w:t>
      </w:r>
      <w:hyperlink r:id="rId10" w:history="1">
        <w:r w:rsidRPr="004146FA">
          <w:rPr>
            <w:rStyle w:val="Hyperlink"/>
            <w:sz w:val="24"/>
            <w:szCs w:val="24"/>
            <w:rtl/>
          </w:rPr>
          <w:t>القرار</w:t>
        </w:r>
        <w:r w:rsidR="008818F9" w:rsidRPr="00523383">
          <w:rPr>
            <w:rStyle w:val="Hyperlink"/>
            <w:sz w:val="24"/>
            <w:szCs w:val="24"/>
            <w:lang w:val="fr-FR"/>
          </w:rPr>
          <w:t>5.</w:t>
        </w:r>
        <w:r w:rsidRPr="005F7039">
          <w:rPr>
            <w:rStyle w:val="Hyperlink"/>
            <w:sz w:val="24"/>
            <w:szCs w:val="24"/>
            <w:lang w:val="fr-FR"/>
          </w:rPr>
          <w:t>GA 7</w:t>
        </w:r>
      </w:hyperlink>
      <w:proofErr w:type="gramStart"/>
      <w:r w:rsidRPr="004146FA">
        <w:rPr>
          <w:sz w:val="24"/>
          <w:szCs w:val="24"/>
          <w:rtl/>
        </w:rPr>
        <w:t>)،</w:t>
      </w:r>
      <w:proofErr w:type="gramEnd"/>
      <w:r w:rsidRPr="004146FA">
        <w:rPr>
          <w:sz w:val="24"/>
          <w:szCs w:val="24"/>
          <w:rtl/>
        </w:rPr>
        <w:t xml:space="preserve"> محل الميزانية المؤقتة للنصف الأول من عام 2016 التي اعتمدت في الدورة الخامسة للجمعية العامة.</w:t>
      </w:r>
    </w:p>
    <w:p w:rsidR="00680D8C" w:rsidRPr="00F93B47" w:rsidRDefault="00680D8C" w:rsidP="00F93B47">
      <w:pPr>
        <w:pStyle w:val="5GAparabodytext"/>
        <w:rPr>
          <w:lang w:val="fr-FR"/>
        </w:rPr>
      </w:pPr>
      <w:r w:rsidRPr="004146FA">
        <w:rPr>
          <w:rtl/>
        </w:rPr>
        <w:t xml:space="preserve">وتستند الخطة التي قدمتها اللجنة </w:t>
      </w:r>
      <w:r w:rsidR="0053259A">
        <w:rPr>
          <w:rFonts w:hint="cs"/>
          <w:rtl/>
        </w:rPr>
        <w:t>عل</w:t>
      </w:r>
      <w:r w:rsidR="0053259A" w:rsidRPr="004146FA">
        <w:rPr>
          <w:rtl/>
        </w:rPr>
        <w:t xml:space="preserve">ى </w:t>
      </w:r>
      <w:r w:rsidR="008818F9" w:rsidRPr="004146FA">
        <w:rPr>
          <w:rtl/>
        </w:rPr>
        <w:t>رصيد</w:t>
      </w:r>
      <w:r w:rsidR="0053259A">
        <w:rPr>
          <w:rFonts w:hint="cs"/>
          <w:rtl/>
        </w:rPr>
        <w:t xml:space="preserve"> </w:t>
      </w:r>
      <w:r w:rsidR="0053259A">
        <w:rPr>
          <w:rFonts w:hint="cs"/>
          <w:rtl/>
          <w:lang w:bidi="ar-SA"/>
        </w:rPr>
        <w:t xml:space="preserve">صندوق </w:t>
      </w:r>
      <w:r w:rsidR="0053259A" w:rsidRPr="004146FA">
        <w:rPr>
          <w:rtl/>
        </w:rPr>
        <w:t>الاعتمادات غير المقيدة بأغراض محد</w:t>
      </w:r>
      <w:proofErr w:type="gramStart"/>
      <w:r w:rsidR="0053259A" w:rsidRPr="004146FA">
        <w:rPr>
          <w:rtl/>
        </w:rPr>
        <w:t xml:space="preserve">دة </w:t>
      </w:r>
      <w:r w:rsidRPr="004146FA">
        <w:rPr>
          <w:rtl/>
        </w:rPr>
        <w:t>الذي ك</w:t>
      </w:r>
      <w:proofErr w:type="gramEnd"/>
      <w:r w:rsidRPr="004146FA">
        <w:rPr>
          <w:rtl/>
        </w:rPr>
        <w:t xml:space="preserve">ان متوافراً في 31 كانون الأول/ديسمبر 2015 </w:t>
      </w:r>
      <w:r w:rsidRPr="00356ADA">
        <w:rPr>
          <w:rtl/>
        </w:rPr>
        <w:t>(</w:t>
      </w:r>
      <w:r w:rsidRPr="00523383">
        <w:rPr>
          <w:rtl/>
        </w:rPr>
        <w:t>920 977 7 دولاراً أمريكياً</w:t>
      </w:r>
      <w:r w:rsidRPr="00356ADA">
        <w:rPr>
          <w:rtl/>
        </w:rPr>
        <w:t>).</w:t>
      </w:r>
      <w:r w:rsidRPr="005F7039">
        <w:rPr>
          <w:lang w:val="fr-FR"/>
        </w:rPr>
        <w:t xml:space="preserve"> </w:t>
      </w:r>
      <w:r w:rsidRPr="004146FA">
        <w:rPr>
          <w:rtl/>
        </w:rPr>
        <w:t>ولا تندرج في هذا المبلغ الإجمالي ثلاثة أنواع من الموارد المقيدة بأغراض محددة، وهي التالية:</w:t>
      </w:r>
      <w:r w:rsidRPr="005F7039">
        <w:rPr>
          <w:lang w:val="fr-FR"/>
        </w:rPr>
        <w:t xml:space="preserve"> </w:t>
      </w:r>
      <w:r w:rsidRPr="004146FA">
        <w:rPr>
          <w:rtl/>
        </w:rPr>
        <w:t xml:space="preserve">أولاً، المبلغ الاحتياطي الذي يُستخدم لتلبية طلبات المساعدة الدولية في حالات </w:t>
      </w:r>
      <w:r w:rsidR="00356ADA">
        <w:rPr>
          <w:rFonts w:hint="cs"/>
          <w:rtl/>
          <w:lang w:bidi="ar-SA"/>
        </w:rPr>
        <w:t>الاستعجال القصوى</w:t>
      </w:r>
      <w:r w:rsidR="00356ADA" w:rsidRPr="004146FA">
        <w:rPr>
          <w:rtl/>
        </w:rPr>
        <w:t xml:space="preserve"> </w:t>
      </w:r>
      <w:r w:rsidRPr="004146FA">
        <w:rPr>
          <w:rtl/>
        </w:rPr>
        <w:t xml:space="preserve">(انظر المادة 6 من النظام المالي للصندوق)؛ وثانياً، المساهمات المخصصة التي تُقدم لأغراض </w:t>
      </w:r>
      <w:r w:rsidR="00637F96">
        <w:rPr>
          <w:rFonts w:hint="cs"/>
          <w:rtl/>
        </w:rPr>
        <w:t xml:space="preserve">خاصة </w:t>
      </w:r>
      <w:r w:rsidRPr="004146FA">
        <w:rPr>
          <w:rtl/>
        </w:rPr>
        <w:t xml:space="preserve">تتعلق بمشروعات محددة (انظر المادة 25.5 من الاتفاقية)؛ وثالثاً، الصندوق الفرعي الذي </w:t>
      </w:r>
      <w:r w:rsidR="00356ADA" w:rsidRPr="00523383">
        <w:rPr>
          <w:rtl/>
        </w:rPr>
        <w:t>يستخدم سوى لتعزيز القدرات البشرية للأمانة</w:t>
      </w:r>
      <w:r w:rsidR="00356ADA" w:rsidRPr="00356ADA" w:rsidDel="00356ADA">
        <w:rPr>
          <w:sz w:val="24"/>
          <w:szCs w:val="24"/>
          <w:rtl/>
        </w:rPr>
        <w:t xml:space="preserve"> </w:t>
      </w:r>
      <w:r w:rsidRPr="004146FA">
        <w:rPr>
          <w:rtl/>
        </w:rPr>
        <w:t xml:space="preserve">، طبقاً للقرار </w:t>
      </w:r>
      <w:r w:rsidRPr="00F93B47">
        <w:rPr>
          <w:lang w:val="fr-FR"/>
        </w:rPr>
        <w:t>3.GA 9</w:t>
      </w:r>
      <w:r w:rsidRPr="004146FA">
        <w:rPr>
          <w:rtl/>
        </w:rPr>
        <w:t>.</w:t>
      </w:r>
    </w:p>
    <w:p w:rsidR="00680D8C" w:rsidRPr="005F7039" w:rsidRDefault="00680D8C" w:rsidP="00F34E21">
      <w:pPr>
        <w:pStyle w:val="5GAparabodytext"/>
        <w:rPr>
          <w:b/>
          <w:sz w:val="24"/>
          <w:szCs w:val="24"/>
          <w:lang w:val="fr-FR"/>
        </w:rPr>
      </w:pPr>
      <w:r w:rsidRPr="004146FA">
        <w:rPr>
          <w:sz w:val="24"/>
          <w:szCs w:val="24"/>
          <w:rtl/>
        </w:rPr>
        <w:t xml:space="preserve">وتتضمن الميزانية المقدمة في مشروع الخطة الواردة في الملحق أدناه أموالاً مخصصة في كل </w:t>
      </w:r>
      <w:r w:rsidR="00F34E21" w:rsidRPr="00523383">
        <w:rPr>
          <w:sz w:val="24"/>
          <w:szCs w:val="24"/>
          <w:rtl/>
        </w:rPr>
        <w:t>بند</w:t>
      </w:r>
      <w:r w:rsidR="00F34E21" w:rsidRPr="00F34E21">
        <w:rPr>
          <w:sz w:val="24"/>
          <w:szCs w:val="24"/>
          <w:rtl/>
        </w:rPr>
        <w:t xml:space="preserve"> </w:t>
      </w:r>
      <w:r w:rsidRPr="004146FA">
        <w:rPr>
          <w:sz w:val="24"/>
          <w:szCs w:val="24"/>
          <w:rtl/>
        </w:rPr>
        <w:t>بحسب النسب المئوية للموارد الإجمالية المتوافرة، لا بحسب الأرقام المطلقة. والغرض من ذلك هو تمكين اللجنة من استخدام أي مساهمات طوعية إضافية كبيرة غير مقيدة بأغراض محددة (وفقاً لما تنص عليه المادة 27) قد يتم إيداعها في الصندوق خلال فترة العامين.</w:t>
      </w:r>
      <w:r w:rsidRPr="005F7039">
        <w:rPr>
          <w:sz w:val="24"/>
          <w:szCs w:val="24"/>
          <w:lang w:val="fr-FR"/>
        </w:rPr>
        <w:t xml:space="preserve"> </w:t>
      </w:r>
      <w:r w:rsidRPr="004146FA">
        <w:rPr>
          <w:sz w:val="24"/>
          <w:szCs w:val="24"/>
          <w:rtl/>
        </w:rPr>
        <w:t>ومراعاةً لاحتمال وجود رغبة لدى إحدى الجهات المانحة في تقديم مبلغ إضافي كبير، يُقترح أن تأذن الجمعية العامة للجنة، مثلما فعلت في دوراتها السابقة، بأن تستخدم أي مساهمات من هذا النوع فور تلقيها، وذلك وفقاً للنسب المئوية المبينة في الخطة.</w:t>
      </w:r>
    </w:p>
    <w:p w:rsidR="00680D8C" w:rsidRPr="005F7039" w:rsidRDefault="00680D8C" w:rsidP="004146FA">
      <w:pPr>
        <w:pStyle w:val="5GAparabodytext"/>
        <w:rPr>
          <w:sz w:val="24"/>
          <w:szCs w:val="24"/>
          <w:lang w:val="fr-FR"/>
        </w:rPr>
      </w:pPr>
      <w:r w:rsidRPr="004146FA">
        <w:rPr>
          <w:sz w:val="24"/>
          <w:szCs w:val="24"/>
          <w:rtl/>
        </w:rPr>
        <w:t>وتخوّل الاتفاقية إلى اللجنة أيضاً الحق في أن "تقبل المساهمات وغيرها من أشكال المساعدة التي تُقدم لأغراض عامة أو خاصة تتعلق بمشروعات محددة، شريطة موافقة اللجنة على هذه المشروعات" (المادة 25.5) والتي يُشار إليها بالمساهمات "المخصصة". وسعياً إلى ضمان استخدام هذه المساهمات استخداماً استراتيجياً وفعالاً، يُقترح أيضاً أن تأذن الجمعية العامة للجنة، مثلما فعلت في دوراتها السابقة، بأن تستخدم هذه المساهمات فوراً، شريطة موافقة اللجنة على المشروعات المعنية قبل تلقي الأموال.</w:t>
      </w:r>
      <w:r w:rsidRPr="005F7039">
        <w:rPr>
          <w:b/>
          <w:sz w:val="24"/>
          <w:szCs w:val="24"/>
          <w:lang w:val="fr-FR"/>
        </w:rPr>
        <w:t xml:space="preserve"> </w:t>
      </w:r>
    </w:p>
    <w:p w:rsidR="00680D8C" w:rsidRPr="005F7039" w:rsidRDefault="00680D8C" w:rsidP="00020AC8">
      <w:pPr>
        <w:pStyle w:val="5GAparabodytext"/>
        <w:rPr>
          <w:sz w:val="24"/>
          <w:szCs w:val="24"/>
          <w:lang w:val="fr-FR"/>
        </w:rPr>
      </w:pPr>
      <w:r w:rsidRPr="004146FA">
        <w:rPr>
          <w:sz w:val="24"/>
          <w:szCs w:val="24"/>
          <w:rtl/>
        </w:rPr>
        <w:t xml:space="preserve">وفي سياق الفاعلية ذاته، تجدر الإشارة إلى اتخاذ اللجنة، في دورتها التاسعة، خطوة إضافية تتمثّل في المصادقة على المذكرة </w:t>
      </w:r>
      <w:proofErr w:type="spellStart"/>
      <w:r w:rsidRPr="004146FA">
        <w:rPr>
          <w:sz w:val="24"/>
          <w:szCs w:val="24"/>
          <w:rtl/>
        </w:rPr>
        <w:t>المفاهيمية</w:t>
      </w:r>
      <w:proofErr w:type="spellEnd"/>
      <w:r w:rsidRPr="004146FA">
        <w:rPr>
          <w:sz w:val="24"/>
          <w:szCs w:val="24"/>
          <w:rtl/>
        </w:rPr>
        <w:t xml:space="preserve"> الخاصة بالبرنامج الإضافي التكميلي لفترة </w:t>
      </w:r>
      <w:r w:rsidR="00F93B47" w:rsidRPr="004146FA">
        <w:rPr>
          <w:sz w:val="24"/>
          <w:szCs w:val="24"/>
          <w:rtl/>
        </w:rPr>
        <w:t>20</w:t>
      </w:r>
      <w:r w:rsidR="00F93B47">
        <w:rPr>
          <w:rFonts w:hint="cs"/>
          <w:sz w:val="24"/>
          <w:szCs w:val="24"/>
          <w:rtl/>
        </w:rPr>
        <w:t>17</w:t>
      </w:r>
      <w:r w:rsidRPr="004146FA">
        <w:rPr>
          <w:sz w:val="24"/>
          <w:szCs w:val="24"/>
          <w:rtl/>
        </w:rPr>
        <w:t>-2014 وعنوانها "تعزيز القدرات لصون التراث الثقافي غير المادي للتنمية المستدامة (</w:t>
      </w:r>
      <w:hyperlink r:id="rId11" w:history="1">
        <w:r w:rsidRPr="004146FA">
          <w:rPr>
            <w:rStyle w:val="Hyperlink"/>
            <w:sz w:val="24"/>
            <w:szCs w:val="24"/>
            <w:rtl/>
          </w:rPr>
          <w:t>القرار</w:t>
        </w:r>
        <w:r w:rsidR="00020AC8" w:rsidRPr="00523383">
          <w:rPr>
            <w:rStyle w:val="Hyperlink"/>
            <w:sz w:val="24"/>
            <w:szCs w:val="24"/>
            <w:lang w:val="fr-FR"/>
          </w:rPr>
          <w:t>7</w:t>
        </w:r>
        <w:r w:rsidRPr="004146FA">
          <w:rPr>
            <w:rStyle w:val="Hyperlink"/>
            <w:sz w:val="24"/>
            <w:szCs w:val="24"/>
            <w:rtl/>
          </w:rPr>
          <w:t xml:space="preserve"> </w:t>
        </w:r>
        <w:r w:rsidR="00020AC8" w:rsidRPr="00523383">
          <w:rPr>
            <w:rStyle w:val="Hyperlink"/>
            <w:sz w:val="24"/>
            <w:szCs w:val="24"/>
            <w:lang w:val="fr-FR"/>
          </w:rPr>
          <w:t>9.</w:t>
        </w:r>
        <w:proofErr w:type="gramStart"/>
        <w:r w:rsidRPr="005F7039">
          <w:rPr>
            <w:rStyle w:val="Hyperlink"/>
            <w:sz w:val="24"/>
            <w:szCs w:val="24"/>
            <w:lang w:val="fr-FR"/>
          </w:rPr>
          <w:t>COM </w:t>
        </w:r>
        <w:proofErr w:type="gramEnd"/>
      </w:hyperlink>
      <w:r w:rsidRPr="004146FA">
        <w:rPr>
          <w:sz w:val="24"/>
          <w:szCs w:val="24"/>
          <w:rtl/>
        </w:rPr>
        <w:t xml:space="preserve">) التي أعدّتها الأمانة لتوسيع نطاق وفاعلية </w:t>
      </w:r>
      <w:proofErr w:type="spellStart"/>
      <w:r w:rsidRPr="004146FA">
        <w:rPr>
          <w:sz w:val="24"/>
          <w:szCs w:val="24"/>
          <w:rtl/>
        </w:rPr>
        <w:t>الإستراتيجية</w:t>
      </w:r>
      <w:proofErr w:type="spellEnd"/>
      <w:r w:rsidRPr="004146FA">
        <w:rPr>
          <w:sz w:val="24"/>
          <w:szCs w:val="24"/>
          <w:rtl/>
        </w:rPr>
        <w:t xml:space="preserve"> العالمية لبناء القدرات وإعلام المانحين بشروط تمويل هذا البرنامج. فلضمان تشارك اللجنة – بصفتها الهيئة الإدارية التي تقرّر كيفية استخدام موارد صندوق صون التراث الثقافي غير المادي – والمؤتمر العام للدول الأعضاء – بصفتها الهيئة الإدارية لليونسكو التي تحدّد السياسات والخطوط الرئيسية لعمل المنظمة – في نفس الرؤية بشأن أولويات عمل اليونسكو في مجال التراث الثقافي غير المادي، رأت اللجنة من المناسب الموافقة على الإطار </w:t>
      </w:r>
      <w:proofErr w:type="spellStart"/>
      <w:r w:rsidRPr="004146FA">
        <w:rPr>
          <w:sz w:val="24"/>
          <w:szCs w:val="24"/>
          <w:rtl/>
        </w:rPr>
        <w:t>البرنامجي</w:t>
      </w:r>
      <w:proofErr w:type="spellEnd"/>
      <w:r w:rsidRPr="004146FA">
        <w:rPr>
          <w:sz w:val="24"/>
          <w:szCs w:val="24"/>
          <w:rtl/>
        </w:rPr>
        <w:t xml:space="preserve"> الوارد بالبرنامج الإضافي التكميلي طالما كان في اتساق كامل مع البرنامج العادي. كما قبلت اللجنة في نفس القرار كلّ المساهمات الطوعية الإضافية التي قد تقدّم بين دورات اللجنة لدعم أنشطة بناء القدرات في حدود نطاق الإطار </w:t>
      </w:r>
      <w:proofErr w:type="spellStart"/>
      <w:r w:rsidRPr="004146FA">
        <w:rPr>
          <w:sz w:val="24"/>
          <w:szCs w:val="24"/>
          <w:rtl/>
        </w:rPr>
        <w:t>البرنامجي</w:t>
      </w:r>
      <w:proofErr w:type="spellEnd"/>
      <w:r w:rsidRPr="004146FA">
        <w:rPr>
          <w:sz w:val="24"/>
          <w:szCs w:val="24"/>
          <w:rtl/>
        </w:rPr>
        <w:t xml:space="preserve"> وأذنت للأمانة بأن تستخدم هذه المساهمات فورا تلقّيها وطلبت منها تقديم تقرير بشأن تقدّم تنفيذ أية مساهمة إضافية طوعية تستلمها منذ انعقاد دورتها الأخيرة. </w:t>
      </w:r>
    </w:p>
    <w:p w:rsidR="00680D8C" w:rsidRPr="005F7039" w:rsidRDefault="00680D8C" w:rsidP="00E95CD0">
      <w:pPr>
        <w:pStyle w:val="5GAparabodytext"/>
        <w:rPr>
          <w:sz w:val="24"/>
          <w:szCs w:val="24"/>
          <w:lang w:val="fr-FR"/>
        </w:rPr>
      </w:pPr>
      <w:r w:rsidRPr="004146FA">
        <w:rPr>
          <w:sz w:val="24"/>
          <w:szCs w:val="24"/>
          <w:rtl/>
        </w:rPr>
        <w:t xml:space="preserve">وترد </w:t>
      </w:r>
      <w:proofErr w:type="gramStart"/>
      <w:r w:rsidRPr="004146FA">
        <w:rPr>
          <w:sz w:val="24"/>
          <w:szCs w:val="24"/>
          <w:rtl/>
        </w:rPr>
        <w:t>قائمة</w:t>
      </w:r>
      <w:proofErr w:type="gramEnd"/>
      <w:r w:rsidRPr="004146FA">
        <w:rPr>
          <w:sz w:val="24"/>
          <w:szCs w:val="24"/>
          <w:rtl/>
        </w:rPr>
        <w:t xml:space="preserve"> المانحين وقيمة مساهماتهم في وثيقتي المعلومات </w:t>
      </w:r>
      <w:r w:rsidRPr="00523383">
        <w:rPr>
          <w:sz w:val="24"/>
          <w:szCs w:val="24"/>
          <w:lang w:val="fr-FR"/>
        </w:rPr>
        <w:t>ITH/16/6.GA/INF.9.1</w:t>
      </w:r>
      <w:r w:rsidRPr="004146FA">
        <w:rPr>
          <w:sz w:val="24"/>
          <w:szCs w:val="24"/>
          <w:rtl/>
        </w:rPr>
        <w:t xml:space="preserve"> </w:t>
      </w:r>
      <w:r w:rsidRPr="00020AC8">
        <w:rPr>
          <w:sz w:val="24"/>
          <w:szCs w:val="24"/>
          <w:rtl/>
        </w:rPr>
        <w:t>و</w:t>
      </w:r>
      <w:r w:rsidRPr="00523383">
        <w:rPr>
          <w:sz w:val="24"/>
          <w:szCs w:val="24"/>
          <w:lang w:val="fr-FR"/>
        </w:rPr>
        <w:t>ITH/16/6.GA/INF.9.2</w:t>
      </w:r>
      <w:r w:rsidRPr="00020AC8">
        <w:rPr>
          <w:sz w:val="24"/>
          <w:szCs w:val="24"/>
          <w:rtl/>
        </w:rPr>
        <w:t xml:space="preserve"> اللتين</w:t>
      </w:r>
      <w:r w:rsidRPr="004146FA">
        <w:rPr>
          <w:sz w:val="24"/>
          <w:szCs w:val="24"/>
          <w:rtl/>
        </w:rPr>
        <w:t xml:space="preserve"> تغطيان فترتين مختلفتين بعض الشيء: إذ يقدّم الملحق الأول من الوثيقة الأولى قائمة المساهمات الطوعية الواردة في إطار الأنشطة المخصصة للفترة الممتدّة من 1 كانون الثاني /يناير 2014 إلى 31 كانون الأول/ديسمبر 2015 في حين </w:t>
      </w:r>
      <w:r w:rsidRPr="004146FA">
        <w:rPr>
          <w:sz w:val="24"/>
          <w:szCs w:val="24"/>
          <w:rtl/>
        </w:rPr>
        <w:lastRenderedPageBreak/>
        <w:t xml:space="preserve">تشمل الوثيقة الثانية، من جملة أمور أخرى، قائمة المساهمات الواردة خلال الفترة الممتدة من </w:t>
      </w:r>
      <w:r w:rsidRPr="00523383">
        <w:rPr>
          <w:sz w:val="24"/>
          <w:szCs w:val="24"/>
          <w:rtl/>
        </w:rPr>
        <w:t>1 حزيران/يونيو 2014</w:t>
      </w:r>
      <w:r w:rsidRPr="004146FA">
        <w:rPr>
          <w:sz w:val="24"/>
          <w:szCs w:val="24"/>
          <w:rtl/>
        </w:rPr>
        <w:t xml:space="preserve"> إلى</w:t>
      </w:r>
      <w:r w:rsidR="00F34E21" w:rsidRPr="00523383">
        <w:rPr>
          <w:sz w:val="24"/>
          <w:szCs w:val="24"/>
          <w:lang w:val="fr-FR"/>
        </w:rPr>
        <w:t xml:space="preserve">31 </w:t>
      </w:r>
      <w:r w:rsidR="00E95CD0">
        <w:rPr>
          <w:rFonts w:hint="cs"/>
          <w:sz w:val="24"/>
          <w:szCs w:val="24"/>
          <w:rtl/>
        </w:rPr>
        <w:t> </w:t>
      </w:r>
      <w:r w:rsidR="00746FA4">
        <w:rPr>
          <w:rFonts w:hint="cs"/>
          <w:sz w:val="24"/>
          <w:szCs w:val="24"/>
          <w:rtl/>
        </w:rPr>
        <w:t>آذا</w:t>
      </w:r>
      <w:r w:rsidR="00E95CD0">
        <w:rPr>
          <w:rFonts w:hint="cs"/>
          <w:sz w:val="24"/>
          <w:szCs w:val="24"/>
          <w:rtl/>
        </w:rPr>
        <w:t xml:space="preserve">ر/مارس </w:t>
      </w:r>
      <w:r w:rsidR="00746FA4">
        <w:rPr>
          <w:rFonts w:hint="cs"/>
          <w:sz w:val="24"/>
          <w:szCs w:val="24"/>
          <w:rtl/>
        </w:rPr>
        <w:t>2016</w:t>
      </w:r>
      <w:r w:rsidR="00F34E21">
        <w:rPr>
          <w:rFonts w:hint="cs"/>
          <w:sz w:val="24"/>
          <w:szCs w:val="24"/>
          <w:rtl/>
        </w:rPr>
        <w:t xml:space="preserve"> </w:t>
      </w:r>
      <w:r w:rsidRPr="004146FA">
        <w:rPr>
          <w:sz w:val="24"/>
          <w:szCs w:val="24"/>
          <w:rtl/>
        </w:rPr>
        <w:t>وهي فترة تغطي الزمن الفاصل بين الدورتين الخامسة والسادسة للجمعية العامة وفقا للفقرة 77 من التوجيهات التنفيذية.</w:t>
      </w:r>
      <w:r w:rsidRPr="005F7039">
        <w:rPr>
          <w:sz w:val="24"/>
          <w:szCs w:val="24"/>
          <w:lang w:val="fr-FR"/>
        </w:rPr>
        <w:t xml:space="preserve"> </w:t>
      </w:r>
    </w:p>
    <w:p w:rsidR="00680D8C" w:rsidRPr="004146FA" w:rsidRDefault="00680D8C" w:rsidP="004146FA">
      <w:pPr>
        <w:pStyle w:val="Default"/>
        <w:keepNext/>
        <w:bidi/>
        <w:spacing w:before="360" w:after="120"/>
        <w:ind w:left="567"/>
        <w:jc w:val="both"/>
        <w:rPr>
          <w:rFonts w:ascii="Times New Roman" w:hAnsi="Times New Roman"/>
          <w:b/>
          <w:lang w:val="en-GB"/>
        </w:rPr>
      </w:pPr>
      <w:r w:rsidRPr="004146FA">
        <w:rPr>
          <w:bCs/>
          <w:rtl/>
          <w:lang w:bidi="ar-QA"/>
        </w:rPr>
        <w:t>بنود الميزانية ومخصصاتها</w:t>
      </w:r>
    </w:p>
    <w:p w:rsidR="00680D8C" w:rsidRPr="004146FA" w:rsidRDefault="00680D8C" w:rsidP="00E95CD0">
      <w:pPr>
        <w:pStyle w:val="5GAparabodytext"/>
        <w:rPr>
          <w:sz w:val="24"/>
          <w:szCs w:val="24"/>
        </w:rPr>
      </w:pPr>
      <w:r w:rsidRPr="004146FA">
        <w:rPr>
          <w:sz w:val="24"/>
          <w:szCs w:val="24"/>
          <w:rtl/>
        </w:rPr>
        <w:t>مقارنةً بالخطة الحالية لاستخدام موارد الصندوق، تظل بنود الميزانية متطابقة أساساً في نطاقها.</w:t>
      </w:r>
      <w:r w:rsidRPr="004146FA">
        <w:rPr>
          <w:sz w:val="24"/>
          <w:szCs w:val="24"/>
        </w:rPr>
        <w:t xml:space="preserve"> </w:t>
      </w:r>
      <w:r w:rsidRPr="004146FA">
        <w:rPr>
          <w:sz w:val="24"/>
          <w:szCs w:val="24"/>
          <w:rtl/>
        </w:rPr>
        <w:t xml:space="preserve">وتم في ثلاث حالات اقتراح زيادة أو خفض في النسب المئوية </w:t>
      </w:r>
      <w:r w:rsidR="00746FA4" w:rsidRPr="00523383">
        <w:rPr>
          <w:sz w:val="24"/>
          <w:szCs w:val="24"/>
          <w:rtl/>
        </w:rPr>
        <w:t>وتطبيقها على</w:t>
      </w:r>
      <w:r w:rsidR="00746FA4" w:rsidRPr="00523383">
        <w:rPr>
          <w:sz w:val="24"/>
          <w:szCs w:val="24"/>
          <w:rtl/>
          <w:lang w:bidi="ar"/>
        </w:rPr>
        <w:t xml:space="preserve"> </w:t>
      </w:r>
      <w:r w:rsidR="00746FA4" w:rsidRPr="00523383">
        <w:rPr>
          <w:sz w:val="24"/>
          <w:szCs w:val="24"/>
          <w:rtl/>
        </w:rPr>
        <w:t>رصيد الصندوق</w:t>
      </w:r>
      <w:r w:rsidR="00746FA4" w:rsidRPr="00523383">
        <w:rPr>
          <w:sz w:val="24"/>
          <w:szCs w:val="24"/>
          <w:rtl/>
          <w:lang w:bidi="ar"/>
        </w:rPr>
        <w:t xml:space="preserve"> </w:t>
      </w:r>
      <w:r w:rsidR="00746FA4" w:rsidRPr="00523383">
        <w:rPr>
          <w:sz w:val="24"/>
          <w:szCs w:val="24"/>
          <w:rtl/>
        </w:rPr>
        <w:t>اعتبارا من</w:t>
      </w:r>
      <w:r w:rsidR="00746FA4" w:rsidRPr="00523383">
        <w:rPr>
          <w:sz w:val="24"/>
          <w:szCs w:val="24"/>
          <w:rtl/>
          <w:lang w:bidi="ar"/>
        </w:rPr>
        <w:t xml:space="preserve"> 31</w:t>
      </w:r>
      <w:r w:rsidR="00746FA4">
        <w:rPr>
          <w:rFonts w:hint="cs"/>
          <w:sz w:val="24"/>
          <w:szCs w:val="24"/>
          <w:rtl/>
          <w:lang w:bidi="ar-SA"/>
        </w:rPr>
        <w:t xml:space="preserve"> كانون </w:t>
      </w:r>
      <w:r w:rsidR="00746FA4" w:rsidRPr="004146FA">
        <w:rPr>
          <w:sz w:val="24"/>
          <w:szCs w:val="24"/>
          <w:rtl/>
        </w:rPr>
        <w:t>الأول/</w:t>
      </w:r>
      <w:r w:rsidR="00746FA4" w:rsidRPr="00523383">
        <w:rPr>
          <w:sz w:val="24"/>
          <w:szCs w:val="24"/>
          <w:rtl/>
        </w:rPr>
        <w:t>ديسمبر 2015</w:t>
      </w:r>
      <w:r w:rsidR="00746FA4" w:rsidRPr="00523383">
        <w:rPr>
          <w:sz w:val="24"/>
          <w:szCs w:val="24"/>
          <w:rtl/>
          <w:lang w:bidi="ar"/>
        </w:rPr>
        <w:t xml:space="preserve"> </w:t>
      </w:r>
      <w:r w:rsidR="00746FA4" w:rsidRPr="00523383">
        <w:rPr>
          <w:sz w:val="24"/>
          <w:szCs w:val="24"/>
          <w:rtl/>
        </w:rPr>
        <w:t>أقل</w:t>
      </w:r>
      <w:r w:rsidR="00746FA4" w:rsidRPr="00523383">
        <w:rPr>
          <w:sz w:val="24"/>
          <w:szCs w:val="24"/>
          <w:rtl/>
          <w:lang w:bidi="ar"/>
        </w:rPr>
        <w:t xml:space="preserve"> </w:t>
      </w:r>
      <w:r w:rsidR="00746FA4" w:rsidRPr="00523383">
        <w:rPr>
          <w:sz w:val="24"/>
          <w:szCs w:val="24"/>
          <w:rtl/>
        </w:rPr>
        <w:t>من</w:t>
      </w:r>
      <w:r w:rsidR="00746FA4" w:rsidRPr="00523383">
        <w:rPr>
          <w:sz w:val="24"/>
          <w:szCs w:val="24"/>
          <w:rtl/>
          <w:lang w:bidi="ar"/>
        </w:rPr>
        <w:t xml:space="preserve"> </w:t>
      </w:r>
      <w:r w:rsidR="00746FA4" w:rsidRPr="00523383">
        <w:rPr>
          <w:sz w:val="24"/>
          <w:szCs w:val="24"/>
          <w:rtl/>
        </w:rPr>
        <w:t>المبلغ الذي</w:t>
      </w:r>
      <w:r w:rsidR="00746FA4" w:rsidRPr="00523383">
        <w:rPr>
          <w:sz w:val="24"/>
          <w:szCs w:val="24"/>
          <w:rtl/>
          <w:lang w:bidi="ar"/>
        </w:rPr>
        <w:t xml:space="preserve"> </w:t>
      </w:r>
      <w:r w:rsidR="00746FA4" w:rsidRPr="00523383">
        <w:rPr>
          <w:sz w:val="24"/>
          <w:szCs w:val="24"/>
          <w:rtl/>
        </w:rPr>
        <w:t>اقترحت اللجنة</w:t>
      </w:r>
      <w:r w:rsidR="00746FA4" w:rsidRPr="00523383">
        <w:rPr>
          <w:sz w:val="24"/>
          <w:szCs w:val="24"/>
          <w:rtl/>
          <w:lang w:bidi="ar"/>
        </w:rPr>
        <w:t xml:space="preserve"> </w:t>
      </w:r>
      <w:r w:rsidR="00746FA4" w:rsidRPr="00523383">
        <w:rPr>
          <w:sz w:val="24"/>
          <w:szCs w:val="24"/>
          <w:rtl/>
        </w:rPr>
        <w:t>أن ينقل إلى</w:t>
      </w:r>
      <w:r w:rsidR="00746FA4" w:rsidRPr="00523383">
        <w:rPr>
          <w:sz w:val="24"/>
          <w:szCs w:val="24"/>
          <w:rtl/>
          <w:lang w:bidi="ar"/>
        </w:rPr>
        <w:t xml:space="preserve"> </w:t>
      </w:r>
      <w:r w:rsidR="003A7DD7">
        <w:rPr>
          <w:rFonts w:hint="cs"/>
          <w:sz w:val="24"/>
          <w:szCs w:val="24"/>
          <w:rtl/>
          <w:lang w:bidi="ar-SA"/>
        </w:rPr>
        <w:t>ال</w:t>
      </w:r>
      <w:r w:rsidR="00746FA4" w:rsidRPr="00523383">
        <w:rPr>
          <w:sz w:val="24"/>
          <w:szCs w:val="24"/>
          <w:rtl/>
        </w:rPr>
        <w:t>صندوق الاحتياطي</w:t>
      </w:r>
      <w:r w:rsidR="00746FA4" w:rsidRPr="00523383">
        <w:rPr>
          <w:sz w:val="24"/>
          <w:szCs w:val="24"/>
          <w:rtl/>
          <w:lang w:bidi="ar"/>
        </w:rPr>
        <w:t xml:space="preserve"> (</w:t>
      </w:r>
      <w:r w:rsidR="00E95CD0">
        <w:rPr>
          <w:sz w:val="24"/>
          <w:szCs w:val="24"/>
          <w:lang w:bidi="ar"/>
        </w:rPr>
        <w:t>24 190</w:t>
      </w:r>
      <w:r w:rsidR="000D581A" w:rsidRPr="00523383">
        <w:rPr>
          <w:sz w:val="24"/>
          <w:szCs w:val="24"/>
          <w:rtl/>
        </w:rPr>
        <w:t xml:space="preserve"> دولاراً أمريكياً</w:t>
      </w:r>
      <w:r w:rsidR="000D581A">
        <w:rPr>
          <w:rFonts w:hint="cs"/>
          <w:sz w:val="24"/>
          <w:szCs w:val="24"/>
          <w:rtl/>
        </w:rPr>
        <w:t>)</w:t>
      </w:r>
      <w:r w:rsidR="00746FA4" w:rsidRPr="00523383">
        <w:rPr>
          <w:sz w:val="24"/>
          <w:szCs w:val="24"/>
          <w:rtl/>
          <w:lang w:bidi="ar"/>
        </w:rPr>
        <w:t xml:space="preserve"> </w:t>
      </w:r>
      <w:r w:rsidR="00746FA4" w:rsidRPr="00523383">
        <w:rPr>
          <w:sz w:val="24"/>
          <w:szCs w:val="24"/>
          <w:rtl/>
        </w:rPr>
        <w:t>من أجل</w:t>
      </w:r>
      <w:r w:rsidR="00746FA4" w:rsidRPr="00523383">
        <w:rPr>
          <w:sz w:val="24"/>
          <w:szCs w:val="24"/>
          <w:rtl/>
          <w:lang w:bidi="ar"/>
        </w:rPr>
        <w:t xml:space="preserve"> </w:t>
      </w:r>
      <w:r w:rsidR="00746FA4" w:rsidRPr="00523383">
        <w:rPr>
          <w:sz w:val="24"/>
          <w:szCs w:val="24"/>
          <w:rtl/>
        </w:rPr>
        <w:t>تحديد</w:t>
      </w:r>
      <w:r w:rsidR="00746FA4" w:rsidRPr="00523383">
        <w:rPr>
          <w:sz w:val="24"/>
          <w:szCs w:val="24"/>
          <w:rtl/>
          <w:lang w:bidi="ar"/>
        </w:rPr>
        <w:t xml:space="preserve"> </w:t>
      </w:r>
      <w:r w:rsidR="00746FA4" w:rsidRPr="00523383">
        <w:rPr>
          <w:sz w:val="24"/>
          <w:szCs w:val="24"/>
          <w:rtl/>
        </w:rPr>
        <w:t>مبلغها</w:t>
      </w:r>
      <w:r w:rsidR="00746FA4" w:rsidRPr="00523383">
        <w:rPr>
          <w:sz w:val="24"/>
          <w:szCs w:val="24"/>
          <w:rtl/>
          <w:lang w:bidi="ar"/>
        </w:rPr>
        <w:t xml:space="preserve"> </w:t>
      </w:r>
      <w:r w:rsidR="00746FA4" w:rsidRPr="00523383">
        <w:rPr>
          <w:sz w:val="24"/>
          <w:szCs w:val="24"/>
          <w:rtl/>
        </w:rPr>
        <w:t>الكلي</w:t>
      </w:r>
      <w:r w:rsidR="000D581A">
        <w:rPr>
          <w:rFonts w:hint="cs"/>
          <w:sz w:val="24"/>
          <w:szCs w:val="24"/>
          <w:rtl/>
        </w:rPr>
        <w:t xml:space="preserve"> إلى 1 مليون </w:t>
      </w:r>
      <w:r w:rsidR="000D581A" w:rsidRPr="00523383">
        <w:rPr>
          <w:sz w:val="24"/>
          <w:szCs w:val="24"/>
          <w:rtl/>
        </w:rPr>
        <w:t>دولاراً أمريكياً</w:t>
      </w:r>
      <w:r w:rsidR="000D581A">
        <w:rPr>
          <w:rFonts w:hint="cs"/>
          <w:sz w:val="24"/>
          <w:szCs w:val="24"/>
          <w:rtl/>
        </w:rPr>
        <w:t>.</w:t>
      </w:r>
      <w:r w:rsidRPr="004146FA">
        <w:rPr>
          <w:sz w:val="24"/>
          <w:szCs w:val="24"/>
        </w:rPr>
        <w:t xml:space="preserve"> </w:t>
      </w:r>
      <w:proofErr w:type="gramStart"/>
      <w:r w:rsidRPr="004146FA">
        <w:rPr>
          <w:sz w:val="24"/>
          <w:szCs w:val="24"/>
          <w:rtl/>
        </w:rPr>
        <w:t>ولكن</w:t>
      </w:r>
      <w:proofErr w:type="gramEnd"/>
      <w:r w:rsidRPr="004146FA">
        <w:rPr>
          <w:sz w:val="24"/>
          <w:szCs w:val="24"/>
          <w:rtl/>
        </w:rPr>
        <w:t>، نظراً إلى أنّ الرصيد الأولي الذي اعتُبر أساساً للخطة قد ازداد (</w:t>
      </w:r>
      <w:r w:rsidR="00E95CD0">
        <w:rPr>
          <w:rFonts w:hint="cs"/>
          <w:sz w:val="24"/>
          <w:szCs w:val="24"/>
          <w:rtl/>
        </w:rPr>
        <w:t>%</w:t>
      </w:r>
      <w:r w:rsidR="000D581A" w:rsidRPr="00E95CD0">
        <w:rPr>
          <w:rFonts w:hint="cs"/>
          <w:sz w:val="24"/>
          <w:szCs w:val="24"/>
          <w:rtl/>
        </w:rPr>
        <w:t>24</w:t>
      </w:r>
      <w:r w:rsidRPr="00523383">
        <w:rPr>
          <w:sz w:val="24"/>
          <w:szCs w:val="24"/>
          <w:rtl/>
        </w:rPr>
        <w:t xml:space="preserve"> من </w:t>
      </w:r>
      <w:r w:rsidR="000D581A" w:rsidRPr="00523383">
        <w:rPr>
          <w:sz w:val="24"/>
          <w:szCs w:val="24"/>
          <w:rtl/>
        </w:rPr>
        <w:t xml:space="preserve">هذا </w:t>
      </w:r>
      <w:r w:rsidRPr="00523383">
        <w:rPr>
          <w:sz w:val="24"/>
          <w:szCs w:val="24"/>
          <w:rtl/>
        </w:rPr>
        <w:t>الرصيد بتاريخ 31</w:t>
      </w:r>
      <w:r w:rsidR="00E95CD0" w:rsidRPr="00523383">
        <w:rPr>
          <w:rFonts w:hint="eastAsia"/>
          <w:sz w:val="24"/>
          <w:szCs w:val="24"/>
          <w:rtl/>
        </w:rPr>
        <w:t> </w:t>
      </w:r>
      <w:r w:rsidRPr="00523383">
        <w:rPr>
          <w:sz w:val="24"/>
          <w:szCs w:val="24"/>
          <w:rtl/>
        </w:rPr>
        <w:t>كانون الأول</w:t>
      </w:r>
      <w:r w:rsidR="00E95CD0" w:rsidRPr="00523383">
        <w:rPr>
          <w:sz w:val="24"/>
          <w:szCs w:val="24"/>
          <w:rtl/>
        </w:rPr>
        <w:t>/ديسمبر</w:t>
      </w:r>
      <w:r w:rsidRPr="00523383">
        <w:rPr>
          <w:sz w:val="24"/>
          <w:szCs w:val="24"/>
          <w:rtl/>
        </w:rPr>
        <w:t xml:space="preserve"> 2013</w:t>
      </w:r>
      <w:r w:rsidRPr="00E95CD0">
        <w:rPr>
          <w:sz w:val="24"/>
          <w:szCs w:val="24"/>
          <w:rtl/>
        </w:rPr>
        <w:t>)</w:t>
      </w:r>
      <w:r w:rsidRPr="004146FA">
        <w:rPr>
          <w:sz w:val="24"/>
          <w:szCs w:val="24"/>
          <w:rtl/>
        </w:rPr>
        <w:t xml:space="preserve">، فإنّ المخصصات الثابتة لجميع بنود الميزانية ستزيد، مع استثناء واحد يشار إليه أدناه </w:t>
      </w:r>
      <w:r w:rsidRPr="00E95CD0">
        <w:rPr>
          <w:sz w:val="24"/>
          <w:szCs w:val="24"/>
          <w:rtl/>
        </w:rPr>
        <w:t>(</w:t>
      </w:r>
      <w:r w:rsidRPr="00523383">
        <w:rPr>
          <w:sz w:val="24"/>
          <w:szCs w:val="24"/>
          <w:rtl/>
        </w:rPr>
        <w:t>في الفقرة 14</w:t>
      </w:r>
      <w:r w:rsidRPr="00E95CD0">
        <w:rPr>
          <w:sz w:val="24"/>
          <w:szCs w:val="24"/>
          <w:rtl/>
        </w:rPr>
        <w:t>)</w:t>
      </w:r>
      <w:r w:rsidRPr="004146FA">
        <w:rPr>
          <w:sz w:val="24"/>
          <w:szCs w:val="24"/>
          <w:rtl/>
        </w:rPr>
        <w:t>.</w:t>
      </w:r>
    </w:p>
    <w:p w:rsidR="00680D8C" w:rsidRPr="004146FA" w:rsidRDefault="00680D8C" w:rsidP="005A1423">
      <w:pPr>
        <w:pStyle w:val="5GAparabodytext"/>
        <w:rPr>
          <w:sz w:val="24"/>
          <w:szCs w:val="24"/>
        </w:rPr>
      </w:pPr>
      <w:r w:rsidRPr="004146FA">
        <w:rPr>
          <w:sz w:val="24"/>
          <w:szCs w:val="24"/>
          <w:rtl/>
        </w:rPr>
        <w:t xml:space="preserve">وتماشياً مع الأولويات المحددة في إطار المبادئ التوجيهية </w:t>
      </w:r>
      <w:r w:rsidR="005A1423">
        <w:rPr>
          <w:rFonts w:hint="cs"/>
          <w:sz w:val="24"/>
          <w:szCs w:val="24"/>
          <w:rtl/>
        </w:rPr>
        <w:t>بشأن ا</w:t>
      </w:r>
      <w:r w:rsidR="005A1423" w:rsidRPr="004146FA">
        <w:rPr>
          <w:sz w:val="24"/>
          <w:szCs w:val="24"/>
          <w:rtl/>
        </w:rPr>
        <w:t xml:space="preserve">ستخدام </w:t>
      </w:r>
      <w:r w:rsidRPr="004146FA">
        <w:rPr>
          <w:sz w:val="24"/>
          <w:szCs w:val="24"/>
          <w:rtl/>
        </w:rPr>
        <w:t>موارد الصندوق والواردة في الفقرة 2.1 من الفصل الثاني في وثيقة التوجيهات التنفيذية، يُقترح مرة أخرى تخصيص أغلبية الموارد (</w:t>
      </w:r>
      <w:r w:rsidR="005A1423">
        <w:rPr>
          <w:sz w:val="24"/>
          <w:szCs w:val="24"/>
        </w:rPr>
        <w:t>59%</w:t>
      </w:r>
      <w:r w:rsidRPr="004146FA">
        <w:rPr>
          <w:sz w:val="24"/>
          <w:szCs w:val="24"/>
          <w:rtl/>
        </w:rPr>
        <w:t xml:space="preserve">، </w:t>
      </w:r>
      <w:r w:rsidRPr="004146FA">
        <w:rPr>
          <w:b/>
          <w:bCs/>
          <w:sz w:val="24"/>
          <w:szCs w:val="24"/>
          <w:rtl/>
        </w:rPr>
        <w:t>البند 1 من الميزانية</w:t>
      </w:r>
      <w:r w:rsidRPr="004146FA">
        <w:rPr>
          <w:sz w:val="24"/>
          <w:szCs w:val="24"/>
          <w:rtl/>
        </w:rPr>
        <w:t>) لغرض تقديم المساعدة الدولية للدول الأطراف لدعم مجهوداتها الوطنية الرامية إلى صون التراث الثقافي غير المادي.</w:t>
      </w:r>
      <w:r w:rsidRPr="004146FA">
        <w:rPr>
          <w:sz w:val="24"/>
          <w:szCs w:val="24"/>
        </w:rPr>
        <w:t xml:space="preserve"> </w:t>
      </w:r>
      <w:proofErr w:type="gramStart"/>
      <w:r w:rsidRPr="004146FA">
        <w:rPr>
          <w:sz w:val="24"/>
          <w:szCs w:val="24"/>
          <w:rtl/>
        </w:rPr>
        <w:t>ورغم</w:t>
      </w:r>
      <w:proofErr w:type="gramEnd"/>
      <w:r w:rsidRPr="004146FA">
        <w:rPr>
          <w:sz w:val="24"/>
          <w:szCs w:val="24"/>
          <w:rtl/>
        </w:rPr>
        <w:t xml:space="preserve"> أنّ الأموال المتوافرة في إطار هذا البند لم تستخدم بالشكل الكافي بشكل كبير، قرّرت اللجنة في دورتها العاشرة زيادة النسبة المئوية للموارد للمخصّصة للمساعدة الدولية من </w:t>
      </w:r>
      <w:r w:rsidR="005A1423">
        <w:rPr>
          <w:sz w:val="24"/>
          <w:szCs w:val="24"/>
        </w:rPr>
        <w:t>%</w:t>
      </w:r>
      <w:r w:rsidRPr="004146FA">
        <w:rPr>
          <w:sz w:val="24"/>
          <w:szCs w:val="24"/>
          <w:rtl/>
        </w:rPr>
        <w:t xml:space="preserve">54 إلى </w:t>
      </w:r>
      <w:r w:rsidR="005A1423">
        <w:rPr>
          <w:sz w:val="24"/>
          <w:szCs w:val="24"/>
        </w:rPr>
        <w:t>59%</w:t>
      </w:r>
      <w:r w:rsidRPr="004146FA">
        <w:rPr>
          <w:sz w:val="24"/>
          <w:szCs w:val="24"/>
          <w:rtl/>
        </w:rPr>
        <w:t>.</w:t>
      </w:r>
      <w:r w:rsidRPr="004146FA">
        <w:rPr>
          <w:sz w:val="24"/>
          <w:szCs w:val="24"/>
        </w:rPr>
        <w:t xml:space="preserve"> </w:t>
      </w:r>
      <w:r w:rsidRPr="004146FA">
        <w:rPr>
          <w:sz w:val="24"/>
          <w:szCs w:val="24"/>
          <w:rtl/>
        </w:rPr>
        <w:t xml:space="preserve">وفي دورتها الأخيرة، فتحت قرارات اللجنة الباب أمام الإمكانيات المفصّلة في </w:t>
      </w:r>
      <w:r w:rsidRPr="00523383">
        <w:rPr>
          <w:sz w:val="24"/>
          <w:szCs w:val="24"/>
          <w:rtl/>
        </w:rPr>
        <w:t>الفقرتين 20 و21</w:t>
      </w:r>
      <w:r w:rsidRPr="004146FA">
        <w:rPr>
          <w:sz w:val="24"/>
          <w:szCs w:val="24"/>
          <w:rtl/>
        </w:rPr>
        <w:t xml:space="preserve"> من هذه الوثيقة والتي تمنح أملاً في عكس نزعة الاستخدام غير الكافي للموارد المتوافرة للمساعدة الدولية خلال فترة العامين الحالية.</w:t>
      </w:r>
    </w:p>
    <w:p w:rsidR="00680D8C" w:rsidRPr="004146FA" w:rsidRDefault="00680D8C" w:rsidP="001F40A6">
      <w:pPr>
        <w:pStyle w:val="5GAparabodytext"/>
        <w:rPr>
          <w:sz w:val="24"/>
          <w:szCs w:val="24"/>
        </w:rPr>
      </w:pPr>
      <w:r w:rsidRPr="004146FA">
        <w:rPr>
          <w:sz w:val="24"/>
          <w:szCs w:val="24"/>
          <w:rtl/>
        </w:rPr>
        <w:t>أمّا الأموال المرصودة لمنح المساعدة التمهيدية (</w:t>
      </w:r>
      <w:r w:rsidRPr="004146FA">
        <w:rPr>
          <w:b/>
          <w:bCs/>
          <w:sz w:val="24"/>
          <w:szCs w:val="24"/>
          <w:rtl/>
        </w:rPr>
        <w:t>بند الميزانية 2</w:t>
      </w:r>
      <w:r w:rsidRPr="004146FA">
        <w:rPr>
          <w:sz w:val="24"/>
          <w:szCs w:val="24"/>
          <w:rtl/>
        </w:rPr>
        <w:t xml:space="preserve">) فيُقترح الحفاظ </w:t>
      </w:r>
      <w:proofErr w:type="gramStart"/>
      <w:r w:rsidRPr="004146FA">
        <w:rPr>
          <w:sz w:val="24"/>
          <w:szCs w:val="24"/>
          <w:rtl/>
        </w:rPr>
        <w:t>عليها</w:t>
      </w:r>
      <w:proofErr w:type="gramEnd"/>
      <w:r w:rsidRPr="004146FA">
        <w:rPr>
          <w:sz w:val="24"/>
          <w:szCs w:val="24"/>
          <w:rtl/>
        </w:rPr>
        <w:t xml:space="preserve"> في مستوى </w:t>
      </w:r>
      <w:r w:rsidR="005A1423">
        <w:rPr>
          <w:sz w:val="24"/>
          <w:szCs w:val="24"/>
        </w:rPr>
        <w:t>5.5%</w:t>
      </w:r>
      <w:r w:rsidRPr="004146FA">
        <w:rPr>
          <w:sz w:val="24"/>
          <w:szCs w:val="24"/>
          <w:rtl/>
        </w:rPr>
        <w:t>.</w:t>
      </w:r>
      <w:r w:rsidRPr="004146FA">
        <w:rPr>
          <w:sz w:val="24"/>
          <w:szCs w:val="24"/>
        </w:rPr>
        <w:t xml:space="preserve"> </w:t>
      </w:r>
      <w:r w:rsidRPr="004146FA">
        <w:rPr>
          <w:sz w:val="24"/>
          <w:szCs w:val="24"/>
          <w:rtl/>
        </w:rPr>
        <w:t>وإضافة إلى المساعدة التمهيدية المتعلقة بملفات الترشيح لقائمة الصون العاجل وبالاقتراحات المرتبطة بسجل أفضل الممارسات في مجال الصون، قرّرت اللجنة استخدام هذا البند لتقديم المساعدة التقنية إلى الدول الأطراف الراغبة في إعداد طلبات المساعدة الدولية، حسب ما جاء في قرار اللجنة (</w:t>
      </w:r>
      <w:hyperlink r:id="rId12" w:history="1">
        <w:r w:rsidRPr="004146FA">
          <w:rPr>
            <w:rStyle w:val="Hyperlink"/>
            <w:sz w:val="24"/>
            <w:szCs w:val="24"/>
            <w:rtl/>
          </w:rPr>
          <w:t>القرار</w:t>
        </w:r>
        <w:r w:rsidR="005A1423">
          <w:rPr>
            <w:rStyle w:val="Hyperlink"/>
            <w:rFonts w:hint="cs"/>
            <w:sz w:val="24"/>
            <w:szCs w:val="24"/>
            <w:rtl/>
          </w:rPr>
          <w:t xml:space="preserve"> </w:t>
        </w:r>
        <w:r w:rsidR="005A1423">
          <w:rPr>
            <w:rStyle w:val="Hyperlink"/>
            <w:sz w:val="24"/>
            <w:szCs w:val="24"/>
          </w:rPr>
          <w:t>8.</w:t>
        </w:r>
        <w:r w:rsidRPr="004146FA">
          <w:rPr>
            <w:rStyle w:val="Hyperlink"/>
            <w:sz w:val="24"/>
            <w:szCs w:val="24"/>
          </w:rPr>
          <w:t>COM 7</w:t>
        </w:r>
        <w:r w:rsidR="005A1423">
          <w:rPr>
            <w:rStyle w:val="Hyperlink"/>
            <w:sz w:val="24"/>
            <w:szCs w:val="24"/>
          </w:rPr>
          <w:t>.</w:t>
        </w:r>
        <w:r w:rsidRPr="004146FA">
          <w:rPr>
            <w:rStyle w:val="Hyperlink"/>
            <w:sz w:val="24"/>
            <w:szCs w:val="24"/>
          </w:rPr>
          <w:t>c</w:t>
        </w:r>
      </w:hyperlink>
      <w:r w:rsidRPr="004146FA">
        <w:rPr>
          <w:sz w:val="24"/>
          <w:szCs w:val="24"/>
          <w:rtl/>
        </w:rPr>
        <w:t>).</w:t>
      </w:r>
      <w:r w:rsidRPr="004146FA">
        <w:rPr>
          <w:sz w:val="24"/>
          <w:szCs w:val="24"/>
        </w:rPr>
        <w:t xml:space="preserve"> </w:t>
      </w:r>
      <w:r w:rsidRPr="004146FA">
        <w:rPr>
          <w:sz w:val="24"/>
          <w:szCs w:val="24"/>
          <w:rtl/>
        </w:rPr>
        <w:t xml:space="preserve">وبما أنّ الدول طلبت المساعدة التقنية أكثر من المساعدة التمهيدية في شكلها التقليدي، يُقترح أن يتواصل استخدام الأموال المتوافرة في إطار هذا البند لتقديم الخبراء، كما هو موضّح في المادة 21 من الاتفاقية، لمساعدة الدول الأطراف في تطوير أفكارها ومتطلّباتها من مذكرة </w:t>
      </w:r>
      <w:proofErr w:type="spellStart"/>
      <w:r w:rsidRPr="004146FA">
        <w:rPr>
          <w:sz w:val="24"/>
          <w:szCs w:val="24"/>
          <w:rtl/>
        </w:rPr>
        <w:t>مفاهيمية</w:t>
      </w:r>
      <w:proofErr w:type="spellEnd"/>
      <w:r w:rsidRPr="004146FA">
        <w:rPr>
          <w:sz w:val="24"/>
          <w:szCs w:val="24"/>
          <w:rtl/>
        </w:rPr>
        <w:t xml:space="preserve"> موجزة وصولاً إلى طلب مكتمل العناصر.</w:t>
      </w:r>
      <w:r w:rsidRPr="004146FA">
        <w:rPr>
          <w:sz w:val="24"/>
          <w:szCs w:val="24"/>
        </w:rPr>
        <w:t xml:space="preserve"> </w:t>
      </w:r>
      <w:proofErr w:type="gramStart"/>
      <w:r w:rsidRPr="004146FA">
        <w:rPr>
          <w:sz w:val="24"/>
          <w:szCs w:val="24"/>
          <w:rtl/>
        </w:rPr>
        <w:t>ومن</w:t>
      </w:r>
      <w:proofErr w:type="gramEnd"/>
      <w:r w:rsidRPr="004146FA">
        <w:rPr>
          <w:sz w:val="24"/>
          <w:szCs w:val="24"/>
          <w:rtl/>
        </w:rPr>
        <w:t xml:space="preserve"> المتوقّع كذلك أن تزيد هذه المساعدة التقنية من فرص نجاح عدد أكبر من الطلبات وهو ما يبرّر زيادة النسبة المئوية للأموال المرصودة للبند </w:t>
      </w:r>
      <w:r w:rsidR="005A1423">
        <w:rPr>
          <w:sz w:val="24"/>
          <w:szCs w:val="24"/>
        </w:rPr>
        <w:t>1</w:t>
      </w:r>
      <w:r w:rsidRPr="004146FA">
        <w:rPr>
          <w:sz w:val="24"/>
          <w:szCs w:val="24"/>
          <w:rtl/>
        </w:rPr>
        <w:t xml:space="preserve"> من الميزانية.</w:t>
      </w:r>
    </w:p>
    <w:p w:rsidR="00680D8C" w:rsidRPr="004146FA" w:rsidRDefault="00680D8C" w:rsidP="003A7DD7">
      <w:pPr>
        <w:pStyle w:val="5GAparabodytext"/>
        <w:rPr>
          <w:rStyle w:val="hps"/>
          <w:sz w:val="24"/>
          <w:szCs w:val="24"/>
        </w:rPr>
      </w:pPr>
      <w:r w:rsidRPr="004146FA">
        <w:rPr>
          <w:sz w:val="24"/>
          <w:szCs w:val="24"/>
          <w:rtl/>
        </w:rPr>
        <w:t xml:space="preserve">كما سيقع الحفاظ على </w:t>
      </w:r>
      <w:r w:rsidRPr="004146FA">
        <w:rPr>
          <w:b/>
          <w:bCs/>
          <w:sz w:val="24"/>
          <w:szCs w:val="24"/>
          <w:rtl/>
        </w:rPr>
        <w:t>البند 3 من الميزانية</w:t>
      </w:r>
      <w:r w:rsidRPr="004146FA">
        <w:rPr>
          <w:sz w:val="24"/>
          <w:szCs w:val="24"/>
          <w:rtl/>
        </w:rPr>
        <w:t xml:space="preserve">، "المهام الأخرى للجنة"، في مستوى </w:t>
      </w:r>
      <w:r w:rsidR="005A1423">
        <w:rPr>
          <w:sz w:val="24"/>
          <w:szCs w:val="24"/>
        </w:rPr>
        <w:t>20%</w:t>
      </w:r>
      <w:r w:rsidRPr="004146FA">
        <w:rPr>
          <w:sz w:val="24"/>
          <w:szCs w:val="24"/>
          <w:rtl/>
        </w:rPr>
        <w:t>.</w:t>
      </w:r>
      <w:r w:rsidRPr="004146FA">
        <w:rPr>
          <w:sz w:val="24"/>
          <w:szCs w:val="24"/>
        </w:rPr>
        <w:t xml:space="preserve"> </w:t>
      </w:r>
      <w:r w:rsidRPr="004146FA">
        <w:rPr>
          <w:sz w:val="24"/>
          <w:szCs w:val="24"/>
          <w:rtl/>
        </w:rPr>
        <w:t xml:space="preserve">وتمّ التنصيص على هذه المهام في المادة 7 من الاتفاقية. وتستخدم الأمانة هذه الأموال لمساعدة اللجنة في انجاز هذه المهام كما جاء في المادة 10 من الاتفاقية. لذا ستستخدم الأمانة هذه الأموال في المقام الأوّل للترويج لأهداف الاتفاقية </w:t>
      </w:r>
      <w:proofErr w:type="gramStart"/>
      <w:r w:rsidRPr="004146FA">
        <w:rPr>
          <w:sz w:val="24"/>
          <w:szCs w:val="24"/>
          <w:rtl/>
        </w:rPr>
        <w:t>وتشجيع</w:t>
      </w:r>
      <w:proofErr w:type="gramEnd"/>
      <w:r w:rsidRPr="004146FA">
        <w:rPr>
          <w:sz w:val="24"/>
          <w:szCs w:val="24"/>
          <w:rtl/>
        </w:rPr>
        <w:t xml:space="preserve"> وضمان تنفيذها (المادة 7 </w:t>
      </w:r>
      <w:r w:rsidR="00273D15" w:rsidRPr="00C81630">
        <w:t>]</w:t>
      </w:r>
      <w:r w:rsidRPr="004146FA">
        <w:rPr>
          <w:sz w:val="24"/>
          <w:szCs w:val="24"/>
          <w:rtl/>
        </w:rPr>
        <w:t>أ</w:t>
      </w:r>
      <w:r w:rsidR="00273D15" w:rsidRPr="00C81630">
        <w:t>[</w:t>
      </w:r>
      <w:r w:rsidRPr="004146FA">
        <w:rPr>
          <w:sz w:val="24"/>
          <w:szCs w:val="24"/>
          <w:rtl/>
        </w:rPr>
        <w:t xml:space="preserve">). لتحقيق ذلك، ستُواصل الأموال المرصودة في إطار هذا البند من الميزانية تقديم دعم أساسي في عدد من الحاجيات المتعدّدة الجوانب المتعلّقة ببرنامج بناء القدرات، مثل تطوير محتوى وأدوات تدريبية وتعزيز شبكة الخبراء المسهلين ورصد وتقييم وتكييف </w:t>
      </w:r>
      <w:proofErr w:type="spellStart"/>
      <w:r w:rsidRPr="004146FA">
        <w:rPr>
          <w:sz w:val="24"/>
          <w:szCs w:val="24"/>
          <w:rtl/>
        </w:rPr>
        <w:t>الإستراتيجية</w:t>
      </w:r>
      <w:proofErr w:type="spellEnd"/>
      <w:r w:rsidRPr="004146FA">
        <w:rPr>
          <w:sz w:val="24"/>
          <w:szCs w:val="24"/>
          <w:rtl/>
        </w:rPr>
        <w:t xml:space="preserve"> بناء على ذلك. كما سيكون هذا البند من الميزانية حيوياً لضمان تحسّن مطرد لإدارة المعارف والمعلومات، بما في ذلك الموقع الالكتروني للاتفاقية الذي يُمكّن الأمانة من مواصلة تقديم خدمات للدول الأطراف وللهيئات الإدارية التابعة للاتفاقية في أفضل الآجال وبأكبر دقة ممكنة. ولمساعدة اللجنة على انجاز مسؤولياتها المتعلّقة بالترويج للاتفاقية، ينبغي أن تساهم الأموال المرصودة في إطار هذا البند من الميزانية في ضمان رؤية أوضح للأنشطة المنجزة على صعيد العالم تحت مظلة الاتفاقية وتحسين قدرتها على التأثير في قطاع سياسات التنمية بشكل يتماشى مع خطة التنمية لعام 2030، خصوصاً من خلال جهود متجدّدة ترمي لرفع مستوى الوعي بأهمية التراث الثقافي غير المادي وضمان التقدير المتبادل.</w:t>
      </w:r>
      <w:r w:rsidRPr="004146FA">
        <w:rPr>
          <w:sz w:val="24"/>
          <w:szCs w:val="24"/>
        </w:rPr>
        <w:t xml:space="preserve"> </w:t>
      </w:r>
      <w:r w:rsidRPr="004146FA">
        <w:rPr>
          <w:sz w:val="24"/>
          <w:szCs w:val="24"/>
          <w:rtl/>
        </w:rPr>
        <w:t>أخيراً، ستستخدم هذه الأموال لدعم اللجنة في تقديم التوجيهات بشأن تدابير صون التراث الثقافي غير المادي.</w:t>
      </w:r>
      <w:r w:rsidRPr="004146FA">
        <w:rPr>
          <w:rStyle w:val="hps"/>
          <w:sz w:val="24"/>
          <w:szCs w:val="24"/>
        </w:rPr>
        <w:t xml:space="preserve"> </w:t>
      </w:r>
      <w:r w:rsidRPr="004146FA">
        <w:rPr>
          <w:sz w:val="24"/>
          <w:szCs w:val="24"/>
          <w:rtl/>
        </w:rPr>
        <w:t xml:space="preserve">وستعمل الأمانة، في إطار المساعدة المقدمة إلى اللجنة، على متابعة توصيات مرفق الإشراف الداخلي في اليونسكو بشأن عمل اليونسكو المتعلّق بوضع معايير قطاع الثقافة المرتبطة بالاتفاقية على النحو الذي قامت بها خلال فترة العامين السابقة. وأنجز عدد كبير من أعمال المتابعة هذه والتي قدّمت الأمانة بشأنها تقارير في </w:t>
      </w:r>
      <w:r w:rsidRPr="00523383">
        <w:rPr>
          <w:sz w:val="24"/>
          <w:szCs w:val="24"/>
          <w:rtl/>
        </w:rPr>
        <w:t>الوثيقة</w:t>
      </w:r>
      <w:r w:rsidRPr="004146FA">
        <w:rPr>
          <w:sz w:val="24"/>
          <w:szCs w:val="24"/>
          <w:rtl/>
        </w:rPr>
        <w:t xml:space="preserve"> </w:t>
      </w:r>
      <w:r w:rsidRPr="00523383">
        <w:rPr>
          <w:sz w:val="24"/>
          <w:szCs w:val="24"/>
        </w:rPr>
        <w:t>ITH/16/6.GA/6</w:t>
      </w:r>
      <w:r w:rsidRPr="004146FA">
        <w:rPr>
          <w:sz w:val="24"/>
          <w:szCs w:val="24"/>
          <w:rtl/>
        </w:rPr>
        <w:t xml:space="preserve"> بفضل الدعم المقدّم في إطار هذا البند من الميزانية.</w:t>
      </w:r>
    </w:p>
    <w:p w:rsidR="00680D8C" w:rsidRPr="004146FA" w:rsidRDefault="00680D8C" w:rsidP="00915890">
      <w:pPr>
        <w:pStyle w:val="5GAparabodytext"/>
        <w:rPr>
          <w:sz w:val="24"/>
          <w:szCs w:val="24"/>
        </w:rPr>
      </w:pPr>
      <w:proofErr w:type="gramStart"/>
      <w:r w:rsidRPr="004146FA">
        <w:rPr>
          <w:sz w:val="24"/>
          <w:szCs w:val="24"/>
          <w:rtl/>
        </w:rPr>
        <w:t>وعلى</w:t>
      </w:r>
      <w:proofErr w:type="gramEnd"/>
      <w:r w:rsidRPr="004146FA">
        <w:rPr>
          <w:sz w:val="24"/>
          <w:szCs w:val="24"/>
          <w:rtl/>
        </w:rPr>
        <w:t xml:space="preserve"> نحو ما جرى في الخطط السابقة لاستخدام موارد الصندوق، فوضت اللجنة إلى مكتبها مجدداً سلطة اتخاذ القرار بشأن استخدام الموارد المخصصة، في إطار البند 3 من الميزانية، على أساس اقتراحات محددة ستعدها الأمانة </w:t>
      </w:r>
      <w:r w:rsidRPr="00273D15">
        <w:rPr>
          <w:sz w:val="24"/>
          <w:szCs w:val="24"/>
          <w:rtl/>
        </w:rPr>
        <w:t>(</w:t>
      </w:r>
      <w:hyperlink r:id="rId13" w:history="1">
        <w:r w:rsidRPr="00523383">
          <w:rPr>
            <w:rStyle w:val="Hyperlink"/>
            <w:rtl/>
          </w:rPr>
          <w:t>القرار</w:t>
        </w:r>
        <w:r w:rsidRPr="00273D15">
          <w:rPr>
            <w:rStyle w:val="Hyperlink"/>
            <w:sz w:val="24"/>
            <w:szCs w:val="24"/>
            <w:rtl/>
          </w:rPr>
          <w:t xml:space="preserve"> </w:t>
        </w:r>
        <w:r w:rsidRPr="00523383">
          <w:rPr>
            <w:rStyle w:val="Hyperlink"/>
          </w:rPr>
          <w:t>10.COM </w:t>
        </w:r>
        <w:r w:rsidR="005F7039" w:rsidRPr="00273D15">
          <w:rPr>
            <w:rStyle w:val="Hyperlink"/>
            <w:sz w:val="24"/>
            <w:szCs w:val="24"/>
          </w:rPr>
          <w:t>8</w:t>
        </w:r>
        <w:r w:rsidRPr="00273D15">
          <w:rPr>
            <w:rStyle w:val="Hyperlink"/>
            <w:sz w:val="24"/>
            <w:szCs w:val="24"/>
            <w:rtl/>
          </w:rPr>
          <w:t>)</w:t>
        </w:r>
      </w:hyperlink>
      <w:r w:rsidRPr="004146FA">
        <w:rPr>
          <w:sz w:val="24"/>
          <w:szCs w:val="24"/>
          <w:rtl/>
        </w:rPr>
        <w:t>.</w:t>
      </w:r>
      <w:r w:rsidRPr="004146FA">
        <w:rPr>
          <w:sz w:val="24"/>
          <w:szCs w:val="24"/>
        </w:rPr>
        <w:t xml:space="preserve"> </w:t>
      </w:r>
      <w:r w:rsidRPr="004146FA">
        <w:rPr>
          <w:sz w:val="24"/>
          <w:szCs w:val="24"/>
          <w:rtl/>
        </w:rPr>
        <w:t xml:space="preserve">وأذنت اللجنة في نفس ذلك القرار، ووفقاً للممارسة السابقة، للأمانة بالقيام بتحويلات بين الأنشطة الواردة في البند 3 من الميزانية في حدود مبلغ تراكمي يساوي </w:t>
      </w:r>
      <w:r w:rsidR="00273D15">
        <w:rPr>
          <w:sz w:val="24"/>
          <w:szCs w:val="24"/>
        </w:rPr>
        <w:t>2%</w:t>
      </w:r>
      <w:r w:rsidRPr="004146FA">
        <w:rPr>
          <w:sz w:val="24"/>
          <w:szCs w:val="24"/>
          <w:rtl/>
        </w:rPr>
        <w:t xml:space="preserve"> من الاعتمادات الإجمالية الأولية التي من المرجح تقديمها لهذا الهدف إلى الجمعية العامة. وهذا الإذن مماثل للإذن الذي منحه المؤتمر العام للمدير العام لإجراء تحويلات بين بنود اعتمادات برنامج اليونسكو العادي بمبلغ يصل إلى </w:t>
      </w:r>
      <w:r w:rsidR="00273D15">
        <w:rPr>
          <w:sz w:val="24"/>
          <w:szCs w:val="24"/>
        </w:rPr>
        <w:t>2%</w:t>
      </w:r>
      <w:r w:rsidRPr="004146FA">
        <w:rPr>
          <w:sz w:val="24"/>
          <w:szCs w:val="24"/>
          <w:rtl/>
        </w:rPr>
        <w:t xml:space="preserve"> من الاعتمادات الأولية.</w:t>
      </w:r>
      <w:r w:rsidRPr="004146FA">
        <w:rPr>
          <w:sz w:val="24"/>
          <w:szCs w:val="24"/>
        </w:rPr>
        <w:t xml:space="preserve"> </w:t>
      </w:r>
    </w:p>
    <w:p w:rsidR="00680D8C" w:rsidRPr="004146FA" w:rsidRDefault="00680D8C" w:rsidP="00915890">
      <w:pPr>
        <w:pStyle w:val="5GAparabodytext"/>
        <w:rPr>
          <w:sz w:val="24"/>
          <w:szCs w:val="24"/>
        </w:rPr>
      </w:pPr>
      <w:r w:rsidRPr="004146FA">
        <w:rPr>
          <w:sz w:val="24"/>
          <w:szCs w:val="24"/>
          <w:rtl/>
        </w:rPr>
        <w:t>ويغطي ا</w:t>
      </w:r>
      <w:r w:rsidRPr="004146FA">
        <w:rPr>
          <w:b/>
          <w:bCs/>
          <w:sz w:val="24"/>
          <w:szCs w:val="24"/>
          <w:rtl/>
        </w:rPr>
        <w:t>لبند 4</w:t>
      </w:r>
      <w:r w:rsidRPr="004146FA">
        <w:rPr>
          <w:sz w:val="24"/>
          <w:szCs w:val="24"/>
          <w:rtl/>
        </w:rPr>
        <w:t xml:space="preserve"> نفقات مشاركة الخبراء في التراث الثقافي غير المادي الذين يمثلون الدول الأطراف النامية في الاجتماعات النظامية إذا كانت دولاً أعضاءً في اللجنة أو يغطيها </w:t>
      </w:r>
      <w:r w:rsidRPr="004146FA">
        <w:rPr>
          <w:b/>
          <w:bCs/>
          <w:sz w:val="24"/>
          <w:szCs w:val="24"/>
          <w:rtl/>
        </w:rPr>
        <w:t>البند 5</w:t>
      </w:r>
      <w:r w:rsidRPr="004146FA">
        <w:rPr>
          <w:sz w:val="24"/>
          <w:szCs w:val="24"/>
          <w:rtl/>
        </w:rPr>
        <w:t xml:space="preserve"> إذا لم تكن دولاً أعضاءً في اللجنة.</w:t>
      </w:r>
      <w:r w:rsidRPr="004146FA">
        <w:rPr>
          <w:sz w:val="24"/>
          <w:szCs w:val="24"/>
        </w:rPr>
        <w:t xml:space="preserve"> </w:t>
      </w:r>
      <w:proofErr w:type="gramStart"/>
      <w:r w:rsidRPr="004146FA">
        <w:rPr>
          <w:sz w:val="24"/>
          <w:szCs w:val="24"/>
          <w:rtl/>
        </w:rPr>
        <w:t>وجاء</w:t>
      </w:r>
      <w:proofErr w:type="gramEnd"/>
      <w:r w:rsidRPr="004146FA">
        <w:rPr>
          <w:sz w:val="24"/>
          <w:szCs w:val="24"/>
          <w:rtl/>
        </w:rPr>
        <w:t xml:space="preserve"> في الخطة المقترحة أنه سيتّم الحفاظ على النسبة المئوية المخصصة للنقطة الأخيرة مقارنة بالخطة السابقة في حين سيتمّ التخفيض من النقطة الأولى من </w:t>
      </w:r>
      <w:r w:rsidR="004C58E8">
        <w:rPr>
          <w:sz w:val="24"/>
          <w:szCs w:val="24"/>
        </w:rPr>
        <w:t>2.75%</w:t>
      </w:r>
      <w:r w:rsidRPr="004146FA">
        <w:rPr>
          <w:sz w:val="24"/>
          <w:szCs w:val="24"/>
          <w:rtl/>
        </w:rPr>
        <w:t xml:space="preserve"> إلى </w:t>
      </w:r>
      <w:r w:rsidR="004C58E8">
        <w:rPr>
          <w:sz w:val="24"/>
          <w:szCs w:val="24"/>
        </w:rPr>
        <w:t>2.25%</w:t>
      </w:r>
      <w:r w:rsidRPr="004146FA">
        <w:rPr>
          <w:sz w:val="24"/>
          <w:szCs w:val="24"/>
          <w:rtl/>
        </w:rPr>
        <w:t>. إنّ الموارد المخصصة لتمويل مشاركة الخبراء التابعين للبلدان النامية التي هي دول أعضاء في اللجنة تكفي تماماً لتغطية نفقات مشاركة الخبراء في اجتماعات اللجنة والمكتب.</w:t>
      </w:r>
      <w:r w:rsidRPr="004146FA">
        <w:rPr>
          <w:sz w:val="24"/>
          <w:szCs w:val="24"/>
        </w:rPr>
        <w:t xml:space="preserve"> </w:t>
      </w:r>
      <w:r w:rsidRPr="004146FA">
        <w:rPr>
          <w:sz w:val="24"/>
          <w:szCs w:val="24"/>
          <w:rtl/>
        </w:rPr>
        <w:t xml:space="preserve">وبما أن عدد الدول المؤهلة للمشاركة في عضوية اللجنة محدود، فإنه يُتوقع أن تبقى النسبة المنخفضة كافية إلى حد كبير، خاصة أنّ القيمة المطلقة للتخفيض تبلغ </w:t>
      </w:r>
      <w:r w:rsidRPr="00523383">
        <w:rPr>
          <w:sz w:val="24"/>
          <w:szCs w:val="24"/>
          <w:rtl/>
        </w:rPr>
        <w:t>6</w:t>
      </w:r>
      <w:r w:rsidR="005F7039" w:rsidRPr="00523383">
        <w:rPr>
          <w:rFonts w:hint="eastAsia"/>
          <w:sz w:val="24"/>
          <w:szCs w:val="24"/>
          <w:rtl/>
        </w:rPr>
        <w:t> </w:t>
      </w:r>
      <w:r w:rsidRPr="00523383">
        <w:rPr>
          <w:sz w:val="24"/>
          <w:szCs w:val="24"/>
          <w:rtl/>
        </w:rPr>
        <w:t>816 دولاراً أمريكياً</w:t>
      </w:r>
      <w:r w:rsidRPr="004146FA">
        <w:rPr>
          <w:sz w:val="24"/>
          <w:szCs w:val="24"/>
          <w:rtl/>
        </w:rPr>
        <w:t xml:space="preserve">. علاوة على ذلك، مع إنشاء الهيئة التقييمية، لا يمكن لممثلي الدول الأعضاء في اللجنة المشاركة فيها وبالتالي لن يكون هناك اقتطاع للتكاليف المرتبطة بتقييم الملفات في إطار هذا البند. ومن جهة أخرى، يشارك الأفراد الأعضاء في هيئة التقييم كممثلين لدول أطراف ويتمّ اقتطاع كلفة مشاركتهم في اجتماعات الهيئة في إطار البند 5 من الميزانية. </w:t>
      </w:r>
      <w:proofErr w:type="gramStart"/>
      <w:r w:rsidRPr="004146FA">
        <w:rPr>
          <w:sz w:val="24"/>
          <w:szCs w:val="24"/>
          <w:rtl/>
        </w:rPr>
        <w:t>وبما</w:t>
      </w:r>
      <w:proofErr w:type="gramEnd"/>
      <w:r w:rsidRPr="004146FA">
        <w:rPr>
          <w:sz w:val="24"/>
          <w:szCs w:val="24"/>
          <w:rtl/>
        </w:rPr>
        <w:t xml:space="preserve"> أنّ الحفاظ على نسبة 2.75% يمثّل زيادة في الاعتمادات المرصودة لفترة العامين المقبلة </w:t>
      </w:r>
      <w:r w:rsidRPr="00F46B98">
        <w:rPr>
          <w:sz w:val="24"/>
          <w:szCs w:val="24"/>
          <w:rtl/>
        </w:rPr>
        <w:t>(</w:t>
      </w:r>
      <w:r w:rsidR="004C58E8">
        <w:rPr>
          <w:sz w:val="24"/>
          <w:szCs w:val="24"/>
        </w:rPr>
        <w:t>17.74%</w:t>
      </w:r>
      <w:r w:rsidRPr="00523383">
        <w:rPr>
          <w:sz w:val="24"/>
          <w:szCs w:val="24"/>
          <w:rtl/>
        </w:rPr>
        <w:t xml:space="preserve"> من اعتمادات 2014-2015 تمثّل زيادة بـ32</w:t>
      </w:r>
      <w:r w:rsidR="005F7039" w:rsidRPr="00523383">
        <w:rPr>
          <w:rFonts w:hint="eastAsia"/>
          <w:sz w:val="24"/>
          <w:szCs w:val="24"/>
          <w:rtl/>
        </w:rPr>
        <w:t> </w:t>
      </w:r>
      <w:r w:rsidRPr="00523383">
        <w:rPr>
          <w:sz w:val="24"/>
          <w:szCs w:val="24"/>
          <w:rtl/>
        </w:rPr>
        <w:t>953 دولاراً أمريكياً</w:t>
      </w:r>
      <w:proofErr w:type="gramStart"/>
      <w:r w:rsidRPr="00F46B98">
        <w:rPr>
          <w:sz w:val="24"/>
          <w:szCs w:val="24"/>
          <w:rtl/>
        </w:rPr>
        <w:t>)،</w:t>
      </w:r>
      <w:proofErr w:type="gramEnd"/>
      <w:r w:rsidRPr="004146FA">
        <w:rPr>
          <w:sz w:val="24"/>
          <w:szCs w:val="24"/>
          <w:rtl/>
        </w:rPr>
        <w:t xml:space="preserve"> ينبغي أن تستمر الأموال المتوافرة في إطار هذا البند في السماح للخبراء في التراث الثقافي غير المادي الذين يمثلون دولا أطراف نامية من المشاركة في اجتماعات اللجنة بالإضافة إلى مشاركة أعضاء هيئة التقييم في اجتماعاتها. </w:t>
      </w:r>
    </w:p>
    <w:p w:rsidR="00680D8C" w:rsidRPr="004146FA" w:rsidRDefault="00680D8C" w:rsidP="00523383">
      <w:pPr>
        <w:pStyle w:val="5GAparabodytext"/>
        <w:rPr>
          <w:sz w:val="24"/>
          <w:szCs w:val="24"/>
        </w:rPr>
      </w:pPr>
      <w:r w:rsidRPr="004146FA">
        <w:rPr>
          <w:sz w:val="24"/>
          <w:szCs w:val="24"/>
          <w:rtl/>
        </w:rPr>
        <w:t xml:space="preserve">واقتُرح الحفاظ على </w:t>
      </w:r>
      <w:r w:rsidRPr="004146FA">
        <w:rPr>
          <w:b/>
          <w:bCs/>
          <w:sz w:val="24"/>
          <w:szCs w:val="24"/>
          <w:rtl/>
        </w:rPr>
        <w:t>البند 6 من الميزانية</w:t>
      </w:r>
      <w:r w:rsidRPr="004146FA">
        <w:rPr>
          <w:sz w:val="24"/>
          <w:szCs w:val="24"/>
          <w:rtl/>
        </w:rPr>
        <w:t xml:space="preserve"> في مستوى </w:t>
      </w:r>
      <w:r w:rsidR="004C58E8">
        <w:rPr>
          <w:sz w:val="24"/>
          <w:szCs w:val="24"/>
        </w:rPr>
        <w:t>4.5%</w:t>
      </w:r>
      <w:r w:rsidRPr="004146FA">
        <w:rPr>
          <w:sz w:val="24"/>
          <w:szCs w:val="24"/>
          <w:rtl/>
        </w:rPr>
        <w:t>.</w:t>
      </w:r>
      <w:r w:rsidRPr="004146FA">
        <w:rPr>
          <w:sz w:val="24"/>
          <w:szCs w:val="24"/>
        </w:rPr>
        <w:t xml:space="preserve"> </w:t>
      </w:r>
      <w:r w:rsidRPr="004146FA">
        <w:rPr>
          <w:sz w:val="24"/>
          <w:szCs w:val="24"/>
          <w:rtl/>
        </w:rPr>
        <w:t xml:space="preserve">وتبيّن خلال فترة العامين السابقة أنّ هذا البند كاف لتغطية مشاركة خبراء التراث الثقافي غير المادي الذين يمثّلون منظمات حكومية معتمدة في دورات اللجنة – إذا كانوا من دول نامية – وفي اجتماعات الهيئة الاستشارية في 2014 واجتماعات الهيئة التقييمية في 2015 – إذا كانوا أعضاء منتخبين. علاوة على ذلك، كما ورد في الفقرة السابقة، بما أنّ الأفراد المنتمين إلى الهيئة التقييمية لم يعودوا أعضاء بصفة خبراء مستقلين بل كممثلين عن دول أطراف، سيُعفى هذا البند من تلك المصاريف وينبغي أن تكون الاعتمادات كافية لتلبية الحاجيات. </w:t>
      </w:r>
    </w:p>
    <w:p w:rsidR="00680D8C" w:rsidRPr="004146FA" w:rsidRDefault="00680D8C" w:rsidP="00523383">
      <w:pPr>
        <w:pStyle w:val="5GAparabodytext"/>
        <w:rPr>
          <w:sz w:val="24"/>
          <w:szCs w:val="24"/>
        </w:rPr>
      </w:pPr>
      <w:r w:rsidRPr="004146FA">
        <w:rPr>
          <w:sz w:val="24"/>
          <w:szCs w:val="24"/>
          <w:rtl/>
        </w:rPr>
        <w:t xml:space="preserve">ويغطي </w:t>
      </w:r>
      <w:r w:rsidRPr="004146FA">
        <w:rPr>
          <w:b/>
          <w:bCs/>
          <w:sz w:val="24"/>
          <w:szCs w:val="24"/>
          <w:rtl/>
        </w:rPr>
        <w:t>البند 7</w:t>
      </w:r>
      <w:r w:rsidRPr="004146FA">
        <w:rPr>
          <w:sz w:val="24"/>
          <w:szCs w:val="24"/>
          <w:rtl/>
        </w:rPr>
        <w:t xml:space="preserve"> تكاليف الخدمات الاستشارية التي تقدّم بناءً </w:t>
      </w:r>
      <w:proofErr w:type="gramStart"/>
      <w:r w:rsidRPr="004146FA">
        <w:rPr>
          <w:sz w:val="24"/>
          <w:szCs w:val="24"/>
          <w:rtl/>
        </w:rPr>
        <w:t>على</w:t>
      </w:r>
      <w:proofErr w:type="gramEnd"/>
      <w:r w:rsidRPr="004146FA">
        <w:rPr>
          <w:sz w:val="24"/>
          <w:szCs w:val="24"/>
          <w:rtl/>
        </w:rPr>
        <w:t xml:space="preserve"> طلب اللجنة (</w:t>
      </w:r>
      <w:r w:rsidR="00070001">
        <w:rPr>
          <w:sz w:val="24"/>
          <w:szCs w:val="24"/>
        </w:rPr>
        <w:t>6%</w:t>
      </w:r>
      <w:r w:rsidRPr="004146FA">
        <w:rPr>
          <w:sz w:val="24"/>
          <w:szCs w:val="24"/>
          <w:rtl/>
        </w:rPr>
        <w:t>).</w:t>
      </w:r>
      <w:r w:rsidRPr="004146FA">
        <w:rPr>
          <w:sz w:val="24"/>
          <w:szCs w:val="24"/>
        </w:rPr>
        <w:t xml:space="preserve"> </w:t>
      </w:r>
      <w:r w:rsidRPr="004146FA">
        <w:rPr>
          <w:sz w:val="24"/>
          <w:szCs w:val="24"/>
          <w:rtl/>
        </w:rPr>
        <w:t xml:space="preserve">وترجع الزيادة المقترحة </w:t>
      </w:r>
      <w:proofErr w:type="gramStart"/>
      <w:r w:rsidRPr="004146FA">
        <w:rPr>
          <w:sz w:val="24"/>
          <w:szCs w:val="24"/>
          <w:rtl/>
        </w:rPr>
        <w:t>من</w:t>
      </w:r>
      <w:proofErr w:type="gramEnd"/>
      <w:r w:rsidRPr="004146FA">
        <w:rPr>
          <w:sz w:val="24"/>
          <w:szCs w:val="24"/>
          <w:rtl/>
        </w:rPr>
        <w:t xml:space="preserve"> </w:t>
      </w:r>
      <w:r w:rsidR="00070001">
        <w:rPr>
          <w:sz w:val="24"/>
          <w:szCs w:val="24"/>
        </w:rPr>
        <w:t>5.5%</w:t>
      </w:r>
      <w:r w:rsidRPr="004146FA">
        <w:rPr>
          <w:sz w:val="24"/>
          <w:szCs w:val="24"/>
          <w:rtl/>
        </w:rPr>
        <w:t xml:space="preserve"> إلى </w:t>
      </w:r>
      <w:r w:rsidR="004617EA">
        <w:rPr>
          <w:sz w:val="24"/>
          <w:szCs w:val="24"/>
        </w:rPr>
        <w:t>6%</w:t>
      </w:r>
      <w:r w:rsidRPr="004146FA">
        <w:rPr>
          <w:sz w:val="24"/>
          <w:szCs w:val="24"/>
          <w:rtl/>
        </w:rPr>
        <w:t xml:space="preserve"> – من خلال امتصاص الانخفاض الذي شهده البند 4 من الميزانية – إلى ضرورة امتلاك مبلغ متوافر، بصورة مبكّرة في السنوات الزوجية، يكون كافياً لإنشاء عقود الأعضاء المؤهلين للحصول على تعويض مالي من هيئة التقييم. وتُحدّد اللجنة الهيئة التقييمية في نهاية كلّ عام ثمّ تلتقي الهيئة للمرّة الأولى في كلّ دورة خلال الربع الأول من العام. ويتوجّب إنشاء عقود الأعضاء المؤهلين لذلك قبل سفرهم. لذا يجب أن تكون الميزانية اللازمة لتغطية جميع العقود متوفّرة في بداية العام رغم أنّ الدفوعات تقع على مدار السنة. لكن في السنوات الزوجية، تمثّل الأموال المتوفّرة في بداية العام ربع المبلغ المخصّص لفترة العامين السابقة، في انتظار انعقاد دورة الجمعية العامة في حزيران/يونيو والتي تقرّر مخصّصات فترة العامين ككلّ. وبالتالي، هناك حاجة إلى نسبة مئوية أعلى لضمان كفاية ربع الاعتمادات </w:t>
      </w:r>
      <w:proofErr w:type="spellStart"/>
      <w:r w:rsidRPr="004146FA">
        <w:rPr>
          <w:sz w:val="24"/>
          <w:szCs w:val="24"/>
          <w:rtl/>
        </w:rPr>
        <w:t>الجملية</w:t>
      </w:r>
      <w:proofErr w:type="spellEnd"/>
      <w:r w:rsidRPr="004146FA">
        <w:rPr>
          <w:sz w:val="24"/>
          <w:szCs w:val="24"/>
          <w:rtl/>
        </w:rPr>
        <w:t xml:space="preserve"> لتغطية جميع العقود في السنوات الزوجية. </w:t>
      </w:r>
    </w:p>
    <w:p w:rsidR="00680D8C" w:rsidRPr="004146FA" w:rsidRDefault="00680D8C" w:rsidP="00523383">
      <w:pPr>
        <w:pStyle w:val="5GAparabodytext"/>
        <w:rPr>
          <w:sz w:val="24"/>
          <w:szCs w:val="24"/>
        </w:rPr>
      </w:pPr>
      <w:proofErr w:type="gramStart"/>
      <w:r w:rsidRPr="004146FA">
        <w:rPr>
          <w:sz w:val="24"/>
          <w:szCs w:val="24"/>
          <w:rtl/>
        </w:rPr>
        <w:t>ويقضي</w:t>
      </w:r>
      <w:proofErr w:type="gramEnd"/>
      <w:r w:rsidRPr="004146FA">
        <w:rPr>
          <w:sz w:val="24"/>
          <w:szCs w:val="24"/>
          <w:rtl/>
        </w:rPr>
        <w:t xml:space="preserve"> النظام المالي لصندوق التراث الثقافي غير المادي بإنشاء </w:t>
      </w:r>
      <w:r w:rsidRPr="004146FA">
        <w:rPr>
          <w:b/>
          <w:bCs/>
          <w:sz w:val="24"/>
          <w:szCs w:val="24"/>
          <w:rtl/>
        </w:rPr>
        <w:t>صندوق احتياطي</w:t>
      </w:r>
      <w:r w:rsidRPr="004146FA">
        <w:rPr>
          <w:sz w:val="24"/>
          <w:szCs w:val="24"/>
          <w:rtl/>
        </w:rPr>
        <w:t xml:space="preserve"> لتلبية طلبات المساعدة </w:t>
      </w:r>
      <w:r w:rsidR="00C5253B">
        <w:rPr>
          <w:rFonts w:hint="cs"/>
          <w:sz w:val="24"/>
          <w:szCs w:val="24"/>
          <w:rtl/>
        </w:rPr>
        <w:t>في الحالات العاجلة</w:t>
      </w:r>
      <w:r w:rsidR="00C5253B" w:rsidRPr="004146FA">
        <w:rPr>
          <w:sz w:val="24"/>
          <w:szCs w:val="24"/>
          <w:rtl/>
        </w:rPr>
        <w:t xml:space="preserve"> </w:t>
      </w:r>
      <w:r w:rsidRPr="004146FA">
        <w:rPr>
          <w:sz w:val="24"/>
          <w:szCs w:val="24"/>
          <w:rtl/>
        </w:rPr>
        <w:t xml:space="preserve">وفقاً لما تنص عليه أحكام المادة </w:t>
      </w:r>
      <w:r w:rsidRPr="004146FA">
        <w:rPr>
          <w:sz w:val="24"/>
          <w:szCs w:val="24"/>
        </w:rPr>
        <w:t>22.2</w:t>
      </w:r>
      <w:r w:rsidRPr="004146FA">
        <w:rPr>
          <w:sz w:val="24"/>
          <w:szCs w:val="24"/>
          <w:rtl/>
        </w:rPr>
        <w:t xml:space="preserve"> من الاتفاقية.</w:t>
      </w:r>
      <w:r w:rsidRPr="004146FA">
        <w:rPr>
          <w:sz w:val="24"/>
          <w:szCs w:val="24"/>
        </w:rPr>
        <w:t xml:space="preserve"> </w:t>
      </w:r>
      <w:r w:rsidRPr="004146FA">
        <w:rPr>
          <w:sz w:val="24"/>
          <w:szCs w:val="24"/>
          <w:rtl/>
        </w:rPr>
        <w:t xml:space="preserve">في حدود 31 كانون الأول/ديسمبر 2015، بلغت قيمة الصندوق الاحتياطي </w:t>
      </w:r>
      <w:r w:rsidR="00C5253B">
        <w:rPr>
          <w:sz w:val="24"/>
          <w:szCs w:val="24"/>
        </w:rPr>
        <w:t>975 810</w:t>
      </w:r>
      <w:r w:rsidRPr="004146FA">
        <w:rPr>
          <w:sz w:val="24"/>
          <w:szCs w:val="24"/>
          <w:rtl/>
        </w:rPr>
        <w:t xml:space="preserve"> دولاراً أمريكياً (</w:t>
      </w:r>
      <w:r w:rsidR="00C5253B">
        <w:rPr>
          <w:rFonts w:hint="cs"/>
          <w:sz w:val="24"/>
          <w:szCs w:val="24"/>
          <w:rtl/>
        </w:rPr>
        <w:t>البيان</w:t>
      </w:r>
      <w:r w:rsidR="00C5253B" w:rsidRPr="004146FA">
        <w:rPr>
          <w:sz w:val="24"/>
          <w:szCs w:val="24"/>
          <w:rtl/>
        </w:rPr>
        <w:t xml:space="preserve"> </w:t>
      </w:r>
      <w:r w:rsidRPr="004146FA">
        <w:rPr>
          <w:sz w:val="24"/>
          <w:szCs w:val="24"/>
          <w:rtl/>
        </w:rPr>
        <w:t xml:space="preserve">2 في الوثيقة </w:t>
      </w:r>
      <w:r w:rsidRPr="00523383">
        <w:rPr>
          <w:sz w:val="24"/>
          <w:szCs w:val="24"/>
        </w:rPr>
        <w:t>ITH/16/6.GA/INF.9.1</w:t>
      </w:r>
      <w:r w:rsidRPr="00F46B98">
        <w:rPr>
          <w:sz w:val="24"/>
          <w:szCs w:val="24"/>
          <w:rtl/>
        </w:rPr>
        <w:t>)</w:t>
      </w:r>
      <w:r w:rsidRPr="004146FA">
        <w:rPr>
          <w:sz w:val="24"/>
          <w:szCs w:val="24"/>
          <w:rtl/>
        </w:rPr>
        <w:t>.</w:t>
      </w:r>
      <w:r w:rsidRPr="004146FA">
        <w:rPr>
          <w:sz w:val="24"/>
          <w:szCs w:val="24"/>
        </w:rPr>
        <w:t xml:space="preserve"> </w:t>
      </w:r>
      <w:r w:rsidRPr="004146FA">
        <w:rPr>
          <w:sz w:val="24"/>
          <w:szCs w:val="24"/>
          <w:rtl/>
        </w:rPr>
        <w:t xml:space="preserve">ونظراً إلى أنّ هذا الاحتياطي سيتم استعماله لتقديم المساعدة </w:t>
      </w:r>
      <w:r w:rsidR="00C5253B">
        <w:rPr>
          <w:rFonts w:hint="cs"/>
          <w:sz w:val="24"/>
          <w:szCs w:val="24"/>
          <w:rtl/>
        </w:rPr>
        <w:t xml:space="preserve">في الحالات </w:t>
      </w:r>
      <w:proofErr w:type="gramStart"/>
      <w:r w:rsidR="00C5253B">
        <w:rPr>
          <w:rFonts w:hint="cs"/>
          <w:sz w:val="24"/>
          <w:szCs w:val="24"/>
          <w:rtl/>
        </w:rPr>
        <w:t>العاجلة</w:t>
      </w:r>
      <w:r w:rsidR="00C5253B" w:rsidRPr="004146FA">
        <w:rPr>
          <w:sz w:val="24"/>
          <w:szCs w:val="24"/>
          <w:rtl/>
        </w:rPr>
        <w:t xml:space="preserve"> </w:t>
      </w:r>
      <w:r w:rsidRPr="004146FA">
        <w:rPr>
          <w:sz w:val="24"/>
          <w:szCs w:val="24"/>
          <w:rtl/>
        </w:rPr>
        <w:t xml:space="preserve"> </w:t>
      </w:r>
      <w:r w:rsidRPr="004146FA">
        <w:rPr>
          <w:iCs/>
          <w:sz w:val="24"/>
          <w:szCs w:val="24"/>
          <w:rtl/>
        </w:rPr>
        <w:t>فقط</w:t>
      </w:r>
      <w:proofErr w:type="gramEnd"/>
      <w:r w:rsidRPr="004146FA">
        <w:rPr>
          <w:sz w:val="24"/>
          <w:szCs w:val="24"/>
          <w:rtl/>
        </w:rPr>
        <w:t xml:space="preserve"> عندما لا تكون هناك أموال متوفرة في البند 1 من الميزانية، قرّرت اللجنة، وفقاً للمادة 6 من النظام المالي، ضبط مبلغ الصندوق الاحتياطي بمبلغ مليون دولار أمريكي (</w:t>
      </w:r>
      <w:hyperlink r:id="rId14" w:history="1">
        <w:r w:rsidRPr="00C5253B">
          <w:rPr>
            <w:rStyle w:val="Hyperlink"/>
            <w:sz w:val="24"/>
            <w:szCs w:val="24"/>
            <w:rtl/>
          </w:rPr>
          <w:t xml:space="preserve">القرار </w:t>
        </w:r>
        <w:r w:rsidRPr="00C5253B">
          <w:rPr>
            <w:rStyle w:val="Hyperlink"/>
            <w:sz w:val="24"/>
            <w:szCs w:val="24"/>
          </w:rPr>
          <w:t>10.COM 8</w:t>
        </w:r>
      </w:hyperlink>
      <w:r w:rsidRPr="004146FA">
        <w:rPr>
          <w:sz w:val="24"/>
          <w:szCs w:val="24"/>
          <w:rtl/>
        </w:rPr>
        <w:t>).</w:t>
      </w:r>
      <w:r w:rsidRPr="004146FA">
        <w:rPr>
          <w:sz w:val="24"/>
          <w:szCs w:val="24"/>
        </w:rPr>
        <w:t xml:space="preserve"> </w:t>
      </w:r>
      <w:proofErr w:type="gramStart"/>
      <w:r w:rsidRPr="004146FA">
        <w:rPr>
          <w:sz w:val="24"/>
          <w:szCs w:val="24"/>
          <w:rtl/>
        </w:rPr>
        <w:t>ونتيجة</w:t>
      </w:r>
      <w:proofErr w:type="gramEnd"/>
      <w:r w:rsidRPr="004146FA">
        <w:rPr>
          <w:sz w:val="24"/>
          <w:szCs w:val="24"/>
          <w:rtl/>
        </w:rPr>
        <w:t xml:space="preserve"> لذلك، يقترح مشروع الخطة الوارد في الملحق أدناه الاكتفاء بنقل المبلغ الضروري لبلوغ </w:t>
      </w:r>
      <w:r w:rsidR="00C5253B">
        <w:rPr>
          <w:rFonts w:hint="cs"/>
          <w:sz w:val="24"/>
          <w:szCs w:val="24"/>
          <w:rtl/>
        </w:rPr>
        <w:t xml:space="preserve">1 </w:t>
      </w:r>
      <w:r w:rsidRPr="004146FA">
        <w:rPr>
          <w:sz w:val="24"/>
          <w:szCs w:val="24"/>
          <w:rtl/>
        </w:rPr>
        <w:t>مليون دولار أمريكي (</w:t>
      </w:r>
      <w:r w:rsidR="00C5253B">
        <w:rPr>
          <w:sz w:val="24"/>
          <w:szCs w:val="24"/>
        </w:rPr>
        <w:t> 24 190</w:t>
      </w:r>
      <w:r w:rsidRPr="004146FA">
        <w:rPr>
          <w:sz w:val="24"/>
          <w:szCs w:val="24"/>
          <w:rtl/>
        </w:rPr>
        <w:t xml:space="preserve">دولاراً أمريكياً) وعدم اعتماد نسبة مئوية ثابتة مستقبلاً. </w:t>
      </w:r>
    </w:p>
    <w:p w:rsidR="00680D8C" w:rsidRPr="004146FA" w:rsidRDefault="00680D8C" w:rsidP="004146FA">
      <w:pPr>
        <w:pStyle w:val="Default"/>
        <w:keepNext/>
        <w:bidi/>
        <w:spacing w:before="360" w:after="120"/>
        <w:ind w:left="567"/>
        <w:jc w:val="both"/>
        <w:rPr>
          <w:rFonts w:ascii="Times New Roman" w:hAnsi="Times New Roman"/>
          <w:b/>
          <w:lang w:val="en-GB"/>
        </w:rPr>
      </w:pPr>
      <w:r w:rsidRPr="004146FA">
        <w:rPr>
          <w:bCs/>
          <w:rtl/>
          <w:lang w:bidi="ar-QA"/>
        </w:rPr>
        <w:t>آفاق دورات الميزانية القادمة</w:t>
      </w:r>
    </w:p>
    <w:p w:rsidR="00680D8C" w:rsidRPr="004146FA" w:rsidRDefault="00680D8C" w:rsidP="00F46B98">
      <w:pPr>
        <w:pStyle w:val="5GAparabodytext"/>
        <w:rPr>
          <w:sz w:val="24"/>
          <w:szCs w:val="24"/>
        </w:rPr>
      </w:pPr>
      <w:proofErr w:type="gramStart"/>
      <w:r w:rsidRPr="00523383">
        <w:rPr>
          <w:sz w:val="24"/>
          <w:szCs w:val="24"/>
          <w:rtl/>
        </w:rPr>
        <w:t>إلى</w:t>
      </w:r>
      <w:proofErr w:type="gramEnd"/>
      <w:r w:rsidRPr="00523383">
        <w:rPr>
          <w:sz w:val="24"/>
          <w:szCs w:val="24"/>
          <w:rtl/>
        </w:rPr>
        <w:t xml:space="preserve"> اليوم، تمثل الدول الأطراف في الاتفاقية التي يبلغ عددها </w:t>
      </w:r>
      <w:r w:rsidR="001C3764">
        <w:rPr>
          <w:sz w:val="24"/>
          <w:szCs w:val="24"/>
        </w:rPr>
        <w:t>166</w:t>
      </w:r>
      <w:r w:rsidRPr="00523383">
        <w:rPr>
          <w:sz w:val="24"/>
          <w:szCs w:val="24"/>
          <w:rtl/>
        </w:rPr>
        <w:t xml:space="preserve"> دولة</w:t>
      </w:r>
      <w:r w:rsidRPr="004146FA">
        <w:rPr>
          <w:sz w:val="24"/>
          <w:szCs w:val="24"/>
          <w:rtl/>
        </w:rPr>
        <w:t xml:space="preserve"> نسبة </w:t>
      </w:r>
      <w:r w:rsidR="005F7039" w:rsidRPr="00523383">
        <w:rPr>
          <w:sz w:val="24"/>
          <w:szCs w:val="24"/>
        </w:rPr>
        <w:t>%</w:t>
      </w:r>
      <w:r w:rsidRPr="00523383">
        <w:rPr>
          <w:sz w:val="24"/>
          <w:szCs w:val="24"/>
          <w:rtl/>
        </w:rPr>
        <w:t>60</w:t>
      </w:r>
      <w:r w:rsidRPr="004146FA">
        <w:rPr>
          <w:sz w:val="24"/>
          <w:szCs w:val="24"/>
          <w:rtl/>
        </w:rPr>
        <w:t xml:space="preserve"> من مجموع الاشتراكات المقررة في ميزانية اليونسكو العادية، ويبلغ معدل الاشتراكات المقررة في الاتفاقية نسبة </w:t>
      </w:r>
      <w:r w:rsidR="001C3764">
        <w:rPr>
          <w:sz w:val="24"/>
          <w:szCs w:val="24"/>
        </w:rPr>
        <w:t>1%</w:t>
      </w:r>
      <w:r w:rsidRPr="004146FA">
        <w:rPr>
          <w:sz w:val="24"/>
          <w:szCs w:val="24"/>
          <w:rtl/>
        </w:rPr>
        <w:t xml:space="preserve"> من اشتراك كل دولة في الميزانية العادية لليونسكو.</w:t>
      </w:r>
      <w:r w:rsidRPr="004146FA">
        <w:rPr>
          <w:sz w:val="24"/>
          <w:szCs w:val="24"/>
        </w:rPr>
        <w:t xml:space="preserve"> </w:t>
      </w:r>
      <w:proofErr w:type="gramStart"/>
      <w:r w:rsidRPr="004146FA">
        <w:rPr>
          <w:sz w:val="24"/>
          <w:szCs w:val="24"/>
          <w:rtl/>
        </w:rPr>
        <w:t>على</w:t>
      </w:r>
      <w:proofErr w:type="gramEnd"/>
      <w:r w:rsidRPr="004146FA">
        <w:rPr>
          <w:sz w:val="24"/>
          <w:szCs w:val="24"/>
          <w:rtl/>
        </w:rPr>
        <w:t xml:space="preserve"> غرار فترة السنتين السابقة، سيتسلم الصندوق اشتراكات مقررة تبلغ قيمتها حوالي </w:t>
      </w:r>
      <w:r w:rsidR="001C3764">
        <w:rPr>
          <w:sz w:val="24"/>
          <w:szCs w:val="24"/>
        </w:rPr>
        <w:t>4</w:t>
      </w:r>
      <w:r w:rsidR="001C3764" w:rsidRPr="004146FA">
        <w:rPr>
          <w:sz w:val="24"/>
          <w:szCs w:val="24"/>
          <w:rtl/>
        </w:rPr>
        <w:t xml:space="preserve"> </w:t>
      </w:r>
      <w:r w:rsidRPr="004146FA">
        <w:rPr>
          <w:sz w:val="24"/>
          <w:szCs w:val="24"/>
          <w:rtl/>
        </w:rPr>
        <w:t xml:space="preserve">ملايين دولار أمريكي من الدول الأطراف خلال عامي 2016 -2017 (بما في ذلك 3.5 </w:t>
      </w:r>
      <w:proofErr w:type="gramStart"/>
      <w:r w:rsidRPr="004146FA">
        <w:rPr>
          <w:sz w:val="24"/>
          <w:szCs w:val="24"/>
          <w:rtl/>
        </w:rPr>
        <w:t>مليون</w:t>
      </w:r>
      <w:proofErr w:type="gramEnd"/>
      <w:r w:rsidRPr="004146FA">
        <w:rPr>
          <w:sz w:val="24"/>
          <w:szCs w:val="24"/>
          <w:rtl/>
        </w:rPr>
        <w:t xml:space="preserve"> دولار أمريكي في إطار الاشتراكات المقررة الإلزامية و0.5 مليون دولار أمريكي في إطار الاشتراكات المقررة الطوعية).</w:t>
      </w:r>
      <w:r w:rsidRPr="004146FA">
        <w:rPr>
          <w:sz w:val="24"/>
          <w:szCs w:val="24"/>
        </w:rPr>
        <w:t xml:space="preserve"> </w:t>
      </w:r>
      <w:r w:rsidRPr="004146FA">
        <w:rPr>
          <w:sz w:val="24"/>
          <w:szCs w:val="24"/>
          <w:rtl/>
        </w:rPr>
        <w:t>وتجاوز دخل الصندوق نفقاته في كل فترات العامين الماضية، وشهد رصيد الاعتمادات غير المقيدة بأغراض محددة وغير المرتبط بها نمواً مطّرداً في نهاية كل فترة عامين.</w:t>
      </w:r>
      <w:r w:rsidRPr="004146FA">
        <w:rPr>
          <w:sz w:val="24"/>
          <w:szCs w:val="24"/>
        </w:rPr>
        <w:t xml:space="preserve"> </w:t>
      </w:r>
      <w:proofErr w:type="gramStart"/>
      <w:r w:rsidRPr="004146FA">
        <w:rPr>
          <w:sz w:val="24"/>
          <w:szCs w:val="24"/>
          <w:rtl/>
        </w:rPr>
        <w:t>ولكن</w:t>
      </w:r>
      <w:proofErr w:type="gramEnd"/>
      <w:r w:rsidRPr="004146FA">
        <w:rPr>
          <w:sz w:val="24"/>
          <w:szCs w:val="24"/>
          <w:rtl/>
        </w:rPr>
        <w:t xml:space="preserve"> رصيد الأموال غير المقيدة بأغراض محددة وغير المرتبط بها، شهد</w:t>
      </w:r>
      <w:r w:rsidR="001C3764" w:rsidRPr="004146FA">
        <w:rPr>
          <w:sz w:val="24"/>
          <w:szCs w:val="24"/>
        </w:rPr>
        <w:t xml:space="preserve"> </w:t>
      </w:r>
      <w:r w:rsidR="001C3764" w:rsidRPr="004146FA">
        <w:rPr>
          <w:sz w:val="24"/>
          <w:szCs w:val="24"/>
          <w:rtl/>
        </w:rPr>
        <w:t>في حدود 31 كانون الأول/ديسمبر 2015</w:t>
      </w:r>
      <w:r w:rsidR="001C3764">
        <w:rPr>
          <w:sz w:val="24"/>
          <w:szCs w:val="24"/>
        </w:rPr>
        <w:t xml:space="preserve"> </w:t>
      </w:r>
      <w:r w:rsidRPr="004146FA">
        <w:rPr>
          <w:sz w:val="24"/>
          <w:szCs w:val="24"/>
          <w:rtl/>
        </w:rPr>
        <w:t>ارتفاعا مشابها (</w:t>
      </w:r>
      <w:r w:rsidR="001C3764">
        <w:rPr>
          <w:sz w:val="24"/>
          <w:szCs w:val="24"/>
        </w:rPr>
        <w:t>18%</w:t>
      </w:r>
      <w:r w:rsidRPr="004146FA">
        <w:rPr>
          <w:sz w:val="24"/>
          <w:szCs w:val="24"/>
          <w:rtl/>
        </w:rPr>
        <w:t>) مقارنة بفترة العامين السابقة (</w:t>
      </w:r>
      <w:r w:rsidR="001C3764">
        <w:rPr>
          <w:sz w:val="24"/>
          <w:szCs w:val="24"/>
        </w:rPr>
        <w:t>16%</w:t>
      </w:r>
      <w:r w:rsidRPr="004146FA">
        <w:rPr>
          <w:sz w:val="24"/>
          <w:szCs w:val="24"/>
          <w:rtl/>
        </w:rPr>
        <w:t>).</w:t>
      </w:r>
      <w:r w:rsidRPr="004146FA">
        <w:rPr>
          <w:sz w:val="24"/>
          <w:szCs w:val="24"/>
        </w:rPr>
        <w:t xml:space="preserve"> </w:t>
      </w:r>
    </w:p>
    <w:p w:rsidR="00680D8C" w:rsidRPr="004146FA" w:rsidRDefault="00680D8C" w:rsidP="00FE7585">
      <w:pPr>
        <w:pStyle w:val="5GAparabodytext"/>
        <w:rPr>
          <w:sz w:val="24"/>
          <w:szCs w:val="24"/>
        </w:rPr>
      </w:pPr>
      <w:r w:rsidRPr="004146FA">
        <w:rPr>
          <w:sz w:val="24"/>
          <w:szCs w:val="24"/>
          <w:rtl/>
        </w:rPr>
        <w:t xml:space="preserve">ويفسّر عاملان هذه الحالة تفسيراً مستفيضاً: ويتمثّل العامل الأول في مساهمة الدول الأطراف في الصندوق منذ دخول الاتفاقية حيز النفاذ في عام 2006، بينما لم توضع آلية استخدام الصندوق الرئيسية - أي المساعدة الدولية - قبل عام 2008. وقدمت الطلبات الأولى بشأن هذه المساعدة الدولية إلى اللجنة في عام 2009 وبدأ التنفيذ في عام 2010. ووقع لهذا السبب تراكم دخل مطّرد خلال مدة </w:t>
      </w:r>
      <w:r w:rsidR="001C3764">
        <w:rPr>
          <w:rFonts w:hint="cs"/>
          <w:sz w:val="24"/>
          <w:szCs w:val="24"/>
          <w:rtl/>
        </w:rPr>
        <w:t>اربع</w:t>
      </w:r>
      <w:r w:rsidR="001C3764" w:rsidRPr="004146FA">
        <w:rPr>
          <w:sz w:val="24"/>
          <w:szCs w:val="24"/>
          <w:rtl/>
        </w:rPr>
        <w:t xml:space="preserve"> </w:t>
      </w:r>
      <w:r w:rsidRPr="004146FA">
        <w:rPr>
          <w:sz w:val="24"/>
          <w:szCs w:val="24"/>
          <w:rtl/>
        </w:rPr>
        <w:t>سنوات قبل أن تبدأ تغطي النفقات بجدية.</w:t>
      </w:r>
      <w:r w:rsidRPr="004146FA">
        <w:rPr>
          <w:sz w:val="24"/>
          <w:szCs w:val="24"/>
        </w:rPr>
        <w:t xml:space="preserve"> </w:t>
      </w:r>
      <w:r w:rsidRPr="004146FA">
        <w:rPr>
          <w:sz w:val="24"/>
          <w:szCs w:val="24"/>
          <w:rtl/>
        </w:rPr>
        <w:t xml:space="preserve">ثانياً، في حين يتوجّب وفقاً للفقرة 66 من التوجيهات التنفيذية أن </w:t>
      </w:r>
      <w:r w:rsidR="00F46B98" w:rsidRPr="004146FA">
        <w:rPr>
          <w:sz w:val="24"/>
          <w:szCs w:val="24"/>
          <w:rtl/>
        </w:rPr>
        <w:t>"</w:t>
      </w:r>
      <w:r w:rsidRPr="004146FA">
        <w:rPr>
          <w:sz w:val="24"/>
          <w:szCs w:val="24"/>
          <w:rtl/>
        </w:rPr>
        <w:t xml:space="preserve">تستخدم موارد الصندوق </w:t>
      </w:r>
      <w:r w:rsidR="00F46B98">
        <w:rPr>
          <w:rFonts w:hint="cs"/>
          <w:sz w:val="24"/>
          <w:szCs w:val="24"/>
          <w:rtl/>
        </w:rPr>
        <w:t xml:space="preserve">لتقديم </w:t>
      </w:r>
      <w:r w:rsidR="00F46B98" w:rsidRPr="004146FA">
        <w:rPr>
          <w:sz w:val="24"/>
          <w:szCs w:val="24"/>
          <w:rtl/>
        </w:rPr>
        <w:t xml:space="preserve">المساعدة الدولية </w:t>
      </w:r>
      <w:r w:rsidRPr="004146FA">
        <w:rPr>
          <w:sz w:val="24"/>
          <w:szCs w:val="24"/>
          <w:rtl/>
        </w:rPr>
        <w:t>في المقام الأول"، فإنّ معدل استخدام هذه الأموال، والذي يعتمد بالأساس على عدد من الطلبات المقدمة من الدول الأطراف والتي تحظى بموافقة اللجنة أو مكتبها، لا يزال منخفضاً للغاية (</w:t>
      </w:r>
      <w:r w:rsidR="00F46B98">
        <w:rPr>
          <w:sz w:val="24"/>
          <w:szCs w:val="24"/>
        </w:rPr>
        <w:t>13%</w:t>
      </w:r>
      <w:r w:rsidRPr="004146FA">
        <w:rPr>
          <w:sz w:val="24"/>
          <w:szCs w:val="24"/>
          <w:rtl/>
        </w:rPr>
        <w:t xml:space="preserve"> للفترة 2014-2015).</w:t>
      </w:r>
    </w:p>
    <w:p w:rsidR="00680D8C" w:rsidRPr="004146FA" w:rsidRDefault="00680D8C" w:rsidP="00FE7585">
      <w:pPr>
        <w:pStyle w:val="5GAparabodytext"/>
        <w:rPr>
          <w:sz w:val="24"/>
          <w:szCs w:val="24"/>
        </w:rPr>
      </w:pPr>
      <w:r w:rsidRPr="004146FA">
        <w:rPr>
          <w:sz w:val="24"/>
          <w:szCs w:val="24"/>
          <w:rtl/>
        </w:rPr>
        <w:t xml:space="preserve">ورغم أنّ عدد طلبات المساعدة الدولية التي تُقدّمها الدول الأطراف لا يزال منخفضاً (16 طلباً سنوياً في المتوسّط منذ 2010)، فإنّ اللجنة اقترحت عدداً من التدابير الاستباقية في دورتها الأخيرة. كما أعلن عن ذلك في </w:t>
      </w:r>
      <w:r w:rsidRPr="00523383">
        <w:rPr>
          <w:sz w:val="24"/>
          <w:szCs w:val="24"/>
          <w:rtl/>
        </w:rPr>
        <w:t>الفقرة 10</w:t>
      </w:r>
      <w:r w:rsidRPr="00FE7585">
        <w:rPr>
          <w:sz w:val="24"/>
          <w:szCs w:val="24"/>
          <w:rtl/>
        </w:rPr>
        <w:t>،</w:t>
      </w:r>
      <w:r w:rsidRPr="004146FA">
        <w:rPr>
          <w:sz w:val="24"/>
          <w:szCs w:val="24"/>
          <w:rtl/>
        </w:rPr>
        <w:t xml:space="preserve"> تمّ فتح آفاق من خلال مراجعة التوجيهات التنفيذية </w:t>
      </w:r>
      <w:proofErr w:type="spellStart"/>
      <w:r w:rsidRPr="004146FA">
        <w:rPr>
          <w:sz w:val="24"/>
          <w:szCs w:val="24"/>
          <w:rtl/>
        </w:rPr>
        <w:t>الموصى</w:t>
      </w:r>
      <w:proofErr w:type="spellEnd"/>
      <w:r w:rsidRPr="004146FA">
        <w:rPr>
          <w:sz w:val="24"/>
          <w:szCs w:val="24"/>
          <w:rtl/>
        </w:rPr>
        <w:t xml:space="preserve"> بها من طرف اللجنة والتي درستها الجمعية العامة خلال دورتها الحالية في الوثيقة </w:t>
      </w:r>
      <w:r w:rsidRPr="004146FA">
        <w:rPr>
          <w:sz w:val="24"/>
          <w:szCs w:val="24"/>
        </w:rPr>
        <w:t>ITH/16/6.GA/7</w:t>
      </w:r>
      <w:r w:rsidRPr="004146FA">
        <w:rPr>
          <w:sz w:val="24"/>
          <w:szCs w:val="24"/>
          <w:rtl/>
        </w:rPr>
        <w:t xml:space="preserve">. ومن خلال الترفيع في المبلغ الأقصى للطلبات التي يمكن أن يدرسها المكتب من </w:t>
      </w:r>
      <w:r w:rsidR="00812027">
        <w:rPr>
          <w:sz w:val="24"/>
          <w:szCs w:val="24"/>
        </w:rPr>
        <w:t>25 000</w:t>
      </w:r>
      <w:r w:rsidRPr="004146FA">
        <w:rPr>
          <w:sz w:val="24"/>
          <w:szCs w:val="24"/>
          <w:rtl/>
        </w:rPr>
        <w:t xml:space="preserve"> دولار أمريكي إلى </w:t>
      </w:r>
      <w:r w:rsidR="00812027">
        <w:rPr>
          <w:sz w:val="24"/>
          <w:szCs w:val="24"/>
        </w:rPr>
        <w:t>100 000</w:t>
      </w:r>
      <w:r w:rsidRPr="004146FA">
        <w:rPr>
          <w:sz w:val="24"/>
          <w:szCs w:val="24"/>
          <w:rtl/>
        </w:rPr>
        <w:t xml:space="preserve"> دولار أمريكي، ستتمتّع الدول بفرصة دراسة مطلب تصل قيمته إلى </w:t>
      </w:r>
      <w:r w:rsidR="00812027">
        <w:rPr>
          <w:sz w:val="24"/>
          <w:szCs w:val="24"/>
        </w:rPr>
        <w:t>100 000</w:t>
      </w:r>
      <w:r w:rsidRPr="004146FA">
        <w:rPr>
          <w:sz w:val="24"/>
          <w:szCs w:val="24"/>
          <w:rtl/>
        </w:rPr>
        <w:t xml:space="preserve"> دولار أمريكي ومطلب ترشيح في العام ذاته، بما أنّ الهيئة ذاتها لم تعد مكلّفة بدراستهما. </w:t>
      </w:r>
      <w:r w:rsidRPr="004146FA">
        <w:rPr>
          <w:b/>
          <w:sz w:val="24"/>
          <w:szCs w:val="24"/>
          <w:rtl/>
        </w:rPr>
        <w:t>بالإضافة إلى ذلك، بما أنّه يمكن تقديم هذه الطلبات في أي وقت على مدار العام ولأنّ المكتب يجتمع بين ثلاث وأربع مرات في السنة – بما في ذلك عن طريق التشاور الإلكتروني – في حين تجتمع اللجنة مرة واحدة فقط، ستكون هناك فرص أكثر لمنح مثل هذه الطلبات.</w:t>
      </w:r>
    </w:p>
    <w:p w:rsidR="00680D8C" w:rsidRPr="004146FA" w:rsidRDefault="00680D8C" w:rsidP="001F40A6">
      <w:pPr>
        <w:pStyle w:val="5GAparabodytext"/>
        <w:rPr>
          <w:sz w:val="24"/>
          <w:szCs w:val="24"/>
        </w:rPr>
      </w:pPr>
      <w:r w:rsidRPr="004146FA">
        <w:rPr>
          <w:sz w:val="24"/>
          <w:szCs w:val="24"/>
          <w:rtl/>
        </w:rPr>
        <w:t xml:space="preserve">ويتعلّق الأفق الآخر بتفسير أكثر تكاملاً للمادة 21 وتعزيز المساعدة التي لا تتّخذ بالضرورة شكل منح أموال بل خدمات تقدّمها اليونسكو. </w:t>
      </w:r>
      <w:proofErr w:type="gramStart"/>
      <w:r w:rsidRPr="004146FA">
        <w:rPr>
          <w:sz w:val="24"/>
          <w:szCs w:val="24"/>
          <w:rtl/>
        </w:rPr>
        <w:t>إلى</w:t>
      </w:r>
      <w:proofErr w:type="gramEnd"/>
      <w:r w:rsidRPr="004146FA">
        <w:rPr>
          <w:sz w:val="24"/>
          <w:szCs w:val="24"/>
          <w:rtl/>
        </w:rPr>
        <w:t xml:space="preserve"> حدّ الساعة، تمّ تفسير المادة 21 من الاتفاقية والمتعلّقة بأشكال المساعدة الدولية بشكل ضيّق من قبل الدول الأطراف والأمانة، فقط على معنى الفقرة (ز)، أي المساعدة المالية وخاصة </w:t>
      </w:r>
      <w:r w:rsidR="00792310">
        <w:rPr>
          <w:rFonts w:hint="cs"/>
          <w:sz w:val="24"/>
          <w:szCs w:val="24"/>
          <w:rtl/>
        </w:rPr>
        <w:t>تقديم الهبات</w:t>
      </w:r>
      <w:r w:rsidRPr="004146FA">
        <w:rPr>
          <w:sz w:val="24"/>
          <w:szCs w:val="24"/>
          <w:rtl/>
        </w:rPr>
        <w:t>.</w:t>
      </w:r>
      <w:r w:rsidRPr="004146FA">
        <w:rPr>
          <w:sz w:val="24"/>
          <w:szCs w:val="24"/>
        </w:rPr>
        <w:t xml:space="preserve"> </w:t>
      </w:r>
      <w:r w:rsidRPr="004146FA">
        <w:rPr>
          <w:sz w:val="24"/>
          <w:szCs w:val="24"/>
          <w:rtl/>
        </w:rPr>
        <w:t xml:space="preserve">لكن المادة 21 تشير إلى أشكال أخرى من المساعدات، على غرار إجراء دراسات بشأن مختلف جوانب الصون (الفقرة </w:t>
      </w:r>
      <w:r w:rsidR="00792310" w:rsidRPr="00C81630">
        <w:t>]</w:t>
      </w:r>
      <w:r w:rsidR="00792310" w:rsidRPr="004146FA">
        <w:rPr>
          <w:sz w:val="24"/>
          <w:szCs w:val="24"/>
          <w:rtl/>
        </w:rPr>
        <w:t>أ</w:t>
      </w:r>
      <w:r w:rsidR="00792310" w:rsidRPr="00C81630">
        <w:t>[</w:t>
      </w:r>
      <w:r w:rsidRPr="004146FA">
        <w:rPr>
          <w:sz w:val="24"/>
          <w:szCs w:val="24"/>
          <w:rtl/>
        </w:rPr>
        <w:t xml:space="preserve">)، توفير الخبراء والممارسين (الفقرة </w:t>
      </w:r>
      <w:r w:rsidR="00792310" w:rsidRPr="00C81630">
        <w:t>]</w:t>
      </w:r>
      <w:r w:rsidRPr="004146FA">
        <w:rPr>
          <w:sz w:val="24"/>
          <w:szCs w:val="24"/>
          <w:rtl/>
        </w:rPr>
        <w:t>ب</w:t>
      </w:r>
      <w:r w:rsidR="00792310" w:rsidRPr="00C81630">
        <w:t>[</w:t>
      </w:r>
      <w:r w:rsidRPr="004146FA">
        <w:rPr>
          <w:sz w:val="24"/>
          <w:szCs w:val="24"/>
          <w:rtl/>
        </w:rPr>
        <w:t xml:space="preserve">)، تدريب العاملين اللازمين (الفقرة </w:t>
      </w:r>
      <w:r w:rsidR="00792310" w:rsidRPr="00C81630">
        <w:t>]</w:t>
      </w:r>
      <w:r w:rsidRPr="004146FA">
        <w:rPr>
          <w:sz w:val="24"/>
          <w:szCs w:val="24"/>
          <w:rtl/>
        </w:rPr>
        <w:t>ج</w:t>
      </w:r>
      <w:r w:rsidR="00792310" w:rsidRPr="00C81630">
        <w:t>[</w:t>
      </w:r>
      <w:r w:rsidRPr="004146FA">
        <w:rPr>
          <w:sz w:val="24"/>
          <w:szCs w:val="24"/>
          <w:rtl/>
        </w:rPr>
        <w:t xml:space="preserve">)، وضع تدابير تقنينية أو تدابير أخرى (الفقرة </w:t>
      </w:r>
      <w:r w:rsidR="00792310" w:rsidRPr="00C81630">
        <w:t>]</w:t>
      </w:r>
      <w:r w:rsidRPr="004146FA">
        <w:rPr>
          <w:sz w:val="24"/>
          <w:szCs w:val="24"/>
          <w:rtl/>
        </w:rPr>
        <w:t>د</w:t>
      </w:r>
      <w:r w:rsidR="00792310" w:rsidRPr="00C81630">
        <w:t>[</w:t>
      </w:r>
      <w:r w:rsidRPr="004146FA">
        <w:rPr>
          <w:sz w:val="24"/>
          <w:szCs w:val="24"/>
          <w:rtl/>
        </w:rPr>
        <w:t xml:space="preserve">)، إنشاء وتشغيل البنى الأساسية (الفقرة </w:t>
      </w:r>
      <w:r w:rsidR="00792310" w:rsidRPr="00C81630">
        <w:t>]</w:t>
      </w:r>
      <w:r w:rsidRPr="004146FA">
        <w:rPr>
          <w:sz w:val="24"/>
          <w:szCs w:val="24"/>
          <w:rtl/>
        </w:rPr>
        <w:t>ه</w:t>
      </w:r>
      <w:r w:rsidR="00792310" w:rsidRPr="00C81630">
        <w:t>[</w:t>
      </w:r>
      <w:r w:rsidRPr="004146FA">
        <w:rPr>
          <w:sz w:val="24"/>
          <w:szCs w:val="24"/>
          <w:rtl/>
        </w:rPr>
        <w:t xml:space="preserve">)، أو توفير المعدات </w:t>
      </w:r>
      <w:proofErr w:type="spellStart"/>
      <w:r w:rsidRPr="004146FA">
        <w:rPr>
          <w:sz w:val="24"/>
          <w:szCs w:val="24"/>
          <w:rtl/>
        </w:rPr>
        <w:t>والدرايات</w:t>
      </w:r>
      <w:proofErr w:type="spellEnd"/>
      <w:r w:rsidRPr="004146FA">
        <w:rPr>
          <w:sz w:val="24"/>
          <w:szCs w:val="24"/>
          <w:rtl/>
        </w:rPr>
        <w:t xml:space="preserve"> الفنية (الفقرة </w:t>
      </w:r>
      <w:r w:rsidR="00792310" w:rsidRPr="00C81630">
        <w:t>]</w:t>
      </w:r>
      <w:r w:rsidRPr="004146FA">
        <w:rPr>
          <w:sz w:val="24"/>
          <w:szCs w:val="24"/>
          <w:rtl/>
        </w:rPr>
        <w:t>و</w:t>
      </w:r>
      <w:r w:rsidR="00792310" w:rsidRPr="00C81630">
        <w:t>[</w:t>
      </w:r>
      <w:r w:rsidRPr="004146FA">
        <w:rPr>
          <w:sz w:val="24"/>
          <w:szCs w:val="24"/>
          <w:rtl/>
        </w:rPr>
        <w:t>)</w:t>
      </w:r>
      <w:r w:rsidR="00792310">
        <w:rPr>
          <w:rFonts w:hint="cs"/>
          <w:sz w:val="24"/>
          <w:szCs w:val="24"/>
          <w:rtl/>
        </w:rPr>
        <w:t xml:space="preserve"> </w:t>
      </w:r>
      <w:r w:rsidRPr="004146FA">
        <w:rPr>
          <w:sz w:val="24"/>
          <w:szCs w:val="24"/>
          <w:rtl/>
        </w:rPr>
        <w:t>التي لا تشمل بالضرورة تحويل أموال بل توفير خدمات، من خلال الصندوق، تهدف إلى دعم الدولة التي تقدّمت بالطلب في جهود الصون التي تبذلها.</w:t>
      </w:r>
      <w:r w:rsidRPr="004146FA">
        <w:rPr>
          <w:sz w:val="24"/>
          <w:szCs w:val="24"/>
        </w:rPr>
        <w:t xml:space="preserve"> </w:t>
      </w:r>
      <w:r w:rsidRPr="004146FA">
        <w:rPr>
          <w:sz w:val="24"/>
          <w:szCs w:val="24"/>
          <w:rtl/>
        </w:rPr>
        <w:t xml:space="preserve">ومن خلال الترويج لهاته الأشكال من المساعدة الدولية وخاصة الأشكال المنصوص عليها في الفقرتين ب </w:t>
      </w:r>
      <w:proofErr w:type="spellStart"/>
      <w:r w:rsidRPr="004146FA">
        <w:rPr>
          <w:sz w:val="24"/>
          <w:szCs w:val="24"/>
          <w:rtl/>
        </w:rPr>
        <w:t>وج</w:t>
      </w:r>
      <w:proofErr w:type="spellEnd"/>
      <w:r w:rsidRPr="004146FA">
        <w:rPr>
          <w:sz w:val="24"/>
          <w:szCs w:val="24"/>
          <w:rtl/>
        </w:rPr>
        <w:t xml:space="preserve">ـ، من المتوقّع أنّ تكون الدول في حلّ من عبء تقييم حاجياتها وأولوياتها من خلال تقديم طلبات للهيئات الإدارية تنتج عن تعاون لصيق بين الدولة المتقدّمة بالطلب والأمانة. وبالتالي من المرجّح أن يتحسّن استعمال الموارد المخصّصة للمساعدة الدولية. </w:t>
      </w:r>
      <w:proofErr w:type="gramStart"/>
      <w:r w:rsidRPr="004146FA">
        <w:rPr>
          <w:sz w:val="24"/>
          <w:szCs w:val="24"/>
          <w:rtl/>
        </w:rPr>
        <w:t>وأقرّت</w:t>
      </w:r>
      <w:proofErr w:type="gramEnd"/>
      <w:r w:rsidRPr="004146FA">
        <w:rPr>
          <w:sz w:val="24"/>
          <w:szCs w:val="24"/>
          <w:rtl/>
        </w:rPr>
        <w:t xml:space="preserve"> اللجنة تفسيراً أكثر تكاملًا ودقة للمادة 21 كما يتبيّن ذلك من </w:t>
      </w:r>
      <w:hyperlink r:id="rId15" w:history="1">
        <w:r w:rsidRPr="00BF603B">
          <w:rPr>
            <w:rStyle w:val="Hyperlink"/>
            <w:sz w:val="24"/>
            <w:szCs w:val="24"/>
            <w:rtl/>
          </w:rPr>
          <w:t xml:space="preserve">القرار </w:t>
        </w:r>
        <w:r w:rsidRPr="00BF603B">
          <w:rPr>
            <w:rStyle w:val="Hyperlink"/>
            <w:sz w:val="24"/>
            <w:szCs w:val="24"/>
          </w:rPr>
          <w:t>10.COM 8</w:t>
        </w:r>
      </w:hyperlink>
      <w:r w:rsidRPr="004146FA">
        <w:rPr>
          <w:sz w:val="24"/>
          <w:szCs w:val="24"/>
          <w:rtl/>
        </w:rPr>
        <w:t xml:space="preserve"> الذي طلبت بموجبه من الأمانة "مراجعة </w:t>
      </w:r>
      <w:r w:rsidR="00BF603B">
        <w:rPr>
          <w:rFonts w:hint="cs"/>
          <w:sz w:val="24"/>
          <w:szCs w:val="24"/>
          <w:rtl/>
        </w:rPr>
        <w:t>النموذج</w:t>
      </w:r>
      <w:r w:rsidRPr="005F7039">
        <w:rPr>
          <w:sz w:val="24"/>
          <w:szCs w:val="24"/>
        </w:rPr>
        <w:t>ICH-04</w:t>
      </w:r>
      <w:r w:rsidRPr="004146FA">
        <w:rPr>
          <w:sz w:val="24"/>
          <w:szCs w:val="24"/>
          <w:rtl/>
        </w:rPr>
        <w:t xml:space="preserve"> لتعكس بشكل أفضل أحكام المادة 21 من الاتفاقية بشأن أشكال المساعدة الدولية". غير أنّه من المهمّ ملاحظة أنّ كلا الأفقين سترافقه زيادة كبيرة في حجم عمل الأمانة.</w:t>
      </w:r>
    </w:p>
    <w:p w:rsidR="00680D8C" w:rsidRPr="004146FA" w:rsidRDefault="00680D8C" w:rsidP="003A7DD7">
      <w:pPr>
        <w:pStyle w:val="5GAparabodytext"/>
        <w:rPr>
          <w:rStyle w:val="hps"/>
          <w:sz w:val="24"/>
          <w:szCs w:val="24"/>
        </w:rPr>
      </w:pPr>
      <w:r w:rsidRPr="004146FA">
        <w:rPr>
          <w:sz w:val="24"/>
          <w:szCs w:val="24"/>
          <w:rtl/>
        </w:rPr>
        <w:t xml:space="preserve">وقد يترتّب عن استعمال أوسع </w:t>
      </w:r>
      <w:r w:rsidR="00BF603B">
        <w:rPr>
          <w:rFonts w:hint="cs"/>
          <w:sz w:val="24"/>
          <w:szCs w:val="24"/>
          <w:rtl/>
        </w:rPr>
        <w:t>للنموذج</w:t>
      </w:r>
      <w:r w:rsidR="00BF603B" w:rsidRPr="004146FA">
        <w:rPr>
          <w:sz w:val="24"/>
          <w:szCs w:val="24"/>
          <w:rtl/>
        </w:rPr>
        <w:t xml:space="preserve"> </w:t>
      </w:r>
      <w:proofErr w:type="gramStart"/>
      <w:r w:rsidRPr="004146FA">
        <w:rPr>
          <w:sz w:val="24"/>
          <w:szCs w:val="24"/>
          <w:rtl/>
        </w:rPr>
        <w:t>المشتركة</w:t>
      </w:r>
      <w:proofErr w:type="gramEnd"/>
      <w:r w:rsidRPr="004146FA">
        <w:rPr>
          <w:sz w:val="24"/>
          <w:szCs w:val="24"/>
          <w:rtl/>
        </w:rPr>
        <w:t xml:space="preserve"> </w:t>
      </w:r>
      <w:r w:rsidRPr="004146FA">
        <w:rPr>
          <w:sz w:val="24"/>
          <w:szCs w:val="24"/>
        </w:rPr>
        <w:t>ICH-01bis</w:t>
      </w:r>
      <w:r w:rsidRPr="004146FA">
        <w:rPr>
          <w:sz w:val="24"/>
          <w:szCs w:val="24"/>
          <w:rtl/>
        </w:rPr>
        <w:t xml:space="preserve"> (</w:t>
      </w:r>
      <w:hyperlink r:id="rId16" w:history="1">
        <w:r w:rsidRPr="004146FA">
          <w:rPr>
            <w:rStyle w:val="Hyperlink"/>
            <w:sz w:val="24"/>
            <w:szCs w:val="24"/>
            <w:rtl/>
          </w:rPr>
          <w:t>القرار</w:t>
        </w:r>
        <w:r w:rsidR="00BF603B">
          <w:rPr>
            <w:rStyle w:val="Hyperlink"/>
            <w:sz w:val="24"/>
            <w:szCs w:val="24"/>
            <w:lang w:val="en-US"/>
          </w:rPr>
          <w:t>9.</w:t>
        </w:r>
        <w:r w:rsidRPr="004146FA">
          <w:rPr>
            <w:rStyle w:val="Hyperlink"/>
            <w:sz w:val="24"/>
            <w:szCs w:val="24"/>
          </w:rPr>
          <w:t>COM 9</w:t>
        </w:r>
      </w:hyperlink>
      <w:r w:rsidRPr="004146FA">
        <w:rPr>
          <w:sz w:val="24"/>
          <w:szCs w:val="24"/>
          <w:rtl/>
        </w:rPr>
        <w:t>) التي تمكّن الدول الأطراف بشكل متزامن من ترشيح عنصر للإدراج في قائمة الصون العاجل وطلب مساعدة دولية من صندوق صون التراث الثقافي غير المادي بهدف دعم خطة الصون المقترحة ومساعدة تقنية لإعداد طلبات المساعدة الدولية من خلال توفير خبراء، زيادة في استخدام المساعدة الدولية. وعلى المدى الطويل، من المرجّح أيضا أن يكون للدعم الذي يقدّمه الصندوق لبرنامج بناء القدرات (بفضل المساهمات المخصصة المرصودة لبرامج تشغيلية محددة والاعتمادات في إطار البند 3 من الميزانية التي استخدمت، من جملة أمور أخرى، لتطوير مواد تدريبية محدّدة بشأن المساعدة الدولية) تأثير إيجابي على استخدام الأموال المرصودة للمساعدة الدولية في الميزانية.</w:t>
      </w:r>
    </w:p>
    <w:p w:rsidR="00680D8C" w:rsidRPr="004146FA" w:rsidRDefault="00680D8C" w:rsidP="00915890">
      <w:pPr>
        <w:pStyle w:val="5GAparabodytext"/>
        <w:rPr>
          <w:sz w:val="24"/>
          <w:szCs w:val="24"/>
        </w:rPr>
      </w:pPr>
      <w:proofErr w:type="gramStart"/>
      <w:r w:rsidRPr="004146FA">
        <w:rPr>
          <w:sz w:val="24"/>
          <w:szCs w:val="24"/>
          <w:rtl/>
        </w:rPr>
        <w:t>بشكل</w:t>
      </w:r>
      <w:proofErr w:type="gramEnd"/>
      <w:r w:rsidRPr="004146FA">
        <w:rPr>
          <w:sz w:val="24"/>
          <w:szCs w:val="24"/>
          <w:rtl/>
        </w:rPr>
        <w:t xml:space="preserve"> عام، كما هو الحال بالنسبة لجميع الأموال الخارجة عن الميزانية، يعتمد التنفيذ الفعّال كذلك على تقدير دقيق لكلفة النشاط، بما في ذلك وقت </w:t>
      </w:r>
      <w:r w:rsidR="00FE7585" w:rsidRPr="004146FA">
        <w:rPr>
          <w:sz w:val="24"/>
          <w:szCs w:val="24"/>
          <w:rtl/>
        </w:rPr>
        <w:t>الموظفين</w:t>
      </w:r>
      <w:r w:rsidRPr="004146FA">
        <w:rPr>
          <w:sz w:val="24"/>
          <w:szCs w:val="24"/>
          <w:rtl/>
        </w:rPr>
        <w:t>.</w:t>
      </w:r>
      <w:r w:rsidRPr="004146FA">
        <w:rPr>
          <w:sz w:val="24"/>
          <w:szCs w:val="24"/>
        </w:rPr>
        <w:t xml:space="preserve"> </w:t>
      </w:r>
      <w:proofErr w:type="gramStart"/>
      <w:r w:rsidRPr="004146FA">
        <w:rPr>
          <w:sz w:val="24"/>
          <w:szCs w:val="24"/>
          <w:rtl/>
        </w:rPr>
        <w:t>كما</w:t>
      </w:r>
      <w:proofErr w:type="gramEnd"/>
      <w:r w:rsidRPr="004146FA">
        <w:rPr>
          <w:sz w:val="24"/>
          <w:szCs w:val="24"/>
          <w:rtl/>
        </w:rPr>
        <w:t xml:space="preserve"> ينبغي أن تُفضي جهود الأمانة الرامية لتطبيق سياسة استرداد التكاليف الخاصة بالمنظمة عند استخدام موارد الصندوق، بناء على طلب اللجنة (</w:t>
      </w:r>
      <w:hyperlink r:id="rId17" w:history="1">
        <w:r w:rsidRPr="00FE7585">
          <w:rPr>
            <w:rStyle w:val="Hyperlink"/>
            <w:sz w:val="24"/>
            <w:szCs w:val="24"/>
            <w:rtl/>
          </w:rPr>
          <w:t xml:space="preserve">القرار </w:t>
        </w:r>
        <w:r w:rsidRPr="00FE7585">
          <w:rPr>
            <w:rStyle w:val="Hyperlink"/>
            <w:sz w:val="24"/>
            <w:szCs w:val="24"/>
          </w:rPr>
          <w:t>8.COM 11</w:t>
        </w:r>
      </w:hyperlink>
      <w:r w:rsidRPr="004146FA">
        <w:rPr>
          <w:sz w:val="24"/>
          <w:szCs w:val="24"/>
          <w:rtl/>
        </w:rPr>
        <w:t>) وفقاً للمادة 5.2 من النظام المالي، إلى تنفيذ أفضل للمساعدة الدولية من خلال السماح باسترداد كلفة الموظفين المتكبدة مباشرة عند تنفيذ المشاريع الممولة أو المساعدة التقنية.</w:t>
      </w:r>
    </w:p>
    <w:p w:rsidR="00680D8C" w:rsidRPr="001B5FE1" w:rsidRDefault="00680D8C" w:rsidP="00523383">
      <w:pPr>
        <w:pStyle w:val="5GAparabodytext"/>
      </w:pPr>
      <w:r w:rsidRPr="004146FA">
        <w:rPr>
          <w:sz w:val="24"/>
          <w:szCs w:val="24"/>
          <w:rtl/>
        </w:rPr>
        <w:t xml:space="preserve">وكان الهدف المحدّد لاستخدام موارد الصندوق خلال فترة العامين المنقضية أن تكون النفقات مساوية أو حتى تفوق مداخيل الاشتراكات المقررة لنفس تلك الفترة، وبذلك لا يكون الرصيد في نهاية عام 2015 أكبر من الرصيد في نهاية عام 2013. </w:t>
      </w:r>
      <w:proofErr w:type="gramStart"/>
      <w:r w:rsidRPr="004146FA">
        <w:rPr>
          <w:sz w:val="24"/>
          <w:szCs w:val="24"/>
          <w:rtl/>
        </w:rPr>
        <w:t>وبالنظر</w:t>
      </w:r>
      <w:proofErr w:type="gramEnd"/>
      <w:r w:rsidRPr="004146FA">
        <w:rPr>
          <w:sz w:val="24"/>
          <w:szCs w:val="24"/>
          <w:rtl/>
        </w:rPr>
        <w:t xml:space="preserve"> إلى عدم تحقيق هذا الهدف، يبدو من المعقول ضبط الهدف نفسه لفترة العامين الحالية، أي تنفيذ كامل مبلغ</w:t>
      </w:r>
      <w:r w:rsidR="00701E9D">
        <w:rPr>
          <w:rFonts w:hint="cs"/>
          <w:sz w:val="24"/>
          <w:szCs w:val="24"/>
          <w:rtl/>
        </w:rPr>
        <w:t xml:space="preserve"> </w:t>
      </w:r>
      <w:r w:rsidR="00FE7585">
        <w:rPr>
          <w:sz w:val="24"/>
          <w:szCs w:val="24"/>
        </w:rPr>
        <w:t>7 953 730</w:t>
      </w:r>
      <w:r w:rsidR="00D14D66">
        <w:rPr>
          <w:rFonts w:hint="cs"/>
          <w:sz w:val="24"/>
          <w:szCs w:val="24"/>
          <w:rtl/>
        </w:rPr>
        <w:t xml:space="preserve"> </w:t>
      </w:r>
      <w:r w:rsidRPr="004146FA">
        <w:rPr>
          <w:sz w:val="24"/>
          <w:szCs w:val="24"/>
          <w:rtl/>
        </w:rPr>
        <w:t>دولاراً أمريكياً من خطة استخدام موارد الصندوق بحيث لا يزيد الرصيد في نهاية فترة العامين مقارنة بمستواه في بدايتها.</w:t>
      </w:r>
      <w:r w:rsidRPr="001B5FE1">
        <w:rPr>
          <w:rtl/>
        </w:rPr>
        <w:t xml:space="preserve"> </w:t>
      </w:r>
    </w:p>
    <w:p w:rsidR="00680D8C" w:rsidRPr="001B5FE1" w:rsidRDefault="00680D8C" w:rsidP="004146FA">
      <w:pPr>
        <w:pStyle w:val="5GAparabodytext"/>
      </w:pPr>
      <w:r w:rsidRPr="004146FA">
        <w:rPr>
          <w:sz w:val="24"/>
          <w:szCs w:val="24"/>
          <w:rtl/>
        </w:rPr>
        <w:t>ورغم أنّ المساهمات التكميلية المقدمة إلى الصندوق ليست خاضعة لخطة استخدام موارد الصندوق التي تتطلب موافقة الجمعية العامة، من المهمّ الإشارة إلى أن الدعم الطوعي للاتفاقية من خلال صندوق التراث الثقافي غير المادي يشهد تراجعاً واضحاً سواء من حيث المساهمات المخصصة لبرنامج بناء القدرات أو المساهمات بعنوان الصندوق الفرعي لتعزيز الموارد البشرية للأمانة</w:t>
      </w:r>
      <w:r w:rsidRPr="00B356D2">
        <w:rPr>
          <w:rStyle w:val="FootnoteReference"/>
          <w:rtl/>
        </w:rPr>
        <w:footnoteReference w:id="1"/>
      </w:r>
      <w:r w:rsidRPr="00B356D2">
        <w:rPr>
          <w:rtl/>
        </w:rPr>
        <w:t>.</w:t>
      </w:r>
      <w:r w:rsidRPr="001B5FE1">
        <w:rPr>
          <w:color w:val="000000"/>
        </w:rPr>
        <w:t xml:space="preserve"> </w:t>
      </w:r>
      <w:r w:rsidRPr="001B5FE1">
        <w:rPr>
          <w:rtl/>
        </w:rPr>
        <w:t xml:space="preserve">بالنسبة للنقطة الأولى، يعتبر قلّة استخدام هذه الطريقة أمر مؤسف بما أنّها أثبتت أنّها تناسب بشكل خاص روح </w:t>
      </w:r>
      <w:proofErr w:type="spellStart"/>
      <w:r w:rsidRPr="001B5FE1">
        <w:rPr>
          <w:rtl/>
        </w:rPr>
        <w:t>إستراتيجية</w:t>
      </w:r>
      <w:proofErr w:type="spellEnd"/>
      <w:r w:rsidRPr="001B5FE1">
        <w:rPr>
          <w:rtl/>
        </w:rPr>
        <w:t xml:space="preserve"> بناء القدرات حيث تُمكّن اليونسكو من استخدام الموارد بشكل فعّال من خلال تقييم شامل للاحتياجات والتشاور مع النظراء الوطنيين لتنفيذ المشروع.</w:t>
      </w:r>
      <w:r w:rsidRPr="001B5FE1">
        <w:t xml:space="preserve"> </w:t>
      </w:r>
      <w:r w:rsidRPr="001B5FE1">
        <w:rPr>
          <w:rtl/>
        </w:rPr>
        <w:t xml:space="preserve">أمّا النقطة الثانية، فالأمر مؤسف كذلك بما أنّه الصندوق الفرعي وحده، دون التقليل من مزايا الطرق الأخرى، قادر على ضمان قوة عاملة مستدامة تناسب الوظائف الإلزامية التي يجب على الأمانة انجازها. </w:t>
      </w:r>
    </w:p>
    <w:p w:rsidR="00680D8C" w:rsidRPr="001B5FE1" w:rsidRDefault="00680D8C" w:rsidP="004146FA">
      <w:pPr>
        <w:pStyle w:val="5GATitleResolution"/>
        <w:bidi/>
        <w:rPr>
          <w:rFonts w:ascii="Times New Roman" w:hAnsi="Times New Roman" w:cs="Times New Roman"/>
        </w:rPr>
      </w:pPr>
      <w:r w:rsidRPr="001B5FE1">
        <w:rPr>
          <w:rFonts w:cs="Times New Roman"/>
          <w:bCs/>
          <w:rtl/>
          <w:lang w:bidi="ar-QA"/>
        </w:rPr>
        <w:t xml:space="preserve">مشروع القرار </w:t>
      </w:r>
      <w:r w:rsidRPr="005F7039">
        <w:rPr>
          <w:rFonts w:ascii="Times New Roman" w:hAnsi="Times New Roman" w:cs="Times New Roman"/>
          <w:bCs/>
          <w:lang w:bidi="ar-QA"/>
        </w:rPr>
        <w:t>6.GA 9</w:t>
      </w:r>
    </w:p>
    <w:p w:rsidR="00680D8C" w:rsidRPr="001B5FE1" w:rsidRDefault="00680D8C" w:rsidP="004146FA">
      <w:pPr>
        <w:pStyle w:val="5GAPreambulaResolution"/>
        <w:bidi/>
        <w:rPr>
          <w:rFonts w:ascii="Times New Roman" w:hAnsi="Times New Roman" w:cs="Times New Roman"/>
        </w:rPr>
      </w:pPr>
      <w:r w:rsidRPr="001B5FE1">
        <w:rPr>
          <w:rFonts w:cs="Times New Roman"/>
          <w:rtl/>
          <w:lang w:bidi="ar-QA"/>
        </w:rPr>
        <w:t>إن الجمعية العامة،</w:t>
      </w:r>
    </w:p>
    <w:p w:rsidR="00680D8C" w:rsidRPr="001B5FE1" w:rsidRDefault="00680D8C" w:rsidP="004146FA">
      <w:pPr>
        <w:pStyle w:val="ListParagraph"/>
        <w:keepNext/>
        <w:numPr>
          <w:ilvl w:val="0"/>
          <w:numId w:val="23"/>
        </w:numPr>
        <w:autoSpaceDE w:val="0"/>
        <w:autoSpaceDN w:val="0"/>
        <w:bidi/>
        <w:adjustRightInd w:val="0"/>
        <w:spacing w:before="120" w:after="120"/>
        <w:ind w:left="1140" w:hanging="573"/>
        <w:jc w:val="both"/>
        <w:rPr>
          <w:rFonts w:eastAsia="Times New Roman"/>
          <w:sz w:val="22"/>
          <w:szCs w:val="22"/>
          <w:lang w:val="en-GB"/>
        </w:rPr>
      </w:pPr>
      <w:r w:rsidRPr="001B5FE1">
        <w:rPr>
          <w:sz w:val="22"/>
          <w:szCs w:val="22"/>
          <w:u w:val="single"/>
          <w:rtl/>
          <w:lang w:bidi="ar-QA"/>
        </w:rPr>
        <w:t>وقد درست</w:t>
      </w:r>
      <w:r w:rsidRPr="001B5FE1">
        <w:rPr>
          <w:sz w:val="22"/>
          <w:szCs w:val="22"/>
          <w:rtl/>
          <w:lang w:bidi="ar-QA"/>
        </w:rPr>
        <w:t xml:space="preserve"> الوثائق </w:t>
      </w:r>
      <w:r w:rsidRPr="001B5FE1">
        <w:rPr>
          <w:rFonts w:eastAsia="Times New Roman"/>
          <w:sz w:val="22"/>
          <w:szCs w:val="22"/>
          <w:lang w:val="en-GB" w:bidi="ar-QA"/>
        </w:rPr>
        <w:t>ITH/16/6.GA/9</w:t>
      </w:r>
      <w:r w:rsidRPr="001B5FE1">
        <w:rPr>
          <w:sz w:val="22"/>
          <w:szCs w:val="22"/>
          <w:rtl/>
          <w:lang w:bidi="ar-QA"/>
        </w:rPr>
        <w:t xml:space="preserve"> و</w:t>
      </w:r>
      <w:r w:rsidRPr="001B5FE1">
        <w:rPr>
          <w:rFonts w:eastAsia="Times New Roman"/>
          <w:sz w:val="22"/>
          <w:szCs w:val="22"/>
          <w:lang w:val="en-GB" w:bidi="ar-QA"/>
        </w:rPr>
        <w:t>ITH/16/6.GA/INF.9.1</w:t>
      </w:r>
      <w:r w:rsidRPr="001B5FE1">
        <w:rPr>
          <w:sz w:val="22"/>
          <w:szCs w:val="22"/>
          <w:rtl/>
          <w:lang w:bidi="ar-QA"/>
        </w:rPr>
        <w:t xml:space="preserve"> و</w:t>
      </w:r>
      <w:r w:rsidRPr="001B5FE1">
        <w:rPr>
          <w:rFonts w:eastAsia="Times New Roman"/>
          <w:sz w:val="22"/>
          <w:szCs w:val="22"/>
          <w:lang w:val="en-GB" w:bidi="ar-QA"/>
        </w:rPr>
        <w:t>ITH/16/6.GA/INF.9.2</w:t>
      </w:r>
      <w:r w:rsidRPr="001B5FE1">
        <w:rPr>
          <w:sz w:val="22"/>
          <w:szCs w:val="22"/>
          <w:rtl/>
          <w:lang w:bidi="ar-QA"/>
        </w:rPr>
        <w:t>،</w:t>
      </w:r>
    </w:p>
    <w:p w:rsidR="00680D8C" w:rsidRPr="001B5FE1" w:rsidRDefault="00680D8C" w:rsidP="00FE7585">
      <w:pPr>
        <w:pStyle w:val="ListParagraph"/>
        <w:numPr>
          <w:ilvl w:val="0"/>
          <w:numId w:val="23"/>
        </w:numPr>
        <w:autoSpaceDE w:val="0"/>
        <w:autoSpaceDN w:val="0"/>
        <w:bidi/>
        <w:adjustRightInd w:val="0"/>
        <w:spacing w:before="120" w:after="120"/>
        <w:ind w:left="1140" w:hanging="573"/>
        <w:jc w:val="both"/>
        <w:rPr>
          <w:rFonts w:eastAsia="Times New Roman"/>
          <w:sz w:val="22"/>
          <w:szCs w:val="22"/>
          <w:lang w:val="en-GB"/>
        </w:rPr>
      </w:pPr>
      <w:r w:rsidRPr="001B5FE1">
        <w:rPr>
          <w:sz w:val="22"/>
          <w:szCs w:val="22"/>
          <w:u w:val="single"/>
          <w:rtl/>
          <w:lang w:bidi="ar-QA"/>
        </w:rPr>
        <w:t>وإذ تذكّر</w:t>
      </w:r>
      <w:r w:rsidRPr="001B5FE1">
        <w:rPr>
          <w:sz w:val="22"/>
          <w:szCs w:val="22"/>
          <w:rtl/>
          <w:lang w:bidi="ar-QA"/>
        </w:rPr>
        <w:t xml:space="preserve"> بالمادة 7 (جـ) من الاتفاقية وبالفقرتين 66 و67 من التوجيهات التنفيذية،</w:t>
      </w:r>
    </w:p>
    <w:p w:rsidR="00680D8C" w:rsidRPr="001B5FE1" w:rsidRDefault="00680D8C" w:rsidP="001A4172">
      <w:pPr>
        <w:pStyle w:val="ListParagraph"/>
        <w:numPr>
          <w:ilvl w:val="0"/>
          <w:numId w:val="23"/>
        </w:numPr>
        <w:autoSpaceDE w:val="0"/>
        <w:autoSpaceDN w:val="0"/>
        <w:bidi/>
        <w:adjustRightInd w:val="0"/>
        <w:spacing w:before="120" w:after="120"/>
        <w:ind w:left="1140" w:hanging="573"/>
        <w:jc w:val="both"/>
        <w:rPr>
          <w:rFonts w:eastAsia="Times New Roman"/>
          <w:sz w:val="22"/>
          <w:szCs w:val="22"/>
          <w:lang w:val="en-GB"/>
        </w:rPr>
      </w:pPr>
      <w:r w:rsidRPr="001B5FE1">
        <w:rPr>
          <w:sz w:val="22"/>
          <w:szCs w:val="22"/>
          <w:u w:val="single"/>
          <w:rtl/>
          <w:lang w:bidi="ar-QA"/>
        </w:rPr>
        <w:t>توافق</w:t>
      </w:r>
      <w:r w:rsidRPr="001B5FE1">
        <w:rPr>
          <w:sz w:val="22"/>
          <w:szCs w:val="22"/>
          <w:rtl/>
          <w:lang w:bidi="ar-QA"/>
        </w:rPr>
        <w:t xml:space="preserve"> على الخطة الخاصة باستخدام موارد الصندوق للفترة الممتدة من 1 كانون الثاني/يناير 2016 إلى 31 كانون الأول/ديسمبر 2017 وكذلك للفترة الممتدة من 1 كانون الثاني/يناير </w:t>
      </w:r>
      <w:r w:rsidR="00701E9D">
        <w:rPr>
          <w:rFonts w:hint="cs"/>
          <w:sz w:val="22"/>
          <w:szCs w:val="22"/>
          <w:rtl/>
          <w:lang w:bidi="ar-QA"/>
        </w:rPr>
        <w:t>2018</w:t>
      </w:r>
      <w:r w:rsidRPr="001B5FE1">
        <w:rPr>
          <w:sz w:val="22"/>
          <w:szCs w:val="22"/>
          <w:rtl/>
          <w:lang w:bidi="ar-QA"/>
        </w:rPr>
        <w:t xml:space="preserve"> إلى 30 حزيران/يونيو 2018، في صيغتها الملحقة بهذا القرار، علماً بأنها قد تعدّل خطة الميزانية للفترة الممتدة من 1 كانون الثاني/يناير</w:t>
      </w:r>
      <w:r w:rsidR="00701E9D">
        <w:rPr>
          <w:rFonts w:hint="cs"/>
          <w:sz w:val="22"/>
          <w:szCs w:val="22"/>
          <w:rtl/>
          <w:lang w:bidi="ar-QA"/>
        </w:rPr>
        <w:t xml:space="preserve"> 2018</w:t>
      </w:r>
      <w:r w:rsidRPr="001B5FE1">
        <w:rPr>
          <w:sz w:val="22"/>
          <w:szCs w:val="22"/>
          <w:rtl/>
          <w:lang w:bidi="ar-QA"/>
        </w:rPr>
        <w:t xml:space="preserve"> إلى </w:t>
      </w:r>
      <w:r w:rsidR="005F7039">
        <w:rPr>
          <w:rFonts w:hint="cs"/>
          <w:sz w:val="22"/>
          <w:szCs w:val="22"/>
          <w:rtl/>
          <w:lang w:bidi="ar-QA"/>
        </w:rPr>
        <w:t xml:space="preserve">30 </w:t>
      </w:r>
      <w:r w:rsidRPr="001B5FE1">
        <w:rPr>
          <w:sz w:val="22"/>
          <w:szCs w:val="22"/>
          <w:rtl/>
          <w:lang w:bidi="ar-QA"/>
        </w:rPr>
        <w:t>حزيران/يونيو 2018 عندما يحين وقت انعقاد دورتها السابعة في حزيران/يونيو 2018؛</w:t>
      </w:r>
    </w:p>
    <w:p w:rsidR="00680D8C" w:rsidRPr="001B5FE1" w:rsidRDefault="00680D8C" w:rsidP="004146FA">
      <w:pPr>
        <w:numPr>
          <w:ilvl w:val="0"/>
          <w:numId w:val="23"/>
        </w:numPr>
        <w:autoSpaceDE w:val="0"/>
        <w:autoSpaceDN w:val="0"/>
        <w:adjustRightInd w:val="0"/>
        <w:spacing w:before="120" w:after="120"/>
        <w:jc w:val="both"/>
        <w:rPr>
          <w:rFonts w:eastAsia="Times New Roman"/>
          <w:sz w:val="22"/>
          <w:szCs w:val="22"/>
          <w:lang w:val="en-GB"/>
        </w:rPr>
      </w:pPr>
      <w:r w:rsidRPr="001B5FE1">
        <w:rPr>
          <w:sz w:val="22"/>
          <w:szCs w:val="22"/>
          <w:u w:val="single"/>
          <w:rtl/>
          <w:lang w:bidi="ar-QA"/>
        </w:rPr>
        <w:t>وتأذن</w:t>
      </w:r>
      <w:r w:rsidRPr="001B5FE1">
        <w:rPr>
          <w:sz w:val="22"/>
          <w:szCs w:val="22"/>
          <w:rtl/>
          <w:lang w:bidi="ar-QA"/>
        </w:rPr>
        <w:t xml:space="preserve"> للجنة بأن تستخدم فوراً أي مساهمات طوعية إضافية قد يتم تلقيها خلال هاتين الفترتين، طبقاً لما هو مبيّن في المادة 27 من الاتفاقية، وذلك وفقاً للنسب المئوية المبينة في الخطة؛</w:t>
      </w:r>
    </w:p>
    <w:p w:rsidR="00680D8C" w:rsidRPr="001B5FE1" w:rsidRDefault="00680D8C" w:rsidP="004146FA">
      <w:pPr>
        <w:numPr>
          <w:ilvl w:val="0"/>
          <w:numId w:val="23"/>
        </w:numPr>
        <w:autoSpaceDE w:val="0"/>
        <w:autoSpaceDN w:val="0"/>
        <w:adjustRightInd w:val="0"/>
        <w:spacing w:before="120" w:after="120"/>
        <w:jc w:val="both"/>
        <w:rPr>
          <w:rFonts w:eastAsia="Times New Roman"/>
          <w:sz w:val="22"/>
          <w:szCs w:val="22"/>
          <w:lang w:val="en-GB"/>
        </w:rPr>
      </w:pPr>
      <w:r w:rsidRPr="001B5FE1">
        <w:rPr>
          <w:sz w:val="22"/>
          <w:szCs w:val="22"/>
          <w:u w:val="single"/>
          <w:rtl/>
          <w:lang w:bidi="ar-QA"/>
        </w:rPr>
        <w:t>وتأذن أيضاً</w:t>
      </w:r>
      <w:r w:rsidRPr="001B5FE1">
        <w:rPr>
          <w:sz w:val="22"/>
          <w:szCs w:val="22"/>
          <w:rtl/>
          <w:lang w:bidi="ar-QA"/>
        </w:rPr>
        <w:t xml:space="preserve"> للجنة بأن تستخدم فوراً أي مساهمات قد تقبلها خلال هاتين الفترتين لتحقيق أغراض خاصة تتعلق بمشروعات محددة، شريطة موافقة اللجنة على هذه المشروعات قبل تلقي الأموال، وفقاً لما تنص عليه المادة 25.5 من الاتفاقية؛</w:t>
      </w:r>
    </w:p>
    <w:p w:rsidR="00067158" w:rsidRPr="00523383" w:rsidRDefault="00680D8C" w:rsidP="00701E9D">
      <w:pPr>
        <w:pStyle w:val="5GAParaResolution"/>
        <w:numPr>
          <w:ilvl w:val="0"/>
          <w:numId w:val="23"/>
        </w:numPr>
        <w:bidi/>
        <w:rPr>
          <w:rFonts w:ascii="Times New Roman" w:hAnsi="Times New Roman" w:cs="Times New Roman"/>
          <w:rtl/>
        </w:rPr>
      </w:pPr>
      <w:r w:rsidRPr="001B5FE1">
        <w:rPr>
          <w:rFonts w:cs="Times New Roman"/>
          <w:u w:val="single"/>
          <w:rtl/>
          <w:lang w:bidi="ar-QA"/>
        </w:rPr>
        <w:t xml:space="preserve">وتحيط </w:t>
      </w:r>
      <w:proofErr w:type="gramStart"/>
      <w:r w:rsidRPr="001B5FE1">
        <w:rPr>
          <w:rFonts w:cs="Times New Roman"/>
          <w:u w:val="single"/>
          <w:rtl/>
          <w:lang w:bidi="ar-QA"/>
        </w:rPr>
        <w:t>علماً</w:t>
      </w:r>
      <w:proofErr w:type="gramEnd"/>
      <w:r w:rsidRPr="001B5FE1">
        <w:rPr>
          <w:rFonts w:cs="Times New Roman"/>
          <w:rtl/>
          <w:lang w:bidi="ar-QA"/>
        </w:rPr>
        <w:t xml:space="preserve"> </w:t>
      </w:r>
      <w:r w:rsidR="00701E9D" w:rsidRPr="00523383">
        <w:rPr>
          <w:rFonts w:ascii="Times New Roman" w:hAnsi="Times New Roman" w:cs="Times New Roman"/>
          <w:rtl/>
          <w:lang w:val="fr-FR" w:bidi="ar-QA"/>
        </w:rPr>
        <w:t>بأن</w:t>
      </w:r>
      <w:r w:rsidR="00701E9D" w:rsidRPr="00523383">
        <w:rPr>
          <w:rFonts w:ascii="Times New Roman" w:hAnsi="Times New Roman" w:cs="Times New Roman"/>
          <w:rtl/>
          <w:lang w:val="fr-FR" w:bidi="ar"/>
        </w:rPr>
        <w:t xml:space="preserve"> </w:t>
      </w:r>
      <w:r w:rsidR="00701E9D" w:rsidRPr="00523383">
        <w:rPr>
          <w:rFonts w:ascii="Times New Roman" w:hAnsi="Times New Roman" w:cs="Times New Roman"/>
          <w:rtl/>
          <w:lang w:val="fr-FR"/>
        </w:rPr>
        <w:t>ا</w:t>
      </w:r>
      <w:r w:rsidR="00701E9D" w:rsidRPr="00523383">
        <w:rPr>
          <w:rFonts w:ascii="Times New Roman" w:hAnsi="Times New Roman" w:cs="Times New Roman"/>
          <w:rtl/>
          <w:lang w:val="fr-FR" w:bidi="ar-QA"/>
        </w:rPr>
        <w:t>لجنة</w:t>
      </w:r>
      <w:r w:rsidR="00701E9D" w:rsidRPr="00523383">
        <w:rPr>
          <w:rFonts w:ascii="Times New Roman" w:hAnsi="Times New Roman" w:cs="Times New Roman"/>
          <w:rtl/>
          <w:lang w:val="fr-FR" w:bidi="ar"/>
        </w:rPr>
        <w:t xml:space="preserve"> </w:t>
      </w:r>
      <w:r w:rsidR="00701E9D" w:rsidRPr="00523383">
        <w:rPr>
          <w:rFonts w:ascii="Times New Roman" w:hAnsi="Times New Roman" w:cs="Times New Roman"/>
          <w:rtl/>
          <w:lang w:val="fr-FR" w:bidi="ar-QA"/>
        </w:rPr>
        <w:t>تعيين</w:t>
      </w:r>
      <w:r w:rsidR="00701E9D" w:rsidRPr="00523383">
        <w:rPr>
          <w:rFonts w:ascii="Times New Roman" w:hAnsi="Times New Roman" w:cs="Times New Roman"/>
          <w:rtl/>
          <w:lang w:val="fr-FR" w:bidi="ar"/>
        </w:rPr>
        <w:t xml:space="preserve"> </w:t>
      </w:r>
      <w:r w:rsidR="00701E9D" w:rsidRPr="00523383">
        <w:rPr>
          <w:rFonts w:ascii="Times New Roman" w:hAnsi="Times New Roman" w:cs="Times New Roman"/>
          <w:rtl/>
          <w:lang w:val="fr-FR" w:bidi="ar-QA"/>
        </w:rPr>
        <w:t>مبلغ صندوق</w:t>
      </w:r>
      <w:r w:rsidR="00701E9D" w:rsidRPr="00523383">
        <w:rPr>
          <w:rFonts w:ascii="Times New Roman" w:hAnsi="Times New Roman" w:cs="Times New Roman"/>
          <w:rtl/>
          <w:lang w:val="fr-FR" w:bidi="ar"/>
        </w:rPr>
        <w:t xml:space="preserve"> </w:t>
      </w:r>
      <w:r w:rsidR="00701E9D" w:rsidRPr="00523383">
        <w:rPr>
          <w:rFonts w:ascii="Times New Roman" w:hAnsi="Times New Roman" w:cs="Times New Roman"/>
          <w:rtl/>
          <w:lang w:val="fr-FR" w:bidi="ar-QA"/>
        </w:rPr>
        <w:t>الاحتياطي</w:t>
      </w:r>
      <w:r w:rsidR="00701E9D" w:rsidRPr="00523383">
        <w:rPr>
          <w:rFonts w:ascii="Times New Roman" w:hAnsi="Times New Roman" w:cs="Times New Roman"/>
          <w:rtl/>
          <w:lang w:val="fr-FR" w:bidi="ar"/>
        </w:rPr>
        <w:t xml:space="preserve"> </w:t>
      </w:r>
      <w:r w:rsidR="00701E9D" w:rsidRPr="00523383">
        <w:rPr>
          <w:rFonts w:ascii="Times New Roman" w:hAnsi="Times New Roman" w:cs="Times New Roman"/>
          <w:rtl/>
          <w:lang w:val="fr-FR" w:bidi="ar-QA"/>
        </w:rPr>
        <w:t>إلى 1 مليون دولاراً أمريكياً</w:t>
      </w:r>
      <w:r w:rsidR="00067158">
        <w:rPr>
          <w:rFonts w:ascii="Times New Roman" w:hAnsi="Times New Roman" w:cs="Times New Roman" w:hint="cs"/>
          <w:rtl/>
          <w:lang w:val="fr-FR" w:bidi="ar-QA"/>
        </w:rPr>
        <w:t>.</w:t>
      </w:r>
    </w:p>
    <w:p w:rsidR="00680D8C" w:rsidRPr="001B5FE1" w:rsidRDefault="00067158" w:rsidP="001A4172">
      <w:pPr>
        <w:pStyle w:val="5GAParaResolution"/>
        <w:numPr>
          <w:ilvl w:val="0"/>
          <w:numId w:val="23"/>
        </w:numPr>
        <w:bidi/>
        <w:rPr>
          <w:rFonts w:ascii="Times New Roman" w:hAnsi="Times New Roman" w:cs="Times New Roman"/>
        </w:rPr>
      </w:pPr>
      <w:r w:rsidRPr="00067158">
        <w:rPr>
          <w:rFonts w:cs="Times New Roman" w:hint="cs"/>
          <w:u w:val="single"/>
          <w:rtl/>
          <w:lang w:bidi="ar-QA"/>
        </w:rPr>
        <w:t xml:space="preserve">وكما </w:t>
      </w:r>
      <w:r w:rsidRPr="00067158">
        <w:rPr>
          <w:rFonts w:cs="Times New Roman"/>
          <w:u w:val="single"/>
          <w:rtl/>
          <w:lang w:bidi="ar-QA"/>
        </w:rPr>
        <w:t>تحيط علماً</w:t>
      </w:r>
      <w:r w:rsidR="00680D8C" w:rsidRPr="00523383">
        <w:rPr>
          <w:rFonts w:ascii="Times New Roman" w:hAnsi="Times New Roman" w:cs="Times New Roman"/>
          <w:rtl/>
          <w:lang w:val="fr-FR" w:bidi="ar-QA"/>
        </w:rPr>
        <w:t xml:space="preserve"> </w:t>
      </w:r>
      <w:r w:rsidR="00680D8C" w:rsidRPr="001B5FE1">
        <w:rPr>
          <w:rFonts w:cs="Times New Roman"/>
          <w:rtl/>
          <w:lang w:bidi="ar-QA"/>
        </w:rPr>
        <w:t xml:space="preserve">بعض </w:t>
      </w:r>
      <w:r w:rsidR="00680D8C" w:rsidRPr="004F0C9D">
        <w:rPr>
          <w:rFonts w:cs="Times New Roman"/>
          <w:rtl/>
          <w:lang w:bidi="ar-QA"/>
        </w:rPr>
        <w:t>الجهات المانحة قد</w:t>
      </w:r>
      <w:r w:rsidR="00680D8C" w:rsidRPr="001B5FE1">
        <w:rPr>
          <w:rFonts w:cs="Times New Roman"/>
          <w:rtl/>
          <w:lang w:bidi="ar-QA"/>
        </w:rPr>
        <w:t xml:space="preserve"> قدم</w:t>
      </w:r>
      <w:r w:rsidR="00680D8C">
        <w:rPr>
          <w:rFonts w:cs="Times New Roman"/>
          <w:rtl/>
          <w:lang w:bidi="ar-QA"/>
        </w:rPr>
        <w:t>ت مساهمات طوعية إضافية، وهي أذر</w:t>
      </w:r>
      <w:r w:rsidR="00680D8C" w:rsidRPr="001B5FE1">
        <w:rPr>
          <w:rFonts w:cs="Times New Roman"/>
          <w:rtl/>
          <w:lang w:bidi="ar-QA"/>
        </w:rPr>
        <w:t>بيجان وبوركينا فاسو والصين وجورجيا واليابان وموناكو وهولندا والنرويج والبرتغال وإسبانيا والإمارات العربية المتحدة بالإضافة إلى جمعية صون التراث الثقافي غير المادي (ايطاليا) والمركز النرويجي للموسيقى التقليدية (النرويج)؛</w:t>
      </w:r>
    </w:p>
    <w:p w:rsidR="00680D8C" w:rsidRPr="001B5FE1" w:rsidRDefault="00680D8C" w:rsidP="001F40A6">
      <w:pPr>
        <w:numPr>
          <w:ilvl w:val="0"/>
          <w:numId w:val="23"/>
        </w:numPr>
        <w:autoSpaceDE w:val="0"/>
        <w:autoSpaceDN w:val="0"/>
        <w:adjustRightInd w:val="0"/>
        <w:spacing w:before="120" w:after="120"/>
        <w:jc w:val="both"/>
        <w:rPr>
          <w:rFonts w:eastAsia="Times New Roman"/>
          <w:sz w:val="22"/>
          <w:szCs w:val="22"/>
          <w:lang w:val="en-GB"/>
        </w:rPr>
      </w:pPr>
      <w:r w:rsidRPr="001B5FE1">
        <w:rPr>
          <w:sz w:val="22"/>
          <w:szCs w:val="22"/>
          <w:u w:val="single"/>
          <w:rtl/>
          <w:lang w:bidi="ar-QA"/>
        </w:rPr>
        <w:t>وتشكر</w:t>
      </w:r>
      <w:r w:rsidRPr="001B5FE1">
        <w:rPr>
          <w:sz w:val="22"/>
          <w:szCs w:val="22"/>
          <w:rtl/>
          <w:lang w:bidi="ar-QA"/>
        </w:rPr>
        <w:t xml:space="preserve"> جميع الجهات المساهمة التي دعمت الاتفاقية وأمانتها، منذ دورتها الماضية، باستخدام أشكال مختلفة من الدعم، المالي أو العيني، مثل المساهمات الطوعية الإضافية المحددة الأغراض، التي تقدم إلى صندوق التراث الثقافي غير المادي أو إلى الصندوق الفرعي لتعزيز القدرات البشرية لدى الأمانة، وأموال الودائع، وإعارة الموظفين، </w:t>
      </w:r>
      <w:r w:rsidRPr="001B5FE1">
        <w:rPr>
          <w:sz w:val="22"/>
          <w:szCs w:val="22"/>
          <w:u w:val="single"/>
          <w:rtl/>
          <w:lang w:bidi="ar-QA"/>
        </w:rPr>
        <w:t>وتشجع</w:t>
      </w:r>
      <w:r w:rsidRPr="001B5FE1">
        <w:rPr>
          <w:sz w:val="22"/>
          <w:szCs w:val="22"/>
          <w:rtl/>
          <w:lang w:bidi="ar-QA"/>
        </w:rPr>
        <w:t xml:space="preserve"> الدول الأخرى على النظر في إمكانية دعم الاتفاقية بالطريقة التي تختارها.</w:t>
      </w:r>
    </w:p>
    <w:p w:rsidR="00680D8C" w:rsidRPr="001B5FE1" w:rsidRDefault="00680D8C" w:rsidP="004146FA">
      <w:pPr>
        <w:pStyle w:val="5GAparabodytext"/>
        <w:sectPr w:rsidR="00680D8C" w:rsidRPr="001B5FE1" w:rsidSect="00523383">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851" w:left="1134" w:header="397" w:footer="284" w:gutter="0"/>
          <w:cols w:space="708"/>
          <w:titlePg/>
          <w:docGrid w:linePitch="360"/>
        </w:sectPr>
      </w:pPr>
    </w:p>
    <w:p w:rsidR="00680D8C" w:rsidRPr="001B5FE1" w:rsidRDefault="00680D8C" w:rsidP="004146FA">
      <w:pPr>
        <w:pStyle w:val="5GAParaResolution"/>
        <w:bidi/>
        <w:spacing w:before="240" w:after="240"/>
        <w:ind w:left="0" w:firstLine="0"/>
        <w:jc w:val="center"/>
        <w:rPr>
          <w:rFonts w:cs="Times New Roman"/>
          <w:bCs/>
          <w:rtl/>
          <w:lang w:bidi="ar-TN"/>
        </w:rPr>
      </w:pPr>
      <w:r w:rsidRPr="001B5FE1">
        <w:rPr>
          <w:rFonts w:cs="Times New Roman"/>
          <w:bCs/>
          <w:rtl/>
          <w:lang w:bidi="ar-QA"/>
        </w:rPr>
        <w:t>الملحق</w:t>
      </w:r>
    </w:p>
    <w:tbl>
      <w:tblPr>
        <w:bidiVisual/>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101"/>
        <w:gridCol w:w="1348"/>
        <w:gridCol w:w="1981"/>
        <w:gridCol w:w="1998"/>
      </w:tblGrid>
      <w:tr w:rsidR="00680D8C" w:rsidRPr="001B5FE1" w:rsidTr="002B25AD">
        <w:tc>
          <w:tcPr>
            <w:tcW w:w="2981"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680D8C" w:rsidRPr="001B5FE1" w:rsidRDefault="00680D8C" w:rsidP="004146FA">
            <w:pPr>
              <w:pStyle w:val="Default"/>
              <w:bidi/>
              <w:spacing w:before="80" w:after="120" w:line="168" w:lineRule="auto"/>
              <w:jc w:val="center"/>
              <w:rPr>
                <w:rFonts w:ascii="Times New Roman" w:hAnsi="Times New Roman"/>
                <w:b/>
                <w:sz w:val="22"/>
                <w:szCs w:val="22"/>
                <w:lang w:val="en-GB"/>
              </w:rPr>
            </w:pPr>
            <w:r w:rsidRPr="001B5FE1">
              <w:rPr>
                <w:b/>
                <w:bCs/>
                <w:noProof/>
                <w:sz w:val="22"/>
                <w:szCs w:val="22"/>
                <w:rtl/>
              </w:rPr>
              <w:t>مشروع خطة استخدام موارد الصندوق</w:t>
            </w:r>
          </w:p>
        </w:tc>
        <w:tc>
          <w:tcPr>
            <w:tcW w:w="2019" w:type="pct"/>
            <w:gridSpan w:val="2"/>
            <w:tcBorders>
              <w:top w:val="nil"/>
              <w:left w:val="single" w:sz="12" w:space="0" w:color="auto"/>
              <w:bottom w:val="single" w:sz="2" w:space="0" w:color="auto"/>
              <w:right w:val="nil"/>
            </w:tcBorders>
            <w:vAlign w:val="center"/>
          </w:tcPr>
          <w:p w:rsidR="00680D8C" w:rsidRPr="001B5FE1" w:rsidRDefault="00680D8C" w:rsidP="004146FA">
            <w:pPr>
              <w:pStyle w:val="Default"/>
              <w:bidi/>
              <w:spacing w:before="80" w:after="120" w:line="168" w:lineRule="auto"/>
              <w:rPr>
                <w:rFonts w:ascii="Times New Roman" w:hAnsi="Times New Roman"/>
                <w:bCs/>
                <w:sz w:val="22"/>
                <w:szCs w:val="22"/>
                <w:lang w:val="fr-FR"/>
              </w:rPr>
            </w:pPr>
          </w:p>
        </w:tc>
      </w:tr>
      <w:tr w:rsidR="00680D8C" w:rsidRPr="001B5FE1">
        <w:tc>
          <w:tcPr>
            <w:tcW w:w="2297" w:type="pct"/>
            <w:gridSpan w:val="2"/>
            <w:tcBorders>
              <w:top w:val="single" w:sz="12" w:space="0" w:color="auto"/>
              <w:left w:val="single" w:sz="12" w:space="0" w:color="auto"/>
            </w:tcBorders>
            <w:vAlign w:val="center"/>
          </w:tcPr>
          <w:p w:rsidR="00680D8C" w:rsidRPr="005F7039" w:rsidRDefault="00680D8C" w:rsidP="004146FA">
            <w:pPr>
              <w:autoSpaceDE w:val="0"/>
              <w:autoSpaceDN w:val="0"/>
              <w:adjustRightInd w:val="0"/>
              <w:spacing w:before="80" w:after="120" w:line="168" w:lineRule="auto"/>
              <w:jc w:val="right"/>
              <w:rPr>
                <w:rFonts w:eastAsia="Times New Roman"/>
                <w:color w:val="000000"/>
              </w:rPr>
            </w:pPr>
            <w:r w:rsidRPr="001B5FE1">
              <w:rPr>
                <w:noProof/>
                <w:color w:val="000000"/>
                <w:sz w:val="22"/>
                <w:szCs w:val="22"/>
                <w:rtl/>
              </w:rPr>
              <w:t>فيما يخص الفترة الممتدة من 1 كانون الثاني/يناير 2016 إلى 31 كانون الأول/ديسمبر 2017، وكذلك الفترة الممتدة من 1 كانون الثاني/يناير</w:t>
            </w:r>
            <w:r w:rsidR="00067158">
              <w:rPr>
                <w:rFonts w:hint="cs"/>
                <w:noProof/>
                <w:color w:val="000000"/>
                <w:sz w:val="22"/>
                <w:szCs w:val="22"/>
                <w:rtl/>
              </w:rPr>
              <w:t>2018</w:t>
            </w:r>
            <w:r w:rsidRPr="001B5FE1">
              <w:rPr>
                <w:noProof/>
                <w:color w:val="000000"/>
                <w:sz w:val="22"/>
                <w:szCs w:val="22"/>
                <w:rtl/>
              </w:rPr>
              <w:t xml:space="preserve"> إلى 30 حزيران/يونيو 2018، يجوز استخدام موارد صندوق التراث الثقافي غير المادي للأغراض التالية:</w:t>
            </w:r>
          </w:p>
        </w:tc>
        <w:tc>
          <w:tcPr>
            <w:tcW w:w="684" w:type="pct"/>
            <w:tcBorders>
              <w:top w:val="single" w:sz="12" w:space="0" w:color="auto"/>
              <w:right w:val="single" w:sz="12" w:space="0" w:color="auto"/>
            </w:tcBorders>
            <w:vAlign w:val="center"/>
          </w:tcPr>
          <w:p w:rsidR="00680D8C" w:rsidRPr="005F7039" w:rsidRDefault="00680D8C" w:rsidP="004146FA">
            <w:pPr>
              <w:pStyle w:val="Default"/>
              <w:bidi/>
              <w:spacing w:before="80" w:after="120" w:line="168" w:lineRule="auto"/>
              <w:jc w:val="center"/>
              <w:rPr>
                <w:rFonts w:ascii="Times New Roman" w:hAnsi="Times New Roman"/>
                <w:sz w:val="22"/>
                <w:szCs w:val="22"/>
                <w:lang w:val="fr-FR"/>
              </w:rPr>
            </w:pPr>
            <w:r w:rsidRPr="001B5FE1">
              <w:rPr>
                <w:noProof/>
                <w:sz w:val="22"/>
                <w:szCs w:val="22"/>
                <w:rtl/>
              </w:rPr>
              <w:t>النسبة المئوية من المبلغ الإجمالي</w:t>
            </w:r>
          </w:p>
        </w:tc>
        <w:tc>
          <w:tcPr>
            <w:tcW w:w="1005" w:type="pct"/>
            <w:tcBorders>
              <w:top w:val="single" w:sz="2" w:space="0" w:color="auto"/>
              <w:left w:val="single" w:sz="12" w:space="0" w:color="auto"/>
              <w:right w:val="single" w:sz="2" w:space="0" w:color="auto"/>
            </w:tcBorders>
            <w:vAlign w:val="center"/>
          </w:tcPr>
          <w:p w:rsidR="00680D8C" w:rsidRPr="001B5FE1" w:rsidRDefault="00680D8C" w:rsidP="004146FA">
            <w:pPr>
              <w:pStyle w:val="Default"/>
              <w:bidi/>
              <w:spacing w:before="80" w:after="120" w:line="168" w:lineRule="auto"/>
              <w:rPr>
                <w:sz w:val="22"/>
                <w:szCs w:val="22"/>
                <w:rtl/>
                <w:lang w:val="fr-FR" w:bidi="ar-MA"/>
              </w:rPr>
            </w:pPr>
            <w:r w:rsidRPr="001B5FE1">
              <w:rPr>
                <w:noProof/>
                <w:sz w:val="22"/>
                <w:szCs w:val="22"/>
                <w:rtl/>
                <w:lang w:val="fr-FR" w:bidi="ar-MA"/>
              </w:rPr>
              <w:t>المبالغ الإرشادية</w:t>
            </w:r>
          </w:p>
          <w:p w:rsidR="00680D8C" w:rsidRPr="001B5FE1" w:rsidRDefault="00680D8C" w:rsidP="004146FA">
            <w:pPr>
              <w:pStyle w:val="Default"/>
              <w:bidi/>
              <w:spacing w:before="80" w:after="120" w:line="168" w:lineRule="auto"/>
              <w:rPr>
                <w:rFonts w:ascii="Times New Roman" w:hAnsi="Times New Roman"/>
                <w:sz w:val="22"/>
                <w:szCs w:val="22"/>
                <w:lang w:val="fr-FR" w:bidi="ar-MA"/>
              </w:rPr>
            </w:pPr>
            <w:r w:rsidRPr="001B5FE1">
              <w:rPr>
                <w:sz w:val="22"/>
                <w:szCs w:val="22"/>
                <w:rtl/>
                <w:lang w:val="fr-FR" w:bidi="ar-MA"/>
              </w:rPr>
              <w:t>2016-2017</w:t>
            </w:r>
          </w:p>
        </w:tc>
        <w:tc>
          <w:tcPr>
            <w:tcW w:w="1014" w:type="pct"/>
            <w:tcBorders>
              <w:top w:val="single" w:sz="2" w:space="0" w:color="auto"/>
              <w:left w:val="single" w:sz="2" w:space="0" w:color="auto"/>
              <w:right w:val="single" w:sz="2" w:space="0" w:color="auto"/>
            </w:tcBorders>
            <w:vAlign w:val="center"/>
          </w:tcPr>
          <w:p w:rsidR="00680D8C" w:rsidRPr="001B5FE1" w:rsidRDefault="00680D8C" w:rsidP="004146FA">
            <w:pPr>
              <w:pStyle w:val="Default"/>
              <w:bidi/>
              <w:spacing w:before="80" w:after="120" w:line="168" w:lineRule="auto"/>
              <w:rPr>
                <w:sz w:val="22"/>
                <w:szCs w:val="22"/>
                <w:rtl/>
                <w:lang w:val="fr-FR" w:bidi="ar-MA"/>
              </w:rPr>
            </w:pPr>
            <w:r w:rsidRPr="001B5FE1">
              <w:rPr>
                <w:noProof/>
                <w:sz w:val="22"/>
                <w:szCs w:val="22"/>
                <w:rtl/>
                <w:lang w:val="fr-FR" w:bidi="ar-MA"/>
              </w:rPr>
              <w:t>المبالغ الإرشادية</w:t>
            </w:r>
          </w:p>
          <w:p w:rsidR="00680D8C" w:rsidRPr="001B5FE1" w:rsidRDefault="00680D8C" w:rsidP="004146FA">
            <w:pPr>
              <w:pStyle w:val="Default"/>
              <w:bidi/>
              <w:spacing w:before="80" w:after="120" w:line="168" w:lineRule="auto"/>
              <w:rPr>
                <w:rFonts w:ascii="Times New Roman" w:hAnsi="Times New Roman"/>
                <w:sz w:val="22"/>
                <w:szCs w:val="22"/>
                <w:lang w:val="fr-FR" w:bidi="ar-MA"/>
              </w:rPr>
            </w:pPr>
            <w:r w:rsidRPr="001B5FE1">
              <w:rPr>
                <w:noProof/>
                <w:sz w:val="22"/>
                <w:szCs w:val="22"/>
                <w:rtl/>
                <w:lang w:val="fr-FR" w:bidi="ar-MA"/>
              </w:rPr>
              <w:t>كانون الثاني/يناير - حزيران/يونيو 2018</w:t>
            </w:r>
          </w:p>
        </w:tc>
      </w:tr>
      <w:tr w:rsidR="00680D8C" w:rsidRPr="001B5FE1">
        <w:tc>
          <w:tcPr>
            <w:tcW w:w="216" w:type="pct"/>
            <w:tcBorders>
              <w:top w:val="single" w:sz="2" w:space="0" w:color="auto"/>
              <w:left w:val="single" w:sz="12" w:space="0" w:color="auto"/>
              <w:bottom w:val="single" w:sz="2" w:space="0" w:color="auto"/>
              <w:right w:val="single" w:sz="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bidi="ar-SY"/>
              </w:rPr>
            </w:pPr>
            <w:r w:rsidRPr="001B5FE1">
              <w:rPr>
                <w:sz w:val="22"/>
                <w:szCs w:val="22"/>
                <w:rtl/>
              </w:rPr>
              <w:t>1</w:t>
            </w:r>
          </w:p>
        </w:tc>
        <w:tc>
          <w:tcPr>
            <w:tcW w:w="2081" w:type="pct"/>
            <w:tcBorders>
              <w:left w:val="single" w:sz="2" w:space="0" w:color="auto"/>
            </w:tcBorders>
            <w:vAlign w:val="center"/>
          </w:tcPr>
          <w:p w:rsidR="00680D8C" w:rsidRPr="003C4F8F" w:rsidRDefault="00680D8C" w:rsidP="001A4172">
            <w:pPr>
              <w:autoSpaceDE w:val="0"/>
              <w:autoSpaceDN w:val="0"/>
              <w:adjustRightInd w:val="0"/>
              <w:spacing w:before="80" w:after="120" w:line="168" w:lineRule="auto"/>
              <w:rPr>
                <w:rFonts w:eastAsia="Times New Roman"/>
                <w:color w:val="000000"/>
                <w:lang w:val="en-GB"/>
              </w:rPr>
            </w:pPr>
            <w:r w:rsidRPr="001B5FE1">
              <w:rPr>
                <w:noProof/>
                <w:color w:val="000000"/>
                <w:sz w:val="22"/>
                <w:szCs w:val="22"/>
                <w:rtl/>
              </w:rPr>
              <w:t>المساعدة الدولية التي تشمل صون العناصر التراثية المدرجة في قائمة الصون العاجل، وإعداد قوائم الحصر</w:t>
            </w:r>
            <w:r w:rsidR="001A4172" w:rsidRPr="001B5FE1">
              <w:rPr>
                <w:noProof/>
                <w:color w:val="000000"/>
                <w:sz w:val="22"/>
                <w:szCs w:val="22"/>
                <w:rtl/>
              </w:rPr>
              <w:t>،</w:t>
            </w:r>
            <w:r w:rsidRPr="001B5FE1">
              <w:rPr>
                <w:noProof/>
                <w:color w:val="000000"/>
                <w:sz w:val="22"/>
                <w:szCs w:val="22"/>
                <w:rtl/>
              </w:rPr>
              <w:t xml:space="preserve"> ودعم البرامج والمشروعات والأنشطة الأخرى الخاصة بمجال الصون؛</w:t>
            </w:r>
          </w:p>
        </w:tc>
        <w:tc>
          <w:tcPr>
            <w:tcW w:w="684" w:type="pct"/>
            <w:tcBorders>
              <w:right w:val="single" w:sz="12" w:space="0" w:color="auto"/>
            </w:tcBorders>
            <w:vAlign w:val="center"/>
          </w:tcPr>
          <w:p w:rsidR="00680D8C" w:rsidRPr="001B5FE1" w:rsidRDefault="001A4172" w:rsidP="00F323DF">
            <w:pPr>
              <w:pStyle w:val="Default"/>
              <w:bidi/>
              <w:spacing w:before="80" w:after="120" w:line="168" w:lineRule="auto"/>
              <w:jc w:val="center"/>
              <w:rPr>
                <w:rFonts w:ascii="Times New Roman" w:hAnsi="Times New Roman"/>
                <w:sz w:val="22"/>
                <w:szCs w:val="22"/>
                <w:lang w:val="en-GB"/>
              </w:rPr>
            </w:pPr>
            <w:r>
              <w:rPr>
                <w:sz w:val="22"/>
                <w:szCs w:val="22"/>
              </w:rPr>
              <w:t>59.00%</w:t>
            </w:r>
          </w:p>
        </w:tc>
        <w:tc>
          <w:tcPr>
            <w:tcW w:w="1005" w:type="pct"/>
            <w:tcBorders>
              <w:left w:val="single" w:sz="12" w:space="0" w:color="auto"/>
              <w:right w:val="single" w:sz="2" w:space="0" w:color="auto"/>
            </w:tcBorders>
            <w:vAlign w:val="center"/>
          </w:tcPr>
          <w:p w:rsidR="00680D8C" w:rsidRPr="001B5FE1" w:rsidRDefault="00F323DF" w:rsidP="00F323DF">
            <w:pPr>
              <w:pStyle w:val="Default"/>
              <w:bidi/>
              <w:spacing w:before="80" w:after="120" w:line="168" w:lineRule="auto"/>
              <w:rPr>
                <w:rFonts w:ascii="Times New Roman" w:hAnsi="Times New Roman"/>
                <w:sz w:val="22"/>
                <w:szCs w:val="22"/>
                <w:lang w:val="fr-FR"/>
              </w:rPr>
            </w:pPr>
            <w:r>
              <w:rPr>
                <w:noProof/>
                <w:sz w:val="22"/>
                <w:szCs w:val="22"/>
                <w:lang w:val="fr-FR"/>
              </w:rPr>
              <w:t>700</w:t>
            </w:r>
            <w:r w:rsidR="00680D8C" w:rsidRPr="001B5FE1">
              <w:rPr>
                <w:noProof/>
                <w:sz w:val="22"/>
                <w:szCs w:val="22"/>
                <w:rtl/>
                <w:lang w:val="fr-FR"/>
              </w:rPr>
              <w:t> </w:t>
            </w:r>
            <w:r w:rsidRPr="001B5FE1">
              <w:rPr>
                <w:noProof/>
                <w:sz w:val="22"/>
                <w:szCs w:val="22"/>
                <w:rtl/>
                <w:lang w:val="fr-FR"/>
              </w:rPr>
              <w:t>692</w:t>
            </w:r>
            <w:r>
              <w:rPr>
                <w:noProof/>
                <w:sz w:val="22"/>
                <w:szCs w:val="22"/>
                <w:lang w:val="fr-FR"/>
              </w:rPr>
              <w:t> </w:t>
            </w:r>
            <w:r w:rsidR="00680D8C" w:rsidRPr="001B5FE1">
              <w:rPr>
                <w:noProof/>
                <w:sz w:val="22"/>
                <w:szCs w:val="22"/>
                <w:rtl/>
                <w:lang w:val="fr-FR"/>
              </w:rPr>
              <w:t>4 دولاراً</w:t>
            </w:r>
          </w:p>
        </w:tc>
        <w:tc>
          <w:tcPr>
            <w:tcW w:w="1014" w:type="pct"/>
            <w:tcBorders>
              <w:left w:val="single" w:sz="2" w:space="0" w:color="auto"/>
              <w:right w:val="single" w:sz="2" w:space="0" w:color="auto"/>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r w:rsidRPr="001B5FE1">
              <w:rPr>
                <w:noProof/>
                <w:sz w:val="22"/>
                <w:szCs w:val="22"/>
                <w:rtl/>
                <w:lang w:val="fr-FR"/>
              </w:rPr>
              <w:t>175 173 1 دولاراً</w:t>
            </w:r>
          </w:p>
        </w:tc>
      </w:tr>
      <w:tr w:rsidR="00680D8C" w:rsidRPr="001B5FE1">
        <w:tc>
          <w:tcPr>
            <w:tcW w:w="216" w:type="pct"/>
            <w:tcBorders>
              <w:top w:val="single" w:sz="2" w:space="0" w:color="auto"/>
              <w:left w:val="single" w:sz="12" w:space="0" w:color="auto"/>
              <w:bottom w:val="single" w:sz="2" w:space="0" w:color="auto"/>
              <w:right w:val="single" w:sz="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fr-FR" w:bidi="ar-SY"/>
              </w:rPr>
            </w:pPr>
            <w:r w:rsidRPr="001B5FE1">
              <w:rPr>
                <w:sz w:val="22"/>
                <w:szCs w:val="22"/>
                <w:rtl/>
                <w:lang w:val="fr-FR" w:bidi="ar-SY"/>
              </w:rPr>
              <w:t>2</w:t>
            </w:r>
          </w:p>
        </w:tc>
        <w:tc>
          <w:tcPr>
            <w:tcW w:w="2081" w:type="pct"/>
            <w:tcBorders>
              <w:left w:val="single" w:sz="2" w:space="0" w:color="auto"/>
            </w:tcBorders>
            <w:vAlign w:val="center"/>
          </w:tcPr>
          <w:p w:rsidR="00680D8C" w:rsidRPr="005F7039" w:rsidRDefault="00680D8C" w:rsidP="004146FA">
            <w:pPr>
              <w:autoSpaceDE w:val="0"/>
              <w:autoSpaceDN w:val="0"/>
              <w:adjustRightInd w:val="0"/>
              <w:spacing w:before="80" w:after="120" w:line="168" w:lineRule="auto"/>
              <w:rPr>
                <w:rFonts w:eastAsia="Times New Roman"/>
                <w:color w:val="000000"/>
              </w:rPr>
            </w:pPr>
            <w:r w:rsidRPr="001B5FE1">
              <w:rPr>
                <w:color w:val="000000"/>
                <w:sz w:val="22"/>
                <w:szCs w:val="22"/>
                <w:rtl/>
              </w:rPr>
              <w:t>المساعدة التمهيدية فيما يتعلق بملفات الترشيح الخاصة بقائمة الصون العاجل، وكذلك فيما يتعلق بالاقتراحات الخاصة بسجل أفضل الممارسات</w:t>
            </w:r>
            <w:r w:rsidRPr="005F7039">
              <w:rPr>
                <w:rFonts w:eastAsia="Times New Roman"/>
                <w:color w:val="000000"/>
                <w:sz w:val="22"/>
                <w:szCs w:val="22"/>
              </w:rPr>
              <w:t xml:space="preserve"> </w:t>
            </w:r>
            <w:r w:rsidRPr="001B5FE1">
              <w:rPr>
                <w:color w:val="000000"/>
                <w:sz w:val="22"/>
                <w:szCs w:val="22"/>
                <w:rtl/>
              </w:rPr>
              <w:t>وطلبات المساعدة الدولية؛</w:t>
            </w:r>
          </w:p>
        </w:tc>
        <w:tc>
          <w:tcPr>
            <w:tcW w:w="684" w:type="pct"/>
            <w:tcBorders>
              <w:right w:val="single" w:sz="12" w:space="0" w:color="auto"/>
            </w:tcBorders>
            <w:vAlign w:val="center"/>
          </w:tcPr>
          <w:p w:rsidR="00680D8C" w:rsidRPr="001B5FE1" w:rsidRDefault="001A4172" w:rsidP="00F323DF">
            <w:pPr>
              <w:pStyle w:val="Default"/>
              <w:bidi/>
              <w:spacing w:before="80" w:after="120" w:line="168" w:lineRule="auto"/>
              <w:jc w:val="center"/>
              <w:rPr>
                <w:rFonts w:ascii="Times New Roman" w:hAnsi="Times New Roman"/>
                <w:sz w:val="22"/>
                <w:szCs w:val="22"/>
                <w:lang w:val="en-GB"/>
              </w:rPr>
            </w:pPr>
            <w:r>
              <w:rPr>
                <w:sz w:val="22"/>
                <w:szCs w:val="22"/>
              </w:rPr>
              <w:t>5.50%</w:t>
            </w:r>
          </w:p>
        </w:tc>
        <w:tc>
          <w:tcPr>
            <w:tcW w:w="1005" w:type="pct"/>
            <w:tcBorders>
              <w:left w:val="single" w:sz="12" w:space="0" w:color="auto"/>
              <w:right w:val="single" w:sz="2" w:space="0" w:color="auto"/>
            </w:tcBorders>
            <w:vAlign w:val="center"/>
          </w:tcPr>
          <w:p w:rsidR="00680D8C" w:rsidRPr="001B5FE1" w:rsidRDefault="00680D8C" w:rsidP="00F323DF">
            <w:pPr>
              <w:pStyle w:val="Default"/>
              <w:bidi/>
              <w:spacing w:before="80" w:after="120" w:line="168" w:lineRule="auto"/>
              <w:rPr>
                <w:rFonts w:ascii="Times New Roman" w:hAnsi="Times New Roman"/>
                <w:sz w:val="22"/>
                <w:szCs w:val="22"/>
                <w:lang w:val="fr-FR"/>
              </w:rPr>
            </w:pPr>
            <w:r w:rsidRPr="001B5FE1">
              <w:rPr>
                <w:noProof/>
                <w:sz w:val="22"/>
                <w:szCs w:val="22"/>
                <w:rtl/>
                <w:lang w:val="fr-FR"/>
              </w:rPr>
              <w:t> </w:t>
            </w:r>
            <w:r w:rsidR="00F323DF">
              <w:rPr>
                <w:noProof/>
                <w:sz w:val="22"/>
                <w:szCs w:val="22"/>
                <w:lang w:val="fr-FR"/>
              </w:rPr>
              <w:t>437 455</w:t>
            </w:r>
            <w:r w:rsidR="00F323DF" w:rsidRPr="001B5FE1">
              <w:rPr>
                <w:noProof/>
                <w:sz w:val="22"/>
                <w:szCs w:val="22"/>
                <w:rtl/>
                <w:lang w:val="fr-FR"/>
              </w:rPr>
              <w:t xml:space="preserve"> </w:t>
            </w:r>
            <w:r w:rsidRPr="001B5FE1">
              <w:rPr>
                <w:noProof/>
                <w:sz w:val="22"/>
                <w:szCs w:val="22"/>
                <w:rtl/>
                <w:lang w:val="fr-FR"/>
              </w:rPr>
              <w:t>دولاراً</w:t>
            </w:r>
          </w:p>
        </w:tc>
        <w:tc>
          <w:tcPr>
            <w:tcW w:w="1014" w:type="pct"/>
            <w:tcBorders>
              <w:left w:val="single" w:sz="2" w:space="0" w:color="auto"/>
              <w:right w:val="single" w:sz="2" w:space="0" w:color="auto"/>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r w:rsidRPr="001B5FE1">
              <w:rPr>
                <w:noProof/>
                <w:sz w:val="22"/>
                <w:szCs w:val="22"/>
                <w:rtl/>
                <w:lang w:val="fr-FR"/>
              </w:rPr>
              <w:t>364 109 دولاراً</w:t>
            </w:r>
          </w:p>
        </w:tc>
      </w:tr>
      <w:tr w:rsidR="00680D8C" w:rsidRPr="001B5FE1">
        <w:tc>
          <w:tcPr>
            <w:tcW w:w="216" w:type="pct"/>
            <w:tcBorders>
              <w:top w:val="single" w:sz="2" w:space="0" w:color="auto"/>
              <w:left w:val="single" w:sz="12" w:space="0" w:color="auto"/>
              <w:bottom w:val="single" w:sz="2" w:space="0" w:color="auto"/>
              <w:right w:val="single" w:sz="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en-GB"/>
              </w:rPr>
            </w:pPr>
            <w:r w:rsidRPr="001B5FE1">
              <w:rPr>
                <w:sz w:val="22"/>
                <w:szCs w:val="22"/>
                <w:rtl/>
              </w:rPr>
              <w:t>3</w:t>
            </w:r>
          </w:p>
        </w:tc>
        <w:tc>
          <w:tcPr>
            <w:tcW w:w="2081" w:type="pct"/>
            <w:tcBorders>
              <w:left w:val="single" w:sz="2" w:space="0" w:color="auto"/>
            </w:tcBorders>
            <w:vAlign w:val="center"/>
          </w:tcPr>
          <w:p w:rsidR="00680D8C" w:rsidRPr="003C4F8F" w:rsidRDefault="00680D8C" w:rsidP="001A4172">
            <w:pPr>
              <w:autoSpaceDE w:val="0"/>
              <w:autoSpaceDN w:val="0"/>
              <w:adjustRightInd w:val="0"/>
              <w:spacing w:before="80" w:after="120" w:line="168" w:lineRule="auto"/>
              <w:rPr>
                <w:rFonts w:eastAsia="Times New Roman"/>
                <w:color w:val="000000"/>
                <w:lang w:val="en-GB"/>
              </w:rPr>
            </w:pPr>
            <w:r w:rsidRPr="001B5FE1">
              <w:rPr>
                <w:noProof/>
                <w:color w:val="000000"/>
                <w:sz w:val="22"/>
                <w:szCs w:val="22"/>
                <w:rtl/>
              </w:rPr>
              <w:t>المهام الأخرى للجنة مثلما ورد ذكرها في المادة 7 من الاتفاقية وفي التوجيهات التنفيذية؛</w:t>
            </w:r>
          </w:p>
        </w:tc>
        <w:tc>
          <w:tcPr>
            <w:tcW w:w="684" w:type="pct"/>
            <w:tcBorders>
              <w:right w:val="single" w:sz="12" w:space="0" w:color="auto"/>
            </w:tcBorders>
            <w:vAlign w:val="center"/>
          </w:tcPr>
          <w:p w:rsidR="00680D8C" w:rsidRPr="001B5FE1" w:rsidRDefault="001A4172" w:rsidP="00F323DF">
            <w:pPr>
              <w:pStyle w:val="Default"/>
              <w:bidi/>
              <w:spacing w:before="80" w:after="120" w:line="168" w:lineRule="auto"/>
              <w:jc w:val="center"/>
              <w:rPr>
                <w:rFonts w:ascii="Times New Roman" w:hAnsi="Times New Roman"/>
                <w:sz w:val="22"/>
                <w:szCs w:val="22"/>
                <w:lang w:val="en-GB"/>
              </w:rPr>
            </w:pPr>
            <w:r>
              <w:rPr>
                <w:sz w:val="22"/>
                <w:szCs w:val="22"/>
              </w:rPr>
              <w:t>20</w:t>
            </w:r>
            <w:r w:rsidR="005F67E5">
              <w:rPr>
                <w:sz w:val="22"/>
                <w:szCs w:val="22"/>
              </w:rPr>
              <w:t>.00</w:t>
            </w:r>
            <w:r>
              <w:rPr>
                <w:sz w:val="22"/>
                <w:szCs w:val="22"/>
              </w:rPr>
              <w:t>%</w:t>
            </w:r>
          </w:p>
        </w:tc>
        <w:tc>
          <w:tcPr>
            <w:tcW w:w="1005" w:type="pct"/>
            <w:tcBorders>
              <w:left w:val="single" w:sz="12" w:space="0" w:color="auto"/>
              <w:right w:val="single" w:sz="2" w:space="0" w:color="auto"/>
            </w:tcBorders>
            <w:vAlign w:val="center"/>
          </w:tcPr>
          <w:p w:rsidR="00680D8C" w:rsidRPr="001B5FE1" w:rsidRDefault="00680D8C" w:rsidP="00F323DF">
            <w:pPr>
              <w:pStyle w:val="Default"/>
              <w:bidi/>
              <w:spacing w:before="80" w:after="120" w:line="168" w:lineRule="auto"/>
              <w:rPr>
                <w:rFonts w:ascii="Times New Roman" w:hAnsi="Times New Roman"/>
                <w:sz w:val="22"/>
                <w:szCs w:val="22"/>
                <w:lang w:val="fr-FR"/>
              </w:rPr>
            </w:pPr>
            <w:r w:rsidRPr="001B5FE1">
              <w:rPr>
                <w:noProof/>
                <w:sz w:val="22"/>
                <w:szCs w:val="22"/>
                <w:rtl/>
                <w:lang w:val="fr-FR"/>
              </w:rPr>
              <w:t> </w:t>
            </w:r>
            <w:r w:rsidR="00F323DF">
              <w:rPr>
                <w:noProof/>
                <w:sz w:val="22"/>
                <w:szCs w:val="22"/>
                <w:lang w:val="fr-FR"/>
              </w:rPr>
              <w:t>1 590 746</w:t>
            </w:r>
            <w:r w:rsidRPr="001B5FE1">
              <w:rPr>
                <w:noProof/>
                <w:sz w:val="22"/>
                <w:szCs w:val="22"/>
                <w:rtl/>
                <w:lang w:val="fr-FR"/>
              </w:rPr>
              <w:t xml:space="preserve"> دولاراً</w:t>
            </w:r>
          </w:p>
        </w:tc>
        <w:tc>
          <w:tcPr>
            <w:tcW w:w="1014" w:type="pct"/>
            <w:tcBorders>
              <w:left w:val="single" w:sz="2" w:space="0" w:color="auto"/>
              <w:right w:val="single" w:sz="2" w:space="0" w:color="auto"/>
            </w:tcBorders>
            <w:vAlign w:val="center"/>
          </w:tcPr>
          <w:p w:rsidR="00680D8C" w:rsidRPr="001B5FE1" w:rsidRDefault="00680D8C" w:rsidP="001F40A6">
            <w:pPr>
              <w:pStyle w:val="Default"/>
              <w:bidi/>
              <w:spacing w:before="80" w:after="120" w:line="168" w:lineRule="auto"/>
              <w:rPr>
                <w:rFonts w:ascii="Times New Roman" w:hAnsi="Times New Roman"/>
                <w:sz w:val="22"/>
                <w:szCs w:val="22"/>
                <w:lang w:val="fr-FR"/>
              </w:rPr>
            </w:pPr>
            <w:r w:rsidRPr="001B5FE1">
              <w:rPr>
                <w:noProof/>
                <w:sz w:val="22"/>
                <w:szCs w:val="22"/>
                <w:rtl/>
                <w:lang w:val="fr-FR"/>
              </w:rPr>
              <w:t> </w:t>
            </w:r>
            <w:r w:rsidR="00F323DF">
              <w:rPr>
                <w:noProof/>
                <w:sz w:val="22"/>
                <w:szCs w:val="22"/>
                <w:lang w:val="fr-FR"/>
              </w:rPr>
              <w:t>397 687</w:t>
            </w:r>
            <w:r w:rsidR="00F323DF" w:rsidRPr="001B5FE1">
              <w:rPr>
                <w:noProof/>
                <w:sz w:val="22"/>
                <w:szCs w:val="22"/>
                <w:rtl/>
                <w:lang w:val="fr-FR"/>
              </w:rPr>
              <w:t xml:space="preserve"> </w:t>
            </w:r>
            <w:r w:rsidRPr="001B5FE1">
              <w:rPr>
                <w:noProof/>
                <w:sz w:val="22"/>
                <w:szCs w:val="22"/>
                <w:rtl/>
                <w:lang w:val="fr-FR"/>
              </w:rPr>
              <w:t>دولاراً</w:t>
            </w:r>
          </w:p>
        </w:tc>
      </w:tr>
      <w:tr w:rsidR="00680D8C" w:rsidRPr="001B5FE1">
        <w:tc>
          <w:tcPr>
            <w:tcW w:w="216" w:type="pct"/>
            <w:tcBorders>
              <w:top w:val="single" w:sz="2" w:space="0" w:color="auto"/>
              <w:left w:val="single" w:sz="12" w:space="0" w:color="auto"/>
              <w:bottom w:val="single" w:sz="2" w:space="0" w:color="auto"/>
              <w:right w:val="single" w:sz="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en-GB"/>
              </w:rPr>
            </w:pPr>
            <w:r w:rsidRPr="001B5FE1">
              <w:rPr>
                <w:sz w:val="22"/>
                <w:szCs w:val="22"/>
                <w:rtl/>
              </w:rPr>
              <w:t>4</w:t>
            </w:r>
          </w:p>
        </w:tc>
        <w:tc>
          <w:tcPr>
            <w:tcW w:w="2081" w:type="pct"/>
            <w:tcBorders>
              <w:left w:val="single" w:sz="2" w:space="0" w:color="auto"/>
            </w:tcBorders>
            <w:vAlign w:val="center"/>
          </w:tcPr>
          <w:p w:rsidR="00680D8C" w:rsidRPr="003C4F8F" w:rsidRDefault="00680D8C" w:rsidP="004146FA">
            <w:pPr>
              <w:autoSpaceDE w:val="0"/>
              <w:autoSpaceDN w:val="0"/>
              <w:adjustRightInd w:val="0"/>
              <w:spacing w:before="80" w:after="120" w:line="168" w:lineRule="auto"/>
              <w:rPr>
                <w:rFonts w:eastAsia="Times New Roman"/>
                <w:color w:val="000000"/>
                <w:lang w:val="en-GB"/>
              </w:rPr>
            </w:pPr>
            <w:r w:rsidRPr="001B5FE1">
              <w:rPr>
                <w:noProof/>
                <w:color w:val="000000"/>
                <w:sz w:val="22"/>
                <w:szCs w:val="22"/>
                <w:rtl/>
              </w:rPr>
              <w:t>تمكين الخبراء في التراث الثقافي غير المادي الذين يمثلون البلدان النامية التي هي دول أعضاء في اللجنة من المشاركة في دورات اللجنة وفي اجتماعات مكتبها وهيئاتها الفرعية؛</w:t>
            </w:r>
          </w:p>
        </w:tc>
        <w:tc>
          <w:tcPr>
            <w:tcW w:w="684" w:type="pct"/>
            <w:tcBorders>
              <w:right w:val="single" w:sz="12" w:space="0" w:color="auto"/>
            </w:tcBorders>
            <w:vAlign w:val="center"/>
          </w:tcPr>
          <w:p w:rsidR="00680D8C" w:rsidRPr="001B5FE1" w:rsidRDefault="001A4172" w:rsidP="00F323DF">
            <w:pPr>
              <w:pStyle w:val="Default"/>
              <w:bidi/>
              <w:spacing w:before="80" w:after="120" w:line="168" w:lineRule="auto"/>
              <w:jc w:val="center"/>
              <w:rPr>
                <w:rFonts w:ascii="Times New Roman" w:hAnsi="Times New Roman"/>
                <w:sz w:val="22"/>
                <w:szCs w:val="22"/>
                <w:lang w:val="en-GB"/>
              </w:rPr>
            </w:pPr>
            <w:r>
              <w:rPr>
                <w:sz w:val="22"/>
                <w:szCs w:val="22"/>
              </w:rPr>
              <w:t>2.25%</w:t>
            </w:r>
          </w:p>
        </w:tc>
        <w:tc>
          <w:tcPr>
            <w:tcW w:w="1005" w:type="pct"/>
            <w:tcBorders>
              <w:left w:val="single" w:sz="12" w:space="0" w:color="auto"/>
              <w:right w:val="single" w:sz="2" w:space="0" w:color="auto"/>
            </w:tcBorders>
            <w:vAlign w:val="center"/>
          </w:tcPr>
          <w:p w:rsidR="00680D8C" w:rsidRPr="001B5FE1" w:rsidRDefault="00680D8C" w:rsidP="00F323DF">
            <w:pPr>
              <w:pStyle w:val="Default"/>
              <w:bidi/>
              <w:spacing w:before="80" w:after="120" w:line="168" w:lineRule="auto"/>
              <w:rPr>
                <w:rFonts w:ascii="Times New Roman" w:hAnsi="Times New Roman"/>
                <w:sz w:val="22"/>
                <w:szCs w:val="22"/>
                <w:lang w:val="fr-FR"/>
              </w:rPr>
            </w:pPr>
            <w:r w:rsidRPr="001B5FE1">
              <w:rPr>
                <w:noProof/>
                <w:sz w:val="22"/>
                <w:szCs w:val="22"/>
                <w:rtl/>
                <w:lang w:val="fr-FR"/>
              </w:rPr>
              <w:t> </w:t>
            </w:r>
            <w:r w:rsidR="00F323DF">
              <w:rPr>
                <w:noProof/>
                <w:sz w:val="22"/>
                <w:szCs w:val="22"/>
                <w:lang w:val="fr-FR"/>
              </w:rPr>
              <w:t>178 959</w:t>
            </w:r>
            <w:r w:rsidR="00F323DF" w:rsidRPr="001B5FE1">
              <w:rPr>
                <w:noProof/>
                <w:sz w:val="22"/>
                <w:szCs w:val="22"/>
                <w:rtl/>
                <w:lang w:val="fr-FR"/>
              </w:rPr>
              <w:t xml:space="preserve"> </w:t>
            </w:r>
            <w:r w:rsidRPr="001B5FE1">
              <w:rPr>
                <w:noProof/>
                <w:sz w:val="22"/>
                <w:szCs w:val="22"/>
                <w:rtl/>
                <w:lang w:val="fr-FR"/>
              </w:rPr>
              <w:t>دولاراً</w:t>
            </w:r>
          </w:p>
        </w:tc>
        <w:tc>
          <w:tcPr>
            <w:tcW w:w="1014" w:type="pct"/>
            <w:tcBorders>
              <w:left w:val="single" w:sz="2" w:space="0" w:color="auto"/>
              <w:right w:val="single" w:sz="2" w:space="0" w:color="auto"/>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r w:rsidRPr="001B5FE1">
              <w:rPr>
                <w:noProof/>
                <w:sz w:val="22"/>
                <w:szCs w:val="22"/>
                <w:rtl/>
                <w:lang w:val="fr-FR"/>
              </w:rPr>
              <w:t>740 44 دولاراً</w:t>
            </w:r>
          </w:p>
        </w:tc>
      </w:tr>
      <w:tr w:rsidR="00680D8C" w:rsidRPr="001B5FE1">
        <w:tc>
          <w:tcPr>
            <w:tcW w:w="216" w:type="pct"/>
            <w:tcBorders>
              <w:top w:val="single" w:sz="2" w:space="0" w:color="auto"/>
              <w:left w:val="single" w:sz="12" w:space="0" w:color="auto"/>
              <w:bottom w:val="single" w:sz="2" w:space="0" w:color="auto"/>
              <w:right w:val="single" w:sz="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en-GB"/>
              </w:rPr>
            </w:pPr>
            <w:r w:rsidRPr="001B5FE1">
              <w:rPr>
                <w:sz w:val="22"/>
                <w:szCs w:val="22"/>
                <w:rtl/>
              </w:rPr>
              <w:t>5</w:t>
            </w:r>
          </w:p>
        </w:tc>
        <w:tc>
          <w:tcPr>
            <w:tcW w:w="2081" w:type="pct"/>
            <w:tcBorders>
              <w:left w:val="single" w:sz="2" w:space="0" w:color="auto"/>
            </w:tcBorders>
            <w:vAlign w:val="center"/>
          </w:tcPr>
          <w:p w:rsidR="00680D8C" w:rsidRPr="003C4F8F" w:rsidRDefault="00680D8C" w:rsidP="004146FA">
            <w:pPr>
              <w:autoSpaceDE w:val="0"/>
              <w:autoSpaceDN w:val="0"/>
              <w:adjustRightInd w:val="0"/>
              <w:spacing w:before="80" w:after="120" w:line="168" w:lineRule="auto"/>
              <w:rPr>
                <w:rFonts w:eastAsia="Times New Roman"/>
                <w:color w:val="000000"/>
                <w:lang w:val="en-GB"/>
              </w:rPr>
            </w:pPr>
            <w:r w:rsidRPr="001B5FE1">
              <w:rPr>
                <w:noProof/>
                <w:color w:val="000000"/>
                <w:sz w:val="22"/>
                <w:szCs w:val="22"/>
                <w:rtl/>
              </w:rPr>
              <w:t>تمكين الخبراء في التراث الثقافي غير المادي الذين يمثلون البلدان النامية التي هي دول أطراف في الاتفاقية ولكنها ليست دولاً أعضاءً في اللجنة من المشاركة في دورات اللجنة؛</w:t>
            </w:r>
          </w:p>
        </w:tc>
        <w:tc>
          <w:tcPr>
            <w:tcW w:w="684" w:type="pct"/>
            <w:tcBorders>
              <w:right w:val="single" w:sz="12" w:space="0" w:color="auto"/>
            </w:tcBorders>
            <w:vAlign w:val="center"/>
          </w:tcPr>
          <w:p w:rsidR="00680D8C" w:rsidRPr="001B5FE1" w:rsidRDefault="005F67E5" w:rsidP="00F323DF">
            <w:pPr>
              <w:pStyle w:val="Default"/>
              <w:bidi/>
              <w:spacing w:before="80" w:after="120" w:line="168" w:lineRule="auto"/>
              <w:jc w:val="center"/>
              <w:rPr>
                <w:rFonts w:ascii="Times New Roman" w:hAnsi="Times New Roman"/>
                <w:sz w:val="22"/>
                <w:szCs w:val="22"/>
                <w:lang w:val="en-GB"/>
              </w:rPr>
            </w:pPr>
            <w:r>
              <w:rPr>
                <w:sz w:val="22"/>
                <w:szCs w:val="22"/>
              </w:rPr>
              <w:t>2.75%</w:t>
            </w:r>
          </w:p>
        </w:tc>
        <w:tc>
          <w:tcPr>
            <w:tcW w:w="1005" w:type="pct"/>
            <w:tcBorders>
              <w:left w:val="single" w:sz="12" w:space="0" w:color="auto"/>
              <w:right w:val="single" w:sz="2" w:space="0" w:color="auto"/>
            </w:tcBorders>
            <w:vAlign w:val="center"/>
          </w:tcPr>
          <w:p w:rsidR="00680D8C" w:rsidRPr="001B5FE1" w:rsidRDefault="00680D8C" w:rsidP="00F323DF">
            <w:pPr>
              <w:pStyle w:val="Default"/>
              <w:bidi/>
              <w:spacing w:before="80" w:after="120" w:line="168" w:lineRule="auto"/>
              <w:rPr>
                <w:rFonts w:ascii="Times New Roman" w:hAnsi="Times New Roman"/>
                <w:sz w:val="22"/>
                <w:szCs w:val="22"/>
                <w:lang w:val="fr-FR"/>
              </w:rPr>
            </w:pPr>
            <w:r w:rsidRPr="001B5FE1">
              <w:rPr>
                <w:noProof/>
                <w:sz w:val="22"/>
                <w:szCs w:val="22"/>
                <w:rtl/>
                <w:lang w:val="fr-FR"/>
              </w:rPr>
              <w:t> </w:t>
            </w:r>
            <w:r w:rsidR="00F323DF">
              <w:rPr>
                <w:noProof/>
                <w:sz w:val="22"/>
                <w:szCs w:val="22"/>
                <w:lang w:val="fr-FR"/>
              </w:rPr>
              <w:t>218 728</w:t>
            </w:r>
            <w:r w:rsidR="00F323DF" w:rsidRPr="001B5FE1">
              <w:rPr>
                <w:noProof/>
                <w:sz w:val="22"/>
                <w:szCs w:val="22"/>
                <w:rtl/>
                <w:lang w:val="fr-FR"/>
              </w:rPr>
              <w:t xml:space="preserve"> </w:t>
            </w:r>
            <w:r w:rsidRPr="001B5FE1">
              <w:rPr>
                <w:noProof/>
                <w:sz w:val="22"/>
                <w:szCs w:val="22"/>
                <w:rtl/>
                <w:lang w:val="fr-FR"/>
              </w:rPr>
              <w:t>دولاراً</w:t>
            </w:r>
          </w:p>
        </w:tc>
        <w:tc>
          <w:tcPr>
            <w:tcW w:w="1014" w:type="pct"/>
            <w:tcBorders>
              <w:left w:val="single" w:sz="2" w:space="0" w:color="auto"/>
              <w:right w:val="single" w:sz="2" w:space="0" w:color="auto"/>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r w:rsidRPr="001B5FE1">
              <w:rPr>
                <w:noProof/>
                <w:sz w:val="22"/>
                <w:szCs w:val="22"/>
                <w:rtl/>
                <w:lang w:val="fr-FR"/>
              </w:rPr>
              <w:t>682 54 دولاراً</w:t>
            </w:r>
          </w:p>
        </w:tc>
      </w:tr>
      <w:tr w:rsidR="00680D8C" w:rsidRPr="001B5FE1">
        <w:tc>
          <w:tcPr>
            <w:tcW w:w="216" w:type="pct"/>
            <w:tcBorders>
              <w:top w:val="single" w:sz="2" w:space="0" w:color="auto"/>
              <w:left w:val="single" w:sz="12" w:space="0" w:color="auto"/>
              <w:bottom w:val="single" w:sz="2" w:space="0" w:color="auto"/>
              <w:right w:val="single" w:sz="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en-GB"/>
              </w:rPr>
            </w:pPr>
            <w:r w:rsidRPr="001B5FE1">
              <w:rPr>
                <w:sz w:val="22"/>
                <w:szCs w:val="22"/>
                <w:rtl/>
              </w:rPr>
              <w:t>6</w:t>
            </w:r>
          </w:p>
        </w:tc>
        <w:tc>
          <w:tcPr>
            <w:tcW w:w="2081" w:type="pct"/>
            <w:tcBorders>
              <w:left w:val="single" w:sz="2" w:space="0" w:color="auto"/>
            </w:tcBorders>
            <w:vAlign w:val="center"/>
          </w:tcPr>
          <w:p w:rsidR="00680D8C" w:rsidRPr="003C4F8F" w:rsidRDefault="00680D8C" w:rsidP="004146FA">
            <w:pPr>
              <w:autoSpaceDE w:val="0"/>
              <w:autoSpaceDN w:val="0"/>
              <w:adjustRightInd w:val="0"/>
              <w:spacing w:before="80" w:after="120" w:line="168" w:lineRule="auto"/>
              <w:rPr>
                <w:rFonts w:eastAsia="Times New Roman"/>
                <w:color w:val="000000"/>
                <w:lang w:val="en-GB"/>
              </w:rPr>
            </w:pPr>
            <w:r w:rsidRPr="001B5FE1">
              <w:rPr>
                <w:noProof/>
                <w:color w:val="000000"/>
                <w:sz w:val="22"/>
                <w:szCs w:val="22"/>
                <w:rtl/>
              </w:rPr>
              <w:t>تمكين الهيئات العامة أو الخاصة والأفراد، وبخاصة الأشخاص التابعين للمجتمعات المحلية والجماعات، الذين دعتهم اللجنة إلى استشارتها بشأن مسائل محددة، وكذلك الخبراء في التراث الثقافي غير المادي الذين يمثلون المنظمات غير الحكومية المعتمدة في البلدان النامية، من المشاركة في دورات اللجنة وفي اجتماعات مكتبها وهيئاتها الفرعية</w:t>
            </w:r>
            <w:r w:rsidR="001A4172">
              <w:rPr>
                <w:rFonts w:hint="cs"/>
                <w:noProof/>
                <w:color w:val="000000"/>
                <w:sz w:val="22"/>
                <w:szCs w:val="22"/>
                <w:rtl/>
              </w:rPr>
              <w:t xml:space="preserve"> و </w:t>
            </w:r>
            <w:r w:rsidR="001A4172" w:rsidRPr="001B5FE1">
              <w:rPr>
                <w:color w:val="000000"/>
                <w:sz w:val="22"/>
                <w:szCs w:val="22"/>
                <w:rtl/>
              </w:rPr>
              <w:t>الاستشارية</w:t>
            </w:r>
            <w:r w:rsidR="001A4172" w:rsidRPr="001B5FE1">
              <w:rPr>
                <w:noProof/>
                <w:color w:val="000000"/>
                <w:sz w:val="22"/>
                <w:szCs w:val="22"/>
                <w:rtl/>
              </w:rPr>
              <w:t xml:space="preserve"> </w:t>
            </w:r>
            <w:r w:rsidRPr="001B5FE1">
              <w:rPr>
                <w:noProof/>
                <w:color w:val="000000"/>
                <w:sz w:val="22"/>
                <w:szCs w:val="22"/>
                <w:rtl/>
              </w:rPr>
              <w:t>؛</w:t>
            </w:r>
          </w:p>
        </w:tc>
        <w:tc>
          <w:tcPr>
            <w:tcW w:w="684" w:type="pct"/>
            <w:tcBorders>
              <w:right w:val="single" w:sz="12" w:space="0" w:color="auto"/>
            </w:tcBorders>
            <w:vAlign w:val="center"/>
          </w:tcPr>
          <w:p w:rsidR="00680D8C" w:rsidRPr="001B5FE1" w:rsidRDefault="005F67E5" w:rsidP="00F323DF">
            <w:pPr>
              <w:pStyle w:val="Default"/>
              <w:bidi/>
              <w:spacing w:before="80" w:after="120" w:line="168" w:lineRule="auto"/>
              <w:jc w:val="center"/>
              <w:rPr>
                <w:rFonts w:ascii="Times New Roman" w:hAnsi="Times New Roman"/>
                <w:sz w:val="22"/>
                <w:szCs w:val="22"/>
                <w:lang w:val="en-GB"/>
              </w:rPr>
            </w:pPr>
            <w:r>
              <w:rPr>
                <w:sz w:val="22"/>
                <w:szCs w:val="22"/>
              </w:rPr>
              <w:t>4.50%</w:t>
            </w:r>
          </w:p>
        </w:tc>
        <w:tc>
          <w:tcPr>
            <w:tcW w:w="1005" w:type="pct"/>
            <w:tcBorders>
              <w:left w:val="single" w:sz="12" w:space="0" w:color="auto"/>
              <w:right w:val="single" w:sz="2" w:space="0" w:color="auto"/>
            </w:tcBorders>
            <w:vAlign w:val="center"/>
          </w:tcPr>
          <w:p w:rsidR="00680D8C" w:rsidRPr="001B5FE1" w:rsidRDefault="00680D8C" w:rsidP="00F323DF">
            <w:pPr>
              <w:pStyle w:val="Default"/>
              <w:bidi/>
              <w:spacing w:before="80" w:after="120" w:line="168" w:lineRule="auto"/>
              <w:rPr>
                <w:rFonts w:ascii="Times New Roman" w:hAnsi="Times New Roman"/>
                <w:sz w:val="22"/>
                <w:szCs w:val="22"/>
                <w:lang w:val="fr-FR"/>
              </w:rPr>
            </w:pPr>
            <w:r w:rsidRPr="001B5FE1">
              <w:rPr>
                <w:noProof/>
                <w:sz w:val="22"/>
                <w:szCs w:val="22"/>
                <w:rtl/>
                <w:lang w:val="fr-FR"/>
              </w:rPr>
              <w:t> </w:t>
            </w:r>
            <w:r w:rsidR="00F323DF">
              <w:rPr>
                <w:noProof/>
                <w:sz w:val="22"/>
                <w:szCs w:val="22"/>
                <w:lang w:val="fr-FR"/>
              </w:rPr>
              <w:t>357 918</w:t>
            </w:r>
            <w:r w:rsidR="00F323DF" w:rsidRPr="001B5FE1">
              <w:rPr>
                <w:noProof/>
                <w:sz w:val="22"/>
                <w:szCs w:val="22"/>
                <w:rtl/>
                <w:lang w:val="fr-FR"/>
              </w:rPr>
              <w:t xml:space="preserve"> </w:t>
            </w:r>
            <w:r w:rsidRPr="001B5FE1">
              <w:rPr>
                <w:noProof/>
                <w:sz w:val="22"/>
                <w:szCs w:val="22"/>
                <w:rtl/>
                <w:lang w:val="fr-FR"/>
              </w:rPr>
              <w:t>دولاراً</w:t>
            </w:r>
          </w:p>
        </w:tc>
        <w:tc>
          <w:tcPr>
            <w:tcW w:w="1014" w:type="pct"/>
            <w:tcBorders>
              <w:left w:val="single" w:sz="2" w:space="0" w:color="auto"/>
              <w:right w:val="single" w:sz="2" w:space="0" w:color="auto"/>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r w:rsidRPr="001B5FE1">
              <w:rPr>
                <w:noProof/>
                <w:sz w:val="22"/>
                <w:szCs w:val="22"/>
                <w:rtl/>
                <w:lang w:val="fr-FR"/>
              </w:rPr>
              <w:t>480 89 دولاراً</w:t>
            </w:r>
          </w:p>
        </w:tc>
      </w:tr>
      <w:tr w:rsidR="00680D8C" w:rsidRPr="001B5FE1">
        <w:tc>
          <w:tcPr>
            <w:tcW w:w="216" w:type="pct"/>
            <w:tcBorders>
              <w:top w:val="single" w:sz="2" w:space="0" w:color="auto"/>
              <w:left w:val="single" w:sz="12" w:space="0" w:color="auto"/>
              <w:bottom w:val="single" w:sz="2" w:space="0" w:color="auto"/>
              <w:right w:val="single" w:sz="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en-GB"/>
              </w:rPr>
            </w:pPr>
            <w:r w:rsidRPr="001B5FE1">
              <w:rPr>
                <w:sz w:val="22"/>
                <w:szCs w:val="22"/>
                <w:rtl/>
              </w:rPr>
              <w:t>7</w:t>
            </w:r>
          </w:p>
        </w:tc>
        <w:tc>
          <w:tcPr>
            <w:tcW w:w="2081" w:type="pct"/>
            <w:tcBorders>
              <w:left w:val="single" w:sz="2" w:space="0" w:color="auto"/>
            </w:tcBorders>
            <w:vAlign w:val="center"/>
          </w:tcPr>
          <w:p w:rsidR="00680D8C" w:rsidRPr="003C4F8F" w:rsidRDefault="00680D8C" w:rsidP="004146FA">
            <w:pPr>
              <w:autoSpaceDE w:val="0"/>
              <w:autoSpaceDN w:val="0"/>
              <w:adjustRightInd w:val="0"/>
              <w:spacing w:before="80" w:after="120" w:line="168" w:lineRule="auto"/>
              <w:rPr>
                <w:rFonts w:eastAsia="Times New Roman"/>
                <w:color w:val="000000"/>
                <w:lang w:val="en-GB"/>
              </w:rPr>
            </w:pPr>
            <w:r w:rsidRPr="001B5FE1">
              <w:rPr>
                <w:color w:val="000000"/>
                <w:sz w:val="22"/>
                <w:szCs w:val="22"/>
                <w:rtl/>
              </w:rPr>
              <w:t>تكاليف الخدمات الاستشارية التي يتعين تقديمها بناءً على طلب اللجنة،</w:t>
            </w:r>
            <w:r w:rsidRPr="001B5FE1">
              <w:rPr>
                <w:rFonts w:eastAsia="Times New Roman"/>
                <w:color w:val="000000"/>
                <w:sz w:val="22"/>
                <w:szCs w:val="22"/>
                <w:lang w:val="en-GB"/>
              </w:rPr>
              <w:t xml:space="preserve"> </w:t>
            </w:r>
            <w:r w:rsidRPr="001B5FE1">
              <w:rPr>
                <w:color w:val="000000"/>
                <w:sz w:val="22"/>
                <w:szCs w:val="22"/>
                <w:rtl/>
              </w:rPr>
              <w:t>بما في ذلك دعم</w:t>
            </w:r>
            <w:r w:rsidRPr="001B5FE1">
              <w:rPr>
                <w:sz w:val="22"/>
                <w:szCs w:val="22"/>
                <w:rtl/>
                <w:lang w:bidi="ar-SY"/>
              </w:rPr>
              <w:t xml:space="preserve"> </w:t>
            </w:r>
            <w:r w:rsidRPr="001B5FE1">
              <w:rPr>
                <w:color w:val="000000"/>
                <w:sz w:val="22"/>
                <w:szCs w:val="22"/>
                <w:rtl/>
              </w:rPr>
              <w:t>البلدان</w:t>
            </w:r>
            <w:r w:rsidRPr="001B5FE1">
              <w:rPr>
                <w:rFonts w:eastAsia="Times New Roman"/>
                <w:color w:val="000000"/>
                <w:sz w:val="22"/>
                <w:szCs w:val="22"/>
                <w:lang w:val="en-GB"/>
              </w:rPr>
              <w:t xml:space="preserve"> </w:t>
            </w:r>
            <w:r w:rsidRPr="001B5FE1">
              <w:rPr>
                <w:color w:val="000000"/>
                <w:sz w:val="22"/>
                <w:szCs w:val="22"/>
                <w:rtl/>
              </w:rPr>
              <w:t>النامية التي تم تعيين</w:t>
            </w:r>
            <w:r w:rsidRPr="001B5FE1">
              <w:rPr>
                <w:rFonts w:eastAsia="Times New Roman"/>
                <w:color w:val="000000"/>
                <w:sz w:val="22"/>
                <w:szCs w:val="22"/>
                <w:lang w:val="en-GB"/>
              </w:rPr>
              <w:t xml:space="preserve"> </w:t>
            </w:r>
            <w:r w:rsidRPr="001B5FE1">
              <w:rPr>
                <w:color w:val="000000"/>
                <w:sz w:val="22"/>
                <w:szCs w:val="22"/>
                <w:rtl/>
              </w:rPr>
              <w:t>ممثليها إلى هيئة التقييم؛</w:t>
            </w:r>
          </w:p>
        </w:tc>
        <w:tc>
          <w:tcPr>
            <w:tcW w:w="684" w:type="pct"/>
            <w:tcBorders>
              <w:right w:val="single" w:sz="12" w:space="0" w:color="auto"/>
            </w:tcBorders>
            <w:vAlign w:val="center"/>
          </w:tcPr>
          <w:p w:rsidR="00680D8C" w:rsidRPr="001B5FE1" w:rsidRDefault="005F67E5" w:rsidP="00F323DF">
            <w:pPr>
              <w:pStyle w:val="Default"/>
              <w:bidi/>
              <w:spacing w:before="80" w:after="120" w:line="168" w:lineRule="auto"/>
              <w:jc w:val="center"/>
              <w:rPr>
                <w:rFonts w:ascii="Times New Roman" w:hAnsi="Times New Roman"/>
                <w:sz w:val="22"/>
                <w:szCs w:val="22"/>
                <w:lang w:val="en-GB"/>
              </w:rPr>
            </w:pPr>
            <w:r>
              <w:rPr>
                <w:sz w:val="22"/>
                <w:szCs w:val="22"/>
              </w:rPr>
              <w:t>6.00%</w:t>
            </w:r>
          </w:p>
        </w:tc>
        <w:tc>
          <w:tcPr>
            <w:tcW w:w="1005" w:type="pct"/>
            <w:tcBorders>
              <w:left w:val="single" w:sz="12" w:space="0" w:color="auto"/>
              <w:right w:val="single" w:sz="2" w:space="0" w:color="auto"/>
            </w:tcBorders>
            <w:vAlign w:val="center"/>
          </w:tcPr>
          <w:p w:rsidR="00680D8C" w:rsidRPr="001B5FE1" w:rsidRDefault="00680D8C" w:rsidP="00F323DF">
            <w:pPr>
              <w:pStyle w:val="Default"/>
              <w:bidi/>
              <w:spacing w:before="80" w:after="120" w:line="168" w:lineRule="auto"/>
              <w:rPr>
                <w:rFonts w:ascii="Times New Roman" w:hAnsi="Times New Roman"/>
                <w:sz w:val="22"/>
                <w:szCs w:val="22"/>
                <w:lang w:val="fr-FR"/>
              </w:rPr>
            </w:pPr>
            <w:r w:rsidRPr="001B5FE1">
              <w:rPr>
                <w:noProof/>
                <w:sz w:val="22"/>
                <w:szCs w:val="22"/>
                <w:rtl/>
                <w:lang w:val="fr-FR"/>
              </w:rPr>
              <w:t> </w:t>
            </w:r>
            <w:r w:rsidR="00F323DF">
              <w:rPr>
                <w:noProof/>
                <w:sz w:val="22"/>
                <w:szCs w:val="22"/>
                <w:lang w:val="fr-FR"/>
              </w:rPr>
              <w:t>477 224</w:t>
            </w:r>
            <w:r w:rsidR="00F323DF" w:rsidRPr="001B5FE1">
              <w:rPr>
                <w:noProof/>
                <w:sz w:val="22"/>
                <w:szCs w:val="22"/>
                <w:rtl/>
                <w:lang w:val="fr-FR"/>
              </w:rPr>
              <w:t xml:space="preserve"> </w:t>
            </w:r>
            <w:r w:rsidRPr="001B5FE1">
              <w:rPr>
                <w:noProof/>
                <w:sz w:val="22"/>
                <w:szCs w:val="22"/>
                <w:rtl/>
                <w:lang w:val="fr-FR"/>
              </w:rPr>
              <w:t>دولاراً</w:t>
            </w:r>
          </w:p>
        </w:tc>
        <w:tc>
          <w:tcPr>
            <w:tcW w:w="1014" w:type="pct"/>
            <w:tcBorders>
              <w:left w:val="single" w:sz="2" w:space="0" w:color="auto"/>
              <w:right w:val="single" w:sz="2" w:space="0" w:color="auto"/>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r w:rsidRPr="001B5FE1">
              <w:rPr>
                <w:noProof/>
                <w:sz w:val="22"/>
                <w:szCs w:val="22"/>
                <w:rtl/>
                <w:lang w:val="fr-FR"/>
              </w:rPr>
              <w:t>306 119 دولاراً</w:t>
            </w:r>
          </w:p>
        </w:tc>
      </w:tr>
      <w:tr w:rsidR="00680D8C" w:rsidRPr="001B5FE1">
        <w:tc>
          <w:tcPr>
            <w:tcW w:w="216" w:type="pct"/>
            <w:tcBorders>
              <w:top w:val="single" w:sz="2" w:space="0" w:color="auto"/>
              <w:left w:val="single" w:sz="1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en-GB"/>
              </w:rPr>
            </w:pPr>
            <w:r w:rsidRPr="001B5FE1">
              <w:rPr>
                <w:sz w:val="22"/>
                <w:szCs w:val="22"/>
                <w:rtl/>
              </w:rPr>
              <w:t>8</w:t>
            </w:r>
          </w:p>
        </w:tc>
        <w:tc>
          <w:tcPr>
            <w:tcW w:w="2081" w:type="pct"/>
            <w:vAlign w:val="center"/>
          </w:tcPr>
          <w:p w:rsidR="00680D8C" w:rsidRPr="001B5FE1" w:rsidRDefault="00680D8C" w:rsidP="001A4172">
            <w:pPr>
              <w:pStyle w:val="Default"/>
              <w:bidi/>
              <w:spacing w:before="80" w:after="120" w:line="168" w:lineRule="auto"/>
              <w:rPr>
                <w:rFonts w:ascii="Times New Roman" w:hAnsi="Times New Roman"/>
                <w:sz w:val="22"/>
                <w:szCs w:val="22"/>
                <w:lang w:val="en-GB"/>
              </w:rPr>
            </w:pPr>
            <w:r w:rsidRPr="001B5FE1">
              <w:rPr>
                <w:sz w:val="22"/>
                <w:szCs w:val="22"/>
                <w:rtl/>
              </w:rPr>
              <w:t>الصندوق الاحتياطي</w:t>
            </w:r>
            <w:r w:rsidRPr="001B5FE1">
              <w:rPr>
                <w:rFonts w:ascii="Times New Roman" w:hAnsi="Times New Roman"/>
                <w:sz w:val="22"/>
                <w:szCs w:val="22"/>
                <w:lang w:val="en-GB"/>
              </w:rPr>
              <w:t xml:space="preserve"> </w:t>
            </w:r>
            <w:r w:rsidRPr="001B5FE1">
              <w:rPr>
                <w:sz w:val="22"/>
                <w:szCs w:val="22"/>
                <w:rtl/>
              </w:rPr>
              <w:t xml:space="preserve">لتلبية طلبات المساعدة في حالات </w:t>
            </w:r>
            <w:r w:rsidR="001A4172">
              <w:rPr>
                <w:rFonts w:hint="cs"/>
                <w:sz w:val="22"/>
                <w:szCs w:val="22"/>
                <w:rtl/>
              </w:rPr>
              <w:t>الاستعجال</w:t>
            </w:r>
            <w:r w:rsidR="001A4172" w:rsidRPr="001B5FE1">
              <w:rPr>
                <w:sz w:val="22"/>
                <w:szCs w:val="22"/>
                <w:rtl/>
              </w:rPr>
              <w:t xml:space="preserve"> </w:t>
            </w:r>
            <w:r w:rsidRPr="001B5FE1">
              <w:rPr>
                <w:sz w:val="22"/>
                <w:szCs w:val="22"/>
                <w:rtl/>
              </w:rPr>
              <w:t>القصوى.</w:t>
            </w:r>
          </w:p>
        </w:tc>
        <w:tc>
          <w:tcPr>
            <w:tcW w:w="684" w:type="pct"/>
            <w:tcBorders>
              <w:right w:val="single" w:sz="1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en-GB"/>
              </w:rPr>
            </w:pPr>
            <w:r w:rsidRPr="001B5FE1">
              <w:rPr>
                <w:noProof/>
                <w:sz w:val="22"/>
                <w:szCs w:val="22"/>
                <w:rtl/>
              </w:rPr>
              <w:t>لا ينطبق</w:t>
            </w:r>
          </w:p>
        </w:tc>
        <w:tc>
          <w:tcPr>
            <w:tcW w:w="1005" w:type="pct"/>
            <w:tcBorders>
              <w:left w:val="single" w:sz="12" w:space="0" w:color="auto"/>
              <w:right w:val="single" w:sz="2" w:space="0" w:color="auto"/>
            </w:tcBorders>
            <w:vAlign w:val="center"/>
          </w:tcPr>
          <w:p w:rsidR="00680D8C" w:rsidRPr="001B5FE1" w:rsidRDefault="00680D8C" w:rsidP="00F323DF">
            <w:pPr>
              <w:pStyle w:val="Default"/>
              <w:bidi/>
              <w:spacing w:before="80" w:after="120" w:line="168" w:lineRule="auto"/>
              <w:rPr>
                <w:rFonts w:ascii="Times New Roman" w:hAnsi="Times New Roman"/>
                <w:sz w:val="22"/>
                <w:szCs w:val="22"/>
                <w:lang w:val="fr-FR"/>
              </w:rPr>
            </w:pPr>
            <w:r w:rsidRPr="001B5FE1">
              <w:rPr>
                <w:noProof/>
                <w:sz w:val="22"/>
                <w:szCs w:val="22"/>
                <w:rtl/>
                <w:lang w:val="fr-FR"/>
              </w:rPr>
              <w:t> </w:t>
            </w:r>
            <w:r w:rsidR="00F323DF">
              <w:rPr>
                <w:noProof/>
                <w:sz w:val="22"/>
                <w:szCs w:val="22"/>
                <w:lang w:val="fr-FR"/>
              </w:rPr>
              <w:t>24 190</w:t>
            </w:r>
            <w:r w:rsidR="00F323DF" w:rsidRPr="001B5FE1">
              <w:rPr>
                <w:noProof/>
                <w:sz w:val="22"/>
                <w:szCs w:val="22"/>
                <w:rtl/>
                <w:lang w:val="fr-FR"/>
              </w:rPr>
              <w:t xml:space="preserve"> </w:t>
            </w:r>
            <w:r w:rsidRPr="001B5FE1">
              <w:rPr>
                <w:noProof/>
                <w:sz w:val="22"/>
                <w:szCs w:val="22"/>
                <w:rtl/>
                <w:lang w:val="fr-FR"/>
              </w:rPr>
              <w:t>دولاراً</w:t>
            </w:r>
          </w:p>
        </w:tc>
        <w:tc>
          <w:tcPr>
            <w:tcW w:w="1014" w:type="pct"/>
            <w:tcBorders>
              <w:left w:val="single" w:sz="2" w:space="0" w:color="auto"/>
              <w:right w:val="single" w:sz="2" w:space="0" w:color="auto"/>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r w:rsidRPr="001B5FE1">
              <w:rPr>
                <w:sz w:val="22"/>
                <w:szCs w:val="22"/>
                <w:rtl/>
                <w:lang w:val="fr-FR"/>
              </w:rPr>
              <w:t>-</w:t>
            </w:r>
          </w:p>
        </w:tc>
      </w:tr>
      <w:tr w:rsidR="00680D8C" w:rsidRPr="001B5FE1">
        <w:tc>
          <w:tcPr>
            <w:tcW w:w="216" w:type="pct"/>
            <w:tcBorders>
              <w:left w:val="single" w:sz="12" w:space="0" w:color="auto"/>
              <w:bottom w:val="single" w:sz="2" w:space="0" w:color="auto"/>
            </w:tcBorders>
            <w:vAlign w:val="center"/>
          </w:tcPr>
          <w:p w:rsidR="00680D8C" w:rsidRPr="001B5FE1" w:rsidRDefault="00680D8C" w:rsidP="004146FA">
            <w:pPr>
              <w:pStyle w:val="Default"/>
              <w:bidi/>
              <w:spacing w:before="80" w:after="120" w:line="168" w:lineRule="auto"/>
              <w:jc w:val="center"/>
              <w:rPr>
                <w:rFonts w:ascii="Times New Roman" w:hAnsi="Times New Roman"/>
                <w:sz w:val="22"/>
                <w:szCs w:val="22"/>
                <w:lang w:val="en-GB"/>
              </w:rPr>
            </w:pPr>
          </w:p>
        </w:tc>
        <w:tc>
          <w:tcPr>
            <w:tcW w:w="2081" w:type="pct"/>
            <w:tcBorders>
              <w:bottom w:val="single" w:sz="2" w:space="0" w:color="auto"/>
            </w:tcBorders>
            <w:vAlign w:val="center"/>
          </w:tcPr>
          <w:p w:rsidR="00680D8C" w:rsidRPr="001B5FE1" w:rsidRDefault="00680D8C" w:rsidP="004146FA">
            <w:pPr>
              <w:pStyle w:val="Default"/>
              <w:bidi/>
              <w:spacing w:before="80" w:after="120" w:line="168" w:lineRule="auto"/>
              <w:jc w:val="both"/>
              <w:rPr>
                <w:rFonts w:ascii="Times New Roman" w:hAnsi="Times New Roman"/>
                <w:b/>
                <w:sz w:val="22"/>
                <w:szCs w:val="22"/>
                <w:lang w:val="en-GB"/>
              </w:rPr>
            </w:pPr>
            <w:r w:rsidRPr="001B5FE1">
              <w:rPr>
                <w:b/>
                <w:bCs/>
                <w:noProof/>
                <w:sz w:val="22"/>
                <w:szCs w:val="22"/>
                <w:rtl/>
              </w:rPr>
              <w:t>المجموع</w:t>
            </w:r>
          </w:p>
        </w:tc>
        <w:tc>
          <w:tcPr>
            <w:tcW w:w="684" w:type="pct"/>
            <w:tcBorders>
              <w:bottom w:val="single" w:sz="2" w:space="0" w:color="auto"/>
              <w:right w:val="single" w:sz="12" w:space="0" w:color="auto"/>
            </w:tcBorders>
            <w:vAlign w:val="center"/>
          </w:tcPr>
          <w:p w:rsidR="00680D8C" w:rsidRPr="001B5FE1" w:rsidRDefault="005F67E5" w:rsidP="00F323DF">
            <w:pPr>
              <w:pStyle w:val="Default"/>
              <w:bidi/>
              <w:spacing w:before="80" w:after="120" w:line="168" w:lineRule="auto"/>
              <w:jc w:val="center"/>
              <w:rPr>
                <w:rFonts w:ascii="Times New Roman" w:hAnsi="Times New Roman"/>
                <w:b/>
                <w:sz w:val="22"/>
                <w:szCs w:val="22"/>
                <w:lang w:val="en-GB"/>
              </w:rPr>
            </w:pPr>
            <w:r>
              <w:rPr>
                <w:b/>
                <w:sz w:val="22"/>
                <w:szCs w:val="22"/>
              </w:rPr>
              <w:t>100.00%</w:t>
            </w:r>
          </w:p>
        </w:tc>
        <w:tc>
          <w:tcPr>
            <w:tcW w:w="1005" w:type="pct"/>
            <w:tcBorders>
              <w:left w:val="single" w:sz="12" w:space="0" w:color="auto"/>
              <w:bottom w:val="single" w:sz="2" w:space="0" w:color="auto"/>
              <w:right w:val="single" w:sz="2" w:space="0" w:color="auto"/>
            </w:tcBorders>
            <w:vAlign w:val="center"/>
          </w:tcPr>
          <w:p w:rsidR="00680D8C" w:rsidRPr="001B5FE1" w:rsidRDefault="00680D8C" w:rsidP="00F323DF">
            <w:pPr>
              <w:pStyle w:val="Default"/>
              <w:bidi/>
              <w:spacing w:before="80" w:after="120" w:line="168" w:lineRule="auto"/>
              <w:rPr>
                <w:rFonts w:ascii="Times New Roman" w:hAnsi="Times New Roman"/>
                <w:bCs/>
                <w:sz w:val="22"/>
                <w:szCs w:val="22"/>
                <w:lang w:val="fr-FR"/>
              </w:rPr>
            </w:pPr>
            <w:r w:rsidRPr="001B5FE1">
              <w:rPr>
                <w:bCs/>
                <w:noProof/>
                <w:sz w:val="22"/>
                <w:szCs w:val="22"/>
                <w:rtl/>
                <w:lang w:val="fr-FR"/>
              </w:rPr>
              <w:t> </w:t>
            </w:r>
            <w:r w:rsidR="00F323DF" w:rsidRPr="00523383">
              <w:rPr>
                <w:b/>
                <w:sz w:val="22"/>
                <w:szCs w:val="22"/>
              </w:rPr>
              <w:t>7 977 920</w:t>
            </w:r>
            <w:r w:rsidRPr="001B5FE1">
              <w:rPr>
                <w:bCs/>
                <w:noProof/>
                <w:sz w:val="22"/>
                <w:szCs w:val="22"/>
                <w:rtl/>
                <w:lang w:val="fr-FR"/>
              </w:rPr>
              <w:t xml:space="preserve"> دولاراً</w:t>
            </w:r>
          </w:p>
        </w:tc>
        <w:tc>
          <w:tcPr>
            <w:tcW w:w="1014" w:type="pct"/>
            <w:tcBorders>
              <w:left w:val="single" w:sz="2" w:space="0" w:color="auto"/>
              <w:bottom w:val="single" w:sz="2" w:space="0" w:color="auto"/>
              <w:right w:val="single" w:sz="2" w:space="0" w:color="auto"/>
            </w:tcBorders>
            <w:vAlign w:val="center"/>
          </w:tcPr>
          <w:p w:rsidR="00680D8C" w:rsidRPr="001B5FE1" w:rsidRDefault="00F323DF" w:rsidP="00F323DF">
            <w:pPr>
              <w:pStyle w:val="Default"/>
              <w:bidi/>
              <w:spacing w:before="80" w:after="120" w:line="168" w:lineRule="auto"/>
              <w:rPr>
                <w:rFonts w:ascii="Times New Roman" w:hAnsi="Times New Roman"/>
                <w:bCs/>
                <w:sz w:val="22"/>
                <w:szCs w:val="22"/>
                <w:lang w:val="fr-FR"/>
              </w:rPr>
            </w:pPr>
            <w:r w:rsidRPr="00523383">
              <w:rPr>
                <w:b/>
                <w:sz w:val="22"/>
                <w:szCs w:val="22"/>
              </w:rPr>
              <w:t>434</w:t>
            </w:r>
            <w:r w:rsidR="00680D8C" w:rsidRPr="00523383">
              <w:rPr>
                <w:b/>
                <w:sz w:val="22"/>
                <w:szCs w:val="22"/>
                <w:rtl/>
              </w:rPr>
              <w:t> </w:t>
            </w:r>
            <w:r>
              <w:rPr>
                <w:b/>
                <w:sz w:val="22"/>
                <w:szCs w:val="22"/>
              </w:rPr>
              <w:t>1 988</w:t>
            </w:r>
            <w:r w:rsidR="00680D8C" w:rsidRPr="001B5FE1">
              <w:rPr>
                <w:bCs/>
                <w:noProof/>
                <w:sz w:val="22"/>
                <w:szCs w:val="22"/>
                <w:rtl/>
                <w:lang w:val="fr-FR"/>
              </w:rPr>
              <w:t xml:space="preserve"> دولاراً</w:t>
            </w:r>
          </w:p>
        </w:tc>
      </w:tr>
      <w:tr w:rsidR="00680D8C" w:rsidRPr="001B5FE1">
        <w:tc>
          <w:tcPr>
            <w:tcW w:w="2981" w:type="pct"/>
            <w:gridSpan w:val="3"/>
            <w:tcBorders>
              <w:top w:val="single" w:sz="2" w:space="0" w:color="auto"/>
              <w:left w:val="single" w:sz="12" w:space="0" w:color="auto"/>
              <w:bottom w:val="single" w:sz="2" w:space="0" w:color="auto"/>
              <w:right w:val="single" w:sz="12" w:space="0" w:color="auto"/>
            </w:tcBorders>
            <w:vAlign w:val="center"/>
          </w:tcPr>
          <w:p w:rsidR="00680D8C" w:rsidRPr="005F7039" w:rsidRDefault="00680D8C" w:rsidP="004146FA">
            <w:pPr>
              <w:pStyle w:val="Default"/>
              <w:bidi/>
              <w:spacing w:before="80" w:after="120" w:line="168" w:lineRule="auto"/>
              <w:jc w:val="both"/>
              <w:rPr>
                <w:rFonts w:ascii="Times New Roman" w:hAnsi="Times New Roman"/>
                <w:sz w:val="22"/>
                <w:szCs w:val="22"/>
                <w:lang w:val="fr-FR"/>
              </w:rPr>
            </w:pPr>
            <w:r w:rsidRPr="001B5FE1">
              <w:rPr>
                <w:noProof/>
                <w:sz w:val="22"/>
                <w:szCs w:val="22"/>
                <w:rtl/>
              </w:rPr>
              <w:t>تُرحل الأموال غير المرتبط بها في نهاية الفترة التي تشملها هذه الخطة إلى الفترة المالية التالية، وتُخصص وفقاً للخطة التي توافق عليها الجمعية العامة في ذلك الوقت.</w:t>
            </w:r>
          </w:p>
        </w:tc>
        <w:tc>
          <w:tcPr>
            <w:tcW w:w="2019" w:type="pct"/>
            <w:gridSpan w:val="2"/>
            <w:tcBorders>
              <w:top w:val="single" w:sz="2" w:space="0" w:color="auto"/>
              <w:left w:val="single" w:sz="12" w:space="0" w:color="auto"/>
              <w:bottom w:val="nil"/>
              <w:right w:val="nil"/>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p>
        </w:tc>
      </w:tr>
      <w:tr w:rsidR="00680D8C" w:rsidRPr="001B5FE1">
        <w:tc>
          <w:tcPr>
            <w:tcW w:w="2981" w:type="pct"/>
            <w:gridSpan w:val="3"/>
            <w:tcBorders>
              <w:top w:val="single" w:sz="2" w:space="0" w:color="auto"/>
              <w:left w:val="single" w:sz="12" w:space="0" w:color="auto"/>
              <w:bottom w:val="single" w:sz="12" w:space="0" w:color="auto"/>
              <w:right w:val="single" w:sz="12" w:space="0" w:color="auto"/>
            </w:tcBorders>
            <w:vAlign w:val="center"/>
          </w:tcPr>
          <w:p w:rsidR="00680D8C" w:rsidRPr="005F7039" w:rsidRDefault="00680D8C" w:rsidP="004146FA">
            <w:pPr>
              <w:pStyle w:val="Default"/>
              <w:bidi/>
              <w:spacing w:before="80" w:after="120" w:line="168" w:lineRule="auto"/>
              <w:jc w:val="both"/>
              <w:rPr>
                <w:rFonts w:ascii="Times New Roman" w:hAnsi="Times New Roman"/>
                <w:sz w:val="22"/>
                <w:szCs w:val="22"/>
                <w:lang w:val="fr-FR"/>
              </w:rPr>
            </w:pPr>
            <w:proofErr w:type="gramStart"/>
            <w:r w:rsidRPr="001B5FE1">
              <w:rPr>
                <w:sz w:val="22"/>
                <w:szCs w:val="22"/>
                <w:rtl/>
              </w:rPr>
              <w:t>فيما</w:t>
            </w:r>
            <w:proofErr w:type="gramEnd"/>
            <w:r w:rsidRPr="001B5FE1">
              <w:rPr>
                <w:sz w:val="22"/>
                <w:szCs w:val="22"/>
                <w:rtl/>
              </w:rPr>
              <w:t xml:space="preserve"> يخص الفترة من 1 كانون الثاني/يناير</w:t>
            </w:r>
            <w:r w:rsidR="00067158">
              <w:rPr>
                <w:rFonts w:hint="cs"/>
                <w:sz w:val="22"/>
                <w:szCs w:val="22"/>
                <w:rtl/>
              </w:rPr>
              <w:t xml:space="preserve"> 2018</w:t>
            </w:r>
            <w:r w:rsidRPr="001B5FE1">
              <w:rPr>
                <w:sz w:val="22"/>
                <w:szCs w:val="22"/>
                <w:rtl/>
              </w:rPr>
              <w:t xml:space="preserve"> إلى 30 حزيران/يونيو 2018، يُخصص ربع المبلغ المحدد للأشهر الأربعة والعشرين الخاصة بالفترة المالية 2016-2017 بصورة مؤقتة، ما عدى الصندوق الاحتياطي الذي ضبطت اللجنة قيمته بمليون دولار أمريكي (</w:t>
            </w:r>
            <w:hyperlink r:id="rId24" w:history="1">
              <w:r w:rsidRPr="00F323DF">
                <w:rPr>
                  <w:rStyle w:val="Hyperlink"/>
                  <w:sz w:val="22"/>
                  <w:szCs w:val="22"/>
                  <w:rtl/>
                </w:rPr>
                <w:t xml:space="preserve">القرار </w:t>
              </w:r>
              <w:r w:rsidRPr="00F323DF">
                <w:rPr>
                  <w:rStyle w:val="Hyperlink"/>
                  <w:rFonts w:ascii="Times New Roman" w:hAnsi="Times New Roman"/>
                  <w:sz w:val="22"/>
                  <w:szCs w:val="22"/>
                  <w:lang w:val="fr-FR"/>
                </w:rPr>
                <w:t>10.COM 8</w:t>
              </w:r>
            </w:hyperlink>
            <w:r w:rsidRPr="001B5FE1">
              <w:rPr>
                <w:sz w:val="22"/>
                <w:szCs w:val="22"/>
                <w:rtl/>
              </w:rPr>
              <w:t>)</w:t>
            </w:r>
          </w:p>
        </w:tc>
        <w:tc>
          <w:tcPr>
            <w:tcW w:w="2019" w:type="pct"/>
            <w:gridSpan w:val="2"/>
            <w:tcBorders>
              <w:top w:val="nil"/>
              <w:left w:val="single" w:sz="12" w:space="0" w:color="auto"/>
              <w:bottom w:val="nil"/>
              <w:right w:val="nil"/>
            </w:tcBorders>
            <w:vAlign w:val="center"/>
          </w:tcPr>
          <w:p w:rsidR="00680D8C" w:rsidRPr="001B5FE1" w:rsidRDefault="00680D8C" w:rsidP="004146FA">
            <w:pPr>
              <w:pStyle w:val="Default"/>
              <w:bidi/>
              <w:spacing w:before="80" w:after="120" w:line="168" w:lineRule="auto"/>
              <w:rPr>
                <w:rFonts w:ascii="Times New Roman" w:hAnsi="Times New Roman"/>
                <w:sz w:val="22"/>
                <w:szCs w:val="22"/>
                <w:lang w:val="fr-FR"/>
              </w:rPr>
            </w:pPr>
          </w:p>
        </w:tc>
      </w:tr>
    </w:tbl>
    <w:p w:rsidR="00680D8C" w:rsidRPr="005F7039" w:rsidRDefault="00680D8C" w:rsidP="00635D67">
      <w:pPr>
        <w:pStyle w:val="5GAparabodytext"/>
        <w:numPr>
          <w:ilvl w:val="0"/>
          <w:numId w:val="0"/>
        </w:numPr>
        <w:ind w:left="360"/>
        <w:rPr>
          <w:lang w:val="fr-FR"/>
        </w:rPr>
      </w:pPr>
    </w:p>
    <w:p w:rsidR="00680D8C" w:rsidRDefault="00680D8C" w:rsidP="00635D67">
      <w:pPr>
        <w:pStyle w:val="5GAparabodytext"/>
        <w:numPr>
          <w:ilvl w:val="0"/>
          <w:numId w:val="0"/>
        </w:numPr>
        <w:ind w:left="360"/>
        <w:rPr>
          <w:rtl/>
        </w:rPr>
      </w:pPr>
    </w:p>
    <w:p w:rsidR="00680D8C" w:rsidRPr="005F7039" w:rsidRDefault="00680D8C" w:rsidP="00635D67">
      <w:pPr>
        <w:pStyle w:val="5GAparabodytext"/>
        <w:numPr>
          <w:ilvl w:val="0"/>
          <w:numId w:val="0"/>
        </w:numPr>
        <w:ind w:left="360"/>
        <w:rPr>
          <w:lang w:val="fr-FR"/>
        </w:rPr>
        <w:sectPr w:rsidR="00680D8C" w:rsidRPr="005F7039" w:rsidSect="003A7DD7">
          <w:footerReference w:type="default" r:id="rId25"/>
          <w:pgSz w:w="11906" w:h="16838" w:code="9"/>
          <w:pgMar w:top="1418" w:right="1134" w:bottom="1134" w:left="1134" w:header="397" w:footer="284" w:gutter="0"/>
          <w:cols w:space="708"/>
          <w:docGrid w:linePitch="360"/>
        </w:sectPr>
      </w:pPr>
    </w:p>
    <w:p w:rsidR="00680D8C" w:rsidRPr="00523383" w:rsidRDefault="00680D8C" w:rsidP="00523383">
      <w:pPr>
        <w:spacing w:before="120" w:after="600"/>
      </w:pPr>
    </w:p>
    <w:sectPr w:rsidR="00680D8C" w:rsidRPr="00523383" w:rsidSect="00523383">
      <w:headerReference w:type="even" r:id="rId26"/>
      <w:headerReference w:type="default" r:id="rId27"/>
      <w:headerReference w:type="first" r:id="rId28"/>
      <w:pgSz w:w="11906" w:h="16838" w:code="9"/>
      <w:pgMar w:top="1134" w:right="1134" w:bottom="1418"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3DF" w:rsidRDefault="00F323DF" w:rsidP="0018093B">
      <w:r>
        <w:rPr>
          <w:rtl/>
        </w:rPr>
        <w:separator/>
      </w:r>
    </w:p>
  </w:endnote>
  <w:endnote w:type="continuationSeparator" w:id="0">
    <w:p w:rsidR="00F323DF" w:rsidRDefault="00F323DF"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54" w:rsidRDefault="00BE2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54" w:rsidRDefault="00BE2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54" w:rsidRDefault="00BE2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A6" w:rsidRDefault="001F40A6" w:rsidP="003A7DD7">
    <w:pPr>
      <w:pStyle w:val="Footer"/>
    </w:pPr>
    <w:r>
      <w:rPr>
        <w:rFonts w:ascii="Arial" w:hAnsi="Arial" w:cs="Arial" w:hint="cs"/>
        <w:color w:val="222222"/>
        <w:rtl/>
      </w:rPr>
      <w:t>وتطبق</w:t>
    </w:r>
    <w:r>
      <w:rPr>
        <w:rFonts w:ascii="Arial" w:hAnsi="Arial" w:cs="Arial" w:hint="cs"/>
        <w:color w:val="222222"/>
        <w:rtl/>
        <w:lang w:bidi="ar"/>
      </w:rPr>
      <w:t xml:space="preserve"> </w:t>
    </w:r>
    <w:r>
      <w:rPr>
        <w:rFonts w:ascii="Arial" w:hAnsi="Arial" w:cs="Arial" w:hint="cs"/>
        <w:color w:val="222222"/>
        <w:rtl/>
      </w:rPr>
      <w:t>النسب المئوية</w:t>
    </w:r>
    <w:r>
      <w:rPr>
        <w:rFonts w:ascii="Arial" w:hAnsi="Arial" w:cs="Arial" w:hint="cs"/>
        <w:color w:val="222222"/>
        <w:rtl/>
        <w:lang w:bidi="ar"/>
      </w:rPr>
      <w:t xml:space="preserve"> </w:t>
    </w:r>
    <w:r>
      <w:rPr>
        <w:rFonts w:ascii="Arial" w:hAnsi="Arial" w:cs="Arial" w:hint="cs"/>
        <w:color w:val="222222"/>
        <w:rtl/>
      </w:rPr>
      <w:t>على رصيد الصندوق</w:t>
    </w:r>
    <w:r>
      <w:rPr>
        <w:rFonts w:ascii="Arial" w:hAnsi="Arial" w:cs="Arial" w:hint="cs"/>
        <w:color w:val="222222"/>
        <w:rtl/>
        <w:lang w:bidi="ar"/>
      </w:rPr>
      <w:t xml:space="preserve"> </w:t>
    </w:r>
    <w:r>
      <w:rPr>
        <w:rFonts w:ascii="Arial" w:hAnsi="Arial" w:cs="Arial" w:hint="cs"/>
        <w:color w:val="222222"/>
        <w:rtl/>
      </w:rPr>
      <w:t>اعتبارا من</w:t>
    </w:r>
    <w:r>
      <w:rPr>
        <w:rFonts w:ascii="Arial" w:hAnsi="Arial" w:cs="Arial" w:hint="cs"/>
        <w:color w:val="222222"/>
        <w:rtl/>
        <w:lang w:bidi="ar"/>
      </w:rPr>
      <w:t xml:space="preserve"> 31</w:t>
    </w:r>
    <w:r w:rsidRPr="00DD6AAC">
      <w:rPr>
        <w:noProof/>
        <w:color w:val="000000"/>
        <w:sz w:val="22"/>
        <w:szCs w:val="22"/>
        <w:rtl/>
      </w:rPr>
      <w:t xml:space="preserve"> </w:t>
    </w:r>
    <w:r w:rsidRPr="001B5FE1">
      <w:rPr>
        <w:noProof/>
        <w:color w:val="000000"/>
        <w:sz w:val="22"/>
        <w:szCs w:val="22"/>
        <w:rtl/>
      </w:rPr>
      <w:t>كانون الأول</w:t>
    </w:r>
    <w:r>
      <w:rPr>
        <w:rFonts w:hint="cs"/>
        <w:noProof/>
        <w:color w:val="000000"/>
        <w:sz w:val="22"/>
        <w:szCs w:val="22"/>
        <w:rtl/>
      </w:rPr>
      <w:t>/</w:t>
    </w:r>
    <w:r>
      <w:rPr>
        <w:rFonts w:ascii="Arial" w:hAnsi="Arial" w:cs="Arial" w:hint="cs"/>
        <w:color w:val="222222"/>
        <w:rtl/>
      </w:rPr>
      <w:t>ديسمبر 2015</w:t>
    </w:r>
    <w:r>
      <w:rPr>
        <w:rFonts w:ascii="Arial" w:hAnsi="Arial" w:cs="Arial" w:hint="cs"/>
        <w:color w:val="222222"/>
        <w:rtl/>
        <w:lang w:bidi="ar"/>
      </w:rPr>
      <w:t xml:space="preserve"> </w:t>
    </w:r>
    <w:r>
      <w:rPr>
        <w:rFonts w:ascii="Arial" w:hAnsi="Arial" w:cs="Arial" w:hint="cs"/>
        <w:color w:val="222222"/>
        <w:rtl/>
      </w:rPr>
      <w:t>أقل</w:t>
    </w:r>
    <w:r>
      <w:rPr>
        <w:rFonts w:ascii="Arial" w:hAnsi="Arial" w:cs="Arial" w:hint="cs"/>
        <w:color w:val="222222"/>
        <w:rtl/>
        <w:lang w:bidi="ar"/>
      </w:rPr>
      <w:t xml:space="preserve"> </w:t>
    </w:r>
    <w:r>
      <w:rPr>
        <w:rFonts w:ascii="Arial" w:hAnsi="Arial" w:cs="Arial" w:hint="cs"/>
        <w:color w:val="222222"/>
        <w:rtl/>
      </w:rPr>
      <w:t>من</w:t>
    </w:r>
    <w:r>
      <w:rPr>
        <w:rFonts w:ascii="Arial" w:hAnsi="Arial" w:cs="Arial" w:hint="cs"/>
        <w:color w:val="222222"/>
        <w:rtl/>
        <w:lang w:bidi="ar"/>
      </w:rPr>
      <w:t xml:space="preserve"> </w:t>
    </w:r>
    <w:r>
      <w:rPr>
        <w:rFonts w:ascii="Arial" w:hAnsi="Arial" w:cs="Arial" w:hint="cs"/>
        <w:color w:val="222222"/>
        <w:rtl/>
      </w:rPr>
      <w:t>المبلغ الذي</w:t>
    </w:r>
    <w:r>
      <w:rPr>
        <w:rFonts w:ascii="Arial" w:hAnsi="Arial" w:cs="Arial" w:hint="cs"/>
        <w:color w:val="222222"/>
        <w:rtl/>
        <w:lang w:bidi="ar"/>
      </w:rPr>
      <w:t xml:space="preserve"> </w:t>
    </w:r>
    <w:r>
      <w:rPr>
        <w:rFonts w:ascii="Arial" w:hAnsi="Arial" w:cs="Arial" w:hint="cs"/>
        <w:color w:val="222222"/>
        <w:rtl/>
      </w:rPr>
      <w:t>اقترحت اللجنة</w:t>
    </w:r>
    <w:r>
      <w:rPr>
        <w:rFonts w:ascii="Arial" w:hAnsi="Arial" w:cs="Arial" w:hint="cs"/>
        <w:color w:val="222222"/>
        <w:rtl/>
        <w:lang w:bidi="ar"/>
      </w:rPr>
      <w:t xml:space="preserve"> </w:t>
    </w:r>
    <w:r>
      <w:rPr>
        <w:rFonts w:ascii="Arial" w:hAnsi="Arial" w:cs="Arial" w:hint="cs"/>
        <w:color w:val="222222"/>
        <w:rtl/>
      </w:rPr>
      <w:t>أن ينقل إلى</w:t>
    </w:r>
    <w:r>
      <w:rPr>
        <w:rFonts w:ascii="Arial" w:hAnsi="Arial" w:cs="Arial" w:hint="cs"/>
        <w:color w:val="222222"/>
        <w:rtl/>
        <w:lang w:bidi="ar"/>
      </w:rPr>
      <w:t xml:space="preserve"> </w:t>
    </w:r>
    <w:r>
      <w:rPr>
        <w:rFonts w:ascii="Arial" w:hAnsi="Arial" w:cs="Arial" w:hint="cs"/>
        <w:color w:val="222222"/>
        <w:rtl/>
      </w:rPr>
      <w:t>صندوق الاحتياطي</w:t>
    </w:r>
    <w:r>
      <w:rPr>
        <w:rFonts w:ascii="Arial" w:hAnsi="Arial" w:cs="Arial" w:hint="cs"/>
        <w:color w:val="222222"/>
        <w:rtl/>
        <w:lang w:bidi="ar"/>
      </w:rPr>
      <w:t xml:space="preserve"> (</w:t>
    </w:r>
    <w:r>
      <w:rPr>
        <w:rFonts w:ascii="Arial" w:hAnsi="Arial" w:cs="Arial"/>
        <w:color w:val="222222"/>
        <w:lang w:bidi="ar"/>
      </w:rPr>
      <w:t>24 190</w:t>
    </w:r>
    <w:r>
      <w:rPr>
        <w:rFonts w:ascii="Arial" w:hAnsi="Arial" w:cs="Arial" w:hint="cs"/>
        <w:color w:val="222222"/>
        <w:rtl/>
      </w:rPr>
      <w:t xml:space="preserve"> دولار امريكي</w:t>
    </w:r>
    <w:r>
      <w:rPr>
        <w:rFonts w:ascii="Arial" w:hAnsi="Arial" w:cs="Arial" w:hint="cs"/>
        <w:color w:val="222222"/>
        <w:rtl/>
        <w:lang w:bidi="ar"/>
      </w:rPr>
      <w:t xml:space="preserve">) </w:t>
    </w:r>
    <w:r>
      <w:rPr>
        <w:rFonts w:ascii="Arial" w:hAnsi="Arial" w:cs="Arial" w:hint="cs"/>
        <w:color w:val="222222"/>
        <w:rtl/>
      </w:rPr>
      <w:t>من أجل</w:t>
    </w:r>
    <w:r>
      <w:rPr>
        <w:rFonts w:ascii="Arial" w:hAnsi="Arial" w:cs="Arial" w:hint="cs"/>
        <w:color w:val="222222"/>
        <w:rtl/>
        <w:lang w:bidi="ar"/>
      </w:rPr>
      <w:t xml:space="preserve"> </w:t>
    </w:r>
    <w:r>
      <w:rPr>
        <w:rFonts w:ascii="Arial" w:hAnsi="Arial" w:cs="Arial" w:hint="cs"/>
        <w:color w:val="222222"/>
        <w:rtl/>
      </w:rPr>
      <w:t>تحديد</w:t>
    </w:r>
    <w:r>
      <w:rPr>
        <w:rFonts w:ascii="Arial" w:hAnsi="Arial" w:cs="Arial" w:hint="cs"/>
        <w:color w:val="222222"/>
        <w:rtl/>
        <w:lang w:bidi="ar"/>
      </w:rPr>
      <w:t xml:space="preserve"> </w:t>
    </w:r>
    <w:r>
      <w:rPr>
        <w:rFonts w:ascii="Arial" w:hAnsi="Arial" w:cs="Arial" w:hint="cs"/>
        <w:color w:val="222222"/>
        <w:rtl/>
      </w:rPr>
      <w:t>مبلغها</w:t>
    </w:r>
    <w:r>
      <w:rPr>
        <w:rFonts w:ascii="Arial" w:hAnsi="Arial" w:cs="Arial" w:hint="cs"/>
        <w:color w:val="222222"/>
        <w:rtl/>
        <w:lang w:bidi="ar"/>
      </w:rPr>
      <w:t xml:space="preserve"> </w:t>
    </w:r>
    <w:r w:rsidR="003A7DD7">
      <w:rPr>
        <w:rFonts w:ascii="Arial" w:hAnsi="Arial" w:cs="Arial" w:hint="cs"/>
        <w:color w:val="222222"/>
        <w:rtl/>
      </w:rPr>
      <w:t>الكلي</w:t>
    </w:r>
    <w:r>
      <w:rPr>
        <w:rFonts w:ascii="Arial" w:hAnsi="Arial" w:cs="Arial" w:hint="cs"/>
        <w:color w:val="222222"/>
        <w:rtl/>
        <w:lang w:bidi="ar"/>
      </w:rPr>
      <w:t xml:space="preserve"> </w:t>
    </w:r>
    <w:r>
      <w:rPr>
        <w:rFonts w:ascii="Arial" w:hAnsi="Arial" w:cs="Arial" w:hint="cs"/>
        <w:color w:val="222222"/>
        <w:rtl/>
      </w:rPr>
      <w:t>إلى 1 مليون دولار امريكي.</w:t>
    </w:r>
  </w:p>
  <w:p w:rsidR="001F40A6" w:rsidRDefault="001F4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3DF" w:rsidRDefault="00F323DF" w:rsidP="0018093B">
      <w:r>
        <w:rPr>
          <w:rtl/>
        </w:rPr>
        <w:separator/>
      </w:r>
    </w:p>
  </w:footnote>
  <w:footnote w:type="continuationSeparator" w:id="0">
    <w:p w:rsidR="00F323DF" w:rsidRDefault="00F323DF" w:rsidP="0018093B">
      <w:r>
        <w:rPr>
          <w:rtl/>
        </w:rPr>
        <w:continuationSeparator/>
      </w:r>
    </w:p>
  </w:footnote>
  <w:footnote w:id="1">
    <w:p w:rsidR="00F323DF" w:rsidRPr="00807787" w:rsidRDefault="00F323DF" w:rsidP="00FE7585">
      <w:pPr>
        <w:pStyle w:val="FootnoteText"/>
        <w:bidi/>
      </w:pPr>
      <w:r>
        <w:rPr>
          <w:rStyle w:val="FootnoteReference"/>
        </w:rPr>
        <w:footnoteRef/>
      </w:r>
      <w:r>
        <w:t xml:space="preserve"> </w:t>
      </w:r>
      <w:r w:rsidRPr="00807787">
        <w:rPr>
          <w:rtl/>
        </w:rPr>
        <w:t xml:space="preserve">عند إنشائه في عام 2010، اعتبرت الجمعية العامة أنّ الصندوق الفرعي، التابع لصندوق صون التراث الثقافي غير المادي والمخصّص حصرياً لتحسين القدرات البشرية للأمانة، ينبغي أن يتلقّى مساهمات طوعية إضافية بقيمة </w:t>
      </w:r>
      <w:r>
        <w:t>1 000 000</w:t>
      </w:r>
      <w:r w:rsidRPr="00807787">
        <w:rPr>
          <w:rtl/>
        </w:rPr>
        <w:t xml:space="preserve"> دولار أمريكي على الأقل كلّ سنة حتى تتمكّن الأمانة من تلبية حاجيات وطلبات الدول الأطراف بشكل مناسب. </w:t>
      </w:r>
      <w:proofErr w:type="gramStart"/>
      <w:r w:rsidRPr="00807787">
        <w:rPr>
          <w:rtl/>
        </w:rPr>
        <w:t>وفي</w:t>
      </w:r>
      <w:proofErr w:type="gramEnd"/>
      <w:r w:rsidRPr="00807787">
        <w:rPr>
          <w:rtl/>
        </w:rPr>
        <w:t xml:space="preserve"> زمن تحرير هذه الوثيقة، تلقّى الصندوق الفرعي منذ إنشائه خُمس الموارد المقدّرة الضرورية لتلك الفترة. </w:t>
      </w:r>
    </w:p>
    <w:p w:rsidR="00F323DF" w:rsidRDefault="00F323DF" w:rsidP="004146FA">
      <w:pPr>
        <w:pStyle w:val="FootnoteText"/>
        <w:bid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1459880"/>
      <w:docPartObj>
        <w:docPartGallery w:val="Page Numbers (Top of Page)"/>
        <w:docPartUnique/>
      </w:docPartObj>
    </w:sdtPr>
    <w:sdtEndPr/>
    <w:sdtContent>
      <w:p w:rsidR="00BD3AC5" w:rsidRDefault="00BD3AC5">
        <w:pPr>
          <w:pStyle w:val="Header"/>
        </w:pPr>
        <w:r>
          <w:fldChar w:fldCharType="begin"/>
        </w:r>
        <w:r>
          <w:instrText>PAGE   \* MERGEFORMAT</w:instrText>
        </w:r>
        <w:r>
          <w:fldChar w:fldCharType="separate"/>
        </w:r>
        <w:r w:rsidR="00523383" w:rsidRPr="00523383">
          <w:rPr>
            <w:noProof/>
            <w:lang w:val="fr-FR"/>
          </w:rPr>
          <w:t>2</w:t>
        </w:r>
        <w:r>
          <w:fldChar w:fldCharType="end"/>
        </w:r>
        <w:r>
          <w:t xml:space="preserve"> ITH/16/6.GA/9 – page </w:t>
        </w:r>
      </w:p>
    </w:sdtContent>
  </w:sdt>
  <w:p w:rsidR="00F323DF" w:rsidRDefault="00F323DF">
    <w:pPr>
      <w:pStyle w:val="Header"/>
      <w:rPr>
        <w:rFonts w:ascii="Times New Roman" w:hAnsi="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71227558"/>
      <w:docPartObj>
        <w:docPartGallery w:val="Page Numbers (Top of Page)"/>
        <w:docPartUnique/>
      </w:docPartObj>
    </w:sdtPr>
    <w:sdtEndPr/>
    <w:sdtContent>
      <w:p w:rsidR="00BD3AC5" w:rsidRDefault="00BD3AC5" w:rsidP="00523383">
        <w:pPr>
          <w:pStyle w:val="Header"/>
          <w:jc w:val="right"/>
        </w:pPr>
        <w:r>
          <w:fldChar w:fldCharType="begin"/>
        </w:r>
        <w:r>
          <w:instrText>PAGE   \* MERGEFORMAT</w:instrText>
        </w:r>
        <w:r>
          <w:fldChar w:fldCharType="separate"/>
        </w:r>
        <w:r w:rsidR="00523383" w:rsidRPr="00523383">
          <w:rPr>
            <w:noProof/>
            <w:lang w:val="fr-FR"/>
          </w:rPr>
          <w:t>3</w:t>
        </w:r>
        <w:r>
          <w:fldChar w:fldCharType="end"/>
        </w:r>
        <w:r w:rsidRPr="00BD3AC5">
          <w:t xml:space="preserve"> </w:t>
        </w:r>
        <w:r>
          <w:t>ITH/16/6.GA/9 – page</w:t>
        </w:r>
      </w:p>
    </w:sdtContent>
  </w:sdt>
  <w:p w:rsidR="00F323DF" w:rsidRDefault="00F323DF" w:rsidP="00523383">
    <w:pPr>
      <w:pStyle w:val="Header"/>
      <w:jc w:val="center"/>
      <w:rPr>
        <w:rFonts w:ascii="Times New Roman" w:hAnsi="Times New Roman"/>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DF" w:rsidRPr="008724E5" w:rsidRDefault="00F323DF" w:rsidP="004146FA">
    <w:pPr>
      <w:pStyle w:val="Header"/>
    </w:pPr>
    <w:r>
      <w:rPr>
        <w:noProof/>
        <w:lang w:val="fr-FR"/>
      </w:rPr>
      <w:drawing>
        <wp:anchor distT="0" distB="0" distL="114300" distR="114300" simplePos="0" relativeHeight="251660288" behindDoc="0" locked="0" layoutInCell="1" allowOverlap="1" wp14:anchorId="7ABB09FF" wp14:editId="747B826E">
          <wp:simplePos x="0" y="0"/>
          <wp:positionH relativeFrom="column">
            <wp:posOffset>4101465</wp:posOffset>
          </wp:positionH>
          <wp:positionV relativeFrom="paragraph">
            <wp:posOffset>-37465</wp:posOffset>
          </wp:positionV>
          <wp:extent cx="2552065" cy="1454785"/>
          <wp:effectExtent l="0" t="0" r="0" b="0"/>
          <wp:wrapNone/>
          <wp:docPr id="6" name="Image 1"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454785"/>
                  </a:xfrm>
                  <a:prstGeom prst="rect">
                    <a:avLst/>
                  </a:prstGeom>
                  <a:noFill/>
                </pic:spPr>
              </pic:pic>
            </a:graphicData>
          </a:graphic>
          <wp14:sizeRelH relativeFrom="page">
            <wp14:pctWidth>0</wp14:pctWidth>
          </wp14:sizeRelH>
          <wp14:sizeRelV relativeFrom="page">
            <wp14:pctHeight>0</wp14:pctHeight>
          </wp14:sizeRelV>
        </wp:anchor>
      </w:drawing>
    </w:r>
  </w:p>
  <w:p w:rsidR="00F323DF" w:rsidRPr="00427316" w:rsidRDefault="00F323DF" w:rsidP="004146FA">
    <w:pPr>
      <w:pStyle w:val="Header"/>
      <w:spacing w:after="520"/>
      <w:jc w:val="right"/>
      <w:rPr>
        <w:rFonts w:ascii="Arial" w:hAnsi="Arial" w:cs="Arial"/>
        <w:b/>
        <w:sz w:val="44"/>
        <w:szCs w:val="44"/>
        <w:lang w:val="en-US"/>
      </w:rPr>
    </w:pPr>
    <w:r w:rsidRPr="00427316">
      <w:rPr>
        <w:rFonts w:ascii="Arial" w:hAnsi="Arial" w:cs="Arial"/>
        <w:b/>
        <w:sz w:val="44"/>
        <w:szCs w:val="44"/>
        <w:lang w:val="en-US"/>
      </w:rPr>
      <w:t>6GA</w:t>
    </w:r>
  </w:p>
  <w:p w:rsidR="00F323DF" w:rsidRPr="00427316" w:rsidRDefault="00F323DF" w:rsidP="004146FA">
    <w:pPr>
      <w:jc w:val="right"/>
      <w:rPr>
        <w:rFonts w:ascii="Arial" w:hAnsi="Arial" w:cs="Arial"/>
        <w:b/>
        <w:sz w:val="22"/>
        <w:szCs w:val="22"/>
        <w:lang w:val="en-US"/>
      </w:rPr>
    </w:pPr>
    <w:r>
      <w:rPr>
        <w:rFonts w:eastAsia="Times New Roman"/>
        <w:b/>
        <w:sz w:val="22"/>
        <w:lang w:val="en-GB"/>
      </w:rPr>
      <w:t>ITH/16/6.GA/9</w:t>
    </w:r>
  </w:p>
  <w:p w:rsidR="00BE2D54" w:rsidRPr="00427316" w:rsidRDefault="00F323DF" w:rsidP="00BE2D54">
    <w:pPr>
      <w:jc w:val="right"/>
      <w:rPr>
        <w:rFonts w:ascii="Arial" w:hAnsi="Arial" w:cs="Arial"/>
        <w:b/>
        <w:sz w:val="22"/>
        <w:szCs w:val="22"/>
        <w:lang w:val="en-US"/>
      </w:rPr>
    </w:pPr>
    <w:r w:rsidRPr="00B11628">
      <w:rPr>
        <w:rFonts w:ascii="Arial" w:hAnsi="Arial" w:cs="Arial"/>
        <w:bCs/>
        <w:sz w:val="22"/>
        <w:szCs w:val="22"/>
        <w:rtl/>
      </w:rPr>
      <w:t>باريس</w:t>
    </w:r>
    <w:r>
      <w:rPr>
        <w:rFonts w:ascii="Arial" w:hAnsi="Arial" w:cs="Arial"/>
        <w:bCs/>
        <w:sz w:val="22"/>
        <w:szCs w:val="22"/>
        <w:rtl/>
      </w:rPr>
      <w:t>،</w:t>
    </w:r>
    <w:r w:rsidR="00BE2D54" w:rsidRPr="005E5DAA">
      <w:rPr>
        <w:rFonts w:ascii="Arial" w:hAnsi="Arial" w:cs="Arial"/>
        <w:b/>
        <w:sz w:val="22"/>
        <w:szCs w:val="22"/>
        <w:lang w:val="en-US"/>
      </w:rPr>
      <w:t>2016/</w:t>
    </w:r>
    <w:r w:rsidR="00BE2D54">
      <w:rPr>
        <w:rFonts w:ascii="Arial" w:hAnsi="Arial" w:cs="Arial"/>
        <w:b/>
        <w:sz w:val="22"/>
        <w:szCs w:val="22"/>
        <w:lang w:val="en-US"/>
      </w:rPr>
      <w:t>04/29</w:t>
    </w:r>
  </w:p>
  <w:p w:rsidR="00F323DF" w:rsidRPr="004146FA" w:rsidRDefault="00F323DF" w:rsidP="004146FA">
    <w:pPr>
      <w:jc w:val="right"/>
      <w:rPr>
        <w:rFonts w:ascii="Arial" w:hAnsi="Arial" w:cs="Arial"/>
        <w:bCs/>
        <w:sz w:val="22"/>
        <w:szCs w:val="22"/>
        <w:rtl/>
        <w:lang w:bidi="ar-TN"/>
      </w:rPr>
    </w:pPr>
    <w:r w:rsidRPr="004146FA">
      <w:rPr>
        <w:rFonts w:ascii="Arial" w:hAnsi="Arial" w:cs="Arial"/>
        <w:bCs/>
        <w:sz w:val="22"/>
        <w:szCs w:val="22"/>
        <w:rtl/>
      </w:rPr>
      <w:t xml:space="preserve">الأصل: </w:t>
    </w:r>
    <w:proofErr w:type="gramStart"/>
    <w:r w:rsidRPr="004146FA">
      <w:rPr>
        <w:rFonts w:ascii="Arial" w:hAnsi="Arial" w:cs="Arial"/>
        <w:bCs/>
        <w:sz w:val="22"/>
        <w:szCs w:val="22"/>
        <w:rtl/>
      </w:rPr>
      <w:t>إنجليزي</w:t>
    </w:r>
    <w:proofErr w:type="gramEnd"/>
  </w:p>
  <w:p w:rsidR="00F323DF" w:rsidRPr="00523383" w:rsidRDefault="00F323DF" w:rsidP="00523383">
    <w:pPr>
      <w:pStyle w:val="Header"/>
      <w:spacing w:after="520"/>
      <w:rPr>
        <w:rFonts w:ascii="Times New Roman" w:hAnsi="Times New Roman"/>
        <w:b/>
        <w:sz w:val="4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DF" w:rsidRPr="00C23A97" w:rsidRDefault="00F323DF">
    <w:pPr>
      <w:pStyle w:val="Header"/>
      <w:rPr>
        <w:rFonts w:ascii="Arial" w:hAnsi="Arial" w:cs="Arial"/>
      </w:rPr>
    </w:pPr>
    <w:r>
      <w:rPr>
        <w:rFonts w:ascii="Arial" w:hAnsi="Arial" w:cs="Arial"/>
      </w:rPr>
      <w:t>ITH/16/6.GA/</w:t>
    </w:r>
    <w:r>
      <w:rPr>
        <w:rFonts w:ascii="Arial" w:hAnsi="Arial" w:cs="Arial"/>
        <w:highlight w:val="yellow"/>
      </w:rPr>
      <w:t>xxx</w:t>
    </w:r>
    <w:r>
      <w:rPr>
        <w:rFonts w:ascii="Arial" w:hAnsi="Arial" w:cs="Arial"/>
        <w:rtl/>
      </w:rPr>
      <w:t xml:space="preserve"> – صفحة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23383">
      <w:rPr>
        <w:rStyle w:val="PageNumber"/>
        <w:rFonts w:ascii="Arial" w:hAnsi="Arial" w:cs="Arial"/>
        <w:noProof/>
      </w:rPr>
      <w:t>10</w:t>
    </w:r>
    <w:r>
      <w:rPr>
        <w:rStyle w:val="PageNumber"/>
        <w:rFonts w:ascii="Arial" w:hAnsi="Arial" w:cs="Aria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DF" w:rsidRPr="0063300C" w:rsidRDefault="00F323DF" w:rsidP="0018093B">
    <w:pPr>
      <w:pStyle w:val="Header"/>
      <w:jc w:val="right"/>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23383">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B"/>
    <w:multiLevelType w:val="multilevel"/>
    <w:tmpl w:val="406820A0"/>
    <w:lvl w:ilvl="0">
      <w:start w:val="1"/>
      <w:numFmt w:val="upperRoman"/>
      <w:lvlText w:val="%1."/>
      <w:lvlJc w:val="righ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2E411C8"/>
    <w:multiLevelType w:val="hybridMultilevel"/>
    <w:tmpl w:val="FB42B1B4"/>
    <w:lvl w:ilvl="0" w:tplc="D3B422F4">
      <w:start w:val="1"/>
      <w:numFmt w:val="arabicAlpha"/>
      <w:lvlText w:val="%1)"/>
      <w:lvlJc w:val="left"/>
      <w:pPr>
        <w:tabs>
          <w:tab w:val="num" w:pos="720"/>
        </w:tabs>
        <w:ind w:left="720" w:hanging="360"/>
      </w:pPr>
      <w:rPr>
        <w:rFonts w:cs="Times New Roman" w:hint="default"/>
        <w:b w:val="0"/>
        <w:bCs/>
        <w:sz w:val="22"/>
        <w:szCs w:val="2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0F1F530C"/>
    <w:multiLevelType w:val="multilevel"/>
    <w:tmpl w:val="566A8472"/>
    <w:lvl w:ilvl="0">
      <w:start w:val="1"/>
      <w:numFmt w:val="arabicAlpha"/>
      <w:lvlText w:val="%1)"/>
      <w:lvlJc w:val="left"/>
      <w:pPr>
        <w:tabs>
          <w:tab w:val="num" w:pos="720"/>
        </w:tabs>
        <w:ind w:left="720" w:hanging="360"/>
      </w:pPr>
      <w:rPr>
        <w:rFonts w:cs="Times New Roman" w:hint="default"/>
        <w:sz w:val="22"/>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5">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6">
    <w:nsid w:val="1D7D728D"/>
    <w:multiLevelType w:val="hybridMultilevel"/>
    <w:tmpl w:val="9E105C70"/>
    <w:lvl w:ilvl="0" w:tplc="CB66A452">
      <w:start w:val="1"/>
      <w:numFmt w:val="decimal"/>
      <w:pStyle w:val="5GAparabodytext"/>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8">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hint="default"/>
      </w:rPr>
    </w:lvl>
    <w:lvl w:ilvl="2" w:tplc="040C0005">
      <w:start w:val="1"/>
      <w:numFmt w:val="bullet"/>
      <w:lvlText w:val=""/>
      <w:lvlJc w:val="left"/>
      <w:pPr>
        <w:ind w:left="2727" w:hanging="360"/>
      </w:pPr>
      <w:rPr>
        <w:rFonts w:ascii="Times New Roman" w:hAnsi="Times New Roman"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hint="default"/>
      </w:rPr>
    </w:lvl>
    <w:lvl w:ilvl="5" w:tplc="040C0005">
      <w:start w:val="1"/>
      <w:numFmt w:val="bullet"/>
      <w:lvlText w:val=""/>
      <w:lvlJc w:val="left"/>
      <w:pPr>
        <w:ind w:left="4887" w:hanging="360"/>
      </w:pPr>
      <w:rPr>
        <w:rFonts w:ascii="Times New Roman" w:hAnsi="Times New Roman"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hint="default"/>
      </w:rPr>
    </w:lvl>
    <w:lvl w:ilvl="8" w:tplc="040C0005">
      <w:start w:val="1"/>
      <w:numFmt w:val="bullet"/>
      <w:lvlText w:val=""/>
      <w:lvlJc w:val="left"/>
      <w:pPr>
        <w:ind w:left="7047" w:hanging="360"/>
      </w:pPr>
      <w:rPr>
        <w:rFonts w:ascii="Times New Roman" w:hAnsi="Times New Roman" w:hint="default"/>
      </w:rPr>
    </w:lvl>
  </w:abstractNum>
  <w:abstractNum w:abstractNumId="9">
    <w:nsid w:val="2AB35019"/>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AEB4316"/>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12">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13">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14">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15">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16">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17">
    <w:nsid w:val="47A66CBA"/>
    <w:multiLevelType w:val="hybridMultilevel"/>
    <w:tmpl w:val="2676D780"/>
    <w:lvl w:ilvl="0" w:tplc="5AE8DC46">
      <w:start w:val="1"/>
      <w:numFmt w:val="decimal"/>
      <w:lvlText w:val="%1."/>
      <w:lvlJc w:val="left"/>
      <w:pPr>
        <w:ind w:left="1137" w:hanging="570"/>
      </w:pPr>
      <w:rPr>
        <w:rFonts w:cs="Times New Roman" w:hint="default"/>
      </w:rPr>
    </w:lvl>
    <w:lvl w:ilvl="1" w:tplc="040C0019">
      <w:start w:val="1"/>
      <w:numFmt w:val="lowerLetter"/>
      <w:lvlText w:val="%2."/>
      <w:lvlJc w:val="left"/>
      <w:pPr>
        <w:ind w:left="1647" w:hanging="360"/>
      </w:pPr>
      <w:rPr>
        <w:rFonts w:cs="Times New Roman"/>
      </w:rPr>
    </w:lvl>
    <w:lvl w:ilvl="2" w:tplc="040C001B">
      <w:start w:val="1"/>
      <w:numFmt w:val="lowerRoman"/>
      <w:lvlText w:val="%3."/>
      <w:lvlJc w:val="right"/>
      <w:pPr>
        <w:ind w:left="2367" w:hanging="180"/>
      </w:pPr>
      <w:rPr>
        <w:rFonts w:cs="Times New Roman"/>
      </w:rPr>
    </w:lvl>
    <w:lvl w:ilvl="3" w:tplc="040C000F">
      <w:start w:val="1"/>
      <w:numFmt w:val="decimal"/>
      <w:lvlText w:val="%4."/>
      <w:lvlJc w:val="left"/>
      <w:pPr>
        <w:ind w:left="3087" w:hanging="360"/>
      </w:pPr>
      <w:rPr>
        <w:rFonts w:cs="Times New Roman"/>
      </w:rPr>
    </w:lvl>
    <w:lvl w:ilvl="4" w:tplc="040C0019">
      <w:start w:val="1"/>
      <w:numFmt w:val="lowerLetter"/>
      <w:lvlText w:val="%5."/>
      <w:lvlJc w:val="left"/>
      <w:pPr>
        <w:ind w:left="3807" w:hanging="360"/>
      </w:pPr>
      <w:rPr>
        <w:rFonts w:cs="Times New Roman"/>
      </w:rPr>
    </w:lvl>
    <w:lvl w:ilvl="5" w:tplc="040C001B">
      <w:start w:val="1"/>
      <w:numFmt w:val="lowerRoman"/>
      <w:lvlText w:val="%6."/>
      <w:lvlJc w:val="right"/>
      <w:pPr>
        <w:ind w:left="4527" w:hanging="180"/>
      </w:pPr>
      <w:rPr>
        <w:rFonts w:cs="Times New Roman"/>
      </w:rPr>
    </w:lvl>
    <w:lvl w:ilvl="6" w:tplc="040C000F">
      <w:start w:val="1"/>
      <w:numFmt w:val="decimal"/>
      <w:lvlText w:val="%7."/>
      <w:lvlJc w:val="left"/>
      <w:pPr>
        <w:ind w:left="5247" w:hanging="360"/>
      </w:pPr>
      <w:rPr>
        <w:rFonts w:cs="Times New Roman"/>
      </w:rPr>
    </w:lvl>
    <w:lvl w:ilvl="7" w:tplc="040C0019">
      <w:start w:val="1"/>
      <w:numFmt w:val="lowerLetter"/>
      <w:lvlText w:val="%8."/>
      <w:lvlJc w:val="left"/>
      <w:pPr>
        <w:ind w:left="5967" w:hanging="360"/>
      </w:pPr>
      <w:rPr>
        <w:rFonts w:cs="Times New Roman"/>
      </w:rPr>
    </w:lvl>
    <w:lvl w:ilvl="8" w:tplc="040C001B">
      <w:start w:val="1"/>
      <w:numFmt w:val="lowerRoman"/>
      <w:lvlText w:val="%9."/>
      <w:lvlJc w:val="right"/>
      <w:pPr>
        <w:ind w:left="6687" w:hanging="180"/>
      </w:pPr>
      <w:rPr>
        <w:rFonts w:cs="Times New Roman"/>
      </w:rPr>
    </w:lvl>
  </w:abstractNum>
  <w:abstractNum w:abstractNumId="18">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19">
    <w:nsid w:val="63916F61"/>
    <w:multiLevelType w:val="multilevel"/>
    <w:tmpl w:val="37FE8E4C"/>
    <w:lvl w:ilvl="0">
      <w:start w:val="1"/>
      <w:numFmt w:val="lowerLetter"/>
      <w:lvlText w:val="%1)"/>
      <w:lvlJc w:val="left"/>
      <w:pPr>
        <w:ind w:left="720" w:hanging="360"/>
      </w:pPr>
      <w:rPr>
        <w:rFonts w:ascii="Arial" w:hAnsi="Arial"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21">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abstractNum w:abstractNumId="22">
    <w:nsid w:val="7C1F0008"/>
    <w:multiLevelType w:val="multilevel"/>
    <w:tmpl w:val="406820A0"/>
    <w:lvl w:ilvl="0">
      <w:start w:val="1"/>
      <w:numFmt w:val="upperRoman"/>
      <w:lvlText w:val="%1."/>
      <w:lvlJc w:val="righ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8"/>
  </w:num>
  <w:num w:numId="2">
    <w:abstractNumId w:val="12"/>
  </w:num>
  <w:num w:numId="3">
    <w:abstractNumId w:val="5"/>
  </w:num>
  <w:num w:numId="4">
    <w:abstractNumId w:val="21"/>
  </w:num>
  <w:num w:numId="5">
    <w:abstractNumId w:val="20"/>
  </w:num>
  <w:num w:numId="6">
    <w:abstractNumId w:val="4"/>
  </w:num>
  <w:num w:numId="7">
    <w:abstractNumId w:val="7"/>
  </w:num>
  <w:num w:numId="8">
    <w:abstractNumId w:val="16"/>
  </w:num>
  <w:num w:numId="9">
    <w:abstractNumId w:val="11"/>
  </w:num>
  <w:num w:numId="10">
    <w:abstractNumId w:val="13"/>
  </w:num>
  <w:num w:numId="11">
    <w:abstractNumId w:val="15"/>
  </w:num>
  <w:num w:numId="12">
    <w:abstractNumId w:val="14"/>
  </w:num>
  <w:num w:numId="13">
    <w:abstractNumId w:val="0"/>
  </w:num>
  <w:num w:numId="14">
    <w:abstractNumId w:val="9"/>
  </w:num>
  <w:num w:numId="15">
    <w:abstractNumId w:val="1"/>
  </w:num>
  <w:num w:numId="16">
    <w:abstractNumId w:val="8"/>
  </w:num>
  <w:num w:numId="17">
    <w:abstractNumId w:val="2"/>
  </w:num>
  <w:num w:numId="18">
    <w:abstractNumId w:val="19"/>
  </w:num>
  <w:num w:numId="19">
    <w:abstractNumId w:val="22"/>
  </w:num>
  <w:num w:numId="20">
    <w:abstractNumId w:val="3"/>
  </w:num>
  <w:num w:numId="21">
    <w:abstractNumId w:val="10"/>
  </w:num>
  <w:num w:numId="22">
    <w:abstractNumId w:val="6"/>
  </w:num>
  <w:num w:numId="23">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ivre, Josiane">
    <w15:presenceInfo w15:providerId="AD" w15:userId="S-1-5-21-1606980848-1958367476-725345543-32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9"/>
  <w:hyphenationZone w:val="425"/>
  <w:doNotHyphenateCaps/>
  <w:evenAndOddHeader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ED"/>
    <w:rsid w:val="0001325F"/>
    <w:rsid w:val="00020AC8"/>
    <w:rsid w:val="00041A66"/>
    <w:rsid w:val="00067158"/>
    <w:rsid w:val="00070001"/>
    <w:rsid w:val="000936F9"/>
    <w:rsid w:val="000959AD"/>
    <w:rsid w:val="000B413B"/>
    <w:rsid w:val="000D581A"/>
    <w:rsid w:val="0018093B"/>
    <w:rsid w:val="001A4172"/>
    <w:rsid w:val="001A4C50"/>
    <w:rsid w:val="001B384C"/>
    <w:rsid w:val="001B5FE1"/>
    <w:rsid w:val="001C3764"/>
    <w:rsid w:val="001E519E"/>
    <w:rsid w:val="001F40A6"/>
    <w:rsid w:val="00230E44"/>
    <w:rsid w:val="002543C7"/>
    <w:rsid w:val="00273D15"/>
    <w:rsid w:val="002B02A3"/>
    <w:rsid w:val="002B25AD"/>
    <w:rsid w:val="002B68E2"/>
    <w:rsid w:val="002E76D3"/>
    <w:rsid w:val="00313C4C"/>
    <w:rsid w:val="00314E5B"/>
    <w:rsid w:val="003255D9"/>
    <w:rsid w:val="00326014"/>
    <w:rsid w:val="00345CB4"/>
    <w:rsid w:val="00356ADA"/>
    <w:rsid w:val="00376083"/>
    <w:rsid w:val="0039544F"/>
    <w:rsid w:val="00397B3E"/>
    <w:rsid w:val="003A7DD7"/>
    <w:rsid w:val="003B0340"/>
    <w:rsid w:val="003C4F8F"/>
    <w:rsid w:val="00414643"/>
    <w:rsid w:val="004146FA"/>
    <w:rsid w:val="004214E7"/>
    <w:rsid w:val="00427316"/>
    <w:rsid w:val="004343BA"/>
    <w:rsid w:val="004608C9"/>
    <w:rsid w:val="004617EA"/>
    <w:rsid w:val="004C5636"/>
    <w:rsid w:val="004C58E8"/>
    <w:rsid w:val="004E5333"/>
    <w:rsid w:val="004F0C9D"/>
    <w:rsid w:val="00523383"/>
    <w:rsid w:val="0053259A"/>
    <w:rsid w:val="00543C29"/>
    <w:rsid w:val="005467B6"/>
    <w:rsid w:val="005A1423"/>
    <w:rsid w:val="005F2BCC"/>
    <w:rsid w:val="005F67E5"/>
    <w:rsid w:val="005F7039"/>
    <w:rsid w:val="0063300C"/>
    <w:rsid w:val="00635D67"/>
    <w:rsid w:val="006363F7"/>
    <w:rsid w:val="00637F96"/>
    <w:rsid w:val="006756E8"/>
    <w:rsid w:val="00680D8C"/>
    <w:rsid w:val="006824B1"/>
    <w:rsid w:val="006902ED"/>
    <w:rsid w:val="006B0CC0"/>
    <w:rsid w:val="006C60E9"/>
    <w:rsid w:val="006F5790"/>
    <w:rsid w:val="00701E9D"/>
    <w:rsid w:val="007054C4"/>
    <w:rsid w:val="00736FF2"/>
    <w:rsid w:val="00746FA4"/>
    <w:rsid w:val="00792310"/>
    <w:rsid w:val="00794A37"/>
    <w:rsid w:val="007968EC"/>
    <w:rsid w:val="007A133E"/>
    <w:rsid w:val="007D477B"/>
    <w:rsid w:val="00807787"/>
    <w:rsid w:val="00812027"/>
    <w:rsid w:val="00823C77"/>
    <w:rsid w:val="008424BE"/>
    <w:rsid w:val="008724E5"/>
    <w:rsid w:val="008818F9"/>
    <w:rsid w:val="00891977"/>
    <w:rsid w:val="008B68DE"/>
    <w:rsid w:val="00915890"/>
    <w:rsid w:val="009B2C07"/>
    <w:rsid w:val="009C6E82"/>
    <w:rsid w:val="00A00792"/>
    <w:rsid w:val="00A028C5"/>
    <w:rsid w:val="00A27B05"/>
    <w:rsid w:val="00A320C4"/>
    <w:rsid w:val="00A416CC"/>
    <w:rsid w:val="00A43C37"/>
    <w:rsid w:val="00A66B93"/>
    <w:rsid w:val="00AD29ED"/>
    <w:rsid w:val="00AF2216"/>
    <w:rsid w:val="00AF5C83"/>
    <w:rsid w:val="00B11628"/>
    <w:rsid w:val="00B1422A"/>
    <w:rsid w:val="00B356D2"/>
    <w:rsid w:val="00B44D00"/>
    <w:rsid w:val="00BB0601"/>
    <w:rsid w:val="00BD3AC5"/>
    <w:rsid w:val="00BE06E1"/>
    <w:rsid w:val="00BE2D54"/>
    <w:rsid w:val="00BF603B"/>
    <w:rsid w:val="00BF7F9D"/>
    <w:rsid w:val="00C23A97"/>
    <w:rsid w:val="00C403FD"/>
    <w:rsid w:val="00C42AAB"/>
    <w:rsid w:val="00C5253B"/>
    <w:rsid w:val="00C7174E"/>
    <w:rsid w:val="00C73E16"/>
    <w:rsid w:val="00C92F14"/>
    <w:rsid w:val="00CB0778"/>
    <w:rsid w:val="00CB35E6"/>
    <w:rsid w:val="00CB45BF"/>
    <w:rsid w:val="00CE0ECC"/>
    <w:rsid w:val="00D14D66"/>
    <w:rsid w:val="00D677CC"/>
    <w:rsid w:val="00D7197C"/>
    <w:rsid w:val="00D91A09"/>
    <w:rsid w:val="00D94959"/>
    <w:rsid w:val="00DC7031"/>
    <w:rsid w:val="00DD2C63"/>
    <w:rsid w:val="00DD6AAC"/>
    <w:rsid w:val="00DF38E1"/>
    <w:rsid w:val="00E25C8E"/>
    <w:rsid w:val="00E30642"/>
    <w:rsid w:val="00E55F39"/>
    <w:rsid w:val="00E63828"/>
    <w:rsid w:val="00E838D3"/>
    <w:rsid w:val="00E86EB3"/>
    <w:rsid w:val="00E95CD0"/>
    <w:rsid w:val="00EA528C"/>
    <w:rsid w:val="00EF1210"/>
    <w:rsid w:val="00F16EA5"/>
    <w:rsid w:val="00F27409"/>
    <w:rsid w:val="00F323DF"/>
    <w:rsid w:val="00F34E21"/>
    <w:rsid w:val="00F46B98"/>
    <w:rsid w:val="00F82A82"/>
    <w:rsid w:val="00F93B47"/>
    <w:rsid w:val="00F9582B"/>
    <w:rsid w:val="00FD624F"/>
    <w:rsid w:val="00FE6558"/>
    <w:rsid w:val="00FE7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FD"/>
    <w:pPr>
      <w:bidi/>
    </w:pPr>
    <w:rPr>
      <w:rFonts w:ascii="Times New Roman" w:hAnsi="Times New Roman"/>
      <w:sz w:val="24"/>
      <w:szCs w:val="24"/>
    </w:rPr>
  </w:style>
  <w:style w:type="paragraph" w:styleId="Heading2">
    <w:name w:val="heading 2"/>
    <w:basedOn w:val="Normal"/>
    <w:next w:val="Normal"/>
    <w:link w:val="Heading2Char"/>
    <w:uiPriority w:val="99"/>
    <w:qFormat/>
    <w:rsid w:val="00C403FD"/>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C403FD"/>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03FD"/>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C403FD"/>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C403FD"/>
    <w:pPr>
      <w:bidi/>
    </w:pPr>
    <w:rPr>
      <w:rFonts w:ascii="Times New Roman" w:hAnsi="Times New Roman"/>
      <w:sz w:val="24"/>
      <w:szCs w:val="24"/>
    </w:rPr>
  </w:style>
  <w:style w:type="table" w:styleId="TableGrid">
    <w:name w:val="Table Grid"/>
    <w:basedOn w:val="TableNormal"/>
    <w:uiPriority w:val="99"/>
    <w:rsid w:val="00C403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C403FD"/>
    <w:rPr>
      <w:rFonts w:cs="Times New Roman"/>
    </w:rPr>
  </w:style>
  <w:style w:type="paragraph" w:customStyle="1" w:styleId="ColorfulList-Accent11">
    <w:name w:val="Colorful List - Accent 11"/>
    <w:basedOn w:val="Normal"/>
    <w:uiPriority w:val="99"/>
    <w:rsid w:val="00C403FD"/>
    <w:pPr>
      <w:ind w:left="720"/>
    </w:pPr>
  </w:style>
  <w:style w:type="paragraph" w:customStyle="1" w:styleId="b">
    <w:name w:val="(b)"/>
    <w:basedOn w:val="Normal"/>
    <w:uiPriority w:val="99"/>
    <w:rsid w:val="00C403FD"/>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C403FD"/>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C403FD"/>
    <w:pPr>
      <w:ind w:firstLine="0"/>
    </w:pPr>
  </w:style>
  <w:style w:type="paragraph" w:customStyle="1" w:styleId="TIRETbul1cm">
    <w:name w:val="TIRET bul 1cm"/>
    <w:basedOn w:val="Normal"/>
    <w:uiPriority w:val="99"/>
    <w:rsid w:val="00C403FD"/>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C403FD"/>
    <w:rPr>
      <w:rFonts w:cs="Times New Roman"/>
    </w:rPr>
  </w:style>
  <w:style w:type="character" w:customStyle="1" w:styleId="apple-converted-space">
    <w:name w:val="apple-converted-space"/>
    <w:basedOn w:val="DefaultParagraphFont"/>
    <w:uiPriority w:val="99"/>
    <w:rsid w:val="00C403FD"/>
    <w:rPr>
      <w:rFonts w:cs="Times New Roman"/>
    </w:rPr>
  </w:style>
  <w:style w:type="paragraph" w:customStyle="1" w:styleId="Sansinterligne1">
    <w:name w:val="Sans interligne1"/>
    <w:uiPriority w:val="99"/>
    <w:rsid w:val="00C403FD"/>
    <w:pPr>
      <w:bidi/>
    </w:pPr>
    <w:rPr>
      <w:rFonts w:ascii="Times New Roman" w:hAnsi="Times New Roman"/>
      <w:sz w:val="24"/>
      <w:szCs w:val="24"/>
    </w:rPr>
  </w:style>
  <w:style w:type="paragraph" w:customStyle="1" w:styleId="GAPara">
    <w:name w:val="GA Para"/>
    <w:uiPriority w:val="99"/>
    <w:rsid w:val="00C403FD"/>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C403FD"/>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C403FD"/>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C403FD"/>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basedOn w:val="DefaultParagraphFont"/>
    <w:uiPriority w:val="99"/>
    <w:rsid w:val="00CB45BF"/>
    <w:rPr>
      <w:rFonts w:cs="Times New Roman"/>
      <w:color w:val="0000FF"/>
      <w:u w:val="single"/>
    </w:rPr>
  </w:style>
  <w:style w:type="paragraph" w:customStyle="1" w:styleId="5GAParaResolution">
    <w:name w:val="5GA Para Resolution"/>
    <w:basedOn w:val="Normal"/>
    <w:uiPriority w:val="99"/>
    <w:rsid w:val="00CB45BF"/>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CB45BF"/>
    <w:pPr>
      <w:bidi w:val="0"/>
      <w:ind w:left="720"/>
    </w:pPr>
  </w:style>
  <w:style w:type="paragraph" w:styleId="FootnoteText">
    <w:name w:val="footnote text"/>
    <w:basedOn w:val="Normal"/>
    <w:link w:val="FootnoteTextChar"/>
    <w:uiPriority w:val="99"/>
    <w:semiHidden/>
    <w:rsid w:val="00CB45BF"/>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locked/>
    <w:rsid w:val="00326014"/>
    <w:rPr>
      <w:rFonts w:ascii="Times New Roman" w:hAnsi="Times New Roman" w:cs="Times New Roman"/>
      <w:sz w:val="20"/>
      <w:szCs w:val="20"/>
    </w:rPr>
  </w:style>
  <w:style w:type="character" w:styleId="FootnoteReference">
    <w:name w:val="footnote reference"/>
    <w:basedOn w:val="DefaultParagraphFont"/>
    <w:uiPriority w:val="99"/>
    <w:semiHidden/>
    <w:rsid w:val="00CB45BF"/>
    <w:rPr>
      <w:rFonts w:cs="Times New Roman"/>
      <w:vertAlign w:val="superscript"/>
    </w:rPr>
  </w:style>
  <w:style w:type="character" w:customStyle="1" w:styleId="hps">
    <w:name w:val="hps"/>
    <w:uiPriority w:val="99"/>
    <w:rsid w:val="00CB45BF"/>
  </w:style>
  <w:style w:type="character" w:styleId="Strong">
    <w:name w:val="Strong"/>
    <w:basedOn w:val="DefaultParagraphFont"/>
    <w:uiPriority w:val="99"/>
    <w:qFormat/>
    <w:locked/>
    <w:rsid w:val="00CB45BF"/>
    <w:rPr>
      <w:rFonts w:cs="Times New Roman"/>
      <w:b/>
    </w:rPr>
  </w:style>
  <w:style w:type="paragraph" w:customStyle="1" w:styleId="5GAparabodytext">
    <w:name w:val="5GA para body text"/>
    <w:basedOn w:val="Marge"/>
    <w:autoRedefine/>
    <w:uiPriority w:val="99"/>
    <w:rsid w:val="004146FA"/>
    <w:pPr>
      <w:numPr>
        <w:numId w:val="22"/>
      </w:numPr>
      <w:spacing w:after="120"/>
      <w:ind w:left="567" w:hanging="567"/>
    </w:pPr>
    <w:rPr>
      <w:rFonts w:ascii="Times New Roman" w:hAnsi="Times New Roman"/>
      <w:szCs w:val="22"/>
      <w:lang w:val="en-GB" w:eastAsia="fr-FR" w:bidi="ar-QA"/>
    </w:rPr>
  </w:style>
  <w:style w:type="paragraph" w:customStyle="1" w:styleId="Default">
    <w:name w:val="Default"/>
    <w:uiPriority w:val="99"/>
    <w:rsid w:val="004146FA"/>
    <w:pPr>
      <w:autoSpaceDE w:val="0"/>
      <w:autoSpaceDN w:val="0"/>
      <w:adjustRightInd w:val="0"/>
    </w:pPr>
    <w:rPr>
      <w:rFonts w:ascii="Arial" w:hAnsi="Arial"/>
      <w:color w:val="000000"/>
      <w:sz w:val="24"/>
      <w:szCs w:val="24"/>
      <w:lang w:val="en-US"/>
    </w:rPr>
  </w:style>
  <w:style w:type="paragraph" w:customStyle="1" w:styleId="5GATitleResolution">
    <w:name w:val="5GA Title Resolution"/>
    <w:basedOn w:val="Normal"/>
    <w:uiPriority w:val="99"/>
    <w:rsid w:val="004146FA"/>
    <w:pPr>
      <w:keepNext/>
      <w:bidi w:val="0"/>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uiPriority w:val="99"/>
    <w:rsid w:val="004146FA"/>
    <w:pPr>
      <w:keepNext/>
      <w:bidi w:val="0"/>
      <w:spacing w:after="120"/>
      <w:ind w:left="567"/>
      <w:jc w:val="both"/>
    </w:pPr>
    <w:rPr>
      <w:rFonts w:ascii="Arial" w:hAnsi="Arial" w:cs="Arial"/>
      <w:sz w:val="22"/>
      <w:szCs w:val="22"/>
      <w:lang w:val="en-GB"/>
    </w:rPr>
  </w:style>
  <w:style w:type="character" w:styleId="FollowedHyperlink">
    <w:name w:val="FollowedHyperlink"/>
    <w:basedOn w:val="DefaultParagraphFont"/>
    <w:uiPriority w:val="99"/>
    <w:semiHidden/>
    <w:unhideWhenUsed/>
    <w:rsid w:val="00356A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FD"/>
    <w:pPr>
      <w:bidi/>
    </w:pPr>
    <w:rPr>
      <w:rFonts w:ascii="Times New Roman" w:hAnsi="Times New Roman"/>
      <w:sz w:val="24"/>
      <w:szCs w:val="24"/>
    </w:rPr>
  </w:style>
  <w:style w:type="paragraph" w:styleId="Heading2">
    <w:name w:val="heading 2"/>
    <w:basedOn w:val="Normal"/>
    <w:next w:val="Normal"/>
    <w:link w:val="Heading2Char"/>
    <w:uiPriority w:val="99"/>
    <w:qFormat/>
    <w:rsid w:val="00C403FD"/>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C403FD"/>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03FD"/>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C403FD"/>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C403FD"/>
    <w:pPr>
      <w:bidi/>
    </w:pPr>
    <w:rPr>
      <w:rFonts w:ascii="Times New Roman" w:hAnsi="Times New Roman"/>
      <w:sz w:val="24"/>
      <w:szCs w:val="24"/>
    </w:rPr>
  </w:style>
  <w:style w:type="table" w:styleId="TableGrid">
    <w:name w:val="Table Grid"/>
    <w:basedOn w:val="TableNormal"/>
    <w:uiPriority w:val="99"/>
    <w:rsid w:val="00C403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C403FD"/>
    <w:rPr>
      <w:rFonts w:cs="Times New Roman"/>
    </w:rPr>
  </w:style>
  <w:style w:type="paragraph" w:customStyle="1" w:styleId="ColorfulList-Accent11">
    <w:name w:val="Colorful List - Accent 11"/>
    <w:basedOn w:val="Normal"/>
    <w:uiPriority w:val="99"/>
    <w:rsid w:val="00C403FD"/>
    <w:pPr>
      <w:ind w:left="720"/>
    </w:pPr>
  </w:style>
  <w:style w:type="paragraph" w:customStyle="1" w:styleId="b">
    <w:name w:val="(b)"/>
    <w:basedOn w:val="Normal"/>
    <w:uiPriority w:val="99"/>
    <w:rsid w:val="00C403FD"/>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C403FD"/>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C403FD"/>
    <w:pPr>
      <w:ind w:firstLine="0"/>
    </w:pPr>
  </w:style>
  <w:style w:type="paragraph" w:customStyle="1" w:styleId="TIRETbul1cm">
    <w:name w:val="TIRET bul 1cm"/>
    <w:basedOn w:val="Normal"/>
    <w:uiPriority w:val="99"/>
    <w:rsid w:val="00C403FD"/>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C403FD"/>
    <w:rPr>
      <w:rFonts w:cs="Times New Roman"/>
    </w:rPr>
  </w:style>
  <w:style w:type="character" w:customStyle="1" w:styleId="apple-converted-space">
    <w:name w:val="apple-converted-space"/>
    <w:basedOn w:val="DefaultParagraphFont"/>
    <w:uiPriority w:val="99"/>
    <w:rsid w:val="00C403FD"/>
    <w:rPr>
      <w:rFonts w:cs="Times New Roman"/>
    </w:rPr>
  </w:style>
  <w:style w:type="paragraph" w:customStyle="1" w:styleId="Sansinterligne1">
    <w:name w:val="Sans interligne1"/>
    <w:uiPriority w:val="99"/>
    <w:rsid w:val="00C403FD"/>
    <w:pPr>
      <w:bidi/>
    </w:pPr>
    <w:rPr>
      <w:rFonts w:ascii="Times New Roman" w:hAnsi="Times New Roman"/>
      <w:sz w:val="24"/>
      <w:szCs w:val="24"/>
    </w:rPr>
  </w:style>
  <w:style w:type="paragraph" w:customStyle="1" w:styleId="GAPara">
    <w:name w:val="GA Para"/>
    <w:uiPriority w:val="99"/>
    <w:rsid w:val="00C403FD"/>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C403FD"/>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C403FD"/>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C403FD"/>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basedOn w:val="DefaultParagraphFont"/>
    <w:uiPriority w:val="99"/>
    <w:rsid w:val="00CB45BF"/>
    <w:rPr>
      <w:rFonts w:cs="Times New Roman"/>
      <w:color w:val="0000FF"/>
      <w:u w:val="single"/>
    </w:rPr>
  </w:style>
  <w:style w:type="paragraph" w:customStyle="1" w:styleId="5GAParaResolution">
    <w:name w:val="5GA Para Resolution"/>
    <w:basedOn w:val="Normal"/>
    <w:uiPriority w:val="99"/>
    <w:rsid w:val="00CB45BF"/>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CB45BF"/>
    <w:pPr>
      <w:bidi w:val="0"/>
      <w:ind w:left="720"/>
    </w:pPr>
  </w:style>
  <w:style w:type="paragraph" w:styleId="FootnoteText">
    <w:name w:val="footnote text"/>
    <w:basedOn w:val="Normal"/>
    <w:link w:val="FootnoteTextChar"/>
    <w:uiPriority w:val="99"/>
    <w:semiHidden/>
    <w:rsid w:val="00CB45BF"/>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locked/>
    <w:rsid w:val="00326014"/>
    <w:rPr>
      <w:rFonts w:ascii="Times New Roman" w:hAnsi="Times New Roman" w:cs="Times New Roman"/>
      <w:sz w:val="20"/>
      <w:szCs w:val="20"/>
    </w:rPr>
  </w:style>
  <w:style w:type="character" w:styleId="FootnoteReference">
    <w:name w:val="footnote reference"/>
    <w:basedOn w:val="DefaultParagraphFont"/>
    <w:uiPriority w:val="99"/>
    <w:semiHidden/>
    <w:rsid w:val="00CB45BF"/>
    <w:rPr>
      <w:rFonts w:cs="Times New Roman"/>
      <w:vertAlign w:val="superscript"/>
    </w:rPr>
  </w:style>
  <w:style w:type="character" w:customStyle="1" w:styleId="hps">
    <w:name w:val="hps"/>
    <w:uiPriority w:val="99"/>
    <w:rsid w:val="00CB45BF"/>
  </w:style>
  <w:style w:type="character" w:styleId="Strong">
    <w:name w:val="Strong"/>
    <w:basedOn w:val="DefaultParagraphFont"/>
    <w:uiPriority w:val="99"/>
    <w:qFormat/>
    <w:locked/>
    <w:rsid w:val="00CB45BF"/>
    <w:rPr>
      <w:rFonts w:cs="Times New Roman"/>
      <w:b/>
    </w:rPr>
  </w:style>
  <w:style w:type="paragraph" w:customStyle="1" w:styleId="5GAparabodytext">
    <w:name w:val="5GA para body text"/>
    <w:basedOn w:val="Marge"/>
    <w:autoRedefine/>
    <w:uiPriority w:val="99"/>
    <w:rsid w:val="004146FA"/>
    <w:pPr>
      <w:numPr>
        <w:numId w:val="22"/>
      </w:numPr>
      <w:spacing w:after="120"/>
      <w:ind w:left="567" w:hanging="567"/>
    </w:pPr>
    <w:rPr>
      <w:rFonts w:ascii="Times New Roman" w:hAnsi="Times New Roman"/>
      <w:szCs w:val="22"/>
      <w:lang w:val="en-GB" w:eastAsia="fr-FR" w:bidi="ar-QA"/>
    </w:rPr>
  </w:style>
  <w:style w:type="paragraph" w:customStyle="1" w:styleId="Default">
    <w:name w:val="Default"/>
    <w:uiPriority w:val="99"/>
    <w:rsid w:val="004146FA"/>
    <w:pPr>
      <w:autoSpaceDE w:val="0"/>
      <w:autoSpaceDN w:val="0"/>
      <w:adjustRightInd w:val="0"/>
    </w:pPr>
    <w:rPr>
      <w:rFonts w:ascii="Arial" w:hAnsi="Arial"/>
      <w:color w:val="000000"/>
      <w:sz w:val="24"/>
      <w:szCs w:val="24"/>
      <w:lang w:val="en-US"/>
    </w:rPr>
  </w:style>
  <w:style w:type="paragraph" w:customStyle="1" w:styleId="5GATitleResolution">
    <w:name w:val="5GA Title Resolution"/>
    <w:basedOn w:val="Normal"/>
    <w:uiPriority w:val="99"/>
    <w:rsid w:val="004146FA"/>
    <w:pPr>
      <w:keepNext/>
      <w:bidi w:val="0"/>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uiPriority w:val="99"/>
    <w:rsid w:val="004146FA"/>
    <w:pPr>
      <w:keepNext/>
      <w:bidi w:val="0"/>
      <w:spacing w:after="120"/>
      <w:ind w:left="567"/>
      <w:jc w:val="both"/>
    </w:pPr>
    <w:rPr>
      <w:rFonts w:ascii="Arial" w:hAnsi="Arial" w:cs="Arial"/>
      <w:sz w:val="22"/>
      <w:szCs w:val="22"/>
      <w:lang w:val="en-GB"/>
    </w:rPr>
  </w:style>
  <w:style w:type="character" w:styleId="FollowedHyperlink">
    <w:name w:val="FollowedHyperlink"/>
    <w:basedOn w:val="DefaultParagraphFont"/>
    <w:uiPriority w:val="99"/>
    <w:semiHidden/>
    <w:unhideWhenUsed/>
    <w:rsid w:val="00356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en/Decisions/10.COM/8"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unesco.org/culture/ich/doc/src/ITH-13-8.COM-Decisions-EN.doc" TargetMode="External"/><Relationship Id="rId17" Type="http://schemas.openxmlformats.org/officeDocument/2006/relationships/hyperlink" Target="http://www.unesco.org/culture/ich/en/Decisions/8.COM/1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nesco.org/culture/ich/doc/src/ITH-14-9.COM-Decisions-EN.doc"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doc/src/ITH-14-9.COM-Decisions-EN.doc" TargetMode="External"/><Relationship Id="rId24" Type="http://schemas.openxmlformats.org/officeDocument/2006/relationships/hyperlink" Target="http://www.unesco.org/culture/ich/en/Decisions/10.COM/8" TargetMode="External"/><Relationship Id="rId5" Type="http://schemas.openxmlformats.org/officeDocument/2006/relationships/settings" Target="settings.xml"/><Relationship Id="rId15" Type="http://schemas.openxmlformats.org/officeDocument/2006/relationships/hyperlink" Target="http://www.unesco.org/culture/ich/en/Decisions/10.COM/8"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http://www.unesco.org/culture/ich/doc/src/ITH-14-5.GA-Resolutions-AR_.doc" TargetMode="External"/><Relationship Id="rId19" Type="http://schemas.openxmlformats.org/officeDocument/2006/relationships/header" Target="header2.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unesdoc.unesco.org/images/0021/002150/215084e.pdf" TargetMode="External"/><Relationship Id="rId14" Type="http://schemas.openxmlformats.org/officeDocument/2006/relationships/hyperlink" Target="http://www.unesco.org/culture/ich/en/Decisions/10.COM/8"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F1A9-E173-41F9-BBF7-05DBFE4C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23AF3FA0.dotm</Template>
  <TotalTime>2</TotalTime>
  <Pages>8</Pages>
  <Words>3939</Words>
  <Characters>21180</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Chief ITH_______________</vt:lpstr>
    </vt:vector>
  </TitlesOfParts>
  <Company>UNESCO</Company>
  <LinksUpToDate>false</LinksUpToDate>
  <CharactersWithSpaces>25069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ITH_______________</dc:title>
  <dc:creator>CLT/CEH/ITH-J.Poivre</dc:creator>
  <cp:lastModifiedBy>Elena Constantinou</cp:lastModifiedBy>
  <cp:revision>4</cp:revision>
  <cp:lastPrinted>2014-03-06T13:11:00Z</cp:lastPrinted>
  <dcterms:created xsi:type="dcterms:W3CDTF">2016-04-29T15:15:00Z</dcterms:created>
  <dcterms:modified xsi:type="dcterms:W3CDTF">2016-04-29T15:18:00Z</dcterms:modified>
</cp:coreProperties>
</file>