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414643" w:rsidRDefault="00655736" w:rsidP="00655736">
      <w:pPr>
        <w:spacing w:before="1440"/>
        <w:jc w:val="center"/>
        <w:rPr>
          <w:rFonts w:ascii="Arial" w:hAnsi="Arial" w:cs="Arial"/>
          <w:b/>
          <w:sz w:val="22"/>
          <w:szCs w:val="22"/>
        </w:rPr>
      </w:pPr>
      <w:bookmarkStart w:id="0" w:name="_GoBack"/>
      <w:bookmarkEnd w:id="0"/>
      <w:r>
        <w:rPr>
          <w:rFonts w:ascii="Arial" w:hAnsi="Arial"/>
          <w:b/>
          <w:sz w:val="22"/>
        </w:rPr>
        <w:t xml:space="preserve">CONVENCIÓN PARA LA SALVAGUARDIA DEL </w:t>
      </w:r>
      <w:r>
        <w:rPr>
          <w:rFonts w:ascii="Arial" w:hAnsi="Arial" w:cs="Arial"/>
          <w:b/>
          <w:sz w:val="22"/>
          <w:szCs w:val="22"/>
        </w:rPr>
        <w:br/>
      </w:r>
      <w:r>
        <w:rPr>
          <w:rFonts w:ascii="Arial" w:hAnsi="Arial"/>
          <w:b/>
          <w:sz w:val="22"/>
        </w:rPr>
        <w:t>PATRIMONIO CULTURAL INMATERIAL</w:t>
      </w:r>
    </w:p>
    <w:p w:rsidR="00655736" w:rsidRPr="00414643" w:rsidRDefault="00D95C4C" w:rsidP="00655736">
      <w:pPr>
        <w:spacing w:before="1200"/>
        <w:jc w:val="center"/>
        <w:rPr>
          <w:rFonts w:ascii="Arial" w:hAnsi="Arial" w:cs="Arial"/>
          <w:b/>
          <w:sz w:val="22"/>
          <w:szCs w:val="22"/>
        </w:rPr>
      </w:pPr>
      <w:r>
        <w:rPr>
          <w:rFonts w:ascii="Arial" w:hAnsi="Arial"/>
          <w:b/>
          <w:sz w:val="22"/>
        </w:rPr>
        <w:t xml:space="preserve">ASAMBLEA GENERAL DE </w:t>
      </w:r>
      <w:r w:rsidR="000A7303">
        <w:rPr>
          <w:rFonts w:ascii="Arial" w:hAnsi="Arial"/>
          <w:b/>
          <w:sz w:val="22"/>
        </w:rPr>
        <w:t xml:space="preserve">LOS </w:t>
      </w:r>
      <w:r>
        <w:rPr>
          <w:rFonts w:ascii="Arial" w:hAnsi="Arial"/>
          <w:b/>
          <w:sz w:val="22"/>
        </w:rPr>
        <w:t>ESTADOS PARTES EN LA CONVENCIÓN</w:t>
      </w:r>
    </w:p>
    <w:p w:rsidR="00D95C4C" w:rsidRPr="00FD624F" w:rsidRDefault="00763A0D" w:rsidP="00D95C4C">
      <w:pPr>
        <w:spacing w:before="840"/>
        <w:jc w:val="center"/>
        <w:rPr>
          <w:rFonts w:ascii="Arial" w:hAnsi="Arial" w:cs="Arial"/>
          <w:b/>
          <w:sz w:val="22"/>
          <w:szCs w:val="22"/>
        </w:rPr>
      </w:pPr>
      <w:r>
        <w:rPr>
          <w:rFonts w:ascii="Arial" w:hAnsi="Arial"/>
          <w:b/>
          <w:sz w:val="22"/>
        </w:rPr>
        <w:t>Sexta reunión</w:t>
      </w:r>
    </w:p>
    <w:p w:rsidR="00D95C4C" w:rsidRPr="00FD624F" w:rsidRDefault="00D95C4C" w:rsidP="00D95C4C">
      <w:pPr>
        <w:jc w:val="center"/>
        <w:rPr>
          <w:rFonts w:ascii="Arial" w:hAnsi="Arial" w:cs="Arial"/>
          <w:b/>
          <w:sz w:val="22"/>
          <w:szCs w:val="22"/>
        </w:rPr>
      </w:pPr>
      <w:r>
        <w:rPr>
          <w:rFonts w:ascii="Arial" w:hAnsi="Arial"/>
          <w:b/>
          <w:sz w:val="22"/>
        </w:rPr>
        <w:t>Sede de la UNESCO, Sala II</w:t>
      </w:r>
    </w:p>
    <w:p w:rsidR="00655736" w:rsidRPr="00414643" w:rsidRDefault="00763A0D" w:rsidP="00D95C4C">
      <w:pPr>
        <w:jc w:val="center"/>
        <w:rPr>
          <w:rFonts w:ascii="Arial" w:hAnsi="Arial" w:cs="Arial"/>
          <w:b/>
          <w:sz w:val="22"/>
          <w:szCs w:val="22"/>
        </w:rPr>
      </w:pPr>
      <w:r>
        <w:rPr>
          <w:rFonts w:ascii="Arial" w:hAnsi="Arial"/>
          <w:b/>
          <w:sz w:val="22"/>
        </w:rPr>
        <w:t xml:space="preserve">30 de </w:t>
      </w:r>
      <w:r w:rsidR="000A7303">
        <w:rPr>
          <w:rFonts w:ascii="Arial" w:hAnsi="Arial"/>
          <w:b/>
          <w:sz w:val="22"/>
        </w:rPr>
        <w:t xml:space="preserve">mayo </w:t>
      </w:r>
      <w:r>
        <w:rPr>
          <w:rFonts w:ascii="Arial" w:hAnsi="Arial"/>
          <w:b/>
          <w:sz w:val="22"/>
        </w:rPr>
        <w:t xml:space="preserve">a 1 de </w:t>
      </w:r>
      <w:r w:rsidR="000A7303">
        <w:rPr>
          <w:rFonts w:ascii="Arial" w:hAnsi="Arial"/>
          <w:b/>
          <w:sz w:val="22"/>
        </w:rPr>
        <w:t xml:space="preserve">junio </w:t>
      </w:r>
      <w:r>
        <w:rPr>
          <w:rFonts w:ascii="Arial" w:hAnsi="Arial"/>
          <w:b/>
          <w:sz w:val="22"/>
        </w:rPr>
        <w:t>de 2016</w:t>
      </w:r>
    </w:p>
    <w:p w:rsidR="00655736" w:rsidRPr="00414643" w:rsidRDefault="00655736" w:rsidP="00655736">
      <w:pPr>
        <w:pStyle w:val="Sansinterligne2"/>
        <w:spacing w:before="1200"/>
        <w:jc w:val="center"/>
        <w:rPr>
          <w:rFonts w:ascii="Arial" w:hAnsi="Arial" w:cs="Arial"/>
          <w:b/>
          <w:sz w:val="22"/>
          <w:szCs w:val="22"/>
        </w:rPr>
      </w:pPr>
      <w:r>
        <w:rPr>
          <w:rFonts w:ascii="Arial" w:hAnsi="Arial"/>
          <w:b/>
          <w:sz w:val="22"/>
          <w:u w:val="single"/>
        </w:rPr>
        <w:t xml:space="preserve">Punto 8 del </w:t>
      </w:r>
      <w:r w:rsidR="000A7303">
        <w:rPr>
          <w:rFonts w:ascii="Arial" w:hAnsi="Arial"/>
          <w:b/>
          <w:sz w:val="22"/>
          <w:u w:val="single"/>
        </w:rPr>
        <w:t xml:space="preserve">orden </w:t>
      </w:r>
      <w:r>
        <w:rPr>
          <w:rFonts w:ascii="Arial" w:hAnsi="Arial"/>
          <w:b/>
          <w:sz w:val="22"/>
          <w:u w:val="single"/>
        </w:rPr>
        <w:t xml:space="preserve">del </w:t>
      </w:r>
      <w:r w:rsidR="000A7303">
        <w:rPr>
          <w:rFonts w:ascii="Arial" w:hAnsi="Arial"/>
          <w:b/>
          <w:sz w:val="22"/>
          <w:u w:val="single"/>
        </w:rPr>
        <w:t>día provisional</w:t>
      </w:r>
      <w:r>
        <w:rPr>
          <w:rFonts w:ascii="Arial" w:hAnsi="Arial"/>
          <w:b/>
          <w:sz w:val="22"/>
          <w:u w:val="single"/>
        </w:rPr>
        <w:t>:</w:t>
      </w:r>
    </w:p>
    <w:p w:rsidR="00655736" w:rsidRPr="00414643" w:rsidRDefault="001222C9" w:rsidP="001222C9">
      <w:pPr>
        <w:pStyle w:val="Sansinterligne2"/>
        <w:spacing w:after="1200"/>
        <w:jc w:val="center"/>
        <w:rPr>
          <w:rFonts w:ascii="Arial" w:hAnsi="Arial" w:cs="Arial"/>
          <w:b/>
          <w:sz w:val="22"/>
          <w:szCs w:val="22"/>
        </w:rPr>
      </w:pPr>
      <w:r>
        <w:rPr>
          <w:rFonts w:ascii="Arial" w:hAnsi="Arial"/>
          <w:b/>
          <w:sz w:val="22"/>
        </w:rPr>
        <w:t>Acreditación de organizaciones no gubernamentales</w:t>
      </w:r>
      <w:r w:rsidR="000A7303">
        <w:rPr>
          <w:rFonts w:ascii="Arial" w:hAnsi="Arial"/>
          <w:b/>
          <w:sz w:val="22"/>
        </w:rPr>
        <w:br/>
      </w:r>
      <w:r>
        <w:rPr>
          <w:rFonts w:ascii="Arial" w:hAnsi="Arial"/>
          <w:b/>
          <w:sz w:val="22"/>
        </w:rPr>
        <w:t>con fines de asistencia consultiva ante el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E96D8D">
        <w:trPr>
          <w:jc w:val="center"/>
        </w:trPr>
        <w:tc>
          <w:tcPr>
            <w:tcW w:w="7825" w:type="dxa"/>
            <w:vAlign w:val="center"/>
          </w:tcPr>
          <w:p w:rsidR="0057439C" w:rsidRPr="00414643" w:rsidRDefault="0057439C" w:rsidP="005B7A35">
            <w:pPr>
              <w:pStyle w:val="Sansinterligne1"/>
              <w:spacing w:before="200" w:after="200"/>
              <w:jc w:val="center"/>
              <w:rPr>
                <w:rFonts w:ascii="Arial" w:hAnsi="Arial" w:cs="Arial"/>
                <w:b/>
                <w:sz w:val="22"/>
                <w:szCs w:val="22"/>
              </w:rPr>
            </w:pPr>
            <w:r>
              <w:rPr>
                <w:rFonts w:ascii="Arial" w:hAnsi="Arial"/>
                <w:b/>
                <w:sz w:val="22"/>
              </w:rPr>
              <w:t>Resumen</w:t>
            </w:r>
          </w:p>
          <w:p w:rsidR="00822114" w:rsidRPr="004E1946" w:rsidRDefault="00822114" w:rsidP="00822114">
            <w:pPr>
              <w:pStyle w:val="NoSpacing"/>
              <w:spacing w:before="200" w:after="200"/>
              <w:jc w:val="both"/>
              <w:rPr>
                <w:rFonts w:ascii="Arial" w:hAnsi="Arial" w:cs="Arial"/>
                <w:sz w:val="22"/>
                <w:szCs w:val="22"/>
              </w:rPr>
            </w:pPr>
            <w:r>
              <w:rPr>
                <w:rFonts w:ascii="Arial" w:hAnsi="Arial"/>
                <w:sz w:val="22"/>
              </w:rPr>
              <w:t xml:space="preserve">El </w:t>
            </w:r>
            <w:r w:rsidR="000A7303">
              <w:rPr>
                <w:rFonts w:ascii="Arial" w:hAnsi="Arial"/>
                <w:sz w:val="22"/>
              </w:rPr>
              <w:t>Artículo </w:t>
            </w:r>
            <w:r>
              <w:rPr>
                <w:rFonts w:ascii="Arial" w:hAnsi="Arial"/>
                <w:sz w:val="22"/>
              </w:rPr>
              <w:t xml:space="preserve">9 de la Convención estipula que el Comité propondrá a la Asamblea General la acreditación de organizaciones no gubernamentales de probada competencia en el campo del patrimonio cultural inmaterial con fines de asistencia consultiva ante el Comité. El presente documento propone </w:t>
            </w:r>
            <w:r w:rsidR="000A7303">
              <w:rPr>
                <w:rFonts w:ascii="Arial" w:hAnsi="Arial"/>
                <w:sz w:val="22"/>
              </w:rPr>
              <w:t>24 </w:t>
            </w:r>
            <w:r>
              <w:rPr>
                <w:rFonts w:ascii="Arial" w:hAnsi="Arial"/>
                <w:sz w:val="22"/>
              </w:rPr>
              <w:t>organizaciones con tales características.</w:t>
            </w:r>
          </w:p>
          <w:p w:rsidR="00655736" w:rsidRPr="00414643" w:rsidRDefault="0057439C" w:rsidP="00184263">
            <w:pPr>
              <w:pStyle w:val="Sansinterligne2"/>
              <w:spacing w:after="120"/>
              <w:jc w:val="both"/>
              <w:rPr>
                <w:rFonts w:ascii="Arial" w:hAnsi="Arial" w:cs="Arial"/>
                <w:b/>
                <w:sz w:val="22"/>
                <w:szCs w:val="22"/>
              </w:rPr>
            </w:pPr>
            <w:r>
              <w:rPr>
                <w:rFonts w:ascii="Arial" w:hAnsi="Arial"/>
                <w:b/>
                <w:sz w:val="22"/>
              </w:rPr>
              <w:t xml:space="preserve">Decisión requerida: </w:t>
            </w:r>
            <w:r>
              <w:rPr>
                <w:rFonts w:ascii="Arial" w:hAnsi="Arial"/>
                <w:sz w:val="22"/>
              </w:rPr>
              <w:t>párrafo 9</w:t>
            </w:r>
          </w:p>
        </w:tc>
      </w:tr>
    </w:tbl>
    <w:p w:rsidR="004E3DBF" w:rsidRPr="00FB28E9" w:rsidRDefault="00655736" w:rsidP="004E3DBF">
      <w:pPr>
        <w:pStyle w:val="Default"/>
        <w:numPr>
          <w:ilvl w:val="0"/>
          <w:numId w:val="13"/>
        </w:numPr>
        <w:tabs>
          <w:tab w:val="clear" w:pos="363"/>
        </w:tabs>
        <w:spacing w:after="120"/>
        <w:ind w:left="567" w:hanging="567"/>
        <w:jc w:val="both"/>
        <w:rPr>
          <w:bCs/>
          <w:sz w:val="22"/>
          <w:szCs w:val="22"/>
        </w:rPr>
      </w:pPr>
      <w:r>
        <w:br w:type="page"/>
      </w:r>
      <w:r>
        <w:rPr>
          <w:sz w:val="22"/>
        </w:rPr>
        <w:lastRenderedPageBreak/>
        <w:t>El Artículo 9 de la Convención estipula que el Comité propondrá a la Asamblea General la acreditación de organizaciones no gubernamentales (ONG) de probada competencia en el campo del patrimonio cultural inmaterial con fines de asistencia consultiva ante el Comité. Los criterios y modalidades por los que se rige la acreditación fueron adoptados por la Asamblea General en su segunda reunión y están incluidos en el Capítulo III.2.2 de las Directrices Operativas (párrafos 91-99).</w:t>
      </w:r>
    </w:p>
    <w:p w:rsidR="002E2457" w:rsidRPr="00FA5D3F" w:rsidRDefault="002E2457" w:rsidP="00B31FE1">
      <w:pPr>
        <w:pStyle w:val="Default"/>
        <w:numPr>
          <w:ilvl w:val="0"/>
          <w:numId w:val="13"/>
        </w:numPr>
        <w:tabs>
          <w:tab w:val="clear" w:pos="363"/>
        </w:tabs>
        <w:spacing w:after="120"/>
        <w:ind w:left="567" w:hanging="567"/>
        <w:jc w:val="both"/>
        <w:rPr>
          <w:bCs/>
          <w:sz w:val="22"/>
          <w:szCs w:val="22"/>
        </w:rPr>
      </w:pPr>
      <w:r>
        <w:rPr>
          <w:sz w:val="22"/>
        </w:rPr>
        <w:t>La Asamblea General ha acreditado hasta el momento 178 organizaciones con con tales características: 97 ONG en su tercera reunión en Junio de 2010 mediante su Resolución 3.GA 7, 59 ONG en su cuarta reunión en Junio de 2012 mediante su Resolución 4.GA 6 y 22 ONG en su quinta reunión en Junio de 2014 mediante su Resolución 5.GA 6.</w:t>
      </w:r>
    </w:p>
    <w:p w:rsidR="002E2457" w:rsidRPr="00FA5D3F" w:rsidRDefault="00EB2B8E" w:rsidP="002E2457">
      <w:pPr>
        <w:pStyle w:val="Default"/>
        <w:numPr>
          <w:ilvl w:val="0"/>
          <w:numId w:val="13"/>
        </w:numPr>
        <w:tabs>
          <w:tab w:val="clear" w:pos="363"/>
        </w:tabs>
        <w:spacing w:after="120"/>
        <w:ind w:left="567" w:hanging="567"/>
        <w:jc w:val="both"/>
        <w:rPr>
          <w:bCs/>
          <w:sz w:val="22"/>
          <w:szCs w:val="22"/>
        </w:rPr>
      </w:pPr>
      <w:r>
        <w:rPr>
          <w:sz w:val="22"/>
        </w:rPr>
        <w:t>Para optimizar las tareas y los procedimientos para la acreditación, el Comité, en su novena reunión en París en Noviembre de 2014, decidió que examinaría los pedidos de acreditación de ONG en sus reuniones ordinarias en años impares, visto que las ONG sólo pueden ser acreditadas por la Asamblea General cuando se reúne en años pares (Decisión 9.COM 14). Las posibles revisiones de las Directrices Operativas que reflejen estos cambios en la agenda de examen bienal son tratadas en un punto separado de la presente reunión de la Asamblea General (documento ITH/16/6.GA/7).</w:t>
      </w:r>
    </w:p>
    <w:p w:rsidR="00D35A65" w:rsidRPr="001825DA" w:rsidRDefault="00481CF5" w:rsidP="001825DA">
      <w:pPr>
        <w:pStyle w:val="Default"/>
        <w:numPr>
          <w:ilvl w:val="0"/>
          <w:numId w:val="13"/>
        </w:numPr>
        <w:tabs>
          <w:tab w:val="clear" w:pos="363"/>
        </w:tabs>
        <w:spacing w:after="120"/>
        <w:ind w:left="567" w:hanging="567"/>
        <w:jc w:val="both"/>
        <w:rPr>
          <w:bCs/>
          <w:sz w:val="22"/>
          <w:szCs w:val="22"/>
        </w:rPr>
      </w:pPr>
      <w:r>
        <w:rPr>
          <w:sz w:val="22"/>
        </w:rPr>
        <w:t xml:space="preserve">En su décima reunión en Windhoek, Namibia (30 de Noviembre a 4 de Diciembre de 2015), el Comité examinó 54 pedidos de acreditación que recibió de ONG, de los cuales 24 fueron recomendados a la Asamblea General para su acreditación por la Decisión 10.COM 16. </w:t>
      </w:r>
      <w:r>
        <w:t xml:space="preserve">Estas 24 organizaciones están listadas en el Anexo del siguiente proyecto de resolución; los pedidos de acreditación pueden ser consultados en el </w:t>
      </w:r>
      <w:hyperlink r:id="rId8">
        <w:r>
          <w:rPr>
            <w:rStyle w:val="Hyperlink"/>
            <w:sz w:val="22"/>
          </w:rPr>
          <w:t>sitio web de la Convención</w:t>
        </w:r>
      </w:hyperlink>
      <w:r>
        <w:rPr>
          <w:sz w:val="22"/>
        </w:rPr>
        <w:t>.</w:t>
      </w:r>
    </w:p>
    <w:p w:rsidR="00680420" w:rsidRDefault="0043459E" w:rsidP="00D35A65">
      <w:pPr>
        <w:pStyle w:val="Default"/>
        <w:numPr>
          <w:ilvl w:val="0"/>
          <w:numId w:val="13"/>
        </w:numPr>
        <w:tabs>
          <w:tab w:val="clear" w:pos="363"/>
        </w:tabs>
        <w:spacing w:after="120"/>
        <w:ind w:left="567" w:hanging="567"/>
        <w:jc w:val="both"/>
        <w:rPr>
          <w:bCs/>
          <w:sz w:val="22"/>
          <w:szCs w:val="22"/>
        </w:rPr>
      </w:pPr>
      <w:r>
        <w:rPr>
          <w:sz w:val="22"/>
        </w:rPr>
        <w:t>Además, se solicitó a la décima reunión del Comité emprender la primera revisión de las 97 ONG acreditadas por la Asamblea General en su tercera reunión en 2010 (Resolución 3.GA  7). Según lo estipulado por el párrafo 94 de las Directrices Operativas, el Comité «examinará la contribución y el compromiso de la organización consultiva y sus relaciones con ella cada cuatro años a partir de la acreditación, teniendo en cuenta el punto de vista de la organización no gubernamental de que se trate.»</w:t>
      </w:r>
    </w:p>
    <w:p w:rsidR="00FE6445" w:rsidRDefault="00FE6445" w:rsidP="00D35A65">
      <w:pPr>
        <w:pStyle w:val="Default"/>
        <w:numPr>
          <w:ilvl w:val="0"/>
          <w:numId w:val="13"/>
        </w:numPr>
        <w:tabs>
          <w:tab w:val="clear" w:pos="363"/>
        </w:tabs>
        <w:spacing w:after="120"/>
        <w:ind w:left="567" w:hanging="567"/>
        <w:jc w:val="both"/>
        <w:rPr>
          <w:bCs/>
          <w:sz w:val="22"/>
          <w:szCs w:val="22"/>
        </w:rPr>
      </w:pPr>
      <w:r>
        <w:rPr>
          <w:sz w:val="22"/>
        </w:rPr>
        <w:t>Basándose en las modalidades y procedimientos del proceso de revisión estipulados en el Capítulo III.2.2 de las Directrices Operativas (párrafos 92-99), la Secretaría examinó 69 informes presentados por ONG acreditadas y propuso sus recomendaciones en la décima reunión del Comité. El Comité decidió entonces mantener la acreditación de 59 de las 97 ONG, habiendo considerado que habían demostrado suficientemente su contribución y su compromiso en la asistencia consultativa ante el Comité, y suprimir la acreditación de 38 ONG visto que no habían presentado un informe cuatrienal o no habían proveído suficiente información para satisfacer los requerimientos estipulados por las Directrices Operativas (Decisión 10.COM 16). A raíz de esta decisión, actualmente hay 140 organizaciones acreditadas con fines de asistencia consultiva ante el Comité.</w:t>
      </w:r>
    </w:p>
    <w:p w:rsidR="00B2061A" w:rsidRPr="00A843C9" w:rsidRDefault="00B2061A" w:rsidP="00B2061A">
      <w:pPr>
        <w:pStyle w:val="Default"/>
        <w:numPr>
          <w:ilvl w:val="0"/>
          <w:numId w:val="13"/>
        </w:numPr>
        <w:tabs>
          <w:tab w:val="clear" w:pos="363"/>
        </w:tabs>
        <w:spacing w:after="120"/>
        <w:ind w:left="567" w:hanging="567"/>
        <w:jc w:val="both"/>
        <w:rPr>
          <w:bCs/>
          <w:sz w:val="22"/>
          <w:szCs w:val="22"/>
        </w:rPr>
      </w:pPr>
      <w:r>
        <w:rPr>
          <w:sz w:val="22"/>
        </w:rPr>
        <w:t>En su quinta reunión, la Asamblea General alentó a las ONG que reúnan los criterios de acreditación, especialmente a aquellas provenientes de países y regiones que tengan menos representación y participación, a presentar sus pedidos de acreditación lo antes posible. Los Comités, en su novena y décima reunión, también han destacado la importancia de la participación masiva de ONG de todos los grupos mundiales.</w:t>
      </w:r>
    </w:p>
    <w:p w:rsidR="00B2061A" w:rsidRPr="00FA5D3F" w:rsidRDefault="00B2061A" w:rsidP="00B2061A">
      <w:pPr>
        <w:pStyle w:val="Default"/>
        <w:numPr>
          <w:ilvl w:val="0"/>
          <w:numId w:val="13"/>
        </w:numPr>
        <w:tabs>
          <w:tab w:val="clear" w:pos="363"/>
        </w:tabs>
        <w:spacing w:after="120"/>
        <w:ind w:left="567" w:hanging="567"/>
        <w:jc w:val="both"/>
        <w:rPr>
          <w:bCs/>
          <w:sz w:val="22"/>
          <w:szCs w:val="22"/>
        </w:rPr>
      </w:pPr>
      <w:r>
        <w:rPr>
          <w:sz w:val="22"/>
        </w:rPr>
        <w:t>Entre las 140 ONG actualmente acreditadas, la representación geográfica respecto a los grupos electorales es la siguiente: 53% de las ONG pertenecen al Grupo I; 16% al Grupo IV; 14% al Grupo V(a); 8% al Grupo III; 7% al Grupo II y 2% al Grupo V(b).</w:t>
      </w:r>
    </w:p>
    <w:p w:rsidR="00D35A65" w:rsidRPr="004E1946" w:rsidRDefault="00D35A65" w:rsidP="00D35A65">
      <w:pPr>
        <w:pStyle w:val="Default"/>
        <w:keepNext/>
        <w:numPr>
          <w:ilvl w:val="0"/>
          <w:numId w:val="13"/>
        </w:numPr>
        <w:tabs>
          <w:tab w:val="clear" w:pos="363"/>
        </w:tabs>
        <w:spacing w:after="240"/>
        <w:ind w:left="567" w:hanging="567"/>
        <w:jc w:val="both"/>
        <w:rPr>
          <w:bCs/>
          <w:sz w:val="22"/>
          <w:szCs w:val="22"/>
        </w:rPr>
      </w:pPr>
      <w:r>
        <w:rPr>
          <w:sz w:val="22"/>
        </w:rPr>
        <w:lastRenderedPageBreak/>
        <w:t>La Asamblea General podría aprobar la siguiente resolución:</w:t>
      </w:r>
    </w:p>
    <w:p w:rsidR="00D35A65" w:rsidRPr="004E1946" w:rsidRDefault="00D35A65" w:rsidP="00B10A85">
      <w:pPr>
        <w:pStyle w:val="GATitleResolution"/>
        <w:rPr>
          <w:rFonts w:eastAsia="SimSun"/>
        </w:rPr>
      </w:pPr>
      <w:r>
        <w:t>PROYECTO DE RESOLUCIÓN 6.</w:t>
      </w:r>
      <w:r w:rsidR="000A7303">
        <w:t>GA </w:t>
      </w:r>
      <w:r>
        <w:t>8</w:t>
      </w:r>
    </w:p>
    <w:p w:rsidR="00D35A65" w:rsidRPr="004E1946" w:rsidRDefault="00D35A65" w:rsidP="00B10A85">
      <w:pPr>
        <w:pStyle w:val="GAPreambulaResolution"/>
      </w:pPr>
      <w:r>
        <w:t xml:space="preserve">La Asamblea General, </w:t>
      </w:r>
    </w:p>
    <w:p w:rsidR="00D35A65" w:rsidRPr="004E1946" w:rsidRDefault="00D35A65" w:rsidP="00071A3C">
      <w:pPr>
        <w:keepNext/>
        <w:numPr>
          <w:ilvl w:val="0"/>
          <w:numId w:val="14"/>
        </w:numPr>
        <w:spacing w:before="120" w:after="120"/>
        <w:ind w:left="1134" w:hanging="567"/>
        <w:jc w:val="both"/>
        <w:rPr>
          <w:rFonts w:ascii="Arial" w:hAnsi="Arial" w:cs="Arial"/>
          <w:sz w:val="22"/>
          <w:szCs w:val="22"/>
        </w:rPr>
      </w:pPr>
      <w:r>
        <w:rPr>
          <w:rFonts w:ascii="Arial" w:hAnsi="Arial"/>
          <w:sz w:val="22"/>
          <w:u w:val="single"/>
        </w:rPr>
        <w:t>Habiendo examinado</w:t>
      </w:r>
      <w:r>
        <w:rPr>
          <w:rFonts w:ascii="Arial" w:hAnsi="Arial"/>
          <w:sz w:val="22"/>
        </w:rPr>
        <w:t xml:space="preserve"> el documento ITH/16/6.GA/8,</w:t>
      </w:r>
    </w:p>
    <w:p w:rsidR="00D35A65" w:rsidRPr="00352B74" w:rsidRDefault="00D35A65" w:rsidP="00D35A65">
      <w:pPr>
        <w:numPr>
          <w:ilvl w:val="0"/>
          <w:numId w:val="14"/>
        </w:numPr>
        <w:spacing w:before="120" w:after="120"/>
        <w:ind w:left="1134" w:hanging="567"/>
        <w:jc w:val="both"/>
        <w:rPr>
          <w:rFonts w:ascii="Arial" w:hAnsi="Arial" w:cs="Arial"/>
          <w:sz w:val="22"/>
          <w:szCs w:val="22"/>
        </w:rPr>
      </w:pPr>
      <w:r>
        <w:rPr>
          <w:rFonts w:ascii="Arial" w:hAnsi="Arial"/>
          <w:sz w:val="22"/>
          <w:u w:val="single"/>
        </w:rPr>
        <w:t>Recordando</w:t>
      </w:r>
      <w:r>
        <w:rPr>
          <w:rFonts w:ascii="Arial" w:hAnsi="Arial"/>
          <w:sz w:val="22"/>
        </w:rPr>
        <w:t xml:space="preserve"> el </w:t>
      </w:r>
      <w:r w:rsidR="000A7303">
        <w:rPr>
          <w:rFonts w:ascii="Arial" w:hAnsi="Arial"/>
          <w:sz w:val="22"/>
        </w:rPr>
        <w:t>Artículo </w:t>
      </w:r>
      <w:r>
        <w:rPr>
          <w:rFonts w:ascii="Arial" w:hAnsi="Arial"/>
          <w:sz w:val="22"/>
        </w:rPr>
        <w:t>9 de la Convención y los párrafos 91-99 de las Directrices Operativas,</w:t>
      </w:r>
    </w:p>
    <w:p w:rsidR="00D35A65" w:rsidRPr="0048129E" w:rsidRDefault="00D35A65" w:rsidP="00D35A65">
      <w:pPr>
        <w:numPr>
          <w:ilvl w:val="0"/>
          <w:numId w:val="14"/>
        </w:numPr>
        <w:spacing w:before="120" w:after="120"/>
        <w:ind w:left="1134" w:hanging="567"/>
        <w:jc w:val="both"/>
        <w:rPr>
          <w:rFonts w:ascii="Arial" w:hAnsi="Arial" w:cs="Arial"/>
          <w:sz w:val="22"/>
          <w:szCs w:val="22"/>
        </w:rPr>
      </w:pPr>
      <w:r>
        <w:rPr>
          <w:rFonts w:ascii="Arial" w:hAnsi="Arial"/>
          <w:sz w:val="22"/>
          <w:u w:val="single"/>
        </w:rPr>
        <w:t xml:space="preserve">Recordando </w:t>
      </w:r>
      <w:r w:rsidR="000A7303">
        <w:rPr>
          <w:rFonts w:ascii="Arial" w:hAnsi="Arial"/>
          <w:sz w:val="22"/>
          <w:u w:val="single"/>
        </w:rPr>
        <w:t>asimismo</w:t>
      </w:r>
      <w:r w:rsidR="000A7303">
        <w:rPr>
          <w:rFonts w:ascii="Arial" w:hAnsi="Arial"/>
          <w:sz w:val="22"/>
        </w:rPr>
        <w:t xml:space="preserve"> </w:t>
      </w:r>
      <w:r>
        <w:rPr>
          <w:rFonts w:ascii="Arial" w:hAnsi="Arial"/>
          <w:sz w:val="22"/>
        </w:rPr>
        <w:t>las Decisiones 9.COM 14 y 10.COM 16,</w:t>
      </w:r>
    </w:p>
    <w:p w:rsidR="00D35A65" w:rsidRPr="0048129E" w:rsidRDefault="00D35A65" w:rsidP="00D35A65">
      <w:pPr>
        <w:numPr>
          <w:ilvl w:val="0"/>
          <w:numId w:val="14"/>
        </w:numPr>
        <w:spacing w:before="120" w:after="120"/>
        <w:ind w:left="1134" w:hanging="567"/>
        <w:jc w:val="both"/>
        <w:rPr>
          <w:rFonts w:ascii="Arial" w:hAnsi="Arial" w:cs="Arial"/>
          <w:sz w:val="22"/>
          <w:szCs w:val="22"/>
        </w:rPr>
      </w:pPr>
      <w:r>
        <w:rPr>
          <w:rFonts w:ascii="Arial" w:hAnsi="Arial"/>
          <w:sz w:val="22"/>
          <w:u w:val="single"/>
        </w:rPr>
        <w:t>Acredita</w:t>
      </w:r>
      <w:r>
        <w:t xml:space="preserve"> </w:t>
      </w:r>
      <w:r>
        <w:rPr>
          <w:rFonts w:ascii="Arial" w:hAnsi="Arial"/>
          <w:sz w:val="22"/>
        </w:rPr>
        <w:t xml:space="preserve">a las 24 ONG </w:t>
      </w:r>
      <w:r w:rsidR="000A7303">
        <w:rPr>
          <w:rFonts w:ascii="Arial" w:hAnsi="Arial"/>
          <w:sz w:val="22"/>
        </w:rPr>
        <w:t>enumeradas en la lista que figura en a</w:t>
      </w:r>
      <w:r>
        <w:rPr>
          <w:rFonts w:ascii="Arial" w:hAnsi="Arial"/>
          <w:sz w:val="22"/>
        </w:rPr>
        <w:t xml:space="preserve">nexo </w:t>
      </w:r>
      <w:r w:rsidR="000A7303">
        <w:rPr>
          <w:rFonts w:ascii="Arial" w:hAnsi="Arial"/>
          <w:sz w:val="22"/>
        </w:rPr>
        <w:t xml:space="preserve">a la presente </w:t>
      </w:r>
      <w:r>
        <w:rPr>
          <w:rFonts w:ascii="Arial" w:hAnsi="Arial"/>
          <w:sz w:val="22"/>
        </w:rPr>
        <w:t>Resolución con fines de asistencia consultiva ante el Comité;</w:t>
      </w:r>
    </w:p>
    <w:p w:rsidR="00D35A65" w:rsidRDefault="00D35A65" w:rsidP="00D35A65">
      <w:pPr>
        <w:numPr>
          <w:ilvl w:val="0"/>
          <w:numId w:val="14"/>
        </w:numPr>
        <w:spacing w:before="120" w:after="120"/>
        <w:ind w:left="1134" w:hanging="567"/>
        <w:jc w:val="both"/>
        <w:rPr>
          <w:rFonts w:ascii="Arial" w:hAnsi="Arial" w:cs="Arial"/>
          <w:sz w:val="22"/>
          <w:szCs w:val="22"/>
        </w:rPr>
      </w:pPr>
      <w:r>
        <w:rPr>
          <w:rFonts w:ascii="Arial" w:hAnsi="Arial"/>
          <w:sz w:val="22"/>
          <w:u w:val="single"/>
        </w:rPr>
        <w:t>Alienta</w:t>
      </w:r>
      <w:r>
        <w:rPr>
          <w:rFonts w:ascii="Arial" w:hAnsi="Arial"/>
          <w:sz w:val="22"/>
        </w:rPr>
        <w:t xml:space="preserve"> a las ONG que reúnan los criterios de acreditación, especialmente aquellas provenientes de países y regiones que tengan menos representación y participación, a presentar sus </w:t>
      </w:r>
      <w:r w:rsidR="000A7303">
        <w:rPr>
          <w:rFonts w:ascii="Arial" w:hAnsi="Arial"/>
          <w:sz w:val="22"/>
        </w:rPr>
        <w:t xml:space="preserve">solicitudes </w:t>
      </w:r>
      <w:r>
        <w:rPr>
          <w:rFonts w:ascii="Arial" w:hAnsi="Arial"/>
          <w:sz w:val="22"/>
        </w:rPr>
        <w:t>de acreditación lo antes posible;</w:t>
      </w:r>
    </w:p>
    <w:p w:rsidR="005F422C" w:rsidRDefault="00DF6881" w:rsidP="00D4395C">
      <w:pPr>
        <w:pStyle w:val="COMParaDecision"/>
        <w:numPr>
          <w:ilvl w:val="0"/>
          <w:numId w:val="14"/>
        </w:numPr>
        <w:ind w:left="1134" w:hanging="567"/>
      </w:pPr>
      <w:r>
        <w:t>Invita</w:t>
      </w:r>
      <w:r>
        <w:rPr>
          <w:u w:val="none"/>
        </w:rPr>
        <w:t xml:space="preserve"> a las ONG acreditadas en 2012 a presentar a la Secretaría su informe cuatrienal en 2017 para que el Comité pueda</w:t>
      </w:r>
      <w:r w:rsidR="000A7303">
        <w:rPr>
          <w:u w:val="none"/>
        </w:rPr>
        <w:t>,</w:t>
      </w:r>
      <w:r>
        <w:rPr>
          <w:u w:val="none"/>
        </w:rPr>
        <w:t xml:space="preserve"> </w:t>
      </w:r>
      <w:r w:rsidR="000A7303">
        <w:rPr>
          <w:u w:val="none"/>
        </w:rPr>
        <w:t xml:space="preserve">en su duodécima reunión en 2018, </w:t>
      </w:r>
      <w:r>
        <w:rPr>
          <w:u w:val="none"/>
        </w:rPr>
        <w:t>evaluar la contribución y el compromiso de cada organización consultiva.</w:t>
      </w:r>
    </w:p>
    <w:p w:rsidR="00C11227" w:rsidRDefault="00C11227" w:rsidP="00606D0E">
      <w:pPr>
        <w:pStyle w:val="5GAparabodytext"/>
        <w:ind w:left="0" w:firstLine="0"/>
        <w:jc w:val="center"/>
        <w:rPr>
          <w:b/>
        </w:rPr>
      </w:pPr>
    </w:p>
    <w:p w:rsidR="00606D0E" w:rsidRDefault="00606D0E" w:rsidP="00606D0E">
      <w:pPr>
        <w:pStyle w:val="5GAparabodytext"/>
        <w:ind w:left="0" w:firstLine="0"/>
        <w:jc w:val="center"/>
        <w:rPr>
          <w:b/>
        </w:rPr>
      </w:pPr>
      <w:r>
        <w:rPr>
          <w:b/>
        </w:rPr>
        <w:t>ANEXO</w:t>
      </w:r>
    </w:p>
    <w:p w:rsidR="0049337F" w:rsidRPr="00B10A85" w:rsidRDefault="0049337F" w:rsidP="00B10A85">
      <w:pPr>
        <w:pStyle w:val="ListParagraph"/>
        <w:keepNext/>
        <w:spacing w:before="120" w:after="240"/>
        <w:ind w:left="0"/>
        <w:jc w:val="center"/>
        <w:rPr>
          <w:b/>
        </w:rPr>
      </w:pPr>
      <w:r>
        <w:rPr>
          <w:rFonts w:ascii="Arial" w:hAnsi="Arial"/>
          <w:b/>
          <w:sz w:val="22"/>
        </w:rPr>
        <w:t>Organizaciones no gubernamentales cuya acreditación se recomienda</w:t>
      </w:r>
    </w:p>
    <w:tbl>
      <w:tblPr>
        <w:tblW w:w="4603" w:type="pct"/>
        <w:tblInd w:w="675" w:type="dxa"/>
        <w:tblLayout w:type="fixed"/>
        <w:tblLook w:val="04A0" w:firstRow="1" w:lastRow="0" w:firstColumn="1" w:lastColumn="0" w:noHBand="0" w:noVBand="1"/>
      </w:tblPr>
      <w:tblGrid>
        <w:gridCol w:w="5824"/>
        <w:gridCol w:w="1665"/>
        <w:gridCol w:w="1384"/>
      </w:tblGrid>
      <w:tr w:rsidR="004320AE" w:rsidRPr="00991542" w:rsidTr="00A4422C">
        <w:trPr>
          <w:cantSplit/>
          <w:tblHeader/>
        </w:trPr>
        <w:tc>
          <w:tcPr>
            <w:tcW w:w="3282" w:type="pct"/>
            <w:shd w:val="clear" w:color="auto" w:fill="BFBFBF"/>
            <w:vAlign w:val="center"/>
          </w:tcPr>
          <w:p w:rsidR="004320AE" w:rsidRPr="00991542" w:rsidRDefault="004320AE" w:rsidP="007E0B25">
            <w:pPr>
              <w:widowControl w:val="0"/>
              <w:spacing w:before="60" w:after="60"/>
              <w:rPr>
                <w:rFonts w:ascii="Arial" w:hAnsi="Arial" w:cs="Arial"/>
                <w:b/>
                <w:color w:val="000000"/>
                <w:sz w:val="20"/>
                <w:szCs w:val="20"/>
              </w:rPr>
            </w:pPr>
            <w:r>
              <w:rPr>
                <w:rFonts w:ascii="Arial" w:hAnsi="Arial"/>
                <w:b/>
                <w:color w:val="000000"/>
                <w:sz w:val="20"/>
              </w:rPr>
              <w:t>Nombre de la organización</w:t>
            </w:r>
          </w:p>
        </w:tc>
        <w:tc>
          <w:tcPr>
            <w:tcW w:w="938" w:type="pct"/>
            <w:shd w:val="clear" w:color="auto" w:fill="BFBFBF"/>
            <w:vAlign w:val="center"/>
          </w:tcPr>
          <w:p w:rsidR="004320AE" w:rsidRPr="00991542" w:rsidRDefault="004320AE" w:rsidP="007E0B25">
            <w:pPr>
              <w:widowControl w:val="0"/>
              <w:spacing w:before="60" w:after="60"/>
              <w:rPr>
                <w:rFonts w:ascii="Arial" w:hAnsi="Arial" w:cs="Arial"/>
                <w:b/>
                <w:color w:val="000000"/>
                <w:sz w:val="20"/>
                <w:szCs w:val="20"/>
              </w:rPr>
            </w:pPr>
            <w:r>
              <w:rPr>
                <w:rFonts w:ascii="Arial" w:hAnsi="Arial"/>
                <w:b/>
                <w:color w:val="000000"/>
                <w:sz w:val="20"/>
              </w:rPr>
              <w:t>País de la sede</w:t>
            </w:r>
          </w:p>
        </w:tc>
        <w:tc>
          <w:tcPr>
            <w:tcW w:w="780" w:type="pct"/>
            <w:shd w:val="clear" w:color="auto" w:fill="BFBFBF"/>
            <w:vAlign w:val="center"/>
          </w:tcPr>
          <w:p w:rsidR="004320AE" w:rsidRPr="00991542" w:rsidRDefault="004320AE" w:rsidP="007E0B25">
            <w:pPr>
              <w:widowControl w:val="0"/>
              <w:spacing w:before="60" w:after="60"/>
              <w:rPr>
                <w:rFonts w:ascii="Arial" w:hAnsi="Arial" w:cs="Arial"/>
                <w:b/>
                <w:color w:val="000000"/>
                <w:sz w:val="20"/>
                <w:szCs w:val="20"/>
              </w:rPr>
            </w:pPr>
            <w:r>
              <w:rPr>
                <w:rFonts w:ascii="Arial" w:hAnsi="Arial"/>
                <w:b/>
                <w:color w:val="000000"/>
                <w:sz w:val="20"/>
              </w:rPr>
              <w:t>Número de solicitud</w:t>
            </w:r>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Aşiq Şəmşir Mədəniyyət Ocaği Ictimai Birliyi / Ashiq Shamshir Cultural Center Public Union</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Azerbaiyán</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9">
              <w:r w:rsidR="004613A4">
                <w:rPr>
                  <w:rStyle w:val="Hyperlink"/>
                  <w:rFonts w:ascii="Arial" w:hAnsi="Arial"/>
                  <w:sz w:val="20"/>
                </w:rPr>
                <w:t>NGO-90327</w:t>
              </w:r>
            </w:hyperlink>
          </w:p>
        </w:tc>
      </w:tr>
      <w:tr w:rsidR="004320AE" w:rsidRPr="008D4F55" w:rsidTr="00A4422C">
        <w:trPr>
          <w:cantSplit/>
        </w:trPr>
        <w:tc>
          <w:tcPr>
            <w:tcW w:w="3282" w:type="pct"/>
            <w:shd w:val="clear" w:color="auto" w:fill="auto"/>
          </w:tcPr>
          <w:p w:rsidR="004320AE" w:rsidRPr="003921A5" w:rsidRDefault="004320AE" w:rsidP="007E0B25">
            <w:pPr>
              <w:spacing w:before="60" w:after="60"/>
              <w:rPr>
                <w:rFonts w:ascii="Arial" w:hAnsi="Arial" w:cs="Arial"/>
                <w:color w:val="000000"/>
                <w:sz w:val="20"/>
                <w:szCs w:val="20"/>
              </w:rPr>
            </w:pPr>
            <w:r>
              <w:rPr>
                <w:rFonts w:ascii="Arial" w:hAnsi="Arial"/>
                <w:color w:val="000000"/>
                <w:sz w:val="20"/>
              </w:rPr>
              <w:t>Asociación Cultural e Pedagóxica ‘Ponte ... nas Ondas’ /</w:t>
            </w:r>
            <w:r>
              <w:rPr>
                <w:rFonts w:ascii="Arial" w:hAnsi="Arial" w:cs="Arial"/>
                <w:color w:val="000000"/>
                <w:sz w:val="20"/>
                <w:szCs w:val="20"/>
              </w:rPr>
              <w:br/>
            </w:r>
            <w:r>
              <w:rPr>
                <w:rFonts w:ascii="Arial" w:hAnsi="Arial"/>
                <w:color w:val="000000"/>
                <w:sz w:val="20"/>
              </w:rPr>
              <w:t>Cultural and Educational Association ‘Ponte ... nas Ondas’</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España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10">
              <w:r w:rsidR="004613A4">
                <w:rPr>
                  <w:rStyle w:val="Hyperlink"/>
                  <w:rFonts w:ascii="Arial" w:hAnsi="Arial"/>
                  <w:sz w:val="20"/>
                </w:rPr>
                <w:t>NGO-90355</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 xml:space="preserve">Associació d’Estudis Fallers (ADEF) / Fallas studies association </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España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11">
              <w:r w:rsidR="004613A4">
                <w:rPr>
                  <w:rStyle w:val="Hyperlink"/>
                  <w:rFonts w:ascii="Arial" w:hAnsi="Arial"/>
                  <w:sz w:val="20"/>
                </w:rPr>
                <w:t>NGO-90350</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fr-FR"/>
              </w:rPr>
            </w:pPr>
            <w:r w:rsidRPr="00071A3C">
              <w:rPr>
                <w:rFonts w:ascii="Arial" w:hAnsi="Arial"/>
                <w:color w:val="000000"/>
                <w:sz w:val="20"/>
                <w:lang w:val="fr-FR"/>
              </w:rPr>
              <w:t>L’Association canadienne d’ethnologie et de folklore /</w:t>
            </w:r>
            <w:r w:rsidRPr="00071A3C">
              <w:rPr>
                <w:rFonts w:ascii="Arial" w:hAnsi="Arial" w:cs="Arial"/>
                <w:color w:val="000000"/>
                <w:sz w:val="20"/>
                <w:szCs w:val="20"/>
                <w:lang w:val="fr-FR"/>
              </w:rPr>
              <w:br/>
            </w:r>
            <w:r w:rsidRPr="00071A3C">
              <w:rPr>
                <w:rFonts w:ascii="Arial" w:hAnsi="Arial"/>
                <w:color w:val="000000"/>
                <w:sz w:val="20"/>
                <w:lang w:val="fr-FR"/>
              </w:rPr>
              <w:t>The Folklore Studies Association of Canada</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Canadá</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12">
              <w:r w:rsidR="004613A4">
                <w:rPr>
                  <w:rStyle w:val="Hyperlink"/>
                  <w:rFonts w:ascii="Arial" w:hAnsi="Arial"/>
                  <w:sz w:val="20"/>
                </w:rPr>
                <w:t>NGO-90360</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fr-FR"/>
              </w:rPr>
            </w:pPr>
            <w:r>
              <w:rPr>
                <w:rFonts w:ascii="Arial" w:hAnsi="Arial"/>
                <w:color w:val="000000"/>
                <w:sz w:val="20"/>
              </w:rPr>
              <w:t>جمعية</w:t>
            </w:r>
            <w:r w:rsidRPr="00071A3C">
              <w:rPr>
                <w:rFonts w:ascii="Arial" w:hAnsi="Arial"/>
                <w:color w:val="000000"/>
                <w:sz w:val="20"/>
                <w:lang w:val="fr-FR"/>
              </w:rPr>
              <w:t xml:space="preserve"> </w:t>
            </w:r>
            <w:r>
              <w:rPr>
                <w:rFonts w:ascii="Arial" w:hAnsi="Arial"/>
                <w:color w:val="000000"/>
                <w:sz w:val="20"/>
              </w:rPr>
              <w:t>خريجي</w:t>
            </w:r>
            <w:r w:rsidRPr="00071A3C">
              <w:rPr>
                <w:rFonts w:ascii="Arial" w:hAnsi="Arial"/>
                <w:color w:val="000000"/>
                <w:sz w:val="20"/>
                <w:lang w:val="fr-FR"/>
              </w:rPr>
              <w:t xml:space="preserve"> </w:t>
            </w:r>
            <w:r>
              <w:rPr>
                <w:rFonts w:ascii="Arial" w:hAnsi="Arial"/>
                <w:color w:val="000000"/>
                <w:sz w:val="20"/>
              </w:rPr>
              <w:t>المعهد</w:t>
            </w:r>
            <w:r w:rsidRPr="00071A3C">
              <w:rPr>
                <w:rFonts w:ascii="Arial" w:hAnsi="Arial"/>
                <w:color w:val="000000"/>
                <w:sz w:val="20"/>
                <w:lang w:val="fr-FR"/>
              </w:rPr>
              <w:t xml:space="preserve"> </w:t>
            </w:r>
            <w:r>
              <w:rPr>
                <w:rFonts w:ascii="Arial" w:hAnsi="Arial"/>
                <w:color w:val="000000"/>
                <w:sz w:val="20"/>
              </w:rPr>
              <w:t>الوطني</w:t>
            </w:r>
            <w:r w:rsidRPr="00071A3C">
              <w:rPr>
                <w:rFonts w:ascii="Arial" w:hAnsi="Arial"/>
                <w:color w:val="000000"/>
                <w:sz w:val="20"/>
                <w:lang w:val="fr-FR"/>
              </w:rPr>
              <w:t xml:space="preserve"> </w:t>
            </w:r>
            <w:r>
              <w:rPr>
                <w:rFonts w:ascii="Arial" w:hAnsi="Arial"/>
                <w:color w:val="000000"/>
                <w:sz w:val="20"/>
              </w:rPr>
              <w:t>لعلوم</w:t>
            </w:r>
            <w:r w:rsidRPr="00071A3C">
              <w:rPr>
                <w:rFonts w:ascii="Arial" w:hAnsi="Arial"/>
                <w:color w:val="000000"/>
                <w:sz w:val="20"/>
                <w:lang w:val="fr-FR"/>
              </w:rPr>
              <w:t xml:space="preserve"> </w:t>
            </w:r>
            <w:r>
              <w:rPr>
                <w:rFonts w:ascii="Arial" w:hAnsi="Arial"/>
                <w:color w:val="000000"/>
                <w:sz w:val="20"/>
              </w:rPr>
              <w:t>الأثار</w:t>
            </w:r>
            <w:r w:rsidRPr="00071A3C">
              <w:rPr>
                <w:rFonts w:ascii="Arial" w:hAnsi="Arial"/>
                <w:color w:val="000000"/>
                <w:sz w:val="20"/>
                <w:lang w:val="fr-FR"/>
              </w:rPr>
              <w:t xml:space="preserve"> </w:t>
            </w:r>
            <w:r>
              <w:rPr>
                <w:rFonts w:ascii="Arial" w:hAnsi="Arial"/>
                <w:color w:val="000000"/>
                <w:sz w:val="20"/>
              </w:rPr>
              <w:t>والتراث</w:t>
            </w:r>
            <w:r w:rsidRPr="00071A3C">
              <w:rPr>
                <w:rFonts w:ascii="Arial" w:hAnsi="Arial"/>
                <w:color w:val="000000"/>
                <w:sz w:val="20"/>
                <w:lang w:val="fr-FR"/>
              </w:rPr>
              <w:t xml:space="preserve"> / Association des lauréats de l’Institut national des sciences de l’archéologie et du patrimoine – ALINSAP</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Marruecos</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13">
              <w:r w:rsidR="004613A4">
                <w:rPr>
                  <w:rStyle w:val="Hyperlink"/>
                  <w:rFonts w:ascii="Arial" w:hAnsi="Arial"/>
                  <w:sz w:val="20"/>
                </w:rPr>
                <w:t>NGO-90345</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fr-FR"/>
              </w:rPr>
            </w:pPr>
            <w:r w:rsidRPr="00071A3C">
              <w:rPr>
                <w:rFonts w:ascii="Arial" w:hAnsi="Arial"/>
                <w:color w:val="000000"/>
                <w:sz w:val="20"/>
                <w:lang w:val="fr-FR"/>
              </w:rPr>
              <w:t>Association mauritanienne pour la sauvegarde du patrimoine culturel immatériel – AMS – PCI</w:t>
            </w:r>
            <w:r w:rsidRPr="00071A3C">
              <w:rPr>
                <w:lang w:val="fr-FR"/>
              </w:rPr>
              <w:tab/>
            </w:r>
          </w:p>
        </w:tc>
        <w:tc>
          <w:tcPr>
            <w:tcW w:w="938" w:type="pct"/>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Mauritania</w:t>
            </w:r>
          </w:p>
        </w:tc>
        <w:tc>
          <w:tcPr>
            <w:tcW w:w="780" w:type="pct"/>
            <w:shd w:val="clear" w:color="auto" w:fill="auto"/>
          </w:tcPr>
          <w:p w:rsidR="004320AE" w:rsidRPr="004464EB" w:rsidRDefault="00B52550" w:rsidP="007E0B25">
            <w:pPr>
              <w:spacing w:before="60" w:after="60"/>
              <w:rPr>
                <w:rFonts w:ascii="Arial" w:hAnsi="Arial" w:cs="Arial"/>
                <w:color w:val="000000"/>
                <w:sz w:val="20"/>
                <w:szCs w:val="20"/>
              </w:rPr>
            </w:pPr>
            <w:hyperlink r:id="rId14">
              <w:r w:rsidR="004613A4">
                <w:rPr>
                  <w:rStyle w:val="Hyperlink"/>
                  <w:rFonts w:ascii="Arial" w:hAnsi="Arial"/>
                  <w:sz w:val="20"/>
                </w:rPr>
                <w:t>NGO-90347</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en-US"/>
              </w:rPr>
            </w:pPr>
            <w:r w:rsidRPr="00071A3C">
              <w:rPr>
                <w:rFonts w:ascii="Arial" w:hAnsi="Arial"/>
                <w:color w:val="000000"/>
                <w:sz w:val="20"/>
                <w:lang w:val="en-US"/>
              </w:rPr>
              <w:t>Bund Heimat und Umwelt in Deutschland, Bundesverband für Kultur, Natur und Heimat e.V / Federal Organisation of the Local Heritage Organisations in Germany</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Alemania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15">
              <w:r w:rsidR="004613A4">
                <w:rPr>
                  <w:rStyle w:val="Hyperlink"/>
                  <w:rFonts w:ascii="Arial" w:hAnsi="Arial"/>
                  <w:sz w:val="20"/>
                </w:rPr>
                <w:t>NGO-90353</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Centro Albert Marinus</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Bélgica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16">
              <w:r w:rsidR="004613A4">
                <w:rPr>
                  <w:rStyle w:val="Hyperlink"/>
                  <w:rFonts w:ascii="Arial" w:hAnsi="Arial"/>
                  <w:sz w:val="20"/>
                </w:rPr>
                <w:t>NGO-90330</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en-US"/>
              </w:rPr>
            </w:pPr>
            <w:r>
              <w:rPr>
                <w:rFonts w:ascii="Gulim" w:hAnsi="Gulim" w:hint="eastAsia"/>
                <w:color w:val="000000"/>
                <w:sz w:val="20"/>
              </w:rPr>
              <w:t>무형문화연구소</w:t>
            </w:r>
            <w:r w:rsidRPr="00071A3C">
              <w:rPr>
                <w:rFonts w:ascii="Gulim" w:hAnsi="Gulim"/>
                <w:color w:val="000000"/>
                <w:sz w:val="20"/>
                <w:lang w:val="en-US"/>
              </w:rPr>
              <w:t xml:space="preserve"> / </w:t>
            </w:r>
            <w:r w:rsidRPr="00071A3C">
              <w:rPr>
                <w:rFonts w:ascii="Arial" w:hAnsi="Arial"/>
                <w:color w:val="000000"/>
                <w:sz w:val="20"/>
                <w:lang w:val="en-US"/>
              </w:rPr>
              <w:t>The Center for Intangible Culture Studies – CICS</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República de Corea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17">
              <w:r w:rsidR="004613A4">
                <w:rPr>
                  <w:rStyle w:val="Hyperlink"/>
                  <w:rFonts w:ascii="Arial" w:hAnsi="Arial"/>
                  <w:sz w:val="20"/>
                </w:rPr>
                <w:t>NGO-90336</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fr-FR"/>
              </w:rPr>
            </w:pPr>
            <w:r w:rsidRPr="00071A3C">
              <w:rPr>
                <w:rFonts w:ascii="Arial" w:hAnsi="Arial"/>
                <w:color w:val="000000"/>
                <w:sz w:val="20"/>
                <w:lang w:val="fr-FR"/>
              </w:rPr>
              <w:t>Ensemble artistique et culturel TOWARA – EAC</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Benín</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18">
              <w:r w:rsidR="004613A4">
                <w:rPr>
                  <w:rStyle w:val="Hyperlink"/>
                  <w:rFonts w:ascii="Arial" w:hAnsi="Arial"/>
                  <w:sz w:val="20"/>
                </w:rPr>
                <w:t>NGO-90346</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en-US"/>
              </w:rPr>
            </w:pPr>
            <w:r w:rsidRPr="00071A3C">
              <w:rPr>
                <w:rFonts w:ascii="Arial" w:hAnsi="Arial"/>
                <w:color w:val="000000"/>
                <w:sz w:val="20"/>
                <w:lang w:val="en-US"/>
              </w:rPr>
              <w:t>Forbundet KYSTEN / The Norwegian Coastal Federation</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Noruega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19">
              <w:r w:rsidR="004613A4">
                <w:rPr>
                  <w:rStyle w:val="Hyperlink"/>
                  <w:rFonts w:ascii="Arial" w:hAnsi="Arial"/>
                  <w:sz w:val="20"/>
                </w:rPr>
                <w:t>NGO-90349</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lastRenderedPageBreak/>
              <w:t>Heritage Crafts Association</w:t>
            </w:r>
          </w:p>
        </w:tc>
        <w:tc>
          <w:tcPr>
            <w:tcW w:w="938" w:type="pct"/>
          </w:tcPr>
          <w:p w:rsidR="004320AE" w:rsidRPr="004464EB" w:rsidRDefault="000A7303" w:rsidP="007E0B25">
            <w:pPr>
              <w:spacing w:before="60" w:after="60"/>
              <w:rPr>
                <w:rFonts w:ascii="Arial" w:hAnsi="Arial" w:cs="Arial"/>
                <w:color w:val="000000"/>
                <w:sz w:val="20"/>
                <w:szCs w:val="20"/>
              </w:rPr>
            </w:pPr>
            <w:r w:rsidRPr="000A7303">
              <w:rPr>
                <w:rFonts w:ascii="Arial" w:hAnsi="Arial"/>
                <w:color w:val="000000"/>
                <w:sz w:val="20"/>
              </w:rPr>
              <w:t>Reino Unido de Gran Bretaña e Irlanda del Norte</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20">
              <w:r w:rsidR="004613A4">
                <w:rPr>
                  <w:rStyle w:val="Hyperlink"/>
                  <w:rFonts w:ascii="Arial" w:hAnsi="Arial"/>
                  <w:sz w:val="20"/>
                </w:rPr>
                <w:t>NGO-90323</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Institut Occitan d’Aquitaine</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Francia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21">
              <w:r w:rsidR="004613A4">
                <w:rPr>
                  <w:rStyle w:val="Hyperlink"/>
                  <w:rFonts w:ascii="Arial" w:hAnsi="Arial"/>
                  <w:sz w:val="20"/>
                </w:rPr>
                <w:t>NGO-90319</w:t>
              </w:r>
            </w:hyperlink>
          </w:p>
        </w:tc>
      </w:tr>
      <w:tr w:rsidR="004320AE" w:rsidRPr="008D4F55" w:rsidTr="00A4422C">
        <w:trPr>
          <w:cantSplit/>
        </w:trPr>
        <w:tc>
          <w:tcPr>
            <w:tcW w:w="3282" w:type="pct"/>
            <w:shd w:val="clear" w:color="auto" w:fill="auto"/>
          </w:tcPr>
          <w:p w:rsidR="004320AE" w:rsidRPr="003921A5" w:rsidRDefault="004320AE" w:rsidP="007E0B25">
            <w:pPr>
              <w:spacing w:before="60" w:after="60"/>
              <w:rPr>
                <w:rFonts w:ascii="Arial" w:hAnsi="Arial" w:cs="Arial"/>
                <w:color w:val="000000"/>
                <w:sz w:val="20"/>
                <w:szCs w:val="20"/>
              </w:rPr>
            </w:pPr>
            <w:r>
              <w:rPr>
                <w:rFonts w:ascii="Arial" w:hAnsi="Arial"/>
                <w:color w:val="000000"/>
                <w:sz w:val="20"/>
              </w:rPr>
              <w:t>International Association of Paremiology – IAP / Associação Internacional de Paremiologia</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Portugal</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22">
              <w:r w:rsidR="004613A4">
                <w:rPr>
                  <w:rStyle w:val="Hyperlink"/>
                  <w:rFonts w:ascii="Arial" w:hAnsi="Arial"/>
                  <w:sz w:val="20"/>
                </w:rPr>
                <w:t>NGO-90322</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fr-FR"/>
              </w:rPr>
            </w:pPr>
            <w:r w:rsidRPr="00071A3C">
              <w:rPr>
                <w:rFonts w:ascii="Arial" w:hAnsi="Arial"/>
                <w:color w:val="000000"/>
                <w:sz w:val="20"/>
                <w:lang w:val="fr-FR"/>
              </w:rPr>
              <w:t xml:space="preserve"> </w:t>
            </w:r>
            <w:r>
              <w:rPr>
                <w:rFonts w:ascii="Arial" w:hAnsi="Arial"/>
                <w:color w:val="000000"/>
                <w:sz w:val="20"/>
              </w:rPr>
              <w:t>الجمعية</w:t>
            </w:r>
            <w:r w:rsidRPr="00071A3C">
              <w:rPr>
                <w:rFonts w:ascii="Arial" w:hAnsi="Arial"/>
                <w:color w:val="000000"/>
                <w:sz w:val="20"/>
                <w:lang w:val="fr-FR"/>
              </w:rPr>
              <w:t xml:space="preserve"> </w:t>
            </w:r>
            <w:r>
              <w:rPr>
                <w:rFonts w:ascii="Arial" w:hAnsi="Arial"/>
                <w:color w:val="000000"/>
                <w:sz w:val="20"/>
              </w:rPr>
              <w:t>الموريتانية</w:t>
            </w:r>
            <w:r w:rsidRPr="00071A3C">
              <w:rPr>
                <w:rFonts w:ascii="Arial" w:hAnsi="Arial"/>
                <w:color w:val="000000"/>
                <w:sz w:val="20"/>
                <w:lang w:val="fr-FR"/>
              </w:rPr>
              <w:t xml:space="preserve"> </w:t>
            </w:r>
            <w:r>
              <w:rPr>
                <w:rFonts w:ascii="Arial" w:hAnsi="Arial"/>
                <w:color w:val="000000"/>
                <w:sz w:val="20"/>
              </w:rPr>
              <w:t>للمأثورات</w:t>
            </w:r>
            <w:r w:rsidRPr="00071A3C">
              <w:rPr>
                <w:rFonts w:ascii="Arial" w:hAnsi="Arial"/>
                <w:color w:val="000000"/>
                <w:sz w:val="20"/>
                <w:lang w:val="fr-FR"/>
              </w:rPr>
              <w:t xml:space="preserve"> </w:t>
            </w:r>
            <w:r>
              <w:rPr>
                <w:rFonts w:ascii="Arial" w:hAnsi="Arial"/>
                <w:color w:val="000000"/>
                <w:sz w:val="20"/>
              </w:rPr>
              <w:t>الشعبية</w:t>
            </w:r>
            <w:r w:rsidRPr="00071A3C">
              <w:rPr>
                <w:rFonts w:ascii="Arial" w:hAnsi="Arial"/>
                <w:color w:val="000000"/>
                <w:sz w:val="20"/>
                <w:lang w:val="fr-FR"/>
              </w:rPr>
              <w:t xml:space="preserve"> / Association mauritanienne pour les traditions populaires (AMTP)</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Mauritania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23">
              <w:r w:rsidR="004613A4">
                <w:rPr>
                  <w:rStyle w:val="Hyperlink"/>
                  <w:rFonts w:ascii="Arial" w:hAnsi="Arial"/>
                  <w:sz w:val="20"/>
                </w:rPr>
                <w:t>NGO-90343</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fr-FR"/>
              </w:rPr>
            </w:pPr>
            <w:r w:rsidRPr="00071A3C">
              <w:rPr>
                <w:rFonts w:ascii="Arial" w:hAnsi="Arial"/>
                <w:color w:val="000000"/>
                <w:sz w:val="20"/>
                <w:lang w:val="fr-FR"/>
              </w:rPr>
              <w:t>Maison de la Métallurgie et de l’Industrie de Liège – MMIL</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Bélgica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24">
              <w:r w:rsidR="004613A4">
                <w:rPr>
                  <w:rStyle w:val="Hyperlink"/>
                  <w:rFonts w:ascii="Arial" w:hAnsi="Arial"/>
                  <w:sz w:val="20"/>
                </w:rPr>
                <w:t>NGO-90324</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en-US"/>
              </w:rPr>
            </w:pPr>
            <w:r w:rsidRPr="00071A3C">
              <w:rPr>
                <w:rFonts w:ascii="Arial" w:hAnsi="Arial"/>
                <w:color w:val="000000"/>
                <w:sz w:val="20"/>
                <w:lang w:val="en-US"/>
              </w:rPr>
              <w:t>Norsk Folkemuseum, Norsk etnologisk gransking (NF/NEG) /</w:t>
            </w:r>
            <w:r w:rsidRPr="00071A3C">
              <w:rPr>
                <w:rFonts w:ascii="Arial" w:hAnsi="Arial" w:cs="Arial"/>
                <w:color w:val="000000"/>
                <w:sz w:val="20"/>
                <w:szCs w:val="20"/>
                <w:lang w:val="en-US"/>
              </w:rPr>
              <w:br/>
            </w:r>
            <w:r w:rsidRPr="00071A3C">
              <w:rPr>
                <w:rFonts w:ascii="Arial" w:hAnsi="Arial"/>
                <w:color w:val="000000"/>
                <w:sz w:val="20"/>
                <w:lang w:val="en-US"/>
              </w:rPr>
              <w:t>Norwegian Ethnological Research</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Noruega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25">
              <w:r w:rsidR="004613A4">
                <w:rPr>
                  <w:rStyle w:val="Hyperlink"/>
                  <w:rFonts w:ascii="Arial" w:hAnsi="Arial"/>
                  <w:sz w:val="20"/>
                </w:rPr>
                <w:t>NGO-90281</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fr-FR"/>
              </w:rPr>
            </w:pPr>
            <w:r w:rsidRPr="00071A3C">
              <w:rPr>
                <w:rFonts w:ascii="Arial" w:hAnsi="Arial"/>
                <w:color w:val="000000"/>
                <w:sz w:val="20"/>
                <w:lang w:val="fr-FR"/>
              </w:rPr>
              <w:t>Patrimoine du Musée International du Carnaval et du Masque</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Bélgica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26">
              <w:r w:rsidR="004613A4">
                <w:rPr>
                  <w:rStyle w:val="Hyperlink"/>
                  <w:rFonts w:ascii="Arial" w:hAnsi="Arial"/>
                  <w:sz w:val="20"/>
                </w:rPr>
                <w:t>NGO-90329</w:t>
              </w:r>
            </w:hyperlink>
          </w:p>
        </w:tc>
      </w:tr>
      <w:tr w:rsidR="004320AE" w:rsidRPr="008D4F55" w:rsidTr="00A4422C">
        <w:trPr>
          <w:cantSplit/>
        </w:trPr>
        <w:tc>
          <w:tcPr>
            <w:tcW w:w="3282" w:type="pct"/>
            <w:shd w:val="clear" w:color="auto" w:fill="auto"/>
          </w:tcPr>
          <w:p w:rsidR="004320AE" w:rsidRPr="00071A3C" w:rsidRDefault="004320AE" w:rsidP="007E0B25">
            <w:pPr>
              <w:spacing w:before="60" w:after="60"/>
              <w:rPr>
                <w:rFonts w:ascii="Arial" w:hAnsi="Arial" w:cs="Arial"/>
                <w:color w:val="000000"/>
                <w:sz w:val="20"/>
                <w:szCs w:val="20"/>
                <w:lang w:val="en-US"/>
              </w:rPr>
            </w:pPr>
            <w:r w:rsidRPr="00071A3C">
              <w:rPr>
                <w:rFonts w:ascii="Arial" w:hAnsi="Arial"/>
                <w:color w:val="000000"/>
                <w:sz w:val="20"/>
                <w:lang w:val="en-US"/>
              </w:rPr>
              <w:t>Public Fund Aigine Cultural Research Center – Aigine CRC</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Kirguistán</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27">
              <w:r w:rsidR="004613A4">
                <w:rPr>
                  <w:rStyle w:val="Hyperlink"/>
                  <w:rFonts w:ascii="Arial" w:hAnsi="Arial"/>
                  <w:sz w:val="20"/>
                </w:rPr>
                <w:t>NGO-90335</w:t>
              </w:r>
            </w:hyperlink>
          </w:p>
        </w:tc>
      </w:tr>
      <w:tr w:rsidR="004320AE" w:rsidRPr="008D4F55" w:rsidTr="00A4422C">
        <w:trPr>
          <w:cantSplit/>
        </w:trPr>
        <w:tc>
          <w:tcPr>
            <w:tcW w:w="3282" w:type="pct"/>
            <w:shd w:val="clear" w:color="auto" w:fill="auto"/>
          </w:tcPr>
          <w:p w:rsidR="004320AE" w:rsidRPr="006009F1" w:rsidRDefault="004320AE" w:rsidP="007E0B25">
            <w:pPr>
              <w:spacing w:before="60" w:after="60"/>
              <w:rPr>
                <w:rFonts w:ascii="Arial" w:hAnsi="Arial" w:cs="Arial"/>
                <w:color w:val="000000"/>
                <w:sz w:val="20"/>
                <w:szCs w:val="20"/>
              </w:rPr>
            </w:pPr>
            <w:r>
              <w:rPr>
                <w:rFonts w:ascii="Mangal" w:hAnsi="Mangal"/>
                <w:color w:val="000000"/>
                <w:sz w:val="20"/>
              </w:rPr>
              <w:t>श्रेए</w:t>
            </w:r>
            <w:r>
              <w:rPr>
                <w:rFonts w:ascii="Arial" w:hAnsi="Arial"/>
                <w:color w:val="000000"/>
                <w:sz w:val="20"/>
              </w:rPr>
              <w:t xml:space="preserve"> </w:t>
            </w:r>
            <w:r>
              <w:rPr>
                <w:rFonts w:ascii="Mangal" w:hAnsi="Mangal"/>
                <w:color w:val="000000"/>
                <w:sz w:val="20"/>
              </w:rPr>
              <w:t>हनुमान</w:t>
            </w:r>
            <w:r>
              <w:rPr>
                <w:rFonts w:ascii="Arial" w:hAnsi="Arial"/>
                <w:color w:val="000000"/>
                <w:sz w:val="20"/>
              </w:rPr>
              <w:t xml:space="preserve"> </w:t>
            </w:r>
            <w:r>
              <w:rPr>
                <w:rFonts w:ascii="Mangal" w:hAnsi="Mangal"/>
                <w:color w:val="000000"/>
                <w:sz w:val="20"/>
              </w:rPr>
              <w:t>व्यायाम</w:t>
            </w:r>
            <w:r>
              <w:rPr>
                <w:rFonts w:ascii="Arial" w:hAnsi="Arial"/>
                <w:color w:val="000000"/>
                <w:sz w:val="20"/>
              </w:rPr>
              <w:t xml:space="preserve"> </w:t>
            </w:r>
            <w:r>
              <w:rPr>
                <w:rFonts w:ascii="Mangal" w:hAnsi="Mangal"/>
                <w:color w:val="000000"/>
                <w:sz w:val="20"/>
              </w:rPr>
              <w:t>प्रसरक</w:t>
            </w:r>
            <w:r>
              <w:rPr>
                <w:rFonts w:ascii="Arial" w:hAnsi="Arial"/>
                <w:color w:val="000000"/>
                <w:sz w:val="20"/>
              </w:rPr>
              <w:t xml:space="preserve"> </w:t>
            </w:r>
            <w:r>
              <w:rPr>
                <w:rFonts w:ascii="Mangal" w:hAnsi="Mangal"/>
                <w:color w:val="000000"/>
                <w:sz w:val="20"/>
              </w:rPr>
              <w:t>मन्दल्</w:t>
            </w:r>
            <w:r>
              <w:rPr>
                <w:rFonts w:ascii="Arial" w:hAnsi="Arial"/>
                <w:color w:val="000000"/>
                <w:sz w:val="20"/>
              </w:rPr>
              <w:t xml:space="preserve"> / Shree Hanuman Vyayam Prasarak Mandal</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India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28">
              <w:r w:rsidR="004613A4">
                <w:rPr>
                  <w:rStyle w:val="Hyperlink"/>
                  <w:rFonts w:ascii="Arial" w:hAnsi="Arial"/>
                  <w:sz w:val="20"/>
                </w:rPr>
                <w:t>NGO-90321</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Société française d’Ethnoscénologie (SOFETH)</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Francia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29">
              <w:r w:rsidR="004613A4">
                <w:rPr>
                  <w:rStyle w:val="Hyperlink"/>
                  <w:rFonts w:ascii="Arial" w:hAnsi="Arial"/>
                  <w:sz w:val="20"/>
                </w:rPr>
                <w:t>NGO-90314</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Starpnozaru mākslas grupa SERDE / Interdisciplinary Art Group SERDE</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Letonia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30">
              <w:r w:rsidR="004613A4">
                <w:rPr>
                  <w:rStyle w:val="Hyperlink"/>
                  <w:rFonts w:ascii="Arial" w:hAnsi="Arial"/>
                  <w:sz w:val="20"/>
                </w:rPr>
                <w:t>NGO-90356</w:t>
              </w:r>
            </w:hyperlink>
          </w:p>
        </w:tc>
      </w:tr>
      <w:tr w:rsidR="004320AE" w:rsidRPr="008D4F55" w:rsidTr="00A4422C">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Tribal Cultural Society</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India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31">
              <w:r w:rsidR="004613A4">
                <w:rPr>
                  <w:rStyle w:val="Hyperlink"/>
                  <w:rFonts w:ascii="Arial" w:hAnsi="Arial"/>
                  <w:sz w:val="20"/>
                </w:rPr>
                <w:t>NGO-90361</w:t>
              </w:r>
            </w:hyperlink>
          </w:p>
        </w:tc>
      </w:tr>
      <w:tr w:rsidR="004320AE" w:rsidRPr="008D4F55" w:rsidTr="00A4422C">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Европейска Асоциация на Фолклорните Фестивали /</w:t>
            </w:r>
            <w:r>
              <w:rPr>
                <w:rFonts w:ascii="Arial" w:hAnsi="Arial" w:cs="Arial"/>
                <w:color w:val="000000"/>
                <w:sz w:val="20"/>
                <w:szCs w:val="20"/>
              </w:rPr>
              <w:br/>
            </w:r>
            <w:r>
              <w:rPr>
                <w:rFonts w:ascii="Arial" w:hAnsi="Arial"/>
                <w:color w:val="000000"/>
                <w:sz w:val="20"/>
              </w:rPr>
              <w:t>European Association of Folklore Festivals</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Bulgaria</w:t>
            </w:r>
          </w:p>
        </w:tc>
        <w:tc>
          <w:tcPr>
            <w:tcW w:w="780" w:type="pct"/>
            <w:shd w:val="clear" w:color="auto" w:fill="auto"/>
          </w:tcPr>
          <w:p w:rsidR="004320AE" w:rsidRPr="008D4F55" w:rsidRDefault="00B52550" w:rsidP="007E0B25">
            <w:pPr>
              <w:spacing w:before="60" w:after="60"/>
              <w:rPr>
                <w:rFonts w:ascii="Arial" w:hAnsi="Arial" w:cs="Arial"/>
                <w:color w:val="000000"/>
                <w:sz w:val="20"/>
                <w:szCs w:val="20"/>
              </w:rPr>
            </w:pPr>
            <w:hyperlink r:id="rId32">
              <w:r w:rsidR="004613A4">
                <w:rPr>
                  <w:rStyle w:val="Hyperlink"/>
                  <w:rFonts w:ascii="Arial" w:hAnsi="Arial"/>
                  <w:sz w:val="20"/>
                </w:rPr>
                <w:t>NGO-90338</w:t>
              </w:r>
            </w:hyperlink>
          </w:p>
        </w:tc>
      </w:tr>
    </w:tbl>
    <w:p w:rsidR="00606D0E" w:rsidRDefault="00606D0E" w:rsidP="004320AE">
      <w:pPr>
        <w:pStyle w:val="GAParaResolution"/>
        <w:numPr>
          <w:ilvl w:val="0"/>
          <w:numId w:val="0"/>
        </w:numPr>
      </w:pPr>
    </w:p>
    <w:sectPr w:rsidR="00606D0E" w:rsidSect="00655736">
      <w:headerReference w:type="even" r:id="rId33"/>
      <w:headerReference w:type="default" r:id="rId34"/>
      <w:headerReference w:type="first" r:id="rId3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3A4" w:rsidRDefault="004613A4" w:rsidP="00655736">
      <w:r>
        <w:separator/>
      </w:r>
    </w:p>
  </w:endnote>
  <w:endnote w:type="continuationSeparator" w:id="0">
    <w:p w:rsidR="004613A4" w:rsidRDefault="004613A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3A4" w:rsidRDefault="004613A4" w:rsidP="00655736">
      <w:r>
        <w:separator/>
      </w:r>
    </w:p>
  </w:footnote>
  <w:footnote w:type="continuationSeparator" w:id="0">
    <w:p w:rsidR="004613A4" w:rsidRDefault="004613A4"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C23A97" w:rsidRDefault="00763A0D">
    <w:pPr>
      <w:pStyle w:val="Header"/>
      <w:rPr>
        <w:rFonts w:ascii="Arial" w:hAnsi="Arial" w:cs="Arial"/>
      </w:rPr>
    </w:pPr>
    <w:r>
      <w:rPr>
        <w:rFonts w:ascii="Arial" w:hAnsi="Arial"/>
        <w:sz w:val="20"/>
      </w:rPr>
      <w:t xml:space="preserve">ITH/16/6.GA/8 – página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B52550">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63300C" w:rsidRDefault="004A34A0" w:rsidP="0063300C">
    <w:pPr>
      <w:pStyle w:val="Header"/>
      <w:jc w:val="right"/>
      <w:rPr>
        <w:rFonts w:ascii="Arial" w:hAnsi="Arial" w:cs="Arial"/>
      </w:rPr>
    </w:pPr>
    <w:r>
      <w:rPr>
        <w:rFonts w:ascii="Arial" w:hAnsi="Arial"/>
        <w:sz w:val="20"/>
      </w:rPr>
      <w:t xml:space="preserve">ITH/14/6.GA/8 – página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B52550">
      <w:rPr>
        <w:rStyle w:val="PageNumber"/>
        <w:rFonts w:ascii="Arial" w:hAnsi="Arial" w:cs="Arial"/>
        <w:noProof/>
        <w:sz w:val="20"/>
        <w:szCs w:val="20"/>
      </w:rPr>
      <w:t>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8724E5" w:rsidRDefault="0047025E">
    <w:pPr>
      <w:pStyle w:val="Header"/>
    </w:pPr>
    <w:r>
      <w:rPr>
        <w:noProof/>
        <w:lang w:val="fr-FR" w:eastAsia="fr-FR" w:bidi="ar-SA"/>
      </w:rPr>
      <w:drawing>
        <wp:anchor distT="0" distB="0" distL="114300" distR="114300" simplePos="0" relativeHeight="251659776" behindDoc="1" locked="0" layoutInCell="1" allowOverlap="1" wp14:anchorId="4CCB3618" wp14:editId="2AE71ECC">
          <wp:simplePos x="0" y="0"/>
          <wp:positionH relativeFrom="column">
            <wp:posOffset>-487680</wp:posOffset>
          </wp:positionH>
          <wp:positionV relativeFrom="paragraph">
            <wp:posOffset>-31750</wp:posOffset>
          </wp:positionV>
          <wp:extent cx="2133600" cy="1438275"/>
          <wp:effectExtent l="0" t="0" r="0" b="9525"/>
          <wp:wrapNone/>
          <wp:docPr id="1"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33600" cy="1438275"/>
                  </a:xfrm>
                  <a:prstGeom prst="rect">
                    <a:avLst/>
                  </a:prstGeom>
                  <a:noFill/>
                  <a:ln w="9525">
                    <a:noFill/>
                    <a:miter lim="800000"/>
                    <a:headEnd/>
                    <a:tailEnd/>
                  </a:ln>
                </pic:spPr>
              </pic:pic>
            </a:graphicData>
          </a:graphic>
        </wp:anchor>
      </w:drawing>
    </w:r>
  </w:p>
  <w:p w:rsidR="00D95C4C" w:rsidRPr="00291EC9" w:rsidRDefault="00763A0D" w:rsidP="00655736">
    <w:pPr>
      <w:pStyle w:val="Header"/>
      <w:spacing w:after="520"/>
      <w:jc w:val="right"/>
      <w:rPr>
        <w:rFonts w:ascii="Arial" w:hAnsi="Arial" w:cs="Arial"/>
        <w:b/>
        <w:sz w:val="44"/>
        <w:szCs w:val="44"/>
      </w:rPr>
    </w:pPr>
    <w:r>
      <w:rPr>
        <w:rFonts w:ascii="Arial" w:hAnsi="Arial"/>
        <w:b/>
        <w:sz w:val="44"/>
      </w:rPr>
      <w:t>6 GA</w:t>
    </w:r>
  </w:p>
  <w:p w:rsidR="00D95C4C" w:rsidRPr="00291EC9" w:rsidRDefault="00763A0D" w:rsidP="00655736">
    <w:pPr>
      <w:jc w:val="right"/>
      <w:rPr>
        <w:rFonts w:ascii="Arial" w:hAnsi="Arial" w:cs="Arial"/>
        <w:b/>
        <w:sz w:val="22"/>
        <w:szCs w:val="22"/>
      </w:rPr>
    </w:pPr>
    <w:r>
      <w:rPr>
        <w:rFonts w:ascii="Arial" w:hAnsi="Arial"/>
        <w:b/>
        <w:sz w:val="22"/>
      </w:rPr>
      <w:t>ITH/16/6.GA/8</w:t>
    </w:r>
  </w:p>
  <w:p w:rsidR="00D95C4C" w:rsidRPr="00291EC9" w:rsidRDefault="00D95C4C" w:rsidP="00655736">
    <w:pPr>
      <w:jc w:val="right"/>
      <w:rPr>
        <w:rFonts w:ascii="Arial" w:hAnsi="Arial" w:cs="Arial"/>
        <w:b/>
        <w:sz w:val="22"/>
        <w:szCs w:val="22"/>
      </w:rPr>
    </w:pPr>
    <w:r>
      <w:rPr>
        <w:rFonts w:ascii="Arial" w:hAnsi="Arial"/>
        <w:b/>
        <w:sz w:val="22"/>
      </w:rPr>
      <w:t xml:space="preserve">París, </w:t>
    </w:r>
    <w:r w:rsidR="000A7303">
      <w:rPr>
        <w:rFonts w:ascii="Arial" w:hAnsi="Arial"/>
        <w:b/>
        <w:sz w:val="22"/>
      </w:rPr>
      <w:t>29 de abril</w:t>
    </w:r>
    <w:r>
      <w:rPr>
        <w:rFonts w:ascii="Arial" w:hAnsi="Arial"/>
        <w:b/>
        <w:sz w:val="22"/>
      </w:rPr>
      <w:t xml:space="preserve"> </w:t>
    </w:r>
    <w:r w:rsidR="00C25E0B">
      <w:rPr>
        <w:rFonts w:ascii="Arial" w:hAnsi="Arial"/>
        <w:b/>
        <w:sz w:val="22"/>
      </w:rPr>
      <w:t xml:space="preserve">de </w:t>
    </w:r>
    <w:r>
      <w:rPr>
        <w:rFonts w:ascii="Arial" w:hAnsi="Arial"/>
        <w:b/>
        <w:sz w:val="22"/>
      </w:rPr>
      <w:t>2016</w:t>
    </w:r>
  </w:p>
  <w:p w:rsidR="00D95C4C" w:rsidRPr="00C23A97" w:rsidRDefault="00D95C4C" w:rsidP="000048ED">
    <w:pPr>
      <w:jc w:val="right"/>
      <w:rPr>
        <w:rFonts w:ascii="Arial" w:hAnsi="Arial" w:cs="Arial"/>
        <w:b/>
        <w:sz w:val="22"/>
        <w:szCs w:val="22"/>
      </w:rPr>
    </w:pPr>
    <w:r>
      <w:rPr>
        <w:rFonts w:ascii="Arial" w:hAnsi="Arial"/>
        <w:b/>
        <w:sz w:val="22"/>
      </w:rPr>
      <w:t>Original: Inglés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hint="default"/>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num w:numId="1">
    <w:abstractNumId w:val="10"/>
  </w:num>
  <w:num w:numId="2">
    <w:abstractNumId w:val="5"/>
  </w:num>
  <w:num w:numId="3">
    <w:abstractNumId w:val="2"/>
  </w:num>
  <w:num w:numId="4">
    <w:abstractNumId w:val="12"/>
  </w:num>
  <w:num w:numId="5">
    <w:abstractNumId w:val="11"/>
  </w:num>
  <w:num w:numId="6">
    <w:abstractNumId w:val="1"/>
  </w:num>
  <w:num w:numId="7">
    <w:abstractNumId w:val="3"/>
  </w:num>
  <w:num w:numId="8">
    <w:abstractNumId w:val="9"/>
  </w:num>
  <w:num w:numId="9">
    <w:abstractNumId w:val="4"/>
  </w:num>
  <w:num w:numId="10">
    <w:abstractNumId w:val="6"/>
  </w:num>
  <w:num w:numId="11">
    <w:abstractNumId w:val="8"/>
  </w:num>
  <w:num w:numId="12">
    <w:abstractNumId w:val="7"/>
  </w:num>
  <w:num w:numId="13">
    <w:abstractNumId w:val="13"/>
  </w:num>
  <w:num w:numId="14">
    <w:abstractNumId w:val="0"/>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0FE5"/>
    <w:rsid w:val="000048ED"/>
    <w:rsid w:val="00025A19"/>
    <w:rsid w:val="00033568"/>
    <w:rsid w:val="00041A66"/>
    <w:rsid w:val="00044594"/>
    <w:rsid w:val="00051692"/>
    <w:rsid w:val="0005176E"/>
    <w:rsid w:val="000527A1"/>
    <w:rsid w:val="0006199B"/>
    <w:rsid w:val="00071A3C"/>
    <w:rsid w:val="000765F7"/>
    <w:rsid w:val="00077AB7"/>
    <w:rsid w:val="00081CD8"/>
    <w:rsid w:val="00082D68"/>
    <w:rsid w:val="000A7303"/>
    <w:rsid w:val="000A7F0E"/>
    <w:rsid w:val="000C0D61"/>
    <w:rsid w:val="000D1031"/>
    <w:rsid w:val="000D78BD"/>
    <w:rsid w:val="000E5E47"/>
    <w:rsid w:val="000F3A3F"/>
    <w:rsid w:val="000F63F0"/>
    <w:rsid w:val="00102557"/>
    <w:rsid w:val="00117D5E"/>
    <w:rsid w:val="001222C9"/>
    <w:rsid w:val="0012302E"/>
    <w:rsid w:val="0013421A"/>
    <w:rsid w:val="00141FA8"/>
    <w:rsid w:val="0015568C"/>
    <w:rsid w:val="00164D56"/>
    <w:rsid w:val="00167B10"/>
    <w:rsid w:val="0017402F"/>
    <w:rsid w:val="001766C1"/>
    <w:rsid w:val="001825DA"/>
    <w:rsid w:val="00184263"/>
    <w:rsid w:val="00196C1B"/>
    <w:rsid w:val="00197D31"/>
    <w:rsid w:val="001A6BA6"/>
    <w:rsid w:val="001B0F73"/>
    <w:rsid w:val="001C0FCB"/>
    <w:rsid w:val="001D5C04"/>
    <w:rsid w:val="001E305D"/>
    <w:rsid w:val="00222A2D"/>
    <w:rsid w:val="00223029"/>
    <w:rsid w:val="0023073B"/>
    <w:rsid w:val="002333E9"/>
    <w:rsid w:val="00234745"/>
    <w:rsid w:val="002407AF"/>
    <w:rsid w:val="00291EC9"/>
    <w:rsid w:val="00292F07"/>
    <w:rsid w:val="0029316B"/>
    <w:rsid w:val="002A486E"/>
    <w:rsid w:val="002C07E4"/>
    <w:rsid w:val="002C09E3"/>
    <w:rsid w:val="002C23AE"/>
    <w:rsid w:val="002C7EA2"/>
    <w:rsid w:val="002E035C"/>
    <w:rsid w:val="002E2457"/>
    <w:rsid w:val="002F0461"/>
    <w:rsid w:val="00340BE9"/>
    <w:rsid w:val="00345CB4"/>
    <w:rsid w:val="00354641"/>
    <w:rsid w:val="00362F84"/>
    <w:rsid w:val="00375DBD"/>
    <w:rsid w:val="00384612"/>
    <w:rsid w:val="003964FC"/>
    <w:rsid w:val="003D069C"/>
    <w:rsid w:val="003D539C"/>
    <w:rsid w:val="003D7646"/>
    <w:rsid w:val="003F113A"/>
    <w:rsid w:val="00414643"/>
    <w:rsid w:val="0042737F"/>
    <w:rsid w:val="004320AE"/>
    <w:rsid w:val="0043459E"/>
    <w:rsid w:val="004421E5"/>
    <w:rsid w:val="00452284"/>
    <w:rsid w:val="004613A4"/>
    <w:rsid w:val="00462872"/>
    <w:rsid w:val="0047025E"/>
    <w:rsid w:val="00472E6D"/>
    <w:rsid w:val="0048129E"/>
    <w:rsid w:val="00481CF5"/>
    <w:rsid w:val="00483D9B"/>
    <w:rsid w:val="00485181"/>
    <w:rsid w:val="004856CA"/>
    <w:rsid w:val="0049337F"/>
    <w:rsid w:val="004956FE"/>
    <w:rsid w:val="0049705E"/>
    <w:rsid w:val="004A34A0"/>
    <w:rsid w:val="004D14E5"/>
    <w:rsid w:val="004E3DBF"/>
    <w:rsid w:val="004F111E"/>
    <w:rsid w:val="00506784"/>
    <w:rsid w:val="00526B7B"/>
    <w:rsid w:val="005308CE"/>
    <w:rsid w:val="005311D4"/>
    <w:rsid w:val="00547EBE"/>
    <w:rsid w:val="005624CB"/>
    <w:rsid w:val="005664B1"/>
    <w:rsid w:val="0057439C"/>
    <w:rsid w:val="005A664A"/>
    <w:rsid w:val="005B0127"/>
    <w:rsid w:val="005B1589"/>
    <w:rsid w:val="005B7A35"/>
    <w:rsid w:val="005C4B73"/>
    <w:rsid w:val="005E1D2B"/>
    <w:rsid w:val="005F422C"/>
    <w:rsid w:val="005F5029"/>
    <w:rsid w:val="00600D93"/>
    <w:rsid w:val="00604CC8"/>
    <w:rsid w:val="00606D0E"/>
    <w:rsid w:val="00612057"/>
    <w:rsid w:val="00616596"/>
    <w:rsid w:val="00616848"/>
    <w:rsid w:val="006263C2"/>
    <w:rsid w:val="00632B76"/>
    <w:rsid w:val="0063300C"/>
    <w:rsid w:val="00646BAA"/>
    <w:rsid w:val="00655736"/>
    <w:rsid w:val="006623A1"/>
    <w:rsid w:val="00663B8D"/>
    <w:rsid w:val="006754AB"/>
    <w:rsid w:val="00680420"/>
    <w:rsid w:val="006834AE"/>
    <w:rsid w:val="00694579"/>
    <w:rsid w:val="00696C8D"/>
    <w:rsid w:val="006A2AC2"/>
    <w:rsid w:val="006A3617"/>
    <w:rsid w:val="006E46E4"/>
    <w:rsid w:val="006E5751"/>
    <w:rsid w:val="006F6834"/>
    <w:rsid w:val="007004AA"/>
    <w:rsid w:val="00713C22"/>
    <w:rsid w:val="00717DA5"/>
    <w:rsid w:val="007369F8"/>
    <w:rsid w:val="00742765"/>
    <w:rsid w:val="00744484"/>
    <w:rsid w:val="007452E5"/>
    <w:rsid w:val="007469F7"/>
    <w:rsid w:val="00763A0D"/>
    <w:rsid w:val="00773188"/>
    <w:rsid w:val="00774744"/>
    <w:rsid w:val="00780BF1"/>
    <w:rsid w:val="00783782"/>
    <w:rsid w:val="00784B8C"/>
    <w:rsid w:val="00785410"/>
    <w:rsid w:val="007A1233"/>
    <w:rsid w:val="007A7FFC"/>
    <w:rsid w:val="007C3F46"/>
    <w:rsid w:val="007C4204"/>
    <w:rsid w:val="007D00D5"/>
    <w:rsid w:val="007D7660"/>
    <w:rsid w:val="00822114"/>
    <w:rsid w:val="00823A11"/>
    <w:rsid w:val="0082786B"/>
    <w:rsid w:val="00830A43"/>
    <w:rsid w:val="00852866"/>
    <w:rsid w:val="0085414A"/>
    <w:rsid w:val="00861D17"/>
    <w:rsid w:val="0086269D"/>
    <w:rsid w:val="00864144"/>
    <w:rsid w:val="0086543A"/>
    <w:rsid w:val="008724E5"/>
    <w:rsid w:val="00884A9D"/>
    <w:rsid w:val="0088504A"/>
    <w:rsid w:val="0088512B"/>
    <w:rsid w:val="0089248D"/>
    <w:rsid w:val="00897F9F"/>
    <w:rsid w:val="008A2B2D"/>
    <w:rsid w:val="008A4E1E"/>
    <w:rsid w:val="008C296C"/>
    <w:rsid w:val="008C675B"/>
    <w:rsid w:val="008D00D2"/>
    <w:rsid w:val="008D4305"/>
    <w:rsid w:val="009163A7"/>
    <w:rsid w:val="0093073A"/>
    <w:rsid w:val="00946D0B"/>
    <w:rsid w:val="0096121A"/>
    <w:rsid w:val="00983140"/>
    <w:rsid w:val="009A18CD"/>
    <w:rsid w:val="009A206A"/>
    <w:rsid w:val="009B7EA6"/>
    <w:rsid w:val="009C53BB"/>
    <w:rsid w:val="009D3956"/>
    <w:rsid w:val="009E5B3C"/>
    <w:rsid w:val="00A12558"/>
    <w:rsid w:val="00A13903"/>
    <w:rsid w:val="00A16600"/>
    <w:rsid w:val="00A25B32"/>
    <w:rsid w:val="00A34ED5"/>
    <w:rsid w:val="00A4422C"/>
    <w:rsid w:val="00A45DBF"/>
    <w:rsid w:val="00A664C9"/>
    <w:rsid w:val="00A755A2"/>
    <w:rsid w:val="00A83451"/>
    <w:rsid w:val="00A843C9"/>
    <w:rsid w:val="00A87504"/>
    <w:rsid w:val="00AA42A2"/>
    <w:rsid w:val="00AA6660"/>
    <w:rsid w:val="00AB2C36"/>
    <w:rsid w:val="00AB70B6"/>
    <w:rsid w:val="00AD1A86"/>
    <w:rsid w:val="00AE103E"/>
    <w:rsid w:val="00AF0A07"/>
    <w:rsid w:val="00AF4AEC"/>
    <w:rsid w:val="00AF625E"/>
    <w:rsid w:val="00B10A85"/>
    <w:rsid w:val="00B2061A"/>
    <w:rsid w:val="00B31FE1"/>
    <w:rsid w:val="00B45A41"/>
    <w:rsid w:val="00B46934"/>
    <w:rsid w:val="00B52550"/>
    <w:rsid w:val="00B545E0"/>
    <w:rsid w:val="00B65D7B"/>
    <w:rsid w:val="00B66E48"/>
    <w:rsid w:val="00B70492"/>
    <w:rsid w:val="00B73345"/>
    <w:rsid w:val="00B73675"/>
    <w:rsid w:val="00BB04AF"/>
    <w:rsid w:val="00BB15C5"/>
    <w:rsid w:val="00BD0AC4"/>
    <w:rsid w:val="00BD4B34"/>
    <w:rsid w:val="00BD52C9"/>
    <w:rsid w:val="00BE1343"/>
    <w:rsid w:val="00BE1829"/>
    <w:rsid w:val="00BE6354"/>
    <w:rsid w:val="00C11227"/>
    <w:rsid w:val="00C23A97"/>
    <w:rsid w:val="00C25E0B"/>
    <w:rsid w:val="00C5054C"/>
    <w:rsid w:val="00C570C1"/>
    <w:rsid w:val="00C70EA7"/>
    <w:rsid w:val="00C7516E"/>
    <w:rsid w:val="00C75770"/>
    <w:rsid w:val="00C75C3E"/>
    <w:rsid w:val="00C870BD"/>
    <w:rsid w:val="00CB6F5C"/>
    <w:rsid w:val="00D00B2B"/>
    <w:rsid w:val="00D23934"/>
    <w:rsid w:val="00D24877"/>
    <w:rsid w:val="00D35A65"/>
    <w:rsid w:val="00D3645D"/>
    <w:rsid w:val="00D3697A"/>
    <w:rsid w:val="00D4395C"/>
    <w:rsid w:val="00D57747"/>
    <w:rsid w:val="00D6560F"/>
    <w:rsid w:val="00D86128"/>
    <w:rsid w:val="00D95C4C"/>
    <w:rsid w:val="00DA36ED"/>
    <w:rsid w:val="00DE34F1"/>
    <w:rsid w:val="00DF4942"/>
    <w:rsid w:val="00DF6881"/>
    <w:rsid w:val="00E03E28"/>
    <w:rsid w:val="00E13FC4"/>
    <w:rsid w:val="00E23744"/>
    <w:rsid w:val="00E627B1"/>
    <w:rsid w:val="00E70565"/>
    <w:rsid w:val="00E82AE7"/>
    <w:rsid w:val="00E9376C"/>
    <w:rsid w:val="00E96D8D"/>
    <w:rsid w:val="00EA335E"/>
    <w:rsid w:val="00EA528C"/>
    <w:rsid w:val="00EB2B8E"/>
    <w:rsid w:val="00EC0133"/>
    <w:rsid w:val="00EE68B4"/>
    <w:rsid w:val="00EE7FC1"/>
    <w:rsid w:val="00EF34E2"/>
    <w:rsid w:val="00F2703B"/>
    <w:rsid w:val="00F4755D"/>
    <w:rsid w:val="00F53DE9"/>
    <w:rsid w:val="00F5402C"/>
    <w:rsid w:val="00F55CAE"/>
    <w:rsid w:val="00F576CB"/>
    <w:rsid w:val="00F71A02"/>
    <w:rsid w:val="00F918F6"/>
    <w:rsid w:val="00FA5D3F"/>
    <w:rsid w:val="00FB28E9"/>
    <w:rsid w:val="00FB2A85"/>
    <w:rsid w:val="00FC2338"/>
    <w:rsid w:val="00FC2C71"/>
    <w:rsid w:val="00FD1226"/>
    <w:rsid w:val="00FE6445"/>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C2E7073-8797-46AC-B805-E2DD269A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S" w:eastAsia="es-ES" w:bidi="es-ES"/>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paragraph" w:styleId="NoSpacing">
    <w:name w:val="No Spacing"/>
    <w:uiPriority w:val="1"/>
    <w:qFormat/>
    <w:rsid w:val="00822114"/>
    <w:rPr>
      <w:rFonts w:ascii="Times New Roman" w:eastAsia="Times New Roman" w:hAnsi="Times New Roman"/>
      <w:sz w:val="24"/>
      <w:szCs w:val="24"/>
    </w:rPr>
  </w:style>
  <w:style w:type="paragraph" w:customStyle="1" w:styleId="Default">
    <w:name w:val="Default"/>
    <w:rsid w:val="004E3DBF"/>
    <w:pPr>
      <w:autoSpaceDE w:val="0"/>
      <w:autoSpaceDN w:val="0"/>
      <w:adjustRightInd w:val="0"/>
    </w:pPr>
    <w:rPr>
      <w:rFonts w:ascii="Arial" w:hAnsi="Arial" w:cs="Arial"/>
      <w:color w:val="000000"/>
      <w:sz w:val="24"/>
      <w:szCs w:val="24"/>
    </w:rPr>
  </w:style>
  <w:style w:type="character" w:styleId="Hyperlink">
    <w:name w:val="Hyperlink"/>
    <w:rsid w:val="00D35A65"/>
    <w:rPr>
      <w:color w:val="0000FF"/>
      <w:u w:val="single"/>
    </w:rPr>
  </w:style>
  <w:style w:type="paragraph" w:styleId="FootnoteText">
    <w:name w:val="footnote text"/>
    <w:basedOn w:val="Normal"/>
    <w:link w:val="FootnoteTextChar"/>
    <w:uiPriority w:val="99"/>
    <w:semiHidden/>
    <w:unhideWhenUsed/>
    <w:rsid w:val="00D35A65"/>
    <w:rPr>
      <w:sz w:val="20"/>
      <w:szCs w:val="20"/>
    </w:rPr>
  </w:style>
  <w:style w:type="character" w:customStyle="1" w:styleId="FootnoteTextChar">
    <w:name w:val="Footnote Text Char"/>
    <w:basedOn w:val="DefaultParagraphFont"/>
    <w:link w:val="FootnoteText"/>
    <w:uiPriority w:val="99"/>
    <w:semiHidden/>
    <w:rsid w:val="00D35A65"/>
    <w:rPr>
      <w:rFonts w:ascii="Times New Roman" w:eastAsia="Times New Roman" w:hAnsi="Times New Roman"/>
      <w:lang w:val="es-ES" w:eastAsia="es-ES"/>
    </w:rPr>
  </w:style>
  <w:style w:type="character" w:styleId="FootnoteReference">
    <w:name w:val="footnote reference"/>
    <w:uiPriority w:val="99"/>
    <w:semiHidden/>
    <w:unhideWhenUsed/>
    <w:rsid w:val="00D35A65"/>
    <w:rPr>
      <w:vertAlign w:val="superscript"/>
    </w:rPr>
  </w:style>
  <w:style w:type="paragraph" w:customStyle="1" w:styleId="5GAparabodytext">
    <w:name w:val="5GA para body text"/>
    <w:qFormat/>
    <w:rsid w:val="007469F7"/>
    <w:pPr>
      <w:keepNext/>
      <w:spacing w:after="120" w:line="360" w:lineRule="auto"/>
      <w:ind w:left="720" w:hanging="360"/>
    </w:pPr>
    <w:rPr>
      <w:rFonts w:ascii="Arial" w:eastAsia="Times New Roman" w:hAnsi="Arial" w:cs="Arial"/>
      <w:snapToGrid w:val="0"/>
      <w:sz w:val="22"/>
      <w:szCs w:val="22"/>
    </w:rPr>
  </w:style>
  <w:style w:type="paragraph" w:styleId="ListParagraph">
    <w:name w:val="List Paragraph"/>
    <w:basedOn w:val="Normal"/>
    <w:uiPriority w:val="34"/>
    <w:rsid w:val="0042737F"/>
    <w:pPr>
      <w:ind w:left="720"/>
      <w:contextualSpacing/>
    </w:pPr>
  </w:style>
  <w:style w:type="character" w:styleId="FollowedHyperlink">
    <w:name w:val="FollowedHyperlink"/>
    <w:basedOn w:val="DefaultParagraphFont"/>
    <w:uiPriority w:val="99"/>
    <w:semiHidden/>
    <w:unhideWhenUsed/>
    <w:rsid w:val="006623A1"/>
    <w:rPr>
      <w:color w:val="954F72" w:themeColor="followedHyperlink"/>
      <w:u w:val="single"/>
    </w:rPr>
  </w:style>
  <w:style w:type="paragraph" w:customStyle="1" w:styleId="COMPara">
    <w:name w:val="COM Para"/>
    <w:qFormat/>
    <w:rsid w:val="004320AE"/>
    <w:pPr>
      <w:spacing w:after="120"/>
      <w:ind w:left="720" w:hanging="360"/>
    </w:pPr>
    <w:rPr>
      <w:rFonts w:ascii="Arial" w:eastAsia="Times New Roman" w:hAnsi="Arial" w:cs="Arial"/>
      <w:snapToGrid w:val="0"/>
      <w:sz w:val="22"/>
      <w:szCs w:val="22"/>
    </w:rPr>
  </w:style>
  <w:style w:type="character" w:styleId="CommentReference">
    <w:name w:val="annotation reference"/>
    <w:basedOn w:val="DefaultParagraphFont"/>
    <w:uiPriority w:val="99"/>
    <w:semiHidden/>
    <w:unhideWhenUsed/>
    <w:rsid w:val="00B70492"/>
    <w:rPr>
      <w:sz w:val="16"/>
      <w:szCs w:val="16"/>
    </w:rPr>
  </w:style>
  <w:style w:type="paragraph" w:styleId="CommentText">
    <w:name w:val="annotation text"/>
    <w:basedOn w:val="Normal"/>
    <w:link w:val="CommentTextChar"/>
    <w:uiPriority w:val="99"/>
    <w:semiHidden/>
    <w:unhideWhenUsed/>
    <w:rsid w:val="00B70492"/>
    <w:rPr>
      <w:sz w:val="20"/>
      <w:szCs w:val="20"/>
    </w:rPr>
  </w:style>
  <w:style w:type="character" w:customStyle="1" w:styleId="CommentTextChar">
    <w:name w:val="Comment Text Char"/>
    <w:basedOn w:val="DefaultParagraphFont"/>
    <w:link w:val="CommentText"/>
    <w:uiPriority w:val="99"/>
    <w:semiHidden/>
    <w:rsid w:val="00B70492"/>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B70492"/>
    <w:rPr>
      <w:b/>
      <w:bCs/>
    </w:rPr>
  </w:style>
  <w:style w:type="character" w:customStyle="1" w:styleId="CommentSubjectChar">
    <w:name w:val="Comment Subject Char"/>
    <w:basedOn w:val="CommentTextChar"/>
    <w:link w:val="CommentSubject"/>
    <w:uiPriority w:val="99"/>
    <w:semiHidden/>
    <w:rsid w:val="00B70492"/>
    <w:rPr>
      <w:rFonts w:ascii="Times New Roman" w:eastAsia="Times New Roman" w:hAnsi="Times New Roman"/>
      <w:b/>
      <w:bCs/>
      <w:lang w:val="es-ES" w:eastAsia="es-ES"/>
    </w:rPr>
  </w:style>
  <w:style w:type="paragraph" w:customStyle="1" w:styleId="COMParaDecision">
    <w:name w:val="COM Para Decision"/>
    <w:basedOn w:val="Normal"/>
    <w:qFormat/>
    <w:rsid w:val="00A87504"/>
    <w:pPr>
      <w:autoSpaceDE w:val="0"/>
      <w:autoSpaceDN w:val="0"/>
      <w:adjustRightInd w:val="0"/>
      <w:spacing w:after="120"/>
      <w:ind w:left="1287" w:hanging="360"/>
      <w:jc w:val="both"/>
    </w:pPr>
    <w:rPr>
      <w:rFonts w:ascii="Arial" w:eastAsia="SimSun" w:hAnsi="Arial" w:cs="Arial"/>
      <w:sz w:val="22"/>
      <w:szCs w:val="22"/>
      <w:u w:val="single"/>
    </w:rPr>
  </w:style>
  <w:style w:type="paragraph" w:styleId="Revision">
    <w:name w:val="Revision"/>
    <w:hidden/>
    <w:uiPriority w:val="99"/>
    <w:semiHidden/>
    <w:rsid w:val="00F918F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doc/src/NGO-90345-10.COM-ICH-09.pdf" TargetMode="External"/><Relationship Id="rId18" Type="http://schemas.openxmlformats.org/officeDocument/2006/relationships/hyperlink" Target="http://www.unesco.org/culture/ich/doc/src/NGO-90346-10.COM-ICH-09.pdf" TargetMode="External"/><Relationship Id="rId26" Type="http://schemas.openxmlformats.org/officeDocument/2006/relationships/hyperlink" Target="http://www.unesco.org/culture/ich/doc/src/NGO-90329-10.COM-ICH-09.pdf" TargetMode="External"/><Relationship Id="rId21" Type="http://schemas.openxmlformats.org/officeDocument/2006/relationships/hyperlink" Target="http://www.unesco.org/culture/ich/doc/src/NGO-90319-10.COM-ICH-09.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nesco.org/culture/ich/doc/src/NGO-90360-10.COM-ICH-09.pdf" TargetMode="External"/><Relationship Id="rId17" Type="http://schemas.openxmlformats.org/officeDocument/2006/relationships/hyperlink" Target="http://www.unesco.org/culture/ich/doc/src/NGO-90336-10.COM-ICH-09.pdf" TargetMode="External"/><Relationship Id="rId25" Type="http://schemas.openxmlformats.org/officeDocument/2006/relationships/hyperlink" Target="http://www.unesco.org/culture/ich/doc/src/NGO-90281-10.COM-ICH-09.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nesco.org/culture/ich/doc/src/NGO-90330-10.COM-ICH-09.pdf" TargetMode="External"/><Relationship Id="rId20" Type="http://schemas.openxmlformats.org/officeDocument/2006/relationships/hyperlink" Target="http://www.unesco.org/culture/ich/doc/src/NGO-90323-10.COM-ICH-09.pdf" TargetMode="External"/><Relationship Id="rId29" Type="http://schemas.openxmlformats.org/officeDocument/2006/relationships/hyperlink" Target="http://www.unesco.org/culture/ich/doc/src/NGO-90314-10.COM-ICH-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doc/src/NGO-90350-10.COM-ICH-09.pdf" TargetMode="External"/><Relationship Id="rId24" Type="http://schemas.openxmlformats.org/officeDocument/2006/relationships/hyperlink" Target="http://www.unesco.org/culture/ich/doc/src/NGO-90324-10.COM-ICH-09.pdf" TargetMode="External"/><Relationship Id="rId32" Type="http://schemas.openxmlformats.org/officeDocument/2006/relationships/hyperlink" Target="http://www.unesco.org/culture/ich/doc/src/NGO-90338-10.COM-ICH-09.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esco.org/culture/ich/doc/src/NGO-90353-10.COM-ICH-09.pdf" TargetMode="External"/><Relationship Id="rId23" Type="http://schemas.openxmlformats.org/officeDocument/2006/relationships/hyperlink" Target="http://www.unesco.org/culture/ich/doc/src/NGO-90343-10.COM-ICH-09.pdf" TargetMode="External"/><Relationship Id="rId28" Type="http://schemas.openxmlformats.org/officeDocument/2006/relationships/hyperlink" Target="http://www.unesco.org/culture/ich/doc/src/NGO-90321-10.COM-ICH-09.pdf" TargetMode="External"/><Relationship Id="rId36" Type="http://schemas.openxmlformats.org/officeDocument/2006/relationships/fontTable" Target="fontTable.xml"/><Relationship Id="rId10" Type="http://schemas.openxmlformats.org/officeDocument/2006/relationships/hyperlink" Target="http://www.unesco.org/culture/ich/doc/src/NGO-90355-10.COM-ICH-09.pdf" TargetMode="External"/><Relationship Id="rId19" Type="http://schemas.openxmlformats.org/officeDocument/2006/relationships/hyperlink" Target="http://www.unesco.org/culture/ich/doc/src/NGO-90349-10.COM-ICH-09.pdf" TargetMode="External"/><Relationship Id="rId31" Type="http://schemas.openxmlformats.org/officeDocument/2006/relationships/hyperlink" Target="http://www.unesco.org/culture/ich/doc/src/NGO-90361-10.COM-ICH-09.pdf" TargetMode="External"/><Relationship Id="rId4" Type="http://schemas.openxmlformats.org/officeDocument/2006/relationships/settings" Target="settings.xml"/><Relationship Id="rId9" Type="http://schemas.openxmlformats.org/officeDocument/2006/relationships/hyperlink" Target="http://www.unesco.org/culture/ich/doc/src/NGO-90327-10.COM-ICH-09.pdf" TargetMode="External"/><Relationship Id="rId14" Type="http://schemas.openxmlformats.org/officeDocument/2006/relationships/hyperlink" Target="http://www.unesco.org/culture/ich/doc/src/NGO-90347-10.COM-ICH-09.pdf" TargetMode="External"/><Relationship Id="rId22" Type="http://schemas.openxmlformats.org/officeDocument/2006/relationships/hyperlink" Target="http://www.unesco.org/culture/ich/doc/src/NGO-90322-10.COM-ICH-09.pdf" TargetMode="External"/><Relationship Id="rId27" Type="http://schemas.openxmlformats.org/officeDocument/2006/relationships/hyperlink" Target="http://www.unesco.org/culture/ich/doc/src/NGO-90335-10.COM-ICH-09.pdf" TargetMode="External"/><Relationship Id="rId30" Type="http://schemas.openxmlformats.org/officeDocument/2006/relationships/hyperlink" Target="http://www.unesco.org/culture/ich/doc/src/NGO-90356-10.COM-ICH-09.pdf" TargetMode="External"/><Relationship Id="rId35" Type="http://schemas.openxmlformats.org/officeDocument/2006/relationships/header" Target="header3.xml"/><Relationship Id="rId8" Type="http://schemas.openxmlformats.org/officeDocument/2006/relationships/hyperlink" Target="http://www.unesco.org/culture/ich/en/15-accreditation-of-ngos-00770"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9C7A4-352A-4649-B91C-1E273E90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0</TotalTime>
  <Pages>4</Pages>
  <Words>1552</Words>
  <Characters>8537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4</cp:revision>
  <cp:lastPrinted>2016-02-26T13:08:00Z</cp:lastPrinted>
  <dcterms:created xsi:type="dcterms:W3CDTF">2016-04-13T14:19:00Z</dcterms:created>
  <dcterms:modified xsi:type="dcterms:W3CDTF">2016-04-25T14:59:00Z</dcterms:modified>
</cp:coreProperties>
</file>