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36" w:rsidRPr="006B774A" w:rsidRDefault="00655736" w:rsidP="00655736">
      <w:pPr>
        <w:spacing w:before="1440"/>
        <w:jc w:val="center"/>
        <w:rPr>
          <w:rFonts w:ascii="Arial" w:hAnsi="Arial" w:cs="Arial"/>
          <w:b/>
          <w:sz w:val="22"/>
          <w:szCs w:val="22"/>
        </w:rPr>
      </w:pPr>
      <w:r w:rsidRPr="001A298C">
        <w:rPr>
          <w:rFonts w:ascii="Arial" w:hAnsi="Arial" w:cs="Arial"/>
          <w:b/>
          <w:sz w:val="22"/>
          <w:szCs w:val="22"/>
        </w:rPr>
        <w:t>CONVENCIÓN PARA LA SALVAGUARDIA</w:t>
      </w:r>
      <w:r w:rsidR="00757B2B" w:rsidRPr="001A298C">
        <w:rPr>
          <w:rFonts w:ascii="Arial" w:hAnsi="Arial" w:cs="Arial"/>
          <w:b/>
          <w:sz w:val="22"/>
          <w:szCs w:val="22"/>
        </w:rPr>
        <w:br/>
      </w:r>
      <w:r w:rsidRPr="001A298C">
        <w:rPr>
          <w:rFonts w:ascii="Arial" w:hAnsi="Arial" w:cs="Arial"/>
          <w:b/>
          <w:sz w:val="22"/>
          <w:szCs w:val="22"/>
        </w:rPr>
        <w:t xml:space="preserve"> DEL PATRIMONIO CULTURAL INMATERIAL</w:t>
      </w:r>
    </w:p>
    <w:p w:rsidR="00655736" w:rsidRPr="00873B1C" w:rsidRDefault="00D95C4C" w:rsidP="00655736">
      <w:pPr>
        <w:spacing w:before="1200"/>
        <w:jc w:val="center"/>
        <w:rPr>
          <w:rFonts w:ascii="Arial" w:hAnsi="Arial" w:cs="Arial"/>
          <w:b/>
          <w:sz w:val="22"/>
          <w:szCs w:val="22"/>
        </w:rPr>
      </w:pPr>
      <w:r w:rsidRPr="006B774A">
        <w:rPr>
          <w:rFonts w:ascii="Arial" w:hAnsi="Arial" w:cs="Arial"/>
          <w:b/>
          <w:sz w:val="22"/>
          <w:szCs w:val="22"/>
        </w:rPr>
        <w:t xml:space="preserve">ASAMBLEA GENERAL DE LOS ESTADOS PARTES </w:t>
      </w:r>
      <w:r w:rsidR="00757B2B" w:rsidRPr="00C84753">
        <w:rPr>
          <w:rFonts w:ascii="Arial" w:hAnsi="Arial" w:cs="Arial"/>
          <w:b/>
          <w:sz w:val="22"/>
          <w:szCs w:val="22"/>
        </w:rPr>
        <w:t>EN</w:t>
      </w:r>
      <w:r w:rsidRPr="00417C23">
        <w:rPr>
          <w:rFonts w:ascii="Arial" w:hAnsi="Arial" w:cs="Arial"/>
          <w:b/>
          <w:sz w:val="22"/>
          <w:szCs w:val="22"/>
        </w:rPr>
        <w:t xml:space="preserve"> LA CONVENCIÓN</w:t>
      </w:r>
    </w:p>
    <w:p w:rsidR="00D95C4C" w:rsidRPr="00053C79" w:rsidRDefault="00763A0D" w:rsidP="00D95C4C">
      <w:pPr>
        <w:spacing w:before="840"/>
        <w:jc w:val="center"/>
        <w:rPr>
          <w:rFonts w:ascii="Arial" w:hAnsi="Arial" w:cs="Arial"/>
          <w:b/>
          <w:sz w:val="22"/>
          <w:szCs w:val="22"/>
        </w:rPr>
      </w:pPr>
      <w:r w:rsidRPr="00053C79">
        <w:rPr>
          <w:rFonts w:ascii="Arial" w:hAnsi="Arial" w:cs="Arial"/>
          <w:b/>
          <w:sz w:val="22"/>
          <w:szCs w:val="22"/>
        </w:rPr>
        <w:t>Sexta reunión</w:t>
      </w:r>
    </w:p>
    <w:p w:rsidR="00D95C4C" w:rsidRPr="00220C1E" w:rsidRDefault="00D95C4C" w:rsidP="00D95C4C">
      <w:pPr>
        <w:jc w:val="center"/>
        <w:rPr>
          <w:rFonts w:ascii="Arial" w:hAnsi="Arial" w:cs="Arial"/>
          <w:b/>
          <w:sz w:val="22"/>
          <w:szCs w:val="22"/>
        </w:rPr>
      </w:pPr>
      <w:r w:rsidRPr="002B5B77">
        <w:rPr>
          <w:rFonts w:ascii="Arial" w:hAnsi="Arial" w:cs="Arial"/>
          <w:b/>
          <w:sz w:val="22"/>
          <w:szCs w:val="22"/>
        </w:rPr>
        <w:t>Sede de la UNESCO, Sala II</w:t>
      </w:r>
    </w:p>
    <w:p w:rsidR="00655736" w:rsidRPr="00220C1E" w:rsidRDefault="00763A0D" w:rsidP="00D95C4C">
      <w:pPr>
        <w:jc w:val="center"/>
        <w:rPr>
          <w:rFonts w:ascii="Arial" w:hAnsi="Arial" w:cs="Arial"/>
          <w:b/>
          <w:sz w:val="22"/>
          <w:szCs w:val="22"/>
        </w:rPr>
      </w:pPr>
      <w:r w:rsidRPr="002B5B77">
        <w:rPr>
          <w:rFonts w:ascii="Arial" w:hAnsi="Arial" w:cs="Arial"/>
          <w:b/>
          <w:sz w:val="22"/>
          <w:szCs w:val="22"/>
        </w:rPr>
        <w:t>Del 30 de mayo al 1 de junio de 2016</w:t>
      </w:r>
    </w:p>
    <w:p w:rsidR="00655736" w:rsidRPr="00220C1E" w:rsidRDefault="00655736" w:rsidP="00655736">
      <w:pPr>
        <w:pStyle w:val="Sansinterligne2"/>
        <w:spacing w:before="1200"/>
        <w:jc w:val="center"/>
        <w:rPr>
          <w:rFonts w:ascii="Arial" w:hAnsi="Arial" w:cs="Arial"/>
          <w:b/>
          <w:sz w:val="22"/>
          <w:szCs w:val="22"/>
        </w:rPr>
      </w:pPr>
      <w:r w:rsidRPr="002B5B77">
        <w:rPr>
          <w:rFonts w:ascii="Arial" w:hAnsi="Arial" w:cs="Arial"/>
          <w:b/>
          <w:sz w:val="22"/>
          <w:szCs w:val="22"/>
          <w:u w:val="single"/>
        </w:rPr>
        <w:t>Punto 7 del orden del día provisional:</w:t>
      </w:r>
    </w:p>
    <w:p w:rsidR="002F312A" w:rsidRPr="00220C1E" w:rsidRDefault="002F312A" w:rsidP="002F312A">
      <w:pPr>
        <w:pStyle w:val="Sansinterligne2"/>
        <w:spacing w:after="1200"/>
        <w:jc w:val="center"/>
        <w:rPr>
          <w:rFonts w:ascii="Arial" w:hAnsi="Arial" w:cs="Arial"/>
          <w:b/>
          <w:sz w:val="22"/>
          <w:szCs w:val="22"/>
        </w:rPr>
      </w:pPr>
      <w:r w:rsidRPr="002B5B77">
        <w:rPr>
          <w:rFonts w:ascii="Arial" w:hAnsi="Arial" w:cs="Arial"/>
          <w:b/>
          <w:sz w:val="22"/>
          <w:szCs w:val="22"/>
        </w:rPr>
        <w:t>Revisión de las Directrices Operativas para la aplicación de la Convención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220C1E" w:rsidTr="002F312A">
        <w:trPr>
          <w:jc w:val="center"/>
        </w:trPr>
        <w:tc>
          <w:tcPr>
            <w:tcW w:w="5670" w:type="dxa"/>
            <w:vAlign w:val="center"/>
          </w:tcPr>
          <w:p w:rsidR="0057439C" w:rsidRPr="00220C1E" w:rsidRDefault="0057439C" w:rsidP="005B7A35">
            <w:pPr>
              <w:pStyle w:val="Sansinterligne1"/>
              <w:spacing w:before="200" w:after="200"/>
              <w:jc w:val="center"/>
              <w:rPr>
                <w:rFonts w:ascii="Arial" w:hAnsi="Arial" w:cs="Arial"/>
                <w:b/>
                <w:sz w:val="22"/>
                <w:szCs w:val="22"/>
              </w:rPr>
            </w:pPr>
            <w:r w:rsidRPr="002B5B77">
              <w:rPr>
                <w:rFonts w:ascii="Arial" w:hAnsi="Arial" w:cs="Arial"/>
                <w:b/>
                <w:sz w:val="22"/>
                <w:szCs w:val="22"/>
              </w:rPr>
              <w:t>Resumen</w:t>
            </w:r>
          </w:p>
          <w:p w:rsidR="0057439C" w:rsidRPr="00220C1E" w:rsidRDefault="002F312A" w:rsidP="005B7A35">
            <w:pPr>
              <w:pStyle w:val="Sansinterligne1"/>
              <w:spacing w:after="120"/>
              <w:jc w:val="both"/>
              <w:rPr>
                <w:rFonts w:ascii="Arial" w:hAnsi="Arial" w:cs="Arial"/>
                <w:bCs/>
                <w:sz w:val="22"/>
                <w:szCs w:val="22"/>
              </w:rPr>
            </w:pPr>
            <w:r w:rsidRPr="002B5B77">
              <w:rPr>
                <w:rFonts w:ascii="Arial" w:hAnsi="Arial" w:cs="Arial"/>
                <w:sz w:val="22"/>
                <w:szCs w:val="22"/>
              </w:rPr>
              <w:t xml:space="preserve">El Comité Intergubernamental, en su novena y décima reuniones, adoptó una serie de decisiones en las que proponía que la Asamblea General enmiende las Directrices Operativas para la aplicación de la Convención (Decisiones </w:t>
            </w:r>
            <w:hyperlink r:id="rId9" w:history="1">
              <w:r w:rsidRPr="00495322">
                <w:rPr>
                  <w:rStyle w:val="Hyperlink"/>
                  <w:rFonts w:ascii="Arial" w:hAnsi="Arial" w:cs="Arial"/>
                  <w:sz w:val="22"/>
                  <w:szCs w:val="22"/>
                </w:rPr>
                <w:t>9.COM 13.a</w:t>
              </w:r>
            </w:hyperlink>
            <w:r w:rsidRPr="002B5B77">
              <w:rPr>
                <w:rFonts w:ascii="Arial" w:hAnsi="Arial" w:cs="Arial"/>
                <w:sz w:val="22"/>
                <w:szCs w:val="22"/>
              </w:rPr>
              <w:t xml:space="preserve">, </w:t>
            </w:r>
            <w:hyperlink r:id="rId10" w:history="1">
              <w:r w:rsidRPr="00495322">
                <w:rPr>
                  <w:rStyle w:val="Hyperlink"/>
                  <w:rFonts w:ascii="Arial" w:hAnsi="Arial" w:cs="Arial"/>
                  <w:sz w:val="22"/>
                  <w:szCs w:val="22"/>
                </w:rPr>
                <w:t>10.COM 14.a</w:t>
              </w:r>
            </w:hyperlink>
            <w:r w:rsidRPr="002B5B77">
              <w:rPr>
                <w:rFonts w:ascii="Arial" w:hAnsi="Arial" w:cs="Arial"/>
                <w:sz w:val="22"/>
                <w:szCs w:val="22"/>
              </w:rPr>
              <w:t xml:space="preserve">, </w:t>
            </w:r>
            <w:hyperlink r:id="rId11" w:history="1">
              <w:r w:rsidRPr="00495322">
                <w:rPr>
                  <w:rStyle w:val="Hyperlink"/>
                  <w:rFonts w:ascii="Arial" w:hAnsi="Arial" w:cs="Arial"/>
                  <w:sz w:val="22"/>
                  <w:szCs w:val="22"/>
                </w:rPr>
                <w:t>10.COM 14.b</w:t>
              </w:r>
            </w:hyperlink>
            <w:r w:rsidRPr="002B5B77">
              <w:rPr>
                <w:rFonts w:ascii="Arial" w:hAnsi="Arial" w:cs="Arial"/>
                <w:sz w:val="22"/>
                <w:szCs w:val="22"/>
              </w:rPr>
              <w:t xml:space="preserve">, </w:t>
            </w:r>
            <w:hyperlink r:id="rId12" w:history="1">
              <w:r w:rsidRPr="00495322">
                <w:rPr>
                  <w:rStyle w:val="Hyperlink"/>
                  <w:rFonts w:ascii="Arial" w:hAnsi="Arial" w:cs="Arial"/>
                  <w:sz w:val="22"/>
                  <w:szCs w:val="22"/>
                </w:rPr>
                <w:t>10.COM 14.c</w:t>
              </w:r>
            </w:hyperlink>
            <w:r w:rsidRPr="002B5B77">
              <w:rPr>
                <w:rFonts w:ascii="Arial" w:hAnsi="Arial" w:cs="Arial"/>
                <w:sz w:val="22"/>
                <w:szCs w:val="22"/>
              </w:rPr>
              <w:t xml:space="preserve">, y </w:t>
            </w:r>
            <w:hyperlink r:id="rId13" w:history="1">
              <w:r w:rsidRPr="00495322">
                <w:rPr>
                  <w:rStyle w:val="Hyperlink"/>
                  <w:rFonts w:ascii="Arial" w:hAnsi="Arial" w:cs="Arial"/>
                  <w:sz w:val="22"/>
                  <w:szCs w:val="22"/>
                </w:rPr>
                <w:t>10.COM 15.c</w:t>
              </w:r>
            </w:hyperlink>
            <w:r w:rsidRPr="002B5B77">
              <w:rPr>
                <w:rFonts w:ascii="Arial" w:hAnsi="Arial" w:cs="Arial"/>
                <w:sz w:val="22"/>
                <w:szCs w:val="22"/>
              </w:rPr>
              <w:t xml:space="preserve">). El presente documento incluye, en su Anexo, </w:t>
            </w:r>
            <w:r w:rsidR="00AB424F" w:rsidRPr="002B5B77">
              <w:rPr>
                <w:rFonts w:ascii="Arial" w:hAnsi="Arial" w:cs="Arial"/>
                <w:sz w:val="22"/>
                <w:szCs w:val="22"/>
              </w:rPr>
              <w:t xml:space="preserve">los </w:t>
            </w:r>
            <w:r w:rsidRPr="002B5B77">
              <w:rPr>
                <w:rFonts w:ascii="Arial" w:hAnsi="Arial" w:cs="Arial"/>
                <w:sz w:val="22"/>
                <w:szCs w:val="22"/>
              </w:rPr>
              <w:t xml:space="preserve">textos propuestos </w:t>
            </w:r>
            <w:r w:rsidR="001C4C46">
              <w:rPr>
                <w:rFonts w:ascii="Arial" w:hAnsi="Arial" w:cs="Arial"/>
                <w:sz w:val="22"/>
                <w:szCs w:val="22"/>
              </w:rPr>
              <w:t xml:space="preserve">para </w:t>
            </w:r>
            <w:r w:rsidRPr="002B5B77">
              <w:rPr>
                <w:rFonts w:ascii="Arial" w:hAnsi="Arial" w:cs="Arial"/>
                <w:sz w:val="22"/>
                <w:szCs w:val="22"/>
              </w:rPr>
              <w:t>dichas enmiendas.</w:t>
            </w:r>
          </w:p>
          <w:p w:rsidR="00655736" w:rsidRPr="00220C1E" w:rsidRDefault="0057439C" w:rsidP="00410628">
            <w:pPr>
              <w:pStyle w:val="Sansinterligne2"/>
              <w:spacing w:after="120"/>
              <w:jc w:val="both"/>
              <w:rPr>
                <w:rFonts w:ascii="Arial" w:hAnsi="Arial" w:cs="Arial"/>
                <w:b/>
                <w:sz w:val="22"/>
                <w:szCs w:val="22"/>
              </w:rPr>
            </w:pPr>
            <w:r w:rsidRPr="002B5B77">
              <w:rPr>
                <w:rFonts w:ascii="Arial" w:hAnsi="Arial" w:cs="Arial"/>
                <w:b/>
                <w:sz w:val="22"/>
                <w:szCs w:val="22"/>
              </w:rPr>
              <w:t xml:space="preserve">Decisión requerida: </w:t>
            </w:r>
            <w:r w:rsidRPr="002B5B77">
              <w:rPr>
                <w:rFonts w:ascii="Arial" w:hAnsi="Arial" w:cs="Arial"/>
                <w:sz w:val="22"/>
                <w:szCs w:val="22"/>
              </w:rPr>
              <w:t xml:space="preserve">párrafo </w:t>
            </w:r>
            <w:r w:rsidR="00AB424F" w:rsidRPr="002B5B77">
              <w:rPr>
                <w:rFonts w:ascii="Arial" w:hAnsi="Arial" w:cs="Arial"/>
                <w:sz w:val="22"/>
                <w:szCs w:val="22"/>
              </w:rPr>
              <w:t>37</w:t>
            </w:r>
          </w:p>
        </w:tc>
      </w:tr>
    </w:tbl>
    <w:p w:rsidR="002F312A" w:rsidRPr="001A298C" w:rsidRDefault="00655736" w:rsidP="00FA35D0">
      <w:pPr>
        <w:pStyle w:val="COMPara"/>
        <w:numPr>
          <w:ilvl w:val="0"/>
          <w:numId w:val="9"/>
        </w:numPr>
        <w:ind w:left="567" w:hanging="567"/>
        <w:jc w:val="both"/>
      </w:pPr>
      <w:r w:rsidRPr="00410628">
        <w:br w:type="page"/>
      </w:r>
      <w:r w:rsidRPr="00410628">
        <w:lastRenderedPageBreak/>
        <w:t>El primer conjunto de Directrices Operativas para la aplicación de la Convención para la Salvaguardia del Patrimonio Cultural Inmaterial fue adoptado por la Asamblea General e</w:t>
      </w:r>
      <w:r w:rsidRPr="0092706B">
        <w:t>n su segunda reunión en junio de 2008 (</w:t>
      </w:r>
      <w:hyperlink r:id="rId14" w:history="1">
        <w:r w:rsidRPr="00495322">
          <w:rPr>
            <w:rStyle w:val="Hyperlink"/>
          </w:rPr>
          <w:t>Resolución 2.GA 5</w:t>
        </w:r>
      </w:hyperlink>
      <w:r w:rsidRPr="0092706B">
        <w:t xml:space="preserve">). Durante </w:t>
      </w:r>
      <w:r w:rsidR="00AB424F" w:rsidRPr="005557B3">
        <w:t>los debates</w:t>
      </w:r>
      <w:r w:rsidRPr="005557B3">
        <w:t xml:space="preserve"> de esa reunión, los Estados Partes consideraron que las directrices deberían evolucionar con el tiempo y ser enmendadas de manera periódica teniendo en cuenta </w:t>
      </w:r>
      <w:r w:rsidRPr="001A298C">
        <w:t>la experiencia adquirida en la aplicación de la Convención. En la tercera, cuarta y quinta reuniones, en junio de los años 2010, 2012 y 2014 respectivamente, la Asamblea General adoptó nuevas directrices y enmendó algunas de las existentes (Resoluciones </w:t>
      </w:r>
      <w:hyperlink r:id="rId15" w:history="1">
        <w:r w:rsidRPr="00495322">
          <w:rPr>
            <w:rStyle w:val="Hyperlink"/>
          </w:rPr>
          <w:t>3.GA 5</w:t>
        </w:r>
      </w:hyperlink>
      <w:r w:rsidRPr="001A298C">
        <w:t xml:space="preserve">, </w:t>
      </w:r>
      <w:hyperlink r:id="rId16" w:history="1">
        <w:r w:rsidRPr="00495322">
          <w:rPr>
            <w:rStyle w:val="Hyperlink"/>
          </w:rPr>
          <w:t>4.GA 5</w:t>
        </w:r>
      </w:hyperlink>
      <w:r w:rsidRPr="001A298C">
        <w:t xml:space="preserve">, </w:t>
      </w:r>
      <w:hyperlink r:id="rId17" w:history="1">
        <w:r w:rsidRPr="00495322">
          <w:rPr>
            <w:rStyle w:val="Hyperlink"/>
          </w:rPr>
          <w:t>5.GA 5.1</w:t>
        </w:r>
      </w:hyperlink>
      <w:r w:rsidRPr="001A298C">
        <w:t>).</w:t>
      </w:r>
    </w:p>
    <w:p w:rsidR="00600B1B" w:rsidRPr="00C84753" w:rsidRDefault="0054020F" w:rsidP="00FA35D0">
      <w:pPr>
        <w:pStyle w:val="COMPara"/>
        <w:numPr>
          <w:ilvl w:val="0"/>
          <w:numId w:val="9"/>
        </w:numPr>
        <w:ind w:left="567" w:hanging="567"/>
        <w:jc w:val="both"/>
      </w:pPr>
      <w:r w:rsidRPr="001A298C">
        <w:t xml:space="preserve">De conformidad con el </w:t>
      </w:r>
      <w:r w:rsidR="006C3C5F">
        <w:t>artículo</w:t>
      </w:r>
      <w:r w:rsidRPr="0092706B">
        <w:t xml:space="preserve"> 7(e) de la Convención, el Comité en su reunión novena y décima debatió y aprobó un nuevo capítulo de las Directrices Operativas y revisiones adicionales </w:t>
      </w:r>
      <w:r w:rsidR="00AB424F" w:rsidRPr="005557B3">
        <w:t xml:space="preserve">de </w:t>
      </w:r>
      <w:r w:rsidRPr="005557B3">
        <w:t>las existentes, y recomendó que la</w:t>
      </w:r>
      <w:r w:rsidRPr="001A298C">
        <w:t xml:space="preserve"> Asamblea General las apruebe en la reunión actual. </w:t>
      </w:r>
      <w:r w:rsidR="00AB424F" w:rsidRPr="001A298C">
        <w:t xml:space="preserve">Las </w:t>
      </w:r>
      <w:r w:rsidRPr="001A298C">
        <w:t xml:space="preserve">revisiones propuestas son el resultado de reflexiones provenientes de la Asamblea General o de </w:t>
      </w:r>
      <w:r w:rsidR="00AB424F" w:rsidRPr="006B774A">
        <w:t xml:space="preserve">la </w:t>
      </w:r>
      <w:r w:rsidRPr="006B774A">
        <w:t>propia iniciativa del Comité como resultado de su experiencia en la aplicación de la Convención, y están relacionadas con los siguientes temas:</w:t>
      </w:r>
    </w:p>
    <w:p w:rsidR="00600B1B" w:rsidRPr="0092706B" w:rsidRDefault="00AB424F" w:rsidP="001C4C46">
      <w:pPr>
        <w:pStyle w:val="GAPara"/>
        <w:numPr>
          <w:ilvl w:val="1"/>
          <w:numId w:val="42"/>
        </w:numPr>
      </w:pPr>
      <w:r w:rsidRPr="00873B1C">
        <w:t>Solicitudes</w:t>
      </w:r>
      <w:r w:rsidRPr="00410628">
        <w:t xml:space="preserve"> </w:t>
      </w:r>
      <w:r w:rsidR="00600B1B" w:rsidRPr="0092706B">
        <w:t>de Asistencia Internacional examinadas por la Mesa del Comité</w:t>
      </w:r>
    </w:p>
    <w:p w:rsidR="00600B1B" w:rsidRPr="005557B3" w:rsidRDefault="00AB424F" w:rsidP="001C4C46">
      <w:pPr>
        <w:pStyle w:val="GAPara"/>
        <w:numPr>
          <w:ilvl w:val="1"/>
          <w:numId w:val="42"/>
        </w:numPr>
      </w:pPr>
      <w:r w:rsidRPr="005557B3">
        <w:t>Salvaguardia d</w:t>
      </w:r>
      <w:r w:rsidR="00600B1B" w:rsidRPr="005557B3">
        <w:t>el patrimonio cultural inmaterial y desarrollo sostenible</w:t>
      </w:r>
    </w:p>
    <w:p w:rsidR="00600B1B" w:rsidRPr="001A298C" w:rsidRDefault="00600B1B" w:rsidP="001C4C46">
      <w:pPr>
        <w:pStyle w:val="GAPara"/>
        <w:numPr>
          <w:ilvl w:val="1"/>
          <w:numId w:val="42"/>
        </w:numPr>
      </w:pPr>
      <w:r w:rsidRPr="001A298C">
        <w:t>Informes periódicos</w:t>
      </w:r>
    </w:p>
    <w:p w:rsidR="00600B1B" w:rsidRPr="001A298C" w:rsidRDefault="00FA35D0" w:rsidP="001C4C46">
      <w:pPr>
        <w:pStyle w:val="GAPara"/>
        <w:numPr>
          <w:ilvl w:val="1"/>
          <w:numId w:val="42"/>
        </w:numPr>
      </w:pPr>
      <w:r w:rsidRPr="001A298C">
        <w:t>La opción de remisión</w:t>
      </w:r>
    </w:p>
    <w:p w:rsidR="00F077DC" w:rsidRPr="006B774A" w:rsidRDefault="00FA35D0" w:rsidP="001C4C46">
      <w:pPr>
        <w:pStyle w:val="GAPara"/>
        <w:numPr>
          <w:ilvl w:val="1"/>
          <w:numId w:val="42"/>
        </w:numPr>
      </w:pPr>
      <w:r w:rsidRPr="006B774A">
        <w:t>El calendario de acreditación de las organizaciones no gubernamentales</w:t>
      </w:r>
    </w:p>
    <w:p w:rsidR="002F312A" w:rsidRPr="00220C1E" w:rsidRDefault="00600B1B" w:rsidP="00FA35D0">
      <w:pPr>
        <w:pStyle w:val="COMPara"/>
        <w:numPr>
          <w:ilvl w:val="0"/>
          <w:numId w:val="9"/>
        </w:numPr>
        <w:ind w:left="567" w:hanging="567"/>
        <w:jc w:val="both"/>
      </w:pPr>
      <w:r w:rsidRPr="00C84753">
        <w:t xml:space="preserve">Las revisiones </w:t>
      </w:r>
      <w:r w:rsidRPr="00873B1C">
        <w:t xml:space="preserve">de las Directrices Operativas </w:t>
      </w:r>
      <w:r w:rsidR="00AB424F" w:rsidRPr="00873B1C">
        <w:t xml:space="preserve">y el nuevo capítulo propuestos </w:t>
      </w:r>
      <w:r w:rsidRPr="00873B1C">
        <w:t xml:space="preserve">para aprobación de la Asamblea General </w:t>
      </w:r>
      <w:r w:rsidR="00AB424F" w:rsidRPr="00053C79">
        <w:t>se encuentran</w:t>
      </w:r>
      <w:r w:rsidRPr="00220C1E">
        <w:t xml:space="preserve"> en el anexo de</w:t>
      </w:r>
      <w:r w:rsidR="00AB424F" w:rsidRPr="00220C1E">
        <w:t xml:space="preserve"> este </w:t>
      </w:r>
      <w:r w:rsidRPr="00220C1E">
        <w:t xml:space="preserve">documento. </w:t>
      </w:r>
    </w:p>
    <w:p w:rsidR="002F312A" w:rsidRPr="00220C1E" w:rsidRDefault="00AB424F" w:rsidP="002F312A">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cs="Arial"/>
          <w:b/>
          <w:sz w:val="22"/>
          <w:szCs w:val="22"/>
        </w:rPr>
      </w:pPr>
      <w:r w:rsidRPr="002B5B77">
        <w:rPr>
          <w:rFonts w:ascii="Arial" w:hAnsi="Arial" w:cs="Arial"/>
          <w:b/>
          <w:sz w:val="22"/>
          <w:szCs w:val="22"/>
        </w:rPr>
        <w:t xml:space="preserve">Solicitudes </w:t>
      </w:r>
      <w:r w:rsidR="002F312A" w:rsidRPr="002B5B77">
        <w:rPr>
          <w:rFonts w:ascii="Arial" w:hAnsi="Arial" w:cs="Arial"/>
          <w:b/>
          <w:sz w:val="22"/>
          <w:szCs w:val="22"/>
        </w:rPr>
        <w:t>de Asistencia Internacional examinadas por la Mesa del Comité</w:t>
      </w:r>
    </w:p>
    <w:p w:rsidR="003A2FB6" w:rsidRPr="00220C1E" w:rsidRDefault="00C56134" w:rsidP="00FA35D0">
      <w:pPr>
        <w:pStyle w:val="COMPara"/>
        <w:numPr>
          <w:ilvl w:val="0"/>
          <w:numId w:val="9"/>
        </w:numPr>
        <w:ind w:left="567" w:hanging="567"/>
        <w:jc w:val="both"/>
      </w:pPr>
      <w:r w:rsidRPr="00220C1E">
        <w:t xml:space="preserve">Los Órganos </w:t>
      </w:r>
      <w:r w:rsidR="00462953" w:rsidRPr="00220C1E">
        <w:t xml:space="preserve">consultivos </w:t>
      </w:r>
      <w:r w:rsidRPr="00220C1E">
        <w:t xml:space="preserve">y de </w:t>
      </w:r>
      <w:r w:rsidR="00462953" w:rsidRPr="00220C1E">
        <w:t xml:space="preserve">evaluación </w:t>
      </w:r>
      <w:r w:rsidRPr="00220C1E">
        <w:t xml:space="preserve">han lamentado repetidamente la utilización </w:t>
      </w:r>
      <w:r w:rsidR="00462953" w:rsidRPr="00220C1E">
        <w:t xml:space="preserve">insuficiente </w:t>
      </w:r>
      <w:r w:rsidRPr="00220C1E">
        <w:t xml:space="preserve">del mecanismo de asistencia internacional. La evaluación de 2013 de la Convención de 2003 por parte de la Oficina de Control Interno de la UNESCO (IOS) también destacó esta tendencia. Se identificaron dos factores que podrían explicar esta situación: por un lado, la prioridad que los Estados Partes dan a la Lista Representativa del Patrimonio Cultural Inmaterial de la Humanidad, en lugar de </w:t>
      </w:r>
      <w:r w:rsidR="00462953" w:rsidRPr="00220C1E">
        <w:t xml:space="preserve">a </w:t>
      </w:r>
      <w:r w:rsidRPr="00220C1E">
        <w:t xml:space="preserve">una asistencia internacional superior a 25.000 dólares estadounidenses, a la hora de elegir el expediente que el Comité debe examinar dentro del límite de expedientes que puede tratar durante un ciclo específico; por otro lado, la falta de recursos humanos y financieros en muchos </w:t>
      </w:r>
      <w:r w:rsidR="00462953" w:rsidRPr="00220C1E">
        <w:t xml:space="preserve">Estados </w:t>
      </w:r>
      <w:r w:rsidRPr="00220C1E">
        <w:t xml:space="preserve">para desarrollar </w:t>
      </w:r>
      <w:r w:rsidR="00462953" w:rsidRPr="00220C1E">
        <w:t xml:space="preserve">solicitudes </w:t>
      </w:r>
      <w:r w:rsidRPr="00220C1E">
        <w:t xml:space="preserve">de Asistencia Internacional que cumplan adecuadamente los criterios de elegibilidad. </w:t>
      </w:r>
    </w:p>
    <w:p w:rsidR="003A2FB6" w:rsidRPr="007428EB" w:rsidRDefault="00124268" w:rsidP="003A2FB6">
      <w:pPr>
        <w:pStyle w:val="COMPara"/>
        <w:numPr>
          <w:ilvl w:val="0"/>
          <w:numId w:val="9"/>
        </w:numPr>
        <w:ind w:left="567" w:hanging="567"/>
        <w:jc w:val="both"/>
      </w:pPr>
      <w:r w:rsidRPr="00220C1E">
        <w:t xml:space="preserve">Los esfuerzos continuos de la Secretaría para fortalecer las capacidades humanas e institucionales de los Estados miembros para salvaguardar de manera </w:t>
      </w:r>
      <w:r w:rsidR="00873B1C">
        <w:t>eficaz</w:t>
      </w:r>
      <w:r w:rsidR="00873B1C" w:rsidRPr="00873B1C">
        <w:t xml:space="preserve"> </w:t>
      </w:r>
      <w:r w:rsidRPr="00873B1C">
        <w:t>el patrimonio cultural inmaterial presentes en sus territorios</w:t>
      </w:r>
      <w:r w:rsidR="00873B1C">
        <w:t xml:space="preserve"> deberían</w:t>
      </w:r>
      <w:r w:rsidRPr="00873B1C">
        <w:t xml:space="preserve">, a medio plazo, </w:t>
      </w:r>
      <w:r w:rsidR="00873B1C" w:rsidRPr="00873B1C">
        <w:t>aumenta</w:t>
      </w:r>
      <w:r w:rsidR="00873B1C">
        <w:t>r</w:t>
      </w:r>
      <w:r w:rsidR="00873B1C" w:rsidRPr="00873B1C">
        <w:t xml:space="preserve"> </w:t>
      </w:r>
      <w:r w:rsidRPr="00873B1C">
        <w:t xml:space="preserve">el número de </w:t>
      </w:r>
      <w:r w:rsidR="00873B1C">
        <w:t>solicitudes</w:t>
      </w:r>
      <w:r w:rsidR="00873B1C" w:rsidRPr="00873B1C">
        <w:t xml:space="preserve"> </w:t>
      </w:r>
      <w:r w:rsidRPr="00873B1C">
        <w:t xml:space="preserve">exitosas de Asistencia Internacional. En paralelo, la Secretaría propuso al Comité, en su octava reunión en 2013, que siguiera la recomendación 7 de la Evaluación del IOS, a saber, «dar prioridad a las </w:t>
      </w:r>
      <w:r w:rsidR="001C4C46">
        <w:t>solicitudes</w:t>
      </w:r>
      <w:r w:rsidR="00873B1C" w:rsidRPr="00873B1C">
        <w:t xml:space="preserve"> </w:t>
      </w:r>
      <w:r w:rsidRPr="00873B1C">
        <w:t xml:space="preserve">de Asistencia Internacional dentro </w:t>
      </w:r>
      <w:r w:rsidR="00873B1C">
        <w:t>del tope</w:t>
      </w:r>
      <w:r w:rsidRPr="00873B1C">
        <w:t xml:space="preserve"> de expedientes de los mecanismos de la Convención» (</w:t>
      </w:r>
      <w:hyperlink r:id="rId18">
        <w:r w:rsidRPr="00220C1E">
          <w:rPr>
            <w:rStyle w:val="Hyperlink"/>
          </w:rPr>
          <w:t>Documento ITH/13/8.COM/5.c</w:t>
        </w:r>
      </w:hyperlink>
      <w:r w:rsidRPr="00220C1E">
        <w:t>). Sin embargo, la propuesta no fue aprobada por el Comité</w:t>
      </w:r>
      <w:r w:rsidR="007428EB">
        <w:t>, ya que se apeló</w:t>
      </w:r>
      <w:r w:rsidRPr="007428EB">
        <w:t xml:space="preserve"> </w:t>
      </w:r>
      <w:r w:rsidR="007428EB">
        <w:t>a</w:t>
      </w:r>
      <w:r w:rsidRPr="007428EB">
        <w:t xml:space="preserve">l derecho soberano de los Estados de decidir </w:t>
      </w:r>
      <w:r w:rsidR="007428EB">
        <w:t>sobre</w:t>
      </w:r>
      <w:r w:rsidRPr="007428EB">
        <w:t xml:space="preserve"> la prioridad </w:t>
      </w:r>
      <w:r w:rsidR="007428EB">
        <w:t>asignada a</w:t>
      </w:r>
      <w:r w:rsidRPr="007428EB">
        <w:t xml:space="preserve"> cada uno </w:t>
      </w:r>
      <w:r w:rsidR="007428EB">
        <w:t>de los</w:t>
      </w:r>
      <w:r w:rsidRPr="007428EB">
        <w:t xml:space="preserve"> mecanismo</w:t>
      </w:r>
      <w:r w:rsidR="007428EB">
        <w:t>s</w:t>
      </w:r>
      <w:r w:rsidRPr="007428EB">
        <w:t xml:space="preserve"> de la Convención.</w:t>
      </w:r>
    </w:p>
    <w:p w:rsidR="001B2835" w:rsidRPr="007428EB" w:rsidRDefault="002C1D84" w:rsidP="00FA35D0">
      <w:pPr>
        <w:pStyle w:val="COMPara"/>
        <w:numPr>
          <w:ilvl w:val="0"/>
          <w:numId w:val="9"/>
        </w:numPr>
        <w:ind w:left="567" w:hanging="567"/>
        <w:jc w:val="both"/>
      </w:pPr>
      <w:r w:rsidRPr="007428EB">
        <w:t xml:space="preserve">La actual versión de las Directrices Operativas en el Capítulo I.14 estipula que las </w:t>
      </w:r>
      <w:r w:rsidR="007428EB">
        <w:t>solicitudes</w:t>
      </w:r>
      <w:r w:rsidR="007428EB" w:rsidRPr="007428EB">
        <w:t xml:space="preserve"> </w:t>
      </w:r>
      <w:r w:rsidRPr="007428EB">
        <w:t xml:space="preserve">de asistencia internacional superiores a 25.000 dólares estadounidenses son examinadas y aprobadas por el Comité mientras que aquellas </w:t>
      </w:r>
      <w:r w:rsidR="007428EB">
        <w:t>que no excedan de</w:t>
      </w:r>
      <w:r w:rsidRPr="007428EB">
        <w:t xml:space="preserve"> 25.000 dólares </w:t>
      </w:r>
      <w:r w:rsidR="007428EB" w:rsidRPr="007428EB">
        <w:t xml:space="preserve">estadounidenses </w:t>
      </w:r>
      <w:r w:rsidRPr="007428EB">
        <w:t xml:space="preserve">así como las </w:t>
      </w:r>
      <w:r w:rsidR="007428EB">
        <w:t>solicitudes</w:t>
      </w:r>
      <w:r w:rsidR="007428EB" w:rsidRPr="007428EB">
        <w:t xml:space="preserve"> </w:t>
      </w:r>
      <w:r w:rsidRPr="007428EB">
        <w:t xml:space="preserve">de asistencia </w:t>
      </w:r>
      <w:r w:rsidR="007428EB">
        <w:t>urgente</w:t>
      </w:r>
      <w:r w:rsidRPr="007428EB">
        <w:t xml:space="preserve">, sea cual sea el valor, son examinadas y aprobadas por la Mesa del Comité. Dado que la preocupación de los Estados Partes en relación a la utilización </w:t>
      </w:r>
      <w:r w:rsidR="007428EB">
        <w:t xml:space="preserve">insuficiente </w:t>
      </w:r>
      <w:r w:rsidRPr="007428EB">
        <w:t xml:space="preserve">de los recursos proporcionados por el Fondo </w:t>
      </w:r>
      <w:r w:rsidR="007428EB">
        <w:t>para la</w:t>
      </w:r>
      <w:r w:rsidR="007428EB" w:rsidRPr="007428EB">
        <w:t xml:space="preserve"> </w:t>
      </w:r>
      <w:r w:rsidRPr="007428EB">
        <w:t xml:space="preserve">Asistencia Internacional no cambió, el Comité propuso una nueva medida en su </w:t>
      </w:r>
      <w:r w:rsidRPr="007428EB">
        <w:lastRenderedPageBreak/>
        <w:t xml:space="preserve">décima reunión: «aumentar de 25.000 a 100.000 dólares estadounidenses las </w:t>
      </w:r>
      <w:r w:rsidR="007428EB">
        <w:t>solicitudes</w:t>
      </w:r>
      <w:r w:rsidR="007428EB" w:rsidRPr="007428EB">
        <w:t xml:space="preserve"> </w:t>
      </w:r>
      <w:r w:rsidRPr="007428EB">
        <w:t>de Asistencia Internacional que pueden ser aprobadas por la Mesa del Comité» (</w:t>
      </w:r>
      <w:hyperlink r:id="rId19">
        <w:r w:rsidRPr="00220C1E">
          <w:rPr>
            <w:rStyle w:val="Hyperlink"/>
          </w:rPr>
          <w:t>Decisión 10.COM 15.c</w:t>
        </w:r>
      </w:hyperlink>
      <w:r w:rsidRPr="00220C1E">
        <w:t xml:space="preserve">). Este cambio sigue la tendencia del Comité que desde 2010 ha delegado cinco veces su autoridad a la Mesa para que tome una decisión acerca de </w:t>
      </w:r>
      <w:r w:rsidR="007428EB">
        <w:t>solicitudes</w:t>
      </w:r>
      <w:r w:rsidRPr="007428EB">
        <w:t xml:space="preserve"> superiores a los 25.000 dólares estadounidenses. Estas </w:t>
      </w:r>
      <w:r w:rsidR="007428EB">
        <w:t>solicitudes</w:t>
      </w:r>
      <w:r w:rsidR="007428EB" w:rsidRPr="007428EB">
        <w:t xml:space="preserve"> </w:t>
      </w:r>
      <w:r w:rsidRPr="007428EB">
        <w:t xml:space="preserve">habían sido revisadas </w:t>
      </w:r>
      <w:r w:rsidR="007428EB">
        <w:t>según</w:t>
      </w:r>
      <w:r w:rsidRPr="007428EB">
        <w:t xml:space="preserve"> las recomendaciones del Órgano responsable </w:t>
      </w:r>
      <w:r w:rsidR="007428EB">
        <w:t>de</w:t>
      </w:r>
      <w:r w:rsidR="007428EB" w:rsidRPr="007428EB">
        <w:t xml:space="preserve"> </w:t>
      </w:r>
      <w:r w:rsidRPr="007428EB">
        <w:t>su evaluación inicial</w:t>
      </w:r>
      <w:r w:rsidRPr="007428EB">
        <w:rPr>
          <w:rStyle w:val="FootnoteReference"/>
        </w:rPr>
        <w:footnoteReference w:id="2"/>
      </w:r>
      <w:r w:rsidRPr="007428EB">
        <w:t xml:space="preserve">. Así mismo, la Mesa examinó tres casos de </w:t>
      </w:r>
      <w:r w:rsidR="007428EB">
        <w:t>solicitudes urgentes</w:t>
      </w:r>
      <w:r w:rsidRPr="007428EB">
        <w:t xml:space="preserve"> cuyos valores </w:t>
      </w:r>
      <w:r w:rsidR="007428EB">
        <w:t>excedían</w:t>
      </w:r>
      <w:r w:rsidR="007428EB" w:rsidRPr="007428EB">
        <w:t xml:space="preserve"> </w:t>
      </w:r>
      <w:r w:rsidR="007428EB">
        <w:t>de</w:t>
      </w:r>
      <w:r w:rsidR="007428EB" w:rsidRPr="007428EB">
        <w:t xml:space="preserve"> </w:t>
      </w:r>
      <w:r w:rsidRPr="007428EB">
        <w:t xml:space="preserve">25.000 dólares estadounidenses. En la práctica, de las 14 </w:t>
      </w:r>
      <w:r w:rsidR="007428EB">
        <w:t>solicitudes</w:t>
      </w:r>
      <w:r w:rsidR="007428EB" w:rsidRPr="007428EB">
        <w:t xml:space="preserve"> </w:t>
      </w:r>
      <w:r w:rsidRPr="007428EB">
        <w:t>superiores a los 25.000 dólares estadounidenses que se han aprobado hasta el momento, la mitad fueron aprobadas por la Mesa.</w:t>
      </w:r>
    </w:p>
    <w:p w:rsidR="00614927" w:rsidRPr="007428EB" w:rsidRDefault="00AD3046" w:rsidP="00FA35D0">
      <w:pPr>
        <w:pStyle w:val="GAPara"/>
        <w:ind w:left="567" w:hanging="567"/>
        <w:jc w:val="both"/>
      </w:pPr>
      <w:r w:rsidRPr="007428EB">
        <w:t xml:space="preserve">El aumento del límite presupuestario para las </w:t>
      </w:r>
      <w:r w:rsidR="007428EB">
        <w:t>solicitudes</w:t>
      </w:r>
      <w:r w:rsidR="007428EB" w:rsidRPr="007428EB">
        <w:t xml:space="preserve"> </w:t>
      </w:r>
      <w:r w:rsidRPr="007428EB">
        <w:t xml:space="preserve">que la Mesa puede examinar no representa un cambio radical en sus métodos de trabajo y debería aumentar el número de países beneficiarios así como el alcance de los proyectos apoyados. Dado que las </w:t>
      </w:r>
      <w:r w:rsidR="007428EB">
        <w:t>solicitudes</w:t>
      </w:r>
      <w:r w:rsidR="007428EB" w:rsidRPr="007428EB">
        <w:t xml:space="preserve"> </w:t>
      </w:r>
      <w:r w:rsidR="007428EB">
        <w:t>que deben ser</w:t>
      </w:r>
      <w:r w:rsidRPr="007428EB">
        <w:t xml:space="preserve"> examinadas por la Mesa (a excepción de las </w:t>
      </w:r>
      <w:r w:rsidR="007428EB">
        <w:t>solicitudes</w:t>
      </w:r>
      <w:r w:rsidR="007428EB" w:rsidRPr="007428EB">
        <w:t xml:space="preserve"> </w:t>
      </w:r>
      <w:r w:rsidRPr="007428EB">
        <w:t xml:space="preserve">de asistencia preparatoria) pueden presentarse en cualquier momento y que la Mesa se puede reunir varias veces al año (a diferencia del Comité), deberían aumentar considerablemente las oportunidades para examinar y aprobar un mayor número de proyectos </w:t>
      </w:r>
      <w:r w:rsidR="007428EB">
        <w:t>y de mayor</w:t>
      </w:r>
      <w:r w:rsidRPr="007428EB">
        <w:t xml:space="preserve"> envergadura </w:t>
      </w:r>
      <w:r w:rsidR="007428EB">
        <w:t>(</w:t>
      </w:r>
      <w:r w:rsidRPr="007428EB">
        <w:t>de hasta 100.000 dólares estadounidenses en lugar de 25.000</w:t>
      </w:r>
      <w:r w:rsidR="007428EB">
        <w:t>)</w:t>
      </w:r>
      <w:r w:rsidRPr="007428EB">
        <w:t xml:space="preserve">. Más aún, aquellos Estados que quieran utilizar el Fondo para complementar sus esfuerzos nacionales para la salvaguardia podrán </w:t>
      </w:r>
      <w:r w:rsidR="007428EB">
        <w:t>contemplar</w:t>
      </w:r>
      <w:r w:rsidR="007428EB" w:rsidRPr="007428EB">
        <w:t xml:space="preserve"> </w:t>
      </w:r>
      <w:r w:rsidRPr="007428EB">
        <w:t xml:space="preserve">la </w:t>
      </w:r>
      <w:r w:rsidR="007428EB">
        <w:t>posibilidad de presentar</w:t>
      </w:r>
      <w:r w:rsidR="007428EB" w:rsidRPr="007428EB">
        <w:t xml:space="preserve"> </w:t>
      </w:r>
      <w:r w:rsidRPr="007428EB">
        <w:t xml:space="preserve">una </w:t>
      </w:r>
      <w:r w:rsidR="007428EB">
        <w:t>solicitud</w:t>
      </w:r>
      <w:r w:rsidR="007428EB" w:rsidRPr="007428EB">
        <w:t xml:space="preserve"> </w:t>
      </w:r>
      <w:r w:rsidRPr="007428EB">
        <w:t xml:space="preserve">de asistencia internacional de hasta 100.000 dólares estadounidenses sin tener que elegir entre </w:t>
      </w:r>
      <w:r w:rsidR="007428EB">
        <w:t>é</w:t>
      </w:r>
      <w:r w:rsidR="007428EB" w:rsidRPr="007428EB">
        <w:t xml:space="preserve">sta </w:t>
      </w:r>
      <w:r w:rsidRPr="007428EB">
        <w:t>y una candidatura a la Lista</w:t>
      </w:r>
      <w:r w:rsidR="007428EB">
        <w:t>s</w:t>
      </w:r>
      <w:r w:rsidRPr="007428EB">
        <w:t xml:space="preserve"> de la Convención o una propuesta para el Registro de </w:t>
      </w:r>
      <w:r w:rsidR="007428EB">
        <w:t xml:space="preserve">Mejores </w:t>
      </w:r>
      <w:r w:rsidRPr="007428EB">
        <w:t>Prácticas de Salvaguardia.</w:t>
      </w:r>
    </w:p>
    <w:p w:rsidR="006A6F3F" w:rsidRPr="001A298C" w:rsidRDefault="00614927" w:rsidP="00FA35D0">
      <w:pPr>
        <w:pStyle w:val="GAPara"/>
        <w:ind w:left="567" w:hanging="567"/>
        <w:jc w:val="both"/>
      </w:pPr>
      <w:r w:rsidRPr="007428EB">
        <w:t xml:space="preserve">De conformidad con la </w:t>
      </w:r>
      <w:hyperlink r:id="rId20">
        <w:r w:rsidRPr="0092706B">
          <w:rPr>
            <w:rStyle w:val="Hyperlink"/>
          </w:rPr>
          <w:t>Decisión 10.COM 15</w:t>
        </w:r>
        <w:r w:rsidRPr="005557B3">
          <w:rPr>
            <w:rStyle w:val="Hyperlink"/>
          </w:rPr>
          <w:t>.c</w:t>
        </w:r>
      </w:hyperlink>
      <w:r w:rsidRPr="00410628">
        <w:t>, se solicita que la Asamblea General examine las enmiendas pro</w:t>
      </w:r>
      <w:r w:rsidRPr="0092706B">
        <w:t xml:space="preserve">puestas a todos los párrafos de las Directrices Operacionales </w:t>
      </w:r>
      <w:r w:rsidR="007428EB">
        <w:t>que se ven afectados por el</w:t>
      </w:r>
      <w:r w:rsidRPr="0092706B">
        <w:t xml:space="preserve"> aumento de 25.000 a 100.000 dólares estadounidenses en las </w:t>
      </w:r>
      <w:r w:rsidR="007428EB">
        <w:t>de las solicitudes</w:t>
      </w:r>
      <w:r w:rsidR="007428EB" w:rsidRPr="0092706B">
        <w:t xml:space="preserve"> </w:t>
      </w:r>
      <w:r w:rsidRPr="0092706B">
        <w:t>de asistencia internacional que pueden ser ap</w:t>
      </w:r>
      <w:r w:rsidRPr="005557B3">
        <w:t>robadas por la Mesa del Comité, incluidas</w:t>
      </w:r>
      <w:r w:rsidR="00431623" w:rsidRPr="005557B3">
        <w:t xml:space="preserve"> en</w:t>
      </w:r>
      <w:r w:rsidRPr="005557B3">
        <w:t xml:space="preserve"> </w:t>
      </w:r>
      <w:r w:rsidR="007428EB">
        <w:t>la Parte I d</w:t>
      </w:r>
      <w:r w:rsidRPr="005557B3">
        <w:t>el Anexo del presente documento.</w:t>
      </w:r>
    </w:p>
    <w:p w:rsidR="002F312A" w:rsidRPr="001A298C" w:rsidRDefault="002F312A" w:rsidP="002F312A">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cs="Arial"/>
          <w:b/>
          <w:sz w:val="22"/>
          <w:szCs w:val="22"/>
        </w:rPr>
      </w:pPr>
      <w:r w:rsidRPr="001A298C">
        <w:rPr>
          <w:rFonts w:ascii="Arial" w:hAnsi="Arial" w:cs="Arial"/>
          <w:b/>
          <w:sz w:val="22"/>
          <w:szCs w:val="22"/>
        </w:rPr>
        <w:t>Salvaguardar el patrimonio cultural inmaterial y desarrollo sostenible</w:t>
      </w:r>
    </w:p>
    <w:p w:rsidR="00153345" w:rsidRPr="005557B3" w:rsidRDefault="00153345" w:rsidP="00FA35D0">
      <w:pPr>
        <w:pStyle w:val="COMPara"/>
        <w:numPr>
          <w:ilvl w:val="0"/>
          <w:numId w:val="9"/>
        </w:numPr>
        <w:ind w:left="567" w:hanging="567"/>
        <w:jc w:val="both"/>
      </w:pPr>
      <w:r w:rsidRPr="001A298C">
        <w:t>El concepto de «desarrollo sostenible» se encuentra en el corazón de la Convención, cuyo preámbulo reconoce</w:t>
      </w:r>
      <w:r w:rsidRPr="006B774A">
        <w:t xml:space="preserve"> «la importancia que reviste el patrimonio cultural inmaterial, crisol de la diversidad cultural y garante del desarrollo sostenible». El </w:t>
      </w:r>
      <w:r w:rsidR="006C3C5F">
        <w:t>artículo</w:t>
      </w:r>
      <w:r w:rsidRPr="0092706B">
        <w:t xml:space="preserve"> 2.1 de la Convención, dedicado a la definición de patrimonio cultural inmaterial, estipula que «se te</w:t>
      </w:r>
      <w:r w:rsidRPr="005557B3">
        <w:t xml:space="preserve">ndrá en cuenta únicamente el patrimonio cultural inmaterial que sea compatible con los instrumentos internacionales de derechos humanos existentes y con los imperativos de respeto mutuo entre comunidades, grupos e individuos y de desarrollo sostenible». </w:t>
      </w:r>
    </w:p>
    <w:p w:rsidR="00153345" w:rsidRPr="00220C1E" w:rsidRDefault="00153345" w:rsidP="00FA35D0">
      <w:pPr>
        <w:pStyle w:val="COMPara"/>
        <w:numPr>
          <w:ilvl w:val="0"/>
          <w:numId w:val="9"/>
        </w:numPr>
        <w:ind w:left="567" w:hanging="567"/>
        <w:jc w:val="both"/>
      </w:pPr>
      <w:r w:rsidRPr="005557B3">
        <w:t>Los conceptos de «sostenibilidad» y «desarrollo sostenible» fueron integrados a las Directrices Operativas para la aplicación de la Convención en 2010, en el momento de su primera revisión por parte de la Asamblea General de los Estados Partes. El desarroll</w:t>
      </w:r>
      <w:r w:rsidRPr="001A298C">
        <w:t xml:space="preserve">o sostenible se incluyó en el Capítulo II con referencia al Fondo del Patrimonio Cultural Inmaterial. El párrafo 73, relacionado con las contribuciones al Fondo, estipula que «No se podrá aceptar ninguna contribución de entidades cuyas actividades no sean compatibles [...] con los requisitos del desarrollo sostenible». </w:t>
      </w:r>
      <w:r w:rsidR="00682EBE">
        <w:t>Más adelante, e</w:t>
      </w:r>
      <w:r w:rsidR="00682EBE" w:rsidRPr="001A298C">
        <w:t xml:space="preserve">l </w:t>
      </w:r>
      <w:r w:rsidRPr="001A298C">
        <w:t xml:space="preserve">desarrollo sostenible se integró en las Directrices Operativas con la adopción en 2012 del Capítulo </w:t>
      </w:r>
      <w:r w:rsidR="00165EF1" w:rsidRPr="001A298C">
        <w:t>I</w:t>
      </w:r>
      <w:r w:rsidRPr="001A298C">
        <w:t xml:space="preserve">V relativo a la sensibilización acerca del patrimonio cultural inmaterial, </w:t>
      </w:r>
      <w:r w:rsidRPr="006B774A">
        <w:t xml:space="preserve">incluyendo el uso del emblema de la </w:t>
      </w:r>
      <w:r w:rsidRPr="006B774A">
        <w:lastRenderedPageBreak/>
        <w:t xml:space="preserve">Convención. El párrafo 111 estipula que «Se alienta a los medios de comunicación a contribuir a la toma de conciencia, promoviendo el patrimonio cultural inmaterial como medio para fomentar [...] el desarrollo sostenible». La presencia del desarrollo sostenible en el texto de la Convención y la inclusión gradual en las Directrices Operativas refleja los amplios esfuerzos de la UNESCO para integrar la cultura en el programa internacional de desarrollo sostenible. En 2013, </w:t>
      </w:r>
      <w:r w:rsidRPr="00C84753">
        <w:t xml:space="preserve">la Conferencia Internacional de Chengdu sobre el Patrimonio Cultural Inmaterial, organizada para celebrar el décimo aniversario de la Convención, hizo un llamamiento a la comunidad internacional para que </w:t>
      </w:r>
      <w:r w:rsidR="00682EBE">
        <w:t>continúe sus esfuerzos</w:t>
      </w:r>
      <w:r w:rsidRPr="00C84753">
        <w:t xml:space="preserve"> para «renovar su compromiso para con</w:t>
      </w:r>
      <w:r w:rsidRPr="00417C23">
        <w:t xml:space="preserve"> la premisa fundamental de la Convención que estipula que el patrimonio cultural inmaterial es garante del desarrollo sostenible» (</w:t>
      </w:r>
      <w:hyperlink r:id="rId21">
        <w:r w:rsidRPr="00220C1E">
          <w:t>Documento</w:t>
        </w:r>
        <w:r w:rsidRPr="00220C1E">
          <w:rPr>
            <w:color w:val="0000FF"/>
            <w:u w:val="single"/>
          </w:rPr>
          <w:t> </w:t>
        </w:r>
        <w:r w:rsidRPr="00220C1E">
          <w:t>ITH/13/EXP/8</w:t>
        </w:r>
      </w:hyperlink>
      <w:r w:rsidRPr="00220C1E">
        <w:t>).</w:t>
      </w:r>
    </w:p>
    <w:p w:rsidR="00153345" w:rsidRPr="00220C1E" w:rsidRDefault="00153345" w:rsidP="00FA35D0">
      <w:pPr>
        <w:pStyle w:val="COMPara"/>
        <w:numPr>
          <w:ilvl w:val="0"/>
          <w:numId w:val="9"/>
        </w:numPr>
        <w:ind w:left="567" w:hanging="567"/>
        <w:jc w:val="both"/>
      </w:pPr>
      <w:r w:rsidRPr="00220C1E">
        <w:t xml:space="preserve">El Comité ha </w:t>
      </w:r>
      <w:r w:rsidR="00682EBE">
        <w:t>examinado</w:t>
      </w:r>
      <w:r w:rsidR="00682EBE" w:rsidRPr="00682EBE">
        <w:t xml:space="preserve"> </w:t>
      </w:r>
      <w:r w:rsidRPr="00682EBE">
        <w:t xml:space="preserve">en múltiples ocasiones los vínculos entre </w:t>
      </w:r>
      <w:r w:rsidR="00682EBE">
        <w:t xml:space="preserve">la </w:t>
      </w:r>
      <w:r w:rsidR="00682EBE" w:rsidRPr="00682EBE">
        <w:t>salvaguard</w:t>
      </w:r>
      <w:r w:rsidR="00682EBE">
        <w:t>ia</w:t>
      </w:r>
      <w:r w:rsidR="00682EBE" w:rsidRPr="00682EBE">
        <w:t xml:space="preserve"> </w:t>
      </w:r>
      <w:r w:rsidR="00682EBE">
        <w:t>d</w:t>
      </w:r>
      <w:r w:rsidRPr="00682EBE">
        <w:t xml:space="preserve">el patrimonio cultural inmaterial y el desarrollo sostenible. Estas </w:t>
      </w:r>
      <w:r w:rsidR="00682EBE">
        <w:t>debates</w:t>
      </w:r>
      <w:r w:rsidR="00682EBE" w:rsidRPr="00682EBE">
        <w:t xml:space="preserve"> </w:t>
      </w:r>
      <w:r w:rsidRPr="00682EBE">
        <w:t xml:space="preserve">a menudo se </w:t>
      </w:r>
      <w:r w:rsidR="00682EBE">
        <w:t>llevaron</w:t>
      </w:r>
      <w:r w:rsidR="00682EBE" w:rsidRPr="00682EBE">
        <w:t xml:space="preserve"> </w:t>
      </w:r>
      <w:r w:rsidRPr="00682EBE">
        <w:t xml:space="preserve">a cabo en el contexto </w:t>
      </w:r>
      <w:r w:rsidR="00682EBE">
        <w:t>del examen</w:t>
      </w:r>
      <w:r w:rsidRPr="00682EBE">
        <w:t xml:space="preserve"> de candidaturas específicas para la inscripción en la Lista del </w:t>
      </w:r>
      <w:r w:rsidR="00682EBE">
        <w:t>p</w:t>
      </w:r>
      <w:r w:rsidR="00682EBE" w:rsidRPr="00682EBE">
        <w:t xml:space="preserve">atrimonio </w:t>
      </w:r>
      <w:r w:rsidR="00682EBE">
        <w:t>c</w:t>
      </w:r>
      <w:r w:rsidR="00682EBE" w:rsidRPr="00682EBE">
        <w:t xml:space="preserve">ultural </w:t>
      </w:r>
      <w:r w:rsidR="00682EBE">
        <w:t>i</w:t>
      </w:r>
      <w:r w:rsidR="00682EBE" w:rsidRPr="00682EBE">
        <w:t xml:space="preserve">nmaterial </w:t>
      </w:r>
      <w:r w:rsidRPr="00682EBE">
        <w:t xml:space="preserve">que requiere medidas urgentes de salvaguardia, la Lista </w:t>
      </w:r>
      <w:r w:rsidR="00682EBE">
        <w:t>r</w:t>
      </w:r>
      <w:r w:rsidR="00682EBE" w:rsidRPr="00682EBE">
        <w:t xml:space="preserve">epresentativa </w:t>
      </w:r>
      <w:r w:rsidRPr="00682EBE">
        <w:t xml:space="preserve">del </w:t>
      </w:r>
      <w:r w:rsidR="00682EBE">
        <w:t>p</w:t>
      </w:r>
      <w:r w:rsidR="00682EBE" w:rsidRPr="00682EBE">
        <w:t xml:space="preserve">atrimonio </w:t>
      </w:r>
      <w:r w:rsidR="00682EBE">
        <w:t>c</w:t>
      </w:r>
      <w:r w:rsidR="00682EBE" w:rsidRPr="00682EBE">
        <w:t xml:space="preserve">ultural </w:t>
      </w:r>
      <w:r w:rsidR="00682EBE">
        <w:t>i</w:t>
      </w:r>
      <w:r w:rsidR="00682EBE" w:rsidRPr="00682EBE">
        <w:t xml:space="preserve">nmaterial </w:t>
      </w:r>
      <w:r w:rsidRPr="00682EBE">
        <w:t xml:space="preserve">de la </w:t>
      </w:r>
      <w:r w:rsidR="00682EBE">
        <w:t>h</w:t>
      </w:r>
      <w:r w:rsidR="00682EBE" w:rsidRPr="00682EBE">
        <w:t xml:space="preserve">umanidad </w:t>
      </w:r>
      <w:r w:rsidRPr="00682EBE">
        <w:t xml:space="preserve">o </w:t>
      </w:r>
      <w:r w:rsidR="00682EBE">
        <w:t>de</w:t>
      </w:r>
      <w:r w:rsidR="00682EBE" w:rsidRPr="00682EBE">
        <w:t xml:space="preserve"> </w:t>
      </w:r>
      <w:r w:rsidRPr="00682EBE">
        <w:t>informes periódicos presentados por los Estados Partes acerca de la aplicación de la Convención a nivel nacional. En su octava reunión, el Comité consideró, durante un debate sobre proyectos de enmienda a las Directrices Operativas relativos a la salvaguardia, la comercialización y el desarrollo sostenible, que era mejor agrupar en un solo capítulo las directrices relacionadas no solamente con la contribución del patrimonio cultural inmaterial a la economía creativa y temas relacionados con la comercialización si no también los vínculos entre la salvaguardia del patrimonio cultural inmaterial y el desarrollo sostenible a nivel nacional. Por ello, el Comité recomendó «que se elaborara un nuevo capítulo de las Directrices Operativas sobre la salvaguardia del patrimonio cultural inmaterial y el desarrollo sostenible a nivel nacional para que la Asamblea lo examinara en su sexta reunión» (</w:t>
      </w:r>
      <w:hyperlink r:id="rId22">
        <w:r w:rsidRPr="00220C1E">
          <w:rPr>
            <w:rStyle w:val="Hyperlink"/>
          </w:rPr>
          <w:t>Decisión 8.COM 13.a</w:t>
        </w:r>
      </w:hyperlink>
      <w:r w:rsidRPr="00220C1E">
        <w:t xml:space="preserve">). </w:t>
      </w:r>
    </w:p>
    <w:p w:rsidR="00153345" w:rsidRPr="00220C1E" w:rsidRDefault="00153345" w:rsidP="00FA35D0">
      <w:pPr>
        <w:pStyle w:val="COMPara"/>
        <w:numPr>
          <w:ilvl w:val="0"/>
          <w:numId w:val="9"/>
        </w:numPr>
        <w:ind w:left="567" w:hanging="567"/>
        <w:jc w:val="both"/>
      </w:pPr>
      <w:r w:rsidRPr="00220C1E">
        <w:t xml:space="preserve">En su novena reunión en </w:t>
      </w:r>
      <w:r w:rsidR="00682EBE">
        <w:t>n</w:t>
      </w:r>
      <w:r w:rsidR="00682EBE" w:rsidRPr="00682EBE">
        <w:t xml:space="preserve">oviembre </w:t>
      </w:r>
      <w:r w:rsidRPr="00682EBE">
        <w:t xml:space="preserve">de 2014, se presentaron al Comité los resultados de una reunión de expertos </w:t>
      </w:r>
      <w:r w:rsidRPr="00053C79">
        <w:t>de categoría VI que se celebró en Estambul, Turquía, del 29 de septiembre al 1 de octubre de 2014, sobre la salvaguardia del pa</w:t>
      </w:r>
      <w:r w:rsidRPr="00220C1E">
        <w:t xml:space="preserve">trimonio cultural inmaterial y el desarrollo sostenible a nivel nacional junto con </w:t>
      </w:r>
      <w:r w:rsidR="00682EBE">
        <w:t>un conjunto de proyectos</w:t>
      </w:r>
      <w:r w:rsidRPr="00682EBE">
        <w:t xml:space="preserve"> </w:t>
      </w:r>
      <w:r w:rsidR="00682EBE">
        <w:t xml:space="preserve">iniciales </w:t>
      </w:r>
      <w:r w:rsidRPr="00682EBE">
        <w:t xml:space="preserve">de </w:t>
      </w:r>
      <w:r w:rsidR="00682EBE">
        <w:t>d</w:t>
      </w:r>
      <w:r w:rsidRPr="00682EBE">
        <w:t xml:space="preserve">irectrices </w:t>
      </w:r>
      <w:r w:rsidR="00682EBE">
        <w:t>o</w:t>
      </w:r>
      <w:r w:rsidR="00682EBE" w:rsidRPr="00682EBE">
        <w:t>perativas</w:t>
      </w:r>
      <w:r w:rsidRPr="00682EBE">
        <w:t xml:space="preserve">. El Comité </w:t>
      </w:r>
      <w:r w:rsidR="00DC3FAD">
        <w:t>celebró</w:t>
      </w:r>
      <w:r w:rsidR="00DC3FAD" w:rsidRPr="00682EBE">
        <w:t xml:space="preserve"> </w:t>
      </w:r>
      <w:r w:rsidRPr="00682EBE">
        <w:t xml:space="preserve">la diversidad de temas incluidos </w:t>
      </w:r>
      <w:r w:rsidR="00DC3FAD">
        <w:t>los proyectos de</w:t>
      </w:r>
      <w:r w:rsidRPr="00682EBE">
        <w:t xml:space="preserve"> </w:t>
      </w:r>
      <w:r w:rsidR="00DC3FAD">
        <w:t>d</w:t>
      </w:r>
      <w:r w:rsidR="00DC3FAD" w:rsidRPr="00682EBE">
        <w:t xml:space="preserve">irectrices </w:t>
      </w:r>
      <w:r w:rsidR="00DC3FAD">
        <w:t>o</w:t>
      </w:r>
      <w:r w:rsidR="00DC3FAD" w:rsidRPr="00682EBE">
        <w:t xml:space="preserve">perativas </w:t>
      </w:r>
      <w:r w:rsidR="00DC3FAD">
        <w:t xml:space="preserve">inicialmente propuestos </w:t>
      </w:r>
      <w:r w:rsidRPr="00682EBE">
        <w:t xml:space="preserve">y tomó nota de que el documento posicionaba la cultura en el corazón de los objetivos de desarrollo siguiendo con el espíritu de la Convención. En su décima reunión en noviembre-diciembre de 2015, el Comité examinó un nuevo conjunto de proyectos de </w:t>
      </w:r>
      <w:r w:rsidR="00DC3FAD">
        <w:t>d</w:t>
      </w:r>
      <w:r w:rsidR="00DC3FAD" w:rsidRPr="00682EBE">
        <w:t xml:space="preserve">irectrices </w:t>
      </w:r>
      <w:r w:rsidR="00DC3FAD">
        <w:t>o</w:t>
      </w:r>
      <w:r w:rsidR="00DC3FAD" w:rsidRPr="00682EBE">
        <w:t>perativas</w:t>
      </w:r>
      <w:r w:rsidRPr="00682EBE">
        <w:t>, tal como se había</w:t>
      </w:r>
      <w:r w:rsidR="00DC3FAD">
        <w:t>n</w:t>
      </w:r>
      <w:r w:rsidRPr="00682EBE">
        <w:t xml:space="preserve"> revisado en base a </w:t>
      </w:r>
      <w:r w:rsidR="00DC3FAD">
        <w:t>los</w:t>
      </w:r>
      <w:r w:rsidR="00DC3FAD" w:rsidRPr="00682EBE">
        <w:t xml:space="preserve"> </w:t>
      </w:r>
      <w:r w:rsidRPr="00682EBE">
        <w:t>debates en su novena reunión, y lo aprobó en vista a presentarlo para su adopción en la presente reunión de la Asamblea General (</w:t>
      </w:r>
      <w:hyperlink r:id="rId23">
        <w:r w:rsidRPr="00220C1E">
          <w:rPr>
            <w:rStyle w:val="Hyperlink"/>
          </w:rPr>
          <w:t>Decisión 10.COM 14.a</w:t>
        </w:r>
      </w:hyperlink>
      <w:r w:rsidRPr="00220C1E">
        <w:t>).</w:t>
      </w:r>
    </w:p>
    <w:p w:rsidR="00153345" w:rsidRPr="00DC3FAD" w:rsidRDefault="00153345" w:rsidP="00FA35D0">
      <w:pPr>
        <w:pStyle w:val="COMPara"/>
        <w:numPr>
          <w:ilvl w:val="0"/>
          <w:numId w:val="9"/>
        </w:numPr>
        <w:ind w:left="567" w:hanging="567"/>
        <w:jc w:val="both"/>
      </w:pPr>
      <w:r w:rsidRPr="00220C1E">
        <w:t xml:space="preserve">Este documento incluye, en </w:t>
      </w:r>
      <w:r w:rsidR="00DC3FAD">
        <w:t xml:space="preserve">la Parte II de </w:t>
      </w:r>
      <w:r w:rsidRPr="00DC3FAD">
        <w:t xml:space="preserve">su Anexo, un </w:t>
      </w:r>
      <w:r w:rsidR="00DC3FAD">
        <w:t>proyecto</w:t>
      </w:r>
      <w:r w:rsidR="00DC3FAD" w:rsidRPr="00DC3FAD">
        <w:t xml:space="preserve"> </w:t>
      </w:r>
      <w:r w:rsidR="00DC3FAD">
        <w:t>para el</w:t>
      </w:r>
      <w:r w:rsidR="00DC3FAD" w:rsidRPr="00DC3FAD">
        <w:t xml:space="preserve"> </w:t>
      </w:r>
      <w:r w:rsidRPr="00DC3FAD">
        <w:t xml:space="preserve">Capítulo VI de las Directrices Operativas </w:t>
      </w:r>
      <w:r w:rsidR="00DC3FAD">
        <w:t>sobre</w:t>
      </w:r>
      <w:r w:rsidR="00DC3FAD" w:rsidRPr="00DC3FAD">
        <w:t xml:space="preserve"> </w:t>
      </w:r>
      <w:r w:rsidRPr="00DC3FAD">
        <w:t xml:space="preserve">la salvaguardia del patrimonio cultural inmaterial y el desarrollo sostenible a nivel nacional. Refleja (i) conversaciones anteriores del Comité, en particular la relación entre salvaguardia, comercialización y desarrollo sostenible, (ii) una serie de comentarios y sugerencias específicos realizados por miembros del Comité en su novena y décima reuniones, (iii) trabajos anteriores llevados a cabo por la Secretaría sobre este tema, (iv) </w:t>
      </w:r>
      <w:r w:rsidR="00DC3FAD">
        <w:t>debates</w:t>
      </w:r>
      <w:r w:rsidR="00DC3FAD" w:rsidRPr="00DC3FAD">
        <w:t xml:space="preserve"> </w:t>
      </w:r>
      <w:r w:rsidRPr="00DC3FAD">
        <w:t>que tuvieron lugar en la anteriormente mencionada reunión de expertos de categoría VI en Turquía, así como (v) desarrollos recientes en las negociaciones intergubernamentales para la agenda 2030 para el desarrollo sostenible.</w:t>
      </w:r>
    </w:p>
    <w:p w:rsidR="00153345" w:rsidRPr="00220C1E" w:rsidRDefault="00153345" w:rsidP="00FA35D0">
      <w:pPr>
        <w:pStyle w:val="COMPara"/>
        <w:numPr>
          <w:ilvl w:val="0"/>
          <w:numId w:val="9"/>
        </w:numPr>
        <w:ind w:left="567" w:hanging="567"/>
        <w:jc w:val="both"/>
      </w:pPr>
      <w:r w:rsidRPr="00DC3FAD">
        <w:t xml:space="preserve">La estructura del proyecto </w:t>
      </w:r>
      <w:r w:rsidR="00DC3FAD">
        <w:t>para el</w:t>
      </w:r>
      <w:r w:rsidR="00DC3FAD" w:rsidRPr="00DC3FAD">
        <w:t xml:space="preserve"> </w:t>
      </w:r>
      <w:r w:rsidRPr="00DC3FAD">
        <w:t xml:space="preserve">Capítulo VI de las Directrices Operativas </w:t>
      </w:r>
      <w:r w:rsidR="00DC3FAD">
        <w:t>sobre</w:t>
      </w:r>
      <w:r w:rsidR="00DC3FAD" w:rsidRPr="00DC3FAD">
        <w:t xml:space="preserve"> la salvaguardia </w:t>
      </w:r>
      <w:r w:rsidR="00DC3FAD">
        <w:t>d</w:t>
      </w:r>
      <w:r w:rsidRPr="00DC3FAD">
        <w:t xml:space="preserve">el patrimonio cultural inmaterial y desarrollo sostenible a nivel nacional se basa en </w:t>
      </w:r>
      <w:r w:rsidR="00DC3FAD">
        <w:t>“</w:t>
      </w:r>
      <w:hyperlink r:id="rId24">
        <w:r w:rsidRPr="00220C1E">
          <w:t>Transformar nuestro mundo: la agenda 2030 para el desarrollo sostenible</w:t>
        </w:r>
      </w:hyperlink>
      <w:r w:rsidR="00DC3FAD">
        <w:t>”</w:t>
      </w:r>
      <w:r w:rsidRPr="00DC3FAD">
        <w:t xml:space="preserve"> </w:t>
      </w:r>
      <w:r w:rsidR="00DC3FAD">
        <w:t xml:space="preserve">– </w:t>
      </w:r>
      <w:r w:rsidRPr="00DC3FAD">
        <w:t xml:space="preserve">el documento final preparado por la Cumbre de las Naciones Unidas para la adopción de la agenda de desarrollo post 2015. El documento final constituye un plan de acción que aborda las tres dimensiones del desarrollo sostenible </w:t>
      </w:r>
      <w:r w:rsidR="00DC3FAD">
        <w:t xml:space="preserve">– </w:t>
      </w:r>
      <w:r w:rsidRPr="00DC3FAD">
        <w:t>económica, social y ambiental</w:t>
      </w:r>
      <w:r w:rsidR="00DC3FAD">
        <w:t xml:space="preserve"> –</w:t>
      </w:r>
      <w:r w:rsidRPr="00DC3FAD">
        <w:t xml:space="preserve"> a través de 17 Objetivos de Desarrollo Sostenible como esferas de acción altamente in</w:t>
      </w:r>
      <w:r w:rsidR="00DC3FAD">
        <w:t>ter</w:t>
      </w:r>
      <w:r w:rsidRPr="00DC3FAD">
        <w:t xml:space="preserve">dependientes que </w:t>
      </w:r>
      <w:r w:rsidR="00DC3FAD">
        <w:t>influyen</w:t>
      </w:r>
      <w:r w:rsidR="00DC3FAD" w:rsidRPr="00DC3FAD">
        <w:t xml:space="preserve"> </w:t>
      </w:r>
      <w:r w:rsidRPr="00DC3FAD">
        <w:t xml:space="preserve">las vías de desarrollo a todos los niveles y respetan los tres principios </w:t>
      </w:r>
      <w:r w:rsidRPr="00DC3FAD">
        <w:lastRenderedPageBreak/>
        <w:t>fundamentales de derechos humanos, igualdad y sostenibilidad. Tal como se señala en el documento, los Objetivos de Desarrollo Sostenible «están integrados y son indivisibles a la vez que se equilibran en tres dimensiones del desarrollo sostenible». As</w:t>
      </w:r>
      <w:r w:rsidR="00DC3FAD">
        <w:t>i</w:t>
      </w:r>
      <w:r w:rsidRPr="00DC3FAD">
        <w:t>mismo, el documento reconoce «la diversidad natural y cultural del mundo, que toda</w:t>
      </w:r>
      <w:r w:rsidRPr="00053C79">
        <w:t>s las culturas y civilizaciones pueden contribuir al desarrollo sostenible y desempeñan un papel crucial en su facilitación» y «que el desarro</w:t>
      </w:r>
      <w:r w:rsidRPr="00220C1E">
        <w:t>llo sostenible no puede lograrse sin que haya paz y seguridad». El patrimonio cultural inmaterial puede contribuir de manera efectiva al desarrollo sostenible en cada una de las tres dimensiones, así como al requisito de la paz y seguridad, de conformidad con la Decisión del Consejo Ejecutivo (</w:t>
      </w:r>
      <w:hyperlink r:id="rId25">
        <w:r w:rsidRPr="00220C1E">
          <w:t>Decisión 196 EX/29</w:t>
        </w:r>
      </w:hyperlink>
      <w:r w:rsidRPr="00220C1E">
        <w:t>) aprobada por la Conferencia General en su 38ª reunión (</w:t>
      </w:r>
      <w:hyperlink r:id="rId26">
        <w:r w:rsidRPr="00220C1E">
          <w:rPr>
            <w:rStyle w:val="Hyperlink"/>
          </w:rPr>
          <w:t>38 C/Resolución 48</w:t>
        </w:r>
      </w:hyperlink>
      <w:r w:rsidRPr="00220C1E">
        <w:t xml:space="preserve">), que invita a la UNESCO a «reforzar la acción de la UNESCO orientada a la protección de la cultura y la promoción del pluralismo cultural en caso de conflicto armado». La salvaguardia del patrimonio cultural inmaterial es, por lo tanto, esencial para que las comunidades del mundo entero den los pasos transformadores «necesarios para reorientar el mundo hacia un camino sostenible y </w:t>
      </w:r>
      <w:r w:rsidR="00DC3FAD">
        <w:t>resistente</w:t>
      </w:r>
      <w:r w:rsidRPr="00DC3FAD">
        <w:t>». Demuestra cómo la salvaguardia del patrimonio cultural inmaterial favorece a la mejora del bienestar social y cultural de las comunidades y a la movilización de respuestas innovadoras y culturalmente</w:t>
      </w:r>
      <w:r w:rsidRPr="00053C79">
        <w:t xml:space="preserve"> apropiadas para los múltiples retos que presenta el desarrollo, como complemento de la Convención de 2005 sobre la Protección y Pro</w:t>
      </w:r>
      <w:r w:rsidRPr="00220C1E">
        <w:t>moción de la Diversidad de Expresiones Culturales y, en particular, sus Directrices Operativas (</w:t>
      </w:r>
      <w:hyperlink r:id="rId27">
        <w:r w:rsidR="006C3C5F">
          <w:t>artículo</w:t>
        </w:r>
        <w:r w:rsidRPr="00220C1E">
          <w:t xml:space="preserve"> 13 – Integración de la Cultura en el Desarrollo Sostenible</w:t>
        </w:r>
      </w:hyperlink>
      <w:r w:rsidRPr="00220C1E">
        <w:t xml:space="preserve">). </w:t>
      </w:r>
    </w:p>
    <w:p w:rsidR="00153345" w:rsidRPr="00053C79" w:rsidRDefault="00153345" w:rsidP="00FA35D0">
      <w:pPr>
        <w:pStyle w:val="COMPara"/>
        <w:numPr>
          <w:ilvl w:val="0"/>
          <w:numId w:val="9"/>
        </w:numPr>
        <w:ind w:left="567" w:hanging="567"/>
        <w:jc w:val="both"/>
      </w:pPr>
      <w:r w:rsidRPr="00220C1E">
        <w:t xml:space="preserve">El proyecto propuesto </w:t>
      </w:r>
      <w:r w:rsidR="00DC3FAD">
        <w:t xml:space="preserve">para el </w:t>
      </w:r>
      <w:r w:rsidRPr="00DC3FAD">
        <w:t xml:space="preserve">Capítulo VI de las Directrices Operativas presentado aquí en </w:t>
      </w:r>
      <w:r w:rsidR="00DC3FAD">
        <w:t>la Parte II del</w:t>
      </w:r>
      <w:r w:rsidR="00DC3FAD" w:rsidRPr="00DC3FAD">
        <w:t xml:space="preserve"> </w:t>
      </w:r>
      <w:r w:rsidRPr="00DC3FAD">
        <w:t xml:space="preserve">Anexo sigue la secuencia de la Agenda 2030 para el Desarrollo Sostenible adoptada en septiembre de 2015 en la Cumbre de las Naciones Unidas sobre Desarrollo Sostenible, al reflejar la indivisibilidad y la interrelación de las tres dimensiones de desarrollo sostenible y a la vez integrar en todo el documento la protección y el respeto de los derechos humanos como principio general. Este proyecto de capítulo propuesto se basa en gran medida en </w:t>
      </w:r>
      <w:r w:rsidR="00DC3FAD">
        <w:t>el</w:t>
      </w:r>
      <w:r w:rsidR="00DC3FAD" w:rsidRPr="00DC3FAD">
        <w:t xml:space="preserve"> </w:t>
      </w:r>
      <w:r w:rsidRPr="00DC3FAD">
        <w:t xml:space="preserve">vocabulario y conceptos </w:t>
      </w:r>
      <w:r w:rsidR="00DC3FAD" w:rsidRPr="00DC3FAD">
        <w:t>específico</w:t>
      </w:r>
      <w:r w:rsidR="00DC3FAD">
        <w:t>s</w:t>
      </w:r>
      <w:r w:rsidR="00DC3FAD" w:rsidRPr="00DC3FAD">
        <w:t xml:space="preserve"> </w:t>
      </w:r>
      <w:r w:rsidRPr="00DC3FAD">
        <w:t xml:space="preserve">de la Convención, mientras que las Directrices Operativas existentes son menos claras acerca de los vínculos entre la salvaguardia del patrimonio cultural inmaterial y el desarrollo sostenible. La introducción de la noción de desarrollo equitativo también tuvo en cuenta el trabajo análogo llevado a cabo dentro del marco de la Convención de 1972 sobre la protección del patrimonio mundial, cultural y natural que resultó en la elaboración de un </w:t>
      </w:r>
      <w:hyperlink r:id="rId28">
        <w:r w:rsidRPr="00220C1E">
          <w:t xml:space="preserve">documento </w:t>
        </w:r>
        <w:r w:rsidR="00136879">
          <w:t>de política</w:t>
        </w:r>
        <w:r w:rsidR="00136879" w:rsidRPr="00136879">
          <w:t xml:space="preserve"> </w:t>
        </w:r>
        <w:r w:rsidRPr="00136879">
          <w:t>para la integración de una perspectiva de desarrollo sostenible en los procesos de la Convención del Patrimonio Mundial</w:t>
        </w:r>
      </w:hyperlink>
      <w:r w:rsidRPr="00053C79">
        <w:t xml:space="preserve"> aprobada por el Comité del Patrimonio Mundial en su 39ª reunión en junio de 2015.</w:t>
      </w:r>
    </w:p>
    <w:p w:rsidR="00153345" w:rsidRPr="00220C1E" w:rsidRDefault="00153345" w:rsidP="00FA35D0">
      <w:pPr>
        <w:pStyle w:val="COMPara"/>
        <w:numPr>
          <w:ilvl w:val="0"/>
          <w:numId w:val="9"/>
        </w:numPr>
        <w:ind w:left="567" w:hanging="567"/>
        <w:jc w:val="both"/>
      </w:pPr>
      <w:r w:rsidRPr="00220C1E">
        <w:t xml:space="preserve">El proyecto propuesto </w:t>
      </w:r>
      <w:r w:rsidR="00136879">
        <w:t xml:space="preserve">para el </w:t>
      </w:r>
      <w:r w:rsidRPr="00136879">
        <w:t>Capítulo VI de las Directrices Operativas también responde a las lagunas señaladas en la evaluación del IOS de 2013 donde destacaban que en las Directrices Operativas «no se explica de qué manera el PCI puede fomentar el desarrollo sostenible, no se indica si algunos ámbitos específicos del PCI pueden fomentar más que otros el desarrollo sostenible, y tampoco se examinan las relaciones entre las medidas propuestas para salvaguardar el PCI y otro tipo de medidas que los países podrían adoptar para fomentar el desarrollo sostenible». El texto propuesto aborda la observación</w:t>
      </w:r>
      <w:r w:rsidRPr="00053C79">
        <w:t xml:space="preserve"> de la misma evaluación del IOS que «si bien las personas involucradas en</w:t>
      </w:r>
      <w:r w:rsidRPr="00220C1E">
        <w:t xml:space="preserve"> la aplicación de la Convención han considerado en general que esas vinculaciones eran importantes, todavía queda mucho por hacer para clarificar su índole, determinar su potencial para el desarrollo sostenible y la viabilidad del PCI, e identificar los posibles riesgos que el desarrollo puede entrañar para el PCI cuando no es sostenible» (</w:t>
      </w:r>
      <w:hyperlink r:id="rId29">
        <w:r w:rsidRPr="00220C1E">
          <w:t>Documento IOS/EVS/PI/129</w:t>
        </w:r>
      </w:hyperlink>
      <w:r w:rsidRPr="00220C1E">
        <w:t>).</w:t>
      </w:r>
    </w:p>
    <w:p w:rsidR="00153345" w:rsidRPr="00136879" w:rsidRDefault="00136879" w:rsidP="00FA35D0">
      <w:pPr>
        <w:pStyle w:val="COMPara"/>
        <w:numPr>
          <w:ilvl w:val="0"/>
          <w:numId w:val="9"/>
        </w:numPr>
        <w:ind w:left="567" w:hanging="567"/>
        <w:jc w:val="both"/>
      </w:pPr>
      <w:r w:rsidRPr="00220C1E">
        <w:t>As</w:t>
      </w:r>
      <w:r>
        <w:t>i</w:t>
      </w:r>
      <w:r w:rsidR="00153345" w:rsidRPr="00136879">
        <w:t xml:space="preserve">mismo, el </w:t>
      </w:r>
      <w:r>
        <w:t>proyecto</w:t>
      </w:r>
      <w:r w:rsidR="00153345" w:rsidRPr="00136879">
        <w:t xml:space="preserve"> presentado trata de </w:t>
      </w:r>
      <w:r>
        <w:t>asesorar</w:t>
      </w:r>
      <w:r w:rsidRPr="00136879">
        <w:t xml:space="preserve"> </w:t>
      </w:r>
      <w:r w:rsidR="00153345" w:rsidRPr="00136879">
        <w:t xml:space="preserve">a los Estados Partes de una manera coherente y concreta acerca de medidas que podrían aplicar para dar </w:t>
      </w:r>
      <w:r w:rsidRPr="00136879">
        <w:t xml:space="preserve">al potencial que la Convención </w:t>
      </w:r>
      <w:r>
        <w:t xml:space="preserve">verdadero </w:t>
      </w:r>
      <w:r w:rsidR="00153345" w:rsidRPr="00136879">
        <w:t xml:space="preserve">efecto y sustancia como herramienta para lograr el desarrollo sostenible. El </w:t>
      </w:r>
      <w:r>
        <w:t>proyecto</w:t>
      </w:r>
      <w:r w:rsidRPr="00136879">
        <w:t xml:space="preserve"> </w:t>
      </w:r>
      <w:r w:rsidR="00153345" w:rsidRPr="00136879">
        <w:t xml:space="preserve">propuesto </w:t>
      </w:r>
      <w:r>
        <w:t>para el</w:t>
      </w:r>
      <w:r w:rsidRPr="00136879">
        <w:t xml:space="preserve"> </w:t>
      </w:r>
      <w:r w:rsidR="00153345" w:rsidRPr="00136879">
        <w:t xml:space="preserve">Capítulo VI de las Directrices Operativas en particular tiene el objetivo de ayudar a los Estados Partes a apreciar mejor los vínculos entre salvaguardar el patrimonio cultural inmaterial y el desarrollo sostenible. </w:t>
      </w:r>
      <w:r w:rsidRPr="00136879">
        <w:t>As</w:t>
      </w:r>
      <w:r>
        <w:t>i</w:t>
      </w:r>
      <w:r w:rsidR="00153345" w:rsidRPr="00136879">
        <w:t xml:space="preserve">mismo, busca orientar a los Estados Partes para que logren una mejor integración de la salvaguardia del patrimonio cultural inmaterial en la formulación y aplicación de políticas y estrategias </w:t>
      </w:r>
      <w:r w:rsidR="00153345" w:rsidRPr="00136879">
        <w:lastRenderedPageBreak/>
        <w:t xml:space="preserve">nacionales de desarrollo. Si bien este capítulo fomenta un enfoque participativo, también se ha elaborado para ayudar a varios tipos de actores en la prevención y atenuación de acciones excesivas que podrían poner en riesgo la viabilidad del patrimonio vivo. </w:t>
      </w:r>
    </w:p>
    <w:p w:rsidR="00D029DC" w:rsidRPr="00053C79" w:rsidRDefault="00D029DC" w:rsidP="000520EB">
      <w:pPr>
        <w:pStyle w:val="COMPara"/>
        <w:numPr>
          <w:ilvl w:val="0"/>
          <w:numId w:val="9"/>
        </w:numPr>
        <w:ind w:left="567" w:hanging="567"/>
        <w:jc w:val="both"/>
      </w:pPr>
      <w:r w:rsidRPr="00136879">
        <w:t xml:space="preserve">El nuevo </w:t>
      </w:r>
      <w:r w:rsidR="00136879">
        <w:t>Capítulo IV</w:t>
      </w:r>
      <w:r w:rsidR="001C4C46">
        <w:t xml:space="preserve"> </w:t>
      </w:r>
      <w:r w:rsidRPr="00136879">
        <w:t xml:space="preserve">de las Directrices Operativas está incluido en </w:t>
      </w:r>
      <w:r w:rsidR="00136879">
        <w:t>la Parte II d</w:t>
      </w:r>
      <w:r w:rsidRPr="00136879">
        <w:t>el Anexo del presente documento.</w:t>
      </w:r>
    </w:p>
    <w:p w:rsidR="002F312A" w:rsidRPr="002B5B77" w:rsidRDefault="002F312A" w:rsidP="00600B1B">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cs="Arial"/>
          <w:b/>
          <w:sz w:val="22"/>
          <w:szCs w:val="22"/>
        </w:rPr>
      </w:pPr>
      <w:r w:rsidRPr="002B5B77">
        <w:rPr>
          <w:rFonts w:ascii="Arial" w:hAnsi="Arial" w:cs="Arial"/>
          <w:b/>
          <w:sz w:val="22"/>
          <w:szCs w:val="22"/>
        </w:rPr>
        <w:t>Informes periódicos</w:t>
      </w:r>
    </w:p>
    <w:p w:rsidR="00AB77CF" w:rsidRPr="00220C1E" w:rsidRDefault="002E1C03" w:rsidP="00E96EFA">
      <w:pPr>
        <w:pStyle w:val="COMPara"/>
        <w:numPr>
          <w:ilvl w:val="0"/>
          <w:numId w:val="9"/>
        </w:numPr>
        <w:ind w:left="567" w:hanging="567"/>
        <w:jc w:val="both"/>
      </w:pPr>
      <w:r w:rsidRPr="00220C1E">
        <w:t xml:space="preserve">En su octava reunión, en el momento de examinar la evaluación de la Convención de 2003 para la Salvaguardia del Patrimonio Cultural Inmaterial que llevó a cabo la Oficina de Control Interno de la UNESCO (IOS) (Documento </w:t>
      </w:r>
      <w:hyperlink r:id="rId30">
        <w:r w:rsidRPr="00220C1E">
          <w:rPr>
            <w:rStyle w:val="Hyperlink"/>
          </w:rPr>
          <w:t>ITH/13/8.COM/INF.5.c</w:t>
        </w:r>
      </w:hyperlink>
      <w:r w:rsidRPr="00220C1E">
        <w:t>), el Comité reconoció la necesidad de revisar las Directrices Operativas de manera periódica para incluir distintos temas cuya importancia es cada vez más relevante en la aplicación de la Convención. En general, se estimó que si bien los informes periódicos proporcionan una fuente muy valiosa de información acerca de la aplicación de la Convención, por sí solos no proporcionan toda la información necesaria.</w:t>
      </w:r>
    </w:p>
    <w:p w:rsidR="00505ABE" w:rsidRPr="00220C1E" w:rsidRDefault="00DB2D36" w:rsidP="00E96EFA">
      <w:pPr>
        <w:pStyle w:val="COMPara"/>
        <w:numPr>
          <w:ilvl w:val="0"/>
          <w:numId w:val="9"/>
        </w:numPr>
        <w:ind w:left="567" w:hanging="567"/>
        <w:jc w:val="both"/>
      </w:pPr>
      <w:r w:rsidRPr="00220C1E">
        <w:t xml:space="preserve">Existía una necesidad real de incluir una importante cantidad de conceptos en las Directrices Operativas y en los formularios de </w:t>
      </w:r>
      <w:r w:rsidR="00136879">
        <w:t xml:space="preserve">rendición de </w:t>
      </w:r>
      <w:r w:rsidRPr="00136879">
        <w:t>informe; por ejemplo, no existía una referencia específica al desarrollo de políticas/legislaciones relativas al patrimonio cultural inmaterial, si bien la Convención (</w:t>
      </w:r>
      <w:r w:rsidR="006C3C5F">
        <w:t>artículo</w:t>
      </w:r>
      <w:r w:rsidRPr="0092706B">
        <w:t xml:space="preserve"> 13) </w:t>
      </w:r>
      <w:r w:rsidR="00136879">
        <w:t>insta</w:t>
      </w:r>
      <w:r w:rsidR="00136879" w:rsidRPr="0092706B">
        <w:t xml:space="preserve"> </w:t>
      </w:r>
      <w:r w:rsidRPr="0092706B">
        <w:t xml:space="preserve">a los Estados Partes a adoptar una política general </w:t>
      </w:r>
      <w:r w:rsidR="00136879">
        <w:t xml:space="preserve">encaminada a realzar </w:t>
      </w:r>
      <w:r w:rsidRPr="0092706B">
        <w:t xml:space="preserve"> la función del patrimonio cultural inmaterial en la soci</w:t>
      </w:r>
      <w:r w:rsidRPr="005557B3">
        <w:t xml:space="preserve">edad. </w:t>
      </w:r>
      <w:r w:rsidR="00136879" w:rsidRPr="005557B3">
        <w:t>As</w:t>
      </w:r>
      <w:r w:rsidR="00136879">
        <w:t>i</w:t>
      </w:r>
      <w:r w:rsidRPr="005557B3">
        <w:t xml:space="preserve">mismo, las Directrices Operativas y los formularios de </w:t>
      </w:r>
      <w:r w:rsidR="00136879">
        <w:t xml:space="preserve">rendición de </w:t>
      </w:r>
      <w:r w:rsidRPr="005557B3">
        <w:t>informe</w:t>
      </w:r>
      <w:r w:rsidR="00136879">
        <w:t>s</w:t>
      </w:r>
      <w:r w:rsidRPr="005557B3">
        <w:t xml:space="preserve"> no requerían que los Estados Partes proporcionasen información acerca de si se estaban tratando las cuestiones de género y de qué manera en el desarrollo de la política</w:t>
      </w:r>
      <w:r w:rsidR="00136879">
        <w:t>s</w:t>
      </w:r>
      <w:r w:rsidRPr="005557B3">
        <w:t xml:space="preserve"> y </w:t>
      </w:r>
      <w:r w:rsidR="00136879">
        <w:t xml:space="preserve">en </w:t>
      </w:r>
      <w:r w:rsidRPr="005557B3">
        <w:t xml:space="preserve">la salvaguardia y esto se sentía como una oportunidad desaprovechada para sensibilizar acerca de este tema tan importante así como para recolectar información relevante y prácticas ejemplares. Por todas estas razones, el Comité decidió revisar las Directrices Operativas </w:t>
      </w:r>
      <w:r w:rsidR="00136879">
        <w:t>sobre</w:t>
      </w:r>
      <w:r w:rsidR="00136879" w:rsidRPr="005557B3">
        <w:t xml:space="preserve"> </w:t>
      </w:r>
      <w:r w:rsidRPr="005557B3">
        <w:t xml:space="preserve">informes periódicos «para incluir cuestiones específicas sobre política, legislación y género y para garantizar que los informes se centran en los resultados y actividades de tal manera que alivien la carga de los Estados Partes involucrados y de la </w:t>
      </w:r>
      <w:r w:rsidRPr="001A298C">
        <w:t>Secretaría» (Decisiones </w:t>
      </w:r>
      <w:hyperlink r:id="rId31">
        <w:r w:rsidRPr="00220C1E">
          <w:rPr>
            <w:rStyle w:val="Hyperlink"/>
          </w:rPr>
          <w:t>8.COM 5.c.1</w:t>
        </w:r>
      </w:hyperlink>
      <w:r w:rsidRPr="00220C1E">
        <w:t xml:space="preserve"> y </w:t>
      </w:r>
      <w:hyperlink r:id="rId32">
        <w:r w:rsidRPr="00220C1E">
          <w:rPr>
            <w:rStyle w:val="Hyperlink"/>
          </w:rPr>
          <w:t>8.COM 6.a</w:t>
        </w:r>
      </w:hyperlink>
      <w:r w:rsidRPr="00220C1E">
        <w:t>).</w:t>
      </w:r>
    </w:p>
    <w:p w:rsidR="00AB77CF" w:rsidRPr="00220C1E" w:rsidRDefault="00A46E1A" w:rsidP="00FA35D0">
      <w:pPr>
        <w:pStyle w:val="COMPara"/>
        <w:numPr>
          <w:ilvl w:val="0"/>
          <w:numId w:val="9"/>
        </w:numPr>
        <w:ind w:left="567" w:hanging="567"/>
        <w:jc w:val="both"/>
      </w:pPr>
      <w:r w:rsidRPr="00220C1E">
        <w:t>A partir de los hallazgos de la evaluación de la IOS, el Comité también pudo analizar el papel de las ONG en el ejercicio de</w:t>
      </w:r>
      <w:r w:rsidR="00136879">
        <w:t xml:space="preserve"> rendición de</w:t>
      </w:r>
      <w:r w:rsidRPr="00136879">
        <w:t xml:space="preserve"> informes. Los Estados Partes presentan informes periódicos en los que principalmente se ofrece la perspectiva del gobierno, si bien ya se ha </w:t>
      </w:r>
      <w:r w:rsidR="00136879">
        <w:t>instado</w:t>
      </w:r>
      <w:r w:rsidR="00136879" w:rsidRPr="00136879">
        <w:t xml:space="preserve"> </w:t>
      </w:r>
      <w:r w:rsidRPr="00136879">
        <w:t>a los Estados a que involucren a las comunidades, los grupos y los individuos interesados en dichos informes. Dado que estos últimos, junto con las ONG y otros actores, juegan un papel clave en la aplicación de la Convención, se considera que ningún monitoreo y seguimiento general estará co</w:t>
      </w:r>
      <w:r w:rsidRPr="00053C79">
        <w:t>mpleto sin tener en cuenta sus perspectivas. Por esta razón, el Comité señaló la importancia de «alentar a los Estados Partes a compleme</w:t>
      </w:r>
      <w:r w:rsidRPr="00220C1E">
        <w:t xml:space="preserve">ntar sus datos recopilados acerca de la aplicación de la Convención a través de Informes Periódicos presentados por </w:t>
      </w:r>
      <w:r w:rsidR="00136879">
        <w:t>los Estados Partes</w:t>
      </w:r>
      <w:r w:rsidR="00136879" w:rsidRPr="00136879">
        <w:t xml:space="preserve"> </w:t>
      </w:r>
      <w:r w:rsidRPr="00136879">
        <w:t xml:space="preserve">y en los que se incluya información proporcionada por ONG </w:t>
      </w:r>
      <w:r w:rsidR="00136879">
        <w:t>pertinentes</w:t>
      </w:r>
      <w:r w:rsidRPr="00136879">
        <w:t xml:space="preserve">» (Decisiones </w:t>
      </w:r>
      <w:hyperlink r:id="rId33">
        <w:r w:rsidRPr="00220C1E">
          <w:rPr>
            <w:rStyle w:val="Hyperlink"/>
          </w:rPr>
          <w:t>8.COM 5.c.1</w:t>
        </w:r>
      </w:hyperlink>
      <w:r w:rsidRPr="00220C1E">
        <w:t xml:space="preserve">, </w:t>
      </w:r>
      <w:hyperlink r:id="rId34">
        <w:r w:rsidRPr="00220C1E">
          <w:rPr>
            <w:rStyle w:val="Hyperlink"/>
          </w:rPr>
          <w:t>8.COM 6.a</w:t>
        </w:r>
      </w:hyperlink>
      <w:r w:rsidRPr="00220C1E">
        <w:t xml:space="preserve"> y </w:t>
      </w:r>
      <w:hyperlink r:id="rId35">
        <w:r w:rsidRPr="00220C1E">
          <w:rPr>
            <w:rStyle w:val="Hyperlink"/>
          </w:rPr>
          <w:t>8.COM 14.b</w:t>
        </w:r>
      </w:hyperlink>
      <w:r w:rsidRPr="00220C1E">
        <w:t>).</w:t>
      </w:r>
    </w:p>
    <w:p w:rsidR="002E1C03" w:rsidRPr="00220C1E" w:rsidRDefault="00A24400" w:rsidP="002B2E88">
      <w:pPr>
        <w:pStyle w:val="COMPara"/>
        <w:numPr>
          <w:ilvl w:val="0"/>
          <w:numId w:val="9"/>
        </w:numPr>
        <w:ind w:left="567" w:hanging="567"/>
        <w:jc w:val="both"/>
      </w:pPr>
      <w:r w:rsidRPr="00220C1E">
        <w:t xml:space="preserve">Durante su novena reunión, el Comité examinó una serie de revisiones del Capítulo V de las Directrices Operativas sobre informes propuestas por la Secretaría, basadas en las decisiones mencionadas más arriba y </w:t>
      </w:r>
      <w:r w:rsidR="00053C79">
        <w:t>recomendó</w:t>
      </w:r>
      <w:r w:rsidR="00053C79" w:rsidRPr="00053C79">
        <w:t xml:space="preserve"> </w:t>
      </w:r>
      <w:r w:rsidRPr="00053C79">
        <w:t xml:space="preserve">a la Asamblea General que apruebe las enmiendas incluidas en el anexo de la Decisión </w:t>
      </w:r>
      <w:hyperlink r:id="rId36">
        <w:r w:rsidRPr="00220C1E">
          <w:rPr>
            <w:rStyle w:val="Hyperlink"/>
          </w:rPr>
          <w:t>9.COM 13.a</w:t>
        </w:r>
      </w:hyperlink>
      <w:r w:rsidRPr="00220C1E">
        <w:t>. En gran medida, estas revisiones recurren al lenguaje específico de la Convención ahí donde las Directrices existentes son menos explícitas y por consecuencia, menos claras.</w:t>
      </w:r>
    </w:p>
    <w:p w:rsidR="002F312A" w:rsidRPr="00053C79" w:rsidRDefault="002E1C03" w:rsidP="00D029DC">
      <w:pPr>
        <w:pStyle w:val="COMPara"/>
        <w:numPr>
          <w:ilvl w:val="0"/>
          <w:numId w:val="9"/>
        </w:numPr>
        <w:ind w:left="567" w:hanging="567"/>
        <w:jc w:val="both"/>
      </w:pPr>
      <w:r w:rsidRPr="00220C1E">
        <w:t>Además de las revisiones solicitadas específicamente por el Comité tal como se menciona anteriormente, se adoptaron revisiones adicionales en los párrafos 152, 161 y 169 de las Directrices Operativas para armonizar el lenguaje utilizado en los formularios de</w:t>
      </w:r>
      <w:r w:rsidR="00053C79">
        <w:t xml:space="preserve"> rendición de</w:t>
      </w:r>
      <w:r w:rsidRPr="00053C79">
        <w:t xml:space="preserve"> informes (ICH-10 y ICH-11) con el utilizado en </w:t>
      </w:r>
      <w:r w:rsidR="00053C79" w:rsidRPr="00053C79">
        <w:t>los</w:t>
      </w:r>
      <w:r w:rsidR="00053C79">
        <w:t xml:space="preserve"> formularios </w:t>
      </w:r>
      <w:r w:rsidRPr="00053C79">
        <w:t xml:space="preserve">de candidatura (en los párrafos 20 y 23) y en los de acreditación de las ONG (en el párrafo 98). De manera similar, </w:t>
      </w:r>
      <w:r w:rsidRPr="00053C79">
        <w:lastRenderedPageBreak/>
        <w:t xml:space="preserve">el texto del párrafo 166 se revisó para ajustarse a las prácticas existentes para los documentos de trabajo del Comité. Todas las revisiones propuestas de las Directrices Operativas relativas a los informes periódicos están incluidas en </w:t>
      </w:r>
      <w:r w:rsidR="00053C79">
        <w:t>la Parte III del</w:t>
      </w:r>
      <w:r w:rsidR="00053C79" w:rsidRPr="00053C79">
        <w:t xml:space="preserve"> </w:t>
      </w:r>
      <w:r w:rsidRPr="00053C79">
        <w:t>Anexo del presente documento.</w:t>
      </w:r>
    </w:p>
    <w:p w:rsidR="002F312A" w:rsidRPr="002B5B77" w:rsidRDefault="002F312A" w:rsidP="00600B1B">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cs="Arial"/>
          <w:b/>
          <w:sz w:val="22"/>
          <w:szCs w:val="22"/>
        </w:rPr>
      </w:pPr>
      <w:r w:rsidRPr="002B5B77">
        <w:rPr>
          <w:rFonts w:ascii="Arial" w:hAnsi="Arial" w:cs="Arial"/>
          <w:b/>
          <w:sz w:val="22"/>
          <w:szCs w:val="22"/>
        </w:rPr>
        <w:t>Opción de remisión</w:t>
      </w:r>
    </w:p>
    <w:p w:rsidR="00F32FF0" w:rsidRPr="00220C1E" w:rsidRDefault="00F32FF0" w:rsidP="00FA35D0">
      <w:pPr>
        <w:pStyle w:val="COMPara"/>
        <w:numPr>
          <w:ilvl w:val="0"/>
          <w:numId w:val="9"/>
        </w:numPr>
        <w:ind w:left="567" w:hanging="567"/>
        <w:jc w:val="both"/>
      </w:pPr>
      <w:r w:rsidRPr="00220C1E">
        <w:t xml:space="preserve">La opción de remisión, disponible hasta ahora solamente para las candidaturas a la Lista </w:t>
      </w:r>
      <w:r w:rsidR="00053C79">
        <w:t>r</w:t>
      </w:r>
      <w:r w:rsidR="00053C79" w:rsidRPr="00053C79">
        <w:t xml:space="preserve">epresentativa </w:t>
      </w:r>
      <w:r w:rsidRPr="00053C79">
        <w:t xml:space="preserve">del </w:t>
      </w:r>
      <w:r w:rsidR="00053C79">
        <w:t>p</w:t>
      </w:r>
      <w:r w:rsidR="00053C79" w:rsidRPr="00053C79">
        <w:t xml:space="preserve">atrimonio </w:t>
      </w:r>
      <w:r w:rsidR="00053C79">
        <w:t>c</w:t>
      </w:r>
      <w:r w:rsidR="00053C79" w:rsidRPr="00053C79">
        <w:t xml:space="preserve">ultural </w:t>
      </w:r>
      <w:r w:rsidR="00053C79">
        <w:t>i</w:t>
      </w:r>
      <w:r w:rsidR="00053C79" w:rsidRPr="00053C79">
        <w:t xml:space="preserve">nmaterial </w:t>
      </w:r>
      <w:r w:rsidRPr="00053C79">
        <w:t xml:space="preserve">de la </w:t>
      </w:r>
      <w:r w:rsidR="00053C79">
        <w:t>h</w:t>
      </w:r>
      <w:r w:rsidR="00053C79" w:rsidRPr="00053C79">
        <w:t>umanidad</w:t>
      </w:r>
      <w:r w:rsidRPr="00053C79">
        <w:t>, fue introducida en las Directrices Operativas por la Asamblea General en su tercera reunión en ju</w:t>
      </w:r>
      <w:r w:rsidRPr="00220C1E">
        <w:t>nio de 2010 (</w:t>
      </w:r>
      <w:hyperlink r:id="rId37" w:history="1">
        <w:r w:rsidRPr="00495322">
          <w:rPr>
            <w:rStyle w:val="Hyperlink"/>
          </w:rPr>
          <w:t>Resolución 3 GA 5</w:t>
        </w:r>
      </w:hyperlink>
      <w:r w:rsidRPr="00220C1E">
        <w:t>). En su cuarta reunión en junio de 2012, la Asamblea instó al Comité a empezar un proceso de reflexión acerca de la experiencia adquirida en la aplicación de la opción de remisión e informar acerca de este proceso (</w:t>
      </w:r>
      <w:hyperlink r:id="rId38" w:history="1">
        <w:r w:rsidRPr="00495322">
          <w:rPr>
            <w:rStyle w:val="Hyperlink"/>
          </w:rPr>
          <w:t>Resolución 4.GA 5</w:t>
        </w:r>
      </w:hyperlink>
      <w:r w:rsidRPr="00220C1E">
        <w:t>). El Comité comenzó esta reflexión en su séptima reunión (</w:t>
      </w:r>
      <w:hyperlink r:id="rId39" w:history="1">
        <w:r w:rsidRPr="00495322">
          <w:rPr>
            <w:rStyle w:val="Hyperlink"/>
          </w:rPr>
          <w:t>Documento ITH/12/7.COM 13.a</w:t>
        </w:r>
      </w:hyperlink>
      <w:r w:rsidRPr="00220C1E">
        <w:t>) y continuó en las reuniones octava (</w:t>
      </w:r>
      <w:hyperlink r:id="rId40" w:history="1">
        <w:r w:rsidR="00495322">
          <w:rPr>
            <w:rStyle w:val="Hyperlink"/>
          </w:rPr>
          <w:t>Documento ITH/13/8.COM </w:t>
        </w:r>
        <w:r w:rsidRPr="00495322">
          <w:rPr>
            <w:rStyle w:val="Hyperlink"/>
          </w:rPr>
          <w:t>13.b</w:t>
        </w:r>
      </w:hyperlink>
      <w:r w:rsidRPr="00220C1E">
        <w:t>), novena (</w:t>
      </w:r>
      <w:hyperlink r:id="rId41" w:history="1">
        <w:r w:rsidRPr="00495322">
          <w:rPr>
            <w:rStyle w:val="Hyperlink"/>
          </w:rPr>
          <w:t>Documento ITH/14/9.COM 13.c</w:t>
        </w:r>
      </w:hyperlink>
      <w:r w:rsidRPr="00220C1E">
        <w:t>) y décima (</w:t>
      </w:r>
      <w:hyperlink r:id="rId42" w:history="1">
        <w:r w:rsidRPr="00495322">
          <w:rPr>
            <w:rStyle w:val="Hyperlink"/>
          </w:rPr>
          <w:t>Documento ITH/15/10.COM 14.b</w:t>
        </w:r>
      </w:hyperlink>
      <w:r w:rsidRPr="00220C1E">
        <w:t>).</w:t>
      </w:r>
    </w:p>
    <w:p w:rsidR="00F32FF0" w:rsidRPr="00053C79" w:rsidRDefault="00F32FF0" w:rsidP="00FA35D0">
      <w:pPr>
        <w:pStyle w:val="COMPara"/>
        <w:numPr>
          <w:ilvl w:val="0"/>
          <w:numId w:val="9"/>
        </w:numPr>
        <w:ind w:left="567" w:hanging="567"/>
        <w:jc w:val="both"/>
      </w:pPr>
      <w:r w:rsidRPr="00220C1E">
        <w:t xml:space="preserve">Tal como han enfatizado repetidamente los órganos de evaluación y el propio Comité, las candidaturas para la inscripción en las Listas de la Convención, la selección de propuestas para el registro de programas, proyectos y actividades </w:t>
      </w:r>
      <w:r w:rsidR="00053C79" w:rsidRPr="00D36523">
        <w:t>seleccionados</w:t>
      </w:r>
      <w:r w:rsidR="00053C79" w:rsidRPr="00053C79">
        <w:t xml:space="preserve"> </w:t>
      </w:r>
      <w:r w:rsidRPr="00053C79">
        <w:t xml:space="preserve">así como las </w:t>
      </w:r>
      <w:r w:rsidR="00053C79">
        <w:t>solicitudes</w:t>
      </w:r>
      <w:r w:rsidR="00053C79" w:rsidRPr="00053C79">
        <w:t xml:space="preserve"> </w:t>
      </w:r>
      <w:r w:rsidRPr="00053C79">
        <w:t xml:space="preserve">de asistencia internacional se evalúan y examinan solamente en base a la información incluida en el expediente relevante y en sus anexos requeridos. También se ha destacado que ni el Comité ni los órganos de evaluación </w:t>
      </w:r>
      <w:r w:rsidR="00053C79">
        <w:t>emiten</w:t>
      </w:r>
      <w:r w:rsidR="00053C79" w:rsidRPr="00053C79">
        <w:t xml:space="preserve"> </w:t>
      </w:r>
      <w:r w:rsidRPr="00053C79">
        <w:t>juicios acerca del elemento, proyecto o actividad subyacente al expediente. El Estado que presente la candidatura deberá proporcionar información para demostrar que se cumplen los criterios relevantes. En la gran mayoría de los casos en los que un elemento no se pudo inscribir, u</w:t>
      </w:r>
      <w:r w:rsidRPr="00220C1E">
        <w:t xml:space="preserve">n proyecto seleccionar o una asistencia internacional aprobar, los órganos de evaluación y el Comité llegaron a la conclusión que la información proporcionada no era adecuada para demostrar que </w:t>
      </w:r>
      <w:r w:rsidR="00053C79" w:rsidRPr="00090369">
        <w:t>se satisfacían</w:t>
      </w:r>
      <w:r w:rsidR="00053C79" w:rsidRPr="00053C79">
        <w:t xml:space="preserve"> </w:t>
      </w:r>
      <w:r w:rsidRPr="00053C79">
        <w:t>los criterios.</w:t>
      </w:r>
    </w:p>
    <w:p w:rsidR="00F32FF0" w:rsidRPr="00053C79" w:rsidRDefault="00F32FF0" w:rsidP="00FA35D0">
      <w:pPr>
        <w:pStyle w:val="COMPara"/>
        <w:numPr>
          <w:ilvl w:val="0"/>
          <w:numId w:val="9"/>
        </w:numPr>
        <w:ind w:left="567" w:hanging="567"/>
        <w:jc w:val="both"/>
      </w:pPr>
      <w:r w:rsidRPr="00220C1E">
        <w:t xml:space="preserve">Sin embargo, los expedientes en los que faltaba información obtuvieron distintos resultados para los cuatro mecanismos. En el caso de candidaturas a la Lista del </w:t>
      </w:r>
      <w:r w:rsidR="00053C79">
        <w:t>p</w:t>
      </w:r>
      <w:r w:rsidR="00053C79" w:rsidRPr="00053C79">
        <w:t xml:space="preserve">atrimonio </w:t>
      </w:r>
      <w:r w:rsidR="00053C79">
        <w:t>c</w:t>
      </w:r>
      <w:r w:rsidR="00053C79" w:rsidRPr="00053C79">
        <w:t xml:space="preserve">ultural </w:t>
      </w:r>
      <w:r w:rsidR="00053C79">
        <w:t>i</w:t>
      </w:r>
      <w:r w:rsidR="00053C79" w:rsidRPr="00053C79">
        <w:t xml:space="preserve">nmaterial </w:t>
      </w:r>
      <w:r w:rsidRPr="00053C79">
        <w:t xml:space="preserve">que requiere medidas urgentes de salvaguardia, </w:t>
      </w:r>
      <w:r w:rsidR="00053C79">
        <w:t xml:space="preserve">de </w:t>
      </w:r>
      <w:r w:rsidRPr="00053C79">
        <w:t xml:space="preserve">propuestas </w:t>
      </w:r>
      <w:r w:rsidR="00053C79">
        <w:t>para el registro</w:t>
      </w:r>
      <w:r w:rsidRPr="00053C79">
        <w:t xml:space="preserve"> de programas, proyectos y actividades seleccionados así como solicitudes de asistencia internacional, dicha conclusión llevó a la decisión de no inscribir, seleccionar o aprobar, mientras que en el caso de las candidaturas a la Lista </w:t>
      </w:r>
      <w:r w:rsidR="00053C79">
        <w:t>r</w:t>
      </w:r>
      <w:r w:rsidR="00053C79" w:rsidRPr="00053C79">
        <w:t xml:space="preserve">epresentativa </w:t>
      </w:r>
      <w:r w:rsidRPr="00053C79">
        <w:t xml:space="preserve">del </w:t>
      </w:r>
      <w:r w:rsidR="00053C79">
        <w:t>p</w:t>
      </w:r>
      <w:r w:rsidR="00053C79" w:rsidRPr="00053C79">
        <w:t xml:space="preserve">atrimonio </w:t>
      </w:r>
      <w:r w:rsidR="00053C79">
        <w:t>c</w:t>
      </w:r>
      <w:r w:rsidR="00053C79" w:rsidRPr="00053C79">
        <w:t xml:space="preserve">ultural </w:t>
      </w:r>
      <w:r w:rsidR="00053C79">
        <w:t>i</w:t>
      </w:r>
      <w:r w:rsidR="00053C79" w:rsidRPr="00053C79">
        <w:t xml:space="preserve">nmaterial </w:t>
      </w:r>
      <w:r w:rsidRPr="00053C79">
        <w:t xml:space="preserve">de la </w:t>
      </w:r>
      <w:r w:rsidR="00053C79">
        <w:t>h</w:t>
      </w:r>
      <w:r w:rsidR="00053C79" w:rsidRPr="00053C79">
        <w:t>umanidad</w:t>
      </w:r>
      <w:r w:rsidRPr="00053C79">
        <w:t>, unas conclusiones similares llevaron a la decisión de remitir la candidatura al Estado que la presentó para obtener información complementaria.</w:t>
      </w:r>
    </w:p>
    <w:p w:rsidR="00F32FF0" w:rsidRPr="00053C79" w:rsidRDefault="00F32FF0" w:rsidP="00FA35D0">
      <w:pPr>
        <w:pStyle w:val="COMPara"/>
        <w:numPr>
          <w:ilvl w:val="0"/>
          <w:numId w:val="9"/>
        </w:numPr>
        <w:ind w:left="567" w:hanging="567"/>
        <w:jc w:val="both"/>
      </w:pPr>
      <w:r w:rsidRPr="00220C1E">
        <w:t xml:space="preserve">Dado que los expedientes de todos los mecanismos de la Convención son evaluados por un único Órgano de </w:t>
      </w:r>
      <w:r w:rsidR="00053C79">
        <w:t>e</w:t>
      </w:r>
      <w:r w:rsidR="00053C79" w:rsidRPr="00053C79">
        <w:t>valuación</w:t>
      </w:r>
      <w:r w:rsidRPr="00053C79">
        <w:t xml:space="preserve">, el Comité consideró apropiado alinear los procesos. </w:t>
      </w:r>
    </w:p>
    <w:p w:rsidR="007B1A78" w:rsidRPr="00053C79" w:rsidRDefault="00F32FF0" w:rsidP="00FA35D0">
      <w:pPr>
        <w:pStyle w:val="COMPara"/>
        <w:numPr>
          <w:ilvl w:val="0"/>
          <w:numId w:val="9"/>
        </w:numPr>
        <w:ind w:left="567" w:hanging="567"/>
        <w:jc w:val="both"/>
      </w:pPr>
      <w:r w:rsidRPr="00220C1E">
        <w:t xml:space="preserve">En consecuencia, el Comité decidió en su novena reunión que la opción de remisión se debería extender a la Lista del </w:t>
      </w:r>
      <w:r w:rsidR="00053C79">
        <w:t>p</w:t>
      </w:r>
      <w:r w:rsidR="00053C79" w:rsidRPr="00053C79">
        <w:t xml:space="preserve">atrimonio </w:t>
      </w:r>
      <w:r w:rsidR="00053C79">
        <w:t>c</w:t>
      </w:r>
      <w:r w:rsidR="00053C79" w:rsidRPr="00053C79">
        <w:t xml:space="preserve">ultural </w:t>
      </w:r>
      <w:r w:rsidR="00053C79">
        <w:t>i</w:t>
      </w:r>
      <w:r w:rsidR="00053C79" w:rsidRPr="00053C79">
        <w:t xml:space="preserve">nmaterial </w:t>
      </w:r>
      <w:r w:rsidRPr="00220C1E">
        <w:t>que requiere medidas urgentes de salvaguardia y que el período de espera de cuatro años se debería suprimir, aunque se seguiría reteniendo la posibilidad de no inscribir un elemento. Por ello, solicitó que la Secretaría propusiera un texto borrador de enmiendas a las Directrices Operativas (</w:t>
      </w:r>
      <w:hyperlink r:id="rId43" w:history="1">
        <w:r w:rsidRPr="00495322">
          <w:rPr>
            <w:rStyle w:val="Hyperlink"/>
          </w:rPr>
          <w:t>Decisión</w:t>
        </w:r>
        <w:r w:rsidR="00495322" w:rsidRPr="00495322">
          <w:rPr>
            <w:rStyle w:val="Hyperlink"/>
          </w:rPr>
          <w:t> </w:t>
        </w:r>
        <w:r w:rsidRPr="00495322">
          <w:rPr>
            <w:rStyle w:val="Hyperlink"/>
          </w:rPr>
          <w:t>9.COM 13.c</w:t>
        </w:r>
      </w:hyperlink>
      <w:r w:rsidRPr="00220C1E">
        <w:t xml:space="preserve">). Por otro lado, el Comité destacó que la decisión de remitir una candidatura al Estado que la presentó de ninguna manera debe entenderse como implicación o garantía de que el elemento se inscribirá en el futuro. Así mismo, el Comité también se reserva la opción de no inscribir en casos en los que la candidatura proporciona suficientes pruebas que demuestren de manera clara que no satisfacen los criterios para ninguna de las listas y de suprimir el período de espera de cuatro años para la Lista </w:t>
      </w:r>
      <w:r w:rsidR="00053C79">
        <w:t>r</w:t>
      </w:r>
      <w:r w:rsidR="00053C79" w:rsidRPr="00053C79">
        <w:t>epresentativa</w:t>
      </w:r>
      <w:r w:rsidRPr="00053C79">
        <w:t>.</w:t>
      </w:r>
    </w:p>
    <w:p w:rsidR="00F32FF0" w:rsidRPr="00053C79" w:rsidRDefault="007B1A78" w:rsidP="00FA35D0">
      <w:pPr>
        <w:pStyle w:val="COMPara"/>
        <w:numPr>
          <w:ilvl w:val="0"/>
          <w:numId w:val="9"/>
        </w:numPr>
        <w:ind w:left="567" w:hanging="567"/>
        <w:jc w:val="both"/>
      </w:pPr>
      <w:r w:rsidRPr="00053C79">
        <w:t xml:space="preserve">Durante su décima reunión, el Comité adoptó </w:t>
      </w:r>
      <w:r w:rsidR="00495322">
        <w:t>(</w:t>
      </w:r>
      <w:hyperlink r:id="rId44" w:history="1">
        <w:r w:rsidR="00495322" w:rsidRPr="00495322">
          <w:rPr>
            <w:rStyle w:val="Hyperlink"/>
          </w:rPr>
          <w:t>Decisión 10.COM 14.b</w:t>
        </w:r>
      </w:hyperlink>
      <w:r w:rsidR="00495322">
        <w:t xml:space="preserve">) </w:t>
      </w:r>
      <w:r w:rsidR="00053C79">
        <w:t>una propuesta de</w:t>
      </w:r>
      <w:r w:rsidR="00053C79" w:rsidRPr="00053C79">
        <w:t xml:space="preserve"> </w:t>
      </w:r>
      <w:r w:rsidRPr="00053C79">
        <w:t xml:space="preserve">enmiendas a las Directrices Operativas sobre la extensión de la opción de remisión a la Lista del </w:t>
      </w:r>
      <w:r w:rsidR="00053C79">
        <w:t>p</w:t>
      </w:r>
      <w:r w:rsidR="00053C79" w:rsidRPr="00053C79">
        <w:t xml:space="preserve">atrimonio </w:t>
      </w:r>
      <w:r w:rsidR="00053C79">
        <w:t>c</w:t>
      </w:r>
      <w:r w:rsidR="00053C79" w:rsidRPr="00053C79">
        <w:t xml:space="preserve">ultural </w:t>
      </w:r>
      <w:r w:rsidR="00053C79">
        <w:t>i</w:t>
      </w:r>
      <w:r w:rsidR="00053C79" w:rsidRPr="00053C79">
        <w:t xml:space="preserve">nmaterial </w:t>
      </w:r>
      <w:r w:rsidRPr="00053C79">
        <w:t xml:space="preserve">que requiere medidas urgentes de salvaguardia así como </w:t>
      </w:r>
      <w:r w:rsidR="00053C79">
        <w:t>al</w:t>
      </w:r>
      <w:r w:rsidRPr="00053C79">
        <w:t xml:space="preserve"> Registro de </w:t>
      </w:r>
      <w:r w:rsidR="00053C79">
        <w:t xml:space="preserve">Mejores </w:t>
      </w:r>
      <w:r w:rsidRPr="00053C79">
        <w:t xml:space="preserve">Prácticas de Salvaguardia y </w:t>
      </w:r>
      <w:r w:rsidR="00053C79">
        <w:t>a la</w:t>
      </w:r>
      <w:r w:rsidRPr="00053C79">
        <w:t xml:space="preserve"> asistencia internacional, en aras de </w:t>
      </w:r>
      <w:r w:rsidRPr="00053C79">
        <w:lastRenderedPageBreak/>
        <w:t xml:space="preserve">la coherencia y la simplicidad. Al mismo tiempo, aprobó reservarse la posibilidad de no inscribir un elemento, </w:t>
      </w:r>
      <w:r w:rsidR="00053C79">
        <w:t>seleccionar</w:t>
      </w:r>
      <w:r w:rsidR="00053C79" w:rsidRPr="00053C79">
        <w:t xml:space="preserve"> </w:t>
      </w:r>
      <w:r w:rsidRPr="00053C79">
        <w:t xml:space="preserve">una propuesta o </w:t>
      </w:r>
      <w:r w:rsidR="00053C79">
        <w:t>aprobar</w:t>
      </w:r>
      <w:r w:rsidR="00053C79" w:rsidRPr="00053C79">
        <w:t xml:space="preserve"> </w:t>
      </w:r>
      <w:r w:rsidRPr="00053C79">
        <w:t xml:space="preserve">una solicitud y de suprimir el período de espera de cuatro años para la Lista </w:t>
      </w:r>
      <w:r w:rsidR="00053C79">
        <w:t>r</w:t>
      </w:r>
      <w:r w:rsidR="00053C79" w:rsidRPr="00053C79">
        <w:t xml:space="preserve">epresentativa </w:t>
      </w:r>
      <w:r w:rsidRPr="00053C79">
        <w:t xml:space="preserve">del </w:t>
      </w:r>
      <w:r w:rsidR="00053C79">
        <w:t>p</w:t>
      </w:r>
      <w:r w:rsidR="00053C79" w:rsidRPr="00053C79">
        <w:t xml:space="preserve">atrimonio </w:t>
      </w:r>
      <w:r w:rsidR="00053C79">
        <w:t>c</w:t>
      </w:r>
      <w:r w:rsidR="00053C79" w:rsidRPr="00053C79">
        <w:t xml:space="preserve">ultural </w:t>
      </w:r>
      <w:r w:rsidR="00053C79">
        <w:t>i</w:t>
      </w:r>
      <w:r w:rsidR="00053C79" w:rsidRPr="00053C79">
        <w:t xml:space="preserve">nmaterial </w:t>
      </w:r>
      <w:r w:rsidRPr="00053C79">
        <w:t xml:space="preserve">de la </w:t>
      </w:r>
      <w:r w:rsidR="00053C79">
        <w:t>h</w:t>
      </w:r>
      <w:r w:rsidR="00053C79" w:rsidRPr="00053C79">
        <w:t>umanidad</w:t>
      </w:r>
      <w:r w:rsidRPr="00053C79">
        <w:t>.</w:t>
      </w:r>
    </w:p>
    <w:p w:rsidR="00D029DC" w:rsidRPr="000A7C17" w:rsidRDefault="00D029DC" w:rsidP="00FA35D0">
      <w:pPr>
        <w:pStyle w:val="COMPara"/>
        <w:numPr>
          <w:ilvl w:val="0"/>
          <w:numId w:val="9"/>
        </w:numPr>
        <w:ind w:left="567" w:hanging="567"/>
        <w:jc w:val="both"/>
      </w:pPr>
      <w:r w:rsidRPr="00220C1E">
        <w:t xml:space="preserve">Las revisiones propuestas a las Directrices Operativas relativas a la Opción de Remisión están incluidas en </w:t>
      </w:r>
      <w:r w:rsidR="000A7C17">
        <w:t>la Parte IV d</w:t>
      </w:r>
      <w:r w:rsidRPr="000A7C17">
        <w:t>el Anexo del presente documento.</w:t>
      </w:r>
    </w:p>
    <w:p w:rsidR="002F312A" w:rsidRPr="002B5B77" w:rsidRDefault="002F312A" w:rsidP="00600B1B">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cs="Arial"/>
          <w:b/>
          <w:sz w:val="22"/>
          <w:szCs w:val="22"/>
        </w:rPr>
      </w:pPr>
      <w:r w:rsidRPr="002B5B77">
        <w:rPr>
          <w:rFonts w:ascii="Arial" w:hAnsi="Arial" w:cs="Arial"/>
          <w:b/>
          <w:sz w:val="22"/>
          <w:szCs w:val="22"/>
        </w:rPr>
        <w:t>Calendario de acreditación de las organizaciones no gubernamentales</w:t>
      </w:r>
    </w:p>
    <w:p w:rsidR="005938FA" w:rsidRPr="000A7C17" w:rsidRDefault="004F5681" w:rsidP="00FA35D0">
      <w:pPr>
        <w:pStyle w:val="COMPara"/>
        <w:numPr>
          <w:ilvl w:val="0"/>
          <w:numId w:val="9"/>
        </w:numPr>
        <w:ind w:left="567" w:hanging="567"/>
        <w:jc w:val="both"/>
      </w:pPr>
      <w:r w:rsidRPr="00220C1E">
        <w:t xml:space="preserve">Las modalidades y procedimientos actuales de acreditación de organizaciones no gubernamentales para proporcionar servicios consultivos al Comité se iniciaron en la primera reunión extraordinaria del Comité (Decisión 1.EXT COM 10). La segunda reunión de la Asamblea General adoptó posteriormente las Directrices Operativas que incluían el calendario </w:t>
      </w:r>
      <w:r w:rsidR="000A7C17">
        <w:t>para el</w:t>
      </w:r>
      <w:r w:rsidR="000A7C17" w:rsidRPr="000A7C17">
        <w:t xml:space="preserve"> </w:t>
      </w:r>
      <w:r w:rsidRPr="000A7C17">
        <w:t>proceso de acreditación de las organizaciones no gubernamentales</w:t>
      </w:r>
      <w:r w:rsidR="00D54F2A" w:rsidRPr="000A7C17">
        <w:t xml:space="preserve"> (</w:t>
      </w:r>
      <w:hyperlink r:id="rId45" w:history="1">
        <w:r w:rsidR="00D54F2A" w:rsidRPr="00495322">
          <w:rPr>
            <w:rStyle w:val="Hyperlink"/>
          </w:rPr>
          <w:t>Resolución 2.GA 5</w:t>
        </w:r>
      </w:hyperlink>
      <w:r w:rsidR="00D54F2A" w:rsidRPr="000A7C17">
        <w:t>)</w:t>
      </w:r>
      <w:r w:rsidRPr="000A7C17">
        <w:t>.</w:t>
      </w:r>
    </w:p>
    <w:p w:rsidR="004430E3" w:rsidRPr="00220C1E" w:rsidRDefault="004430E3" w:rsidP="00FA35D0">
      <w:pPr>
        <w:pStyle w:val="COMPara"/>
        <w:numPr>
          <w:ilvl w:val="0"/>
          <w:numId w:val="9"/>
        </w:numPr>
        <w:ind w:left="567" w:hanging="567"/>
        <w:jc w:val="both"/>
      </w:pPr>
      <w:r w:rsidRPr="00220C1E">
        <w:t>De conformidad con los párrafos 93 y 98 de las Directrices Operativas actuales, el Comité examinará las solicitudes de acreditación de las organizaciones no gubernamentales en cada una de sus reuniones ordinarias y presentará sus recomendaciones a la Asamblea General para que tome la decisión. En cualquier caso, las organizaciones no gubernamentales deberán esperar la acreditación en la Asamblea General que solamente se reúne en los años pares.</w:t>
      </w:r>
    </w:p>
    <w:p w:rsidR="00437B75" w:rsidRPr="00220C1E" w:rsidRDefault="00437B75" w:rsidP="00FA35D0">
      <w:pPr>
        <w:pStyle w:val="COMPara"/>
        <w:numPr>
          <w:ilvl w:val="0"/>
          <w:numId w:val="9"/>
        </w:numPr>
        <w:ind w:left="567" w:hanging="567"/>
        <w:jc w:val="both"/>
      </w:pPr>
      <w:r w:rsidRPr="00220C1E">
        <w:t xml:space="preserve">A causa del cada vez más extenso programa de las recientes reuniones, y teniendo en cuenta la necesidad de dar prioridad al volumen de trabajo de la Secretaría de la Convención según los recursos disponibles, el Comité en su octava reunión reconoció la importancia de racionalizar las tareas y procedimientos en cada reunión del Comité. </w:t>
      </w:r>
    </w:p>
    <w:p w:rsidR="00AF66BB" w:rsidRPr="00220C1E" w:rsidRDefault="00ED5A2A" w:rsidP="00FA35D0">
      <w:pPr>
        <w:pStyle w:val="COMPara"/>
        <w:numPr>
          <w:ilvl w:val="0"/>
          <w:numId w:val="9"/>
        </w:numPr>
        <w:ind w:left="567" w:hanging="567"/>
        <w:jc w:val="both"/>
      </w:pPr>
      <w:r w:rsidRPr="00220C1E">
        <w:t xml:space="preserve">En consecuencia, el Comité en su novena reunión decidió que examinaría solicitudes de acreditación para organizaciones no gubernamentales en sus reuniones ordinarias celebradas en los años impares y recomendó a la Asamblea General que enmendara las Directrices Operativas para que reflejaran este calendario </w:t>
      </w:r>
      <w:r w:rsidR="00495322">
        <w:t>de evaluación bianual (</w:t>
      </w:r>
      <w:hyperlink r:id="rId46" w:history="1">
        <w:r w:rsidR="00495322" w:rsidRPr="00495322">
          <w:rPr>
            <w:rStyle w:val="Hyperlink"/>
          </w:rPr>
          <w:t>Decisión </w:t>
        </w:r>
        <w:r w:rsidRPr="00495322">
          <w:rPr>
            <w:rStyle w:val="Hyperlink"/>
          </w:rPr>
          <w:t>9</w:t>
        </w:r>
        <w:r w:rsidR="00495322" w:rsidRPr="00495322">
          <w:rPr>
            <w:rStyle w:val="Hyperlink"/>
          </w:rPr>
          <w:t> </w:t>
        </w:r>
        <w:r w:rsidRPr="00495322">
          <w:rPr>
            <w:rStyle w:val="Hyperlink"/>
          </w:rPr>
          <w:t>COM 14</w:t>
        </w:r>
      </w:hyperlink>
      <w:r w:rsidRPr="00220C1E">
        <w:t>).</w:t>
      </w:r>
    </w:p>
    <w:p w:rsidR="002F312A" w:rsidRPr="00220C1E" w:rsidRDefault="00D902F0" w:rsidP="00FA35D0">
      <w:pPr>
        <w:pStyle w:val="COMPara"/>
        <w:numPr>
          <w:ilvl w:val="0"/>
          <w:numId w:val="9"/>
        </w:numPr>
        <w:ind w:left="567" w:hanging="567"/>
        <w:jc w:val="both"/>
      </w:pPr>
      <w:r w:rsidRPr="00220C1E">
        <w:t>Durante su décima reunión, el Comité adoptó las enmiendas de las Directrices Operativas relativas al calendario de acreditación de organizaciones no gubernamentales y recomendó las propuestas de enmienda a la Asamblea General (</w:t>
      </w:r>
      <w:hyperlink r:id="rId47" w:history="1">
        <w:r w:rsidRPr="00495322">
          <w:rPr>
            <w:rStyle w:val="Hyperlink"/>
          </w:rPr>
          <w:t>Decisión 10.COM 14.c</w:t>
        </w:r>
      </w:hyperlink>
      <w:r w:rsidRPr="00220C1E">
        <w:t>).</w:t>
      </w:r>
    </w:p>
    <w:p w:rsidR="000E2272" w:rsidRPr="00220C1E" w:rsidRDefault="000E2272" w:rsidP="006711BF">
      <w:pPr>
        <w:pStyle w:val="COMPara"/>
        <w:numPr>
          <w:ilvl w:val="0"/>
          <w:numId w:val="9"/>
        </w:numPr>
        <w:ind w:left="567" w:hanging="567"/>
        <w:jc w:val="both"/>
      </w:pPr>
      <w:r w:rsidRPr="00220C1E">
        <w:t xml:space="preserve">Las revisiones propuestas </w:t>
      </w:r>
      <w:r w:rsidR="000A7C17">
        <w:t>en el párrafo 98</w:t>
      </w:r>
      <w:r w:rsidR="000A7C17" w:rsidRPr="000A7C17">
        <w:t xml:space="preserve"> </w:t>
      </w:r>
      <w:r w:rsidR="000A7C17">
        <w:t xml:space="preserve">de </w:t>
      </w:r>
      <w:r w:rsidRPr="000A7C17">
        <w:t xml:space="preserve">las Directrices Operativas relacionadas con el calendario de acreditación de las organizaciones no gubernamentales están incluidas en </w:t>
      </w:r>
      <w:r w:rsidR="000A7C17">
        <w:t>la Parte V d</w:t>
      </w:r>
      <w:r w:rsidRPr="000A7C17">
        <w:t>el Anexo del presente documento.</w:t>
      </w:r>
      <w:bookmarkStart w:id="0" w:name="_GoBack"/>
      <w:bookmarkEnd w:id="0"/>
    </w:p>
    <w:p w:rsidR="002F312A" w:rsidRPr="00220C1E" w:rsidRDefault="002F312A" w:rsidP="00FA35D0">
      <w:pPr>
        <w:pStyle w:val="COMPara"/>
        <w:keepNext/>
        <w:numPr>
          <w:ilvl w:val="0"/>
          <w:numId w:val="9"/>
        </w:numPr>
        <w:ind w:left="567" w:hanging="567"/>
        <w:jc w:val="both"/>
      </w:pPr>
      <w:r w:rsidRPr="00220C1E">
        <w:t>La Asamblea General podría adoptar la siguiente resolución:</w:t>
      </w:r>
    </w:p>
    <w:p w:rsidR="002F312A" w:rsidRPr="00220C1E" w:rsidRDefault="002F312A" w:rsidP="002F312A">
      <w:pPr>
        <w:pStyle w:val="GATitleResolution"/>
        <w:rPr>
          <w:rFonts w:eastAsia="SimSun"/>
        </w:rPr>
      </w:pPr>
      <w:r w:rsidRPr="00220C1E">
        <w:t>PROYECTO DE RESOLUCIÓN 6.GA 7</w:t>
      </w:r>
    </w:p>
    <w:p w:rsidR="002F312A" w:rsidRPr="00220C1E" w:rsidRDefault="002F312A" w:rsidP="002F312A">
      <w:pPr>
        <w:pStyle w:val="GAPreambulaResolution"/>
        <w:rPr>
          <w:rFonts w:eastAsia="SimSun"/>
        </w:rPr>
      </w:pPr>
      <w:r w:rsidRPr="00220C1E">
        <w:t>La Asamblea General,</w:t>
      </w:r>
    </w:p>
    <w:p w:rsidR="002F312A" w:rsidRPr="00220C1E" w:rsidRDefault="002F312A" w:rsidP="002F312A">
      <w:pPr>
        <w:pStyle w:val="GAParaResolution"/>
        <w:rPr>
          <w:u w:val="none"/>
        </w:rPr>
      </w:pPr>
      <w:r w:rsidRPr="00220C1E">
        <w:t>Habiendo examinado</w:t>
      </w:r>
      <w:r w:rsidRPr="00220C1E">
        <w:rPr>
          <w:u w:val="none"/>
        </w:rPr>
        <w:t xml:space="preserve"> el documento ITH/16/6.GA/7,</w:t>
      </w:r>
    </w:p>
    <w:p w:rsidR="002F312A" w:rsidRPr="00220C1E" w:rsidRDefault="002F312A" w:rsidP="002F312A">
      <w:pPr>
        <w:pStyle w:val="GAParaResolution"/>
        <w:rPr>
          <w:u w:val="none"/>
        </w:rPr>
        <w:sectPr w:rsidR="002F312A" w:rsidRPr="00220C1E" w:rsidSect="00655736">
          <w:headerReference w:type="even" r:id="rId48"/>
          <w:headerReference w:type="default" r:id="rId49"/>
          <w:headerReference w:type="first" r:id="rId50"/>
          <w:pgSz w:w="11906" w:h="16838" w:code="9"/>
          <w:pgMar w:top="1418" w:right="1134" w:bottom="1134" w:left="1134" w:header="397" w:footer="284" w:gutter="0"/>
          <w:cols w:space="708"/>
          <w:titlePg/>
          <w:docGrid w:linePitch="360"/>
        </w:sectPr>
      </w:pPr>
      <w:r w:rsidRPr="00220C1E">
        <w:t>Aprueba</w:t>
      </w:r>
      <w:r w:rsidRPr="00220C1E">
        <w:rPr>
          <w:u w:val="none"/>
        </w:rPr>
        <w:t xml:space="preserve"> las enmiendas a las Directrices Operativas tal como se anexan en esta resolución.</w:t>
      </w:r>
    </w:p>
    <w:p w:rsidR="00D54F2A" w:rsidRPr="00220C1E" w:rsidRDefault="00D54F2A" w:rsidP="00D54F2A">
      <w:pPr>
        <w:spacing w:after="720"/>
        <w:jc w:val="center"/>
        <w:rPr>
          <w:rFonts w:ascii="Arial" w:hAnsi="Arial" w:cs="Arial"/>
          <w:b/>
          <w:bCs/>
          <w:sz w:val="22"/>
          <w:szCs w:val="22"/>
        </w:rPr>
      </w:pPr>
      <w:r w:rsidRPr="002B5B77">
        <w:rPr>
          <w:rFonts w:ascii="Arial" w:hAnsi="Arial" w:cs="Arial"/>
          <w:b/>
          <w:sz w:val="22"/>
          <w:szCs w:val="22"/>
        </w:rPr>
        <w:lastRenderedPageBreak/>
        <w:t>ANEXO</w:t>
      </w:r>
    </w:p>
    <w:p w:rsidR="00D54F2A" w:rsidRPr="001C4C46" w:rsidRDefault="00D54F2A" w:rsidP="00D54F2A">
      <w:pPr>
        <w:pStyle w:val="GAParaResolution"/>
        <w:numPr>
          <w:ilvl w:val="0"/>
          <w:numId w:val="15"/>
        </w:numPr>
        <w:rPr>
          <w:rFonts w:eastAsia="Times New Roman"/>
          <w:b/>
          <w:u w:val="none"/>
        </w:rPr>
      </w:pPr>
      <w:r w:rsidRPr="001C4C46">
        <w:rPr>
          <w:b/>
          <w:u w:val="none"/>
        </w:rPr>
        <w:t>Solicitudes de asistencia internacional examinadas por la Mesa del Comité</w:t>
      </w:r>
    </w:p>
    <w:tbl>
      <w:tblPr>
        <w:tblW w:w="14456" w:type="dxa"/>
        <w:tblLayout w:type="fixed"/>
        <w:tblCellMar>
          <w:top w:w="57" w:type="dxa"/>
          <w:bottom w:w="57" w:type="dxa"/>
        </w:tblCellMar>
        <w:tblLook w:val="04A0" w:firstRow="1" w:lastRow="0" w:firstColumn="1" w:lastColumn="0" w:noHBand="0" w:noVBand="1"/>
      </w:tblPr>
      <w:tblGrid>
        <w:gridCol w:w="737"/>
        <w:gridCol w:w="6491"/>
        <w:gridCol w:w="737"/>
        <w:gridCol w:w="6491"/>
      </w:tblGrid>
      <w:tr w:rsidR="00410628" w:rsidRPr="00220C1E" w:rsidTr="001C4C46">
        <w:tc>
          <w:tcPr>
            <w:tcW w:w="737" w:type="dxa"/>
            <w:shd w:val="clear" w:color="auto" w:fill="auto"/>
          </w:tcPr>
          <w:p w:rsidR="00D54F2A" w:rsidRPr="00410628" w:rsidRDefault="00D54F2A" w:rsidP="00D54F2A">
            <w:pPr>
              <w:spacing w:before="120" w:after="120"/>
              <w:jc w:val="center"/>
              <w:rPr>
                <w:rFonts w:ascii="Arial" w:hAnsi="Arial" w:cs="Arial"/>
                <w:b/>
                <w:bCs/>
                <w:sz w:val="22"/>
                <w:szCs w:val="22"/>
              </w:rPr>
            </w:pPr>
          </w:p>
        </w:tc>
        <w:tc>
          <w:tcPr>
            <w:tcW w:w="6491" w:type="dxa"/>
            <w:shd w:val="clear" w:color="auto" w:fill="auto"/>
          </w:tcPr>
          <w:p w:rsidR="00D54F2A" w:rsidRPr="001C4C46" w:rsidRDefault="00D54F2A" w:rsidP="00D54F2A">
            <w:pPr>
              <w:keepNext/>
              <w:spacing w:before="120" w:after="120"/>
              <w:jc w:val="both"/>
              <w:rPr>
                <w:rFonts w:ascii="Arial" w:hAnsi="Arial" w:cs="Arial"/>
                <w:b/>
                <w:bCs/>
                <w:sz w:val="22"/>
                <w:szCs w:val="22"/>
              </w:rPr>
            </w:pPr>
            <w:r w:rsidRPr="001C4C46">
              <w:rPr>
                <w:rFonts w:ascii="Arial" w:hAnsi="Arial" w:cs="Arial"/>
                <w:b/>
                <w:sz w:val="22"/>
                <w:szCs w:val="22"/>
                <w:u w:val="single"/>
              </w:rPr>
              <w:t>Texto actual de las Directrices Operativas</w:t>
            </w:r>
          </w:p>
        </w:tc>
        <w:tc>
          <w:tcPr>
            <w:tcW w:w="737" w:type="dxa"/>
          </w:tcPr>
          <w:p w:rsidR="00D54F2A" w:rsidRPr="001C4C46" w:rsidRDefault="00D54F2A" w:rsidP="00D54F2A">
            <w:pPr>
              <w:spacing w:before="120" w:after="120"/>
              <w:jc w:val="right"/>
              <w:rPr>
                <w:rFonts w:ascii="Arial" w:hAnsi="Arial" w:cs="Arial"/>
                <w:b/>
                <w:bCs/>
                <w:sz w:val="22"/>
                <w:szCs w:val="22"/>
              </w:rPr>
            </w:pPr>
          </w:p>
        </w:tc>
        <w:tc>
          <w:tcPr>
            <w:tcW w:w="6491" w:type="dxa"/>
          </w:tcPr>
          <w:p w:rsidR="00D54F2A" w:rsidRPr="0092706B" w:rsidRDefault="00D54F2A" w:rsidP="00D54F2A">
            <w:pPr>
              <w:spacing w:before="120" w:after="120"/>
              <w:jc w:val="both"/>
              <w:rPr>
                <w:rFonts w:ascii="Arial" w:hAnsi="Arial" w:cs="Arial"/>
                <w:sz w:val="22"/>
                <w:szCs w:val="22"/>
              </w:rPr>
            </w:pPr>
            <w:r w:rsidRPr="00410628">
              <w:rPr>
                <w:rFonts w:ascii="Arial" w:hAnsi="Arial" w:cs="Arial"/>
                <w:b/>
                <w:sz w:val="22"/>
                <w:szCs w:val="22"/>
                <w:u w:val="single"/>
              </w:rPr>
              <w:t xml:space="preserve">Enmiendas propuestas </w:t>
            </w:r>
          </w:p>
        </w:tc>
      </w:tr>
      <w:tr w:rsidR="00410628" w:rsidRPr="00220C1E" w:rsidTr="001C4C46">
        <w:tc>
          <w:tcPr>
            <w:tcW w:w="737" w:type="dxa"/>
            <w:shd w:val="clear" w:color="auto" w:fill="auto"/>
          </w:tcPr>
          <w:p w:rsidR="00D54F2A" w:rsidRPr="00410628" w:rsidRDefault="00D54F2A" w:rsidP="00D54F2A">
            <w:pPr>
              <w:spacing w:before="120" w:after="120"/>
              <w:jc w:val="right"/>
              <w:rPr>
                <w:rFonts w:ascii="Arial" w:hAnsi="Arial" w:cs="Arial"/>
                <w:sz w:val="22"/>
                <w:szCs w:val="22"/>
              </w:rPr>
            </w:pPr>
            <w:r w:rsidRPr="00410628">
              <w:rPr>
                <w:rFonts w:ascii="Arial" w:hAnsi="Arial" w:cs="Arial"/>
                <w:sz w:val="22"/>
                <w:szCs w:val="22"/>
              </w:rPr>
              <w:t>27.</w:t>
            </w:r>
          </w:p>
        </w:tc>
        <w:tc>
          <w:tcPr>
            <w:tcW w:w="6491" w:type="dxa"/>
            <w:shd w:val="clear" w:color="auto" w:fill="auto"/>
          </w:tcPr>
          <w:p w:rsidR="00D54F2A" w:rsidRPr="00C84753" w:rsidRDefault="00D54F2A" w:rsidP="00410628">
            <w:pPr>
              <w:spacing w:before="120" w:after="120"/>
              <w:jc w:val="both"/>
              <w:rPr>
                <w:rFonts w:ascii="Arial" w:hAnsi="Arial" w:cs="Arial"/>
                <w:sz w:val="22"/>
                <w:szCs w:val="22"/>
              </w:rPr>
            </w:pPr>
            <w:r w:rsidRPr="0092706B">
              <w:rPr>
                <w:rFonts w:ascii="Arial" w:hAnsi="Arial" w:cs="Arial"/>
                <w:sz w:val="22"/>
                <w:szCs w:val="22"/>
              </w:rPr>
              <w:t>Con carácter experimental, la evaluación de las candidaturas para la Lista del patrimonio cultural inmaterial que requiere medidas urgentes de salvagu</w:t>
            </w:r>
            <w:r w:rsidRPr="005557B3">
              <w:rPr>
                <w:rFonts w:ascii="Arial" w:hAnsi="Arial" w:cs="Arial"/>
                <w:sz w:val="22"/>
                <w:szCs w:val="22"/>
              </w:rPr>
              <w:t xml:space="preserve">ardia y para la Lista representativa del patrimonio cultural inmaterial de la humanidad, las propuestas de programas, proyectos y actividades que reflejen del modo más adecuado los principios y objetivos de la Convención y las solicitudes de asistencia internacional superiores a </w:t>
            </w:r>
            <w:r w:rsidR="00220C1E" w:rsidRPr="001A298C">
              <w:rPr>
                <w:rFonts w:ascii="Arial" w:hAnsi="Arial" w:cs="Arial"/>
                <w:sz w:val="22"/>
                <w:szCs w:val="22"/>
              </w:rPr>
              <w:t>25.000 dólares estadounidenses</w:t>
            </w:r>
            <w:r w:rsidRPr="001A298C">
              <w:rPr>
                <w:rFonts w:ascii="Arial" w:hAnsi="Arial" w:cs="Arial"/>
                <w:sz w:val="22"/>
                <w:szCs w:val="22"/>
              </w:rPr>
              <w:t xml:space="preserve"> corre a cargo de un órgano consultivo del Comité, creado de conformidad con el párrafo 3 del artículo 8 de la Convención, que se denominará “Órgano de evaluación”. El Órgano de evaluación for</w:t>
            </w:r>
            <w:r w:rsidRPr="006B774A">
              <w:rPr>
                <w:rFonts w:ascii="Arial" w:hAnsi="Arial" w:cs="Arial"/>
                <w:sz w:val="22"/>
                <w:szCs w:val="22"/>
              </w:rPr>
              <w:t>mulará recomendaciones al Comité para que éste decida. El Órgano de evaluación estará integrado por doce miembros designados por el Comité: seis expertos cualificados en los distintos ámbitos del patrimonio cultural inmaterial representantes de Estados Partes no miembros del Comité y seis representantes de organizaciones no gubernamentales acreditadas, tomando en consideración una representación geográfica equitativa y los distintos ámbitos del patrimonio cultural inmaterial.</w:t>
            </w:r>
          </w:p>
        </w:tc>
        <w:tc>
          <w:tcPr>
            <w:tcW w:w="737" w:type="dxa"/>
          </w:tcPr>
          <w:p w:rsidR="00D54F2A" w:rsidRPr="00873B1C" w:rsidRDefault="00D54F2A" w:rsidP="00D54F2A">
            <w:pPr>
              <w:spacing w:before="120" w:after="120"/>
              <w:jc w:val="right"/>
              <w:rPr>
                <w:rFonts w:ascii="Arial" w:hAnsi="Arial" w:cs="Arial"/>
                <w:sz w:val="22"/>
                <w:szCs w:val="22"/>
              </w:rPr>
            </w:pPr>
            <w:r w:rsidRPr="00417C23">
              <w:rPr>
                <w:rFonts w:ascii="Arial" w:hAnsi="Arial" w:cs="Arial"/>
                <w:sz w:val="22"/>
                <w:szCs w:val="22"/>
              </w:rPr>
              <w:t>27.</w:t>
            </w:r>
          </w:p>
        </w:tc>
        <w:tc>
          <w:tcPr>
            <w:tcW w:w="6491" w:type="dxa"/>
          </w:tcPr>
          <w:p w:rsidR="00D54F2A" w:rsidRPr="005557B3" w:rsidRDefault="00D54F2A" w:rsidP="00410628">
            <w:pPr>
              <w:spacing w:before="120" w:after="120"/>
              <w:jc w:val="both"/>
              <w:rPr>
                <w:rFonts w:ascii="Arial" w:hAnsi="Arial" w:cs="Arial"/>
                <w:sz w:val="22"/>
                <w:szCs w:val="22"/>
              </w:rPr>
            </w:pPr>
            <w:r w:rsidRPr="00053C79">
              <w:rPr>
                <w:rFonts w:ascii="Arial" w:hAnsi="Arial" w:cs="Arial"/>
                <w:sz w:val="22"/>
                <w:szCs w:val="22"/>
              </w:rPr>
              <w:t>Con carácter experimental, la evaluación de las candidaturas para la Lista del patrimonio cultural inmaterial que requiere medidas ur</w:t>
            </w:r>
            <w:r w:rsidRPr="002B5B77">
              <w:rPr>
                <w:rFonts w:ascii="Arial" w:hAnsi="Arial" w:cs="Arial"/>
                <w:sz w:val="22"/>
                <w:szCs w:val="22"/>
              </w:rPr>
              <w:t xml:space="preserve">gentes de salvaguardia y para la Lista representativa del patrimonio cultural inmaterial de la humanidad, las propuestas de programas, proyectos y actividades que reflejen del modo más adecuado los principios y objetivos de la Convención y las solicitudes de asistencia internacional superiores a </w:t>
            </w:r>
            <w:r w:rsidR="00220C1E" w:rsidRPr="001C4C46">
              <w:rPr>
                <w:rFonts w:ascii="Arial" w:hAnsi="Arial" w:cs="Arial"/>
                <w:strike/>
                <w:sz w:val="22"/>
                <w:szCs w:val="22"/>
              </w:rPr>
              <w:t>25.000</w:t>
            </w:r>
            <w:r w:rsidR="00220C1E" w:rsidRPr="001C4C46">
              <w:rPr>
                <w:rFonts w:ascii="Arial" w:hAnsi="Arial" w:cs="Arial"/>
                <w:b/>
                <w:sz w:val="22"/>
                <w:szCs w:val="22"/>
                <w:u w:val="single"/>
              </w:rPr>
              <w:t>100.000</w:t>
            </w:r>
            <w:r w:rsidR="00220C1E" w:rsidRPr="002F1024">
              <w:rPr>
                <w:rFonts w:ascii="Arial" w:hAnsi="Arial" w:cs="Arial"/>
                <w:sz w:val="22"/>
                <w:szCs w:val="22"/>
              </w:rPr>
              <w:t> dólares estadounidenses</w:t>
            </w:r>
            <w:r w:rsidRPr="00410628">
              <w:rPr>
                <w:rFonts w:ascii="Arial" w:hAnsi="Arial" w:cs="Arial"/>
                <w:sz w:val="22"/>
                <w:szCs w:val="22"/>
              </w:rPr>
              <w:t xml:space="preserve"> corre a cargo de una organización consultiva del Comité, creada de conformidad con el párrafo 3 del artículo 8 de la Convención, que se denominará “Órgano de evaluación”. El Órgano de evaluación formulará r</w:t>
            </w:r>
            <w:r w:rsidRPr="0092706B">
              <w:rPr>
                <w:rFonts w:ascii="Arial" w:hAnsi="Arial" w:cs="Arial"/>
                <w:sz w:val="22"/>
                <w:szCs w:val="22"/>
              </w:rPr>
              <w:t>ecomendaciones al Comité para que éste decida. El Órgano de evaluación estará integrado por doce mi</w:t>
            </w:r>
            <w:r w:rsidRPr="005557B3">
              <w:rPr>
                <w:rFonts w:ascii="Arial" w:hAnsi="Arial" w:cs="Arial"/>
                <w:sz w:val="22"/>
                <w:szCs w:val="22"/>
              </w:rPr>
              <w:t>embros designados por el Comité: seis expertos cualificados en los distintos ámbitos del patrimonio cultural inmaterial representantes de Estados Partes no miembros del Comité y seis representantes de organizaciones no gubernamentales acreditadas, tomando en consideración una representación geográfica equitativa y los distintos ámbitos del patrimonio cultural inmaterial.</w:t>
            </w:r>
          </w:p>
        </w:tc>
      </w:tr>
      <w:tr w:rsidR="00410628" w:rsidRPr="00220C1E" w:rsidTr="001C4C46">
        <w:tc>
          <w:tcPr>
            <w:tcW w:w="737" w:type="dxa"/>
            <w:shd w:val="clear" w:color="auto" w:fill="auto"/>
          </w:tcPr>
          <w:p w:rsidR="00D54F2A" w:rsidRPr="00410628" w:rsidRDefault="00D54F2A" w:rsidP="00D54F2A">
            <w:pPr>
              <w:spacing w:before="120" w:after="120"/>
              <w:jc w:val="right"/>
              <w:rPr>
                <w:rFonts w:ascii="Arial" w:hAnsi="Arial" w:cs="Arial"/>
                <w:sz w:val="22"/>
                <w:szCs w:val="22"/>
              </w:rPr>
            </w:pPr>
          </w:p>
        </w:tc>
        <w:tc>
          <w:tcPr>
            <w:tcW w:w="6491" w:type="dxa"/>
            <w:shd w:val="clear" w:color="auto" w:fill="auto"/>
          </w:tcPr>
          <w:p w:rsidR="00D54F2A" w:rsidRPr="0092706B" w:rsidRDefault="00D54F2A" w:rsidP="00D54F2A">
            <w:pPr>
              <w:spacing w:before="120" w:after="120"/>
              <w:jc w:val="both"/>
              <w:rPr>
                <w:rFonts w:ascii="Arial" w:hAnsi="Arial" w:cs="Arial"/>
                <w:sz w:val="22"/>
                <w:szCs w:val="22"/>
              </w:rPr>
            </w:pPr>
          </w:p>
        </w:tc>
        <w:tc>
          <w:tcPr>
            <w:tcW w:w="737" w:type="dxa"/>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[28 a 32]</w:t>
            </w:r>
          </w:p>
        </w:tc>
        <w:tc>
          <w:tcPr>
            <w:tcW w:w="6491" w:type="dxa"/>
          </w:tcPr>
          <w:p w:rsidR="00D54F2A" w:rsidRPr="001A298C"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410628" w:rsidRPr="00220C1E" w:rsidTr="001C4C46">
        <w:tc>
          <w:tcPr>
            <w:tcW w:w="737" w:type="dxa"/>
            <w:shd w:val="clear" w:color="auto" w:fill="auto"/>
          </w:tcPr>
          <w:p w:rsidR="00D54F2A" w:rsidRPr="00410628" w:rsidRDefault="00D54F2A" w:rsidP="00D54F2A">
            <w:pPr>
              <w:spacing w:before="120" w:after="120"/>
              <w:jc w:val="right"/>
              <w:rPr>
                <w:rFonts w:ascii="Arial" w:hAnsi="Arial" w:cs="Arial"/>
                <w:sz w:val="22"/>
                <w:szCs w:val="22"/>
              </w:rPr>
            </w:pPr>
            <w:r w:rsidRPr="00410628">
              <w:rPr>
                <w:rFonts w:ascii="Arial" w:hAnsi="Arial" w:cs="Arial"/>
                <w:sz w:val="22"/>
                <w:szCs w:val="22"/>
              </w:rPr>
              <w:t>I.10</w:t>
            </w: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r w:rsidRPr="0092706B">
              <w:rPr>
                <w:rFonts w:ascii="Arial" w:hAnsi="Arial" w:cs="Arial"/>
                <w:sz w:val="22"/>
                <w:szCs w:val="22"/>
              </w:rPr>
              <w:t>Examen de expedientes por el Comité</w:t>
            </w:r>
          </w:p>
        </w:tc>
        <w:tc>
          <w:tcPr>
            <w:tcW w:w="737" w:type="dxa"/>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[I.10]</w:t>
            </w:r>
          </w:p>
        </w:tc>
        <w:tc>
          <w:tcPr>
            <w:tcW w:w="6491" w:type="dxa"/>
          </w:tcPr>
          <w:p w:rsidR="00D54F2A" w:rsidRPr="001A298C"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410628" w:rsidRPr="00220C1E" w:rsidTr="001C4C46">
        <w:tc>
          <w:tcPr>
            <w:tcW w:w="737" w:type="dxa"/>
            <w:shd w:val="clear" w:color="auto" w:fill="auto"/>
          </w:tcPr>
          <w:p w:rsidR="00D54F2A" w:rsidRPr="00410628" w:rsidRDefault="00D54F2A" w:rsidP="00D54F2A">
            <w:pPr>
              <w:spacing w:before="120" w:after="120"/>
              <w:jc w:val="right"/>
              <w:rPr>
                <w:rFonts w:ascii="Arial" w:hAnsi="Arial" w:cs="Arial"/>
                <w:sz w:val="22"/>
                <w:szCs w:val="22"/>
              </w:rPr>
            </w:pPr>
            <w:r w:rsidRPr="00410628">
              <w:rPr>
                <w:rFonts w:ascii="Arial" w:hAnsi="Arial" w:cs="Arial"/>
                <w:sz w:val="22"/>
                <w:szCs w:val="22"/>
              </w:rPr>
              <w:t>33.</w:t>
            </w:r>
          </w:p>
        </w:tc>
        <w:tc>
          <w:tcPr>
            <w:tcW w:w="6491" w:type="dxa"/>
            <w:shd w:val="clear" w:color="auto" w:fill="auto"/>
          </w:tcPr>
          <w:p w:rsidR="00D54F2A" w:rsidRPr="001A298C" w:rsidRDefault="00D54F2A" w:rsidP="00410628">
            <w:pPr>
              <w:spacing w:before="120" w:after="120"/>
              <w:jc w:val="both"/>
              <w:rPr>
                <w:rFonts w:ascii="Arial" w:hAnsi="Arial" w:cs="Arial"/>
                <w:sz w:val="22"/>
                <w:szCs w:val="22"/>
              </w:rPr>
            </w:pPr>
            <w:r w:rsidRPr="0092706B">
              <w:rPr>
                <w:rFonts w:ascii="Arial" w:hAnsi="Arial" w:cs="Arial"/>
                <w:sz w:val="22"/>
                <w:szCs w:val="22"/>
              </w:rPr>
              <w:t>El Comité determinará dos años por adelanta</w:t>
            </w:r>
            <w:r w:rsidRPr="005557B3">
              <w:rPr>
                <w:rFonts w:ascii="Arial" w:hAnsi="Arial" w:cs="Arial"/>
                <w:sz w:val="22"/>
                <w:szCs w:val="22"/>
              </w:rPr>
              <w:t xml:space="preserve">do de acuerdo a los recursos disponibles y su capacidad el número de </w:t>
            </w:r>
            <w:r w:rsidRPr="005557B3">
              <w:rPr>
                <w:rFonts w:ascii="Arial" w:hAnsi="Arial" w:cs="Arial"/>
                <w:sz w:val="22"/>
                <w:szCs w:val="22"/>
              </w:rPr>
              <w:lastRenderedPageBreak/>
              <w:t xml:space="preserve">expedientes que podrán tramitarse durante los dos ciclos siguientes. Este tope se aplicará al conjunto de expedientes constituido por las candidaturas para la Lista del patrimonio cultural inmaterial que requiere medidas urgentes de salvaguardia y la Lista representativa del patrimonio cultural inmaterial de la humanidad, las propuestas de programas, proyectos y actividades que reflejen del modo más adecuado los principios y objetivos de la Convención y las solicitudes de asistencia internacional superiores a </w:t>
            </w:r>
            <w:r w:rsidR="00220C1E" w:rsidRPr="001A298C">
              <w:rPr>
                <w:rFonts w:ascii="Arial" w:hAnsi="Arial" w:cs="Arial"/>
                <w:sz w:val="22"/>
                <w:szCs w:val="22"/>
              </w:rPr>
              <w:t>25.000 dólares estadounidenses</w:t>
            </w:r>
            <w:r w:rsidRPr="001A298C">
              <w:rPr>
                <w:rFonts w:ascii="Arial" w:hAnsi="Arial" w:cs="Arial"/>
                <w:sz w:val="22"/>
                <w:szCs w:val="22"/>
              </w:rPr>
              <w:t>.</w:t>
            </w:r>
          </w:p>
        </w:tc>
        <w:tc>
          <w:tcPr>
            <w:tcW w:w="737" w:type="dxa"/>
          </w:tcPr>
          <w:p w:rsidR="00D54F2A" w:rsidRPr="006B774A" w:rsidRDefault="00D54F2A" w:rsidP="00D54F2A">
            <w:pPr>
              <w:spacing w:before="120" w:after="120"/>
              <w:jc w:val="right"/>
              <w:rPr>
                <w:rFonts w:ascii="Arial" w:hAnsi="Arial" w:cs="Arial"/>
                <w:sz w:val="22"/>
                <w:szCs w:val="22"/>
              </w:rPr>
            </w:pPr>
            <w:r w:rsidRPr="001A298C">
              <w:rPr>
                <w:rFonts w:ascii="Arial" w:hAnsi="Arial" w:cs="Arial"/>
                <w:sz w:val="22"/>
                <w:szCs w:val="22"/>
              </w:rPr>
              <w:lastRenderedPageBreak/>
              <w:t>33.</w:t>
            </w:r>
          </w:p>
        </w:tc>
        <w:tc>
          <w:tcPr>
            <w:tcW w:w="6491" w:type="dxa"/>
          </w:tcPr>
          <w:p w:rsidR="00D54F2A" w:rsidRPr="0092706B" w:rsidRDefault="00D54F2A" w:rsidP="00410628">
            <w:pPr>
              <w:spacing w:before="120" w:after="120"/>
              <w:jc w:val="both"/>
              <w:rPr>
                <w:rFonts w:ascii="Arial" w:hAnsi="Arial" w:cs="Arial"/>
                <w:sz w:val="22"/>
                <w:szCs w:val="22"/>
              </w:rPr>
            </w:pPr>
            <w:r w:rsidRPr="006B774A">
              <w:rPr>
                <w:rFonts w:ascii="Arial" w:hAnsi="Arial" w:cs="Arial"/>
                <w:sz w:val="22"/>
                <w:szCs w:val="22"/>
              </w:rPr>
              <w:t xml:space="preserve">El Comité determinará dos años por adelantado de acuerdo a los recursos disponibles y su capacidad el número de </w:t>
            </w:r>
            <w:r w:rsidRPr="006B774A">
              <w:rPr>
                <w:rFonts w:ascii="Arial" w:hAnsi="Arial" w:cs="Arial"/>
                <w:sz w:val="22"/>
                <w:szCs w:val="22"/>
              </w:rPr>
              <w:lastRenderedPageBreak/>
              <w:t>expedientes que podrán tra</w:t>
            </w:r>
            <w:r w:rsidRPr="00C84753">
              <w:rPr>
                <w:rFonts w:ascii="Arial" w:hAnsi="Arial" w:cs="Arial"/>
                <w:sz w:val="22"/>
                <w:szCs w:val="22"/>
              </w:rPr>
              <w:t>mitarse durante los dos ciclos siguientes. Este tope se aplicará al conjunto de expedientes constituido por las candidaturas para la Lista del patrimonio cultural inmaterial que requiere medidas urgentes de salvaguardia y la Lista representativa del patrim</w:t>
            </w:r>
            <w:r w:rsidRPr="00417C23">
              <w:rPr>
                <w:rFonts w:ascii="Arial" w:hAnsi="Arial" w:cs="Arial"/>
                <w:sz w:val="22"/>
                <w:szCs w:val="22"/>
              </w:rPr>
              <w:t xml:space="preserve">onio cultural inmaterial de la humanidad, las propuestas de programas, proyectos y actividades que reflejen del modo más adecuado los principios y objetivos de la Convención y las solicitudes de asistencia internacional superiores a </w:t>
            </w:r>
            <w:r w:rsidR="00220C1E" w:rsidRPr="00873B1C">
              <w:rPr>
                <w:rFonts w:ascii="Arial" w:hAnsi="Arial" w:cs="Arial"/>
                <w:strike/>
                <w:sz w:val="22"/>
                <w:szCs w:val="22"/>
              </w:rPr>
              <w:t>25.000</w:t>
            </w:r>
            <w:r w:rsidR="006706E2" w:rsidRPr="001C4C46">
              <w:rPr>
                <w:rFonts w:ascii="Arial" w:hAnsi="Arial" w:cs="Arial"/>
                <w:b/>
                <w:sz w:val="22"/>
                <w:szCs w:val="22"/>
                <w:u w:val="single"/>
              </w:rPr>
              <w:t>100.000</w:t>
            </w:r>
            <w:r w:rsidR="00220C1E" w:rsidRPr="001C4C46">
              <w:rPr>
                <w:rFonts w:ascii="Arial" w:hAnsi="Arial" w:cs="Arial"/>
                <w:sz w:val="22"/>
                <w:szCs w:val="22"/>
              </w:rPr>
              <w:t> dólares estadounidenses</w:t>
            </w:r>
            <w:r w:rsidRPr="00410628">
              <w:rPr>
                <w:rFonts w:ascii="Arial" w:hAnsi="Arial" w:cs="Arial"/>
                <w:sz w:val="22"/>
                <w:szCs w:val="22"/>
              </w:rPr>
              <w:t>.</w:t>
            </w:r>
          </w:p>
        </w:tc>
      </w:tr>
      <w:tr w:rsidR="00410628" w:rsidRPr="00220C1E" w:rsidTr="001C4C46">
        <w:tc>
          <w:tcPr>
            <w:tcW w:w="737" w:type="dxa"/>
            <w:shd w:val="clear" w:color="auto" w:fill="auto"/>
          </w:tcPr>
          <w:p w:rsidR="00D54F2A" w:rsidRPr="00410628" w:rsidRDefault="00D54F2A" w:rsidP="00D54F2A">
            <w:pPr>
              <w:spacing w:before="120" w:after="120"/>
              <w:jc w:val="right"/>
              <w:rPr>
                <w:rFonts w:ascii="Arial" w:hAnsi="Arial" w:cs="Arial"/>
                <w:sz w:val="22"/>
                <w:szCs w:val="22"/>
              </w:rPr>
            </w:pPr>
            <w:r w:rsidRPr="00410628">
              <w:rPr>
                <w:rFonts w:ascii="Arial" w:hAnsi="Arial" w:cs="Arial"/>
                <w:sz w:val="22"/>
                <w:szCs w:val="22"/>
              </w:rPr>
              <w:lastRenderedPageBreak/>
              <w:t>34.</w:t>
            </w: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r w:rsidRPr="0092706B">
              <w:rPr>
                <w:rFonts w:ascii="Arial" w:hAnsi="Arial" w:cs="Arial"/>
                <w:sz w:val="22"/>
                <w:szCs w:val="22"/>
              </w:rPr>
              <w:t>El Comité procurará, en la medida de lo posible</w:t>
            </w:r>
            <w:r w:rsidR="002040DF">
              <w:rPr>
                <w:rFonts w:ascii="Arial" w:hAnsi="Arial" w:cs="Arial"/>
                <w:sz w:val="22"/>
                <w:szCs w:val="22"/>
              </w:rPr>
              <w:t>,</w:t>
            </w:r>
            <w:r w:rsidRPr="00410628">
              <w:rPr>
                <w:rFonts w:ascii="Arial" w:hAnsi="Arial" w:cs="Arial"/>
                <w:sz w:val="22"/>
                <w:szCs w:val="22"/>
              </w:rPr>
              <w:t xml:space="preserve"> examinar al menos un expediente por Estado </w:t>
            </w:r>
            <w:r w:rsidR="002040DF">
              <w:rPr>
                <w:rFonts w:ascii="Arial" w:hAnsi="Arial" w:cs="Arial"/>
                <w:sz w:val="22"/>
                <w:szCs w:val="22"/>
              </w:rPr>
              <w:t>que presente</w:t>
            </w:r>
            <w:r w:rsidR="002040DF" w:rsidRPr="00410628">
              <w:rPr>
                <w:rFonts w:ascii="Arial" w:hAnsi="Arial" w:cs="Arial"/>
                <w:sz w:val="22"/>
                <w:szCs w:val="22"/>
              </w:rPr>
              <w:t xml:space="preserve"> </w:t>
            </w:r>
            <w:r w:rsidRPr="0092706B">
              <w:rPr>
                <w:rFonts w:ascii="Arial" w:hAnsi="Arial" w:cs="Arial"/>
                <w:sz w:val="22"/>
                <w:szCs w:val="22"/>
              </w:rPr>
              <w:t>expedientes en el límite del tope global, dando prioridad:</w:t>
            </w:r>
          </w:p>
          <w:p w:rsidR="00D54F2A" w:rsidRPr="00410628" w:rsidRDefault="00D54F2A" w:rsidP="00D54F2A">
            <w:pPr>
              <w:spacing w:before="120" w:after="120"/>
              <w:ind w:left="370" w:hanging="370"/>
              <w:jc w:val="both"/>
              <w:rPr>
                <w:rFonts w:ascii="Arial" w:hAnsi="Arial" w:cs="Arial"/>
                <w:sz w:val="22"/>
                <w:szCs w:val="22"/>
              </w:rPr>
            </w:pPr>
            <w:r w:rsidRPr="005557B3">
              <w:rPr>
                <w:rFonts w:ascii="Arial" w:hAnsi="Arial" w:cs="Arial"/>
                <w:sz w:val="22"/>
                <w:szCs w:val="22"/>
              </w:rPr>
              <w:t>i.</w:t>
            </w:r>
            <w:r w:rsidR="002040DF">
              <w:rPr>
                <w:rFonts w:ascii="Arial" w:hAnsi="Arial" w:cs="Arial"/>
                <w:sz w:val="22"/>
                <w:szCs w:val="22"/>
              </w:rPr>
              <w:tab/>
            </w:r>
            <w:r w:rsidRPr="001C4C46">
              <w:rPr>
                <w:rFonts w:ascii="Arial" w:hAnsi="Arial" w:cs="Arial"/>
                <w:sz w:val="22"/>
                <w:szCs w:val="22"/>
              </w:rPr>
              <w:t xml:space="preserve">a los expedientes de Estados que no tienen elementos inscritos, </w:t>
            </w:r>
            <w:r w:rsidR="002040DF">
              <w:rPr>
                <w:rFonts w:ascii="Arial" w:hAnsi="Arial" w:cs="Arial"/>
                <w:sz w:val="22"/>
                <w:szCs w:val="22"/>
              </w:rPr>
              <w:t>mejores</w:t>
            </w:r>
            <w:r w:rsidR="002040DF" w:rsidRPr="001C4C46">
              <w:rPr>
                <w:rFonts w:ascii="Arial" w:hAnsi="Arial" w:cs="Arial"/>
                <w:sz w:val="22"/>
                <w:szCs w:val="22"/>
              </w:rPr>
              <w:t xml:space="preserve"> </w:t>
            </w:r>
            <w:r w:rsidRPr="001C4C46">
              <w:rPr>
                <w:rFonts w:ascii="Arial" w:hAnsi="Arial" w:cs="Arial"/>
                <w:sz w:val="22"/>
                <w:szCs w:val="22"/>
              </w:rPr>
              <w:t xml:space="preserve">prácticas de salvaguardia seleccionadas o solicitudes de asistencia internacional superiores a </w:t>
            </w:r>
            <w:r w:rsidR="00220C1E" w:rsidRPr="001C4C46">
              <w:rPr>
                <w:rFonts w:ascii="Arial" w:hAnsi="Arial" w:cs="Arial"/>
                <w:sz w:val="22"/>
                <w:szCs w:val="22"/>
              </w:rPr>
              <w:t>25.000 dólares estadounidenses</w:t>
            </w:r>
            <w:r w:rsidRPr="001C4C46">
              <w:rPr>
                <w:rFonts w:ascii="Arial" w:hAnsi="Arial" w:cs="Arial"/>
                <w:sz w:val="22"/>
                <w:szCs w:val="22"/>
              </w:rPr>
              <w:t xml:space="preserve"> concedidas y las candidaturas para la Lista del patrimonio inmaterial que requiere medidas urgentes de salvaguardia;</w:t>
            </w:r>
          </w:p>
          <w:p w:rsidR="00D54F2A" w:rsidRPr="00410628" w:rsidRDefault="00D54F2A" w:rsidP="00D54F2A">
            <w:pPr>
              <w:spacing w:before="120" w:after="120"/>
              <w:ind w:left="370" w:hanging="370"/>
              <w:jc w:val="both"/>
              <w:rPr>
                <w:rFonts w:ascii="Arial" w:hAnsi="Arial" w:cs="Arial"/>
                <w:sz w:val="22"/>
                <w:szCs w:val="22"/>
              </w:rPr>
            </w:pPr>
            <w:r w:rsidRPr="00410628">
              <w:rPr>
                <w:rFonts w:ascii="Arial" w:hAnsi="Arial" w:cs="Arial"/>
                <w:sz w:val="22"/>
                <w:szCs w:val="22"/>
              </w:rPr>
              <w:t>ii.</w:t>
            </w:r>
            <w:r w:rsidRPr="001C4C46">
              <w:rPr>
                <w:rFonts w:ascii="Arial" w:hAnsi="Arial" w:cs="Arial"/>
                <w:sz w:val="22"/>
                <w:szCs w:val="22"/>
              </w:rPr>
              <w:tab/>
              <w:t>a los expedientes multinacionales; y</w:t>
            </w:r>
          </w:p>
          <w:p w:rsidR="00D54F2A" w:rsidRPr="00410628" w:rsidRDefault="00D54F2A" w:rsidP="00D54F2A">
            <w:pPr>
              <w:spacing w:before="120" w:after="120"/>
              <w:ind w:left="370" w:hanging="370"/>
              <w:jc w:val="both"/>
              <w:rPr>
                <w:rFonts w:ascii="Arial" w:hAnsi="Arial" w:cs="Arial"/>
                <w:sz w:val="22"/>
                <w:szCs w:val="22"/>
              </w:rPr>
            </w:pPr>
            <w:r w:rsidRPr="00410628">
              <w:rPr>
                <w:rFonts w:ascii="Arial" w:hAnsi="Arial" w:cs="Arial"/>
                <w:sz w:val="22"/>
                <w:szCs w:val="22"/>
              </w:rPr>
              <w:t>iii.</w:t>
            </w:r>
            <w:r w:rsidRPr="001C4C46">
              <w:rPr>
                <w:rFonts w:ascii="Arial" w:hAnsi="Arial" w:cs="Arial"/>
                <w:sz w:val="22"/>
                <w:szCs w:val="22"/>
              </w:rPr>
              <w:tab/>
              <w:t xml:space="preserve">a los expedientes provenientes de Estados que tengan menos elementos inscritos, </w:t>
            </w:r>
            <w:r w:rsidR="002040DF">
              <w:rPr>
                <w:rFonts w:ascii="Arial" w:hAnsi="Arial" w:cs="Arial"/>
                <w:sz w:val="22"/>
                <w:szCs w:val="22"/>
              </w:rPr>
              <w:t>mejores</w:t>
            </w:r>
            <w:r w:rsidR="002040DF" w:rsidRPr="001C4C46">
              <w:rPr>
                <w:rFonts w:ascii="Arial" w:hAnsi="Arial" w:cs="Arial"/>
                <w:sz w:val="22"/>
                <w:szCs w:val="22"/>
              </w:rPr>
              <w:t xml:space="preserve"> </w:t>
            </w:r>
            <w:r w:rsidRPr="001C4C46">
              <w:rPr>
                <w:rFonts w:ascii="Arial" w:hAnsi="Arial" w:cs="Arial"/>
                <w:sz w:val="22"/>
                <w:szCs w:val="22"/>
              </w:rPr>
              <w:t xml:space="preserve">prácticas de salvaguardia seleccionadas o solicitudes de asistencia internacional superiores a </w:t>
            </w:r>
            <w:r w:rsidR="00220C1E" w:rsidRPr="001C4C46">
              <w:rPr>
                <w:rFonts w:ascii="Arial" w:hAnsi="Arial" w:cs="Arial"/>
                <w:sz w:val="22"/>
                <w:szCs w:val="22"/>
              </w:rPr>
              <w:t>25.000 dólares estadounidenses</w:t>
            </w:r>
            <w:r w:rsidRPr="001C4C46">
              <w:rPr>
                <w:rFonts w:ascii="Arial" w:hAnsi="Arial" w:cs="Arial"/>
                <w:sz w:val="22"/>
                <w:szCs w:val="22"/>
              </w:rPr>
              <w:t xml:space="preserve"> concedidas en comparación con los demás Estados </w:t>
            </w:r>
            <w:r w:rsidR="002040DF">
              <w:rPr>
                <w:rFonts w:ascii="Arial" w:hAnsi="Arial" w:cs="Arial"/>
                <w:sz w:val="22"/>
                <w:szCs w:val="22"/>
              </w:rPr>
              <w:t>que presenten expedientes</w:t>
            </w:r>
            <w:r w:rsidR="002040DF" w:rsidRPr="001C4C46">
              <w:rPr>
                <w:rFonts w:ascii="Arial" w:hAnsi="Arial" w:cs="Arial"/>
                <w:sz w:val="22"/>
                <w:szCs w:val="22"/>
              </w:rPr>
              <w:t xml:space="preserve"> </w:t>
            </w:r>
            <w:r w:rsidRPr="001C4C46">
              <w:rPr>
                <w:rFonts w:ascii="Arial" w:hAnsi="Arial" w:cs="Arial"/>
                <w:sz w:val="22"/>
                <w:szCs w:val="22"/>
              </w:rPr>
              <w:t>dentro de un mismo ciclo.</w:t>
            </w:r>
          </w:p>
          <w:p w:rsidR="00D54F2A" w:rsidRPr="005557B3" w:rsidRDefault="00D54F2A" w:rsidP="00D54F2A">
            <w:pPr>
              <w:spacing w:before="120" w:after="120"/>
              <w:jc w:val="both"/>
              <w:rPr>
                <w:rFonts w:ascii="Arial" w:hAnsi="Arial" w:cs="Arial"/>
                <w:sz w:val="22"/>
                <w:szCs w:val="22"/>
              </w:rPr>
            </w:pPr>
            <w:r w:rsidRPr="0092706B">
              <w:rPr>
                <w:rFonts w:ascii="Arial" w:hAnsi="Arial" w:cs="Arial"/>
                <w:sz w:val="22"/>
                <w:szCs w:val="22"/>
              </w:rPr>
              <w:t xml:space="preserve">Cuando los Estados solicitantes presenten varios expedientes en un mismo ciclo, </w:t>
            </w:r>
            <w:r w:rsidRPr="005557B3">
              <w:rPr>
                <w:rFonts w:ascii="Arial" w:hAnsi="Arial" w:cs="Arial"/>
                <w:sz w:val="22"/>
                <w:szCs w:val="22"/>
              </w:rPr>
              <w:t>indicarán el orden de prioridad en el que desean que se examinen sus expedientes y se les invitará a dar prioridad a la Lista del patrimonio cultural inmaterial que requiere medidas urgentes de salvaguardia.</w:t>
            </w:r>
          </w:p>
        </w:tc>
        <w:tc>
          <w:tcPr>
            <w:tcW w:w="737" w:type="dxa"/>
          </w:tcPr>
          <w:p w:rsidR="00D54F2A" w:rsidRPr="001A298C" w:rsidRDefault="00D54F2A" w:rsidP="00D54F2A">
            <w:pPr>
              <w:spacing w:before="120" w:after="120"/>
              <w:jc w:val="right"/>
              <w:rPr>
                <w:rFonts w:ascii="Arial" w:hAnsi="Arial" w:cs="Arial"/>
                <w:sz w:val="22"/>
                <w:szCs w:val="22"/>
              </w:rPr>
            </w:pPr>
            <w:r w:rsidRPr="005557B3">
              <w:rPr>
                <w:rFonts w:ascii="Arial" w:hAnsi="Arial" w:cs="Arial"/>
                <w:sz w:val="22"/>
                <w:szCs w:val="22"/>
              </w:rPr>
              <w:t>34.</w:t>
            </w:r>
          </w:p>
        </w:tc>
        <w:tc>
          <w:tcPr>
            <w:tcW w:w="6491" w:type="dxa"/>
          </w:tcPr>
          <w:p w:rsidR="00D54F2A" w:rsidRPr="005557B3" w:rsidRDefault="00D54F2A" w:rsidP="00D54F2A">
            <w:pPr>
              <w:spacing w:before="120" w:after="120"/>
              <w:jc w:val="both"/>
              <w:rPr>
                <w:rFonts w:ascii="Arial" w:hAnsi="Arial" w:cs="Arial"/>
                <w:sz w:val="22"/>
                <w:szCs w:val="22"/>
              </w:rPr>
            </w:pPr>
            <w:r w:rsidRPr="001A298C">
              <w:rPr>
                <w:rFonts w:ascii="Arial" w:hAnsi="Arial" w:cs="Arial"/>
                <w:sz w:val="22"/>
                <w:szCs w:val="22"/>
              </w:rPr>
              <w:t xml:space="preserve">El Comité procurará, en la medida de lo posible examinar al menos un expediente por Estado </w:t>
            </w:r>
            <w:r w:rsidR="002040DF">
              <w:rPr>
                <w:rFonts w:ascii="Arial" w:hAnsi="Arial" w:cs="Arial"/>
                <w:sz w:val="22"/>
                <w:szCs w:val="22"/>
              </w:rPr>
              <w:t>que presente</w:t>
            </w:r>
            <w:r w:rsidRPr="00410628">
              <w:rPr>
                <w:rFonts w:ascii="Arial" w:hAnsi="Arial" w:cs="Arial"/>
                <w:sz w:val="22"/>
                <w:szCs w:val="22"/>
              </w:rPr>
              <w:t xml:space="preserve"> expedientes en el límite d</w:t>
            </w:r>
            <w:r w:rsidRPr="0092706B">
              <w:rPr>
                <w:rFonts w:ascii="Arial" w:hAnsi="Arial" w:cs="Arial"/>
                <w:sz w:val="22"/>
                <w:szCs w:val="22"/>
              </w:rPr>
              <w:t>el tope global, dando prioridad:</w:t>
            </w:r>
          </w:p>
          <w:p w:rsidR="00D54F2A" w:rsidRPr="005557B3" w:rsidRDefault="00D54F2A" w:rsidP="00D54F2A">
            <w:pPr>
              <w:spacing w:before="120" w:after="120"/>
              <w:ind w:left="370" w:hanging="370"/>
              <w:jc w:val="both"/>
              <w:rPr>
                <w:rFonts w:ascii="Arial" w:hAnsi="Arial" w:cs="Arial"/>
                <w:sz w:val="22"/>
                <w:szCs w:val="22"/>
              </w:rPr>
            </w:pPr>
            <w:r w:rsidRPr="005557B3">
              <w:rPr>
                <w:rFonts w:ascii="Arial" w:hAnsi="Arial" w:cs="Arial"/>
                <w:sz w:val="22"/>
                <w:szCs w:val="22"/>
              </w:rPr>
              <w:t>i.</w:t>
            </w:r>
            <w:r w:rsidR="002040DF">
              <w:rPr>
                <w:rFonts w:ascii="Arial" w:hAnsi="Arial" w:cs="Arial"/>
                <w:sz w:val="22"/>
                <w:szCs w:val="22"/>
              </w:rPr>
              <w:tab/>
            </w:r>
            <w:r w:rsidRPr="00410628">
              <w:rPr>
                <w:rFonts w:ascii="Arial" w:hAnsi="Arial" w:cs="Arial"/>
                <w:sz w:val="22"/>
                <w:szCs w:val="22"/>
              </w:rPr>
              <w:t xml:space="preserve">a los expedientes de Estados que no tienen elementos inscritos, </w:t>
            </w:r>
            <w:r w:rsidR="002040DF">
              <w:rPr>
                <w:rFonts w:ascii="Arial" w:hAnsi="Arial" w:cs="Arial"/>
                <w:sz w:val="22"/>
                <w:szCs w:val="22"/>
              </w:rPr>
              <w:t>mejores</w:t>
            </w:r>
            <w:r w:rsidR="002040DF" w:rsidRPr="00410628">
              <w:rPr>
                <w:rFonts w:ascii="Arial" w:hAnsi="Arial" w:cs="Arial"/>
                <w:sz w:val="22"/>
                <w:szCs w:val="22"/>
              </w:rPr>
              <w:t xml:space="preserve"> </w:t>
            </w:r>
            <w:r w:rsidRPr="00410628">
              <w:rPr>
                <w:rFonts w:ascii="Arial" w:hAnsi="Arial" w:cs="Arial"/>
                <w:sz w:val="22"/>
                <w:szCs w:val="22"/>
              </w:rPr>
              <w:t xml:space="preserve">prácticas de salvaguardia seleccionadas o solicitudes de asistencia internacional superiores a </w:t>
            </w:r>
            <w:r w:rsidR="00220C1E" w:rsidRPr="005557B3">
              <w:rPr>
                <w:rFonts w:ascii="Arial" w:hAnsi="Arial" w:cs="Arial"/>
                <w:strike/>
                <w:sz w:val="22"/>
                <w:szCs w:val="22"/>
              </w:rPr>
              <w:t>25.000</w:t>
            </w:r>
            <w:r w:rsidR="002040DF">
              <w:rPr>
                <w:rFonts w:ascii="Arial" w:hAnsi="Arial" w:cs="Arial"/>
                <w:b/>
                <w:sz w:val="22"/>
                <w:szCs w:val="22"/>
                <w:u w:val="single"/>
              </w:rPr>
              <w:t>100.</w:t>
            </w:r>
            <w:r w:rsidR="002040DF" w:rsidRPr="003A7394">
              <w:rPr>
                <w:rFonts w:ascii="Arial" w:hAnsi="Arial" w:cs="Arial"/>
                <w:b/>
                <w:sz w:val="22"/>
                <w:szCs w:val="22"/>
                <w:u w:val="single"/>
              </w:rPr>
              <w:t>000</w:t>
            </w:r>
            <w:r w:rsidR="002040DF" w:rsidRPr="001C4C46">
              <w:rPr>
                <w:rFonts w:ascii="Arial" w:hAnsi="Arial" w:cs="Arial"/>
                <w:b/>
                <w:sz w:val="22"/>
                <w:szCs w:val="22"/>
              </w:rPr>
              <w:t xml:space="preserve"> </w:t>
            </w:r>
            <w:r w:rsidR="00220C1E" w:rsidRPr="001C4C46">
              <w:rPr>
                <w:rFonts w:ascii="Arial" w:hAnsi="Arial" w:cs="Arial"/>
                <w:sz w:val="22"/>
                <w:szCs w:val="22"/>
              </w:rPr>
              <w:t>dólares estadounidenses</w:t>
            </w:r>
            <w:r w:rsidRPr="00410628">
              <w:rPr>
                <w:rFonts w:ascii="Arial" w:hAnsi="Arial" w:cs="Arial"/>
                <w:sz w:val="22"/>
                <w:szCs w:val="22"/>
              </w:rPr>
              <w:t xml:space="preserve"> </w:t>
            </w:r>
            <w:r w:rsidRPr="005557B3">
              <w:rPr>
                <w:rFonts w:ascii="Arial" w:hAnsi="Arial" w:cs="Arial"/>
                <w:sz w:val="22"/>
                <w:szCs w:val="22"/>
              </w:rPr>
              <w:t>concedidas y las candidaturas para la Lista del patrimonio inmaterial que requiere medidas urgentes de salvaguardia;</w:t>
            </w:r>
          </w:p>
          <w:p w:rsidR="00D54F2A" w:rsidRPr="00410628" w:rsidRDefault="00D54F2A" w:rsidP="00D54F2A">
            <w:pPr>
              <w:spacing w:before="120" w:after="120"/>
              <w:ind w:left="370" w:hanging="370"/>
              <w:jc w:val="both"/>
              <w:rPr>
                <w:rFonts w:ascii="Arial" w:hAnsi="Arial" w:cs="Arial"/>
                <w:sz w:val="22"/>
                <w:szCs w:val="22"/>
              </w:rPr>
            </w:pPr>
            <w:r w:rsidRPr="005557B3">
              <w:rPr>
                <w:rFonts w:ascii="Arial" w:hAnsi="Arial" w:cs="Arial"/>
                <w:sz w:val="22"/>
                <w:szCs w:val="22"/>
              </w:rPr>
              <w:t>ii.</w:t>
            </w:r>
            <w:r w:rsidRPr="001C4C46">
              <w:rPr>
                <w:rFonts w:ascii="Arial" w:hAnsi="Arial" w:cs="Arial"/>
                <w:sz w:val="22"/>
                <w:szCs w:val="22"/>
              </w:rPr>
              <w:tab/>
              <w:t>a los expedientes multinacionales; y</w:t>
            </w:r>
          </w:p>
          <w:p w:rsidR="002040DF" w:rsidRDefault="00D54F2A" w:rsidP="002040DF">
            <w:pPr>
              <w:spacing w:before="120" w:after="120"/>
              <w:ind w:left="370" w:hanging="370"/>
              <w:jc w:val="both"/>
              <w:rPr>
                <w:rFonts w:ascii="Arial" w:hAnsi="Arial" w:cs="Arial"/>
                <w:sz w:val="22"/>
                <w:szCs w:val="22"/>
              </w:rPr>
            </w:pPr>
            <w:r w:rsidRPr="00410628">
              <w:rPr>
                <w:rFonts w:ascii="Arial" w:hAnsi="Arial" w:cs="Arial"/>
                <w:sz w:val="22"/>
                <w:szCs w:val="22"/>
              </w:rPr>
              <w:t>iii.</w:t>
            </w:r>
            <w:r w:rsidRPr="001C4C46">
              <w:rPr>
                <w:rFonts w:ascii="Arial" w:hAnsi="Arial" w:cs="Arial"/>
                <w:sz w:val="22"/>
                <w:szCs w:val="22"/>
              </w:rPr>
              <w:tab/>
            </w:r>
            <w:r w:rsidR="002040DF" w:rsidRPr="001C4C46">
              <w:rPr>
                <w:rFonts w:ascii="Arial" w:hAnsi="Arial" w:cs="Arial"/>
                <w:sz w:val="22"/>
                <w:szCs w:val="22"/>
              </w:rPr>
              <w:t xml:space="preserve">a los expedientes provenientes de Estados que tengan menos elementos inscritos, </w:t>
            </w:r>
            <w:r w:rsidR="002040DF">
              <w:rPr>
                <w:rFonts w:ascii="Arial" w:hAnsi="Arial" w:cs="Arial"/>
                <w:sz w:val="22"/>
                <w:szCs w:val="22"/>
              </w:rPr>
              <w:t>mejores</w:t>
            </w:r>
            <w:r w:rsidR="002040DF" w:rsidRPr="001C4C46">
              <w:rPr>
                <w:rFonts w:ascii="Arial" w:hAnsi="Arial" w:cs="Arial"/>
                <w:sz w:val="22"/>
                <w:szCs w:val="22"/>
              </w:rPr>
              <w:t xml:space="preserve"> prácticas de salvaguardia seleccionadas o solicitudes de asistencia internacional superiores a </w:t>
            </w:r>
            <w:r w:rsidR="002040DF" w:rsidRPr="001C4C46">
              <w:rPr>
                <w:rFonts w:ascii="Arial" w:hAnsi="Arial" w:cs="Arial"/>
                <w:strike/>
                <w:sz w:val="22"/>
                <w:szCs w:val="22"/>
              </w:rPr>
              <w:t>25.000</w:t>
            </w:r>
            <w:r w:rsidR="002040DF" w:rsidRPr="001C4C46">
              <w:rPr>
                <w:rFonts w:ascii="Arial" w:hAnsi="Arial" w:cs="Arial"/>
                <w:b/>
                <w:sz w:val="22"/>
                <w:szCs w:val="22"/>
                <w:u w:val="single"/>
              </w:rPr>
              <w:t>100.000</w:t>
            </w:r>
            <w:r w:rsidR="002040DF" w:rsidRPr="001C4C46">
              <w:rPr>
                <w:rFonts w:ascii="Arial" w:hAnsi="Arial" w:cs="Arial"/>
                <w:sz w:val="22"/>
                <w:szCs w:val="22"/>
              </w:rPr>
              <w:t xml:space="preserve"> dólares estadounidenses concedidas en comparación con los demás Estados </w:t>
            </w:r>
            <w:r w:rsidR="002040DF">
              <w:rPr>
                <w:rFonts w:ascii="Arial" w:hAnsi="Arial" w:cs="Arial"/>
                <w:sz w:val="22"/>
                <w:szCs w:val="22"/>
              </w:rPr>
              <w:t>que presenten expedientes</w:t>
            </w:r>
            <w:r w:rsidR="002040DF" w:rsidRPr="001C4C46">
              <w:rPr>
                <w:rFonts w:ascii="Arial" w:hAnsi="Arial" w:cs="Arial"/>
                <w:sz w:val="22"/>
                <w:szCs w:val="22"/>
              </w:rPr>
              <w:t xml:space="preserve"> dentro de un mismo ciclo.</w:t>
            </w:r>
          </w:p>
          <w:p w:rsidR="00D54F2A" w:rsidRPr="005557B3" w:rsidRDefault="00D54F2A" w:rsidP="00D54F2A">
            <w:pPr>
              <w:spacing w:before="120" w:after="120"/>
              <w:jc w:val="both"/>
              <w:rPr>
                <w:rFonts w:ascii="Arial" w:hAnsi="Arial" w:cs="Arial"/>
                <w:sz w:val="22"/>
                <w:szCs w:val="22"/>
              </w:rPr>
            </w:pPr>
            <w:r w:rsidRPr="00410628">
              <w:rPr>
                <w:rFonts w:ascii="Arial" w:hAnsi="Arial" w:cs="Arial"/>
                <w:sz w:val="22"/>
                <w:szCs w:val="22"/>
              </w:rPr>
              <w:t>Cuando los Estados solicitantes presenten varios expedientes en un mismo ciclo, indicará</w:t>
            </w:r>
            <w:r w:rsidRPr="0092706B">
              <w:rPr>
                <w:rFonts w:ascii="Arial" w:hAnsi="Arial" w:cs="Arial"/>
                <w:sz w:val="22"/>
                <w:szCs w:val="22"/>
              </w:rPr>
              <w:t>n el orden de prioridad en el que desean que se examin</w:t>
            </w:r>
            <w:r w:rsidRPr="005557B3">
              <w:rPr>
                <w:rFonts w:ascii="Arial" w:hAnsi="Arial" w:cs="Arial"/>
                <w:sz w:val="22"/>
                <w:szCs w:val="22"/>
              </w:rPr>
              <w:t>en sus expedientes y se les invitará a dar prioridad a la Lista del patrimonio cultural inmaterial que requiere medidas urgentes de salvaguardia.</w:t>
            </w:r>
          </w:p>
        </w:tc>
      </w:tr>
      <w:tr w:rsidR="00410628" w:rsidRPr="00220C1E" w:rsidTr="001C4C46">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lastRenderedPageBreak/>
              <w:t>35.</w:t>
            </w:r>
          </w:p>
        </w:tc>
        <w:tc>
          <w:tcPr>
            <w:tcW w:w="6491" w:type="dxa"/>
            <w:shd w:val="clear" w:color="auto" w:fill="auto"/>
          </w:tcPr>
          <w:p w:rsidR="00D54F2A" w:rsidRPr="001A298C" w:rsidRDefault="00D54F2A" w:rsidP="0092706B">
            <w:pPr>
              <w:spacing w:before="120" w:after="120"/>
              <w:jc w:val="both"/>
              <w:rPr>
                <w:rFonts w:ascii="Arial" w:hAnsi="Arial" w:cs="Arial"/>
                <w:sz w:val="22"/>
                <w:szCs w:val="22"/>
              </w:rPr>
            </w:pPr>
            <w:r w:rsidRPr="005557B3">
              <w:rPr>
                <w:rFonts w:ascii="Arial" w:hAnsi="Arial" w:cs="Arial"/>
                <w:sz w:val="22"/>
                <w:szCs w:val="22"/>
              </w:rPr>
              <w:t xml:space="preserve">Tras el examen, el Comité decidirá si procede o no inscribir un elemento en la Lista del patrimonio cultural inmaterial que requiere medidas urgentes de salvaguardia, si procede o no inscribir un elemento en la Lista representativa del patrimonio cultural inmaterial de la humanidad, o si conviene remitir la candidatura al Estado </w:t>
            </w:r>
            <w:r w:rsidR="00410628">
              <w:rPr>
                <w:rFonts w:ascii="Arial" w:hAnsi="Arial" w:cs="Arial"/>
                <w:sz w:val="22"/>
                <w:szCs w:val="22"/>
              </w:rPr>
              <w:t>que la presentó</w:t>
            </w:r>
            <w:r w:rsidR="00410628" w:rsidRPr="0092706B">
              <w:rPr>
                <w:rFonts w:ascii="Arial" w:hAnsi="Arial" w:cs="Arial"/>
                <w:sz w:val="22"/>
                <w:szCs w:val="22"/>
              </w:rPr>
              <w:t xml:space="preserve"> </w:t>
            </w:r>
            <w:r w:rsidRPr="005557B3">
              <w:rPr>
                <w:rFonts w:ascii="Arial" w:hAnsi="Arial" w:cs="Arial"/>
                <w:sz w:val="22"/>
                <w:szCs w:val="22"/>
              </w:rPr>
              <w:t xml:space="preserve">para obtener información complementaria, si debe seleccionar un programa, proyecto o actividad como </w:t>
            </w:r>
            <w:r w:rsidR="00410628">
              <w:rPr>
                <w:rFonts w:ascii="Arial" w:hAnsi="Arial" w:cs="Arial"/>
                <w:sz w:val="22"/>
                <w:szCs w:val="22"/>
              </w:rPr>
              <w:t xml:space="preserve">mejor </w:t>
            </w:r>
            <w:r w:rsidRPr="0092706B">
              <w:rPr>
                <w:rFonts w:ascii="Arial" w:hAnsi="Arial" w:cs="Arial"/>
                <w:sz w:val="22"/>
                <w:szCs w:val="22"/>
              </w:rPr>
              <w:t xml:space="preserve">práctica </w:t>
            </w:r>
            <w:r w:rsidRPr="005557B3">
              <w:rPr>
                <w:rFonts w:ascii="Arial" w:hAnsi="Arial" w:cs="Arial"/>
                <w:sz w:val="22"/>
                <w:szCs w:val="22"/>
              </w:rPr>
              <w:t xml:space="preserve">de salvaguardia o si debe </w:t>
            </w:r>
            <w:r w:rsidR="00410628">
              <w:rPr>
                <w:rFonts w:ascii="Arial" w:hAnsi="Arial" w:cs="Arial"/>
                <w:sz w:val="22"/>
                <w:szCs w:val="22"/>
              </w:rPr>
              <w:t>conceder</w:t>
            </w:r>
            <w:r w:rsidR="00410628" w:rsidRPr="0092706B">
              <w:rPr>
                <w:rFonts w:ascii="Arial" w:hAnsi="Arial" w:cs="Arial"/>
                <w:sz w:val="22"/>
                <w:szCs w:val="22"/>
              </w:rPr>
              <w:t xml:space="preserve"> </w:t>
            </w:r>
            <w:r w:rsidRPr="005557B3">
              <w:rPr>
                <w:rFonts w:ascii="Arial" w:hAnsi="Arial" w:cs="Arial"/>
                <w:sz w:val="22"/>
                <w:szCs w:val="22"/>
              </w:rPr>
              <w:t xml:space="preserve">una asistencia internacional superior a </w:t>
            </w:r>
            <w:r w:rsidR="00220C1E" w:rsidRPr="005557B3">
              <w:rPr>
                <w:rFonts w:ascii="Arial" w:hAnsi="Arial" w:cs="Arial"/>
                <w:sz w:val="22"/>
                <w:szCs w:val="22"/>
              </w:rPr>
              <w:t>25.000 dólares estadounidenses</w:t>
            </w:r>
            <w:r w:rsidRPr="005557B3">
              <w:rPr>
                <w:rFonts w:ascii="Arial" w:hAnsi="Arial" w:cs="Arial"/>
                <w:sz w:val="22"/>
                <w:szCs w:val="22"/>
              </w:rPr>
              <w:t>.</w:t>
            </w:r>
          </w:p>
        </w:tc>
        <w:tc>
          <w:tcPr>
            <w:tcW w:w="737" w:type="dxa"/>
          </w:tcPr>
          <w:p w:rsidR="00D54F2A" w:rsidRPr="001A298C" w:rsidRDefault="00D54F2A" w:rsidP="00D54F2A">
            <w:pPr>
              <w:spacing w:before="120" w:after="120"/>
              <w:jc w:val="right"/>
              <w:rPr>
                <w:rFonts w:ascii="Arial" w:hAnsi="Arial" w:cs="Arial"/>
                <w:sz w:val="22"/>
                <w:szCs w:val="22"/>
              </w:rPr>
            </w:pPr>
            <w:r w:rsidRPr="001A298C">
              <w:rPr>
                <w:rFonts w:ascii="Arial" w:hAnsi="Arial" w:cs="Arial"/>
                <w:sz w:val="22"/>
                <w:szCs w:val="22"/>
              </w:rPr>
              <w:t>35.</w:t>
            </w:r>
          </w:p>
        </w:tc>
        <w:tc>
          <w:tcPr>
            <w:tcW w:w="6491" w:type="dxa"/>
          </w:tcPr>
          <w:p w:rsidR="00D54F2A" w:rsidRPr="005557B3" w:rsidRDefault="00D54F2A" w:rsidP="0092706B">
            <w:pPr>
              <w:spacing w:before="120" w:after="120"/>
              <w:jc w:val="both"/>
              <w:rPr>
                <w:rFonts w:ascii="Arial" w:hAnsi="Arial" w:cs="Arial"/>
                <w:sz w:val="22"/>
                <w:szCs w:val="22"/>
              </w:rPr>
            </w:pPr>
            <w:r w:rsidRPr="001A298C">
              <w:rPr>
                <w:rFonts w:ascii="Arial" w:hAnsi="Arial" w:cs="Arial"/>
                <w:sz w:val="22"/>
                <w:szCs w:val="22"/>
              </w:rPr>
              <w:t xml:space="preserve">Tras </w:t>
            </w:r>
            <w:r w:rsidRPr="006B774A">
              <w:rPr>
                <w:rFonts w:ascii="Arial" w:hAnsi="Arial" w:cs="Arial"/>
                <w:sz w:val="22"/>
                <w:szCs w:val="22"/>
              </w:rPr>
              <w:t xml:space="preserve">el examen, el Comité decidirá si procede o no inscribir un elemento en la Lista del patrimonio cultural inmaterial que requiere medidas urgentes de salvaguardia, si procede o no inscribir un elemento o en la Lista representativa del patrimonio cultural inmaterial de la humanidad, o si conviene remitir la candidatura al Estado </w:t>
            </w:r>
            <w:r w:rsidR="00410628">
              <w:rPr>
                <w:rFonts w:ascii="Arial" w:hAnsi="Arial" w:cs="Arial"/>
                <w:sz w:val="22"/>
                <w:szCs w:val="22"/>
              </w:rPr>
              <w:t>que la presentó</w:t>
            </w:r>
            <w:r w:rsidR="00410628" w:rsidRPr="002F1024">
              <w:rPr>
                <w:rFonts w:ascii="Arial" w:hAnsi="Arial" w:cs="Arial"/>
                <w:sz w:val="22"/>
                <w:szCs w:val="22"/>
              </w:rPr>
              <w:t xml:space="preserve"> </w:t>
            </w:r>
            <w:r w:rsidRPr="005557B3">
              <w:rPr>
                <w:rFonts w:ascii="Arial" w:hAnsi="Arial" w:cs="Arial"/>
                <w:sz w:val="22"/>
                <w:szCs w:val="22"/>
              </w:rPr>
              <w:t xml:space="preserve">para obtener información complementaria, si debe seleccionar un programa, proyecto o actividad como </w:t>
            </w:r>
            <w:r w:rsidR="00410628">
              <w:rPr>
                <w:rFonts w:ascii="Arial" w:hAnsi="Arial" w:cs="Arial"/>
                <w:sz w:val="22"/>
                <w:szCs w:val="22"/>
              </w:rPr>
              <w:t xml:space="preserve">mejor </w:t>
            </w:r>
            <w:r w:rsidRPr="0092706B">
              <w:rPr>
                <w:rFonts w:ascii="Arial" w:hAnsi="Arial" w:cs="Arial"/>
                <w:sz w:val="22"/>
                <w:szCs w:val="22"/>
              </w:rPr>
              <w:t xml:space="preserve">práctica </w:t>
            </w:r>
            <w:r w:rsidRPr="005557B3">
              <w:rPr>
                <w:rFonts w:ascii="Arial" w:hAnsi="Arial" w:cs="Arial"/>
                <w:sz w:val="22"/>
                <w:szCs w:val="22"/>
              </w:rPr>
              <w:t xml:space="preserve">de salvaguardia o si debe </w:t>
            </w:r>
            <w:r w:rsidR="00410628">
              <w:rPr>
                <w:rFonts w:ascii="Arial" w:hAnsi="Arial" w:cs="Arial"/>
                <w:sz w:val="22"/>
                <w:szCs w:val="22"/>
              </w:rPr>
              <w:t>conceder</w:t>
            </w:r>
            <w:r w:rsidR="00410628" w:rsidRPr="0092706B">
              <w:rPr>
                <w:rFonts w:ascii="Arial" w:hAnsi="Arial" w:cs="Arial"/>
                <w:sz w:val="22"/>
                <w:szCs w:val="22"/>
              </w:rPr>
              <w:t xml:space="preserve"> </w:t>
            </w:r>
            <w:r w:rsidRPr="005557B3">
              <w:rPr>
                <w:rFonts w:ascii="Arial" w:hAnsi="Arial" w:cs="Arial"/>
                <w:sz w:val="22"/>
                <w:szCs w:val="22"/>
              </w:rPr>
              <w:t xml:space="preserve">una asistencia internacional superior a </w:t>
            </w:r>
            <w:r w:rsidR="00220C1E" w:rsidRPr="005557B3">
              <w:rPr>
                <w:rFonts w:ascii="Arial" w:hAnsi="Arial" w:cs="Arial"/>
                <w:strike/>
                <w:sz w:val="22"/>
                <w:szCs w:val="22"/>
              </w:rPr>
              <w:t>25.000</w:t>
            </w:r>
            <w:r w:rsidR="00410628" w:rsidRPr="001C4C46">
              <w:rPr>
                <w:rFonts w:ascii="Arial" w:hAnsi="Arial" w:cs="Arial"/>
                <w:b/>
                <w:sz w:val="22"/>
                <w:szCs w:val="22"/>
                <w:u w:val="single"/>
              </w:rPr>
              <w:t>100.000</w:t>
            </w:r>
            <w:r w:rsidR="00220C1E" w:rsidRPr="001C4C46">
              <w:rPr>
                <w:rFonts w:ascii="Arial" w:hAnsi="Arial" w:cs="Arial"/>
                <w:sz w:val="22"/>
                <w:szCs w:val="22"/>
              </w:rPr>
              <w:t> dólares estadounidenses</w:t>
            </w:r>
            <w:r w:rsidRPr="005557B3">
              <w:rPr>
                <w:rFonts w:ascii="Arial" w:hAnsi="Arial" w:cs="Arial"/>
                <w:sz w:val="22"/>
                <w:szCs w:val="22"/>
              </w:rPr>
              <w:t>.</w:t>
            </w:r>
          </w:p>
        </w:tc>
      </w:tr>
      <w:tr w:rsidR="00410628" w:rsidRPr="00220C1E" w:rsidTr="001C4C46">
        <w:tc>
          <w:tcPr>
            <w:tcW w:w="737" w:type="dxa"/>
            <w:shd w:val="clear" w:color="auto" w:fill="auto"/>
          </w:tcPr>
          <w:p w:rsidR="00D54F2A" w:rsidRPr="00410628" w:rsidRDefault="00D54F2A" w:rsidP="00D54F2A">
            <w:pPr>
              <w:spacing w:before="120" w:after="120"/>
              <w:jc w:val="right"/>
              <w:rPr>
                <w:rFonts w:ascii="Arial" w:hAnsi="Arial" w:cs="Arial"/>
                <w:sz w:val="22"/>
                <w:szCs w:val="22"/>
              </w:rPr>
            </w:pPr>
          </w:p>
        </w:tc>
        <w:tc>
          <w:tcPr>
            <w:tcW w:w="6491" w:type="dxa"/>
            <w:shd w:val="clear" w:color="auto" w:fill="auto"/>
          </w:tcPr>
          <w:p w:rsidR="00D54F2A" w:rsidRPr="0092706B" w:rsidRDefault="00D54F2A" w:rsidP="00D54F2A">
            <w:pPr>
              <w:spacing w:before="120" w:after="120"/>
              <w:jc w:val="both"/>
              <w:rPr>
                <w:rFonts w:ascii="Arial" w:hAnsi="Arial" w:cs="Arial"/>
                <w:sz w:val="22"/>
                <w:szCs w:val="22"/>
              </w:rPr>
            </w:pPr>
          </w:p>
        </w:tc>
        <w:tc>
          <w:tcPr>
            <w:tcW w:w="737" w:type="dxa"/>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[36 a 46]</w:t>
            </w:r>
          </w:p>
        </w:tc>
        <w:tc>
          <w:tcPr>
            <w:tcW w:w="6491" w:type="dxa"/>
          </w:tcPr>
          <w:p w:rsidR="00D54F2A" w:rsidRPr="001A298C"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410628" w:rsidRPr="00220C1E" w:rsidTr="001C4C46">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I.14</w:t>
            </w: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Asistencia internacional</w:t>
            </w:r>
          </w:p>
        </w:tc>
        <w:tc>
          <w:tcPr>
            <w:tcW w:w="737" w:type="dxa"/>
          </w:tcPr>
          <w:p w:rsidR="00D54F2A" w:rsidRPr="001A298C" w:rsidRDefault="00D54F2A" w:rsidP="00D54F2A">
            <w:pPr>
              <w:spacing w:before="120" w:after="120"/>
              <w:jc w:val="right"/>
              <w:rPr>
                <w:rFonts w:ascii="Arial" w:hAnsi="Arial" w:cs="Arial"/>
                <w:sz w:val="22"/>
                <w:szCs w:val="22"/>
              </w:rPr>
            </w:pPr>
            <w:r w:rsidRPr="005557B3">
              <w:rPr>
                <w:rFonts w:ascii="Arial" w:hAnsi="Arial" w:cs="Arial"/>
                <w:sz w:val="22"/>
                <w:szCs w:val="22"/>
              </w:rPr>
              <w:t>[I.14]</w:t>
            </w:r>
          </w:p>
        </w:tc>
        <w:tc>
          <w:tcPr>
            <w:tcW w:w="6491" w:type="dxa"/>
          </w:tcPr>
          <w:p w:rsidR="00D54F2A" w:rsidRPr="001A298C" w:rsidRDefault="00D54F2A" w:rsidP="00D54F2A">
            <w:pPr>
              <w:spacing w:before="120" w:after="120"/>
              <w:jc w:val="both"/>
              <w:rPr>
                <w:rFonts w:ascii="Arial" w:hAnsi="Arial" w:cs="Arial"/>
                <w:sz w:val="22"/>
                <w:szCs w:val="22"/>
              </w:rPr>
            </w:pPr>
            <w:r w:rsidRPr="001A298C">
              <w:rPr>
                <w:rFonts w:ascii="Arial" w:hAnsi="Arial" w:cs="Arial"/>
                <w:sz w:val="22"/>
                <w:szCs w:val="22"/>
              </w:rPr>
              <w:t>[sin cambios]</w:t>
            </w:r>
          </w:p>
        </w:tc>
      </w:tr>
      <w:tr w:rsidR="00410628" w:rsidRPr="00220C1E" w:rsidTr="001C4C46">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47.</w:t>
            </w:r>
          </w:p>
        </w:tc>
        <w:tc>
          <w:tcPr>
            <w:tcW w:w="6491" w:type="dxa"/>
            <w:shd w:val="clear" w:color="auto" w:fill="auto"/>
          </w:tcPr>
          <w:p w:rsidR="00D54F2A" w:rsidRPr="001A298C"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Solicitudes de asistencia internacional que no excedan de </w:t>
            </w:r>
            <w:r w:rsidR="00220C1E" w:rsidRPr="001A298C">
              <w:rPr>
                <w:rFonts w:ascii="Arial" w:hAnsi="Arial" w:cs="Arial"/>
                <w:sz w:val="22"/>
                <w:szCs w:val="22"/>
              </w:rPr>
              <w:t>25.000 dólares estadounidenses</w:t>
            </w:r>
            <w:r w:rsidRPr="001A298C">
              <w:rPr>
                <w:rFonts w:ascii="Arial" w:hAnsi="Arial" w:cs="Arial"/>
                <w:sz w:val="22"/>
                <w:szCs w:val="22"/>
              </w:rPr>
              <w:t xml:space="preserve"> (con excepción de las solicitudes de asistencia preparatoria) y las solicitudes urgentes de cualquier valor pueden ser presentadas en todo momento.</w:t>
            </w:r>
          </w:p>
        </w:tc>
        <w:tc>
          <w:tcPr>
            <w:tcW w:w="737" w:type="dxa"/>
          </w:tcPr>
          <w:p w:rsidR="00D54F2A" w:rsidRPr="006B774A" w:rsidRDefault="00D54F2A" w:rsidP="00D54F2A">
            <w:pPr>
              <w:spacing w:before="120" w:after="120"/>
              <w:jc w:val="right"/>
              <w:rPr>
                <w:rFonts w:ascii="Arial" w:hAnsi="Arial" w:cs="Arial"/>
                <w:sz w:val="22"/>
                <w:szCs w:val="22"/>
              </w:rPr>
            </w:pPr>
            <w:r w:rsidRPr="001A298C">
              <w:rPr>
                <w:rFonts w:ascii="Arial" w:hAnsi="Arial" w:cs="Arial"/>
                <w:sz w:val="22"/>
                <w:szCs w:val="22"/>
              </w:rPr>
              <w:t>47.</w:t>
            </w:r>
          </w:p>
        </w:tc>
        <w:tc>
          <w:tcPr>
            <w:tcW w:w="6491" w:type="dxa"/>
          </w:tcPr>
          <w:p w:rsidR="00D54F2A" w:rsidRPr="00410628" w:rsidRDefault="00D54F2A" w:rsidP="0092706B">
            <w:pPr>
              <w:spacing w:before="120" w:after="120"/>
              <w:jc w:val="both"/>
              <w:rPr>
                <w:rFonts w:ascii="Arial" w:hAnsi="Arial" w:cs="Arial"/>
                <w:sz w:val="22"/>
                <w:szCs w:val="22"/>
              </w:rPr>
            </w:pPr>
            <w:r w:rsidRPr="006B774A">
              <w:rPr>
                <w:rFonts w:ascii="Arial" w:hAnsi="Arial" w:cs="Arial"/>
                <w:sz w:val="22"/>
                <w:szCs w:val="22"/>
              </w:rPr>
              <w:t xml:space="preserve">Solicitudes de asistencia internacional </w:t>
            </w:r>
            <w:r w:rsidRPr="001C4C46">
              <w:rPr>
                <w:rFonts w:ascii="Arial" w:hAnsi="Arial" w:cs="Arial"/>
                <w:sz w:val="22"/>
                <w:szCs w:val="22"/>
              </w:rPr>
              <w:t xml:space="preserve">que no excedan de </w:t>
            </w:r>
            <w:r w:rsidR="00220C1E" w:rsidRPr="0092706B">
              <w:rPr>
                <w:rFonts w:ascii="Arial" w:hAnsi="Arial" w:cs="Arial"/>
                <w:strike/>
                <w:sz w:val="22"/>
                <w:szCs w:val="22"/>
              </w:rPr>
              <w:t>25.000</w:t>
            </w:r>
            <w:r w:rsidR="004F5B8E" w:rsidRPr="001C4C46">
              <w:rPr>
                <w:rFonts w:ascii="Arial" w:hAnsi="Arial" w:cs="Arial"/>
                <w:b/>
                <w:sz w:val="22"/>
                <w:szCs w:val="22"/>
                <w:u w:val="single"/>
              </w:rPr>
              <w:t>100.000</w:t>
            </w:r>
            <w:r w:rsidR="00220C1E" w:rsidRPr="001C4C46">
              <w:rPr>
                <w:rFonts w:ascii="Arial" w:hAnsi="Arial" w:cs="Arial"/>
                <w:sz w:val="22"/>
                <w:szCs w:val="22"/>
              </w:rPr>
              <w:t> dólares estadounidenses</w:t>
            </w:r>
            <w:r w:rsidRPr="001C4C46">
              <w:rPr>
                <w:rFonts w:ascii="Arial" w:hAnsi="Arial" w:cs="Arial"/>
                <w:sz w:val="22"/>
                <w:szCs w:val="22"/>
              </w:rPr>
              <w:t xml:space="preserve"> (con excepción de las solicitudes de asistencia preparatoria) y las solicitudes urgentes de cualquier valor pueden ser presentadas en todo momento.</w:t>
            </w:r>
          </w:p>
        </w:tc>
      </w:tr>
      <w:tr w:rsidR="00410628" w:rsidRPr="00220C1E" w:rsidTr="001C4C46">
        <w:tc>
          <w:tcPr>
            <w:tcW w:w="737" w:type="dxa"/>
            <w:shd w:val="clear" w:color="auto" w:fill="auto"/>
          </w:tcPr>
          <w:p w:rsidR="00D54F2A" w:rsidRPr="00410628" w:rsidRDefault="00D54F2A" w:rsidP="00D54F2A">
            <w:pPr>
              <w:spacing w:before="120" w:after="120"/>
              <w:jc w:val="right"/>
              <w:rPr>
                <w:rFonts w:ascii="Arial" w:hAnsi="Arial" w:cs="Arial"/>
                <w:sz w:val="22"/>
                <w:szCs w:val="22"/>
              </w:rPr>
            </w:pPr>
          </w:p>
        </w:tc>
        <w:tc>
          <w:tcPr>
            <w:tcW w:w="6491" w:type="dxa"/>
            <w:shd w:val="clear" w:color="auto" w:fill="auto"/>
          </w:tcPr>
          <w:p w:rsidR="00D54F2A" w:rsidRPr="0092706B" w:rsidRDefault="00D54F2A" w:rsidP="00D54F2A">
            <w:pPr>
              <w:spacing w:before="120" w:after="120"/>
              <w:jc w:val="both"/>
              <w:rPr>
                <w:rFonts w:ascii="Arial" w:hAnsi="Arial" w:cs="Arial"/>
                <w:sz w:val="22"/>
                <w:szCs w:val="22"/>
              </w:rPr>
            </w:pPr>
          </w:p>
        </w:tc>
        <w:tc>
          <w:tcPr>
            <w:tcW w:w="737" w:type="dxa"/>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[48]</w:t>
            </w:r>
          </w:p>
        </w:tc>
        <w:tc>
          <w:tcPr>
            <w:tcW w:w="6491" w:type="dxa"/>
          </w:tcPr>
          <w:p w:rsidR="00D54F2A" w:rsidRPr="001A298C"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410628" w:rsidRPr="00220C1E" w:rsidTr="001C4C46">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49.</w:t>
            </w:r>
          </w:p>
        </w:tc>
        <w:tc>
          <w:tcPr>
            <w:tcW w:w="6491" w:type="dxa"/>
            <w:shd w:val="clear" w:color="auto" w:fill="auto"/>
          </w:tcPr>
          <w:p w:rsidR="00D54F2A" w:rsidRPr="001A298C"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Las solicitudes que no excedan de </w:t>
            </w:r>
            <w:r w:rsidR="00220C1E" w:rsidRPr="001A298C">
              <w:rPr>
                <w:rFonts w:ascii="Arial" w:hAnsi="Arial" w:cs="Arial"/>
                <w:sz w:val="22"/>
                <w:szCs w:val="22"/>
              </w:rPr>
              <w:t>25.000 dólares estadounidenses</w:t>
            </w:r>
            <w:r w:rsidRPr="001A298C">
              <w:rPr>
                <w:rFonts w:ascii="Arial" w:hAnsi="Arial" w:cs="Arial"/>
                <w:sz w:val="22"/>
                <w:szCs w:val="22"/>
              </w:rPr>
              <w:t>, comprendida la asistencia preparatoria, serán examinadas y aprobadas por la Mesa del Comité.</w:t>
            </w:r>
          </w:p>
        </w:tc>
        <w:tc>
          <w:tcPr>
            <w:tcW w:w="737" w:type="dxa"/>
          </w:tcPr>
          <w:p w:rsidR="00D54F2A" w:rsidRPr="006B774A" w:rsidRDefault="00D54F2A" w:rsidP="00D54F2A">
            <w:pPr>
              <w:spacing w:before="120" w:after="120"/>
              <w:jc w:val="right"/>
              <w:rPr>
                <w:rFonts w:ascii="Arial" w:hAnsi="Arial" w:cs="Arial"/>
                <w:sz w:val="22"/>
                <w:szCs w:val="22"/>
              </w:rPr>
            </w:pPr>
            <w:r w:rsidRPr="001A298C">
              <w:rPr>
                <w:rFonts w:ascii="Arial" w:hAnsi="Arial" w:cs="Arial"/>
                <w:sz w:val="22"/>
                <w:szCs w:val="22"/>
              </w:rPr>
              <w:t>49.</w:t>
            </w:r>
          </w:p>
        </w:tc>
        <w:tc>
          <w:tcPr>
            <w:tcW w:w="6491" w:type="dxa"/>
          </w:tcPr>
          <w:p w:rsidR="00D54F2A" w:rsidRPr="005557B3" w:rsidRDefault="00D54F2A" w:rsidP="0092706B">
            <w:pPr>
              <w:spacing w:before="120" w:after="120"/>
              <w:jc w:val="both"/>
              <w:rPr>
                <w:rFonts w:ascii="Arial" w:hAnsi="Arial" w:cs="Arial"/>
                <w:b/>
                <w:sz w:val="22"/>
                <w:szCs w:val="22"/>
                <w:u w:val="single"/>
              </w:rPr>
            </w:pPr>
            <w:r w:rsidRPr="006B774A">
              <w:rPr>
                <w:rFonts w:ascii="Arial" w:hAnsi="Arial" w:cs="Arial"/>
                <w:sz w:val="22"/>
                <w:szCs w:val="22"/>
              </w:rPr>
              <w:t xml:space="preserve">Las solicitudes que no excedan de </w:t>
            </w:r>
            <w:r w:rsidR="00220C1E" w:rsidRPr="00417C23">
              <w:rPr>
                <w:rFonts w:ascii="Arial" w:hAnsi="Arial" w:cs="Arial"/>
                <w:strike/>
                <w:sz w:val="22"/>
                <w:szCs w:val="22"/>
              </w:rPr>
              <w:t>25.000</w:t>
            </w:r>
            <w:r w:rsidR="004F5B8E" w:rsidRPr="001C4C46">
              <w:rPr>
                <w:rFonts w:ascii="Arial" w:hAnsi="Arial" w:cs="Arial"/>
                <w:b/>
                <w:sz w:val="22"/>
                <w:szCs w:val="22"/>
                <w:u w:val="single"/>
              </w:rPr>
              <w:t>100.000</w:t>
            </w:r>
            <w:r w:rsidR="00220C1E" w:rsidRPr="001C4C46">
              <w:rPr>
                <w:rFonts w:ascii="Arial" w:hAnsi="Arial" w:cs="Arial"/>
                <w:sz w:val="22"/>
                <w:szCs w:val="22"/>
              </w:rPr>
              <w:t> dólares estadounidenses</w:t>
            </w:r>
            <w:r w:rsidRPr="005557B3">
              <w:rPr>
                <w:rFonts w:ascii="Arial" w:hAnsi="Arial" w:cs="Arial"/>
                <w:sz w:val="22"/>
                <w:szCs w:val="22"/>
              </w:rPr>
              <w:t>, comprendida la asistencia preparatoria, serán examinadas y aprobadas por la Mesa del Comité.</w:t>
            </w:r>
          </w:p>
        </w:tc>
      </w:tr>
      <w:tr w:rsidR="00410628" w:rsidRPr="00220C1E" w:rsidTr="001C4C46">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50.</w:t>
            </w:r>
          </w:p>
        </w:tc>
        <w:tc>
          <w:tcPr>
            <w:tcW w:w="6491" w:type="dxa"/>
            <w:shd w:val="clear" w:color="auto" w:fill="auto"/>
          </w:tcPr>
          <w:p w:rsidR="00D54F2A" w:rsidRPr="00220C1E"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Las solicitudes urgentes cuyo valor exceda de </w:t>
            </w:r>
            <w:r w:rsidR="00220C1E" w:rsidRPr="005557B3">
              <w:rPr>
                <w:rFonts w:ascii="Arial" w:hAnsi="Arial" w:cs="Arial"/>
                <w:sz w:val="22"/>
                <w:szCs w:val="22"/>
              </w:rPr>
              <w:t>25.000 dólares estadounidenses</w:t>
            </w:r>
            <w:r w:rsidRPr="001A298C">
              <w:rPr>
                <w:rFonts w:ascii="Arial" w:hAnsi="Arial" w:cs="Arial"/>
                <w:sz w:val="22"/>
                <w:szCs w:val="22"/>
              </w:rPr>
              <w:t xml:space="preserve"> serán examinadas y aprobadas por la Mesa del Comité. Con objeto de establecer si una solicitud de asistencia internacional constituye una solicitud urgente que ha de recibir consideración prioritaria por parte de la Mesa, se considerará que existe urgencia cuando un Estado Parte se vea incapaz de superar por sí mismo cualquier circunstancia </w:t>
            </w:r>
            <w:r w:rsidRPr="002B5B77">
              <w:rPr>
                <w:rFonts w:ascii="Arial" w:hAnsi="Arial" w:cs="Arial"/>
                <w:sz w:val="22"/>
                <w:szCs w:val="22"/>
              </w:rPr>
              <w:lastRenderedPageBreak/>
              <w:t>derivada de una catástrofe, un desastre natural, un conflicto armado, una epidemia grave o cualquier otro fenómeno natural o provocado por el hombre que tenga repercusiones importantes sobre el patrimonio cultural inmaterial así como sobre las comunidades, los grupos y, si procede, los individuos depositarios de ese patrimonio.</w:t>
            </w:r>
          </w:p>
        </w:tc>
        <w:tc>
          <w:tcPr>
            <w:tcW w:w="737" w:type="dxa"/>
          </w:tcPr>
          <w:p w:rsidR="00D54F2A" w:rsidRPr="00220C1E" w:rsidRDefault="00D54F2A" w:rsidP="00D54F2A">
            <w:pPr>
              <w:spacing w:before="120" w:after="120"/>
              <w:jc w:val="right"/>
              <w:rPr>
                <w:rFonts w:ascii="Arial" w:hAnsi="Arial" w:cs="Arial"/>
                <w:sz w:val="22"/>
                <w:szCs w:val="22"/>
              </w:rPr>
            </w:pPr>
            <w:r w:rsidRPr="002B5B77">
              <w:rPr>
                <w:rFonts w:ascii="Arial" w:hAnsi="Arial" w:cs="Arial"/>
                <w:sz w:val="22"/>
                <w:szCs w:val="22"/>
              </w:rPr>
              <w:lastRenderedPageBreak/>
              <w:t>50.</w:t>
            </w:r>
          </w:p>
        </w:tc>
        <w:tc>
          <w:tcPr>
            <w:tcW w:w="6491" w:type="dxa"/>
          </w:tcPr>
          <w:p w:rsidR="00D54F2A" w:rsidRPr="00220C1E" w:rsidRDefault="00D54F2A" w:rsidP="00D54F2A">
            <w:pPr>
              <w:spacing w:before="120" w:after="120"/>
              <w:jc w:val="both"/>
              <w:rPr>
                <w:rFonts w:ascii="Arial" w:hAnsi="Arial" w:cs="Arial"/>
                <w:strike/>
                <w:sz w:val="22"/>
                <w:szCs w:val="22"/>
              </w:rPr>
            </w:pPr>
            <w:r w:rsidRPr="002B5B77">
              <w:rPr>
                <w:rFonts w:ascii="Arial" w:hAnsi="Arial" w:cs="Arial"/>
                <w:sz w:val="22"/>
                <w:szCs w:val="22"/>
              </w:rPr>
              <w:t xml:space="preserve">Las solicitudes urgentes </w:t>
            </w:r>
            <w:r w:rsidRPr="002B5B77">
              <w:rPr>
                <w:rFonts w:ascii="Arial" w:hAnsi="Arial" w:cs="Arial"/>
                <w:strike/>
                <w:sz w:val="22"/>
                <w:szCs w:val="22"/>
              </w:rPr>
              <w:t xml:space="preserve">cuyo valor exceda de </w:t>
            </w:r>
            <w:r w:rsidR="00220C1E" w:rsidRPr="001C4C46">
              <w:rPr>
                <w:rFonts w:ascii="Arial" w:hAnsi="Arial" w:cs="Arial"/>
                <w:strike/>
                <w:sz w:val="22"/>
                <w:szCs w:val="22"/>
              </w:rPr>
              <w:t>25.000 dólares estadounidenses</w:t>
            </w:r>
            <w:r w:rsidRPr="001C4C46">
              <w:rPr>
                <w:rFonts w:ascii="Arial" w:hAnsi="Arial" w:cs="Arial"/>
                <w:sz w:val="22"/>
                <w:szCs w:val="22"/>
              </w:rPr>
              <w:t xml:space="preserve"> </w:t>
            </w:r>
            <w:r w:rsidRPr="001C4C46">
              <w:rPr>
                <w:rFonts w:ascii="Arial" w:hAnsi="Arial" w:cs="Arial"/>
                <w:b/>
                <w:sz w:val="22"/>
                <w:szCs w:val="22"/>
                <w:u w:val="single"/>
              </w:rPr>
              <w:t>de cualquier valor</w:t>
            </w:r>
            <w:r w:rsidRPr="001C4C46">
              <w:rPr>
                <w:rFonts w:ascii="Arial" w:hAnsi="Arial" w:cs="Arial"/>
                <w:sz w:val="22"/>
                <w:szCs w:val="22"/>
              </w:rPr>
              <w:t xml:space="preserve"> serán examinadas y aprobadas por la Mesa del Comité. Con objeto de establecer si una solicitud de asistencia internacional constituye una solicitud urgente que ha de recibir consideración prioritaria por parte de la Mesa, se considerará que existe urgencia cuando un Estado Parte se vea incapaz de superar por sí mismo cualquier </w:t>
            </w:r>
            <w:r w:rsidRPr="001C4C46">
              <w:rPr>
                <w:rFonts w:ascii="Arial" w:hAnsi="Arial" w:cs="Arial"/>
                <w:sz w:val="22"/>
                <w:szCs w:val="22"/>
              </w:rPr>
              <w:lastRenderedPageBreak/>
              <w:t>circunstancia derivada de una catástrofe, un desastre natural, un conflicto armado, una epidemia grave o cualquier otro fenómeno natural o provocado por el hombre que tenga repercusiones importantes sobre el patrimonio cultural inmaterial así como sobre las comunidades, los grupos y, si procede, los individuos depositarios de ese patrimonio.</w:t>
            </w:r>
          </w:p>
        </w:tc>
      </w:tr>
      <w:tr w:rsidR="00410628" w:rsidRPr="00220C1E" w:rsidTr="001C4C46">
        <w:tc>
          <w:tcPr>
            <w:tcW w:w="737" w:type="dxa"/>
            <w:shd w:val="clear" w:color="auto" w:fill="auto"/>
          </w:tcPr>
          <w:p w:rsidR="00D54F2A" w:rsidRPr="001A298C" w:rsidRDefault="00D54F2A" w:rsidP="00D54F2A">
            <w:pPr>
              <w:spacing w:before="120" w:after="120"/>
              <w:jc w:val="right"/>
              <w:rPr>
                <w:rFonts w:ascii="Arial" w:hAnsi="Arial" w:cs="Arial"/>
                <w:sz w:val="22"/>
                <w:szCs w:val="22"/>
              </w:rPr>
            </w:pPr>
            <w:r w:rsidRPr="00410628">
              <w:rPr>
                <w:rFonts w:ascii="Arial" w:hAnsi="Arial" w:cs="Arial"/>
                <w:sz w:val="22"/>
                <w:szCs w:val="22"/>
              </w:rPr>
              <w:lastRenderedPageBreak/>
              <w:t>51.</w:t>
            </w:r>
          </w:p>
        </w:tc>
        <w:tc>
          <w:tcPr>
            <w:tcW w:w="6491" w:type="dxa"/>
            <w:shd w:val="clear" w:color="auto" w:fill="auto"/>
          </w:tcPr>
          <w:p w:rsidR="00D54F2A" w:rsidRPr="005557B3" w:rsidRDefault="00D54F2A" w:rsidP="0092706B">
            <w:pPr>
              <w:spacing w:before="120" w:after="120"/>
              <w:jc w:val="both"/>
              <w:rPr>
                <w:rFonts w:ascii="Arial" w:hAnsi="Arial" w:cs="Arial"/>
                <w:sz w:val="22"/>
                <w:szCs w:val="22"/>
              </w:rPr>
            </w:pPr>
            <w:r w:rsidRPr="001A298C">
              <w:rPr>
                <w:rFonts w:ascii="Arial" w:hAnsi="Arial" w:cs="Arial"/>
                <w:sz w:val="22"/>
                <w:szCs w:val="22"/>
              </w:rPr>
              <w:t xml:space="preserve">Las solicitudes cuyo valor exceda de </w:t>
            </w:r>
            <w:r w:rsidR="00220C1E" w:rsidRPr="006B774A">
              <w:rPr>
                <w:rFonts w:ascii="Arial" w:hAnsi="Arial" w:cs="Arial"/>
                <w:sz w:val="22"/>
                <w:szCs w:val="22"/>
              </w:rPr>
              <w:t>25.000 dólares estadounidenses</w:t>
            </w:r>
            <w:r w:rsidRPr="006B774A">
              <w:rPr>
                <w:rFonts w:ascii="Arial" w:hAnsi="Arial" w:cs="Arial"/>
                <w:sz w:val="22"/>
                <w:szCs w:val="22"/>
              </w:rPr>
              <w:t xml:space="preserve"> serán evaluadas por el Órgano de </w:t>
            </w:r>
            <w:r w:rsidR="004F5B8E">
              <w:rPr>
                <w:rFonts w:ascii="Arial" w:hAnsi="Arial" w:cs="Arial"/>
                <w:sz w:val="22"/>
                <w:szCs w:val="22"/>
              </w:rPr>
              <w:t>e</w:t>
            </w:r>
            <w:r w:rsidR="004F5B8E" w:rsidRPr="0092706B">
              <w:rPr>
                <w:rFonts w:ascii="Arial" w:hAnsi="Arial" w:cs="Arial"/>
                <w:sz w:val="22"/>
                <w:szCs w:val="22"/>
              </w:rPr>
              <w:t xml:space="preserve">valuación </w:t>
            </w:r>
            <w:r w:rsidRPr="0092706B">
              <w:rPr>
                <w:rFonts w:ascii="Arial" w:hAnsi="Arial" w:cs="Arial"/>
                <w:sz w:val="22"/>
                <w:szCs w:val="22"/>
              </w:rPr>
              <w:t xml:space="preserve">que se menciona en el párrafo 27 </w:t>
            </w:r>
            <w:r w:rsidRPr="005557B3">
              <w:rPr>
                <w:rFonts w:ascii="Arial" w:hAnsi="Arial" w:cs="Arial"/>
                <w:i/>
                <w:sz w:val="22"/>
                <w:szCs w:val="22"/>
              </w:rPr>
              <w:t>supra</w:t>
            </w:r>
            <w:r w:rsidRPr="005557B3">
              <w:rPr>
                <w:rFonts w:ascii="Arial" w:hAnsi="Arial" w:cs="Arial"/>
                <w:sz w:val="22"/>
                <w:szCs w:val="22"/>
              </w:rPr>
              <w:t>, y examinadas y aprobadas por el Comité.</w:t>
            </w:r>
          </w:p>
        </w:tc>
        <w:tc>
          <w:tcPr>
            <w:tcW w:w="737" w:type="dxa"/>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51.</w:t>
            </w:r>
          </w:p>
        </w:tc>
        <w:tc>
          <w:tcPr>
            <w:tcW w:w="6491" w:type="dxa"/>
          </w:tcPr>
          <w:p w:rsidR="00D54F2A" w:rsidRPr="001A298C" w:rsidRDefault="00D54F2A" w:rsidP="0092706B">
            <w:pPr>
              <w:spacing w:before="120" w:after="120"/>
              <w:jc w:val="both"/>
              <w:rPr>
                <w:rFonts w:ascii="Arial" w:hAnsi="Arial" w:cs="Arial"/>
                <w:strike/>
                <w:sz w:val="22"/>
                <w:szCs w:val="22"/>
              </w:rPr>
            </w:pPr>
            <w:r w:rsidRPr="001A298C">
              <w:rPr>
                <w:rFonts w:ascii="Arial" w:hAnsi="Arial" w:cs="Arial"/>
                <w:sz w:val="22"/>
                <w:szCs w:val="22"/>
              </w:rPr>
              <w:t xml:space="preserve">Las solicitudes cuyo valor exceda de </w:t>
            </w:r>
            <w:r w:rsidR="00220C1E" w:rsidRPr="001A298C">
              <w:rPr>
                <w:rFonts w:ascii="Arial" w:hAnsi="Arial" w:cs="Arial"/>
                <w:strike/>
                <w:sz w:val="22"/>
                <w:szCs w:val="22"/>
              </w:rPr>
              <w:t>25.000</w:t>
            </w:r>
            <w:r w:rsidR="004F5B8E" w:rsidRPr="001C4C46">
              <w:rPr>
                <w:rFonts w:ascii="Arial" w:hAnsi="Arial" w:cs="Arial"/>
                <w:b/>
                <w:sz w:val="22"/>
                <w:szCs w:val="22"/>
                <w:u w:val="single"/>
              </w:rPr>
              <w:t>100.000</w:t>
            </w:r>
            <w:r w:rsidR="00220C1E" w:rsidRPr="001C4C46">
              <w:rPr>
                <w:rFonts w:ascii="Arial" w:hAnsi="Arial" w:cs="Arial"/>
                <w:sz w:val="22"/>
                <w:szCs w:val="22"/>
              </w:rPr>
              <w:t> dólares estadounidenses</w:t>
            </w:r>
            <w:r w:rsidRPr="0092706B">
              <w:rPr>
                <w:rFonts w:ascii="Arial" w:hAnsi="Arial" w:cs="Arial"/>
                <w:sz w:val="22"/>
                <w:szCs w:val="22"/>
              </w:rPr>
              <w:t xml:space="preserve"> </w:t>
            </w:r>
            <w:r w:rsidRPr="005557B3">
              <w:rPr>
                <w:rFonts w:ascii="Arial" w:hAnsi="Arial" w:cs="Arial"/>
                <w:sz w:val="22"/>
                <w:szCs w:val="22"/>
              </w:rPr>
              <w:t xml:space="preserve">serán evaluadas por el Órgano de evaluación que se menciona en el párrafo 27 </w:t>
            </w:r>
            <w:r w:rsidRPr="005557B3">
              <w:rPr>
                <w:rFonts w:ascii="Arial" w:hAnsi="Arial" w:cs="Arial"/>
                <w:i/>
                <w:sz w:val="22"/>
                <w:szCs w:val="22"/>
              </w:rPr>
              <w:t>supra</w:t>
            </w:r>
            <w:r w:rsidRPr="005557B3">
              <w:rPr>
                <w:rFonts w:ascii="Arial" w:hAnsi="Arial" w:cs="Arial"/>
                <w:sz w:val="22"/>
                <w:szCs w:val="22"/>
              </w:rPr>
              <w:t>, y examinadas y aprob</w:t>
            </w:r>
            <w:r w:rsidRPr="001A298C">
              <w:rPr>
                <w:rFonts w:ascii="Arial" w:hAnsi="Arial" w:cs="Arial"/>
                <w:sz w:val="22"/>
                <w:szCs w:val="22"/>
              </w:rPr>
              <w:t>adas por el Comité.</w:t>
            </w:r>
          </w:p>
        </w:tc>
      </w:tr>
      <w:tr w:rsidR="00410628" w:rsidRPr="00220C1E" w:rsidTr="001C4C46">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52.</w:t>
            </w: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La Secretaría comunicará la decisión relativa a la concesión de asistencia a la(s) parte(s) solicitante(s) dentro de las dos semanas siguientes a la adopción de dicha decisión. La Secretaría establecerá de común acuerdo con la(s) parte(s) solicitante(s) los detalles de la asistencia.</w:t>
            </w:r>
          </w:p>
        </w:tc>
        <w:tc>
          <w:tcPr>
            <w:tcW w:w="737" w:type="dxa"/>
          </w:tcPr>
          <w:p w:rsidR="00D54F2A" w:rsidRPr="001A298C" w:rsidRDefault="00D54F2A" w:rsidP="00D54F2A">
            <w:pPr>
              <w:spacing w:before="120" w:after="120"/>
              <w:jc w:val="right"/>
              <w:rPr>
                <w:rFonts w:ascii="Arial" w:hAnsi="Arial" w:cs="Arial"/>
                <w:sz w:val="22"/>
                <w:szCs w:val="22"/>
              </w:rPr>
            </w:pPr>
            <w:r w:rsidRPr="001A298C">
              <w:rPr>
                <w:rFonts w:ascii="Arial" w:hAnsi="Arial" w:cs="Arial"/>
                <w:sz w:val="22"/>
                <w:szCs w:val="22"/>
              </w:rPr>
              <w:t>52.</w:t>
            </w:r>
          </w:p>
        </w:tc>
        <w:tc>
          <w:tcPr>
            <w:tcW w:w="6491" w:type="dxa"/>
          </w:tcPr>
          <w:p w:rsidR="00D54F2A" w:rsidRPr="001A298C" w:rsidRDefault="00D54F2A" w:rsidP="00D54F2A">
            <w:pPr>
              <w:spacing w:before="120" w:after="120"/>
              <w:jc w:val="both"/>
              <w:rPr>
                <w:rFonts w:ascii="Arial" w:hAnsi="Arial" w:cs="Arial"/>
                <w:sz w:val="22"/>
                <w:szCs w:val="22"/>
              </w:rPr>
            </w:pPr>
            <w:r w:rsidRPr="001A298C">
              <w:rPr>
                <w:rFonts w:ascii="Arial" w:hAnsi="Arial" w:cs="Arial"/>
                <w:sz w:val="22"/>
                <w:szCs w:val="22"/>
              </w:rPr>
              <w:t>[sin cambios]</w:t>
            </w:r>
          </w:p>
        </w:tc>
      </w:tr>
      <w:tr w:rsidR="00410628" w:rsidRPr="00220C1E" w:rsidTr="001C4C46">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53.</w:t>
            </w: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La asistencia será objeto del seguimiento, el informe y la evaluación correspondientes.</w:t>
            </w:r>
          </w:p>
        </w:tc>
        <w:tc>
          <w:tcPr>
            <w:tcW w:w="737" w:type="dxa"/>
          </w:tcPr>
          <w:p w:rsidR="00D54F2A" w:rsidRPr="001A298C" w:rsidRDefault="00D54F2A" w:rsidP="00D54F2A">
            <w:pPr>
              <w:spacing w:before="120" w:after="120"/>
              <w:jc w:val="right"/>
              <w:rPr>
                <w:rFonts w:ascii="Arial" w:hAnsi="Arial" w:cs="Arial"/>
                <w:sz w:val="22"/>
                <w:szCs w:val="22"/>
              </w:rPr>
            </w:pPr>
            <w:r w:rsidRPr="005557B3">
              <w:rPr>
                <w:rFonts w:ascii="Arial" w:hAnsi="Arial" w:cs="Arial"/>
                <w:sz w:val="22"/>
                <w:szCs w:val="22"/>
              </w:rPr>
              <w:t>53.</w:t>
            </w:r>
          </w:p>
        </w:tc>
        <w:tc>
          <w:tcPr>
            <w:tcW w:w="6491" w:type="dxa"/>
          </w:tcPr>
          <w:p w:rsidR="00D54F2A" w:rsidRPr="001A298C" w:rsidRDefault="00D54F2A" w:rsidP="00D54F2A">
            <w:pPr>
              <w:spacing w:before="120" w:after="120"/>
              <w:jc w:val="both"/>
              <w:rPr>
                <w:rFonts w:ascii="Arial" w:hAnsi="Arial" w:cs="Arial"/>
                <w:strike/>
                <w:sz w:val="22"/>
                <w:szCs w:val="22"/>
              </w:rPr>
            </w:pPr>
            <w:r w:rsidRPr="001A298C">
              <w:rPr>
                <w:rFonts w:ascii="Arial" w:hAnsi="Arial" w:cs="Arial"/>
                <w:sz w:val="22"/>
                <w:szCs w:val="22"/>
              </w:rPr>
              <w:t>[sin cambios]</w:t>
            </w:r>
          </w:p>
        </w:tc>
      </w:tr>
      <w:tr w:rsidR="00410628" w:rsidRPr="00220C1E" w:rsidTr="001C4C46">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I.15</w:t>
            </w: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Calendario – Recapitulación de los procedimientos</w:t>
            </w:r>
          </w:p>
        </w:tc>
        <w:tc>
          <w:tcPr>
            <w:tcW w:w="737" w:type="dxa"/>
          </w:tcPr>
          <w:p w:rsidR="00D54F2A" w:rsidRPr="001A298C" w:rsidRDefault="00D54F2A" w:rsidP="00D54F2A">
            <w:pPr>
              <w:spacing w:before="120" w:after="120"/>
              <w:jc w:val="right"/>
              <w:rPr>
                <w:rFonts w:ascii="Arial" w:hAnsi="Arial" w:cs="Arial"/>
                <w:sz w:val="22"/>
                <w:szCs w:val="22"/>
              </w:rPr>
            </w:pPr>
            <w:r w:rsidRPr="005557B3">
              <w:rPr>
                <w:rFonts w:ascii="Arial" w:hAnsi="Arial" w:cs="Arial"/>
                <w:sz w:val="22"/>
                <w:szCs w:val="22"/>
              </w:rPr>
              <w:t>[I.15]</w:t>
            </w:r>
          </w:p>
        </w:tc>
        <w:tc>
          <w:tcPr>
            <w:tcW w:w="6491" w:type="dxa"/>
          </w:tcPr>
          <w:p w:rsidR="00D54F2A" w:rsidRPr="001A298C" w:rsidRDefault="00D54F2A" w:rsidP="00D54F2A">
            <w:pPr>
              <w:spacing w:before="120" w:after="120"/>
              <w:jc w:val="both"/>
              <w:rPr>
                <w:rFonts w:ascii="Arial" w:hAnsi="Arial" w:cs="Arial"/>
                <w:sz w:val="22"/>
                <w:szCs w:val="22"/>
              </w:rPr>
            </w:pPr>
            <w:r w:rsidRPr="001A298C">
              <w:rPr>
                <w:rFonts w:ascii="Arial" w:hAnsi="Arial" w:cs="Arial"/>
                <w:sz w:val="22"/>
                <w:szCs w:val="22"/>
              </w:rPr>
              <w:t>[sin cambios]</w:t>
            </w:r>
          </w:p>
        </w:tc>
      </w:tr>
      <w:tr w:rsidR="00410628" w:rsidRPr="00220C1E" w:rsidTr="001C4C46">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54.</w:t>
            </w:r>
          </w:p>
        </w:tc>
        <w:tc>
          <w:tcPr>
            <w:tcW w:w="6491" w:type="dxa"/>
            <w:shd w:val="clear" w:color="auto" w:fill="auto"/>
          </w:tcPr>
          <w:tbl>
            <w:tblPr>
              <w:tblW w:w="6406" w:type="dxa"/>
              <w:tblLayout w:type="fixed"/>
              <w:tblLook w:val="04A0" w:firstRow="1" w:lastRow="0" w:firstColumn="1" w:lastColumn="0" w:noHBand="0" w:noVBand="1"/>
            </w:tblPr>
            <w:tblGrid>
              <w:gridCol w:w="1587"/>
              <w:gridCol w:w="4819"/>
            </w:tblGrid>
            <w:tr w:rsidR="00D54F2A" w:rsidRPr="00961F4F" w:rsidTr="001C4C46">
              <w:tc>
                <w:tcPr>
                  <w:tcW w:w="1587" w:type="dxa"/>
                </w:tcPr>
                <w:p w:rsidR="00D54F2A" w:rsidRPr="001C4C46" w:rsidRDefault="00D54F2A" w:rsidP="001C4C46">
                  <w:pPr>
                    <w:spacing w:before="120" w:after="120"/>
                    <w:ind w:left="35"/>
                    <w:jc w:val="right"/>
                    <w:rPr>
                      <w:rFonts w:ascii="Arial" w:hAnsi="Arial" w:cs="Arial"/>
                      <w:sz w:val="21"/>
                      <w:szCs w:val="21"/>
                    </w:rPr>
                  </w:pPr>
                  <w:r w:rsidRPr="001C4C46">
                    <w:rPr>
                      <w:rFonts w:ascii="Arial" w:hAnsi="Arial" w:cs="Arial"/>
                      <w:sz w:val="21"/>
                      <w:szCs w:val="21"/>
                    </w:rPr>
                    <w:t>Fase 1:</w:t>
                  </w:r>
                </w:p>
              </w:tc>
              <w:tc>
                <w:tcPr>
                  <w:tcW w:w="4819" w:type="dxa"/>
                </w:tcPr>
                <w:p w:rsidR="00D54F2A" w:rsidRPr="001C4C46" w:rsidRDefault="00D54F2A" w:rsidP="001C4C46">
                  <w:pPr>
                    <w:pStyle w:val="dates"/>
                    <w:tabs>
                      <w:tab w:val="clear" w:pos="2268"/>
                    </w:tabs>
                    <w:autoSpaceDE/>
                    <w:autoSpaceDN/>
                    <w:adjustRightInd/>
                    <w:spacing w:before="120"/>
                    <w:ind w:left="0" w:right="261" w:firstLine="0"/>
                    <w:rPr>
                      <w:rFonts w:eastAsia="Times New Roman"/>
                      <w:w w:val="100"/>
                      <w:sz w:val="21"/>
                      <w:szCs w:val="21"/>
                    </w:rPr>
                  </w:pPr>
                  <w:r w:rsidRPr="001C4C46">
                    <w:rPr>
                      <w:w w:val="100"/>
                      <w:sz w:val="21"/>
                      <w:szCs w:val="21"/>
                    </w:rPr>
                    <w:t>Preparación y presentación</w:t>
                  </w:r>
                </w:p>
              </w:tc>
            </w:tr>
            <w:tr w:rsidR="00D54F2A" w:rsidRPr="00961F4F" w:rsidTr="001C4C46">
              <w:tc>
                <w:tcPr>
                  <w:tcW w:w="1587" w:type="dxa"/>
                </w:tcPr>
                <w:p w:rsidR="00D54F2A" w:rsidRPr="001C4C46" w:rsidRDefault="00D54F2A" w:rsidP="001C4C46">
                  <w:pPr>
                    <w:autoSpaceDE w:val="0"/>
                    <w:autoSpaceDN w:val="0"/>
                    <w:adjustRightInd w:val="0"/>
                    <w:spacing w:after="120"/>
                    <w:ind w:left="35"/>
                    <w:jc w:val="right"/>
                    <w:rPr>
                      <w:rFonts w:ascii="Arial" w:hAnsi="Arial" w:cs="Arial"/>
                      <w:sz w:val="21"/>
                      <w:szCs w:val="21"/>
                    </w:rPr>
                  </w:pPr>
                  <w:r w:rsidRPr="001C4C46">
                    <w:rPr>
                      <w:rFonts w:ascii="Arial" w:hAnsi="Arial" w:cs="Arial"/>
                      <w:sz w:val="21"/>
                      <w:szCs w:val="21"/>
                    </w:rPr>
                    <w:t xml:space="preserve">31 de </w:t>
                  </w:r>
                  <w:r w:rsidR="00961F4F" w:rsidRPr="001C4C46">
                    <w:rPr>
                      <w:rFonts w:ascii="Arial" w:hAnsi="Arial" w:cs="Arial"/>
                      <w:sz w:val="21"/>
                      <w:szCs w:val="21"/>
                    </w:rPr>
                    <w:t>marzo</w:t>
                  </w:r>
                  <w:r w:rsidRPr="001C4C46">
                    <w:rPr>
                      <w:rFonts w:ascii="Arial" w:hAnsi="Arial" w:cs="Arial"/>
                      <w:sz w:val="21"/>
                      <w:szCs w:val="21"/>
                    </w:rPr>
                    <w:br/>
                  </w:r>
                  <w:r w:rsidR="00961F4F" w:rsidRPr="001C4C46">
                    <w:rPr>
                      <w:rFonts w:ascii="Arial" w:hAnsi="Arial" w:cs="Arial"/>
                      <w:sz w:val="21"/>
                      <w:szCs w:val="21"/>
                    </w:rPr>
                    <w:t xml:space="preserve">año </w:t>
                  </w:r>
                  <w:r w:rsidRPr="001C4C46">
                    <w:rPr>
                      <w:rFonts w:ascii="Arial" w:hAnsi="Arial" w:cs="Arial"/>
                      <w:sz w:val="21"/>
                      <w:szCs w:val="21"/>
                    </w:rPr>
                    <w:t>0</w:t>
                  </w:r>
                </w:p>
              </w:tc>
              <w:tc>
                <w:tcPr>
                  <w:tcW w:w="4819" w:type="dxa"/>
                </w:tcPr>
                <w:p w:rsidR="00D54F2A" w:rsidRPr="001C4C46" w:rsidRDefault="00D54F2A" w:rsidP="001C4C46">
                  <w:pPr>
                    <w:pStyle w:val="dates"/>
                    <w:widowControl/>
                    <w:tabs>
                      <w:tab w:val="clear" w:pos="2268"/>
                    </w:tabs>
                    <w:ind w:left="0" w:right="261" w:firstLine="0"/>
                    <w:rPr>
                      <w:w w:val="100"/>
                      <w:sz w:val="21"/>
                      <w:szCs w:val="21"/>
                    </w:rPr>
                  </w:pPr>
                  <w:r w:rsidRPr="001C4C46">
                    <w:rPr>
                      <w:w w:val="100"/>
                      <w:sz w:val="21"/>
                      <w:szCs w:val="21"/>
                    </w:rPr>
                    <w:t>Fecha límite en que podrá solicitarse asistencia preparatoria para la elaboración de candidaturas para la Lista del patrimonio cultural inmaterial que requiere medidas urgentes de salvaguardia y propuestas de programas, proyectos y actividades que reflejen del modo más adecuado los principios y objetivos de la Convención (</w:t>
                  </w:r>
                  <w:r w:rsidR="00961F4F" w:rsidRPr="001C4C46">
                    <w:rPr>
                      <w:w w:val="100"/>
                      <w:sz w:val="21"/>
                      <w:szCs w:val="21"/>
                    </w:rPr>
                    <w:t xml:space="preserve">artículo </w:t>
                  </w:r>
                  <w:r w:rsidRPr="001C4C46">
                    <w:rPr>
                      <w:w w:val="100"/>
                      <w:sz w:val="21"/>
                      <w:szCs w:val="21"/>
                    </w:rPr>
                    <w:t>18).</w:t>
                  </w:r>
                </w:p>
              </w:tc>
            </w:tr>
            <w:tr w:rsidR="00D54F2A" w:rsidRPr="00961F4F" w:rsidTr="001C4C46">
              <w:tc>
                <w:tcPr>
                  <w:tcW w:w="1587" w:type="dxa"/>
                </w:tcPr>
                <w:p w:rsidR="00D54F2A" w:rsidRPr="001C4C46" w:rsidRDefault="00D54F2A" w:rsidP="001C4C46">
                  <w:pPr>
                    <w:autoSpaceDE w:val="0"/>
                    <w:autoSpaceDN w:val="0"/>
                    <w:adjustRightInd w:val="0"/>
                    <w:spacing w:after="120"/>
                    <w:ind w:left="35"/>
                    <w:jc w:val="right"/>
                    <w:rPr>
                      <w:rFonts w:ascii="Arial" w:hAnsi="Arial" w:cs="Arial"/>
                      <w:sz w:val="21"/>
                      <w:szCs w:val="21"/>
                    </w:rPr>
                  </w:pPr>
                  <w:r w:rsidRPr="001C4C46">
                    <w:rPr>
                      <w:rFonts w:ascii="Arial" w:hAnsi="Arial" w:cs="Arial"/>
                      <w:sz w:val="21"/>
                      <w:szCs w:val="21"/>
                    </w:rPr>
                    <w:t xml:space="preserve">31 de </w:t>
                  </w:r>
                  <w:r w:rsidR="00961F4F" w:rsidRPr="001C4C46">
                    <w:rPr>
                      <w:rFonts w:ascii="Arial" w:hAnsi="Arial" w:cs="Arial"/>
                      <w:sz w:val="21"/>
                      <w:szCs w:val="21"/>
                    </w:rPr>
                    <w:t>marzo</w:t>
                  </w:r>
                  <w:r w:rsidRPr="001C4C46">
                    <w:rPr>
                      <w:rFonts w:ascii="Arial" w:hAnsi="Arial" w:cs="Arial"/>
                      <w:sz w:val="21"/>
                      <w:szCs w:val="21"/>
                    </w:rPr>
                    <w:br/>
                  </w:r>
                  <w:r w:rsidR="00961F4F" w:rsidRPr="001C4C46">
                    <w:rPr>
                      <w:rFonts w:ascii="Arial" w:hAnsi="Arial" w:cs="Arial"/>
                      <w:sz w:val="21"/>
                      <w:szCs w:val="21"/>
                    </w:rPr>
                    <w:t xml:space="preserve">año </w:t>
                  </w:r>
                  <w:r w:rsidRPr="001C4C46">
                    <w:rPr>
                      <w:rFonts w:ascii="Arial" w:hAnsi="Arial" w:cs="Arial"/>
                      <w:sz w:val="21"/>
                      <w:szCs w:val="21"/>
                    </w:rPr>
                    <w:t>1</w:t>
                  </w:r>
                </w:p>
              </w:tc>
              <w:tc>
                <w:tcPr>
                  <w:tcW w:w="4819" w:type="dxa"/>
                </w:tcPr>
                <w:p w:rsidR="00D54F2A" w:rsidRPr="001C4C46" w:rsidRDefault="00D54F2A" w:rsidP="001C4C46">
                  <w:pPr>
                    <w:pStyle w:val="dates"/>
                    <w:tabs>
                      <w:tab w:val="clear" w:pos="2268"/>
                    </w:tabs>
                    <w:ind w:left="0" w:right="261" w:firstLine="0"/>
                    <w:rPr>
                      <w:w w:val="100"/>
                      <w:sz w:val="21"/>
                      <w:szCs w:val="21"/>
                      <w:highlight w:val="yellow"/>
                    </w:rPr>
                  </w:pPr>
                  <w:r w:rsidRPr="001C4C46">
                    <w:rPr>
                      <w:w w:val="100"/>
                      <w:sz w:val="21"/>
                      <w:szCs w:val="21"/>
                    </w:rPr>
                    <w:t xml:space="preserve">Fecha límite en que las candidaturas para la Lista del patrimonio cultural inmaterial que requiere medidas urgentes de salvaguardia y </w:t>
                  </w:r>
                  <w:r w:rsidRPr="001C4C46">
                    <w:rPr>
                      <w:w w:val="100"/>
                      <w:sz w:val="21"/>
                      <w:szCs w:val="21"/>
                    </w:rPr>
                    <w:lastRenderedPageBreak/>
                    <w:t xml:space="preserve">la Lista representativa del patrimonio cultural inmaterial de la humanidad, las propuestas de programas, proyectos y actividades y las solicitudes de asistencia internacional cuyo valor exceda de </w:t>
                  </w:r>
                  <w:r w:rsidR="00220C1E" w:rsidRPr="001C4C46">
                    <w:rPr>
                      <w:w w:val="100"/>
                      <w:sz w:val="21"/>
                      <w:szCs w:val="21"/>
                    </w:rPr>
                    <w:t>25.000 dólares estadounidenses</w:t>
                  </w:r>
                  <w:r w:rsidRPr="001C4C46">
                    <w:rPr>
                      <w:w w:val="100"/>
                      <w:sz w:val="21"/>
                      <w:szCs w:val="21"/>
                    </w:rPr>
                    <w:t xml:space="preserve"> deberán obrar en poder de la Secretaría. Las propuestas que se reciban después de esa fecha se examinarán en el ciclo siguiente. La Secretaría publica en el sitio web de la Convención, en su lengua original, los expedientes tal como se reciben.</w:t>
                  </w:r>
                </w:p>
              </w:tc>
            </w:tr>
            <w:tr w:rsidR="00D54F2A" w:rsidRPr="00961F4F" w:rsidTr="001C4C46">
              <w:tc>
                <w:tcPr>
                  <w:tcW w:w="1587" w:type="dxa"/>
                </w:tcPr>
                <w:p w:rsidR="00D54F2A" w:rsidRPr="001C4C46" w:rsidRDefault="00D54F2A" w:rsidP="001C4C46">
                  <w:pPr>
                    <w:autoSpaceDE w:val="0"/>
                    <w:autoSpaceDN w:val="0"/>
                    <w:adjustRightInd w:val="0"/>
                    <w:spacing w:after="120"/>
                    <w:ind w:left="35"/>
                    <w:jc w:val="right"/>
                    <w:rPr>
                      <w:rFonts w:ascii="Arial" w:hAnsi="Arial" w:cs="Arial"/>
                      <w:sz w:val="21"/>
                      <w:szCs w:val="21"/>
                    </w:rPr>
                  </w:pPr>
                  <w:r w:rsidRPr="001C4C46">
                    <w:rPr>
                      <w:rFonts w:ascii="Arial" w:hAnsi="Arial" w:cs="Arial"/>
                      <w:sz w:val="21"/>
                      <w:szCs w:val="21"/>
                    </w:rPr>
                    <w:lastRenderedPageBreak/>
                    <w:t xml:space="preserve">30 de </w:t>
                  </w:r>
                  <w:r w:rsidR="00961F4F" w:rsidRPr="001C4C46">
                    <w:rPr>
                      <w:rFonts w:ascii="Arial" w:hAnsi="Arial" w:cs="Arial"/>
                      <w:sz w:val="21"/>
                      <w:szCs w:val="21"/>
                    </w:rPr>
                    <w:t>junio</w:t>
                  </w:r>
                  <w:r w:rsidRPr="001C4C46">
                    <w:rPr>
                      <w:rFonts w:ascii="Arial" w:hAnsi="Arial" w:cs="Arial"/>
                      <w:sz w:val="21"/>
                      <w:szCs w:val="21"/>
                    </w:rPr>
                    <w:br/>
                  </w:r>
                  <w:r w:rsidR="00961F4F" w:rsidRPr="001C4C46">
                    <w:rPr>
                      <w:rFonts w:ascii="Arial" w:hAnsi="Arial" w:cs="Arial"/>
                      <w:sz w:val="21"/>
                      <w:szCs w:val="21"/>
                    </w:rPr>
                    <w:t xml:space="preserve">año </w:t>
                  </w:r>
                  <w:r w:rsidRPr="001C4C46">
                    <w:rPr>
                      <w:rFonts w:ascii="Arial" w:hAnsi="Arial" w:cs="Arial"/>
                      <w:sz w:val="21"/>
                      <w:szCs w:val="21"/>
                    </w:rPr>
                    <w:t>1</w:t>
                  </w:r>
                </w:p>
              </w:tc>
              <w:tc>
                <w:tcPr>
                  <w:tcW w:w="4819" w:type="dxa"/>
                </w:tcPr>
                <w:p w:rsidR="00D54F2A" w:rsidRPr="001C4C46" w:rsidRDefault="00D54F2A" w:rsidP="001C4C46">
                  <w:pPr>
                    <w:pStyle w:val="dates"/>
                    <w:tabs>
                      <w:tab w:val="clear" w:pos="2268"/>
                    </w:tabs>
                    <w:ind w:left="0" w:right="261" w:firstLine="0"/>
                    <w:rPr>
                      <w:w w:val="100"/>
                      <w:sz w:val="21"/>
                      <w:szCs w:val="21"/>
                    </w:rPr>
                  </w:pPr>
                  <w:r w:rsidRPr="001C4C46">
                    <w:rPr>
                      <w:w w:val="100"/>
                      <w:sz w:val="21"/>
                      <w:szCs w:val="21"/>
                    </w:rPr>
                    <w:t>Fecha límite en que la Secretaría habrá tramitado los expedientes, comprendido el registro y el acuse de recibo. Si se estima que un expediente está incompleto, se invitará al Estado Parte a que la complete.</w:t>
                  </w:r>
                </w:p>
              </w:tc>
            </w:tr>
            <w:tr w:rsidR="00D54F2A" w:rsidRPr="00961F4F" w:rsidTr="001C4C46">
              <w:tc>
                <w:tcPr>
                  <w:tcW w:w="1587" w:type="dxa"/>
                </w:tcPr>
                <w:p w:rsidR="00D54F2A" w:rsidRPr="001C4C46" w:rsidRDefault="00D54F2A" w:rsidP="001C4C46">
                  <w:pPr>
                    <w:autoSpaceDE w:val="0"/>
                    <w:autoSpaceDN w:val="0"/>
                    <w:adjustRightInd w:val="0"/>
                    <w:spacing w:after="120"/>
                    <w:ind w:left="35"/>
                    <w:jc w:val="right"/>
                    <w:rPr>
                      <w:rFonts w:ascii="Arial" w:hAnsi="Arial" w:cs="Arial"/>
                      <w:sz w:val="21"/>
                      <w:szCs w:val="21"/>
                    </w:rPr>
                  </w:pPr>
                  <w:r w:rsidRPr="001C4C46">
                    <w:rPr>
                      <w:rFonts w:ascii="Arial" w:hAnsi="Arial" w:cs="Arial"/>
                      <w:sz w:val="21"/>
                      <w:szCs w:val="21"/>
                    </w:rPr>
                    <w:t xml:space="preserve">30 de </w:t>
                  </w:r>
                  <w:r w:rsidR="00961F4F" w:rsidRPr="001C4C46">
                    <w:rPr>
                      <w:rFonts w:ascii="Arial" w:hAnsi="Arial" w:cs="Arial"/>
                      <w:sz w:val="21"/>
                      <w:szCs w:val="21"/>
                    </w:rPr>
                    <w:t>septiembre</w:t>
                  </w:r>
                  <w:r w:rsidRPr="001C4C46">
                    <w:rPr>
                      <w:rFonts w:ascii="Arial" w:hAnsi="Arial" w:cs="Arial"/>
                      <w:sz w:val="21"/>
                      <w:szCs w:val="21"/>
                    </w:rPr>
                    <w:br/>
                  </w:r>
                  <w:r w:rsidR="00961F4F" w:rsidRPr="001C4C46">
                    <w:rPr>
                      <w:rFonts w:ascii="Arial" w:hAnsi="Arial" w:cs="Arial"/>
                      <w:sz w:val="21"/>
                      <w:szCs w:val="21"/>
                    </w:rPr>
                    <w:t xml:space="preserve">año </w:t>
                  </w:r>
                  <w:r w:rsidRPr="001C4C46">
                    <w:rPr>
                      <w:rFonts w:ascii="Arial" w:hAnsi="Arial" w:cs="Arial"/>
                      <w:sz w:val="21"/>
                      <w:szCs w:val="21"/>
                    </w:rPr>
                    <w:t>1</w:t>
                  </w:r>
                </w:p>
              </w:tc>
              <w:tc>
                <w:tcPr>
                  <w:tcW w:w="4819" w:type="dxa"/>
                </w:tcPr>
                <w:p w:rsidR="00D54F2A" w:rsidRPr="001C4C46" w:rsidRDefault="00D54F2A" w:rsidP="001C4C46">
                  <w:pPr>
                    <w:pStyle w:val="dates"/>
                    <w:tabs>
                      <w:tab w:val="clear" w:pos="2268"/>
                    </w:tabs>
                    <w:ind w:left="0" w:right="261" w:firstLine="0"/>
                    <w:rPr>
                      <w:w w:val="100"/>
                      <w:sz w:val="21"/>
                      <w:szCs w:val="21"/>
                    </w:rPr>
                  </w:pPr>
                  <w:r w:rsidRPr="001C4C46">
                    <w:rPr>
                      <w:w w:val="100"/>
                      <w:sz w:val="21"/>
                      <w:szCs w:val="21"/>
                    </w:rPr>
                    <w:t>Fecha límite en que el Estado Parte facilitará a la Secretaría la información faltante que se precise para completar el expediente, de ser necesario. Los expedientes incompletos serán devueltos a los Estados Partes, que podrán completarlos para el ciclo siguiente. A medida que la Secretaría va recibiendo los expedientes para los que solicitó información complementaria, revisados por los Estados que los presentaron, los publica en Internet sustituyendo los expedientes recibidos originalmente. Las traducciones al francés y al inglés se publican asimismo cuando están disponibles.</w:t>
                  </w:r>
                </w:p>
              </w:tc>
            </w:tr>
          </w:tbl>
          <w:p w:rsidR="00D54F2A" w:rsidRPr="00410628" w:rsidRDefault="00D54F2A" w:rsidP="00D54F2A">
            <w:pPr>
              <w:spacing w:before="120" w:after="120"/>
              <w:jc w:val="both"/>
              <w:rPr>
                <w:rFonts w:ascii="Arial" w:hAnsi="Arial" w:cs="Arial"/>
                <w:sz w:val="22"/>
                <w:szCs w:val="22"/>
              </w:rPr>
            </w:pPr>
          </w:p>
        </w:tc>
        <w:tc>
          <w:tcPr>
            <w:tcW w:w="737" w:type="dxa"/>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lastRenderedPageBreak/>
              <w:t>54.</w:t>
            </w:r>
          </w:p>
        </w:tc>
        <w:tc>
          <w:tcPr>
            <w:tcW w:w="6491" w:type="dxa"/>
          </w:tcPr>
          <w:tbl>
            <w:tblPr>
              <w:tblW w:w="6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4484"/>
            </w:tblGrid>
            <w:tr w:rsidR="00961F4F" w:rsidRPr="00163D7D" w:rsidTr="001C4C46">
              <w:tc>
                <w:tcPr>
                  <w:tcW w:w="1587" w:type="dxa"/>
                  <w:tcBorders>
                    <w:top w:val="nil"/>
                    <w:left w:val="nil"/>
                    <w:bottom w:val="nil"/>
                    <w:right w:val="nil"/>
                  </w:tcBorders>
                </w:tcPr>
                <w:p w:rsidR="00961F4F" w:rsidRPr="001C4C46" w:rsidRDefault="00961F4F" w:rsidP="00961F4F">
                  <w:pPr>
                    <w:spacing w:before="120" w:after="120"/>
                    <w:jc w:val="right"/>
                    <w:rPr>
                      <w:rFonts w:ascii="Arial" w:hAnsi="Arial" w:cs="Arial"/>
                      <w:sz w:val="21"/>
                      <w:szCs w:val="21"/>
                    </w:rPr>
                  </w:pPr>
                  <w:r w:rsidRPr="001C4C46">
                    <w:rPr>
                      <w:rFonts w:ascii="Arial" w:hAnsi="Arial" w:cs="Arial"/>
                      <w:sz w:val="21"/>
                      <w:szCs w:val="21"/>
                    </w:rPr>
                    <w:t>Fase 1:</w:t>
                  </w:r>
                </w:p>
              </w:tc>
              <w:tc>
                <w:tcPr>
                  <w:tcW w:w="4484" w:type="dxa"/>
                  <w:tcBorders>
                    <w:top w:val="nil"/>
                    <w:left w:val="nil"/>
                    <w:bottom w:val="nil"/>
                    <w:right w:val="nil"/>
                  </w:tcBorders>
                </w:tcPr>
                <w:p w:rsidR="00961F4F" w:rsidRPr="001C4C46" w:rsidRDefault="00961F4F" w:rsidP="001C4C46">
                  <w:pPr>
                    <w:pStyle w:val="dates"/>
                    <w:autoSpaceDE/>
                    <w:autoSpaceDN/>
                    <w:adjustRightInd/>
                    <w:spacing w:before="120"/>
                    <w:ind w:left="34" w:hanging="26"/>
                    <w:rPr>
                      <w:rFonts w:eastAsia="Times New Roman"/>
                      <w:w w:val="100"/>
                      <w:sz w:val="21"/>
                      <w:szCs w:val="21"/>
                    </w:rPr>
                  </w:pPr>
                  <w:r w:rsidRPr="001C4C46">
                    <w:rPr>
                      <w:w w:val="100"/>
                      <w:sz w:val="21"/>
                      <w:szCs w:val="21"/>
                    </w:rPr>
                    <w:t>Preparación y presentación</w:t>
                  </w:r>
                </w:p>
              </w:tc>
            </w:tr>
            <w:tr w:rsidR="00961F4F" w:rsidRPr="00163D7D" w:rsidTr="001C4C46">
              <w:tc>
                <w:tcPr>
                  <w:tcW w:w="1587" w:type="dxa"/>
                  <w:tcBorders>
                    <w:top w:val="nil"/>
                    <w:left w:val="nil"/>
                    <w:bottom w:val="nil"/>
                    <w:right w:val="nil"/>
                  </w:tcBorders>
                </w:tcPr>
                <w:p w:rsidR="00961F4F" w:rsidRPr="001C4C46" w:rsidRDefault="00961F4F" w:rsidP="00961F4F">
                  <w:pPr>
                    <w:autoSpaceDE w:val="0"/>
                    <w:autoSpaceDN w:val="0"/>
                    <w:adjustRightInd w:val="0"/>
                    <w:spacing w:after="120"/>
                    <w:jc w:val="right"/>
                    <w:rPr>
                      <w:rFonts w:ascii="Arial" w:hAnsi="Arial" w:cs="Arial"/>
                      <w:sz w:val="21"/>
                      <w:szCs w:val="21"/>
                    </w:rPr>
                  </w:pPr>
                  <w:r w:rsidRPr="001C4C46">
                    <w:rPr>
                      <w:rFonts w:ascii="Arial" w:hAnsi="Arial" w:cs="Arial"/>
                      <w:sz w:val="21"/>
                      <w:szCs w:val="21"/>
                    </w:rPr>
                    <w:t>31 de marzo</w:t>
                  </w:r>
                  <w:r w:rsidRPr="001C4C46">
                    <w:rPr>
                      <w:rFonts w:ascii="Arial" w:hAnsi="Arial" w:cs="Arial"/>
                      <w:sz w:val="21"/>
                      <w:szCs w:val="21"/>
                    </w:rPr>
                    <w:br/>
                    <w:t>año 0</w:t>
                  </w:r>
                </w:p>
              </w:tc>
              <w:tc>
                <w:tcPr>
                  <w:tcW w:w="4484" w:type="dxa"/>
                  <w:tcBorders>
                    <w:top w:val="nil"/>
                    <w:left w:val="nil"/>
                    <w:bottom w:val="nil"/>
                    <w:right w:val="nil"/>
                  </w:tcBorders>
                </w:tcPr>
                <w:p w:rsidR="00961F4F" w:rsidRPr="001C4C46" w:rsidRDefault="00961F4F" w:rsidP="001C4C46">
                  <w:pPr>
                    <w:pStyle w:val="dates"/>
                    <w:widowControl/>
                    <w:ind w:left="34" w:firstLine="0"/>
                    <w:rPr>
                      <w:w w:val="100"/>
                      <w:sz w:val="21"/>
                      <w:szCs w:val="21"/>
                    </w:rPr>
                  </w:pPr>
                  <w:r w:rsidRPr="001C4C46">
                    <w:rPr>
                      <w:w w:val="100"/>
                      <w:sz w:val="21"/>
                      <w:szCs w:val="21"/>
                    </w:rPr>
                    <w:t>Fecha límite en que podrá solicitarse asistencia preparatoria para la elaboración de candidaturas para la Lista del patrimonio cultural inmaterial que requiere medidas urgentes de salvaguardia y propuestas de programas, proyectos y actividades que reflejen del modo más adecuado los principios y objetivos de la Convención (artículo 18).</w:t>
                  </w:r>
                </w:p>
              </w:tc>
            </w:tr>
            <w:tr w:rsidR="00961F4F" w:rsidRPr="00163D7D" w:rsidTr="001C4C46">
              <w:tc>
                <w:tcPr>
                  <w:tcW w:w="1587" w:type="dxa"/>
                  <w:tcBorders>
                    <w:top w:val="nil"/>
                    <w:left w:val="nil"/>
                    <w:bottom w:val="nil"/>
                    <w:right w:val="nil"/>
                  </w:tcBorders>
                </w:tcPr>
                <w:p w:rsidR="00961F4F" w:rsidRPr="001C4C46" w:rsidRDefault="00961F4F" w:rsidP="00961F4F">
                  <w:pPr>
                    <w:autoSpaceDE w:val="0"/>
                    <w:autoSpaceDN w:val="0"/>
                    <w:adjustRightInd w:val="0"/>
                    <w:spacing w:after="120"/>
                    <w:jc w:val="right"/>
                    <w:rPr>
                      <w:rFonts w:ascii="Arial" w:hAnsi="Arial" w:cs="Arial"/>
                      <w:sz w:val="21"/>
                      <w:szCs w:val="21"/>
                    </w:rPr>
                  </w:pPr>
                  <w:r w:rsidRPr="001C4C46">
                    <w:rPr>
                      <w:rFonts w:ascii="Arial" w:hAnsi="Arial" w:cs="Arial"/>
                      <w:sz w:val="21"/>
                      <w:szCs w:val="21"/>
                    </w:rPr>
                    <w:t>31 de marzo</w:t>
                  </w:r>
                  <w:r w:rsidRPr="001C4C46">
                    <w:rPr>
                      <w:rFonts w:ascii="Arial" w:hAnsi="Arial" w:cs="Arial"/>
                      <w:sz w:val="21"/>
                      <w:szCs w:val="21"/>
                    </w:rPr>
                    <w:br/>
                  </w:r>
                  <w:r w:rsidRPr="001C4C46">
                    <w:rPr>
                      <w:rFonts w:ascii="Arial" w:hAnsi="Arial" w:cs="Arial"/>
                      <w:sz w:val="21"/>
                      <w:szCs w:val="21"/>
                    </w:rPr>
                    <w:lastRenderedPageBreak/>
                    <w:t>año 1</w:t>
                  </w:r>
                </w:p>
              </w:tc>
              <w:tc>
                <w:tcPr>
                  <w:tcW w:w="4484" w:type="dxa"/>
                  <w:tcBorders>
                    <w:top w:val="nil"/>
                    <w:left w:val="nil"/>
                    <w:bottom w:val="nil"/>
                    <w:right w:val="nil"/>
                  </w:tcBorders>
                </w:tcPr>
                <w:p w:rsidR="00961F4F" w:rsidRPr="001C4C46" w:rsidRDefault="00961F4F" w:rsidP="001C4C46">
                  <w:pPr>
                    <w:pStyle w:val="dates"/>
                    <w:widowControl/>
                    <w:ind w:left="34" w:firstLine="0"/>
                    <w:rPr>
                      <w:w w:val="100"/>
                      <w:sz w:val="21"/>
                      <w:szCs w:val="21"/>
                      <w:highlight w:val="yellow"/>
                    </w:rPr>
                  </w:pPr>
                  <w:r w:rsidRPr="001C4C46">
                    <w:rPr>
                      <w:w w:val="100"/>
                      <w:sz w:val="21"/>
                      <w:szCs w:val="21"/>
                    </w:rPr>
                    <w:lastRenderedPageBreak/>
                    <w:t xml:space="preserve">Fecha límite en que las candidaturas para la Lista del patrimonio cultural inmaterial que </w:t>
                  </w:r>
                  <w:r w:rsidRPr="001C4C46">
                    <w:rPr>
                      <w:w w:val="100"/>
                      <w:sz w:val="21"/>
                      <w:szCs w:val="21"/>
                    </w:rPr>
                    <w:lastRenderedPageBreak/>
                    <w:t xml:space="preserve">requiere medidas urgentes de salvaguardia y la Lista representativa del patrimonio cultural inmaterial de la humanidad, las propuestas de programas, proyectos y actividades y las solicitudes de asistencia internacional cuyo valor exceda de </w:t>
                  </w:r>
                  <w:r w:rsidRPr="001C4C46">
                    <w:rPr>
                      <w:strike/>
                      <w:w w:val="100"/>
                      <w:sz w:val="21"/>
                      <w:szCs w:val="21"/>
                    </w:rPr>
                    <w:t>25.000</w:t>
                  </w:r>
                  <w:r w:rsidR="00163D7D" w:rsidRPr="001C4C46">
                    <w:rPr>
                      <w:b/>
                      <w:w w:val="100"/>
                      <w:sz w:val="21"/>
                      <w:szCs w:val="21"/>
                      <w:u w:val="single"/>
                    </w:rPr>
                    <w:t>100.000</w:t>
                  </w:r>
                  <w:r w:rsidRPr="001C4C46">
                    <w:rPr>
                      <w:w w:val="100"/>
                      <w:sz w:val="21"/>
                      <w:szCs w:val="21"/>
                    </w:rPr>
                    <w:t> dólares estadounidenses</w:t>
                  </w:r>
                  <w:r w:rsidRPr="001C4C46">
                    <w:rPr>
                      <w:b/>
                      <w:w w:val="100"/>
                      <w:sz w:val="21"/>
                      <w:szCs w:val="21"/>
                    </w:rPr>
                    <w:t xml:space="preserve"> </w:t>
                  </w:r>
                  <w:r w:rsidRPr="001C4C46">
                    <w:rPr>
                      <w:w w:val="100"/>
                      <w:sz w:val="21"/>
                      <w:szCs w:val="21"/>
                    </w:rPr>
                    <w:t>deberán obrar en poder de la Secretaría. Las propuestas que se reciban después de esa fecha se examinarán en el ciclo siguiente. La Secretaría publica en el sitio web de la Convención, en su lengua original, los expedientes tal como se reciben.</w:t>
                  </w:r>
                </w:p>
              </w:tc>
            </w:tr>
            <w:tr w:rsidR="00961F4F" w:rsidRPr="00163D7D" w:rsidTr="001C4C46">
              <w:tc>
                <w:tcPr>
                  <w:tcW w:w="1587" w:type="dxa"/>
                  <w:tcBorders>
                    <w:top w:val="nil"/>
                    <w:left w:val="nil"/>
                    <w:bottom w:val="nil"/>
                    <w:right w:val="nil"/>
                  </w:tcBorders>
                </w:tcPr>
                <w:p w:rsidR="00961F4F" w:rsidRPr="001C4C46" w:rsidRDefault="00961F4F" w:rsidP="00961F4F">
                  <w:pPr>
                    <w:autoSpaceDE w:val="0"/>
                    <w:autoSpaceDN w:val="0"/>
                    <w:adjustRightInd w:val="0"/>
                    <w:spacing w:after="120"/>
                    <w:jc w:val="right"/>
                    <w:rPr>
                      <w:rFonts w:ascii="Arial" w:hAnsi="Arial" w:cs="Arial"/>
                      <w:sz w:val="21"/>
                      <w:szCs w:val="21"/>
                    </w:rPr>
                  </w:pPr>
                  <w:r w:rsidRPr="001C4C46">
                    <w:rPr>
                      <w:rFonts w:ascii="Arial" w:hAnsi="Arial" w:cs="Arial"/>
                      <w:sz w:val="21"/>
                      <w:szCs w:val="21"/>
                    </w:rPr>
                    <w:lastRenderedPageBreak/>
                    <w:t>30 de junio</w:t>
                  </w:r>
                  <w:r w:rsidRPr="001C4C46">
                    <w:rPr>
                      <w:rFonts w:ascii="Arial" w:hAnsi="Arial" w:cs="Arial"/>
                      <w:sz w:val="21"/>
                      <w:szCs w:val="21"/>
                    </w:rPr>
                    <w:br/>
                    <w:t>año 1</w:t>
                  </w:r>
                </w:p>
              </w:tc>
              <w:tc>
                <w:tcPr>
                  <w:tcW w:w="4484" w:type="dxa"/>
                  <w:tcBorders>
                    <w:top w:val="nil"/>
                    <w:left w:val="nil"/>
                    <w:bottom w:val="nil"/>
                    <w:right w:val="nil"/>
                  </w:tcBorders>
                </w:tcPr>
                <w:p w:rsidR="00961F4F" w:rsidRPr="001C4C46" w:rsidRDefault="00961F4F" w:rsidP="001C4C46">
                  <w:pPr>
                    <w:pStyle w:val="dates"/>
                    <w:widowControl/>
                    <w:ind w:left="34" w:firstLine="0"/>
                    <w:rPr>
                      <w:w w:val="100"/>
                      <w:sz w:val="21"/>
                      <w:szCs w:val="21"/>
                    </w:rPr>
                  </w:pPr>
                  <w:r w:rsidRPr="001C4C46">
                    <w:rPr>
                      <w:w w:val="100"/>
                      <w:sz w:val="21"/>
                      <w:szCs w:val="21"/>
                    </w:rPr>
                    <w:t>Fecha límite en que la Secretaría habrá tramitado los expedientes, comprendido el registro y el acuse de recibo. Si se estima que un expediente está incompleto, se invitará al Estado Parte a que la complete.</w:t>
                  </w:r>
                </w:p>
              </w:tc>
            </w:tr>
            <w:tr w:rsidR="00961F4F" w:rsidRPr="00163D7D" w:rsidTr="001C4C46">
              <w:tc>
                <w:tcPr>
                  <w:tcW w:w="1587" w:type="dxa"/>
                  <w:tcBorders>
                    <w:top w:val="nil"/>
                    <w:left w:val="nil"/>
                    <w:bottom w:val="nil"/>
                    <w:right w:val="nil"/>
                  </w:tcBorders>
                </w:tcPr>
                <w:p w:rsidR="00961F4F" w:rsidRPr="001C4C46" w:rsidRDefault="00961F4F" w:rsidP="00961F4F">
                  <w:pPr>
                    <w:autoSpaceDE w:val="0"/>
                    <w:autoSpaceDN w:val="0"/>
                    <w:adjustRightInd w:val="0"/>
                    <w:spacing w:after="120"/>
                    <w:jc w:val="right"/>
                    <w:rPr>
                      <w:rFonts w:ascii="Arial" w:hAnsi="Arial" w:cs="Arial"/>
                      <w:sz w:val="21"/>
                      <w:szCs w:val="21"/>
                    </w:rPr>
                  </w:pPr>
                  <w:r w:rsidRPr="001C4C46">
                    <w:rPr>
                      <w:rFonts w:ascii="Arial" w:hAnsi="Arial" w:cs="Arial"/>
                      <w:sz w:val="21"/>
                      <w:szCs w:val="21"/>
                    </w:rPr>
                    <w:t>30 de septiembre</w:t>
                  </w:r>
                  <w:r w:rsidRPr="001C4C46">
                    <w:rPr>
                      <w:rFonts w:ascii="Arial" w:hAnsi="Arial" w:cs="Arial"/>
                      <w:sz w:val="21"/>
                      <w:szCs w:val="21"/>
                    </w:rPr>
                    <w:br/>
                    <w:t>año 1</w:t>
                  </w:r>
                </w:p>
              </w:tc>
              <w:tc>
                <w:tcPr>
                  <w:tcW w:w="4484" w:type="dxa"/>
                  <w:tcBorders>
                    <w:top w:val="nil"/>
                    <w:left w:val="nil"/>
                    <w:bottom w:val="nil"/>
                    <w:right w:val="nil"/>
                  </w:tcBorders>
                </w:tcPr>
                <w:p w:rsidR="00961F4F" w:rsidRPr="001C4C46" w:rsidRDefault="00961F4F" w:rsidP="001C4C46">
                  <w:pPr>
                    <w:pStyle w:val="dates"/>
                    <w:widowControl/>
                    <w:ind w:left="34" w:firstLine="0"/>
                    <w:rPr>
                      <w:w w:val="100"/>
                      <w:sz w:val="21"/>
                      <w:szCs w:val="21"/>
                    </w:rPr>
                  </w:pPr>
                  <w:r w:rsidRPr="001C4C46">
                    <w:rPr>
                      <w:w w:val="100"/>
                      <w:sz w:val="21"/>
                      <w:szCs w:val="21"/>
                    </w:rPr>
                    <w:t>Fecha límite en que el Estado Parte facilitará a la Secretaría la información faltante que se precise para completar el expediente, de ser necesario. Los expedientes incompletos serán devueltos a los Estados Partes, que podrán completarlos para el ciclo siguiente. A medida que la Secretaría va recibiendo los expedientes para los que solicitó información complementaria, revisados por los Estados que los presentaron, los publica en Internet sustituyendo los expedientes recibidos originalmente. Las traducciones al francés y al inglés se publican asimismo cuando están disponibles.</w:t>
                  </w:r>
                </w:p>
              </w:tc>
            </w:tr>
          </w:tbl>
          <w:p w:rsidR="00D54F2A" w:rsidRPr="00410628" w:rsidRDefault="00D54F2A" w:rsidP="00D54F2A">
            <w:pPr>
              <w:spacing w:before="120" w:after="120"/>
              <w:jc w:val="both"/>
              <w:rPr>
                <w:rFonts w:ascii="Arial" w:hAnsi="Arial" w:cs="Arial"/>
                <w:strike/>
                <w:sz w:val="22"/>
                <w:szCs w:val="22"/>
              </w:rPr>
            </w:pPr>
          </w:p>
        </w:tc>
      </w:tr>
    </w:tbl>
    <w:p w:rsidR="00163D7D" w:rsidRDefault="00163D7D" w:rsidP="00D54F2A">
      <w:pPr>
        <w:pStyle w:val="GAParaResolution"/>
        <w:numPr>
          <w:ilvl w:val="0"/>
          <w:numId w:val="15"/>
        </w:numPr>
        <w:sectPr w:rsidR="00163D7D" w:rsidSect="002F312A">
          <w:headerReference w:type="even" r:id="rId51"/>
          <w:headerReference w:type="default" r:id="rId52"/>
          <w:footerReference w:type="even" r:id="rId53"/>
          <w:footerReference w:type="default" r:id="rId54"/>
          <w:headerReference w:type="first" r:id="rId55"/>
          <w:footerReference w:type="first" r:id="rId56"/>
          <w:pgSz w:w="16838" w:h="11906" w:orient="landscape" w:code="9"/>
          <w:pgMar w:top="1134" w:right="1134" w:bottom="1134" w:left="1418" w:header="397" w:footer="284" w:gutter="0"/>
          <w:cols w:space="708"/>
          <w:docGrid w:linePitch="360"/>
        </w:sectPr>
      </w:pPr>
    </w:p>
    <w:p w:rsidR="00D54F2A" w:rsidRPr="001C4C46" w:rsidRDefault="00D54F2A" w:rsidP="00D54F2A">
      <w:pPr>
        <w:pStyle w:val="GAParaResolution"/>
        <w:numPr>
          <w:ilvl w:val="0"/>
          <w:numId w:val="15"/>
        </w:numPr>
        <w:rPr>
          <w:b/>
          <w:u w:val="none"/>
        </w:rPr>
      </w:pPr>
      <w:r w:rsidRPr="00410628">
        <w:rPr>
          <w:b/>
          <w:u w:val="none"/>
        </w:rPr>
        <w:lastRenderedPageBreak/>
        <w:t>Salvaguardia del patrimonio cultural inmaterial y desarrollo sostenible</w:t>
      </w:r>
    </w:p>
    <w:p w:rsidR="00D54F2A" w:rsidRPr="005557B3" w:rsidRDefault="00D54F2A" w:rsidP="001C4C46">
      <w:pPr>
        <w:keepNext/>
        <w:spacing w:before="360"/>
        <w:jc w:val="both"/>
        <w:rPr>
          <w:rFonts w:ascii="Arial" w:hAnsi="Arial" w:cs="Arial"/>
          <w:b/>
        </w:rPr>
      </w:pPr>
      <w:r w:rsidRPr="001C4C46">
        <w:rPr>
          <w:rFonts w:ascii="Arial" w:hAnsi="Arial" w:cs="Arial"/>
          <w:b/>
        </w:rPr>
        <w:t xml:space="preserve">Proyecto de </w:t>
      </w:r>
      <w:r w:rsidR="00163D7D" w:rsidRPr="001C4C46">
        <w:rPr>
          <w:rFonts w:ascii="Arial" w:hAnsi="Arial" w:cs="Arial"/>
          <w:b/>
        </w:rPr>
        <w:t>D</w:t>
      </w:r>
      <w:r w:rsidR="00163D7D" w:rsidRPr="0092706B">
        <w:rPr>
          <w:rFonts w:ascii="Arial" w:hAnsi="Arial" w:cs="Arial"/>
          <w:b/>
        </w:rPr>
        <w:t xml:space="preserve">irectrices </w:t>
      </w:r>
      <w:r w:rsidR="00163D7D" w:rsidRPr="001C4C46">
        <w:rPr>
          <w:rFonts w:ascii="Arial" w:hAnsi="Arial" w:cs="Arial"/>
          <w:b/>
        </w:rPr>
        <w:t>O</w:t>
      </w:r>
      <w:r w:rsidR="00163D7D" w:rsidRPr="0092706B">
        <w:rPr>
          <w:rFonts w:ascii="Arial" w:hAnsi="Arial" w:cs="Arial"/>
          <w:b/>
        </w:rPr>
        <w:t xml:space="preserve">perativas </w:t>
      </w:r>
      <w:r w:rsidRPr="0092706B">
        <w:rPr>
          <w:rFonts w:ascii="Arial" w:hAnsi="Arial" w:cs="Arial"/>
          <w:b/>
        </w:rPr>
        <w:t>sobre la «Salvaguardia del patrimonio cultural inmaterial y desarrollo sostenible en el plano nacional»</w:t>
      </w:r>
    </w:p>
    <w:p w:rsidR="00D54F2A" w:rsidRPr="00410628" w:rsidRDefault="00D54F2A" w:rsidP="0092706B">
      <w:pPr>
        <w:keepNext/>
        <w:spacing w:before="360" w:after="240"/>
        <w:ind w:left="1701" w:hanging="1701"/>
        <w:rPr>
          <w:rFonts w:ascii="Arial" w:hAnsi="Arial" w:cs="Arial"/>
          <w:b/>
          <w:color w:val="000000"/>
          <w:sz w:val="22"/>
          <w:szCs w:val="22"/>
        </w:rPr>
      </w:pPr>
      <w:r w:rsidRPr="001C4C46">
        <w:rPr>
          <w:rFonts w:ascii="Arial" w:hAnsi="Arial" w:cs="Arial"/>
          <w:b/>
          <w:color w:val="000000"/>
          <w:sz w:val="22"/>
          <w:szCs w:val="22"/>
        </w:rPr>
        <w:t>Capítulo VI</w:t>
      </w:r>
      <w:r w:rsidR="00163D7D">
        <w:rPr>
          <w:rFonts w:ascii="Arial" w:hAnsi="Arial" w:cs="Arial"/>
          <w:b/>
          <w:color w:val="000000"/>
          <w:sz w:val="22"/>
          <w:szCs w:val="22"/>
        </w:rPr>
        <w:tab/>
      </w:r>
      <w:r w:rsidRPr="001C4C46">
        <w:rPr>
          <w:rFonts w:ascii="Arial" w:hAnsi="Arial" w:cs="Arial"/>
          <w:b/>
          <w:color w:val="000000"/>
          <w:sz w:val="22"/>
          <w:szCs w:val="22"/>
        </w:rPr>
        <w:t>SALVAGUARDIA DEL PATRIMONIO CULTURAL INMATERIAL Y DESARROLLO SOSTENIBLE EN EL PLANO NACIONAL</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Style w:val="st1"/>
          <w:rFonts w:ascii="Arial" w:hAnsi="Arial" w:cs="Arial"/>
          <w:sz w:val="22"/>
          <w:szCs w:val="22"/>
        </w:rPr>
      </w:pPr>
      <w:r w:rsidRPr="0092706B">
        <w:rPr>
          <w:rFonts w:ascii="Arial" w:hAnsi="Arial" w:cs="Arial"/>
          <w:color w:val="000000"/>
          <w:sz w:val="22"/>
          <w:szCs w:val="22"/>
        </w:rPr>
        <w:t>Con el fin de aplicar con eficacia la Convención, los Estados Partes intentarán por todos los medios apropiados,</w:t>
      </w:r>
      <w:r w:rsidRPr="0092706B">
        <w:rPr>
          <w:rStyle w:val="st1"/>
          <w:rFonts w:ascii="Arial" w:hAnsi="Arial" w:cs="Arial"/>
          <w:sz w:val="22"/>
          <w:szCs w:val="22"/>
        </w:rPr>
        <w:t xml:space="preserve"> reconocer la importancia y </w:t>
      </w:r>
      <w:r w:rsidR="00B61CCB">
        <w:rPr>
          <w:rStyle w:val="st1"/>
          <w:rFonts w:ascii="Arial" w:hAnsi="Arial" w:cs="Arial"/>
          <w:sz w:val="22"/>
          <w:szCs w:val="22"/>
        </w:rPr>
        <w:t>valorizar</w:t>
      </w:r>
      <w:r w:rsidR="00B61CCB" w:rsidRPr="0092706B">
        <w:rPr>
          <w:rStyle w:val="st1"/>
          <w:rFonts w:ascii="Arial" w:hAnsi="Arial" w:cs="Arial"/>
          <w:sz w:val="22"/>
          <w:szCs w:val="22"/>
        </w:rPr>
        <w:t xml:space="preserve"> </w:t>
      </w:r>
      <w:r w:rsidRPr="0092706B">
        <w:rPr>
          <w:rStyle w:val="st1"/>
          <w:rFonts w:ascii="Arial" w:hAnsi="Arial" w:cs="Arial"/>
          <w:sz w:val="22"/>
          <w:szCs w:val="22"/>
        </w:rPr>
        <w:t>el rol del patrimonio cultural inmateri</w:t>
      </w:r>
      <w:r w:rsidRPr="005557B3">
        <w:rPr>
          <w:rStyle w:val="st1"/>
          <w:rFonts w:ascii="Arial" w:hAnsi="Arial" w:cs="Arial"/>
          <w:sz w:val="22"/>
          <w:szCs w:val="22"/>
        </w:rPr>
        <w:t xml:space="preserve">al como motor y garante del desarrollo sostenible, e integrar completamente la salvaguardia del patrimonio cultural inmaterial en sus planes de desarrollo, políticas y programas a todo nivel. </w:t>
      </w:r>
      <w:r w:rsidRPr="005557B3">
        <w:rPr>
          <w:rFonts w:ascii="Arial" w:hAnsi="Arial" w:cs="Arial"/>
          <w:sz w:val="22"/>
          <w:szCs w:val="22"/>
        </w:rPr>
        <w:t xml:space="preserve">Reconociendo la interdependencia entre salvaguardia del patrimonio cultural inmaterial, desarrollo sostenible, paz y seguridad, </w:t>
      </w:r>
      <w:r w:rsidRPr="005557B3">
        <w:rPr>
          <w:rStyle w:val="st1"/>
          <w:rFonts w:ascii="Arial" w:hAnsi="Arial" w:cs="Arial"/>
          <w:sz w:val="22"/>
          <w:szCs w:val="22"/>
        </w:rPr>
        <w:t xml:space="preserve">los Estados Partes deben intentar mantener un equilibrio entre las tres dimensiones del desarrollo sostenible (económica, social y ambiental) en sus esfuerzos de salvaguardia, y para ello deben facilitar la cooperación con </w:t>
      </w:r>
      <w:r w:rsidR="00C506F5">
        <w:rPr>
          <w:rStyle w:val="st1"/>
          <w:rFonts w:ascii="Arial" w:hAnsi="Arial" w:cs="Arial"/>
          <w:sz w:val="22"/>
          <w:szCs w:val="22"/>
        </w:rPr>
        <w:t xml:space="preserve">los </w:t>
      </w:r>
      <w:r w:rsidRPr="0092706B">
        <w:rPr>
          <w:rStyle w:val="st1"/>
          <w:rFonts w:ascii="Arial" w:hAnsi="Arial" w:cs="Arial"/>
          <w:sz w:val="22"/>
          <w:szCs w:val="22"/>
        </w:rPr>
        <w:t>expertos</w:t>
      </w:r>
      <w:r w:rsidRPr="005557B3">
        <w:rPr>
          <w:rStyle w:val="st1"/>
          <w:rFonts w:ascii="Arial" w:hAnsi="Arial" w:cs="Arial"/>
          <w:sz w:val="22"/>
          <w:szCs w:val="22"/>
        </w:rPr>
        <w:t xml:space="preserve">, agentes culturales y mediadores </w:t>
      </w:r>
      <w:r w:rsidR="00C506F5" w:rsidRPr="00A34725">
        <w:rPr>
          <w:rStyle w:val="st1"/>
          <w:rFonts w:ascii="Arial" w:hAnsi="Arial" w:cs="Arial"/>
          <w:sz w:val="22"/>
          <w:szCs w:val="22"/>
        </w:rPr>
        <w:t>pertinentes</w:t>
      </w:r>
      <w:r w:rsidR="00C506F5" w:rsidRPr="0092706B">
        <w:rPr>
          <w:rStyle w:val="st1"/>
          <w:rFonts w:ascii="Arial" w:hAnsi="Arial" w:cs="Arial"/>
          <w:sz w:val="22"/>
          <w:szCs w:val="22"/>
        </w:rPr>
        <w:t xml:space="preserve"> </w:t>
      </w:r>
      <w:r w:rsidRPr="0092706B">
        <w:rPr>
          <w:rStyle w:val="st1"/>
          <w:rFonts w:ascii="Arial" w:hAnsi="Arial" w:cs="Arial"/>
          <w:sz w:val="22"/>
          <w:szCs w:val="22"/>
        </w:rPr>
        <w:t xml:space="preserve">mediante un enfoque participativo. Los Estados </w:t>
      </w:r>
      <w:r w:rsidR="00163D7D">
        <w:rPr>
          <w:rStyle w:val="st1"/>
          <w:rFonts w:ascii="Arial" w:hAnsi="Arial" w:cs="Arial"/>
          <w:sz w:val="22"/>
          <w:szCs w:val="22"/>
        </w:rPr>
        <w:t>P</w:t>
      </w:r>
      <w:r w:rsidR="00163D7D" w:rsidRPr="0092706B">
        <w:rPr>
          <w:rStyle w:val="st1"/>
          <w:rFonts w:ascii="Arial" w:hAnsi="Arial" w:cs="Arial"/>
          <w:sz w:val="22"/>
          <w:szCs w:val="22"/>
        </w:rPr>
        <w:t xml:space="preserve">artes </w:t>
      </w:r>
      <w:r w:rsidRPr="0092706B">
        <w:rPr>
          <w:rStyle w:val="st1"/>
          <w:rFonts w:ascii="Arial" w:hAnsi="Arial" w:cs="Arial"/>
          <w:sz w:val="22"/>
          <w:szCs w:val="22"/>
        </w:rPr>
        <w:t>deben reconocer la naturaleza dinámica del patrimonio cultural inmaterial en los contextos rur</w:t>
      </w:r>
      <w:r w:rsidRPr="005557B3">
        <w:rPr>
          <w:rStyle w:val="st1"/>
          <w:rFonts w:ascii="Arial" w:hAnsi="Arial" w:cs="Arial"/>
          <w:sz w:val="22"/>
          <w:szCs w:val="22"/>
        </w:rPr>
        <w:t>ales y urbanos, y deben orientar sus esfuerzos de salvaguardia únicamente hacia el patrimonio cultural inmaterial que sea compatible con los instrumentos de derechos humanos existentes, y con los requerimientos de respeto mutuo entre las comunidades, grupos e individuos, y de desarrollo sostenible.</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Style w:val="st1"/>
          <w:rFonts w:ascii="Arial" w:hAnsi="Arial" w:cs="Arial"/>
          <w:sz w:val="22"/>
          <w:szCs w:val="22"/>
        </w:rPr>
      </w:pPr>
      <w:r w:rsidRPr="005557B3">
        <w:rPr>
          <w:rStyle w:val="st1"/>
          <w:rFonts w:ascii="Arial" w:hAnsi="Arial" w:cs="Arial"/>
          <w:sz w:val="22"/>
          <w:szCs w:val="22"/>
        </w:rPr>
        <w:t xml:space="preserve">En la medida en que sus planes de desarrollo, políticas y programas conciernen al patrimonio cultural inmaterial o puedan afectar su viabilidad, los </w:t>
      </w:r>
      <w:r w:rsidR="00C506F5">
        <w:rPr>
          <w:rStyle w:val="st1"/>
          <w:rFonts w:ascii="Arial" w:hAnsi="Arial" w:cs="Arial"/>
          <w:sz w:val="22"/>
          <w:szCs w:val="22"/>
        </w:rPr>
        <w:t>E</w:t>
      </w:r>
      <w:r w:rsidR="00C506F5" w:rsidRPr="0092706B">
        <w:rPr>
          <w:rStyle w:val="st1"/>
          <w:rFonts w:ascii="Arial" w:hAnsi="Arial" w:cs="Arial"/>
          <w:sz w:val="22"/>
          <w:szCs w:val="22"/>
        </w:rPr>
        <w:t xml:space="preserve">stados </w:t>
      </w:r>
      <w:r w:rsidRPr="0092706B">
        <w:rPr>
          <w:rStyle w:val="st1"/>
          <w:rFonts w:ascii="Arial" w:hAnsi="Arial" w:cs="Arial"/>
          <w:sz w:val="22"/>
          <w:szCs w:val="22"/>
        </w:rPr>
        <w:t>Partes intentarán:</w:t>
      </w:r>
    </w:p>
    <w:p w:rsidR="00D54F2A" w:rsidRPr="0092706B" w:rsidRDefault="00C506F5" w:rsidP="00D54F2A">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rPr>
      </w:pPr>
      <w:r>
        <w:rPr>
          <w:rStyle w:val="st1"/>
          <w:rFonts w:ascii="Arial" w:hAnsi="Arial" w:cs="Arial"/>
          <w:sz w:val="22"/>
          <w:szCs w:val="22"/>
        </w:rPr>
        <w:t>garantizar</w:t>
      </w:r>
      <w:r w:rsidRPr="0092706B">
        <w:rPr>
          <w:rStyle w:val="st1"/>
          <w:rFonts w:ascii="Arial" w:hAnsi="Arial" w:cs="Arial"/>
          <w:sz w:val="22"/>
          <w:szCs w:val="22"/>
        </w:rPr>
        <w:t xml:space="preserve"> </w:t>
      </w:r>
      <w:r w:rsidR="00D54F2A" w:rsidRPr="0092706B">
        <w:rPr>
          <w:rStyle w:val="st1"/>
          <w:rFonts w:ascii="Arial" w:hAnsi="Arial" w:cs="Arial"/>
          <w:sz w:val="22"/>
          <w:szCs w:val="22"/>
        </w:rPr>
        <w:t>la partici</w:t>
      </w:r>
      <w:r w:rsidR="00D54F2A" w:rsidRPr="005557B3">
        <w:rPr>
          <w:rStyle w:val="st1"/>
          <w:rFonts w:ascii="Arial" w:hAnsi="Arial" w:cs="Arial"/>
          <w:sz w:val="22"/>
          <w:szCs w:val="22"/>
        </w:rPr>
        <w:t xml:space="preserve">pación más amplia posible de las comunidades, los grupos y, si procede, los individuos que crean, mantienen y transmiten ese patrimonio y asociarlos activamente a la gestión de dichos </w:t>
      </w:r>
      <w:r>
        <w:rPr>
          <w:rStyle w:val="st1"/>
          <w:rFonts w:ascii="Arial" w:hAnsi="Arial" w:cs="Arial"/>
          <w:sz w:val="22"/>
          <w:szCs w:val="22"/>
        </w:rPr>
        <w:t>planes, políticas y programas</w:t>
      </w:r>
      <w:r w:rsidR="00D54F2A" w:rsidRPr="0092706B">
        <w:rPr>
          <w:rStyle w:val="st1"/>
          <w:rFonts w:ascii="Arial" w:hAnsi="Arial" w:cs="Arial"/>
          <w:sz w:val="22"/>
          <w:szCs w:val="22"/>
        </w:rPr>
        <w:t>;</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rPr>
      </w:pPr>
      <w:r w:rsidRPr="005557B3">
        <w:rPr>
          <w:rStyle w:val="st1"/>
          <w:rFonts w:ascii="Arial" w:hAnsi="Arial" w:cs="Arial"/>
          <w:sz w:val="22"/>
          <w:szCs w:val="22"/>
        </w:rPr>
        <w:t xml:space="preserve">garantizar que dichas comunidades, grupos y, </w:t>
      </w:r>
      <w:r w:rsidR="00C506F5" w:rsidRPr="002F1024">
        <w:rPr>
          <w:rStyle w:val="st1"/>
          <w:rFonts w:ascii="Arial" w:hAnsi="Arial" w:cs="Arial"/>
          <w:sz w:val="22"/>
          <w:szCs w:val="22"/>
        </w:rPr>
        <w:t>si procede</w:t>
      </w:r>
      <w:r w:rsidRPr="0092706B">
        <w:rPr>
          <w:rStyle w:val="st1"/>
          <w:rFonts w:ascii="Arial" w:hAnsi="Arial" w:cs="Arial"/>
          <w:sz w:val="22"/>
          <w:szCs w:val="22"/>
        </w:rPr>
        <w:t xml:space="preserve">, individuos </w:t>
      </w:r>
      <w:r w:rsidR="00C506F5">
        <w:rPr>
          <w:rStyle w:val="st1"/>
          <w:rFonts w:ascii="Arial" w:hAnsi="Arial" w:cs="Arial"/>
          <w:sz w:val="22"/>
          <w:szCs w:val="22"/>
        </w:rPr>
        <w:t>interesados</w:t>
      </w:r>
      <w:r w:rsidRPr="0092706B">
        <w:rPr>
          <w:rStyle w:val="st1"/>
          <w:rFonts w:ascii="Arial" w:hAnsi="Arial" w:cs="Arial"/>
          <w:sz w:val="22"/>
          <w:szCs w:val="22"/>
        </w:rPr>
        <w:t>, sean los principales beneficiarios, tanto en términos morales como materiales, de dichos planes, políticas y programas;</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rPr>
      </w:pPr>
      <w:r w:rsidRPr="005557B3">
        <w:rPr>
          <w:rStyle w:val="st1"/>
          <w:rFonts w:ascii="Arial" w:hAnsi="Arial" w:cs="Arial"/>
          <w:sz w:val="22"/>
          <w:szCs w:val="22"/>
        </w:rPr>
        <w:t xml:space="preserve">garantizar que dichos planes, políticas y programas respeten </w:t>
      </w:r>
      <w:r w:rsidR="00C506F5">
        <w:rPr>
          <w:rStyle w:val="st1"/>
          <w:rFonts w:ascii="Arial" w:hAnsi="Arial" w:cs="Arial"/>
          <w:sz w:val="22"/>
          <w:szCs w:val="22"/>
        </w:rPr>
        <w:t>consideraciones</w:t>
      </w:r>
      <w:r w:rsidR="00C506F5" w:rsidRPr="0092706B">
        <w:rPr>
          <w:rStyle w:val="st1"/>
          <w:rFonts w:ascii="Arial" w:hAnsi="Arial" w:cs="Arial"/>
          <w:sz w:val="22"/>
          <w:szCs w:val="22"/>
        </w:rPr>
        <w:t xml:space="preserve"> </w:t>
      </w:r>
      <w:r w:rsidRPr="0092706B">
        <w:rPr>
          <w:rStyle w:val="st1"/>
          <w:rFonts w:ascii="Arial" w:hAnsi="Arial" w:cs="Arial"/>
          <w:sz w:val="22"/>
          <w:szCs w:val="22"/>
        </w:rPr>
        <w:t xml:space="preserve">éticas y no afecten negativamente la viabilidad del patrimonio cultural inmaterial </w:t>
      </w:r>
      <w:r w:rsidR="00C506F5">
        <w:rPr>
          <w:rStyle w:val="st1"/>
          <w:rFonts w:ascii="Arial" w:hAnsi="Arial" w:cs="Arial"/>
          <w:sz w:val="22"/>
          <w:szCs w:val="22"/>
        </w:rPr>
        <w:t>en cuestión</w:t>
      </w:r>
      <w:r w:rsidR="00C506F5" w:rsidRPr="0092706B">
        <w:rPr>
          <w:rStyle w:val="st1"/>
          <w:rFonts w:ascii="Arial" w:hAnsi="Arial" w:cs="Arial"/>
          <w:sz w:val="22"/>
          <w:szCs w:val="22"/>
        </w:rPr>
        <w:t xml:space="preserve"> </w:t>
      </w:r>
      <w:r w:rsidRPr="0092706B">
        <w:rPr>
          <w:rStyle w:val="st1"/>
          <w:rFonts w:ascii="Arial" w:hAnsi="Arial" w:cs="Arial"/>
          <w:sz w:val="22"/>
          <w:szCs w:val="22"/>
        </w:rPr>
        <w:t>o descontextualicen o desnaturalicen dicho patrimonio</w:t>
      </w:r>
      <w:r w:rsidR="00C506F5">
        <w:rPr>
          <w:rStyle w:val="st1"/>
          <w:rFonts w:ascii="Arial" w:hAnsi="Arial" w:cs="Arial"/>
          <w:sz w:val="22"/>
          <w:szCs w:val="22"/>
        </w:rPr>
        <w:t>;</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rPr>
      </w:pPr>
      <w:r w:rsidRPr="005557B3">
        <w:rPr>
          <w:rFonts w:ascii="Arial" w:hAnsi="Arial" w:cs="Arial"/>
          <w:sz w:val="22"/>
          <w:szCs w:val="22"/>
        </w:rPr>
        <w:t>facilitar la cooperación con expertos en desarrollo sostenible y agentes culturales para la integración adecuada de la salvaguardia del patrimonio cultural inmaterial en planes, políticas y programas, dentro y fuera del sector cultural.</w:t>
      </w:r>
    </w:p>
    <w:p w:rsidR="00D54F2A" w:rsidRPr="0092706B"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Los Estados Partes intentarán tomar conocimiento total del potencial e impacto real de todos los planes de desarrollo y programas de patrimonio cultural inmaterial, particularmente en el contexto de procesos de evaluación </w:t>
      </w:r>
      <w:r w:rsidR="00C506F5">
        <w:rPr>
          <w:rFonts w:ascii="Arial" w:hAnsi="Arial" w:cs="Arial"/>
          <w:sz w:val="22"/>
          <w:szCs w:val="22"/>
        </w:rPr>
        <w:t xml:space="preserve">de impactos </w:t>
      </w:r>
      <w:r w:rsidRPr="0092706B">
        <w:rPr>
          <w:rFonts w:ascii="Arial" w:hAnsi="Arial" w:cs="Arial"/>
          <w:sz w:val="22"/>
          <w:szCs w:val="22"/>
        </w:rPr>
        <w:t>ambientales, sociales, económicos y culturales.</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Los Estados Partes intentarán reconocer, promover y reforzar la importancia del patrimonio cultural inmaterial como recurso estratégico que </w:t>
      </w:r>
      <w:r w:rsidR="006C3C5F">
        <w:rPr>
          <w:rFonts w:ascii="Arial" w:hAnsi="Arial" w:cs="Arial"/>
          <w:sz w:val="22"/>
          <w:szCs w:val="22"/>
        </w:rPr>
        <w:t>permita</w:t>
      </w:r>
      <w:r w:rsidR="006C3C5F" w:rsidRPr="0092706B">
        <w:rPr>
          <w:rFonts w:ascii="Arial" w:hAnsi="Arial" w:cs="Arial"/>
          <w:sz w:val="22"/>
          <w:szCs w:val="22"/>
        </w:rPr>
        <w:t xml:space="preserve"> </w:t>
      </w:r>
      <w:r w:rsidR="006C3C5F">
        <w:rPr>
          <w:rFonts w:ascii="Arial" w:hAnsi="Arial" w:cs="Arial"/>
          <w:sz w:val="22"/>
          <w:szCs w:val="22"/>
        </w:rPr>
        <w:t>un</w:t>
      </w:r>
      <w:r w:rsidR="006C3C5F" w:rsidRPr="0092706B">
        <w:rPr>
          <w:rFonts w:ascii="Arial" w:hAnsi="Arial" w:cs="Arial"/>
          <w:sz w:val="22"/>
          <w:szCs w:val="22"/>
        </w:rPr>
        <w:t xml:space="preserve"> </w:t>
      </w:r>
      <w:r w:rsidRPr="0092706B">
        <w:rPr>
          <w:rFonts w:ascii="Arial" w:hAnsi="Arial" w:cs="Arial"/>
          <w:sz w:val="22"/>
          <w:szCs w:val="22"/>
        </w:rPr>
        <w:t>desarrollo sostenible.</w:t>
      </w:r>
      <w:r w:rsidRPr="005557B3">
        <w:rPr>
          <w:rFonts w:ascii="Arial" w:hAnsi="Arial" w:cs="Arial"/>
          <w:color w:val="000000"/>
          <w:sz w:val="22"/>
          <w:szCs w:val="22"/>
        </w:rPr>
        <w:t xml:space="preserve"> Para ello, se invita a los Estados Partes 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rPr>
      </w:pPr>
      <w:r w:rsidRPr="005557B3">
        <w:rPr>
          <w:rStyle w:val="st1"/>
          <w:rFonts w:ascii="Arial" w:hAnsi="Arial" w:cs="Arial"/>
          <w:sz w:val="22"/>
          <w:szCs w:val="22"/>
        </w:rPr>
        <w:t xml:space="preserve">promover metodologías de investigación y estudios científicos, incluyendo los realizados por las </w:t>
      </w:r>
      <w:r w:rsidR="006C3C5F">
        <w:rPr>
          <w:rStyle w:val="st1"/>
          <w:rFonts w:ascii="Arial" w:hAnsi="Arial" w:cs="Arial"/>
          <w:sz w:val="22"/>
          <w:szCs w:val="22"/>
        </w:rPr>
        <w:t xml:space="preserve">propias </w:t>
      </w:r>
      <w:r w:rsidRPr="0092706B">
        <w:rPr>
          <w:rStyle w:val="st1"/>
          <w:rFonts w:ascii="Arial" w:hAnsi="Arial" w:cs="Arial"/>
          <w:sz w:val="22"/>
          <w:szCs w:val="22"/>
        </w:rPr>
        <w:t>comunidades y grupos, orientados a comprender la diversidad de temas relacionados con la protección de diversos derechos de las comunidades, grupos e individuos relacionados con la salvaguardia del patrimonio cultural inmaterial;</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rPr>
      </w:pPr>
      <w:r w:rsidRPr="005557B3">
        <w:rPr>
          <w:rStyle w:val="st1"/>
          <w:rFonts w:ascii="Arial" w:hAnsi="Arial" w:cs="Arial"/>
          <w:sz w:val="22"/>
          <w:szCs w:val="22"/>
        </w:rPr>
        <w:t>adoptar las medidas de orden jurídico, técnico, administrativo y financiero</w:t>
      </w:r>
      <w:r w:rsidR="006C3C5F">
        <w:rPr>
          <w:rStyle w:val="st1"/>
          <w:rFonts w:ascii="Arial" w:hAnsi="Arial" w:cs="Arial"/>
          <w:sz w:val="22"/>
          <w:szCs w:val="22"/>
        </w:rPr>
        <w:t xml:space="preserve"> adecuadas</w:t>
      </w:r>
      <w:r w:rsidRPr="0092706B">
        <w:rPr>
          <w:rStyle w:val="st1"/>
          <w:rFonts w:ascii="Arial" w:hAnsi="Arial" w:cs="Arial"/>
          <w:sz w:val="22"/>
          <w:szCs w:val="22"/>
        </w:rPr>
        <w:t>, mediante la aplicación, en particular, de los derechos de propiedad intelectual, del derecho al respeto de la vida privada y de cualquier otra forma apropiada d</w:t>
      </w:r>
      <w:r w:rsidRPr="005557B3">
        <w:rPr>
          <w:rStyle w:val="st1"/>
          <w:rFonts w:ascii="Arial" w:hAnsi="Arial" w:cs="Arial"/>
          <w:sz w:val="22"/>
          <w:szCs w:val="22"/>
        </w:rPr>
        <w:t xml:space="preserve">e </w:t>
      </w:r>
      <w:r w:rsidRPr="005557B3">
        <w:rPr>
          <w:rStyle w:val="st1"/>
          <w:rFonts w:ascii="Arial" w:hAnsi="Arial" w:cs="Arial"/>
          <w:sz w:val="22"/>
          <w:szCs w:val="22"/>
        </w:rPr>
        <w:lastRenderedPageBreak/>
        <w:t>protección jurídica, para amparar debidamente los derechos de las comunidades, los grupos y los individuos que crean, detentan y transmiten su patrimonio cultural inmaterial cuando se realicen actividades de sensibilización a ese patrimonio o se emprendan actividades comerciales.</w:t>
      </w:r>
    </w:p>
    <w:p w:rsidR="00D54F2A" w:rsidRPr="0092706B"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Los Estados Partes velarán por que sus </w:t>
      </w:r>
      <w:r w:rsidRPr="005557B3">
        <w:rPr>
          <w:rStyle w:val="st1"/>
          <w:rFonts w:ascii="Arial" w:hAnsi="Arial" w:cs="Arial"/>
          <w:sz w:val="22"/>
          <w:szCs w:val="22"/>
        </w:rPr>
        <w:t xml:space="preserve">planes </w:t>
      </w:r>
      <w:r w:rsidR="006C3C5F">
        <w:rPr>
          <w:rStyle w:val="st1"/>
          <w:rFonts w:ascii="Arial" w:hAnsi="Arial" w:cs="Arial"/>
          <w:sz w:val="22"/>
          <w:szCs w:val="22"/>
        </w:rPr>
        <w:t xml:space="preserve">y programas </w:t>
      </w:r>
      <w:r w:rsidRPr="0092706B">
        <w:rPr>
          <w:rStyle w:val="st1"/>
          <w:rFonts w:ascii="Arial" w:hAnsi="Arial" w:cs="Arial"/>
          <w:sz w:val="22"/>
          <w:szCs w:val="22"/>
        </w:rPr>
        <w:t xml:space="preserve">de salvaguardia incluyan completamente a todos </w:t>
      </w:r>
      <w:r w:rsidRPr="005557B3">
        <w:rPr>
          <w:rFonts w:ascii="Arial" w:hAnsi="Arial" w:cs="Arial"/>
          <w:sz w:val="22"/>
          <w:szCs w:val="22"/>
        </w:rPr>
        <w:t xml:space="preserve">los sectores y estratos de la sociedad, incluyendo a los pueblos indígenas, </w:t>
      </w:r>
      <w:r w:rsidRPr="005557B3">
        <w:rPr>
          <w:rStyle w:val="st1"/>
          <w:rFonts w:ascii="Arial" w:hAnsi="Arial" w:cs="Arial"/>
          <w:sz w:val="22"/>
          <w:szCs w:val="22"/>
        </w:rPr>
        <w:t>emigrantes, inmigrantes y refugiados</w:t>
      </w:r>
      <w:r w:rsidR="006C3C5F">
        <w:rPr>
          <w:rStyle w:val="st1"/>
          <w:rFonts w:ascii="Arial" w:hAnsi="Arial" w:cs="Arial"/>
          <w:sz w:val="22"/>
          <w:szCs w:val="22"/>
        </w:rPr>
        <w:t>,</w:t>
      </w:r>
      <w:r w:rsidRPr="0092706B">
        <w:rPr>
          <w:rFonts w:ascii="Arial" w:hAnsi="Arial" w:cs="Arial"/>
          <w:sz w:val="22"/>
          <w:szCs w:val="22"/>
        </w:rPr>
        <w:t xml:space="preserve"> personas de diferentes edades y géneros, personas discapacitadas y miembros de grupos vulnerables</w:t>
      </w:r>
      <w:r w:rsidRPr="005557B3">
        <w:rPr>
          <w:rStyle w:val="st1"/>
          <w:rFonts w:ascii="Arial" w:hAnsi="Arial" w:cs="Arial"/>
          <w:sz w:val="22"/>
          <w:szCs w:val="22"/>
        </w:rPr>
        <w:t xml:space="preserve">, según lo establecido por el </w:t>
      </w:r>
      <w:r w:rsidR="006C3C5F">
        <w:rPr>
          <w:rStyle w:val="st1"/>
          <w:rFonts w:ascii="Arial" w:hAnsi="Arial" w:cs="Arial"/>
          <w:sz w:val="22"/>
          <w:szCs w:val="22"/>
        </w:rPr>
        <w:t>a</w:t>
      </w:r>
      <w:r w:rsidR="006C3C5F" w:rsidRPr="0092706B">
        <w:rPr>
          <w:rStyle w:val="st1"/>
          <w:rFonts w:ascii="Arial" w:hAnsi="Arial" w:cs="Arial"/>
          <w:sz w:val="22"/>
          <w:szCs w:val="22"/>
        </w:rPr>
        <w:t>rtículo</w:t>
      </w:r>
      <w:r w:rsidR="006C3C5F">
        <w:rPr>
          <w:rStyle w:val="st1"/>
          <w:rFonts w:ascii="Arial" w:hAnsi="Arial" w:cs="Arial"/>
          <w:sz w:val="22"/>
          <w:szCs w:val="22"/>
        </w:rPr>
        <w:t> </w:t>
      </w:r>
      <w:r w:rsidRPr="0092706B">
        <w:rPr>
          <w:rStyle w:val="st1"/>
          <w:rFonts w:ascii="Arial" w:hAnsi="Arial" w:cs="Arial"/>
          <w:sz w:val="22"/>
          <w:szCs w:val="22"/>
        </w:rPr>
        <w:t>11 de la Convención.</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Se alienta a los Estados Partes a promover metodologías de investigación y estudios científicos, incluyendo los realizados por las </w:t>
      </w:r>
      <w:r w:rsidR="00B45DCC">
        <w:rPr>
          <w:rFonts w:ascii="Arial" w:hAnsi="Arial" w:cs="Arial"/>
          <w:sz w:val="22"/>
          <w:szCs w:val="22"/>
        </w:rPr>
        <w:t xml:space="preserve">propias </w:t>
      </w:r>
      <w:r w:rsidRPr="0092706B">
        <w:rPr>
          <w:rFonts w:ascii="Arial" w:hAnsi="Arial" w:cs="Arial"/>
          <w:sz w:val="22"/>
          <w:szCs w:val="22"/>
        </w:rPr>
        <w:t xml:space="preserve">comunidades y grupos, y por organizaciones no gubernamentales, orientados a comprender los aportes del patrimonio cultural inmaterial al desarrollo sostenible y su importancia como un recurso para </w:t>
      </w:r>
      <w:r w:rsidR="00B45DCC">
        <w:rPr>
          <w:rFonts w:ascii="Arial" w:hAnsi="Arial" w:cs="Arial"/>
          <w:sz w:val="22"/>
          <w:szCs w:val="22"/>
        </w:rPr>
        <w:t>hacer frente a los</w:t>
      </w:r>
      <w:r w:rsidR="00B45DCC" w:rsidRPr="0092706B">
        <w:rPr>
          <w:rFonts w:ascii="Arial" w:hAnsi="Arial" w:cs="Arial"/>
          <w:sz w:val="22"/>
          <w:szCs w:val="22"/>
        </w:rPr>
        <w:t xml:space="preserve"> </w:t>
      </w:r>
      <w:r w:rsidRPr="0092706B">
        <w:rPr>
          <w:rFonts w:ascii="Arial" w:hAnsi="Arial" w:cs="Arial"/>
          <w:sz w:val="22"/>
          <w:szCs w:val="22"/>
        </w:rPr>
        <w:t>problemas de desarrollo, y a demostrar su valor con evidencias claras, incluyendo, si es posible, indicadores apropiados.</w:t>
      </w:r>
    </w:p>
    <w:p w:rsidR="00D54F2A" w:rsidRPr="0092706B"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Los Estados partes velarán por que las inscripciones de patrimonio cultural inmaterial en las listas de la Convención según lo estipulado por los </w:t>
      </w:r>
      <w:r w:rsidR="006C3C5F">
        <w:rPr>
          <w:rFonts w:ascii="Arial" w:hAnsi="Arial" w:cs="Arial"/>
          <w:sz w:val="22"/>
          <w:szCs w:val="22"/>
        </w:rPr>
        <w:t>artículo</w:t>
      </w:r>
      <w:r w:rsidRPr="0092706B">
        <w:rPr>
          <w:rFonts w:ascii="Arial" w:hAnsi="Arial" w:cs="Arial"/>
          <w:sz w:val="22"/>
          <w:szCs w:val="22"/>
        </w:rPr>
        <w:t xml:space="preserve">s 16 y 17 de la Convención y la selección de las mejores prácticas de salvaguardia según lo estipulado por el </w:t>
      </w:r>
      <w:r w:rsidR="006C3C5F">
        <w:rPr>
          <w:rFonts w:ascii="Arial" w:hAnsi="Arial" w:cs="Arial"/>
          <w:sz w:val="22"/>
          <w:szCs w:val="22"/>
        </w:rPr>
        <w:t>Artículo</w:t>
      </w:r>
      <w:r w:rsidRPr="0092706B">
        <w:rPr>
          <w:rFonts w:ascii="Arial" w:hAnsi="Arial" w:cs="Arial"/>
          <w:sz w:val="22"/>
          <w:szCs w:val="22"/>
        </w:rPr>
        <w:t xml:space="preserve"> 18 de la Convención sean utilizadas para promover los objetivos de la Convención de salvaguar</w:t>
      </w:r>
      <w:r w:rsidRPr="005557B3">
        <w:rPr>
          <w:rFonts w:ascii="Arial" w:hAnsi="Arial" w:cs="Arial"/>
          <w:sz w:val="22"/>
          <w:szCs w:val="22"/>
        </w:rPr>
        <w:t xml:space="preserve">dia y desarrollo sostenible y que no sean utilizadas en detrimento del patrimonio cultural inmaterial y </w:t>
      </w:r>
      <w:r w:rsidR="00B45DCC">
        <w:rPr>
          <w:rFonts w:ascii="Arial" w:hAnsi="Arial" w:cs="Arial"/>
          <w:sz w:val="22"/>
          <w:szCs w:val="22"/>
        </w:rPr>
        <w:t xml:space="preserve">de </w:t>
      </w:r>
      <w:r w:rsidRPr="0092706B">
        <w:rPr>
          <w:rFonts w:ascii="Arial" w:hAnsi="Arial" w:cs="Arial"/>
          <w:sz w:val="22"/>
          <w:szCs w:val="22"/>
        </w:rPr>
        <w:t xml:space="preserve">las comunidades, grupos o individuos </w:t>
      </w:r>
      <w:r w:rsidR="00C506F5">
        <w:rPr>
          <w:rFonts w:ascii="Arial" w:hAnsi="Arial" w:cs="Arial"/>
          <w:sz w:val="22"/>
          <w:szCs w:val="22"/>
        </w:rPr>
        <w:t>interesados</w:t>
      </w:r>
      <w:r w:rsidRPr="0092706B">
        <w:rPr>
          <w:rFonts w:ascii="Arial" w:hAnsi="Arial" w:cs="Arial"/>
          <w:sz w:val="22"/>
          <w:szCs w:val="22"/>
        </w:rPr>
        <w:t>, en particular a cambio de beneficios económicos a corto plazo.</w:t>
      </w:r>
    </w:p>
    <w:p w:rsidR="00D54F2A" w:rsidRPr="005557B3" w:rsidRDefault="00D54F2A" w:rsidP="00D54F2A">
      <w:pPr>
        <w:keepNext/>
        <w:spacing w:before="360" w:after="120"/>
        <w:ind w:left="567" w:hanging="567"/>
        <w:jc w:val="both"/>
        <w:rPr>
          <w:rFonts w:ascii="Arial" w:hAnsi="Arial" w:cs="Arial"/>
          <w:b/>
        </w:rPr>
      </w:pPr>
      <w:r w:rsidRPr="005557B3">
        <w:rPr>
          <w:rFonts w:ascii="Arial" w:hAnsi="Arial" w:cs="Arial"/>
          <w:b/>
        </w:rPr>
        <w:t>VI.1</w:t>
      </w:r>
      <w:r w:rsidRPr="001C4C46">
        <w:rPr>
          <w:rFonts w:ascii="Arial" w:hAnsi="Arial" w:cs="Arial"/>
        </w:rPr>
        <w:tab/>
      </w:r>
      <w:r w:rsidRPr="0092706B">
        <w:rPr>
          <w:rFonts w:ascii="Arial" w:hAnsi="Arial" w:cs="Arial"/>
          <w:b/>
        </w:rPr>
        <w:t>Desarrollo social in</w:t>
      </w:r>
      <w:r w:rsidRPr="005557B3">
        <w:rPr>
          <w:rFonts w:ascii="Arial" w:hAnsi="Arial" w:cs="Arial"/>
          <w:b/>
        </w:rPr>
        <w:t>clusivo</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color w:val="000000"/>
          <w:sz w:val="22"/>
          <w:szCs w:val="22"/>
        </w:rPr>
      </w:pPr>
      <w:r w:rsidRPr="00410628">
        <w:rPr>
          <w:rFonts w:ascii="Arial" w:hAnsi="Arial" w:cs="Arial"/>
          <w:color w:val="000000"/>
          <w:sz w:val="22"/>
          <w:szCs w:val="22"/>
        </w:rPr>
        <w:t>Se alienta a los Estados Partes a reconocer que el desarrollo social inclusivo no puede lograrse sin sostenibilidad alimentaria, atención médica de calidad, educación de calidad para todos, igualdad de género y acceso a</w:t>
      </w:r>
      <w:r w:rsidRPr="0092706B">
        <w:rPr>
          <w:rFonts w:ascii="Arial" w:hAnsi="Arial" w:cs="Arial"/>
          <w:color w:val="000000"/>
          <w:sz w:val="22"/>
          <w:szCs w:val="22"/>
        </w:rPr>
        <w:t xml:space="preserve"> fuentes de agua potable e infraestructura sanitaria, y que estos objetivos deben ser respaldados por sistemas de gobernanza inclusivos y por la libertad de las personas para elegir sus propios sistemas de valores.</w:t>
      </w:r>
    </w:p>
    <w:p w:rsidR="00D54F2A" w:rsidRPr="0092706B" w:rsidRDefault="00D54F2A" w:rsidP="00D54F2A">
      <w:pPr>
        <w:keepNext/>
        <w:spacing w:before="360" w:after="120"/>
        <w:ind w:left="425" w:firstLine="142"/>
        <w:jc w:val="both"/>
        <w:rPr>
          <w:rFonts w:ascii="Arial" w:hAnsi="Arial" w:cs="Arial"/>
          <w:b/>
          <w:sz w:val="22"/>
          <w:szCs w:val="22"/>
        </w:rPr>
      </w:pPr>
      <w:r w:rsidRPr="005557B3">
        <w:rPr>
          <w:rFonts w:ascii="Arial" w:hAnsi="Arial" w:cs="Arial"/>
          <w:b/>
          <w:sz w:val="22"/>
          <w:szCs w:val="22"/>
        </w:rPr>
        <w:t>VI.1.1</w:t>
      </w:r>
      <w:r w:rsidRPr="001C4C46">
        <w:rPr>
          <w:rFonts w:ascii="Arial" w:hAnsi="Arial" w:cs="Arial"/>
          <w:sz w:val="22"/>
          <w:szCs w:val="22"/>
        </w:rPr>
        <w:tab/>
      </w:r>
      <w:r w:rsidRPr="00410628">
        <w:rPr>
          <w:rFonts w:ascii="Arial" w:hAnsi="Arial" w:cs="Arial"/>
          <w:b/>
          <w:sz w:val="22"/>
          <w:szCs w:val="22"/>
        </w:rPr>
        <w:t xml:space="preserve">Seguridad </w:t>
      </w:r>
      <w:r w:rsidR="00B45DCC">
        <w:rPr>
          <w:rFonts w:ascii="Arial" w:hAnsi="Arial" w:cs="Arial"/>
          <w:b/>
          <w:sz w:val="22"/>
          <w:szCs w:val="22"/>
        </w:rPr>
        <w:t>a</w:t>
      </w:r>
      <w:r w:rsidR="00B45DCC" w:rsidRPr="00410628">
        <w:rPr>
          <w:rFonts w:ascii="Arial" w:hAnsi="Arial" w:cs="Arial"/>
          <w:b/>
          <w:sz w:val="22"/>
          <w:szCs w:val="22"/>
        </w:rPr>
        <w:t>limentaria</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color w:val="000000"/>
          <w:sz w:val="22"/>
          <w:szCs w:val="22"/>
        </w:rPr>
      </w:pPr>
      <w:r w:rsidRPr="005557B3">
        <w:rPr>
          <w:rFonts w:ascii="Arial" w:hAnsi="Arial" w:cs="Arial"/>
          <w:color w:val="000000"/>
          <w:sz w:val="22"/>
          <w:szCs w:val="22"/>
        </w:rPr>
        <w:t>Los Estados Partes velarán por el reconocimiento de, el respeto por y el refuerzo de las prácticas y conocimientos relativos a la agricultura, la pesca, la caza, el pastoreo, la recolección de alimentos, la preparación y la preservación de alimentos, incluyendo sus creencias y rituales relacionados, que contribuyan a la seguridad alimentaria y a la nutrición adecuada, y que sean reconocidos por las comunidades, grupos y</w:t>
      </w:r>
      <w:r w:rsidR="009D0C5C">
        <w:rPr>
          <w:rFonts w:ascii="Arial" w:hAnsi="Arial" w:cs="Arial"/>
          <w:color w:val="000000"/>
          <w:sz w:val="22"/>
          <w:szCs w:val="22"/>
        </w:rPr>
        <w:t>,</w:t>
      </w:r>
      <w:r w:rsidRPr="0092706B">
        <w:rPr>
          <w:rFonts w:ascii="Arial" w:hAnsi="Arial" w:cs="Arial"/>
          <w:color w:val="000000"/>
          <w:sz w:val="22"/>
          <w:szCs w:val="22"/>
        </w:rPr>
        <w:t xml:space="preserve"> en </w:t>
      </w:r>
      <w:r w:rsidR="009D0C5C">
        <w:rPr>
          <w:rFonts w:ascii="Arial" w:hAnsi="Arial" w:cs="Arial"/>
          <w:color w:val="000000"/>
          <w:sz w:val="22"/>
          <w:szCs w:val="22"/>
        </w:rPr>
        <w:t>ciertos</w:t>
      </w:r>
      <w:r w:rsidR="009D0C5C" w:rsidRPr="0092706B">
        <w:rPr>
          <w:rFonts w:ascii="Arial" w:hAnsi="Arial" w:cs="Arial"/>
          <w:color w:val="000000"/>
          <w:sz w:val="22"/>
          <w:szCs w:val="22"/>
        </w:rPr>
        <w:t xml:space="preserve"> </w:t>
      </w:r>
      <w:r w:rsidRPr="0092706B">
        <w:rPr>
          <w:rFonts w:ascii="Arial" w:hAnsi="Arial" w:cs="Arial"/>
          <w:color w:val="000000"/>
          <w:sz w:val="22"/>
          <w:szCs w:val="22"/>
        </w:rPr>
        <w:t xml:space="preserve">casos, individuos, como parte del patrimonio cultural inmaterial. </w:t>
      </w:r>
      <w:r w:rsidRPr="005557B3">
        <w:rPr>
          <w:rFonts w:ascii="Arial" w:hAnsi="Arial" w:cs="Arial"/>
          <w:sz w:val="22"/>
          <w:szCs w:val="22"/>
        </w:rPr>
        <w:t>Para ello, se invita a los Estados Partes 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promover metodologías de investigación y estudios científicos, incluyendo los realizados por las </w:t>
      </w:r>
      <w:r w:rsidR="00B45DCC">
        <w:rPr>
          <w:rFonts w:ascii="Arial" w:hAnsi="Arial" w:cs="Arial"/>
          <w:sz w:val="22"/>
          <w:szCs w:val="22"/>
        </w:rPr>
        <w:t xml:space="preserve">propias </w:t>
      </w:r>
      <w:r w:rsidRPr="0092706B">
        <w:rPr>
          <w:rFonts w:ascii="Arial" w:hAnsi="Arial" w:cs="Arial"/>
          <w:sz w:val="22"/>
          <w:szCs w:val="22"/>
        </w:rPr>
        <w:t>comunidades y grupos, orientados a comprender la diversidad de dichos conocimientos y prácticas, demostrar su eficacia, identificar y promover su c</w:t>
      </w:r>
      <w:r w:rsidRPr="005557B3">
        <w:rPr>
          <w:rFonts w:ascii="Arial" w:hAnsi="Arial" w:cs="Arial"/>
          <w:sz w:val="22"/>
          <w:szCs w:val="22"/>
        </w:rPr>
        <w:t>ontribución al mantenimiento de la agro-biodiversidad, promover la seguridad alimentaria y reforzar su resistencia al cambio climático;</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adoptar las medidas de orden jurídico, técnico, administrativo y financiero</w:t>
      </w:r>
      <w:r w:rsidR="00B45DCC">
        <w:rPr>
          <w:rFonts w:ascii="Arial" w:hAnsi="Arial" w:cs="Arial"/>
          <w:sz w:val="22"/>
          <w:szCs w:val="22"/>
        </w:rPr>
        <w:t xml:space="preserve"> adecuadas</w:t>
      </w:r>
      <w:r w:rsidRPr="0092706B">
        <w:rPr>
          <w:rFonts w:ascii="Arial" w:hAnsi="Arial" w:cs="Arial"/>
          <w:sz w:val="22"/>
          <w:szCs w:val="22"/>
        </w:rPr>
        <w:t xml:space="preserve">, incluyendo códigos </w:t>
      </w:r>
      <w:r w:rsidR="00B45DCC">
        <w:rPr>
          <w:rFonts w:ascii="Arial" w:hAnsi="Arial" w:cs="Arial"/>
          <w:sz w:val="22"/>
          <w:szCs w:val="22"/>
        </w:rPr>
        <w:t>u</w:t>
      </w:r>
      <w:r w:rsidR="00B45DCC" w:rsidRPr="0092706B">
        <w:rPr>
          <w:rFonts w:ascii="Arial" w:hAnsi="Arial" w:cs="Arial"/>
          <w:sz w:val="22"/>
          <w:szCs w:val="22"/>
        </w:rPr>
        <w:t xml:space="preserve"> </w:t>
      </w:r>
      <w:r w:rsidRPr="0092706B">
        <w:rPr>
          <w:rFonts w:ascii="Arial" w:hAnsi="Arial" w:cs="Arial"/>
          <w:sz w:val="22"/>
          <w:szCs w:val="22"/>
        </w:rPr>
        <w:t>otras herr</w:t>
      </w:r>
      <w:r w:rsidRPr="005557B3">
        <w:rPr>
          <w:rFonts w:ascii="Arial" w:hAnsi="Arial" w:cs="Arial"/>
          <w:sz w:val="22"/>
          <w:szCs w:val="22"/>
        </w:rPr>
        <w:t xml:space="preserve">amientas éticas, para promover y/o regular el acceso a </w:t>
      </w:r>
      <w:r w:rsidR="00B45DCC" w:rsidRPr="002F1024">
        <w:rPr>
          <w:rFonts w:ascii="Arial" w:hAnsi="Arial" w:cs="Arial"/>
          <w:sz w:val="22"/>
          <w:szCs w:val="22"/>
        </w:rPr>
        <w:t>conocimientos y prácticas</w:t>
      </w:r>
      <w:r w:rsidR="00B45DCC" w:rsidRPr="0092706B">
        <w:rPr>
          <w:rFonts w:ascii="Arial" w:hAnsi="Arial" w:cs="Arial"/>
          <w:sz w:val="22"/>
          <w:szCs w:val="22"/>
        </w:rPr>
        <w:t xml:space="preserve"> </w:t>
      </w:r>
      <w:r w:rsidR="00B45DCC">
        <w:rPr>
          <w:rFonts w:ascii="Arial" w:hAnsi="Arial" w:cs="Arial"/>
          <w:sz w:val="22"/>
          <w:szCs w:val="22"/>
        </w:rPr>
        <w:t xml:space="preserve">relacionados con </w:t>
      </w:r>
      <w:r w:rsidRPr="0092706B">
        <w:rPr>
          <w:rFonts w:ascii="Arial" w:hAnsi="Arial" w:cs="Arial"/>
          <w:sz w:val="22"/>
          <w:szCs w:val="22"/>
        </w:rPr>
        <w:t>la agricultura, la pesca, la caza, el pastoreo, la recolección de alimentos, la preparación y la preservación de alimentos, que sean reconocidas por las comun</w:t>
      </w:r>
      <w:r w:rsidRPr="005557B3">
        <w:rPr>
          <w:rFonts w:ascii="Arial" w:hAnsi="Arial" w:cs="Arial"/>
          <w:sz w:val="22"/>
          <w:szCs w:val="22"/>
        </w:rPr>
        <w:t>idades, grupos y, en ciertos casos, individuos, como parte de su patrimonio cultural inmaterial, así como la repartición equitativa de los beneficios que generan, y garantizar la transmisión de dichos conocimientos y prácticas;</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lastRenderedPageBreak/>
        <w:t xml:space="preserve">adoptar las medidas de orden jurídico, técnico, administrativo y financiero </w:t>
      </w:r>
      <w:r w:rsidR="006C3C5F">
        <w:rPr>
          <w:rFonts w:ascii="Arial" w:hAnsi="Arial" w:cs="Arial"/>
          <w:sz w:val="22"/>
          <w:szCs w:val="22"/>
        </w:rPr>
        <w:t xml:space="preserve">adecuadas </w:t>
      </w:r>
      <w:r w:rsidRPr="0092706B">
        <w:rPr>
          <w:rFonts w:ascii="Arial" w:hAnsi="Arial" w:cs="Arial"/>
          <w:sz w:val="22"/>
          <w:szCs w:val="22"/>
        </w:rPr>
        <w:t>para reconocer y respetar los derechos consuetudinarios de las comunidades y grupos sobre los ecosistemas terrestres, marinos y forestales necesarios para el desarrollo de sus conocimientos y prácti</w:t>
      </w:r>
      <w:r w:rsidRPr="005557B3">
        <w:rPr>
          <w:rFonts w:ascii="Arial" w:hAnsi="Arial" w:cs="Arial"/>
          <w:sz w:val="22"/>
          <w:szCs w:val="22"/>
        </w:rPr>
        <w:t>cas relativos a la agricultura, la pesca, el pastoreo y la recolección de alimentos, que son reconocidos por comunidades, grupos y, en ciertos casos</w:t>
      </w:r>
      <w:r w:rsidR="00B45DCC">
        <w:rPr>
          <w:rFonts w:ascii="Arial" w:hAnsi="Arial" w:cs="Arial"/>
          <w:sz w:val="22"/>
          <w:szCs w:val="22"/>
        </w:rPr>
        <w:t>,</w:t>
      </w:r>
      <w:r w:rsidRPr="0092706B">
        <w:rPr>
          <w:rFonts w:ascii="Arial" w:hAnsi="Arial" w:cs="Arial"/>
          <w:sz w:val="22"/>
          <w:szCs w:val="22"/>
        </w:rPr>
        <w:t xml:space="preserve"> individuos, como parte de su patrimonio cultural inmaterial.</w:t>
      </w:r>
    </w:p>
    <w:p w:rsidR="00D54F2A" w:rsidRPr="0092706B" w:rsidRDefault="00D54F2A" w:rsidP="00D54F2A">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t>VI.1.2</w:t>
      </w:r>
      <w:r w:rsidRPr="001C4C46">
        <w:rPr>
          <w:rFonts w:ascii="Arial" w:hAnsi="Arial" w:cs="Arial"/>
          <w:sz w:val="22"/>
          <w:szCs w:val="22"/>
        </w:rPr>
        <w:tab/>
      </w:r>
      <w:r w:rsidRPr="00410628">
        <w:rPr>
          <w:rFonts w:ascii="Arial" w:hAnsi="Arial" w:cs="Arial"/>
          <w:b/>
          <w:color w:val="000000"/>
          <w:sz w:val="22"/>
          <w:szCs w:val="22"/>
        </w:rPr>
        <w:t>Atención médica</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Los Estados Partes velarán por el reconocimiento de, el respeto por y el refuerzo de las prácticas médicas reconocidas por las comunidades, grupos y</w:t>
      </w:r>
      <w:r w:rsidR="00876C66">
        <w:rPr>
          <w:rFonts w:ascii="Arial" w:hAnsi="Arial" w:cs="Arial"/>
          <w:sz w:val="22"/>
          <w:szCs w:val="22"/>
        </w:rPr>
        <w:t>,</w:t>
      </w:r>
      <w:r w:rsidRPr="0092706B">
        <w:rPr>
          <w:rFonts w:ascii="Arial" w:hAnsi="Arial" w:cs="Arial"/>
          <w:sz w:val="22"/>
          <w:szCs w:val="22"/>
        </w:rPr>
        <w:t xml:space="preserve"> en ciertos casos</w:t>
      </w:r>
      <w:r w:rsidR="00876C66">
        <w:rPr>
          <w:rFonts w:ascii="Arial" w:hAnsi="Arial" w:cs="Arial"/>
          <w:sz w:val="22"/>
          <w:szCs w:val="22"/>
        </w:rPr>
        <w:t>,</w:t>
      </w:r>
      <w:r w:rsidRPr="0092706B">
        <w:rPr>
          <w:rFonts w:ascii="Arial" w:hAnsi="Arial" w:cs="Arial"/>
          <w:sz w:val="22"/>
          <w:szCs w:val="22"/>
        </w:rPr>
        <w:t xml:space="preserve"> individuos, como parte de su patrimonio cultural inmaterial y que contribuyen al bienestar, incluyendo </w:t>
      </w:r>
      <w:r w:rsidR="001A784F">
        <w:rPr>
          <w:rFonts w:ascii="Arial" w:hAnsi="Arial" w:cs="Arial"/>
          <w:sz w:val="22"/>
          <w:szCs w:val="22"/>
        </w:rPr>
        <w:t>los</w:t>
      </w:r>
      <w:r w:rsidR="001A784F" w:rsidRPr="0092706B">
        <w:rPr>
          <w:rFonts w:ascii="Arial" w:hAnsi="Arial" w:cs="Arial"/>
          <w:sz w:val="22"/>
          <w:szCs w:val="22"/>
        </w:rPr>
        <w:t xml:space="preserve"> </w:t>
      </w:r>
      <w:r w:rsidRPr="0092706B">
        <w:rPr>
          <w:rFonts w:ascii="Arial" w:hAnsi="Arial" w:cs="Arial"/>
          <w:sz w:val="22"/>
          <w:szCs w:val="22"/>
        </w:rPr>
        <w:t>conocimientos</w:t>
      </w:r>
      <w:r w:rsidRPr="005557B3">
        <w:rPr>
          <w:rFonts w:ascii="Arial" w:hAnsi="Arial" w:cs="Arial"/>
          <w:sz w:val="22"/>
          <w:szCs w:val="22"/>
        </w:rPr>
        <w:t>, recursos genéticos, prácticas, expresiones, rituales y creencias</w:t>
      </w:r>
      <w:r w:rsidR="001A784F">
        <w:rPr>
          <w:rFonts w:ascii="Arial" w:hAnsi="Arial" w:cs="Arial"/>
          <w:sz w:val="22"/>
          <w:szCs w:val="22"/>
        </w:rPr>
        <w:t xml:space="preserve"> relacionados con éstas</w:t>
      </w:r>
      <w:r w:rsidRPr="0092706B">
        <w:rPr>
          <w:rFonts w:ascii="Arial" w:hAnsi="Arial" w:cs="Arial"/>
          <w:sz w:val="22"/>
          <w:szCs w:val="22"/>
        </w:rPr>
        <w:t>, y por el aprovechamiento de su potencial para lograr una atención médica de calidad para todos. Para ello, se invita a los Estados Partes 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promover metodologías de investigación y estudios científicos, incluyendo los realizados por las </w:t>
      </w:r>
      <w:r w:rsidR="001A784F">
        <w:rPr>
          <w:rFonts w:ascii="Arial" w:hAnsi="Arial" w:cs="Arial"/>
          <w:sz w:val="22"/>
          <w:szCs w:val="22"/>
        </w:rPr>
        <w:t xml:space="preserve">propias </w:t>
      </w:r>
      <w:r w:rsidRPr="0092706B">
        <w:rPr>
          <w:rFonts w:ascii="Arial" w:hAnsi="Arial" w:cs="Arial"/>
          <w:sz w:val="22"/>
          <w:szCs w:val="22"/>
        </w:rPr>
        <w:t>comunidades y grupos, orientados a comprender la diversidad de las prácticas de atención médica reconocidas por comunidades, grupos</w:t>
      </w:r>
      <w:r w:rsidRPr="005557B3">
        <w:rPr>
          <w:rFonts w:ascii="Arial" w:hAnsi="Arial" w:cs="Arial"/>
          <w:sz w:val="22"/>
          <w:szCs w:val="22"/>
        </w:rPr>
        <w:t xml:space="preserve"> y</w:t>
      </w:r>
      <w:r w:rsidR="009D0C5C">
        <w:rPr>
          <w:rFonts w:ascii="Arial" w:hAnsi="Arial" w:cs="Arial"/>
          <w:sz w:val="22"/>
          <w:szCs w:val="22"/>
        </w:rPr>
        <w:t>,</w:t>
      </w:r>
      <w:r w:rsidRPr="0092706B">
        <w:rPr>
          <w:rFonts w:ascii="Arial" w:hAnsi="Arial" w:cs="Arial"/>
          <w:sz w:val="22"/>
          <w:szCs w:val="22"/>
        </w:rPr>
        <w:t xml:space="preserve"> en algunos casos</w:t>
      </w:r>
      <w:r w:rsidR="009D0C5C">
        <w:rPr>
          <w:rFonts w:ascii="Arial" w:hAnsi="Arial" w:cs="Arial"/>
          <w:sz w:val="22"/>
          <w:szCs w:val="22"/>
        </w:rPr>
        <w:t>,</w:t>
      </w:r>
      <w:r w:rsidRPr="0092706B">
        <w:rPr>
          <w:rFonts w:ascii="Arial" w:hAnsi="Arial" w:cs="Arial"/>
          <w:sz w:val="22"/>
          <w:szCs w:val="22"/>
        </w:rPr>
        <w:t xml:space="preserve"> individuos, como parte de su patrimonio cultural inmaterial, demostrar sus funciones y eficacia e identificar su aporte </w:t>
      </w:r>
      <w:r w:rsidR="001A784F">
        <w:rPr>
          <w:rFonts w:ascii="Arial" w:hAnsi="Arial" w:cs="Arial"/>
          <w:sz w:val="22"/>
          <w:szCs w:val="22"/>
        </w:rPr>
        <w:t>para satisfacer las</w:t>
      </w:r>
      <w:r w:rsidRPr="0092706B">
        <w:rPr>
          <w:rFonts w:ascii="Arial" w:hAnsi="Arial" w:cs="Arial"/>
          <w:sz w:val="22"/>
          <w:szCs w:val="22"/>
        </w:rPr>
        <w:t xml:space="preserve"> necesidades de atención médica;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adoptar las medidas de orden jurídico, técnico, administrativo y financiero</w:t>
      </w:r>
      <w:r w:rsidR="001A784F">
        <w:rPr>
          <w:rFonts w:ascii="Arial" w:hAnsi="Arial" w:cs="Arial"/>
          <w:sz w:val="22"/>
          <w:szCs w:val="22"/>
        </w:rPr>
        <w:t xml:space="preserve"> adecuadas</w:t>
      </w:r>
      <w:r w:rsidRPr="0092706B">
        <w:rPr>
          <w:rFonts w:ascii="Arial" w:hAnsi="Arial" w:cs="Arial"/>
          <w:sz w:val="22"/>
          <w:szCs w:val="22"/>
        </w:rPr>
        <w:t>, con la colaboración de depositarios de conocimientos, sanadores y profesionales, a fin de promover el acceso a los conocimientos de curación y materias primas necesarias para aplicarlos, la participación en prácticas de curación,</w:t>
      </w:r>
      <w:r w:rsidRPr="005557B3">
        <w:rPr>
          <w:rFonts w:ascii="Arial" w:hAnsi="Arial" w:cs="Arial"/>
          <w:sz w:val="22"/>
          <w:szCs w:val="22"/>
        </w:rPr>
        <w:t xml:space="preserve"> y la transmisión de dichos conocimientos y prácticas reconocidos por las comunidades, grupos, y en ciertos casos, individuos, como parte de su patrimonio cultural inmaterial, respetando a la vez los usos consuetudinarios </w:t>
      </w:r>
      <w:r w:rsidR="001A784F">
        <w:rPr>
          <w:rFonts w:ascii="Arial" w:hAnsi="Arial" w:cs="Arial"/>
          <w:sz w:val="22"/>
          <w:szCs w:val="22"/>
        </w:rPr>
        <w:t>por los que se rige</w:t>
      </w:r>
      <w:r w:rsidRPr="0092706B">
        <w:rPr>
          <w:rFonts w:ascii="Arial" w:hAnsi="Arial" w:cs="Arial"/>
          <w:sz w:val="22"/>
          <w:szCs w:val="22"/>
        </w:rPr>
        <w:t xml:space="preserve"> el acceso a </w:t>
      </w:r>
      <w:r w:rsidR="001A784F">
        <w:rPr>
          <w:rFonts w:ascii="Arial" w:hAnsi="Arial" w:cs="Arial"/>
          <w:sz w:val="22"/>
          <w:szCs w:val="22"/>
        </w:rPr>
        <w:t xml:space="preserve">determinados </w:t>
      </w:r>
      <w:r w:rsidRPr="0092706B">
        <w:rPr>
          <w:rFonts w:ascii="Arial" w:hAnsi="Arial" w:cs="Arial"/>
          <w:sz w:val="22"/>
          <w:szCs w:val="22"/>
        </w:rPr>
        <w:t xml:space="preserve">aspectos </w:t>
      </w:r>
      <w:r w:rsidRPr="005557B3">
        <w:rPr>
          <w:rFonts w:ascii="Arial" w:hAnsi="Arial" w:cs="Arial"/>
          <w:sz w:val="22"/>
          <w:szCs w:val="22"/>
        </w:rPr>
        <w:t>de estos conocimientos y prácticas;</w:t>
      </w:r>
    </w:p>
    <w:p w:rsidR="00D54F2A" w:rsidRPr="001A298C"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reforzar la colaboración y la complementariedad entre la diversidad de las prácticas y sistemas de atención médica.</w:t>
      </w:r>
    </w:p>
    <w:p w:rsidR="00D54F2A" w:rsidRPr="0092706B" w:rsidRDefault="00D54F2A" w:rsidP="00D54F2A">
      <w:pPr>
        <w:keepNext/>
        <w:spacing w:before="360" w:after="120"/>
        <w:ind w:firstLine="567"/>
        <w:jc w:val="both"/>
        <w:rPr>
          <w:rFonts w:ascii="Arial" w:hAnsi="Arial" w:cs="Arial"/>
          <w:b/>
          <w:color w:val="000000"/>
          <w:sz w:val="22"/>
          <w:szCs w:val="22"/>
        </w:rPr>
      </w:pPr>
      <w:r w:rsidRPr="001A298C">
        <w:rPr>
          <w:rFonts w:ascii="Arial" w:hAnsi="Arial" w:cs="Arial"/>
          <w:b/>
          <w:color w:val="000000"/>
          <w:sz w:val="22"/>
          <w:szCs w:val="22"/>
        </w:rPr>
        <w:t>VI.1.3</w:t>
      </w:r>
      <w:r w:rsidRPr="001C4C46">
        <w:rPr>
          <w:rFonts w:ascii="Arial" w:hAnsi="Arial" w:cs="Arial"/>
          <w:sz w:val="22"/>
          <w:szCs w:val="22"/>
        </w:rPr>
        <w:tab/>
      </w:r>
      <w:r w:rsidRPr="00410628">
        <w:rPr>
          <w:rFonts w:ascii="Arial" w:hAnsi="Arial" w:cs="Arial"/>
          <w:b/>
          <w:color w:val="000000"/>
          <w:sz w:val="22"/>
          <w:szCs w:val="22"/>
        </w:rPr>
        <w:t>Educación de calidad</w:t>
      </w:r>
    </w:p>
    <w:p w:rsidR="00D54F2A" w:rsidRPr="0092706B"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color w:val="000000"/>
          <w:sz w:val="22"/>
          <w:szCs w:val="22"/>
        </w:rPr>
      </w:pPr>
      <w:r w:rsidRPr="0092706B">
        <w:rPr>
          <w:rFonts w:ascii="Arial" w:hAnsi="Arial" w:cs="Arial"/>
          <w:color w:val="000000"/>
          <w:sz w:val="22"/>
          <w:szCs w:val="22"/>
        </w:rPr>
        <w:t>Dentro sus políticas y sistema</w:t>
      </w:r>
      <w:r w:rsidRPr="005557B3">
        <w:rPr>
          <w:rFonts w:ascii="Arial" w:hAnsi="Arial" w:cs="Arial"/>
          <w:color w:val="000000"/>
          <w:sz w:val="22"/>
          <w:szCs w:val="22"/>
        </w:rPr>
        <w:t xml:space="preserve">s educativos respectivos, los Estados Partes deben intentar, por todos los medios apropiados, garantizar el reconocimiento de, el respeto y </w:t>
      </w:r>
      <w:r w:rsidR="001A784F">
        <w:rPr>
          <w:rFonts w:ascii="Arial" w:hAnsi="Arial" w:cs="Arial"/>
          <w:color w:val="000000"/>
          <w:sz w:val="22"/>
          <w:szCs w:val="22"/>
        </w:rPr>
        <w:t>la valorización</w:t>
      </w:r>
      <w:r w:rsidRPr="0092706B">
        <w:rPr>
          <w:rFonts w:ascii="Arial" w:hAnsi="Arial" w:cs="Arial"/>
          <w:color w:val="000000"/>
          <w:sz w:val="22"/>
          <w:szCs w:val="22"/>
        </w:rPr>
        <w:t xml:space="preserve"> del patrimonio cultural inmaterial en la sociedad, enfatizando su función de </w:t>
      </w:r>
      <w:r w:rsidRPr="001C4C46">
        <w:rPr>
          <w:rFonts w:ascii="Arial" w:hAnsi="Arial" w:cs="Arial"/>
          <w:sz w:val="22"/>
          <w:szCs w:val="22"/>
        </w:rPr>
        <w:t xml:space="preserve">transmisor de habilidades </w:t>
      </w:r>
      <w:r w:rsidR="003C3527">
        <w:rPr>
          <w:rFonts w:ascii="Arial" w:hAnsi="Arial" w:cs="Arial"/>
          <w:sz w:val="22"/>
          <w:szCs w:val="22"/>
        </w:rPr>
        <w:t xml:space="preserve">para la </w:t>
      </w:r>
      <w:r w:rsidRPr="001C4C46">
        <w:rPr>
          <w:rFonts w:ascii="Arial" w:hAnsi="Arial" w:cs="Arial"/>
          <w:sz w:val="22"/>
          <w:szCs w:val="22"/>
        </w:rPr>
        <w:t xml:space="preserve">vida, en particular mediante programas educativos y de formación específicos dentro de las comunidades y grupos </w:t>
      </w:r>
      <w:r w:rsidR="00C506F5">
        <w:rPr>
          <w:rFonts w:ascii="Arial" w:hAnsi="Arial" w:cs="Arial"/>
          <w:sz w:val="22"/>
          <w:szCs w:val="22"/>
        </w:rPr>
        <w:t>interesados</w:t>
      </w:r>
      <w:r w:rsidRPr="001C4C46">
        <w:rPr>
          <w:rFonts w:ascii="Arial" w:hAnsi="Arial" w:cs="Arial"/>
          <w:sz w:val="22"/>
          <w:szCs w:val="22"/>
        </w:rPr>
        <w:t xml:space="preserve"> y a través de medios no formales de transmisión de conocimientos. </w:t>
      </w:r>
      <w:r w:rsidRPr="00410628">
        <w:rPr>
          <w:rFonts w:ascii="Arial" w:hAnsi="Arial" w:cs="Arial"/>
          <w:sz w:val="22"/>
          <w:szCs w:val="22"/>
        </w:rPr>
        <w:t>Para ello, se invita a los Estados Partes a:</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92706B">
        <w:rPr>
          <w:rFonts w:ascii="Arial" w:hAnsi="Arial" w:cs="Arial"/>
          <w:sz w:val="22"/>
          <w:szCs w:val="22"/>
        </w:rPr>
        <w:t xml:space="preserve">adoptar las medidas de orden jurídico, técnico, administrativo y financiero </w:t>
      </w:r>
      <w:r w:rsidR="006C3C5F">
        <w:rPr>
          <w:rFonts w:ascii="Arial" w:hAnsi="Arial" w:cs="Arial"/>
          <w:sz w:val="22"/>
          <w:szCs w:val="22"/>
        </w:rPr>
        <w:t xml:space="preserve">adecuadas </w:t>
      </w:r>
      <w:r w:rsidRPr="0092706B">
        <w:rPr>
          <w:rFonts w:ascii="Arial" w:hAnsi="Arial" w:cs="Arial"/>
          <w:sz w:val="22"/>
          <w:szCs w:val="22"/>
        </w:rPr>
        <w:t>para:</w:t>
      </w:r>
    </w:p>
    <w:p w:rsidR="00D54F2A" w:rsidRPr="005557B3"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Style w:val="st1"/>
          <w:rFonts w:ascii="Arial" w:hAnsi="Arial" w:cs="Arial"/>
          <w:sz w:val="22"/>
          <w:szCs w:val="22"/>
        </w:rPr>
      </w:pPr>
      <w:r w:rsidRPr="005557B3">
        <w:rPr>
          <w:rFonts w:ascii="Arial" w:hAnsi="Arial" w:cs="Arial"/>
          <w:sz w:val="22"/>
          <w:szCs w:val="22"/>
        </w:rPr>
        <w:t xml:space="preserve">garantizar que los sistemas educativos </w:t>
      </w:r>
      <w:r w:rsidR="003C3527" w:rsidRPr="005557B3">
        <w:rPr>
          <w:rFonts w:ascii="Arial" w:hAnsi="Arial" w:cs="Arial"/>
          <w:sz w:val="22"/>
          <w:szCs w:val="22"/>
        </w:rPr>
        <w:t>promuev</w:t>
      </w:r>
      <w:r w:rsidR="003C3527">
        <w:rPr>
          <w:rFonts w:ascii="Arial" w:hAnsi="Arial" w:cs="Arial"/>
          <w:sz w:val="22"/>
          <w:szCs w:val="22"/>
        </w:rPr>
        <w:t>a</w:t>
      </w:r>
      <w:r w:rsidR="003C3527" w:rsidRPr="0092706B">
        <w:rPr>
          <w:rFonts w:ascii="Arial" w:hAnsi="Arial" w:cs="Arial"/>
          <w:sz w:val="22"/>
          <w:szCs w:val="22"/>
        </w:rPr>
        <w:t xml:space="preserve">n </w:t>
      </w:r>
      <w:r w:rsidRPr="0092706B">
        <w:rPr>
          <w:rFonts w:ascii="Arial" w:hAnsi="Arial" w:cs="Arial"/>
          <w:sz w:val="22"/>
          <w:szCs w:val="22"/>
        </w:rPr>
        <w:t xml:space="preserve">el respeto por uno mismo, por su comunidad o grupo, </w:t>
      </w:r>
      <w:r w:rsidR="003C3527">
        <w:rPr>
          <w:rFonts w:ascii="Arial" w:hAnsi="Arial" w:cs="Arial"/>
          <w:sz w:val="22"/>
          <w:szCs w:val="22"/>
        </w:rPr>
        <w:t xml:space="preserve">el </w:t>
      </w:r>
      <w:r w:rsidRPr="0092706B">
        <w:rPr>
          <w:rFonts w:ascii="Arial" w:hAnsi="Arial" w:cs="Arial"/>
          <w:sz w:val="22"/>
          <w:szCs w:val="22"/>
        </w:rPr>
        <w:t>respeto mutuo por los demás, y que bajo ningún concepto alejen a las personas de su patrimonio cultural inmaterial, definan a sus comunidades o grupos como entes que no participan de la vida contemporánea, o dañen de la forma que sea su imagen;</w:t>
      </w:r>
    </w:p>
    <w:p w:rsidR="00D54F2A" w:rsidRPr="005557B3" w:rsidRDefault="00D54F2A" w:rsidP="003C3527">
      <w:pPr>
        <w:pStyle w:val="ListParagraph"/>
        <w:numPr>
          <w:ilvl w:val="2"/>
          <w:numId w:val="36"/>
        </w:numPr>
        <w:tabs>
          <w:tab w:val="left" w:pos="1701"/>
        </w:tabs>
        <w:autoSpaceDE w:val="0"/>
        <w:autoSpaceDN w:val="0"/>
        <w:adjustRightInd w:val="0"/>
        <w:spacing w:after="120"/>
        <w:contextualSpacing w:val="0"/>
        <w:jc w:val="both"/>
        <w:rPr>
          <w:rStyle w:val="st1"/>
          <w:rFonts w:ascii="Arial" w:hAnsi="Arial" w:cs="Arial"/>
          <w:sz w:val="22"/>
          <w:szCs w:val="22"/>
        </w:rPr>
      </w:pPr>
      <w:r w:rsidRPr="005557B3">
        <w:rPr>
          <w:rStyle w:val="st1"/>
          <w:rFonts w:ascii="Arial" w:hAnsi="Arial" w:cs="Arial"/>
          <w:sz w:val="22"/>
          <w:szCs w:val="22"/>
        </w:rPr>
        <w:t>garantizar que el patrimonio cultural inmaterial se integra de la forma más completa posible en el contenido de los programas educativos de todas las disciplinas relevantes, como una contribución en sí</w:t>
      </w:r>
      <w:r w:rsidR="003C3527">
        <w:rPr>
          <w:rStyle w:val="st1"/>
          <w:rFonts w:ascii="Arial" w:hAnsi="Arial" w:cs="Arial"/>
          <w:sz w:val="22"/>
          <w:szCs w:val="22"/>
        </w:rPr>
        <w:t xml:space="preserve"> mismo</w:t>
      </w:r>
      <w:r w:rsidRPr="0092706B">
        <w:rPr>
          <w:rStyle w:val="st1"/>
          <w:rFonts w:ascii="Arial" w:hAnsi="Arial" w:cs="Arial"/>
          <w:sz w:val="22"/>
          <w:szCs w:val="22"/>
        </w:rPr>
        <w:t xml:space="preserve">, y como un medio de explicar y demostrar otros temas a nivel curricular, extracurricular </w:t>
      </w:r>
      <w:r w:rsidR="003C3527">
        <w:rPr>
          <w:rStyle w:val="st1"/>
          <w:rFonts w:ascii="Arial" w:hAnsi="Arial" w:cs="Arial"/>
          <w:sz w:val="22"/>
          <w:szCs w:val="22"/>
        </w:rPr>
        <w:t>e</w:t>
      </w:r>
      <w:r w:rsidR="003C3527" w:rsidRPr="0092706B">
        <w:rPr>
          <w:rStyle w:val="st1"/>
          <w:rFonts w:ascii="Arial" w:hAnsi="Arial" w:cs="Arial"/>
          <w:sz w:val="22"/>
          <w:szCs w:val="22"/>
        </w:rPr>
        <w:t xml:space="preserve"> </w:t>
      </w:r>
      <w:r w:rsidR="003C3527">
        <w:rPr>
          <w:rStyle w:val="st1"/>
          <w:rFonts w:ascii="Arial" w:hAnsi="Arial" w:cs="Arial"/>
          <w:sz w:val="22"/>
          <w:szCs w:val="22"/>
        </w:rPr>
        <w:t>interdisciplinar</w:t>
      </w:r>
      <w:r w:rsidRPr="0092706B">
        <w:rPr>
          <w:rStyle w:val="st1"/>
          <w:rFonts w:ascii="Arial" w:hAnsi="Arial" w:cs="Arial"/>
          <w:sz w:val="22"/>
          <w:szCs w:val="22"/>
        </w:rPr>
        <w:t>;</w:t>
      </w:r>
    </w:p>
    <w:p w:rsidR="00D54F2A" w:rsidRPr="005557B3"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Style w:val="st1"/>
          <w:rFonts w:ascii="Arial" w:hAnsi="Arial" w:cs="Arial"/>
          <w:sz w:val="22"/>
          <w:szCs w:val="22"/>
        </w:rPr>
        <w:lastRenderedPageBreak/>
        <w:t xml:space="preserve">reconocer la importancia, </w:t>
      </w:r>
      <w:r w:rsidR="003C3527">
        <w:rPr>
          <w:rFonts w:ascii="Arial" w:hAnsi="Arial" w:cs="Arial"/>
          <w:sz w:val="22"/>
          <w:szCs w:val="22"/>
        </w:rPr>
        <w:t>junto con</w:t>
      </w:r>
      <w:r w:rsidR="003C3527" w:rsidRPr="0092706B">
        <w:rPr>
          <w:rFonts w:ascii="Arial" w:hAnsi="Arial" w:cs="Arial"/>
          <w:sz w:val="22"/>
          <w:szCs w:val="22"/>
        </w:rPr>
        <w:t xml:space="preserve"> </w:t>
      </w:r>
      <w:r w:rsidRPr="005557B3">
        <w:rPr>
          <w:rFonts w:ascii="Arial" w:hAnsi="Arial" w:cs="Arial"/>
          <w:sz w:val="22"/>
          <w:szCs w:val="22"/>
        </w:rPr>
        <w:t>métodos innovadores de salvaguardia,</w:t>
      </w:r>
      <w:r w:rsidRPr="005557B3">
        <w:rPr>
          <w:rStyle w:val="st1"/>
          <w:rFonts w:ascii="Arial" w:hAnsi="Arial" w:cs="Arial"/>
          <w:sz w:val="22"/>
          <w:szCs w:val="22"/>
        </w:rPr>
        <w:t xml:space="preserve"> de modalidades y métodos de transmisión del patrimonio cu</w:t>
      </w:r>
      <w:r w:rsidRPr="005557B3">
        <w:rPr>
          <w:rFonts w:ascii="Arial" w:hAnsi="Arial" w:cs="Arial"/>
          <w:sz w:val="22"/>
          <w:szCs w:val="22"/>
        </w:rPr>
        <w:t xml:space="preserve">ltural inmaterial </w:t>
      </w:r>
      <w:r w:rsidR="003C3527">
        <w:rPr>
          <w:rFonts w:ascii="Arial" w:hAnsi="Arial" w:cs="Arial"/>
          <w:sz w:val="22"/>
          <w:szCs w:val="22"/>
        </w:rPr>
        <w:t xml:space="preserve">que son </w:t>
      </w:r>
      <w:r w:rsidRPr="0092706B">
        <w:rPr>
          <w:rFonts w:ascii="Arial" w:hAnsi="Arial" w:cs="Arial"/>
          <w:sz w:val="22"/>
          <w:szCs w:val="22"/>
        </w:rPr>
        <w:t>reconocidos</w:t>
      </w:r>
      <w:r w:rsidR="003C3527">
        <w:rPr>
          <w:rFonts w:ascii="Arial" w:hAnsi="Arial" w:cs="Arial"/>
          <w:sz w:val="22"/>
          <w:szCs w:val="22"/>
        </w:rPr>
        <w:t xml:space="preserve"> en sí mismos</w:t>
      </w:r>
      <w:r w:rsidRPr="0092706B">
        <w:rPr>
          <w:rFonts w:ascii="Arial" w:hAnsi="Arial" w:cs="Arial"/>
          <w:sz w:val="22"/>
          <w:szCs w:val="22"/>
        </w:rPr>
        <w:t xml:space="preserve"> por las comunidades, grupos, y en ciertos casos, individuos, como parte de su patrimonio cultural inmaterial</w:t>
      </w:r>
      <w:r w:rsidR="003C3527">
        <w:rPr>
          <w:rFonts w:ascii="Arial" w:hAnsi="Arial" w:cs="Arial"/>
          <w:sz w:val="22"/>
          <w:szCs w:val="22"/>
        </w:rPr>
        <w:t>,</w:t>
      </w:r>
      <w:r w:rsidRPr="0092706B">
        <w:rPr>
          <w:rFonts w:ascii="Arial" w:hAnsi="Arial" w:cs="Arial"/>
          <w:sz w:val="22"/>
          <w:szCs w:val="22"/>
        </w:rPr>
        <w:t xml:space="preserve"> y </w:t>
      </w:r>
      <w:r w:rsidR="003C3527">
        <w:rPr>
          <w:rFonts w:ascii="Arial" w:hAnsi="Arial" w:cs="Arial"/>
          <w:sz w:val="22"/>
          <w:szCs w:val="22"/>
        </w:rPr>
        <w:t>tratar de</w:t>
      </w:r>
      <w:r w:rsidRPr="0092706B">
        <w:rPr>
          <w:rFonts w:ascii="Arial" w:hAnsi="Arial" w:cs="Arial"/>
          <w:sz w:val="22"/>
          <w:szCs w:val="22"/>
        </w:rPr>
        <w:t xml:space="preserve"> aprovechar su potencial dentro </w:t>
      </w:r>
      <w:r w:rsidR="003C3527">
        <w:rPr>
          <w:rFonts w:ascii="Arial" w:hAnsi="Arial" w:cs="Arial"/>
          <w:sz w:val="22"/>
          <w:szCs w:val="22"/>
        </w:rPr>
        <w:t xml:space="preserve">de </w:t>
      </w:r>
      <w:r w:rsidRPr="0092706B">
        <w:rPr>
          <w:rFonts w:ascii="Arial" w:hAnsi="Arial" w:cs="Arial"/>
          <w:sz w:val="22"/>
          <w:szCs w:val="22"/>
        </w:rPr>
        <w:t>los sistemas educativos formales y no formales;</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reforzar la colaboración y la complementariedad entre la diversidad de las prácticas y los sistemas educativos;</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1A298C">
        <w:rPr>
          <w:rFonts w:ascii="Arial" w:hAnsi="Arial" w:cs="Arial"/>
          <w:sz w:val="22"/>
          <w:szCs w:val="22"/>
        </w:rPr>
        <w:t xml:space="preserve">promover metodologías de investigación y estudios científicos, incluyendo los realizados por las </w:t>
      </w:r>
      <w:r w:rsidR="003C3527">
        <w:rPr>
          <w:rFonts w:ascii="Arial" w:hAnsi="Arial" w:cs="Arial"/>
          <w:sz w:val="22"/>
          <w:szCs w:val="22"/>
        </w:rPr>
        <w:t xml:space="preserve">propias </w:t>
      </w:r>
      <w:r w:rsidRPr="0092706B">
        <w:rPr>
          <w:rFonts w:ascii="Arial" w:hAnsi="Arial" w:cs="Arial"/>
          <w:sz w:val="22"/>
          <w:szCs w:val="22"/>
        </w:rPr>
        <w:t>comunidades y grupos, orientados a comprender la diversidad de los métodos pedagógicos reconocidos por comunidades, grupos</w:t>
      </w:r>
      <w:r w:rsidRPr="005557B3">
        <w:rPr>
          <w:rFonts w:ascii="Arial" w:hAnsi="Arial" w:cs="Arial"/>
          <w:sz w:val="22"/>
          <w:szCs w:val="22"/>
        </w:rPr>
        <w:t xml:space="preserve"> y</w:t>
      </w:r>
      <w:r w:rsidR="00190BD4">
        <w:rPr>
          <w:rFonts w:ascii="Arial" w:hAnsi="Arial" w:cs="Arial"/>
          <w:sz w:val="22"/>
          <w:szCs w:val="22"/>
        </w:rPr>
        <w:t>,</w:t>
      </w:r>
      <w:r w:rsidRPr="0092706B">
        <w:rPr>
          <w:rFonts w:ascii="Arial" w:hAnsi="Arial" w:cs="Arial"/>
          <w:sz w:val="22"/>
          <w:szCs w:val="22"/>
        </w:rPr>
        <w:t xml:space="preserve"> en </w:t>
      </w:r>
      <w:r w:rsidR="004A4DB3">
        <w:rPr>
          <w:rFonts w:ascii="Arial" w:hAnsi="Arial" w:cs="Arial"/>
          <w:sz w:val="22"/>
          <w:szCs w:val="22"/>
        </w:rPr>
        <w:t>ciertos</w:t>
      </w:r>
      <w:r w:rsidR="004A4DB3" w:rsidRPr="0092706B">
        <w:rPr>
          <w:rFonts w:ascii="Arial" w:hAnsi="Arial" w:cs="Arial"/>
          <w:sz w:val="22"/>
          <w:szCs w:val="22"/>
        </w:rPr>
        <w:t xml:space="preserve"> </w:t>
      </w:r>
      <w:r w:rsidRPr="005557B3">
        <w:rPr>
          <w:rFonts w:ascii="Arial" w:hAnsi="Arial" w:cs="Arial"/>
          <w:sz w:val="22"/>
          <w:szCs w:val="22"/>
        </w:rPr>
        <w:t>casos, individuos, como parte de su patrimonio cultural inmaterial, y evaluar su eficacia y pertinencia para su integración en otros contextos educativos;</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promover la educación para la protección de la biodiversidad, los espacios naturales y </w:t>
      </w:r>
      <w:r w:rsidR="00190BD4">
        <w:rPr>
          <w:rFonts w:ascii="Arial" w:hAnsi="Arial" w:cs="Arial"/>
          <w:sz w:val="22"/>
          <w:szCs w:val="22"/>
        </w:rPr>
        <w:t>lugares importantes para la</w:t>
      </w:r>
      <w:r w:rsidR="00190BD4" w:rsidRPr="0092706B">
        <w:rPr>
          <w:rFonts w:ascii="Arial" w:hAnsi="Arial" w:cs="Arial"/>
          <w:sz w:val="22"/>
          <w:szCs w:val="22"/>
        </w:rPr>
        <w:t xml:space="preserve"> </w:t>
      </w:r>
      <w:r w:rsidRPr="005557B3">
        <w:rPr>
          <w:rFonts w:ascii="Arial" w:hAnsi="Arial" w:cs="Arial"/>
          <w:sz w:val="22"/>
          <w:szCs w:val="22"/>
        </w:rPr>
        <w:t xml:space="preserve">memoria </w:t>
      </w:r>
      <w:r w:rsidR="00190BD4">
        <w:rPr>
          <w:rFonts w:ascii="Arial" w:hAnsi="Arial" w:cs="Arial"/>
          <w:sz w:val="22"/>
          <w:szCs w:val="22"/>
        </w:rPr>
        <w:t>colectiva, cuya</w:t>
      </w:r>
      <w:r w:rsidR="00190BD4" w:rsidRPr="0092706B">
        <w:rPr>
          <w:rFonts w:ascii="Arial" w:hAnsi="Arial" w:cs="Arial"/>
          <w:sz w:val="22"/>
          <w:szCs w:val="22"/>
        </w:rPr>
        <w:t xml:space="preserve"> </w:t>
      </w:r>
      <w:r w:rsidRPr="0092706B">
        <w:rPr>
          <w:rFonts w:ascii="Arial" w:hAnsi="Arial" w:cs="Arial"/>
          <w:sz w:val="22"/>
          <w:szCs w:val="22"/>
        </w:rPr>
        <w:t xml:space="preserve">existencia es </w:t>
      </w:r>
      <w:r w:rsidR="00190BD4">
        <w:rPr>
          <w:rFonts w:ascii="Arial" w:hAnsi="Arial" w:cs="Arial"/>
          <w:sz w:val="22"/>
          <w:szCs w:val="22"/>
        </w:rPr>
        <w:t>indispensable</w:t>
      </w:r>
      <w:r w:rsidR="00190BD4" w:rsidRPr="0092706B">
        <w:rPr>
          <w:rFonts w:ascii="Arial" w:hAnsi="Arial" w:cs="Arial"/>
          <w:sz w:val="22"/>
          <w:szCs w:val="22"/>
        </w:rPr>
        <w:t xml:space="preserve"> </w:t>
      </w:r>
      <w:r w:rsidRPr="0092706B">
        <w:rPr>
          <w:rFonts w:ascii="Arial" w:hAnsi="Arial" w:cs="Arial"/>
          <w:sz w:val="22"/>
          <w:szCs w:val="22"/>
        </w:rPr>
        <w:t xml:space="preserve">para </w:t>
      </w:r>
      <w:r w:rsidR="00190BD4">
        <w:rPr>
          <w:rFonts w:ascii="Arial" w:hAnsi="Arial" w:cs="Arial"/>
          <w:sz w:val="22"/>
          <w:szCs w:val="22"/>
        </w:rPr>
        <w:t>que</w:t>
      </w:r>
      <w:r w:rsidR="00190BD4" w:rsidRPr="0092706B">
        <w:rPr>
          <w:rFonts w:ascii="Arial" w:hAnsi="Arial" w:cs="Arial"/>
          <w:sz w:val="22"/>
          <w:szCs w:val="22"/>
        </w:rPr>
        <w:t xml:space="preserve"> </w:t>
      </w:r>
      <w:r w:rsidRPr="0092706B">
        <w:rPr>
          <w:rFonts w:ascii="Arial" w:hAnsi="Arial" w:cs="Arial"/>
          <w:sz w:val="22"/>
          <w:szCs w:val="22"/>
        </w:rPr>
        <w:t>el patrimonio cultural inmaterial</w:t>
      </w:r>
      <w:r w:rsidR="00190BD4">
        <w:rPr>
          <w:rFonts w:ascii="Arial" w:hAnsi="Arial" w:cs="Arial"/>
          <w:sz w:val="22"/>
          <w:szCs w:val="22"/>
        </w:rPr>
        <w:t xml:space="preserve"> pueda expresarse</w:t>
      </w:r>
      <w:r w:rsidRPr="0092706B">
        <w:rPr>
          <w:rFonts w:ascii="Arial" w:hAnsi="Arial" w:cs="Arial"/>
          <w:sz w:val="22"/>
          <w:szCs w:val="22"/>
        </w:rPr>
        <w:t>.</w:t>
      </w:r>
    </w:p>
    <w:p w:rsidR="00D54F2A" w:rsidRPr="0092706B" w:rsidDel="006329BB" w:rsidRDefault="00D54F2A" w:rsidP="00D54F2A">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t>VI.1.4</w:t>
      </w:r>
      <w:r w:rsidRPr="001C4C46">
        <w:rPr>
          <w:rFonts w:ascii="Arial" w:hAnsi="Arial" w:cs="Arial"/>
          <w:sz w:val="22"/>
          <w:szCs w:val="22"/>
        </w:rPr>
        <w:tab/>
      </w:r>
      <w:r w:rsidRPr="00410628">
        <w:rPr>
          <w:rFonts w:ascii="Arial" w:hAnsi="Arial" w:cs="Arial"/>
          <w:b/>
          <w:color w:val="000000"/>
          <w:sz w:val="22"/>
          <w:szCs w:val="22"/>
        </w:rPr>
        <w:t>Igualdad de género</w:t>
      </w:r>
    </w:p>
    <w:p w:rsidR="00D54F2A" w:rsidRPr="005557B3" w:rsidDel="006329BB"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92706B">
        <w:rPr>
          <w:rFonts w:ascii="Arial" w:hAnsi="Arial" w:cs="Arial"/>
          <w:sz w:val="22"/>
          <w:szCs w:val="22"/>
        </w:rPr>
        <w:t xml:space="preserve">Los Estados Partes intentarán fomentar </w:t>
      </w:r>
      <w:r w:rsidRPr="005557B3">
        <w:rPr>
          <w:rFonts w:ascii="Arial" w:hAnsi="Arial" w:cs="Arial"/>
          <w:sz w:val="22"/>
          <w:szCs w:val="22"/>
        </w:rPr>
        <w:t xml:space="preserve">las contribuciones del patrimonio cultural inmaterial y </w:t>
      </w:r>
      <w:r w:rsidR="00190BD4">
        <w:rPr>
          <w:rFonts w:ascii="Arial" w:hAnsi="Arial" w:cs="Arial"/>
          <w:sz w:val="22"/>
          <w:szCs w:val="22"/>
        </w:rPr>
        <w:t xml:space="preserve">de </w:t>
      </w:r>
      <w:r w:rsidRPr="0092706B">
        <w:rPr>
          <w:rFonts w:ascii="Arial" w:hAnsi="Arial" w:cs="Arial"/>
          <w:sz w:val="22"/>
          <w:szCs w:val="22"/>
        </w:rPr>
        <w:t xml:space="preserve">su salvaguardia </w:t>
      </w:r>
      <w:r w:rsidR="00190BD4">
        <w:rPr>
          <w:rFonts w:ascii="Arial" w:hAnsi="Arial" w:cs="Arial"/>
          <w:sz w:val="22"/>
          <w:szCs w:val="22"/>
        </w:rPr>
        <w:t>a una mayor</w:t>
      </w:r>
      <w:r w:rsidRPr="0092706B">
        <w:rPr>
          <w:rFonts w:ascii="Arial" w:hAnsi="Arial" w:cs="Arial"/>
          <w:sz w:val="22"/>
          <w:szCs w:val="22"/>
        </w:rPr>
        <w:t xml:space="preserve"> </w:t>
      </w:r>
      <w:r w:rsidRPr="005557B3">
        <w:rPr>
          <w:rFonts w:ascii="Arial" w:hAnsi="Arial" w:cs="Arial"/>
          <w:sz w:val="22"/>
          <w:szCs w:val="22"/>
        </w:rPr>
        <w:t xml:space="preserve">igualdad de género y </w:t>
      </w:r>
      <w:r w:rsidR="00190BD4">
        <w:rPr>
          <w:rFonts w:ascii="Arial" w:hAnsi="Arial" w:cs="Arial"/>
          <w:sz w:val="22"/>
          <w:szCs w:val="22"/>
        </w:rPr>
        <w:t xml:space="preserve">a </w:t>
      </w:r>
      <w:r w:rsidRPr="0092706B">
        <w:rPr>
          <w:rFonts w:ascii="Arial" w:hAnsi="Arial" w:cs="Arial"/>
          <w:sz w:val="22"/>
          <w:szCs w:val="22"/>
        </w:rPr>
        <w:t xml:space="preserve">eliminar la discriminación de género, reconociendo al mismo tiempo que las comunidades y grupos </w:t>
      </w:r>
      <w:r w:rsidR="00190BD4">
        <w:rPr>
          <w:rFonts w:ascii="Arial" w:hAnsi="Arial" w:cs="Arial"/>
          <w:sz w:val="22"/>
          <w:szCs w:val="22"/>
        </w:rPr>
        <w:t>transmiten</w:t>
      </w:r>
      <w:r w:rsidR="00190BD4" w:rsidRPr="0092706B">
        <w:rPr>
          <w:rFonts w:ascii="Arial" w:hAnsi="Arial" w:cs="Arial"/>
          <w:sz w:val="22"/>
          <w:szCs w:val="22"/>
        </w:rPr>
        <w:t xml:space="preserve"> </w:t>
      </w:r>
      <w:r w:rsidRPr="0092706B">
        <w:rPr>
          <w:rFonts w:ascii="Arial" w:hAnsi="Arial" w:cs="Arial"/>
          <w:sz w:val="22"/>
          <w:szCs w:val="22"/>
        </w:rPr>
        <w:t>sus propios valo</w:t>
      </w:r>
      <w:r w:rsidRPr="005557B3">
        <w:rPr>
          <w:rFonts w:ascii="Arial" w:hAnsi="Arial" w:cs="Arial"/>
          <w:sz w:val="22"/>
          <w:szCs w:val="22"/>
        </w:rPr>
        <w:t xml:space="preserve">res, normas y expectativas </w:t>
      </w:r>
      <w:r w:rsidR="00190BD4">
        <w:rPr>
          <w:rFonts w:ascii="Arial" w:hAnsi="Arial" w:cs="Arial"/>
          <w:sz w:val="22"/>
          <w:szCs w:val="22"/>
        </w:rPr>
        <w:t xml:space="preserve">relacionados con </w:t>
      </w:r>
      <w:r w:rsidRPr="0092706B">
        <w:rPr>
          <w:rFonts w:ascii="Arial" w:hAnsi="Arial" w:cs="Arial"/>
          <w:sz w:val="22"/>
          <w:szCs w:val="22"/>
        </w:rPr>
        <w:t xml:space="preserve">el género </w:t>
      </w:r>
      <w:r w:rsidR="00190BD4">
        <w:rPr>
          <w:rFonts w:ascii="Arial" w:hAnsi="Arial" w:cs="Arial"/>
          <w:sz w:val="22"/>
          <w:szCs w:val="22"/>
        </w:rPr>
        <w:t>a través</w:t>
      </w:r>
      <w:r w:rsidR="00190BD4" w:rsidRPr="0092706B">
        <w:rPr>
          <w:rFonts w:ascii="Arial" w:hAnsi="Arial" w:cs="Arial"/>
          <w:sz w:val="22"/>
          <w:szCs w:val="22"/>
        </w:rPr>
        <w:t xml:space="preserve"> </w:t>
      </w:r>
      <w:r w:rsidRPr="0092706B">
        <w:rPr>
          <w:rFonts w:ascii="Arial" w:hAnsi="Arial" w:cs="Arial"/>
          <w:sz w:val="22"/>
          <w:szCs w:val="22"/>
        </w:rPr>
        <w:t xml:space="preserve">del patrimonio cultural inmaterial y </w:t>
      </w:r>
      <w:r w:rsidR="00190BD4">
        <w:rPr>
          <w:rFonts w:ascii="Arial" w:hAnsi="Arial" w:cs="Arial"/>
          <w:sz w:val="22"/>
          <w:szCs w:val="22"/>
        </w:rPr>
        <w:t xml:space="preserve">que </w:t>
      </w:r>
      <w:r w:rsidRPr="0092706B">
        <w:rPr>
          <w:rFonts w:ascii="Arial" w:hAnsi="Arial" w:cs="Arial"/>
          <w:sz w:val="22"/>
          <w:szCs w:val="22"/>
        </w:rPr>
        <w:t>es, por ello, un contexto privilegiado en el cual se define</w:t>
      </w:r>
      <w:r w:rsidR="00190BD4">
        <w:rPr>
          <w:rFonts w:ascii="Arial" w:hAnsi="Arial" w:cs="Arial"/>
          <w:sz w:val="22"/>
          <w:szCs w:val="22"/>
        </w:rPr>
        <w:t>n</w:t>
      </w:r>
      <w:r w:rsidRPr="0092706B">
        <w:rPr>
          <w:rFonts w:ascii="Arial" w:hAnsi="Arial" w:cs="Arial"/>
          <w:sz w:val="22"/>
          <w:szCs w:val="22"/>
        </w:rPr>
        <w:t xml:space="preserve"> la</w:t>
      </w:r>
      <w:r w:rsidR="00190BD4">
        <w:rPr>
          <w:rFonts w:ascii="Arial" w:hAnsi="Arial" w:cs="Arial"/>
          <w:sz w:val="22"/>
          <w:szCs w:val="22"/>
        </w:rPr>
        <w:t>s</w:t>
      </w:r>
      <w:r w:rsidRPr="0092706B">
        <w:rPr>
          <w:rFonts w:ascii="Arial" w:hAnsi="Arial" w:cs="Arial"/>
          <w:sz w:val="22"/>
          <w:szCs w:val="22"/>
        </w:rPr>
        <w:t xml:space="preserve"> identidad</w:t>
      </w:r>
      <w:r w:rsidR="00190BD4">
        <w:rPr>
          <w:rFonts w:ascii="Arial" w:hAnsi="Arial" w:cs="Arial"/>
          <w:sz w:val="22"/>
          <w:szCs w:val="22"/>
        </w:rPr>
        <w:t>es</w:t>
      </w:r>
      <w:r w:rsidRPr="0092706B">
        <w:rPr>
          <w:rFonts w:ascii="Arial" w:hAnsi="Arial" w:cs="Arial"/>
          <w:sz w:val="22"/>
          <w:szCs w:val="22"/>
        </w:rPr>
        <w:t xml:space="preserve"> de género de los miembros de la comunidad y del</w:t>
      </w:r>
      <w:r w:rsidRPr="005557B3">
        <w:rPr>
          <w:rFonts w:ascii="Arial" w:hAnsi="Arial" w:cs="Arial"/>
          <w:sz w:val="22"/>
          <w:szCs w:val="22"/>
        </w:rPr>
        <w:t xml:space="preserve"> grupo. Para ello, se invita a los Estados Partes a:</w:t>
      </w:r>
    </w:p>
    <w:p w:rsidR="00D54F2A" w:rsidRPr="005557B3" w:rsidDel="006329B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aprovechar el potencial del patrimonio cultural inmaterial y su salvaguardia para crear espacios comunes para el diálogo sobre cómo lograr la igualdad de género, tomando en cuenta los diversos enfoques de las partes interesadas;</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1A298C">
        <w:rPr>
          <w:rFonts w:ascii="Arial" w:hAnsi="Arial" w:cs="Arial"/>
          <w:sz w:val="22"/>
          <w:szCs w:val="22"/>
        </w:rPr>
        <w:t xml:space="preserve">promover el rol clave que el patrimonio cultural inmaterial y su salvaguardia pueden </w:t>
      </w:r>
      <w:r w:rsidR="009D0C5C">
        <w:rPr>
          <w:rFonts w:ascii="Arial" w:hAnsi="Arial" w:cs="Arial"/>
          <w:sz w:val="22"/>
          <w:szCs w:val="22"/>
        </w:rPr>
        <w:t>desempeñar en la construcción</w:t>
      </w:r>
      <w:r w:rsidRPr="0092706B">
        <w:rPr>
          <w:rFonts w:ascii="Arial" w:hAnsi="Arial" w:cs="Arial"/>
          <w:sz w:val="22"/>
          <w:szCs w:val="22"/>
        </w:rPr>
        <w:t xml:space="preserve"> del respeto mutuo entre comunidades y grupos cuyos miembros pueden no compartir la misma concepción del género;</w:t>
      </w:r>
    </w:p>
    <w:p w:rsidR="00D54F2A" w:rsidRPr="005557B3" w:rsidRDefault="009D0C5C"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Pr>
          <w:rFonts w:ascii="Arial" w:hAnsi="Arial" w:cs="Arial"/>
          <w:sz w:val="22"/>
          <w:szCs w:val="22"/>
        </w:rPr>
        <w:t>ayudar a</w:t>
      </w:r>
      <w:r w:rsidRPr="0092706B">
        <w:rPr>
          <w:rFonts w:ascii="Arial" w:hAnsi="Arial" w:cs="Arial"/>
          <w:sz w:val="22"/>
          <w:szCs w:val="22"/>
        </w:rPr>
        <w:t xml:space="preserve"> </w:t>
      </w:r>
      <w:r w:rsidR="00D54F2A" w:rsidRPr="0092706B">
        <w:rPr>
          <w:rFonts w:ascii="Arial" w:hAnsi="Arial" w:cs="Arial"/>
          <w:sz w:val="22"/>
          <w:szCs w:val="22"/>
        </w:rPr>
        <w:t xml:space="preserve">comunidades y grupos en el examen de expresiones de su patrimonio cultural inmaterial </w:t>
      </w:r>
      <w:r>
        <w:rPr>
          <w:rFonts w:ascii="Arial" w:hAnsi="Arial" w:cs="Arial"/>
          <w:sz w:val="22"/>
          <w:szCs w:val="22"/>
        </w:rPr>
        <w:t>en relación con</w:t>
      </w:r>
      <w:r w:rsidR="00D54F2A" w:rsidRPr="0092706B">
        <w:rPr>
          <w:rFonts w:ascii="Arial" w:hAnsi="Arial" w:cs="Arial"/>
          <w:sz w:val="22"/>
          <w:szCs w:val="22"/>
        </w:rPr>
        <w:t xml:space="preserve"> su impacto y potencial </w:t>
      </w:r>
      <w:r>
        <w:rPr>
          <w:rFonts w:ascii="Arial" w:hAnsi="Arial" w:cs="Arial"/>
          <w:sz w:val="22"/>
          <w:szCs w:val="22"/>
        </w:rPr>
        <w:t>contribución</w:t>
      </w:r>
      <w:r w:rsidRPr="0092706B">
        <w:rPr>
          <w:rFonts w:ascii="Arial" w:hAnsi="Arial" w:cs="Arial"/>
          <w:sz w:val="22"/>
          <w:szCs w:val="22"/>
        </w:rPr>
        <w:t xml:space="preserve"> </w:t>
      </w:r>
      <w:r>
        <w:rPr>
          <w:rFonts w:ascii="Arial" w:hAnsi="Arial" w:cs="Arial"/>
          <w:sz w:val="22"/>
          <w:szCs w:val="22"/>
        </w:rPr>
        <w:t>para mejorar</w:t>
      </w:r>
      <w:r w:rsidR="00D54F2A" w:rsidRPr="0092706B">
        <w:rPr>
          <w:rFonts w:ascii="Arial" w:hAnsi="Arial" w:cs="Arial"/>
          <w:sz w:val="22"/>
          <w:szCs w:val="22"/>
        </w:rPr>
        <w:t xml:space="preserve"> la igualdad de género y tomar en cuenta los resultados de dicho examen en las decisiones de salvaguardia, práctic</w:t>
      </w:r>
      <w:r w:rsidR="00D54F2A" w:rsidRPr="005557B3">
        <w:rPr>
          <w:rFonts w:ascii="Arial" w:hAnsi="Arial" w:cs="Arial"/>
          <w:sz w:val="22"/>
          <w:szCs w:val="22"/>
        </w:rPr>
        <w:t xml:space="preserve">a, transmisión y promoción en el plano internacional de estas expresiones; </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promover metodologías de investigación y estudios científicos, incluyendo los realizados por las </w:t>
      </w:r>
      <w:r w:rsidR="003C3527">
        <w:rPr>
          <w:rFonts w:ascii="Arial" w:hAnsi="Arial" w:cs="Arial"/>
          <w:sz w:val="22"/>
          <w:szCs w:val="22"/>
        </w:rPr>
        <w:t xml:space="preserve">propias </w:t>
      </w:r>
      <w:r w:rsidRPr="0092706B">
        <w:rPr>
          <w:rFonts w:ascii="Arial" w:hAnsi="Arial" w:cs="Arial"/>
          <w:sz w:val="22"/>
          <w:szCs w:val="22"/>
        </w:rPr>
        <w:t xml:space="preserve">comunidades y grupos, orientados a comprender la diversidad de los roles de género dentro </w:t>
      </w:r>
      <w:r w:rsidR="009D0C5C">
        <w:rPr>
          <w:rFonts w:ascii="Arial" w:hAnsi="Arial" w:cs="Arial"/>
          <w:sz w:val="22"/>
          <w:szCs w:val="22"/>
        </w:rPr>
        <w:t xml:space="preserve">de </w:t>
      </w:r>
      <w:r w:rsidRPr="0092706B">
        <w:rPr>
          <w:rFonts w:ascii="Arial" w:hAnsi="Arial" w:cs="Arial"/>
          <w:sz w:val="22"/>
          <w:szCs w:val="22"/>
        </w:rPr>
        <w:t>expresiones específicas del patrimonio cultural inmaterial;</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garantizar la igualdad de género en </w:t>
      </w:r>
      <w:r w:rsidR="009D0C5C">
        <w:rPr>
          <w:rFonts w:ascii="Arial" w:hAnsi="Arial" w:cs="Arial"/>
          <w:sz w:val="22"/>
          <w:szCs w:val="22"/>
        </w:rPr>
        <w:t>la planificación</w:t>
      </w:r>
      <w:r w:rsidRPr="0092706B">
        <w:rPr>
          <w:rFonts w:ascii="Arial" w:hAnsi="Arial" w:cs="Arial"/>
          <w:sz w:val="22"/>
          <w:szCs w:val="22"/>
        </w:rPr>
        <w:t xml:space="preserve">, la gestión y la </w:t>
      </w:r>
      <w:r w:rsidR="009D0C5C">
        <w:rPr>
          <w:rFonts w:ascii="Arial" w:hAnsi="Arial" w:cs="Arial"/>
          <w:sz w:val="22"/>
          <w:szCs w:val="22"/>
        </w:rPr>
        <w:t>aplicación</w:t>
      </w:r>
      <w:r w:rsidR="009D0C5C" w:rsidRPr="0092706B">
        <w:rPr>
          <w:rFonts w:ascii="Arial" w:hAnsi="Arial" w:cs="Arial"/>
          <w:sz w:val="22"/>
          <w:szCs w:val="22"/>
        </w:rPr>
        <w:t xml:space="preserve"> </w:t>
      </w:r>
      <w:r w:rsidRPr="0092706B">
        <w:rPr>
          <w:rFonts w:ascii="Arial" w:hAnsi="Arial" w:cs="Arial"/>
          <w:sz w:val="22"/>
          <w:szCs w:val="22"/>
        </w:rPr>
        <w:t>de medidas de salvaguardia, a todo nivel y en todo contexto, a fin de aprovechar al máximo los di</w:t>
      </w:r>
      <w:r w:rsidRPr="005557B3">
        <w:rPr>
          <w:rFonts w:ascii="Arial" w:hAnsi="Arial" w:cs="Arial"/>
          <w:sz w:val="22"/>
          <w:szCs w:val="22"/>
        </w:rPr>
        <w:t>versos enfoques de todos los miembros de la sociedad.</w:t>
      </w:r>
    </w:p>
    <w:p w:rsidR="00D54F2A" w:rsidRPr="0092706B" w:rsidRDefault="00D54F2A" w:rsidP="00D54F2A">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t>VI.1.5</w:t>
      </w:r>
      <w:r w:rsidRPr="001C4C46">
        <w:rPr>
          <w:rFonts w:ascii="Arial" w:hAnsi="Arial" w:cs="Arial"/>
          <w:sz w:val="22"/>
          <w:szCs w:val="22"/>
        </w:rPr>
        <w:tab/>
      </w:r>
      <w:r w:rsidRPr="00410628">
        <w:rPr>
          <w:rFonts w:ascii="Arial" w:hAnsi="Arial" w:cs="Arial"/>
          <w:b/>
          <w:color w:val="000000"/>
          <w:sz w:val="22"/>
          <w:szCs w:val="22"/>
        </w:rPr>
        <w:t>Acceso al agua potable y el uso sostenible del agua</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color w:val="000000"/>
          <w:sz w:val="22"/>
          <w:szCs w:val="22"/>
        </w:rPr>
      </w:pPr>
      <w:r w:rsidRPr="005557B3">
        <w:rPr>
          <w:rFonts w:ascii="Arial" w:hAnsi="Arial" w:cs="Arial"/>
          <w:sz w:val="22"/>
          <w:szCs w:val="22"/>
        </w:rPr>
        <w:t>Los Estados Partes velarán por la viabilidad de los sistemas de gestión hídrica reconocidos por las comunidades, grupos y</w:t>
      </w:r>
      <w:r w:rsidR="009D0C5C">
        <w:rPr>
          <w:rFonts w:ascii="Arial" w:hAnsi="Arial" w:cs="Arial"/>
          <w:sz w:val="22"/>
          <w:szCs w:val="22"/>
        </w:rPr>
        <w:t>,</w:t>
      </w:r>
      <w:r w:rsidRPr="0092706B">
        <w:rPr>
          <w:rFonts w:ascii="Arial" w:hAnsi="Arial" w:cs="Arial"/>
          <w:sz w:val="22"/>
          <w:szCs w:val="22"/>
        </w:rPr>
        <w:t xml:space="preserve"> en ciertos casos, individuos, como parte de su patrimonio cultural inmaterial, que promuevan el uso equitativo del agua potable y el uso sostenible del agua, en particular en la agricultura y otras actividades de subsistencia.</w:t>
      </w:r>
      <w:r w:rsidRPr="005557B3">
        <w:rPr>
          <w:rFonts w:ascii="Arial" w:hAnsi="Arial" w:cs="Arial"/>
          <w:color w:val="000000"/>
          <w:sz w:val="22"/>
          <w:szCs w:val="22"/>
        </w:rPr>
        <w:t xml:space="preserve"> </w:t>
      </w:r>
      <w:r w:rsidRPr="005557B3">
        <w:rPr>
          <w:rFonts w:ascii="Arial" w:hAnsi="Arial" w:cs="Arial"/>
          <w:sz w:val="22"/>
          <w:szCs w:val="22"/>
        </w:rPr>
        <w:t>Para ello, se invita a los Estados Partes a:</w:t>
      </w:r>
    </w:p>
    <w:p w:rsidR="00D54F2A"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lastRenderedPageBreak/>
        <w:t>promover metodologías de investigación y estudios científicos, incluyendo los realizados por las</w:t>
      </w:r>
      <w:r w:rsidR="003C3527">
        <w:rPr>
          <w:rFonts w:ascii="Arial" w:hAnsi="Arial" w:cs="Arial"/>
          <w:sz w:val="22"/>
          <w:szCs w:val="22"/>
        </w:rPr>
        <w:t xml:space="preserve"> propias</w:t>
      </w:r>
      <w:r w:rsidRPr="0092706B">
        <w:rPr>
          <w:rFonts w:ascii="Arial" w:hAnsi="Arial" w:cs="Arial"/>
          <w:sz w:val="22"/>
          <w:szCs w:val="22"/>
        </w:rPr>
        <w:t xml:space="preserve"> comunidades y grupos, orientados a comprender la diversidad de </w:t>
      </w:r>
      <w:r w:rsidR="004A4DB3">
        <w:rPr>
          <w:rFonts w:ascii="Arial" w:hAnsi="Arial" w:cs="Arial"/>
          <w:sz w:val="22"/>
          <w:szCs w:val="22"/>
        </w:rPr>
        <w:t>aquellos</w:t>
      </w:r>
      <w:r w:rsidR="004A4DB3" w:rsidRPr="0092706B">
        <w:rPr>
          <w:rFonts w:ascii="Arial" w:hAnsi="Arial" w:cs="Arial"/>
          <w:sz w:val="22"/>
          <w:szCs w:val="22"/>
        </w:rPr>
        <w:t xml:space="preserve"> </w:t>
      </w:r>
      <w:r w:rsidRPr="0092706B">
        <w:rPr>
          <w:rFonts w:ascii="Arial" w:hAnsi="Arial" w:cs="Arial"/>
          <w:sz w:val="22"/>
          <w:szCs w:val="22"/>
        </w:rPr>
        <w:t xml:space="preserve">sistemas de gestión hídrica </w:t>
      </w:r>
      <w:r w:rsidR="00711F2E">
        <w:rPr>
          <w:rFonts w:ascii="Arial" w:hAnsi="Arial" w:cs="Arial"/>
          <w:sz w:val="22"/>
          <w:szCs w:val="22"/>
        </w:rPr>
        <w:t>que las</w:t>
      </w:r>
      <w:r w:rsidRPr="0092706B">
        <w:rPr>
          <w:rFonts w:ascii="Arial" w:hAnsi="Arial" w:cs="Arial"/>
          <w:sz w:val="22"/>
          <w:szCs w:val="22"/>
        </w:rPr>
        <w:t xml:space="preserve"> comunidades, grupos, y</w:t>
      </w:r>
      <w:r w:rsidR="009D0C5C">
        <w:rPr>
          <w:rFonts w:ascii="Arial" w:hAnsi="Arial" w:cs="Arial"/>
          <w:sz w:val="22"/>
          <w:szCs w:val="22"/>
        </w:rPr>
        <w:t>,</w:t>
      </w:r>
      <w:r w:rsidRPr="0092706B">
        <w:rPr>
          <w:rFonts w:ascii="Arial" w:hAnsi="Arial" w:cs="Arial"/>
          <w:sz w:val="22"/>
          <w:szCs w:val="22"/>
        </w:rPr>
        <w:t xml:space="preserve"> en </w:t>
      </w:r>
      <w:r w:rsidR="009D0C5C">
        <w:rPr>
          <w:rFonts w:ascii="Arial" w:hAnsi="Arial" w:cs="Arial"/>
          <w:sz w:val="22"/>
          <w:szCs w:val="22"/>
        </w:rPr>
        <w:t>ciertos</w:t>
      </w:r>
      <w:r w:rsidR="009D0C5C" w:rsidRPr="0092706B">
        <w:rPr>
          <w:rFonts w:ascii="Arial" w:hAnsi="Arial" w:cs="Arial"/>
          <w:sz w:val="22"/>
          <w:szCs w:val="22"/>
        </w:rPr>
        <w:t xml:space="preserve"> </w:t>
      </w:r>
      <w:r w:rsidRPr="0092706B">
        <w:rPr>
          <w:rFonts w:ascii="Arial" w:hAnsi="Arial" w:cs="Arial"/>
          <w:sz w:val="22"/>
          <w:szCs w:val="22"/>
        </w:rPr>
        <w:t>casos, i</w:t>
      </w:r>
      <w:r w:rsidRPr="005557B3">
        <w:rPr>
          <w:rFonts w:ascii="Arial" w:hAnsi="Arial" w:cs="Arial"/>
          <w:sz w:val="22"/>
          <w:szCs w:val="22"/>
        </w:rPr>
        <w:t xml:space="preserve">ndividuos, </w:t>
      </w:r>
      <w:r w:rsidR="00711F2E">
        <w:rPr>
          <w:rFonts w:ascii="Arial" w:hAnsi="Arial" w:cs="Arial"/>
          <w:sz w:val="22"/>
          <w:szCs w:val="22"/>
        </w:rPr>
        <w:t xml:space="preserve">reconocen </w:t>
      </w:r>
      <w:r w:rsidRPr="0092706B">
        <w:rPr>
          <w:rFonts w:ascii="Arial" w:hAnsi="Arial" w:cs="Arial"/>
          <w:sz w:val="22"/>
          <w:szCs w:val="22"/>
        </w:rPr>
        <w:t xml:space="preserve">como parte de su patrimonio cultural inmaterial, e </w:t>
      </w:r>
      <w:r w:rsidR="00711F2E">
        <w:rPr>
          <w:rFonts w:ascii="Arial" w:hAnsi="Arial" w:cs="Arial"/>
          <w:sz w:val="22"/>
          <w:szCs w:val="22"/>
        </w:rPr>
        <w:t xml:space="preserve">a </w:t>
      </w:r>
      <w:r w:rsidRPr="0092706B">
        <w:rPr>
          <w:rFonts w:ascii="Arial" w:hAnsi="Arial" w:cs="Arial"/>
          <w:sz w:val="22"/>
          <w:szCs w:val="22"/>
        </w:rPr>
        <w:t xml:space="preserve">identificar su </w:t>
      </w:r>
      <w:r w:rsidR="00711F2E">
        <w:rPr>
          <w:rFonts w:ascii="Arial" w:hAnsi="Arial" w:cs="Arial"/>
          <w:sz w:val="22"/>
          <w:szCs w:val="22"/>
        </w:rPr>
        <w:t>aporte para satisfacer</w:t>
      </w:r>
      <w:r w:rsidR="00711F2E" w:rsidRPr="0092706B">
        <w:rPr>
          <w:rFonts w:ascii="Arial" w:hAnsi="Arial" w:cs="Arial"/>
          <w:sz w:val="22"/>
          <w:szCs w:val="22"/>
        </w:rPr>
        <w:t xml:space="preserve"> </w:t>
      </w:r>
      <w:r w:rsidRPr="005557B3">
        <w:rPr>
          <w:rFonts w:ascii="Arial" w:hAnsi="Arial" w:cs="Arial"/>
          <w:sz w:val="22"/>
          <w:szCs w:val="22"/>
        </w:rPr>
        <w:t>las necesidades ambientales y relacionadas con el desarrollo de recursos hídricos y</w:t>
      </w:r>
      <w:r w:rsidR="00711F2E">
        <w:rPr>
          <w:rFonts w:ascii="Arial" w:hAnsi="Arial" w:cs="Arial"/>
          <w:sz w:val="22"/>
          <w:szCs w:val="22"/>
        </w:rPr>
        <w:t>,</w:t>
      </w:r>
      <w:r w:rsidRPr="0092706B">
        <w:rPr>
          <w:rFonts w:ascii="Arial" w:hAnsi="Arial" w:cs="Arial"/>
          <w:sz w:val="22"/>
          <w:szCs w:val="22"/>
        </w:rPr>
        <w:t xml:space="preserve"> al mismo tiempo, </w:t>
      </w:r>
      <w:r w:rsidRPr="005557B3">
        <w:rPr>
          <w:rFonts w:ascii="Arial" w:hAnsi="Arial" w:cs="Arial"/>
          <w:sz w:val="22"/>
          <w:szCs w:val="22"/>
        </w:rPr>
        <w:t>cómo reforzar su resistencia al cambio climático;</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92706B">
        <w:rPr>
          <w:rFonts w:ascii="Arial" w:hAnsi="Arial" w:cs="Arial"/>
          <w:sz w:val="22"/>
          <w:szCs w:val="22"/>
        </w:rPr>
        <w:t>a</w:t>
      </w:r>
      <w:r w:rsidRPr="005557B3">
        <w:rPr>
          <w:rFonts w:ascii="Arial" w:hAnsi="Arial" w:cs="Arial"/>
          <w:sz w:val="22"/>
          <w:szCs w:val="22"/>
        </w:rPr>
        <w:t xml:space="preserve">doptar las medidas de orden jurídico, técnico, administrativo y financiero </w:t>
      </w:r>
      <w:r w:rsidR="006C3C5F">
        <w:rPr>
          <w:rFonts w:ascii="Arial" w:hAnsi="Arial" w:cs="Arial"/>
          <w:sz w:val="22"/>
          <w:szCs w:val="22"/>
        </w:rPr>
        <w:t xml:space="preserve">adecuadas </w:t>
      </w:r>
      <w:r w:rsidRPr="0092706B">
        <w:rPr>
          <w:rFonts w:ascii="Arial" w:hAnsi="Arial" w:cs="Arial"/>
          <w:sz w:val="22"/>
          <w:szCs w:val="22"/>
        </w:rPr>
        <w:t xml:space="preserve">para identificar, reforzar y promover dichos sistemas a fin de responder a </w:t>
      </w:r>
      <w:r w:rsidRPr="005557B3">
        <w:rPr>
          <w:rFonts w:ascii="Arial" w:hAnsi="Arial" w:cs="Arial"/>
          <w:sz w:val="22"/>
          <w:szCs w:val="22"/>
        </w:rPr>
        <w:t xml:space="preserve">las necesidades hídricas y </w:t>
      </w:r>
      <w:r w:rsidR="00711F2E">
        <w:rPr>
          <w:rFonts w:ascii="Arial" w:hAnsi="Arial" w:cs="Arial"/>
          <w:sz w:val="22"/>
          <w:szCs w:val="22"/>
        </w:rPr>
        <w:t xml:space="preserve">a </w:t>
      </w:r>
      <w:r w:rsidR="00711F2E" w:rsidRPr="002F1024">
        <w:rPr>
          <w:rFonts w:ascii="Arial" w:hAnsi="Arial" w:cs="Arial"/>
          <w:sz w:val="22"/>
          <w:szCs w:val="22"/>
        </w:rPr>
        <w:t xml:space="preserve">los desafíos </w:t>
      </w:r>
      <w:r w:rsidRPr="0092706B">
        <w:rPr>
          <w:rFonts w:ascii="Arial" w:hAnsi="Arial" w:cs="Arial"/>
          <w:sz w:val="22"/>
          <w:szCs w:val="22"/>
        </w:rPr>
        <w:t>del cambio climático en los planos local, nacional e internacional.</w:t>
      </w:r>
    </w:p>
    <w:p w:rsidR="00D54F2A" w:rsidRPr="005557B3" w:rsidRDefault="00D54F2A" w:rsidP="00D54F2A">
      <w:pPr>
        <w:keepNext/>
        <w:spacing w:before="360" w:after="120"/>
        <w:ind w:left="567" w:hanging="567"/>
        <w:jc w:val="both"/>
        <w:rPr>
          <w:rFonts w:ascii="Arial" w:hAnsi="Arial" w:cs="Arial"/>
          <w:b/>
        </w:rPr>
      </w:pPr>
      <w:r w:rsidRPr="005557B3">
        <w:rPr>
          <w:rFonts w:ascii="Arial" w:hAnsi="Arial" w:cs="Arial"/>
          <w:b/>
        </w:rPr>
        <w:t>VI.2</w:t>
      </w:r>
      <w:r w:rsidRPr="001C4C46">
        <w:rPr>
          <w:rFonts w:ascii="Arial" w:hAnsi="Arial" w:cs="Arial"/>
          <w:b/>
        </w:rPr>
        <w:tab/>
      </w:r>
      <w:r w:rsidRPr="0092706B">
        <w:rPr>
          <w:rFonts w:ascii="Arial" w:hAnsi="Arial" w:cs="Arial"/>
          <w:b/>
        </w:rPr>
        <w:t xml:space="preserve">Desarrollo </w:t>
      </w:r>
      <w:r w:rsidR="0060522B" w:rsidRPr="001C4C46">
        <w:rPr>
          <w:rFonts w:ascii="Arial" w:hAnsi="Arial" w:cs="Arial"/>
          <w:b/>
        </w:rPr>
        <w:t>económico</w:t>
      </w:r>
      <w:r w:rsidR="0060522B" w:rsidRPr="0092706B">
        <w:rPr>
          <w:rFonts w:ascii="Arial" w:hAnsi="Arial" w:cs="Arial"/>
          <w:b/>
        </w:rPr>
        <w:t xml:space="preserve"> </w:t>
      </w:r>
      <w:r w:rsidRPr="0092706B">
        <w:rPr>
          <w:rFonts w:ascii="Arial" w:hAnsi="Arial" w:cs="Arial"/>
          <w:b/>
        </w:rPr>
        <w:t>inclusivo</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410628">
        <w:rPr>
          <w:rFonts w:ascii="Arial" w:hAnsi="Arial" w:cs="Arial"/>
          <w:sz w:val="22"/>
          <w:szCs w:val="22"/>
        </w:rPr>
        <w:t>Se alienta a los Estados Partes a reconocer que la salvaguardia del patrimonio cultural inmaterial contribuye al desarrollo económi</w:t>
      </w:r>
      <w:r w:rsidRPr="0092706B">
        <w:rPr>
          <w:rFonts w:ascii="Arial" w:hAnsi="Arial" w:cs="Arial"/>
          <w:sz w:val="22"/>
          <w:szCs w:val="22"/>
        </w:rPr>
        <w:t>co inclusivo, y a reconocer que el desarrollo sostenible depende de un crecimiento estable, equitativo e inclusivo basado en esquemas sostenibles de producción y consumo, y que requiere la reducción de la pobreza y las desigualdades, puestos de trabajo decentes y productivos, protección social, y un crecimiento e</w:t>
      </w:r>
      <w:r w:rsidRPr="005557B3">
        <w:rPr>
          <w:rFonts w:ascii="Arial" w:hAnsi="Arial" w:cs="Arial"/>
          <w:sz w:val="22"/>
          <w:szCs w:val="22"/>
        </w:rPr>
        <w:t>conómico que aproveche eficazmente los recursos emitiendo bajos niveles de carbono.</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Los Estados Partes intentarán aprovechar al máximo el rol del patrimonio cultural inmaterial como una fuerza para promover el desarrollo </w:t>
      </w:r>
      <w:r w:rsidR="0060522B">
        <w:rPr>
          <w:rFonts w:ascii="Arial" w:hAnsi="Arial" w:cs="Arial"/>
          <w:sz w:val="22"/>
          <w:szCs w:val="22"/>
        </w:rPr>
        <w:t xml:space="preserve">económico </w:t>
      </w:r>
      <w:r w:rsidRPr="0092706B">
        <w:rPr>
          <w:rFonts w:ascii="Arial" w:hAnsi="Arial" w:cs="Arial"/>
          <w:sz w:val="22"/>
          <w:szCs w:val="22"/>
        </w:rPr>
        <w:t xml:space="preserve">inclusivo e </w:t>
      </w:r>
      <w:r w:rsidR="0060522B" w:rsidRPr="002F1024">
        <w:rPr>
          <w:rFonts w:ascii="Arial" w:hAnsi="Arial" w:cs="Arial"/>
          <w:sz w:val="22"/>
          <w:szCs w:val="22"/>
        </w:rPr>
        <w:t>equitativo</w:t>
      </w:r>
      <w:r w:rsidRPr="0092706B">
        <w:rPr>
          <w:rFonts w:ascii="Arial" w:hAnsi="Arial" w:cs="Arial"/>
          <w:sz w:val="22"/>
          <w:szCs w:val="22"/>
        </w:rPr>
        <w:t>, englobando</w:t>
      </w:r>
      <w:r w:rsidRPr="005557B3">
        <w:rPr>
          <w:rFonts w:ascii="Arial" w:hAnsi="Arial" w:cs="Arial"/>
          <w:sz w:val="22"/>
          <w:szCs w:val="22"/>
        </w:rPr>
        <w:t xml:space="preserve"> una gran variedad de actividades productivas de valor monetario o no monetario, y contribuyendo en particular a reforzar las economías locales. Para ello, se invita a los Estados Partes a respetar la naturaleza de dicho patrimonio y de las circunstancias específicas de las comunidades, grupos o individuos </w:t>
      </w:r>
      <w:r w:rsidR="00C506F5">
        <w:rPr>
          <w:rFonts w:ascii="Arial" w:hAnsi="Arial" w:cs="Arial"/>
          <w:sz w:val="22"/>
          <w:szCs w:val="22"/>
        </w:rPr>
        <w:t>interesados</w:t>
      </w:r>
      <w:r w:rsidRPr="0092706B">
        <w:rPr>
          <w:rFonts w:ascii="Arial" w:hAnsi="Arial" w:cs="Arial"/>
          <w:sz w:val="22"/>
          <w:szCs w:val="22"/>
        </w:rPr>
        <w:t>, en particular su elección de gestión colectiva o individual de su patrimonio, a la vez que se les ofrecen las condiciones necesarias para la práctica de sus expresiones creativas y</w:t>
      </w:r>
      <w:r w:rsidRPr="005557B3">
        <w:rPr>
          <w:rFonts w:ascii="Arial" w:hAnsi="Arial" w:cs="Arial"/>
          <w:sz w:val="22"/>
          <w:szCs w:val="22"/>
        </w:rPr>
        <w:t xml:space="preserve"> se promueve un intercambio comercial equitativo y relaciones económicas éticas.</w:t>
      </w:r>
    </w:p>
    <w:p w:rsidR="00D54F2A" w:rsidRPr="0092706B" w:rsidRDefault="00D54F2A" w:rsidP="00D54F2A">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t>VI.2.1</w:t>
      </w:r>
      <w:r w:rsidRPr="001C4C46">
        <w:rPr>
          <w:rFonts w:ascii="Arial" w:hAnsi="Arial" w:cs="Arial"/>
          <w:sz w:val="22"/>
          <w:szCs w:val="22"/>
        </w:rPr>
        <w:tab/>
      </w:r>
      <w:r w:rsidRPr="00410628">
        <w:rPr>
          <w:rFonts w:ascii="Arial" w:hAnsi="Arial" w:cs="Arial"/>
          <w:b/>
          <w:color w:val="000000"/>
          <w:sz w:val="22"/>
          <w:szCs w:val="22"/>
        </w:rPr>
        <w:t>Generación de ingresos y medios de subsistencia sostenibles</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92706B">
        <w:rPr>
          <w:rFonts w:ascii="Arial" w:hAnsi="Arial" w:cs="Arial"/>
          <w:sz w:val="22"/>
          <w:szCs w:val="22"/>
        </w:rPr>
        <w:t xml:space="preserve">Los Estados Partes velarán por reconocer, promover y </w:t>
      </w:r>
      <w:r w:rsidR="00B61CCB">
        <w:rPr>
          <w:rFonts w:ascii="Arial" w:hAnsi="Arial" w:cs="Arial"/>
          <w:sz w:val="22"/>
          <w:szCs w:val="22"/>
        </w:rPr>
        <w:t>valorizar</w:t>
      </w:r>
      <w:r w:rsidR="00B61CCB" w:rsidRPr="0092706B">
        <w:rPr>
          <w:rFonts w:ascii="Arial" w:hAnsi="Arial" w:cs="Arial"/>
          <w:sz w:val="22"/>
          <w:szCs w:val="22"/>
        </w:rPr>
        <w:t xml:space="preserve"> </w:t>
      </w:r>
      <w:r w:rsidRPr="0092706B">
        <w:rPr>
          <w:rFonts w:ascii="Arial" w:hAnsi="Arial" w:cs="Arial"/>
          <w:sz w:val="22"/>
          <w:szCs w:val="22"/>
        </w:rPr>
        <w:t>la contribución del patrimonio cultural inmate</w:t>
      </w:r>
      <w:r w:rsidRPr="005557B3">
        <w:rPr>
          <w:rFonts w:ascii="Arial" w:hAnsi="Arial" w:cs="Arial"/>
          <w:sz w:val="22"/>
          <w:szCs w:val="22"/>
        </w:rPr>
        <w:t>rial a la generación de ingresos y a los medios de subsistencia de las comunidades, grupos e individuos. Para ello, se invita a los Estados Partes a:</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promover metodologías de investigación y estudios científicos, incluyendo los realizados por las </w:t>
      </w:r>
      <w:r w:rsidR="003C3527">
        <w:rPr>
          <w:rFonts w:ascii="Arial" w:hAnsi="Arial" w:cs="Arial"/>
          <w:sz w:val="22"/>
          <w:szCs w:val="22"/>
        </w:rPr>
        <w:t xml:space="preserve">propias </w:t>
      </w:r>
      <w:r w:rsidRPr="0092706B">
        <w:rPr>
          <w:rFonts w:ascii="Arial" w:hAnsi="Arial" w:cs="Arial"/>
          <w:sz w:val="22"/>
          <w:szCs w:val="22"/>
        </w:rPr>
        <w:t xml:space="preserve">comunidades y grupos, orientados a identificar y evaluar las oportunidades que el patrimonio cultural inmaterial ofrece </w:t>
      </w:r>
      <w:r w:rsidR="00156BD6">
        <w:rPr>
          <w:rFonts w:ascii="Arial" w:hAnsi="Arial" w:cs="Arial"/>
          <w:sz w:val="22"/>
          <w:szCs w:val="22"/>
        </w:rPr>
        <w:t>para</w:t>
      </w:r>
      <w:r w:rsidR="00156BD6" w:rsidRPr="0092706B">
        <w:rPr>
          <w:rFonts w:ascii="Arial" w:hAnsi="Arial" w:cs="Arial"/>
          <w:sz w:val="22"/>
          <w:szCs w:val="22"/>
        </w:rPr>
        <w:t xml:space="preserve"> </w:t>
      </w:r>
      <w:r w:rsidRPr="00156BD6">
        <w:rPr>
          <w:rFonts w:ascii="Arial" w:hAnsi="Arial" w:cs="Arial"/>
          <w:sz w:val="22"/>
          <w:szCs w:val="22"/>
        </w:rPr>
        <w:t>de</w:t>
      </w:r>
      <w:r w:rsidR="00156BD6">
        <w:rPr>
          <w:rFonts w:ascii="Arial" w:hAnsi="Arial" w:cs="Arial"/>
          <w:sz w:val="22"/>
          <w:szCs w:val="22"/>
        </w:rPr>
        <w:t xml:space="preserve"> generar</w:t>
      </w:r>
      <w:r w:rsidRPr="0092706B">
        <w:rPr>
          <w:rFonts w:ascii="Arial" w:hAnsi="Arial" w:cs="Arial"/>
          <w:sz w:val="22"/>
          <w:szCs w:val="22"/>
        </w:rPr>
        <w:t xml:space="preserve"> ingresos y </w:t>
      </w:r>
      <w:r w:rsidRPr="005557B3">
        <w:rPr>
          <w:rFonts w:ascii="Arial" w:hAnsi="Arial" w:cs="Arial"/>
          <w:sz w:val="22"/>
          <w:szCs w:val="22"/>
        </w:rPr>
        <w:t xml:space="preserve">garantizar </w:t>
      </w:r>
      <w:r w:rsidRPr="00156BD6">
        <w:rPr>
          <w:rFonts w:ascii="Arial" w:hAnsi="Arial" w:cs="Arial"/>
          <w:sz w:val="22"/>
          <w:szCs w:val="22"/>
        </w:rPr>
        <w:t xml:space="preserve">los </w:t>
      </w:r>
      <w:r w:rsidRPr="0092706B">
        <w:rPr>
          <w:rFonts w:ascii="Arial" w:hAnsi="Arial" w:cs="Arial"/>
          <w:sz w:val="22"/>
          <w:szCs w:val="22"/>
        </w:rPr>
        <w:t xml:space="preserve">medios de subsistencia </w:t>
      </w:r>
      <w:r w:rsidRPr="00156BD6">
        <w:rPr>
          <w:rFonts w:ascii="Arial" w:hAnsi="Arial" w:cs="Arial"/>
          <w:sz w:val="22"/>
          <w:szCs w:val="22"/>
        </w:rPr>
        <w:t xml:space="preserve">de las comunidades, grupos e individuos </w:t>
      </w:r>
      <w:r w:rsidR="00C506F5">
        <w:rPr>
          <w:rFonts w:ascii="Arial" w:hAnsi="Arial" w:cs="Arial"/>
          <w:sz w:val="22"/>
          <w:szCs w:val="22"/>
        </w:rPr>
        <w:t>interesados</w:t>
      </w:r>
      <w:r w:rsidRPr="0092706B">
        <w:rPr>
          <w:rFonts w:ascii="Arial" w:hAnsi="Arial" w:cs="Arial"/>
          <w:sz w:val="22"/>
          <w:szCs w:val="22"/>
        </w:rPr>
        <w:t xml:space="preserve">, prestando una atención especial a su </w:t>
      </w:r>
      <w:r w:rsidR="00156BD6">
        <w:rPr>
          <w:rFonts w:ascii="Arial" w:hAnsi="Arial" w:cs="Arial"/>
          <w:sz w:val="22"/>
          <w:szCs w:val="22"/>
        </w:rPr>
        <w:t>papel</w:t>
      </w:r>
      <w:r w:rsidR="00156BD6" w:rsidRPr="0092706B">
        <w:rPr>
          <w:rFonts w:ascii="Arial" w:hAnsi="Arial" w:cs="Arial"/>
          <w:sz w:val="22"/>
          <w:szCs w:val="22"/>
        </w:rPr>
        <w:t xml:space="preserve"> </w:t>
      </w:r>
      <w:r w:rsidRPr="0092706B">
        <w:rPr>
          <w:rFonts w:ascii="Arial" w:hAnsi="Arial" w:cs="Arial"/>
          <w:sz w:val="22"/>
          <w:szCs w:val="22"/>
        </w:rPr>
        <w:t xml:space="preserve">de </w:t>
      </w:r>
      <w:r w:rsidR="00156BD6">
        <w:rPr>
          <w:rFonts w:ascii="Arial" w:hAnsi="Arial" w:cs="Arial"/>
          <w:sz w:val="22"/>
          <w:szCs w:val="22"/>
        </w:rPr>
        <w:t>complemento</w:t>
      </w:r>
      <w:r w:rsidR="00156BD6" w:rsidRPr="0092706B">
        <w:rPr>
          <w:rFonts w:ascii="Arial" w:hAnsi="Arial" w:cs="Arial"/>
          <w:sz w:val="22"/>
          <w:szCs w:val="22"/>
        </w:rPr>
        <w:t xml:space="preserve"> </w:t>
      </w:r>
      <w:r w:rsidRPr="0092706B">
        <w:rPr>
          <w:rFonts w:ascii="Arial" w:hAnsi="Arial" w:cs="Arial"/>
          <w:sz w:val="22"/>
          <w:szCs w:val="22"/>
        </w:rPr>
        <w:t xml:space="preserve">de </w:t>
      </w:r>
      <w:r w:rsidR="00156BD6">
        <w:rPr>
          <w:rFonts w:ascii="Arial" w:hAnsi="Arial" w:cs="Arial"/>
          <w:sz w:val="22"/>
          <w:szCs w:val="22"/>
        </w:rPr>
        <w:t>otras formas</w:t>
      </w:r>
      <w:r w:rsidRPr="0092706B">
        <w:rPr>
          <w:rFonts w:ascii="Arial" w:hAnsi="Arial" w:cs="Arial"/>
          <w:sz w:val="22"/>
          <w:szCs w:val="22"/>
        </w:rPr>
        <w:t xml:space="preserve"> de ingresos;</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adoptar las medidas de orden jurídico, técnico, administrativo y financiero </w:t>
      </w:r>
      <w:r w:rsidR="006C3C5F">
        <w:rPr>
          <w:rFonts w:ascii="Arial" w:hAnsi="Arial" w:cs="Arial"/>
          <w:sz w:val="22"/>
          <w:szCs w:val="22"/>
        </w:rPr>
        <w:t xml:space="preserve">adecuadas </w:t>
      </w:r>
      <w:r w:rsidRPr="0092706B">
        <w:rPr>
          <w:rFonts w:ascii="Arial" w:hAnsi="Arial" w:cs="Arial"/>
          <w:sz w:val="22"/>
          <w:szCs w:val="22"/>
        </w:rPr>
        <w:t>para:</w:t>
      </w:r>
    </w:p>
    <w:p w:rsidR="00D54F2A" w:rsidRPr="005557B3"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promover oportunidades para las comunidades, grupos e individuos para generar ingresos y garantizar sus medios de subsistencia mediante la práctica, la transmisión y la salvaguardia sostenibles de su patrimonio cultural inmaterial;</w:t>
      </w:r>
    </w:p>
    <w:p w:rsidR="00D54F2A" w:rsidRPr="005557B3"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 xml:space="preserve">garantizar que las comunidades, grupos e individuos </w:t>
      </w:r>
      <w:r w:rsidR="00C506F5">
        <w:rPr>
          <w:rFonts w:ascii="Arial" w:hAnsi="Arial" w:cs="Arial"/>
          <w:sz w:val="22"/>
          <w:szCs w:val="22"/>
        </w:rPr>
        <w:t>interesados</w:t>
      </w:r>
      <w:r w:rsidRPr="0092706B">
        <w:rPr>
          <w:rFonts w:ascii="Arial" w:hAnsi="Arial" w:cs="Arial"/>
          <w:sz w:val="22"/>
          <w:szCs w:val="22"/>
        </w:rPr>
        <w:t xml:space="preserve"> son los principales benefi</w:t>
      </w:r>
      <w:r w:rsidRPr="005557B3">
        <w:rPr>
          <w:rFonts w:ascii="Arial" w:hAnsi="Arial" w:cs="Arial"/>
          <w:sz w:val="22"/>
          <w:szCs w:val="22"/>
        </w:rPr>
        <w:t>ciarios de los ingresos generados por su propio patrimonio cultural inmaterial y que no son despojados de él</w:t>
      </w:r>
      <w:r w:rsidR="00DD457E">
        <w:rPr>
          <w:rFonts w:ascii="Arial" w:hAnsi="Arial" w:cs="Arial"/>
          <w:sz w:val="22"/>
          <w:szCs w:val="22"/>
        </w:rPr>
        <w:t>, en particular</w:t>
      </w:r>
      <w:r w:rsidRPr="0092706B">
        <w:rPr>
          <w:rFonts w:ascii="Arial" w:hAnsi="Arial" w:cs="Arial"/>
          <w:sz w:val="22"/>
          <w:szCs w:val="22"/>
        </w:rPr>
        <w:t xml:space="preserve"> </w:t>
      </w:r>
      <w:r w:rsidR="00DD457E">
        <w:rPr>
          <w:rFonts w:ascii="Arial" w:hAnsi="Arial" w:cs="Arial"/>
          <w:sz w:val="22"/>
          <w:szCs w:val="22"/>
        </w:rPr>
        <w:t>con el fin de</w:t>
      </w:r>
      <w:r w:rsidR="00DD457E" w:rsidRPr="0092706B">
        <w:rPr>
          <w:rFonts w:ascii="Arial" w:hAnsi="Arial" w:cs="Arial"/>
          <w:sz w:val="22"/>
          <w:szCs w:val="22"/>
        </w:rPr>
        <w:t xml:space="preserve"> </w:t>
      </w:r>
      <w:r w:rsidRPr="0092706B">
        <w:rPr>
          <w:rFonts w:ascii="Arial" w:hAnsi="Arial" w:cs="Arial"/>
          <w:sz w:val="22"/>
          <w:szCs w:val="22"/>
        </w:rPr>
        <w:t xml:space="preserve">generar </w:t>
      </w:r>
      <w:r w:rsidR="00DD457E">
        <w:rPr>
          <w:rFonts w:ascii="Arial" w:hAnsi="Arial" w:cs="Arial"/>
          <w:sz w:val="22"/>
          <w:szCs w:val="22"/>
        </w:rPr>
        <w:t>ingresos</w:t>
      </w:r>
      <w:r w:rsidR="00DD457E" w:rsidRPr="0092706B">
        <w:rPr>
          <w:rFonts w:ascii="Arial" w:hAnsi="Arial" w:cs="Arial"/>
          <w:sz w:val="22"/>
          <w:szCs w:val="22"/>
        </w:rPr>
        <w:t xml:space="preserve"> </w:t>
      </w:r>
      <w:r w:rsidRPr="0092706B">
        <w:rPr>
          <w:rFonts w:ascii="Arial" w:hAnsi="Arial" w:cs="Arial"/>
          <w:sz w:val="22"/>
          <w:szCs w:val="22"/>
        </w:rPr>
        <w:t>para otros.</w:t>
      </w:r>
    </w:p>
    <w:p w:rsidR="00D54F2A" w:rsidRPr="0092706B" w:rsidRDefault="00D54F2A" w:rsidP="00D54F2A">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lastRenderedPageBreak/>
        <w:t>VI.2.2</w:t>
      </w:r>
      <w:r w:rsidRPr="001C4C46">
        <w:rPr>
          <w:rFonts w:ascii="Arial" w:hAnsi="Arial" w:cs="Arial"/>
          <w:sz w:val="22"/>
          <w:szCs w:val="22"/>
        </w:rPr>
        <w:tab/>
      </w:r>
      <w:r w:rsidRPr="00410628">
        <w:rPr>
          <w:rFonts w:ascii="Arial" w:hAnsi="Arial" w:cs="Arial"/>
          <w:b/>
          <w:color w:val="000000"/>
          <w:sz w:val="22"/>
          <w:szCs w:val="22"/>
        </w:rPr>
        <w:t>Empleo productivo y trabajo decente</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92706B">
        <w:rPr>
          <w:rFonts w:ascii="Arial" w:hAnsi="Arial" w:cs="Arial"/>
          <w:sz w:val="22"/>
          <w:szCs w:val="22"/>
        </w:rPr>
        <w:t xml:space="preserve">Los Estados Partes velarán por reconocer, promover y </w:t>
      </w:r>
      <w:r w:rsidR="00B61CCB">
        <w:rPr>
          <w:rFonts w:ascii="Arial" w:hAnsi="Arial" w:cs="Arial"/>
          <w:sz w:val="22"/>
          <w:szCs w:val="22"/>
        </w:rPr>
        <w:t>valorizar</w:t>
      </w:r>
      <w:r w:rsidR="00B61CCB" w:rsidRPr="0092706B">
        <w:rPr>
          <w:rFonts w:ascii="Arial" w:hAnsi="Arial" w:cs="Arial"/>
          <w:sz w:val="22"/>
          <w:szCs w:val="22"/>
        </w:rPr>
        <w:t xml:space="preserve"> </w:t>
      </w:r>
      <w:r w:rsidRPr="0092706B">
        <w:rPr>
          <w:rFonts w:ascii="Arial" w:hAnsi="Arial" w:cs="Arial"/>
          <w:sz w:val="22"/>
          <w:szCs w:val="22"/>
        </w:rPr>
        <w:t>la con</w:t>
      </w:r>
      <w:r w:rsidRPr="005557B3">
        <w:rPr>
          <w:rFonts w:ascii="Arial" w:hAnsi="Arial" w:cs="Arial"/>
          <w:sz w:val="22"/>
          <w:szCs w:val="22"/>
        </w:rPr>
        <w:t xml:space="preserve">tribución del patrimonio cultural inmaterial al empleo productivo y al trabajo decente de las comunidades, grupos e individuos. Para ello, se invita a los Estados Partes a: </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promover metodologías de investigación y estudios científicos, incluyendo los realizados por las</w:t>
      </w:r>
      <w:r w:rsidR="00190BD4">
        <w:rPr>
          <w:rFonts w:ascii="Arial" w:hAnsi="Arial" w:cs="Arial"/>
          <w:sz w:val="22"/>
          <w:szCs w:val="22"/>
        </w:rPr>
        <w:t xml:space="preserve"> propias</w:t>
      </w:r>
      <w:r w:rsidRPr="0092706B">
        <w:rPr>
          <w:rFonts w:ascii="Arial" w:hAnsi="Arial" w:cs="Arial"/>
          <w:sz w:val="22"/>
          <w:szCs w:val="22"/>
        </w:rPr>
        <w:t xml:space="preserve"> comunidades y grupos, orientados a identificar y evaluar las oportunidades que el patrimonio cultural inmaterial ofrece en términos de empleo productivo y trabajo decente a las comunidades, grupos e individuos </w:t>
      </w:r>
      <w:r w:rsidR="00C506F5">
        <w:rPr>
          <w:rFonts w:ascii="Arial" w:hAnsi="Arial" w:cs="Arial"/>
          <w:sz w:val="22"/>
          <w:szCs w:val="22"/>
        </w:rPr>
        <w:t>interesados</w:t>
      </w:r>
      <w:r w:rsidRPr="0092706B">
        <w:rPr>
          <w:rFonts w:ascii="Arial" w:hAnsi="Arial" w:cs="Arial"/>
          <w:sz w:val="22"/>
          <w:szCs w:val="22"/>
        </w:rPr>
        <w:t xml:space="preserve">, prestando especial atención a su adaptabilidad a las circunstancias familiares y </w:t>
      </w:r>
      <w:r w:rsidR="00DD457E">
        <w:rPr>
          <w:rFonts w:ascii="Arial" w:hAnsi="Arial" w:cs="Arial"/>
          <w:sz w:val="22"/>
          <w:szCs w:val="22"/>
        </w:rPr>
        <w:t>domésticas</w:t>
      </w:r>
      <w:r w:rsidR="00DD457E" w:rsidRPr="0092706B">
        <w:rPr>
          <w:rFonts w:ascii="Arial" w:hAnsi="Arial" w:cs="Arial"/>
          <w:sz w:val="22"/>
          <w:szCs w:val="22"/>
        </w:rPr>
        <w:t xml:space="preserve"> </w:t>
      </w:r>
      <w:r w:rsidRPr="0092706B">
        <w:rPr>
          <w:rFonts w:ascii="Arial" w:hAnsi="Arial" w:cs="Arial"/>
          <w:sz w:val="22"/>
          <w:szCs w:val="22"/>
        </w:rPr>
        <w:t>y su relación con otras formas de empleo;</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adoptar las medidas de orden jurídico, técnico, administrativo y financiero</w:t>
      </w:r>
      <w:r w:rsidR="00DD457E">
        <w:rPr>
          <w:rFonts w:ascii="Arial" w:hAnsi="Arial" w:cs="Arial"/>
          <w:sz w:val="22"/>
          <w:szCs w:val="22"/>
        </w:rPr>
        <w:t xml:space="preserve"> adecuadas</w:t>
      </w:r>
      <w:r w:rsidRPr="0092706B">
        <w:rPr>
          <w:rFonts w:ascii="Arial" w:hAnsi="Arial" w:cs="Arial"/>
          <w:sz w:val="22"/>
          <w:szCs w:val="22"/>
        </w:rPr>
        <w:t>, incluyendo incentivos impositivos para:</w:t>
      </w:r>
    </w:p>
    <w:p w:rsidR="00D54F2A" w:rsidRPr="00410628"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 xml:space="preserve">promover el empleo productivo y el trabajo decente para las comunidades, grupos e individuos en la práctica y transmisión de su patrimonio cultural inmaterial, a la vez que se extienden beneficios y protección social a </w:t>
      </w:r>
      <w:r w:rsidR="00DD457E" w:rsidRPr="005557B3">
        <w:rPr>
          <w:rFonts w:ascii="Arial" w:hAnsi="Arial" w:cs="Arial"/>
          <w:sz w:val="22"/>
          <w:szCs w:val="22"/>
        </w:rPr>
        <w:t>dich</w:t>
      </w:r>
      <w:r w:rsidR="00DD457E">
        <w:rPr>
          <w:rFonts w:ascii="Arial" w:hAnsi="Arial" w:cs="Arial"/>
          <w:sz w:val="22"/>
          <w:szCs w:val="22"/>
        </w:rPr>
        <w:t>a</w:t>
      </w:r>
      <w:r w:rsidR="00DD457E" w:rsidRPr="0092706B">
        <w:rPr>
          <w:rFonts w:ascii="Arial" w:hAnsi="Arial" w:cs="Arial"/>
          <w:sz w:val="22"/>
          <w:szCs w:val="22"/>
        </w:rPr>
        <w:t xml:space="preserve">s </w:t>
      </w:r>
      <w:r w:rsidR="00DD457E" w:rsidRPr="002F1024">
        <w:rPr>
          <w:rFonts w:ascii="Arial" w:hAnsi="Arial" w:cs="Arial"/>
          <w:sz w:val="22"/>
          <w:szCs w:val="22"/>
        </w:rPr>
        <w:t>comunidades, grupos e individuos</w:t>
      </w:r>
      <w:r w:rsidRPr="001C4C46">
        <w:rPr>
          <w:rFonts w:ascii="Arial" w:hAnsi="Arial" w:cs="Arial"/>
          <w:sz w:val="22"/>
          <w:szCs w:val="22"/>
        </w:rPr>
        <w:t>;</w:t>
      </w:r>
    </w:p>
    <w:p w:rsidR="00D54F2A" w:rsidRPr="0092706B"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92706B">
        <w:rPr>
          <w:rFonts w:ascii="Arial" w:hAnsi="Arial" w:cs="Arial"/>
          <w:sz w:val="22"/>
          <w:szCs w:val="22"/>
        </w:rPr>
        <w:t xml:space="preserve">garantizar que las comunidades, grupos e individuos </w:t>
      </w:r>
      <w:r w:rsidR="00C506F5">
        <w:rPr>
          <w:rFonts w:ascii="Arial" w:hAnsi="Arial" w:cs="Arial"/>
          <w:sz w:val="22"/>
          <w:szCs w:val="22"/>
        </w:rPr>
        <w:t>interesados</w:t>
      </w:r>
      <w:r w:rsidRPr="0092706B">
        <w:rPr>
          <w:rFonts w:ascii="Arial" w:hAnsi="Arial" w:cs="Arial"/>
          <w:sz w:val="22"/>
          <w:szCs w:val="22"/>
        </w:rPr>
        <w:t xml:space="preserve"> son los principales beneficiarios de las oportunidades de empleo relacionadas con su propio patrimonio cultural inmaterial y que no son despojados de </w:t>
      </w:r>
      <w:r w:rsidR="00DD457E">
        <w:rPr>
          <w:rFonts w:ascii="Arial" w:hAnsi="Arial" w:cs="Arial"/>
          <w:sz w:val="22"/>
          <w:szCs w:val="22"/>
        </w:rPr>
        <w:t>él, en particular con el fin de crear empleo</w:t>
      </w:r>
      <w:r w:rsidRPr="0092706B">
        <w:rPr>
          <w:rFonts w:ascii="Arial" w:hAnsi="Arial" w:cs="Arial"/>
          <w:sz w:val="22"/>
          <w:szCs w:val="22"/>
        </w:rPr>
        <w:t xml:space="preserve"> para otros.</w:t>
      </w:r>
    </w:p>
    <w:p w:rsidR="00D54F2A" w:rsidRPr="0092706B" w:rsidRDefault="00D54F2A" w:rsidP="00D54F2A">
      <w:pPr>
        <w:keepNext/>
        <w:spacing w:before="360" w:after="120"/>
        <w:ind w:left="1701" w:hanging="1134"/>
        <w:jc w:val="both"/>
        <w:rPr>
          <w:rFonts w:ascii="Arial" w:hAnsi="Arial" w:cs="Arial"/>
          <w:b/>
          <w:color w:val="000000"/>
          <w:sz w:val="22"/>
          <w:szCs w:val="22"/>
        </w:rPr>
      </w:pPr>
      <w:r w:rsidRPr="005557B3">
        <w:rPr>
          <w:rFonts w:ascii="Arial" w:hAnsi="Arial" w:cs="Arial"/>
          <w:b/>
          <w:color w:val="000000"/>
          <w:sz w:val="22"/>
          <w:szCs w:val="22"/>
        </w:rPr>
        <w:t>VI.2.3</w:t>
      </w:r>
      <w:r w:rsidRPr="001C4C46">
        <w:rPr>
          <w:rFonts w:ascii="Arial" w:hAnsi="Arial" w:cs="Arial"/>
          <w:sz w:val="22"/>
          <w:szCs w:val="22"/>
        </w:rPr>
        <w:tab/>
      </w:r>
      <w:r w:rsidRPr="00410628">
        <w:rPr>
          <w:rFonts w:ascii="Arial" w:hAnsi="Arial" w:cs="Arial"/>
          <w:b/>
          <w:color w:val="000000"/>
          <w:sz w:val="22"/>
          <w:szCs w:val="22"/>
        </w:rPr>
        <w:t>Impacto del turismo en la salvaguardia del patrimonio cultural inmaterial y viceversa</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Los Estados Partes intentarán garantizar que toda actividad</w:t>
      </w:r>
      <w:r w:rsidRPr="001A298C">
        <w:rPr>
          <w:rFonts w:ascii="Arial" w:hAnsi="Arial" w:cs="Arial"/>
          <w:sz w:val="22"/>
          <w:szCs w:val="22"/>
        </w:rPr>
        <w:t xml:space="preserve"> relacionada con el turismo, ya sea estatal, pública</w:t>
      </w:r>
      <w:r w:rsidRPr="006B774A">
        <w:rPr>
          <w:rFonts w:ascii="Arial" w:hAnsi="Arial" w:cs="Arial"/>
          <w:sz w:val="22"/>
          <w:szCs w:val="22"/>
        </w:rPr>
        <w:t xml:space="preserve"> o privada, respete debidamente la salvaguardia del patrimonio cultural inmater</w:t>
      </w:r>
      <w:r w:rsidRPr="00C84753">
        <w:rPr>
          <w:rFonts w:ascii="Arial" w:hAnsi="Arial" w:cs="Arial"/>
          <w:sz w:val="22"/>
          <w:szCs w:val="22"/>
        </w:rPr>
        <w:t xml:space="preserve">ial presente en sus territorios, y los derechos, aspiraciones y deseos de las comunidades, grupos e individuos </w:t>
      </w:r>
      <w:r w:rsidR="00C506F5">
        <w:rPr>
          <w:rFonts w:ascii="Arial" w:hAnsi="Arial" w:cs="Arial"/>
          <w:sz w:val="22"/>
          <w:szCs w:val="22"/>
        </w:rPr>
        <w:t>interesados</w:t>
      </w:r>
      <w:r w:rsidRPr="0092706B">
        <w:rPr>
          <w:rFonts w:ascii="Arial" w:hAnsi="Arial" w:cs="Arial"/>
          <w:sz w:val="22"/>
          <w:szCs w:val="22"/>
        </w:rPr>
        <w:t>. Para ello, se invita a los Estados Partes 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evaluar, en términos generales y específicos, el potencial del patrimonio cultural inmaterial para el turismo sostenible, y el impacto del turismo en el patrimonio cultural inmaterial y en el desarrollo sostenible de las comunidades, grupos e individuos </w:t>
      </w:r>
      <w:r w:rsidR="00C506F5">
        <w:rPr>
          <w:rFonts w:ascii="Arial" w:hAnsi="Arial" w:cs="Arial"/>
          <w:sz w:val="22"/>
          <w:szCs w:val="22"/>
        </w:rPr>
        <w:t>interesados</w:t>
      </w:r>
      <w:r w:rsidRPr="0092706B">
        <w:rPr>
          <w:rFonts w:ascii="Arial" w:hAnsi="Arial" w:cs="Arial"/>
          <w:sz w:val="22"/>
          <w:szCs w:val="22"/>
        </w:rPr>
        <w:t xml:space="preserve">, prestando especial atención a </w:t>
      </w:r>
      <w:r w:rsidR="00DD457E">
        <w:rPr>
          <w:rFonts w:ascii="Arial" w:hAnsi="Arial" w:cs="Arial"/>
          <w:sz w:val="22"/>
          <w:szCs w:val="22"/>
        </w:rPr>
        <w:t xml:space="preserve">anticipar posibles repercusiones </w:t>
      </w:r>
      <w:r w:rsidRPr="0092706B">
        <w:rPr>
          <w:rFonts w:ascii="Arial" w:hAnsi="Arial" w:cs="Arial"/>
          <w:sz w:val="22"/>
          <w:szCs w:val="22"/>
        </w:rPr>
        <w:t xml:space="preserve">antes de </w:t>
      </w:r>
      <w:r w:rsidR="00DD457E">
        <w:rPr>
          <w:rFonts w:ascii="Arial" w:hAnsi="Arial" w:cs="Arial"/>
          <w:sz w:val="22"/>
          <w:szCs w:val="22"/>
        </w:rPr>
        <w:t>iniciar</w:t>
      </w:r>
      <w:r w:rsidR="00DD457E" w:rsidRPr="0092706B">
        <w:rPr>
          <w:rFonts w:ascii="Arial" w:hAnsi="Arial" w:cs="Arial"/>
          <w:sz w:val="22"/>
          <w:szCs w:val="22"/>
        </w:rPr>
        <w:t xml:space="preserve"> </w:t>
      </w:r>
      <w:r w:rsidRPr="0092706B">
        <w:rPr>
          <w:rFonts w:ascii="Arial" w:hAnsi="Arial" w:cs="Arial"/>
          <w:sz w:val="22"/>
          <w:szCs w:val="22"/>
        </w:rPr>
        <w:t>las actividades;</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adoptar las medidas de orden jurídico, técnico, administrativo y financiero </w:t>
      </w:r>
      <w:r w:rsidR="006C3C5F">
        <w:rPr>
          <w:rFonts w:ascii="Arial" w:hAnsi="Arial" w:cs="Arial"/>
          <w:sz w:val="22"/>
          <w:szCs w:val="22"/>
        </w:rPr>
        <w:t xml:space="preserve">adecuadas </w:t>
      </w:r>
      <w:r w:rsidRPr="0092706B">
        <w:rPr>
          <w:rFonts w:ascii="Arial" w:hAnsi="Arial" w:cs="Arial"/>
          <w:sz w:val="22"/>
          <w:szCs w:val="22"/>
        </w:rPr>
        <w:t>para:</w:t>
      </w:r>
    </w:p>
    <w:p w:rsidR="00D54F2A" w:rsidRPr="005557B3"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 xml:space="preserve">garantizar que las comunidades, grupos e individuos </w:t>
      </w:r>
      <w:r w:rsidR="00C506F5">
        <w:rPr>
          <w:rFonts w:ascii="Arial" w:hAnsi="Arial" w:cs="Arial"/>
          <w:sz w:val="22"/>
          <w:szCs w:val="22"/>
        </w:rPr>
        <w:t>interesados</w:t>
      </w:r>
      <w:r w:rsidRPr="0092706B">
        <w:rPr>
          <w:rFonts w:ascii="Arial" w:hAnsi="Arial" w:cs="Arial"/>
          <w:sz w:val="22"/>
          <w:szCs w:val="22"/>
        </w:rPr>
        <w:t xml:space="preserve"> </w:t>
      </w:r>
      <w:r w:rsidR="00DD457E">
        <w:rPr>
          <w:rFonts w:ascii="Arial" w:hAnsi="Arial" w:cs="Arial"/>
          <w:sz w:val="22"/>
          <w:szCs w:val="22"/>
        </w:rPr>
        <w:t>sean</w:t>
      </w:r>
      <w:r w:rsidR="00DD457E" w:rsidRPr="0092706B">
        <w:rPr>
          <w:rFonts w:ascii="Arial" w:hAnsi="Arial" w:cs="Arial"/>
          <w:sz w:val="22"/>
          <w:szCs w:val="22"/>
        </w:rPr>
        <w:t xml:space="preserve"> </w:t>
      </w:r>
      <w:r w:rsidRPr="0092706B">
        <w:rPr>
          <w:rFonts w:ascii="Arial" w:hAnsi="Arial" w:cs="Arial"/>
          <w:sz w:val="22"/>
          <w:szCs w:val="22"/>
        </w:rPr>
        <w:t xml:space="preserve">los </w:t>
      </w:r>
      <w:r w:rsidR="00DD457E">
        <w:rPr>
          <w:rFonts w:ascii="Arial" w:hAnsi="Arial" w:cs="Arial"/>
          <w:sz w:val="22"/>
          <w:szCs w:val="22"/>
        </w:rPr>
        <w:t>principales</w:t>
      </w:r>
      <w:r w:rsidR="00DD457E" w:rsidRPr="0092706B">
        <w:rPr>
          <w:rFonts w:ascii="Arial" w:hAnsi="Arial" w:cs="Arial"/>
          <w:sz w:val="22"/>
          <w:szCs w:val="22"/>
        </w:rPr>
        <w:t xml:space="preserve"> </w:t>
      </w:r>
      <w:r w:rsidRPr="0092706B">
        <w:rPr>
          <w:rFonts w:ascii="Arial" w:hAnsi="Arial" w:cs="Arial"/>
          <w:sz w:val="22"/>
          <w:szCs w:val="22"/>
        </w:rPr>
        <w:t xml:space="preserve">beneficiarios </w:t>
      </w:r>
      <w:r w:rsidR="00DD457E">
        <w:rPr>
          <w:rFonts w:ascii="Arial" w:hAnsi="Arial" w:cs="Arial"/>
          <w:sz w:val="22"/>
          <w:szCs w:val="22"/>
        </w:rPr>
        <w:t>de cualquier</w:t>
      </w:r>
      <w:r w:rsidR="00DD457E" w:rsidRPr="0092706B">
        <w:rPr>
          <w:rFonts w:ascii="Arial" w:hAnsi="Arial" w:cs="Arial"/>
          <w:sz w:val="22"/>
          <w:szCs w:val="22"/>
        </w:rPr>
        <w:t xml:space="preserve"> </w:t>
      </w:r>
      <w:r w:rsidRPr="0092706B">
        <w:rPr>
          <w:rFonts w:ascii="Arial" w:hAnsi="Arial" w:cs="Arial"/>
          <w:sz w:val="22"/>
          <w:szCs w:val="22"/>
        </w:rPr>
        <w:t xml:space="preserve">turismo relacionado con su patrimonio cultural inmaterial a la vez que se promueve su </w:t>
      </w:r>
      <w:r w:rsidR="00DD457E">
        <w:rPr>
          <w:rFonts w:ascii="Arial" w:hAnsi="Arial" w:cs="Arial"/>
          <w:sz w:val="22"/>
          <w:szCs w:val="22"/>
        </w:rPr>
        <w:t>liderazgo</w:t>
      </w:r>
      <w:r w:rsidR="00DD457E" w:rsidRPr="0092706B">
        <w:rPr>
          <w:rFonts w:ascii="Arial" w:hAnsi="Arial" w:cs="Arial"/>
          <w:sz w:val="22"/>
          <w:szCs w:val="22"/>
        </w:rPr>
        <w:t xml:space="preserve"> </w:t>
      </w:r>
      <w:r w:rsidRPr="0092706B">
        <w:rPr>
          <w:rFonts w:ascii="Arial" w:hAnsi="Arial" w:cs="Arial"/>
          <w:sz w:val="22"/>
          <w:szCs w:val="22"/>
        </w:rPr>
        <w:t>en la gestión de dicho turismo;</w:t>
      </w:r>
    </w:p>
    <w:p w:rsidR="00D54F2A" w:rsidRPr="0092706B"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garantizar que la viabilidad, las funciones sociales y significados culturales del patrimonio no sean</w:t>
      </w:r>
      <w:r w:rsidR="00DD457E">
        <w:rPr>
          <w:rFonts w:ascii="Arial" w:hAnsi="Arial" w:cs="Arial"/>
          <w:sz w:val="22"/>
          <w:szCs w:val="22"/>
        </w:rPr>
        <w:t>, en modo alguno,</w:t>
      </w:r>
      <w:r w:rsidRPr="0092706B">
        <w:rPr>
          <w:rFonts w:ascii="Arial" w:hAnsi="Arial" w:cs="Arial"/>
          <w:sz w:val="22"/>
          <w:szCs w:val="22"/>
        </w:rPr>
        <w:t xml:space="preserve"> disminuidos o amenazados por el turismo;</w:t>
      </w:r>
    </w:p>
    <w:p w:rsidR="00D54F2A" w:rsidRPr="005557B3"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guiar las intervenciones de las personas o grupos involucrados en la industria turística y el comportamiento de los turistas.</w:t>
      </w:r>
    </w:p>
    <w:p w:rsidR="00D54F2A" w:rsidRPr="0092706B" w:rsidRDefault="00D54F2A" w:rsidP="00D54F2A">
      <w:pPr>
        <w:keepNext/>
        <w:spacing w:before="360" w:after="120"/>
        <w:ind w:left="567" w:hanging="567"/>
        <w:jc w:val="both"/>
        <w:rPr>
          <w:rFonts w:ascii="Arial" w:hAnsi="Arial" w:cs="Arial"/>
          <w:b/>
        </w:rPr>
      </w:pPr>
      <w:r w:rsidRPr="005557B3">
        <w:rPr>
          <w:rFonts w:ascii="Arial" w:hAnsi="Arial" w:cs="Arial"/>
          <w:b/>
        </w:rPr>
        <w:t>VI.3</w:t>
      </w:r>
      <w:r w:rsidRPr="001C4C46">
        <w:rPr>
          <w:rFonts w:ascii="Arial" w:hAnsi="Arial" w:cs="Arial"/>
        </w:rPr>
        <w:tab/>
      </w:r>
      <w:r w:rsidRPr="0092706B">
        <w:rPr>
          <w:rFonts w:ascii="Arial" w:hAnsi="Arial" w:cs="Arial"/>
          <w:b/>
        </w:rPr>
        <w:t>Sostenibilidad ambiental</w:t>
      </w:r>
    </w:p>
    <w:p w:rsidR="00D54F2A" w:rsidRPr="00410628"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410628">
        <w:rPr>
          <w:rFonts w:ascii="Arial" w:hAnsi="Arial" w:cs="Arial"/>
          <w:sz w:val="22"/>
          <w:szCs w:val="22"/>
        </w:rPr>
        <w:t>Se invita a los Estados Partes a reconocer el aporte de la salvaguardia del patrimonio cult</w:t>
      </w:r>
      <w:r w:rsidRPr="0092706B">
        <w:rPr>
          <w:rFonts w:ascii="Arial" w:hAnsi="Arial" w:cs="Arial"/>
          <w:sz w:val="22"/>
          <w:szCs w:val="22"/>
        </w:rPr>
        <w:t xml:space="preserve">ural inmaterial a la sostenibilidad ambiental, y a </w:t>
      </w:r>
      <w:r w:rsidRPr="004B27A9">
        <w:rPr>
          <w:rFonts w:ascii="Arial" w:hAnsi="Arial" w:cs="Arial"/>
          <w:sz w:val="22"/>
          <w:szCs w:val="22"/>
        </w:rPr>
        <w:t xml:space="preserve">reconocer que la sostenibilidad ambiental requiere un clima estable, </w:t>
      </w:r>
      <w:r w:rsidR="004B27A9">
        <w:rPr>
          <w:rFonts w:ascii="Arial" w:hAnsi="Arial" w:cs="Arial"/>
          <w:sz w:val="22"/>
          <w:szCs w:val="22"/>
        </w:rPr>
        <w:t xml:space="preserve">unos </w:t>
      </w:r>
      <w:r w:rsidRPr="004B27A9">
        <w:rPr>
          <w:rFonts w:ascii="Arial" w:hAnsi="Arial" w:cs="Arial"/>
          <w:sz w:val="22"/>
          <w:szCs w:val="22"/>
        </w:rPr>
        <w:t xml:space="preserve">recursos naturales gestionados de forma </w:t>
      </w:r>
      <w:r w:rsidR="004B27A9">
        <w:rPr>
          <w:rFonts w:ascii="Arial" w:hAnsi="Arial" w:cs="Arial"/>
          <w:sz w:val="22"/>
          <w:szCs w:val="22"/>
        </w:rPr>
        <w:t>sostenible</w:t>
      </w:r>
      <w:r w:rsidRPr="004B27A9">
        <w:rPr>
          <w:rFonts w:ascii="Arial" w:hAnsi="Arial" w:cs="Arial"/>
          <w:sz w:val="22"/>
          <w:szCs w:val="22"/>
        </w:rPr>
        <w:t>, y la protección de la</w:t>
      </w:r>
      <w:r w:rsidRPr="0092706B">
        <w:rPr>
          <w:rFonts w:ascii="Arial" w:hAnsi="Arial" w:cs="Arial"/>
          <w:sz w:val="22"/>
          <w:szCs w:val="22"/>
        </w:rPr>
        <w:t xml:space="preserve"> biodiversidad, que a su vez dependen de </w:t>
      </w:r>
      <w:r w:rsidR="004B27A9">
        <w:rPr>
          <w:rFonts w:ascii="Arial" w:hAnsi="Arial" w:cs="Arial"/>
          <w:sz w:val="22"/>
          <w:szCs w:val="22"/>
        </w:rPr>
        <w:t xml:space="preserve">mejorar la </w:t>
      </w:r>
      <w:r w:rsidRPr="0092706B">
        <w:rPr>
          <w:rFonts w:ascii="Arial" w:hAnsi="Arial" w:cs="Arial"/>
          <w:sz w:val="22"/>
          <w:szCs w:val="22"/>
        </w:rPr>
        <w:t xml:space="preserve">comprensión científica y </w:t>
      </w:r>
      <w:r w:rsidRPr="004B27A9">
        <w:rPr>
          <w:rFonts w:ascii="Arial" w:hAnsi="Arial" w:cs="Arial"/>
          <w:sz w:val="22"/>
          <w:szCs w:val="22"/>
        </w:rPr>
        <w:t xml:space="preserve">el intercambio de conocimientos </w:t>
      </w:r>
      <w:r w:rsidR="004B27A9">
        <w:rPr>
          <w:rFonts w:ascii="Arial" w:hAnsi="Arial" w:cs="Arial"/>
          <w:sz w:val="22"/>
          <w:szCs w:val="22"/>
        </w:rPr>
        <w:t>sobre</w:t>
      </w:r>
      <w:r w:rsidRPr="0092706B">
        <w:rPr>
          <w:rFonts w:ascii="Arial" w:hAnsi="Arial" w:cs="Arial"/>
          <w:sz w:val="22"/>
          <w:szCs w:val="22"/>
        </w:rPr>
        <w:t xml:space="preserve"> </w:t>
      </w:r>
      <w:r w:rsidR="004B27A9">
        <w:rPr>
          <w:rFonts w:ascii="Arial" w:hAnsi="Arial" w:cs="Arial"/>
          <w:sz w:val="22"/>
          <w:szCs w:val="22"/>
        </w:rPr>
        <w:t xml:space="preserve">el </w:t>
      </w:r>
      <w:r w:rsidRPr="0092706B">
        <w:rPr>
          <w:rFonts w:ascii="Arial" w:hAnsi="Arial" w:cs="Arial"/>
          <w:sz w:val="22"/>
          <w:szCs w:val="22"/>
        </w:rPr>
        <w:t xml:space="preserve">cambio climático, </w:t>
      </w:r>
      <w:r w:rsidR="004B27A9">
        <w:rPr>
          <w:rFonts w:ascii="Arial" w:hAnsi="Arial" w:cs="Arial"/>
          <w:sz w:val="22"/>
          <w:szCs w:val="22"/>
        </w:rPr>
        <w:t xml:space="preserve">los </w:t>
      </w:r>
      <w:r w:rsidRPr="0092706B">
        <w:rPr>
          <w:rFonts w:ascii="Arial" w:hAnsi="Arial" w:cs="Arial"/>
          <w:sz w:val="22"/>
          <w:szCs w:val="22"/>
        </w:rPr>
        <w:lastRenderedPageBreak/>
        <w:t xml:space="preserve">peligros naturales, los límites de los recursos ambientales y naturales, y que </w:t>
      </w:r>
      <w:r w:rsidR="00BB0445">
        <w:rPr>
          <w:rFonts w:ascii="Arial" w:hAnsi="Arial" w:cs="Arial"/>
          <w:sz w:val="22"/>
          <w:szCs w:val="22"/>
        </w:rPr>
        <w:t xml:space="preserve"> </w:t>
      </w:r>
      <w:r w:rsidR="00BB0445" w:rsidRPr="0092706B">
        <w:rPr>
          <w:rFonts w:ascii="Arial" w:hAnsi="Arial" w:cs="Arial"/>
          <w:sz w:val="22"/>
          <w:szCs w:val="22"/>
        </w:rPr>
        <w:t>ref</w:t>
      </w:r>
      <w:r w:rsidR="00BB0445" w:rsidRPr="00BB0445">
        <w:rPr>
          <w:rFonts w:ascii="Arial" w:hAnsi="Arial" w:cs="Arial"/>
          <w:sz w:val="22"/>
          <w:szCs w:val="22"/>
        </w:rPr>
        <w:t>orza</w:t>
      </w:r>
      <w:r w:rsidR="00BB0445">
        <w:rPr>
          <w:rFonts w:ascii="Arial" w:hAnsi="Arial" w:cs="Arial"/>
          <w:sz w:val="22"/>
          <w:szCs w:val="22"/>
        </w:rPr>
        <w:t>r</w:t>
      </w:r>
      <w:r w:rsidR="00BB0445" w:rsidRPr="001C4C46">
        <w:rPr>
          <w:rFonts w:ascii="Arial" w:hAnsi="Arial" w:cs="Arial"/>
          <w:sz w:val="22"/>
          <w:szCs w:val="22"/>
        </w:rPr>
        <w:t xml:space="preserve"> </w:t>
      </w:r>
      <w:r w:rsidRPr="001C4C46">
        <w:rPr>
          <w:rFonts w:ascii="Arial" w:hAnsi="Arial" w:cs="Arial"/>
          <w:sz w:val="22"/>
          <w:szCs w:val="22"/>
        </w:rPr>
        <w:t xml:space="preserve">la </w:t>
      </w:r>
      <w:r w:rsidR="00BB0445">
        <w:rPr>
          <w:rFonts w:ascii="Arial" w:hAnsi="Arial" w:cs="Arial"/>
          <w:sz w:val="22"/>
          <w:szCs w:val="22"/>
        </w:rPr>
        <w:t xml:space="preserve">capacidad de </w:t>
      </w:r>
      <w:r w:rsidRPr="001C4C46">
        <w:rPr>
          <w:rFonts w:ascii="Arial" w:hAnsi="Arial" w:cs="Arial"/>
          <w:sz w:val="22"/>
          <w:szCs w:val="22"/>
        </w:rPr>
        <w:t>resistencia de las poblaciones vulnerables frente al cambio climático y a los desastres naturales es esencial.</w:t>
      </w:r>
    </w:p>
    <w:p w:rsidR="00D54F2A" w:rsidRPr="0092706B" w:rsidRDefault="00D54F2A" w:rsidP="001C4C46">
      <w:pPr>
        <w:keepNext/>
        <w:spacing w:before="360" w:after="120"/>
        <w:ind w:firstLine="567"/>
        <w:jc w:val="both"/>
        <w:rPr>
          <w:rFonts w:ascii="Arial" w:hAnsi="Arial" w:cs="Arial"/>
          <w:b/>
          <w:color w:val="000000"/>
          <w:sz w:val="22"/>
          <w:szCs w:val="22"/>
        </w:rPr>
      </w:pPr>
      <w:r w:rsidRPr="0092706B">
        <w:rPr>
          <w:rFonts w:ascii="Arial" w:hAnsi="Arial" w:cs="Arial"/>
          <w:b/>
          <w:color w:val="000000"/>
          <w:sz w:val="22"/>
          <w:szCs w:val="22"/>
        </w:rPr>
        <w:t>VI.3.1</w:t>
      </w:r>
      <w:r w:rsidRPr="001C4C46">
        <w:rPr>
          <w:rFonts w:ascii="Arial" w:hAnsi="Arial" w:cs="Arial"/>
          <w:sz w:val="22"/>
          <w:szCs w:val="22"/>
        </w:rPr>
        <w:tab/>
      </w:r>
      <w:r w:rsidRPr="0092706B">
        <w:rPr>
          <w:rFonts w:ascii="Arial" w:hAnsi="Arial" w:cs="Arial"/>
          <w:b/>
          <w:color w:val="000000"/>
          <w:sz w:val="22"/>
          <w:szCs w:val="22"/>
        </w:rPr>
        <w:t>Conocimientos</w:t>
      </w:r>
      <w:r w:rsidRPr="00410628">
        <w:rPr>
          <w:rFonts w:ascii="Arial" w:hAnsi="Arial" w:cs="Arial"/>
          <w:b/>
          <w:color w:val="000000"/>
          <w:sz w:val="22"/>
          <w:szCs w:val="22"/>
        </w:rPr>
        <w:t xml:space="preserve"> y </w:t>
      </w:r>
      <w:r w:rsidR="0079548D">
        <w:rPr>
          <w:rFonts w:ascii="Arial" w:hAnsi="Arial" w:cs="Arial"/>
          <w:b/>
          <w:color w:val="000000"/>
          <w:sz w:val="22"/>
          <w:szCs w:val="22"/>
        </w:rPr>
        <w:t>usos relacionados con</w:t>
      </w:r>
      <w:r w:rsidRPr="00410628">
        <w:rPr>
          <w:rFonts w:ascii="Arial" w:hAnsi="Arial" w:cs="Arial"/>
          <w:b/>
          <w:color w:val="000000"/>
          <w:sz w:val="22"/>
          <w:szCs w:val="22"/>
        </w:rPr>
        <w:t xml:space="preserve"> la naturaleza y el universo</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Los Estados Partes velarán por el reconocimiento de, el respeto por, el intercambio y </w:t>
      </w:r>
      <w:r w:rsidR="0079548D">
        <w:rPr>
          <w:rFonts w:ascii="Arial" w:hAnsi="Arial" w:cs="Arial"/>
          <w:sz w:val="22"/>
          <w:szCs w:val="22"/>
        </w:rPr>
        <w:t>la valorización</w:t>
      </w:r>
      <w:r w:rsidRPr="0092706B">
        <w:rPr>
          <w:rFonts w:ascii="Arial" w:hAnsi="Arial" w:cs="Arial"/>
          <w:sz w:val="22"/>
          <w:szCs w:val="22"/>
        </w:rPr>
        <w:t xml:space="preserve"> de</w:t>
      </w:r>
      <w:r w:rsidR="0079548D">
        <w:rPr>
          <w:rFonts w:ascii="Arial" w:hAnsi="Arial" w:cs="Arial"/>
          <w:sz w:val="22"/>
          <w:szCs w:val="22"/>
        </w:rPr>
        <w:t xml:space="preserve"> </w:t>
      </w:r>
      <w:r w:rsidRPr="0092706B">
        <w:rPr>
          <w:rFonts w:ascii="Arial" w:hAnsi="Arial" w:cs="Arial"/>
          <w:sz w:val="22"/>
          <w:szCs w:val="22"/>
        </w:rPr>
        <w:t>l</w:t>
      </w:r>
      <w:r w:rsidR="0079548D">
        <w:rPr>
          <w:rFonts w:ascii="Arial" w:hAnsi="Arial" w:cs="Arial"/>
          <w:sz w:val="22"/>
          <w:szCs w:val="22"/>
        </w:rPr>
        <w:t>os</w:t>
      </w:r>
      <w:r w:rsidRPr="0092706B">
        <w:rPr>
          <w:rFonts w:ascii="Arial" w:hAnsi="Arial" w:cs="Arial"/>
          <w:sz w:val="22"/>
          <w:szCs w:val="22"/>
        </w:rPr>
        <w:t xml:space="preserve"> conocimiento y </w:t>
      </w:r>
      <w:r w:rsidR="0079548D">
        <w:rPr>
          <w:rFonts w:ascii="Arial" w:hAnsi="Arial" w:cs="Arial"/>
          <w:sz w:val="22"/>
          <w:szCs w:val="22"/>
        </w:rPr>
        <w:t>usos relacionados con</w:t>
      </w:r>
      <w:r w:rsidRPr="0092706B">
        <w:rPr>
          <w:rFonts w:ascii="Arial" w:hAnsi="Arial" w:cs="Arial"/>
          <w:sz w:val="22"/>
          <w:szCs w:val="22"/>
        </w:rPr>
        <w:t xml:space="preserve"> naturaleza y el universo reconocidos por las comunidades, grupos</w:t>
      </w:r>
      <w:r w:rsidRPr="005557B3">
        <w:rPr>
          <w:rFonts w:ascii="Arial" w:hAnsi="Arial" w:cs="Arial"/>
          <w:sz w:val="22"/>
          <w:szCs w:val="22"/>
        </w:rPr>
        <w:t xml:space="preserve"> y</w:t>
      </w:r>
      <w:r w:rsidR="0079548D">
        <w:rPr>
          <w:rFonts w:ascii="Arial" w:hAnsi="Arial" w:cs="Arial"/>
          <w:sz w:val="22"/>
          <w:szCs w:val="22"/>
        </w:rPr>
        <w:t>,</w:t>
      </w:r>
      <w:r w:rsidRPr="0092706B">
        <w:rPr>
          <w:rFonts w:ascii="Arial" w:hAnsi="Arial" w:cs="Arial"/>
          <w:sz w:val="22"/>
          <w:szCs w:val="22"/>
        </w:rPr>
        <w:t xml:space="preserve"> en ciertos casos, individuos, como parte de su patrimonio cultural inmaterial y que </w:t>
      </w:r>
      <w:r w:rsidR="0079548D" w:rsidRPr="005557B3">
        <w:rPr>
          <w:rFonts w:ascii="Arial" w:hAnsi="Arial" w:cs="Arial"/>
          <w:sz w:val="22"/>
          <w:szCs w:val="22"/>
        </w:rPr>
        <w:t>contribuy</w:t>
      </w:r>
      <w:r w:rsidR="0079548D">
        <w:rPr>
          <w:rFonts w:ascii="Arial" w:hAnsi="Arial" w:cs="Arial"/>
          <w:sz w:val="22"/>
          <w:szCs w:val="22"/>
        </w:rPr>
        <w:t>e</w:t>
      </w:r>
      <w:r w:rsidR="0079548D" w:rsidRPr="0092706B">
        <w:rPr>
          <w:rFonts w:ascii="Arial" w:hAnsi="Arial" w:cs="Arial"/>
          <w:sz w:val="22"/>
          <w:szCs w:val="22"/>
        </w:rPr>
        <w:t xml:space="preserve">n </w:t>
      </w:r>
      <w:r w:rsidRPr="0092706B">
        <w:rPr>
          <w:rFonts w:ascii="Arial" w:hAnsi="Arial" w:cs="Arial"/>
          <w:sz w:val="22"/>
          <w:szCs w:val="22"/>
        </w:rPr>
        <w:t>a la sostenibilidad ambiental, reconociendo</w:t>
      </w:r>
      <w:r w:rsidRPr="005557B3">
        <w:rPr>
          <w:rFonts w:ascii="Arial" w:hAnsi="Arial" w:cs="Arial"/>
          <w:sz w:val="22"/>
          <w:szCs w:val="22"/>
        </w:rPr>
        <w:t xml:space="preserve"> su capacidad </w:t>
      </w:r>
      <w:r w:rsidR="0079548D">
        <w:rPr>
          <w:rFonts w:ascii="Arial" w:hAnsi="Arial" w:cs="Arial"/>
          <w:sz w:val="22"/>
          <w:szCs w:val="22"/>
        </w:rPr>
        <w:t>de</w:t>
      </w:r>
      <w:r w:rsidR="0079548D" w:rsidRPr="0092706B">
        <w:rPr>
          <w:rFonts w:ascii="Arial" w:hAnsi="Arial" w:cs="Arial"/>
          <w:sz w:val="22"/>
          <w:szCs w:val="22"/>
        </w:rPr>
        <w:t xml:space="preserve"> </w:t>
      </w:r>
      <w:r w:rsidRPr="0092706B">
        <w:rPr>
          <w:rFonts w:ascii="Arial" w:hAnsi="Arial" w:cs="Arial"/>
          <w:sz w:val="22"/>
          <w:szCs w:val="22"/>
        </w:rPr>
        <w:t>evolucionar, aprovechando su rol potencial en la protección de la biodiversidad y en la gestión sostenible de los recursos naturales. Para ello, se invita a los Estados Partes 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reconocer a las comunidades, grupos e individuos</w:t>
      </w:r>
      <w:r w:rsidR="0079548D">
        <w:rPr>
          <w:rFonts w:ascii="Arial" w:hAnsi="Arial" w:cs="Arial"/>
          <w:sz w:val="22"/>
          <w:szCs w:val="22"/>
        </w:rPr>
        <w:t xml:space="preserve"> como</w:t>
      </w:r>
      <w:r w:rsidRPr="0092706B">
        <w:rPr>
          <w:rFonts w:ascii="Arial" w:hAnsi="Arial" w:cs="Arial"/>
          <w:sz w:val="22"/>
          <w:szCs w:val="22"/>
        </w:rPr>
        <w:t xml:space="preserve"> portadores de conocimiento</w:t>
      </w:r>
      <w:r w:rsidR="0079548D">
        <w:rPr>
          <w:rFonts w:ascii="Arial" w:hAnsi="Arial" w:cs="Arial"/>
          <w:sz w:val="22"/>
          <w:szCs w:val="22"/>
        </w:rPr>
        <w:t>s</w:t>
      </w:r>
      <w:r w:rsidRPr="0092706B">
        <w:rPr>
          <w:rFonts w:ascii="Arial" w:hAnsi="Arial" w:cs="Arial"/>
          <w:sz w:val="22"/>
          <w:szCs w:val="22"/>
        </w:rPr>
        <w:t xml:space="preserve"> </w:t>
      </w:r>
      <w:r w:rsidR="0079548D">
        <w:rPr>
          <w:rFonts w:ascii="Arial" w:hAnsi="Arial" w:cs="Arial"/>
          <w:sz w:val="22"/>
          <w:szCs w:val="22"/>
        </w:rPr>
        <w:t>relacionados con</w:t>
      </w:r>
      <w:r w:rsidR="0079548D" w:rsidRPr="0092706B">
        <w:rPr>
          <w:rFonts w:ascii="Arial" w:hAnsi="Arial" w:cs="Arial"/>
          <w:sz w:val="22"/>
          <w:szCs w:val="22"/>
        </w:rPr>
        <w:t xml:space="preserve"> </w:t>
      </w:r>
      <w:r w:rsidRPr="0092706B">
        <w:rPr>
          <w:rFonts w:ascii="Arial" w:hAnsi="Arial" w:cs="Arial"/>
          <w:sz w:val="22"/>
          <w:szCs w:val="22"/>
        </w:rPr>
        <w:t xml:space="preserve">la naturaleza y el universo </w:t>
      </w:r>
      <w:r w:rsidR="0079548D">
        <w:rPr>
          <w:rFonts w:ascii="Arial" w:hAnsi="Arial" w:cs="Arial"/>
          <w:sz w:val="22"/>
          <w:szCs w:val="22"/>
        </w:rPr>
        <w:t xml:space="preserve">y </w:t>
      </w:r>
      <w:r w:rsidRPr="0092706B">
        <w:rPr>
          <w:rFonts w:ascii="Arial" w:hAnsi="Arial" w:cs="Arial"/>
          <w:sz w:val="22"/>
          <w:szCs w:val="22"/>
        </w:rPr>
        <w:t>como actores esenciales en la sostenibilidad del medioambiente;</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promover metodologías de investigación y estudios científicos, incluyendo los realizados por las </w:t>
      </w:r>
      <w:r w:rsidR="00190BD4">
        <w:rPr>
          <w:rFonts w:ascii="Arial" w:hAnsi="Arial" w:cs="Arial"/>
          <w:sz w:val="22"/>
          <w:szCs w:val="22"/>
        </w:rPr>
        <w:t xml:space="preserve">propias </w:t>
      </w:r>
      <w:r w:rsidRPr="0092706B">
        <w:rPr>
          <w:rFonts w:ascii="Arial" w:hAnsi="Arial" w:cs="Arial"/>
          <w:sz w:val="22"/>
          <w:szCs w:val="22"/>
        </w:rPr>
        <w:t>comunidades y grupos, orientados a comprender los sistemas de conservación de la biodiversidad</w:t>
      </w:r>
      <w:r w:rsidR="0079548D">
        <w:rPr>
          <w:rFonts w:ascii="Arial" w:hAnsi="Arial" w:cs="Arial"/>
          <w:sz w:val="22"/>
          <w:szCs w:val="22"/>
        </w:rPr>
        <w:t>, de gestión de los recursos naturales y de utilización sostenible de los recursos, que son</w:t>
      </w:r>
      <w:r w:rsidRPr="0092706B">
        <w:rPr>
          <w:rFonts w:ascii="Arial" w:hAnsi="Arial" w:cs="Arial"/>
          <w:sz w:val="22"/>
          <w:szCs w:val="22"/>
        </w:rPr>
        <w:t xml:space="preserve"> reconocidos por comunidades, grupos</w:t>
      </w:r>
      <w:r w:rsidRPr="005557B3">
        <w:rPr>
          <w:rFonts w:ascii="Arial" w:hAnsi="Arial" w:cs="Arial"/>
          <w:sz w:val="22"/>
          <w:szCs w:val="22"/>
        </w:rPr>
        <w:t xml:space="preserve"> y</w:t>
      </w:r>
      <w:r w:rsidR="009D0C5C">
        <w:rPr>
          <w:rFonts w:ascii="Arial" w:hAnsi="Arial" w:cs="Arial"/>
          <w:sz w:val="22"/>
          <w:szCs w:val="22"/>
        </w:rPr>
        <w:t>,</w:t>
      </w:r>
      <w:r w:rsidRPr="0092706B">
        <w:rPr>
          <w:rFonts w:ascii="Arial" w:hAnsi="Arial" w:cs="Arial"/>
          <w:sz w:val="22"/>
          <w:szCs w:val="22"/>
        </w:rPr>
        <w:t xml:space="preserve"> en </w:t>
      </w:r>
      <w:r w:rsidR="004A4DB3">
        <w:rPr>
          <w:rFonts w:ascii="Arial" w:hAnsi="Arial" w:cs="Arial"/>
          <w:sz w:val="22"/>
          <w:szCs w:val="22"/>
        </w:rPr>
        <w:t>ciertos</w:t>
      </w:r>
      <w:r w:rsidR="004A4DB3" w:rsidRPr="0092706B">
        <w:rPr>
          <w:rFonts w:ascii="Arial" w:hAnsi="Arial" w:cs="Arial"/>
          <w:sz w:val="22"/>
          <w:szCs w:val="22"/>
        </w:rPr>
        <w:t xml:space="preserve"> </w:t>
      </w:r>
      <w:r w:rsidRPr="0092706B">
        <w:rPr>
          <w:rFonts w:ascii="Arial" w:hAnsi="Arial" w:cs="Arial"/>
          <w:sz w:val="22"/>
          <w:szCs w:val="22"/>
        </w:rPr>
        <w:t xml:space="preserve">casos, individuos, como parte de su patrimonio cultural inmaterial, y </w:t>
      </w:r>
      <w:r w:rsidR="0079548D">
        <w:rPr>
          <w:rFonts w:ascii="Arial" w:hAnsi="Arial" w:cs="Arial"/>
          <w:sz w:val="22"/>
          <w:szCs w:val="22"/>
        </w:rPr>
        <w:t xml:space="preserve">a </w:t>
      </w:r>
      <w:r w:rsidRPr="0092706B">
        <w:rPr>
          <w:rFonts w:ascii="Arial" w:hAnsi="Arial" w:cs="Arial"/>
          <w:sz w:val="22"/>
          <w:szCs w:val="22"/>
        </w:rPr>
        <w:t xml:space="preserve">demostrar su eficacia </w:t>
      </w:r>
      <w:r w:rsidR="0079548D">
        <w:rPr>
          <w:rFonts w:ascii="Arial" w:hAnsi="Arial" w:cs="Arial"/>
          <w:sz w:val="22"/>
          <w:szCs w:val="22"/>
        </w:rPr>
        <w:t>así como a</w:t>
      </w:r>
      <w:r w:rsidRPr="0092706B">
        <w:rPr>
          <w:rFonts w:ascii="Arial" w:hAnsi="Arial" w:cs="Arial"/>
          <w:sz w:val="22"/>
          <w:szCs w:val="22"/>
        </w:rPr>
        <w:t xml:space="preserve"> </w:t>
      </w:r>
      <w:r w:rsidR="0079548D">
        <w:rPr>
          <w:rFonts w:ascii="Arial" w:hAnsi="Arial" w:cs="Arial"/>
          <w:sz w:val="22"/>
          <w:szCs w:val="22"/>
        </w:rPr>
        <w:t>promover</w:t>
      </w:r>
      <w:r w:rsidR="0079548D" w:rsidRPr="0092706B">
        <w:rPr>
          <w:rFonts w:ascii="Arial" w:hAnsi="Arial" w:cs="Arial"/>
          <w:sz w:val="22"/>
          <w:szCs w:val="22"/>
        </w:rPr>
        <w:t xml:space="preserve"> </w:t>
      </w:r>
      <w:r w:rsidRPr="0092706B">
        <w:rPr>
          <w:rFonts w:ascii="Arial" w:hAnsi="Arial" w:cs="Arial"/>
          <w:sz w:val="22"/>
          <w:szCs w:val="22"/>
        </w:rPr>
        <w:t xml:space="preserve">la cooperación internacional </w:t>
      </w:r>
      <w:r w:rsidRPr="005557B3">
        <w:rPr>
          <w:rFonts w:ascii="Arial" w:hAnsi="Arial" w:cs="Arial"/>
          <w:sz w:val="22"/>
          <w:szCs w:val="22"/>
        </w:rPr>
        <w:t>para la identificación y el intercambio de buenas prácticas;</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adoptar las medidas de orden jurídico, técnico, administrativo y financiero </w:t>
      </w:r>
      <w:r w:rsidR="006C3C5F">
        <w:rPr>
          <w:rFonts w:ascii="Arial" w:hAnsi="Arial" w:cs="Arial"/>
          <w:sz w:val="22"/>
          <w:szCs w:val="22"/>
        </w:rPr>
        <w:t xml:space="preserve">adecuadas </w:t>
      </w:r>
      <w:r w:rsidRPr="0092706B">
        <w:rPr>
          <w:rFonts w:ascii="Arial" w:hAnsi="Arial" w:cs="Arial"/>
          <w:sz w:val="22"/>
          <w:szCs w:val="22"/>
        </w:rPr>
        <w:t>para:</w:t>
      </w:r>
    </w:p>
    <w:p w:rsidR="00D54F2A" w:rsidRPr="005557B3"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promover el acceso a y la transmisión de</w:t>
      </w:r>
      <w:r w:rsidR="0079548D">
        <w:rPr>
          <w:rFonts w:ascii="Arial" w:hAnsi="Arial" w:cs="Arial"/>
          <w:sz w:val="22"/>
          <w:szCs w:val="22"/>
        </w:rPr>
        <w:t xml:space="preserve"> </w:t>
      </w:r>
      <w:r w:rsidRPr="0092706B">
        <w:rPr>
          <w:rFonts w:ascii="Arial" w:hAnsi="Arial" w:cs="Arial"/>
          <w:sz w:val="22"/>
          <w:szCs w:val="22"/>
        </w:rPr>
        <w:t>l</w:t>
      </w:r>
      <w:r w:rsidR="0079548D">
        <w:rPr>
          <w:rFonts w:ascii="Arial" w:hAnsi="Arial" w:cs="Arial"/>
          <w:sz w:val="22"/>
          <w:szCs w:val="22"/>
        </w:rPr>
        <w:t>os</w:t>
      </w:r>
      <w:r w:rsidRPr="0092706B">
        <w:rPr>
          <w:rFonts w:ascii="Arial" w:hAnsi="Arial" w:cs="Arial"/>
          <w:sz w:val="22"/>
          <w:szCs w:val="22"/>
        </w:rPr>
        <w:t xml:space="preserve"> conocimiento</w:t>
      </w:r>
      <w:r w:rsidR="0079548D">
        <w:rPr>
          <w:rFonts w:ascii="Arial" w:hAnsi="Arial" w:cs="Arial"/>
          <w:sz w:val="22"/>
          <w:szCs w:val="22"/>
        </w:rPr>
        <w:t>s</w:t>
      </w:r>
      <w:r w:rsidRPr="0092706B">
        <w:rPr>
          <w:rFonts w:ascii="Arial" w:hAnsi="Arial" w:cs="Arial"/>
          <w:sz w:val="22"/>
          <w:szCs w:val="22"/>
        </w:rPr>
        <w:t xml:space="preserve"> tradicional</w:t>
      </w:r>
      <w:r w:rsidR="0079548D">
        <w:rPr>
          <w:rFonts w:ascii="Arial" w:hAnsi="Arial" w:cs="Arial"/>
          <w:sz w:val="22"/>
          <w:szCs w:val="22"/>
        </w:rPr>
        <w:t>es</w:t>
      </w:r>
      <w:r w:rsidRPr="0092706B">
        <w:rPr>
          <w:rFonts w:ascii="Arial" w:hAnsi="Arial" w:cs="Arial"/>
          <w:sz w:val="22"/>
          <w:szCs w:val="22"/>
        </w:rPr>
        <w:t xml:space="preserve"> </w:t>
      </w:r>
      <w:r w:rsidR="0079548D">
        <w:rPr>
          <w:rFonts w:ascii="Arial" w:hAnsi="Arial" w:cs="Arial"/>
          <w:sz w:val="22"/>
          <w:szCs w:val="22"/>
        </w:rPr>
        <w:t>relacionados</w:t>
      </w:r>
      <w:r w:rsidR="0079548D" w:rsidRPr="0092706B">
        <w:rPr>
          <w:rFonts w:ascii="Arial" w:hAnsi="Arial" w:cs="Arial"/>
          <w:sz w:val="22"/>
          <w:szCs w:val="22"/>
        </w:rPr>
        <w:t xml:space="preserve"> </w:t>
      </w:r>
      <w:r w:rsidRPr="0092706B">
        <w:rPr>
          <w:rFonts w:ascii="Arial" w:hAnsi="Arial" w:cs="Arial"/>
          <w:sz w:val="22"/>
          <w:szCs w:val="22"/>
        </w:rPr>
        <w:t>la naturaleza y el universo, r</w:t>
      </w:r>
      <w:r w:rsidRPr="005557B3">
        <w:rPr>
          <w:rFonts w:ascii="Arial" w:hAnsi="Arial" w:cs="Arial"/>
          <w:sz w:val="22"/>
          <w:szCs w:val="22"/>
        </w:rPr>
        <w:t xml:space="preserve">espetando a la vez los usos consuetudinarios </w:t>
      </w:r>
      <w:r w:rsidR="001A784F">
        <w:rPr>
          <w:rFonts w:ascii="Arial" w:hAnsi="Arial" w:cs="Arial"/>
          <w:sz w:val="22"/>
          <w:szCs w:val="22"/>
        </w:rPr>
        <w:t>por los que se rige</w:t>
      </w:r>
      <w:r w:rsidRPr="0092706B">
        <w:rPr>
          <w:rFonts w:ascii="Arial" w:hAnsi="Arial" w:cs="Arial"/>
          <w:sz w:val="22"/>
          <w:szCs w:val="22"/>
        </w:rPr>
        <w:t xml:space="preserve"> el acceso a </w:t>
      </w:r>
      <w:r w:rsidR="001A784F">
        <w:rPr>
          <w:rFonts w:ascii="Arial" w:hAnsi="Arial" w:cs="Arial"/>
          <w:sz w:val="22"/>
          <w:szCs w:val="22"/>
        </w:rPr>
        <w:t xml:space="preserve">determinados </w:t>
      </w:r>
      <w:r w:rsidRPr="0092706B">
        <w:rPr>
          <w:rFonts w:ascii="Arial" w:hAnsi="Arial" w:cs="Arial"/>
          <w:sz w:val="22"/>
          <w:szCs w:val="22"/>
        </w:rPr>
        <w:t xml:space="preserve">aspectos </w:t>
      </w:r>
      <w:r w:rsidRPr="005557B3">
        <w:rPr>
          <w:rFonts w:ascii="Arial" w:hAnsi="Arial" w:cs="Arial"/>
          <w:sz w:val="22"/>
          <w:szCs w:val="22"/>
        </w:rPr>
        <w:t>de este conocimiento;</w:t>
      </w:r>
    </w:p>
    <w:p w:rsidR="00D54F2A" w:rsidRPr="0092706B"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 xml:space="preserve">conservar y proteger los espacios naturales cuya existencia es necesaria para </w:t>
      </w:r>
      <w:r w:rsidR="0079548D">
        <w:rPr>
          <w:rFonts w:ascii="Arial" w:hAnsi="Arial" w:cs="Arial"/>
          <w:sz w:val="22"/>
          <w:szCs w:val="22"/>
        </w:rPr>
        <w:t>que</w:t>
      </w:r>
      <w:r w:rsidR="0079548D" w:rsidRPr="0092706B">
        <w:rPr>
          <w:rFonts w:ascii="Arial" w:hAnsi="Arial" w:cs="Arial"/>
          <w:sz w:val="22"/>
          <w:szCs w:val="22"/>
        </w:rPr>
        <w:t xml:space="preserve"> </w:t>
      </w:r>
      <w:r w:rsidRPr="0092706B">
        <w:rPr>
          <w:rFonts w:ascii="Arial" w:hAnsi="Arial" w:cs="Arial"/>
          <w:sz w:val="22"/>
          <w:szCs w:val="22"/>
        </w:rPr>
        <w:t>el patrimonio cultural</w:t>
      </w:r>
      <w:r w:rsidRPr="005557B3">
        <w:rPr>
          <w:rFonts w:ascii="Arial" w:hAnsi="Arial" w:cs="Arial"/>
          <w:sz w:val="22"/>
          <w:szCs w:val="22"/>
        </w:rPr>
        <w:t xml:space="preserve"> inmaterial</w:t>
      </w:r>
      <w:r w:rsidR="0079548D">
        <w:rPr>
          <w:rFonts w:ascii="Arial" w:hAnsi="Arial" w:cs="Arial"/>
          <w:sz w:val="22"/>
          <w:szCs w:val="22"/>
        </w:rPr>
        <w:t xml:space="preserve"> pueda expresarse</w:t>
      </w:r>
      <w:r w:rsidRPr="0092706B">
        <w:rPr>
          <w:rFonts w:ascii="Arial" w:hAnsi="Arial" w:cs="Arial"/>
          <w:sz w:val="22"/>
          <w:szCs w:val="22"/>
        </w:rPr>
        <w:t>.</w:t>
      </w:r>
    </w:p>
    <w:p w:rsidR="00D54F2A" w:rsidRPr="0092706B" w:rsidRDefault="00D54F2A" w:rsidP="0092706B">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t>VI.3.2</w:t>
      </w:r>
      <w:r w:rsidRPr="001C4C46">
        <w:rPr>
          <w:rFonts w:ascii="Arial" w:hAnsi="Arial" w:cs="Arial"/>
          <w:sz w:val="22"/>
          <w:szCs w:val="22"/>
        </w:rPr>
        <w:tab/>
      </w:r>
      <w:r w:rsidRPr="0092706B">
        <w:rPr>
          <w:rFonts w:ascii="Arial" w:hAnsi="Arial" w:cs="Arial"/>
          <w:b/>
          <w:color w:val="000000"/>
          <w:sz w:val="22"/>
          <w:szCs w:val="22"/>
        </w:rPr>
        <w:t>Impactos</w:t>
      </w:r>
      <w:r w:rsidRPr="00410628">
        <w:rPr>
          <w:rFonts w:ascii="Arial" w:hAnsi="Arial" w:cs="Arial"/>
          <w:b/>
          <w:color w:val="000000"/>
          <w:sz w:val="22"/>
          <w:szCs w:val="22"/>
        </w:rPr>
        <w:t xml:space="preserve"> ambientales en la salvaguardia del patrimonio cultural inmaterial </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92706B">
        <w:rPr>
          <w:rFonts w:ascii="Arial" w:hAnsi="Arial" w:cs="Arial"/>
          <w:sz w:val="22"/>
          <w:szCs w:val="22"/>
        </w:rPr>
        <w:t xml:space="preserve">Los Estados Partes </w:t>
      </w:r>
      <w:r w:rsidR="0079548D">
        <w:rPr>
          <w:rFonts w:ascii="Arial" w:hAnsi="Arial" w:cs="Arial"/>
          <w:sz w:val="22"/>
          <w:szCs w:val="22"/>
        </w:rPr>
        <w:t>se comprometerán a</w:t>
      </w:r>
      <w:r w:rsidR="0079548D" w:rsidRPr="0092706B">
        <w:rPr>
          <w:rFonts w:ascii="Arial" w:hAnsi="Arial" w:cs="Arial"/>
          <w:sz w:val="22"/>
          <w:szCs w:val="22"/>
        </w:rPr>
        <w:t xml:space="preserve"> </w:t>
      </w:r>
      <w:r w:rsidRPr="0092706B">
        <w:rPr>
          <w:rFonts w:ascii="Arial" w:hAnsi="Arial" w:cs="Arial"/>
          <w:sz w:val="22"/>
          <w:szCs w:val="22"/>
        </w:rPr>
        <w:t xml:space="preserve">reconocer </w:t>
      </w:r>
      <w:r w:rsidR="0079548D">
        <w:rPr>
          <w:rFonts w:ascii="Arial" w:hAnsi="Arial" w:cs="Arial"/>
          <w:sz w:val="22"/>
          <w:szCs w:val="22"/>
        </w:rPr>
        <w:t>los</w:t>
      </w:r>
      <w:r w:rsidR="0079548D" w:rsidRPr="0092706B">
        <w:rPr>
          <w:rFonts w:ascii="Arial" w:hAnsi="Arial" w:cs="Arial"/>
          <w:sz w:val="22"/>
          <w:szCs w:val="22"/>
        </w:rPr>
        <w:t xml:space="preserve"> </w:t>
      </w:r>
      <w:r w:rsidRPr="0092706B">
        <w:rPr>
          <w:rFonts w:ascii="Arial" w:hAnsi="Arial" w:cs="Arial"/>
          <w:sz w:val="22"/>
          <w:szCs w:val="22"/>
        </w:rPr>
        <w:t>impacto</w:t>
      </w:r>
      <w:r w:rsidR="0079548D">
        <w:rPr>
          <w:rFonts w:ascii="Arial" w:hAnsi="Arial" w:cs="Arial"/>
          <w:sz w:val="22"/>
          <w:szCs w:val="22"/>
        </w:rPr>
        <w:t>s medioambientales</w:t>
      </w:r>
      <w:r w:rsidRPr="0092706B">
        <w:rPr>
          <w:rFonts w:ascii="Arial" w:hAnsi="Arial" w:cs="Arial"/>
          <w:sz w:val="22"/>
          <w:szCs w:val="22"/>
        </w:rPr>
        <w:t xml:space="preserve"> potencial</w:t>
      </w:r>
      <w:r w:rsidR="0079548D">
        <w:rPr>
          <w:rFonts w:ascii="Arial" w:hAnsi="Arial" w:cs="Arial"/>
          <w:sz w:val="22"/>
          <w:szCs w:val="22"/>
        </w:rPr>
        <w:t>es</w:t>
      </w:r>
      <w:r w:rsidRPr="0092706B">
        <w:rPr>
          <w:rFonts w:ascii="Arial" w:hAnsi="Arial" w:cs="Arial"/>
          <w:sz w:val="22"/>
          <w:szCs w:val="22"/>
        </w:rPr>
        <w:t xml:space="preserve"> y real</w:t>
      </w:r>
      <w:r w:rsidR="0079548D">
        <w:rPr>
          <w:rFonts w:ascii="Arial" w:hAnsi="Arial" w:cs="Arial"/>
          <w:sz w:val="22"/>
          <w:szCs w:val="22"/>
        </w:rPr>
        <w:t>es</w:t>
      </w:r>
      <w:r w:rsidRPr="0092706B">
        <w:rPr>
          <w:rFonts w:ascii="Arial" w:hAnsi="Arial" w:cs="Arial"/>
          <w:sz w:val="22"/>
          <w:szCs w:val="22"/>
        </w:rPr>
        <w:t xml:space="preserve"> de las prácticas </w:t>
      </w:r>
      <w:r w:rsidR="0079548D" w:rsidRPr="002F1024">
        <w:rPr>
          <w:rFonts w:ascii="Arial" w:hAnsi="Arial" w:cs="Arial"/>
          <w:sz w:val="22"/>
          <w:szCs w:val="22"/>
        </w:rPr>
        <w:t>del patrimonio cultural inmaterial</w:t>
      </w:r>
      <w:r w:rsidR="0079548D" w:rsidRPr="0092706B">
        <w:rPr>
          <w:rFonts w:ascii="Arial" w:hAnsi="Arial" w:cs="Arial"/>
          <w:sz w:val="22"/>
          <w:szCs w:val="22"/>
        </w:rPr>
        <w:t xml:space="preserve"> </w:t>
      </w:r>
      <w:r w:rsidRPr="0092706B">
        <w:rPr>
          <w:rFonts w:ascii="Arial" w:hAnsi="Arial" w:cs="Arial"/>
          <w:sz w:val="22"/>
          <w:szCs w:val="22"/>
        </w:rPr>
        <w:t xml:space="preserve">y </w:t>
      </w:r>
      <w:r w:rsidR="0079548D">
        <w:rPr>
          <w:rFonts w:ascii="Arial" w:hAnsi="Arial" w:cs="Arial"/>
          <w:sz w:val="22"/>
          <w:szCs w:val="22"/>
        </w:rPr>
        <w:t xml:space="preserve">las </w:t>
      </w:r>
      <w:r w:rsidRPr="0092706B">
        <w:rPr>
          <w:rFonts w:ascii="Arial" w:hAnsi="Arial" w:cs="Arial"/>
          <w:sz w:val="22"/>
          <w:szCs w:val="22"/>
        </w:rPr>
        <w:t>actividades de salvaguardia</w:t>
      </w:r>
      <w:r w:rsidRPr="005557B3">
        <w:rPr>
          <w:rFonts w:ascii="Arial" w:hAnsi="Arial" w:cs="Arial"/>
          <w:sz w:val="22"/>
          <w:szCs w:val="22"/>
        </w:rPr>
        <w:t>, prestando especial atención a las posibles consecuencias de su intensificación. Para ello, se invita a los Estados Partes 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promover metodologías de investigación y estudios científicos, incluyendo los realizados por las </w:t>
      </w:r>
      <w:r w:rsidR="00190BD4">
        <w:rPr>
          <w:rFonts w:ascii="Arial" w:hAnsi="Arial" w:cs="Arial"/>
          <w:sz w:val="22"/>
          <w:szCs w:val="22"/>
        </w:rPr>
        <w:t xml:space="preserve">propias </w:t>
      </w:r>
      <w:r w:rsidRPr="0092706B">
        <w:rPr>
          <w:rFonts w:ascii="Arial" w:hAnsi="Arial" w:cs="Arial"/>
          <w:sz w:val="22"/>
          <w:szCs w:val="22"/>
        </w:rPr>
        <w:t>comunidades y grupos, orientados a comprender dichos impactos;</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adoptar las medidas de orden jurídico, técnico, administrativo y financiero</w:t>
      </w:r>
      <w:r w:rsidR="002157AE">
        <w:rPr>
          <w:rFonts w:ascii="Arial" w:hAnsi="Arial" w:cs="Arial"/>
          <w:sz w:val="22"/>
          <w:szCs w:val="22"/>
        </w:rPr>
        <w:t xml:space="preserve"> adecuadas</w:t>
      </w:r>
      <w:r w:rsidRPr="0092706B">
        <w:rPr>
          <w:rFonts w:ascii="Arial" w:hAnsi="Arial" w:cs="Arial"/>
          <w:sz w:val="22"/>
          <w:szCs w:val="22"/>
        </w:rPr>
        <w:t>, para promover prácticas respetuosas del medioambiente y reducir sus eventuales impactos negativos.</w:t>
      </w:r>
    </w:p>
    <w:p w:rsidR="00D54F2A" w:rsidRPr="0092706B" w:rsidRDefault="00D54F2A" w:rsidP="00D54F2A">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t>VI.3.3</w:t>
      </w:r>
      <w:r w:rsidRPr="001C4C46">
        <w:rPr>
          <w:rFonts w:ascii="Arial" w:hAnsi="Arial" w:cs="Arial"/>
          <w:sz w:val="22"/>
          <w:szCs w:val="22"/>
        </w:rPr>
        <w:tab/>
      </w:r>
      <w:r w:rsidR="001A70FA">
        <w:rPr>
          <w:rFonts w:ascii="Arial" w:hAnsi="Arial" w:cs="Arial"/>
          <w:b/>
          <w:color w:val="000000"/>
          <w:sz w:val="22"/>
          <w:szCs w:val="22"/>
        </w:rPr>
        <w:t>Capacidad de resistencia de las comunidades</w:t>
      </w:r>
      <w:r w:rsidRPr="00410628">
        <w:rPr>
          <w:rFonts w:ascii="Arial" w:hAnsi="Arial" w:cs="Arial"/>
          <w:b/>
          <w:color w:val="000000"/>
          <w:sz w:val="22"/>
          <w:szCs w:val="22"/>
        </w:rPr>
        <w:t xml:space="preserve"> </w:t>
      </w:r>
      <w:r w:rsidR="001A70FA">
        <w:rPr>
          <w:rFonts w:ascii="Arial" w:hAnsi="Arial" w:cs="Arial"/>
          <w:b/>
          <w:color w:val="000000"/>
          <w:sz w:val="22"/>
          <w:szCs w:val="22"/>
        </w:rPr>
        <w:t>frente a</w:t>
      </w:r>
      <w:r w:rsidR="001A70FA" w:rsidRPr="00410628">
        <w:rPr>
          <w:rFonts w:ascii="Arial" w:hAnsi="Arial" w:cs="Arial"/>
          <w:b/>
          <w:color w:val="000000"/>
          <w:sz w:val="22"/>
          <w:szCs w:val="22"/>
        </w:rPr>
        <w:t xml:space="preserve"> </w:t>
      </w:r>
      <w:r w:rsidRPr="00410628">
        <w:rPr>
          <w:rFonts w:ascii="Arial" w:hAnsi="Arial" w:cs="Arial"/>
          <w:b/>
          <w:color w:val="000000"/>
          <w:sz w:val="22"/>
          <w:szCs w:val="22"/>
        </w:rPr>
        <w:t xml:space="preserve">los desastres naturales </w:t>
      </w:r>
      <w:r w:rsidR="001A70FA">
        <w:rPr>
          <w:rFonts w:ascii="Arial" w:hAnsi="Arial" w:cs="Arial"/>
          <w:b/>
          <w:color w:val="000000"/>
          <w:sz w:val="22"/>
          <w:szCs w:val="22"/>
        </w:rPr>
        <w:tab/>
      </w:r>
      <w:r w:rsidR="001A70FA">
        <w:rPr>
          <w:rFonts w:ascii="Arial" w:hAnsi="Arial" w:cs="Arial"/>
          <w:b/>
          <w:color w:val="000000"/>
          <w:sz w:val="22"/>
          <w:szCs w:val="22"/>
        </w:rPr>
        <w:tab/>
      </w:r>
      <w:r w:rsidRPr="00410628">
        <w:rPr>
          <w:rFonts w:ascii="Arial" w:hAnsi="Arial" w:cs="Arial"/>
          <w:b/>
          <w:color w:val="000000"/>
          <w:sz w:val="22"/>
          <w:szCs w:val="22"/>
        </w:rPr>
        <w:t>y al cambio climático</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92706B">
        <w:rPr>
          <w:rFonts w:ascii="Arial" w:hAnsi="Arial" w:cs="Arial"/>
          <w:sz w:val="22"/>
          <w:szCs w:val="22"/>
        </w:rPr>
        <w:t xml:space="preserve">Los Estados Partes velarán por el reconocimiento de, el respeto </w:t>
      </w:r>
      <w:r w:rsidRPr="005557B3">
        <w:rPr>
          <w:rFonts w:ascii="Arial" w:hAnsi="Arial" w:cs="Arial"/>
          <w:sz w:val="22"/>
          <w:szCs w:val="22"/>
        </w:rPr>
        <w:t xml:space="preserve">y </w:t>
      </w:r>
      <w:r w:rsidR="001A784F">
        <w:rPr>
          <w:rFonts w:ascii="Arial" w:hAnsi="Arial" w:cs="Arial"/>
          <w:sz w:val="22"/>
          <w:szCs w:val="22"/>
        </w:rPr>
        <w:t>la valorización</w:t>
      </w:r>
      <w:r w:rsidRPr="0092706B">
        <w:rPr>
          <w:rFonts w:ascii="Arial" w:hAnsi="Arial" w:cs="Arial"/>
          <w:sz w:val="22"/>
          <w:szCs w:val="22"/>
        </w:rPr>
        <w:t xml:space="preserve"> de las prácticas y conocimientos relativos a la </w:t>
      </w:r>
      <w:proofErr w:type="spellStart"/>
      <w:r w:rsidRPr="0092706B">
        <w:rPr>
          <w:rFonts w:ascii="Arial" w:hAnsi="Arial" w:cs="Arial"/>
          <w:sz w:val="22"/>
          <w:szCs w:val="22"/>
        </w:rPr>
        <w:t>geociencia</w:t>
      </w:r>
      <w:proofErr w:type="spellEnd"/>
      <w:r w:rsidRPr="0092706B">
        <w:rPr>
          <w:rFonts w:ascii="Arial" w:hAnsi="Arial" w:cs="Arial"/>
          <w:sz w:val="22"/>
          <w:szCs w:val="22"/>
        </w:rPr>
        <w:t>, en particular al clima, e intentarán aprovechar su potencial para contri</w:t>
      </w:r>
      <w:r w:rsidRPr="005557B3">
        <w:rPr>
          <w:rFonts w:ascii="Arial" w:hAnsi="Arial" w:cs="Arial"/>
          <w:sz w:val="22"/>
          <w:szCs w:val="22"/>
        </w:rPr>
        <w:t>buir a la reducción de riesgos y a la recuperación de desastres naturales, en particular mediante el refuerzo de la cohesión social y la reducción de los impactos del cambio climático. Para ello, se invita a los Estados Partes a:</w:t>
      </w:r>
    </w:p>
    <w:p w:rsidR="00D54F2A" w:rsidRPr="001A298C"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lastRenderedPageBreak/>
        <w:t xml:space="preserve">reconocer a las comunidades, grupos e individuos como portadores de conocimientos tradicionales sobre </w:t>
      </w:r>
      <w:proofErr w:type="spellStart"/>
      <w:r w:rsidRPr="005557B3">
        <w:rPr>
          <w:rFonts w:ascii="Arial" w:hAnsi="Arial" w:cs="Arial"/>
          <w:sz w:val="22"/>
          <w:szCs w:val="22"/>
        </w:rPr>
        <w:t>geociencia</w:t>
      </w:r>
      <w:proofErr w:type="spellEnd"/>
      <w:r w:rsidRPr="005557B3">
        <w:rPr>
          <w:rFonts w:ascii="Arial" w:hAnsi="Arial" w:cs="Arial"/>
          <w:sz w:val="22"/>
          <w:szCs w:val="22"/>
        </w:rPr>
        <w:t>, en particular sobre el clima;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1A298C">
        <w:rPr>
          <w:rFonts w:ascii="Arial" w:hAnsi="Arial" w:cs="Arial"/>
          <w:sz w:val="22"/>
          <w:szCs w:val="22"/>
        </w:rPr>
        <w:t xml:space="preserve">promover metodologías de investigación y estudios científicos, incluyendo los realizados por las </w:t>
      </w:r>
      <w:r w:rsidR="00190BD4">
        <w:rPr>
          <w:rFonts w:ascii="Arial" w:hAnsi="Arial" w:cs="Arial"/>
          <w:sz w:val="22"/>
          <w:szCs w:val="22"/>
        </w:rPr>
        <w:t xml:space="preserve">propias </w:t>
      </w:r>
      <w:r w:rsidRPr="0092706B">
        <w:rPr>
          <w:rFonts w:ascii="Arial" w:hAnsi="Arial" w:cs="Arial"/>
          <w:sz w:val="22"/>
          <w:szCs w:val="22"/>
        </w:rPr>
        <w:t>comunidades y grupos, orientados a comprender y demostrar la eficacia de los conocimientos relativos a la reducción de riesgos, recuperación de desastres, adaptación al clima y reducción del cambio climático, reconocidos por las comunidades, grupos</w:t>
      </w:r>
      <w:r w:rsidRPr="005557B3">
        <w:rPr>
          <w:rFonts w:ascii="Arial" w:hAnsi="Arial" w:cs="Arial"/>
          <w:sz w:val="22"/>
          <w:szCs w:val="22"/>
        </w:rPr>
        <w:t xml:space="preserve"> y</w:t>
      </w:r>
      <w:r w:rsidR="001A70FA">
        <w:rPr>
          <w:rFonts w:ascii="Arial" w:hAnsi="Arial" w:cs="Arial"/>
          <w:sz w:val="22"/>
          <w:szCs w:val="22"/>
        </w:rPr>
        <w:t>,</w:t>
      </w:r>
      <w:r w:rsidRPr="0092706B">
        <w:rPr>
          <w:rFonts w:ascii="Arial" w:hAnsi="Arial" w:cs="Arial"/>
          <w:sz w:val="22"/>
          <w:szCs w:val="22"/>
        </w:rPr>
        <w:t xml:space="preserve"> en ciertos casos, individuos, como parte de su patrimonio cultural inmaterial, reforzando a la vez las capacidades de las comunidades, grupos e individuos para </w:t>
      </w:r>
      <w:r w:rsidR="001A70FA">
        <w:rPr>
          <w:rFonts w:ascii="Arial" w:hAnsi="Arial" w:cs="Arial"/>
          <w:sz w:val="22"/>
          <w:szCs w:val="22"/>
        </w:rPr>
        <w:t>hacer frente a</w:t>
      </w:r>
      <w:r w:rsidR="001A70FA" w:rsidRPr="0092706B">
        <w:rPr>
          <w:rFonts w:ascii="Arial" w:hAnsi="Arial" w:cs="Arial"/>
          <w:sz w:val="22"/>
          <w:szCs w:val="22"/>
        </w:rPr>
        <w:t xml:space="preserve"> </w:t>
      </w:r>
      <w:r w:rsidRPr="0092706B">
        <w:rPr>
          <w:rFonts w:ascii="Arial" w:hAnsi="Arial" w:cs="Arial"/>
          <w:sz w:val="22"/>
          <w:szCs w:val="22"/>
        </w:rPr>
        <w:t xml:space="preserve">los desafíos relacionados con el cambio climático que </w:t>
      </w:r>
      <w:r w:rsidRPr="005557B3">
        <w:rPr>
          <w:rFonts w:ascii="Arial" w:hAnsi="Arial" w:cs="Arial"/>
          <w:sz w:val="22"/>
          <w:szCs w:val="22"/>
        </w:rPr>
        <w:t>no sean tratados por los conocimientos existentes;</w:t>
      </w:r>
    </w:p>
    <w:p w:rsidR="00D54F2A" w:rsidRPr="0092706B"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adoptar las medidas de orden jurídico, técnico, administrativo y financiero </w:t>
      </w:r>
      <w:r w:rsidR="006C3C5F">
        <w:rPr>
          <w:rFonts w:ascii="Arial" w:hAnsi="Arial" w:cs="Arial"/>
          <w:sz w:val="22"/>
          <w:szCs w:val="22"/>
        </w:rPr>
        <w:t xml:space="preserve">adecuadas </w:t>
      </w:r>
      <w:r w:rsidRPr="0092706B">
        <w:rPr>
          <w:rFonts w:ascii="Arial" w:hAnsi="Arial" w:cs="Arial"/>
          <w:sz w:val="22"/>
          <w:szCs w:val="22"/>
        </w:rPr>
        <w:t>para:</w:t>
      </w:r>
    </w:p>
    <w:p w:rsidR="00D54F2A" w:rsidRPr="005557B3"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 xml:space="preserve">promover el acceso a y la transmisión del conocimiento relativo a la tierra y al clima, reconocido por las comunidades, grupos, y en ciertos casos, individuos, como parte de su patrimonio cultural inmaterial, respetando a la vez los usos consuetudinarios </w:t>
      </w:r>
      <w:r w:rsidR="001A784F">
        <w:rPr>
          <w:rFonts w:ascii="Arial" w:hAnsi="Arial" w:cs="Arial"/>
          <w:sz w:val="22"/>
          <w:szCs w:val="22"/>
        </w:rPr>
        <w:t>por los que se rige</w:t>
      </w:r>
      <w:r w:rsidRPr="0092706B">
        <w:rPr>
          <w:rFonts w:ascii="Arial" w:hAnsi="Arial" w:cs="Arial"/>
          <w:sz w:val="22"/>
          <w:szCs w:val="22"/>
        </w:rPr>
        <w:t xml:space="preserve"> el acceso a determinados aspectos de dicho conocimiento;</w:t>
      </w:r>
    </w:p>
    <w:p w:rsidR="00D54F2A" w:rsidRPr="001C4C46"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integrar plenamente a las comunidades, grupos e individuos que sean portadores de dicho conocimiento en los sistemas y programas de reducción de riesgo de desastre, recuperación de desastres, adaptación al y reducción del cambio climático.</w:t>
      </w:r>
    </w:p>
    <w:p w:rsidR="00D54F2A" w:rsidRPr="001C4C46" w:rsidRDefault="00D54F2A" w:rsidP="00D54F2A">
      <w:pPr>
        <w:keepNext/>
        <w:spacing w:before="360" w:after="120"/>
        <w:ind w:left="567" w:hanging="567"/>
        <w:jc w:val="both"/>
        <w:rPr>
          <w:rFonts w:ascii="Arial" w:hAnsi="Arial" w:cs="Arial"/>
          <w:b/>
          <w:sz w:val="22"/>
          <w:szCs w:val="22"/>
        </w:rPr>
      </w:pPr>
      <w:r w:rsidRPr="0092706B">
        <w:rPr>
          <w:rFonts w:ascii="Arial" w:hAnsi="Arial" w:cs="Arial"/>
          <w:b/>
        </w:rPr>
        <w:t>VI.4</w:t>
      </w:r>
      <w:r w:rsidRPr="001C4C46">
        <w:rPr>
          <w:rFonts w:ascii="Arial" w:hAnsi="Arial" w:cs="Arial"/>
          <w:b/>
        </w:rPr>
        <w:tab/>
      </w:r>
      <w:r w:rsidRPr="0092706B">
        <w:rPr>
          <w:rFonts w:ascii="Arial" w:hAnsi="Arial" w:cs="Arial"/>
          <w:b/>
        </w:rPr>
        <w:t>Paz y seguridad</w:t>
      </w:r>
    </w:p>
    <w:p w:rsidR="00D54F2A" w:rsidRPr="0092706B"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410628">
        <w:rPr>
          <w:rFonts w:ascii="Arial" w:hAnsi="Arial" w:cs="Arial"/>
          <w:sz w:val="22"/>
          <w:szCs w:val="22"/>
        </w:rPr>
        <w:t>Se invi</w:t>
      </w:r>
      <w:r w:rsidRPr="0092706B">
        <w:rPr>
          <w:rFonts w:ascii="Arial" w:hAnsi="Arial" w:cs="Arial"/>
          <w:sz w:val="22"/>
          <w:szCs w:val="22"/>
        </w:rPr>
        <w:t xml:space="preserve">ta a los Estados Partes a reconocer la contribución de la salvaguardia del patrimonio cultural inmaterial a la paz y la seguridad, y a reconocer que la paz y la seguridad – incluyendo </w:t>
      </w:r>
      <w:r w:rsidR="009F0E33">
        <w:rPr>
          <w:rFonts w:ascii="Arial" w:hAnsi="Arial" w:cs="Arial"/>
          <w:sz w:val="22"/>
          <w:szCs w:val="22"/>
        </w:rPr>
        <w:t>la ausencia de</w:t>
      </w:r>
      <w:r w:rsidRPr="0092706B">
        <w:rPr>
          <w:rFonts w:ascii="Arial" w:hAnsi="Arial" w:cs="Arial"/>
          <w:sz w:val="22"/>
          <w:szCs w:val="22"/>
        </w:rPr>
        <w:t xml:space="preserve"> conflictos, discriminaciones y toda forma de violencia – son prerrequisitos y catalizadores para el desarrollo sostenible y requi</w:t>
      </w:r>
      <w:r w:rsidRPr="005557B3">
        <w:rPr>
          <w:rFonts w:ascii="Arial" w:hAnsi="Arial" w:cs="Arial"/>
          <w:sz w:val="22"/>
          <w:szCs w:val="22"/>
        </w:rPr>
        <w:t xml:space="preserve">eren respeto por los derechos humanos, </w:t>
      </w:r>
      <w:r w:rsidR="009F0E33">
        <w:rPr>
          <w:rFonts w:ascii="Arial" w:hAnsi="Arial" w:cs="Arial"/>
          <w:sz w:val="22"/>
          <w:szCs w:val="22"/>
        </w:rPr>
        <w:t xml:space="preserve">el </w:t>
      </w:r>
      <w:r w:rsidRPr="0092706B">
        <w:rPr>
          <w:rFonts w:ascii="Arial" w:hAnsi="Arial" w:cs="Arial"/>
          <w:sz w:val="22"/>
          <w:szCs w:val="22"/>
        </w:rPr>
        <w:t xml:space="preserve">desarrollo social inclusivo y equitativo, </w:t>
      </w:r>
      <w:r w:rsidR="009F0E33">
        <w:rPr>
          <w:rFonts w:ascii="Arial" w:hAnsi="Arial" w:cs="Arial"/>
          <w:sz w:val="22"/>
          <w:szCs w:val="22"/>
        </w:rPr>
        <w:t xml:space="preserve">los </w:t>
      </w:r>
      <w:r w:rsidRPr="0092706B">
        <w:rPr>
          <w:rFonts w:ascii="Arial" w:hAnsi="Arial" w:cs="Arial"/>
          <w:sz w:val="22"/>
          <w:szCs w:val="22"/>
        </w:rPr>
        <w:t xml:space="preserve">sistemas judiciales eficaces, </w:t>
      </w:r>
      <w:r w:rsidR="009F0E33">
        <w:rPr>
          <w:rFonts w:ascii="Arial" w:hAnsi="Arial" w:cs="Arial"/>
          <w:sz w:val="22"/>
          <w:szCs w:val="22"/>
        </w:rPr>
        <w:t xml:space="preserve">los </w:t>
      </w:r>
      <w:r w:rsidRPr="0092706B">
        <w:rPr>
          <w:rFonts w:ascii="Arial" w:hAnsi="Arial" w:cs="Arial"/>
          <w:sz w:val="22"/>
          <w:szCs w:val="22"/>
        </w:rPr>
        <w:t xml:space="preserve">procesos políticos inclusivos y </w:t>
      </w:r>
      <w:r w:rsidR="009F0E33">
        <w:rPr>
          <w:rFonts w:ascii="Arial" w:hAnsi="Arial" w:cs="Arial"/>
          <w:sz w:val="22"/>
          <w:szCs w:val="22"/>
        </w:rPr>
        <w:t xml:space="preserve">los </w:t>
      </w:r>
      <w:r w:rsidRPr="0092706B">
        <w:rPr>
          <w:rFonts w:ascii="Arial" w:hAnsi="Arial" w:cs="Arial"/>
          <w:sz w:val="22"/>
          <w:szCs w:val="22"/>
        </w:rPr>
        <w:t>sistemas de prevención y resolución de conflictos apropiados.</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Los Estados Partes intentarán reconocer, promover y </w:t>
      </w:r>
      <w:r w:rsidR="009F0E33">
        <w:rPr>
          <w:rFonts w:ascii="Arial" w:hAnsi="Arial" w:cs="Arial"/>
          <w:sz w:val="22"/>
          <w:szCs w:val="22"/>
        </w:rPr>
        <w:t>valorizar</w:t>
      </w:r>
      <w:r w:rsidR="009F0E33" w:rsidRPr="0092706B">
        <w:rPr>
          <w:rFonts w:ascii="Arial" w:hAnsi="Arial" w:cs="Arial"/>
          <w:sz w:val="22"/>
          <w:szCs w:val="22"/>
        </w:rPr>
        <w:t xml:space="preserve"> </w:t>
      </w:r>
      <w:r w:rsidR="009F0E33">
        <w:rPr>
          <w:rFonts w:ascii="Arial" w:hAnsi="Arial" w:cs="Arial"/>
          <w:sz w:val="22"/>
          <w:szCs w:val="22"/>
        </w:rPr>
        <w:t>aquellas</w:t>
      </w:r>
      <w:r w:rsidR="009F0E33" w:rsidRPr="0092706B">
        <w:rPr>
          <w:rFonts w:ascii="Arial" w:hAnsi="Arial" w:cs="Arial"/>
          <w:sz w:val="22"/>
          <w:szCs w:val="22"/>
        </w:rPr>
        <w:t xml:space="preserve"> </w:t>
      </w:r>
      <w:r w:rsidRPr="0092706B">
        <w:rPr>
          <w:rFonts w:ascii="Arial" w:hAnsi="Arial" w:cs="Arial"/>
          <w:sz w:val="22"/>
          <w:szCs w:val="22"/>
        </w:rPr>
        <w:t xml:space="preserve">prácticas, representaciones y expresiones del patrimonio cultural inmaterial especialmente </w:t>
      </w:r>
      <w:r w:rsidR="009F0E33">
        <w:rPr>
          <w:rFonts w:ascii="Arial" w:hAnsi="Arial" w:cs="Arial"/>
          <w:sz w:val="22"/>
          <w:szCs w:val="22"/>
        </w:rPr>
        <w:t>que giren en torno</w:t>
      </w:r>
      <w:r w:rsidR="009F0E33" w:rsidRPr="0092706B">
        <w:rPr>
          <w:rFonts w:ascii="Arial" w:hAnsi="Arial" w:cs="Arial"/>
          <w:sz w:val="22"/>
          <w:szCs w:val="22"/>
        </w:rPr>
        <w:t xml:space="preserve"> </w:t>
      </w:r>
      <w:r w:rsidRPr="0092706B">
        <w:rPr>
          <w:rFonts w:ascii="Arial" w:hAnsi="Arial" w:cs="Arial"/>
          <w:sz w:val="22"/>
          <w:szCs w:val="22"/>
        </w:rPr>
        <w:t xml:space="preserve">al mantenimiento y </w:t>
      </w:r>
      <w:r w:rsidR="009F0E33">
        <w:rPr>
          <w:rFonts w:ascii="Arial" w:hAnsi="Arial" w:cs="Arial"/>
          <w:sz w:val="22"/>
          <w:szCs w:val="22"/>
        </w:rPr>
        <w:t>la consolidación</w:t>
      </w:r>
      <w:r w:rsidRPr="0092706B">
        <w:rPr>
          <w:rFonts w:ascii="Arial" w:hAnsi="Arial" w:cs="Arial"/>
          <w:sz w:val="22"/>
          <w:szCs w:val="22"/>
        </w:rPr>
        <w:t xml:space="preserve"> de la paz, que unan a las comunidades, grupos e individuos y garanticen</w:t>
      </w:r>
      <w:r w:rsidR="009F0E33">
        <w:rPr>
          <w:rFonts w:ascii="Arial" w:hAnsi="Arial" w:cs="Arial"/>
          <w:sz w:val="22"/>
          <w:szCs w:val="22"/>
        </w:rPr>
        <w:t xml:space="preserve"> los </w:t>
      </w:r>
      <w:r w:rsidRPr="0092706B">
        <w:rPr>
          <w:rFonts w:ascii="Arial" w:hAnsi="Arial" w:cs="Arial"/>
          <w:sz w:val="22"/>
          <w:szCs w:val="22"/>
        </w:rPr>
        <w:t xml:space="preserve">intercambios, </w:t>
      </w:r>
      <w:r w:rsidR="009F0E33">
        <w:rPr>
          <w:rFonts w:ascii="Arial" w:hAnsi="Arial" w:cs="Arial"/>
          <w:sz w:val="22"/>
          <w:szCs w:val="22"/>
        </w:rPr>
        <w:t xml:space="preserve">el </w:t>
      </w:r>
      <w:r w:rsidRPr="0092706B">
        <w:rPr>
          <w:rFonts w:ascii="Arial" w:hAnsi="Arial" w:cs="Arial"/>
          <w:sz w:val="22"/>
          <w:szCs w:val="22"/>
        </w:rPr>
        <w:t>diálogo</w:t>
      </w:r>
      <w:r w:rsidRPr="005557B3">
        <w:rPr>
          <w:rFonts w:ascii="Arial" w:hAnsi="Arial" w:cs="Arial"/>
          <w:sz w:val="22"/>
          <w:szCs w:val="22"/>
        </w:rPr>
        <w:t xml:space="preserve"> y el entendimiento rec</w:t>
      </w:r>
      <w:r w:rsidR="009F0E33">
        <w:rPr>
          <w:rFonts w:ascii="Arial" w:hAnsi="Arial" w:cs="Arial"/>
          <w:sz w:val="22"/>
          <w:szCs w:val="22"/>
        </w:rPr>
        <w:t>í</w:t>
      </w:r>
      <w:r w:rsidRPr="0092706B">
        <w:rPr>
          <w:rFonts w:ascii="Arial" w:hAnsi="Arial" w:cs="Arial"/>
          <w:sz w:val="22"/>
          <w:szCs w:val="22"/>
        </w:rPr>
        <w:t>proco</w:t>
      </w:r>
      <w:r w:rsidRPr="005557B3">
        <w:rPr>
          <w:rFonts w:ascii="Arial" w:hAnsi="Arial" w:cs="Arial"/>
          <w:sz w:val="22"/>
          <w:szCs w:val="22"/>
        </w:rPr>
        <w:t xml:space="preserve">. Los Estados Partes intentarán </w:t>
      </w:r>
      <w:r w:rsidR="009F0E33">
        <w:rPr>
          <w:rFonts w:ascii="Arial" w:hAnsi="Arial" w:cs="Arial"/>
          <w:sz w:val="22"/>
          <w:szCs w:val="22"/>
        </w:rPr>
        <w:t>aprovechar</w:t>
      </w:r>
      <w:r w:rsidR="009F0E33" w:rsidRPr="0092706B">
        <w:rPr>
          <w:rFonts w:ascii="Arial" w:hAnsi="Arial" w:cs="Arial"/>
          <w:sz w:val="22"/>
          <w:szCs w:val="22"/>
        </w:rPr>
        <w:t xml:space="preserve"> </w:t>
      </w:r>
      <w:r w:rsidRPr="0092706B">
        <w:rPr>
          <w:rFonts w:ascii="Arial" w:hAnsi="Arial" w:cs="Arial"/>
          <w:sz w:val="22"/>
          <w:szCs w:val="22"/>
        </w:rPr>
        <w:t>plenamente el aporte de las actividades de salvaguardia a la construcción de la paz.</w:t>
      </w:r>
    </w:p>
    <w:p w:rsidR="00D54F2A" w:rsidRPr="0092706B" w:rsidRDefault="00D54F2A" w:rsidP="00D54F2A">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t>VI.4.1</w:t>
      </w:r>
      <w:r w:rsidRPr="001C4C46">
        <w:rPr>
          <w:rFonts w:ascii="Arial" w:hAnsi="Arial" w:cs="Arial"/>
          <w:sz w:val="22"/>
          <w:szCs w:val="22"/>
        </w:rPr>
        <w:tab/>
      </w:r>
      <w:r w:rsidRPr="00410628">
        <w:rPr>
          <w:rFonts w:ascii="Arial" w:hAnsi="Arial" w:cs="Arial"/>
          <w:b/>
          <w:color w:val="000000"/>
          <w:sz w:val="22"/>
          <w:szCs w:val="22"/>
        </w:rPr>
        <w:t>Cohesión social</w:t>
      </w:r>
      <w:r w:rsidRPr="0092706B">
        <w:rPr>
          <w:rFonts w:ascii="Arial" w:hAnsi="Arial" w:cs="Arial"/>
          <w:b/>
          <w:color w:val="000000"/>
          <w:sz w:val="22"/>
          <w:szCs w:val="22"/>
        </w:rPr>
        <w:t xml:space="preserve"> y equidad</w:t>
      </w:r>
    </w:p>
    <w:p w:rsidR="00D54F2A" w:rsidRPr="00410628"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Los Estados Partes intentarán reconocer y promover el aporte </w:t>
      </w:r>
      <w:r w:rsidR="009F0E33">
        <w:rPr>
          <w:rFonts w:ascii="Arial" w:hAnsi="Arial" w:cs="Arial"/>
          <w:sz w:val="22"/>
          <w:szCs w:val="22"/>
        </w:rPr>
        <w:t xml:space="preserve">de la salvaguardia </w:t>
      </w:r>
      <w:r w:rsidRPr="0092706B">
        <w:rPr>
          <w:rFonts w:ascii="Arial" w:hAnsi="Arial" w:cs="Arial"/>
          <w:sz w:val="22"/>
          <w:szCs w:val="22"/>
        </w:rPr>
        <w:t>del patrimonio cultural inmaterial a la cohesión social, a la supresión de toda forma de discriminación</w:t>
      </w:r>
      <w:r w:rsidRPr="005557B3">
        <w:rPr>
          <w:rFonts w:ascii="Arial" w:hAnsi="Arial" w:cs="Arial"/>
          <w:sz w:val="22"/>
          <w:szCs w:val="22"/>
        </w:rPr>
        <w:t xml:space="preserve"> y al </w:t>
      </w:r>
      <w:r w:rsidR="009F0E33">
        <w:rPr>
          <w:rFonts w:ascii="Arial" w:hAnsi="Arial" w:cs="Arial"/>
          <w:sz w:val="22"/>
          <w:szCs w:val="22"/>
        </w:rPr>
        <w:t>fortalecimiento</w:t>
      </w:r>
      <w:r w:rsidR="009F0E33" w:rsidRPr="0092706B">
        <w:rPr>
          <w:rFonts w:ascii="Arial" w:hAnsi="Arial" w:cs="Arial"/>
          <w:sz w:val="22"/>
          <w:szCs w:val="22"/>
        </w:rPr>
        <w:t xml:space="preserve"> </w:t>
      </w:r>
      <w:r w:rsidRPr="001C4C46">
        <w:rPr>
          <w:rFonts w:ascii="Arial" w:hAnsi="Arial" w:cs="Arial"/>
          <w:sz w:val="22"/>
          <w:szCs w:val="22"/>
        </w:rPr>
        <w:t xml:space="preserve">del tejido social de las comunidades y grupos de forma inclusiva. Para ello, se invita a las </w:t>
      </w:r>
      <w:r w:rsidR="009F0E33">
        <w:rPr>
          <w:rFonts w:ascii="Arial" w:hAnsi="Arial" w:cs="Arial"/>
          <w:sz w:val="22"/>
          <w:szCs w:val="22"/>
        </w:rPr>
        <w:t>Estados P</w:t>
      </w:r>
      <w:r w:rsidR="009F0E33" w:rsidRPr="001C4C46">
        <w:rPr>
          <w:rFonts w:ascii="Arial" w:hAnsi="Arial" w:cs="Arial"/>
          <w:sz w:val="22"/>
          <w:szCs w:val="22"/>
        </w:rPr>
        <w:t xml:space="preserve">artes </w:t>
      </w:r>
      <w:r w:rsidRPr="001C4C46">
        <w:rPr>
          <w:rFonts w:ascii="Arial" w:hAnsi="Arial" w:cs="Arial"/>
          <w:sz w:val="22"/>
          <w:szCs w:val="22"/>
        </w:rPr>
        <w:t xml:space="preserve">a prestar especial atención a </w:t>
      </w:r>
      <w:r w:rsidR="009F0E33">
        <w:rPr>
          <w:rFonts w:ascii="Arial" w:hAnsi="Arial" w:cs="Arial"/>
          <w:sz w:val="22"/>
          <w:szCs w:val="22"/>
        </w:rPr>
        <w:t>aquellas</w:t>
      </w:r>
      <w:r w:rsidR="009F0E33" w:rsidRPr="001C4C46">
        <w:rPr>
          <w:rFonts w:ascii="Arial" w:hAnsi="Arial" w:cs="Arial"/>
          <w:sz w:val="22"/>
          <w:szCs w:val="22"/>
        </w:rPr>
        <w:t xml:space="preserve"> </w:t>
      </w:r>
      <w:r w:rsidRPr="001C4C46">
        <w:rPr>
          <w:rFonts w:ascii="Arial" w:hAnsi="Arial" w:cs="Arial"/>
          <w:sz w:val="22"/>
          <w:szCs w:val="22"/>
        </w:rPr>
        <w:t xml:space="preserve">prácticas, expresiones y conocimientos que </w:t>
      </w:r>
      <w:r w:rsidR="009F0E33" w:rsidRPr="001C4C46">
        <w:rPr>
          <w:rFonts w:ascii="Arial" w:hAnsi="Arial" w:cs="Arial"/>
          <w:sz w:val="22"/>
          <w:szCs w:val="22"/>
        </w:rPr>
        <w:t>ayud</w:t>
      </w:r>
      <w:r w:rsidR="009F0E33">
        <w:rPr>
          <w:rFonts w:ascii="Arial" w:hAnsi="Arial" w:cs="Arial"/>
          <w:sz w:val="22"/>
          <w:szCs w:val="22"/>
        </w:rPr>
        <w:t>a</w:t>
      </w:r>
      <w:r w:rsidR="009F0E33" w:rsidRPr="001C4C46">
        <w:rPr>
          <w:rFonts w:ascii="Arial" w:hAnsi="Arial" w:cs="Arial"/>
          <w:sz w:val="22"/>
          <w:szCs w:val="22"/>
        </w:rPr>
        <w:t xml:space="preserve">n </w:t>
      </w:r>
      <w:r w:rsidRPr="001C4C46">
        <w:rPr>
          <w:rFonts w:ascii="Arial" w:hAnsi="Arial" w:cs="Arial"/>
          <w:sz w:val="22"/>
          <w:szCs w:val="22"/>
        </w:rPr>
        <w:t xml:space="preserve">a las comunidades, grupos e individuos a superar y tratar diferencias de género, color, etnia, origen, clase y </w:t>
      </w:r>
      <w:r w:rsidR="009F0E33">
        <w:rPr>
          <w:rFonts w:ascii="Arial" w:hAnsi="Arial" w:cs="Arial"/>
          <w:sz w:val="22"/>
          <w:szCs w:val="22"/>
        </w:rPr>
        <w:t>localidad</w:t>
      </w:r>
      <w:r w:rsidRPr="001C4C46">
        <w:rPr>
          <w:rFonts w:ascii="Arial" w:hAnsi="Arial" w:cs="Arial"/>
          <w:sz w:val="22"/>
          <w:szCs w:val="22"/>
        </w:rPr>
        <w:t xml:space="preserve">, y a </w:t>
      </w:r>
      <w:r w:rsidR="009F0E33">
        <w:rPr>
          <w:rFonts w:ascii="Arial" w:hAnsi="Arial" w:cs="Arial"/>
          <w:sz w:val="22"/>
          <w:szCs w:val="22"/>
        </w:rPr>
        <w:t>aquellas</w:t>
      </w:r>
      <w:r w:rsidR="009F0E33" w:rsidRPr="001C4C46">
        <w:rPr>
          <w:rFonts w:ascii="Arial" w:hAnsi="Arial" w:cs="Arial"/>
          <w:sz w:val="22"/>
          <w:szCs w:val="22"/>
        </w:rPr>
        <w:t xml:space="preserve"> </w:t>
      </w:r>
      <w:r w:rsidRPr="001C4C46">
        <w:rPr>
          <w:rFonts w:ascii="Arial" w:hAnsi="Arial" w:cs="Arial"/>
          <w:sz w:val="22"/>
          <w:szCs w:val="22"/>
        </w:rPr>
        <w:t xml:space="preserve">que </w:t>
      </w:r>
      <w:r w:rsidR="009F0E33" w:rsidRPr="001C4C46">
        <w:rPr>
          <w:rFonts w:ascii="Arial" w:hAnsi="Arial" w:cs="Arial"/>
          <w:sz w:val="22"/>
          <w:szCs w:val="22"/>
        </w:rPr>
        <w:t>incluy</w:t>
      </w:r>
      <w:r w:rsidR="009F0E33">
        <w:rPr>
          <w:rFonts w:ascii="Arial" w:hAnsi="Arial" w:cs="Arial"/>
          <w:sz w:val="22"/>
          <w:szCs w:val="22"/>
        </w:rPr>
        <w:t>e</w:t>
      </w:r>
      <w:r w:rsidR="009F0E33" w:rsidRPr="001C4C46">
        <w:rPr>
          <w:rFonts w:ascii="Arial" w:hAnsi="Arial" w:cs="Arial"/>
          <w:sz w:val="22"/>
          <w:szCs w:val="22"/>
        </w:rPr>
        <w:t xml:space="preserve">n </w:t>
      </w:r>
      <w:r w:rsidR="009F0E33">
        <w:rPr>
          <w:rFonts w:ascii="Arial" w:hAnsi="Arial" w:cs="Arial"/>
          <w:sz w:val="22"/>
          <w:szCs w:val="22"/>
        </w:rPr>
        <w:t>ampliamente</w:t>
      </w:r>
      <w:r w:rsidR="009F0E33" w:rsidRPr="001C4C46">
        <w:rPr>
          <w:rFonts w:ascii="Arial" w:hAnsi="Arial" w:cs="Arial"/>
          <w:sz w:val="22"/>
          <w:szCs w:val="22"/>
        </w:rPr>
        <w:t xml:space="preserve"> </w:t>
      </w:r>
      <w:r w:rsidRPr="001C4C46">
        <w:rPr>
          <w:rFonts w:ascii="Arial" w:hAnsi="Arial" w:cs="Arial"/>
          <w:sz w:val="22"/>
          <w:szCs w:val="22"/>
        </w:rPr>
        <w:t>a todos los sectores y estratos de la sociedad, incluyendo a los indígenas, emigrantes, inmigrantes y refugiados, personas de diferentes edades y géneros, personas con discapacidades y miembros de grupos marginados.</w:t>
      </w:r>
    </w:p>
    <w:p w:rsidR="00D54F2A" w:rsidRPr="0092706B" w:rsidRDefault="00D54F2A" w:rsidP="00D54F2A">
      <w:pPr>
        <w:keepNext/>
        <w:spacing w:before="360" w:after="120"/>
        <w:ind w:firstLine="567"/>
        <w:jc w:val="both"/>
        <w:rPr>
          <w:rFonts w:ascii="Arial" w:hAnsi="Arial" w:cs="Arial"/>
          <w:b/>
          <w:color w:val="000000"/>
          <w:sz w:val="22"/>
          <w:szCs w:val="22"/>
        </w:rPr>
      </w:pPr>
      <w:r w:rsidRPr="0092706B">
        <w:rPr>
          <w:rFonts w:ascii="Arial" w:hAnsi="Arial" w:cs="Arial"/>
          <w:b/>
          <w:color w:val="000000"/>
          <w:sz w:val="22"/>
          <w:szCs w:val="22"/>
        </w:rPr>
        <w:lastRenderedPageBreak/>
        <w:t>VI.4.2</w:t>
      </w:r>
      <w:r w:rsidRPr="001C4C46">
        <w:rPr>
          <w:rFonts w:ascii="Arial" w:hAnsi="Arial" w:cs="Arial"/>
          <w:sz w:val="22"/>
          <w:szCs w:val="22"/>
        </w:rPr>
        <w:tab/>
      </w:r>
      <w:r w:rsidR="009F0E33" w:rsidRPr="009F0E33">
        <w:rPr>
          <w:rFonts w:ascii="Arial" w:hAnsi="Arial" w:cs="Arial"/>
          <w:b/>
          <w:color w:val="000000"/>
          <w:sz w:val="22"/>
          <w:szCs w:val="22"/>
        </w:rPr>
        <w:t>Prevención y resolución de conflictos</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5557B3">
        <w:rPr>
          <w:rFonts w:ascii="Arial" w:hAnsi="Arial" w:cs="Arial"/>
          <w:sz w:val="22"/>
          <w:szCs w:val="22"/>
        </w:rPr>
        <w:t xml:space="preserve">Los Estados Partes intentarán reconocer, promover y </w:t>
      </w:r>
      <w:r w:rsidR="006315DF">
        <w:rPr>
          <w:rFonts w:ascii="Arial" w:hAnsi="Arial" w:cs="Arial"/>
          <w:sz w:val="22"/>
          <w:szCs w:val="22"/>
        </w:rPr>
        <w:t>valorizar</w:t>
      </w:r>
      <w:r w:rsidR="006315DF" w:rsidRPr="0092706B">
        <w:rPr>
          <w:rFonts w:ascii="Arial" w:hAnsi="Arial" w:cs="Arial"/>
          <w:sz w:val="22"/>
          <w:szCs w:val="22"/>
        </w:rPr>
        <w:t xml:space="preserve"> </w:t>
      </w:r>
      <w:r w:rsidRPr="0092706B">
        <w:rPr>
          <w:rFonts w:ascii="Arial" w:hAnsi="Arial" w:cs="Arial"/>
          <w:sz w:val="22"/>
          <w:szCs w:val="22"/>
        </w:rPr>
        <w:t xml:space="preserve">el aporte del patrimonio cultural inmaterial a la prevención </w:t>
      </w:r>
      <w:r w:rsidRPr="005557B3">
        <w:rPr>
          <w:rFonts w:ascii="Arial" w:hAnsi="Arial" w:cs="Arial"/>
          <w:sz w:val="22"/>
          <w:szCs w:val="22"/>
        </w:rPr>
        <w:t>y la resolución pacífica de conflictos. Para ello, se invita a los Estados Partes a:</w:t>
      </w:r>
    </w:p>
    <w:p w:rsidR="00D54F2A" w:rsidRPr="00410628"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1A298C">
        <w:rPr>
          <w:rFonts w:ascii="Arial" w:hAnsi="Arial" w:cs="Arial"/>
          <w:sz w:val="22"/>
          <w:szCs w:val="22"/>
        </w:rPr>
        <w:t xml:space="preserve">promover metodologías de investigación y estudios científicos, incluyendo los realizados por las </w:t>
      </w:r>
      <w:r w:rsidR="00190BD4">
        <w:rPr>
          <w:rFonts w:ascii="Arial" w:hAnsi="Arial" w:cs="Arial"/>
          <w:sz w:val="22"/>
          <w:szCs w:val="22"/>
        </w:rPr>
        <w:t xml:space="preserve">propias </w:t>
      </w:r>
      <w:r w:rsidRPr="0092706B">
        <w:rPr>
          <w:rFonts w:ascii="Arial" w:hAnsi="Arial" w:cs="Arial"/>
          <w:sz w:val="22"/>
          <w:szCs w:val="22"/>
        </w:rPr>
        <w:t xml:space="preserve">comunidades y grupos, orientados a </w:t>
      </w:r>
      <w:r w:rsidR="006315DF">
        <w:rPr>
          <w:rFonts w:ascii="Arial" w:hAnsi="Arial" w:cs="Arial"/>
          <w:sz w:val="22"/>
          <w:szCs w:val="22"/>
        </w:rPr>
        <w:t xml:space="preserve">mostrar las </w:t>
      </w:r>
      <w:r w:rsidRPr="0092706B">
        <w:rPr>
          <w:rFonts w:ascii="Arial" w:hAnsi="Arial" w:cs="Arial"/>
          <w:sz w:val="22"/>
          <w:szCs w:val="22"/>
        </w:rPr>
        <w:t xml:space="preserve">expresiones, prácticas y representaciones del patrimonio cultural inmaterial como </w:t>
      </w:r>
      <w:r w:rsidR="006315DF" w:rsidRPr="005557B3">
        <w:rPr>
          <w:rFonts w:ascii="Arial" w:hAnsi="Arial" w:cs="Arial"/>
          <w:sz w:val="22"/>
          <w:szCs w:val="22"/>
        </w:rPr>
        <w:t>facilitador</w:t>
      </w:r>
      <w:r w:rsidR="006315DF">
        <w:rPr>
          <w:rFonts w:ascii="Arial" w:hAnsi="Arial" w:cs="Arial"/>
          <w:sz w:val="22"/>
          <w:szCs w:val="22"/>
        </w:rPr>
        <w:t>a</w:t>
      </w:r>
      <w:r w:rsidR="006315DF" w:rsidRPr="0092706B">
        <w:rPr>
          <w:rFonts w:ascii="Arial" w:hAnsi="Arial" w:cs="Arial"/>
          <w:sz w:val="22"/>
          <w:szCs w:val="22"/>
        </w:rPr>
        <w:t xml:space="preserve">s </w:t>
      </w:r>
      <w:r w:rsidRPr="0092706B">
        <w:rPr>
          <w:rFonts w:ascii="Arial" w:hAnsi="Arial" w:cs="Arial"/>
          <w:sz w:val="22"/>
          <w:szCs w:val="22"/>
        </w:rPr>
        <w:t xml:space="preserve">de la prevención </w:t>
      </w:r>
      <w:r w:rsidRPr="005557B3">
        <w:rPr>
          <w:rFonts w:ascii="Arial" w:hAnsi="Arial" w:cs="Arial"/>
          <w:sz w:val="22"/>
          <w:szCs w:val="22"/>
        </w:rPr>
        <w:t>y la resolución pacífica de conflictos</w:t>
      </w:r>
      <w:r w:rsidRPr="001C4C46">
        <w:rPr>
          <w:rFonts w:ascii="Arial" w:hAnsi="Arial" w:cs="Arial"/>
          <w:sz w:val="22"/>
          <w:szCs w:val="22"/>
        </w:rPr>
        <w:t>;</w:t>
      </w:r>
    </w:p>
    <w:p w:rsidR="00D54F2A" w:rsidRPr="0092706B" w:rsidRDefault="00D54F2A" w:rsidP="00D54F2A">
      <w:pPr>
        <w:pStyle w:val="ListParagraph"/>
        <w:keepNext/>
        <w:numPr>
          <w:ilvl w:val="1"/>
          <w:numId w:val="36"/>
        </w:numPr>
        <w:autoSpaceDE w:val="0"/>
        <w:autoSpaceDN w:val="0"/>
        <w:adjustRightInd w:val="0"/>
        <w:spacing w:after="120"/>
        <w:ind w:left="1134" w:hanging="567"/>
        <w:contextualSpacing w:val="0"/>
        <w:jc w:val="both"/>
        <w:rPr>
          <w:rFonts w:ascii="Arial" w:hAnsi="Arial" w:cs="Arial"/>
          <w:sz w:val="22"/>
          <w:szCs w:val="22"/>
        </w:rPr>
      </w:pPr>
      <w:r w:rsidRPr="0092706B">
        <w:rPr>
          <w:rFonts w:ascii="Arial" w:hAnsi="Arial" w:cs="Arial"/>
          <w:sz w:val="22"/>
          <w:szCs w:val="22"/>
        </w:rPr>
        <w:t xml:space="preserve">adoptar las medidas de orden jurídico, técnico, administrativo y financiero </w:t>
      </w:r>
      <w:r w:rsidR="006C3C5F">
        <w:rPr>
          <w:rFonts w:ascii="Arial" w:hAnsi="Arial" w:cs="Arial"/>
          <w:sz w:val="22"/>
          <w:szCs w:val="22"/>
        </w:rPr>
        <w:t xml:space="preserve">adecuadas </w:t>
      </w:r>
      <w:r w:rsidRPr="0092706B">
        <w:rPr>
          <w:rFonts w:ascii="Arial" w:hAnsi="Arial" w:cs="Arial"/>
          <w:sz w:val="22"/>
          <w:szCs w:val="22"/>
        </w:rPr>
        <w:t>para:</w:t>
      </w:r>
    </w:p>
    <w:p w:rsidR="00D54F2A" w:rsidRPr="005557B3" w:rsidRDefault="00D54F2A" w:rsidP="00D54F2A">
      <w:pPr>
        <w:pStyle w:val="ListParagraph"/>
        <w:keepNext/>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apoyar dichas expresiones, prácticas y representaciones;</w:t>
      </w:r>
    </w:p>
    <w:p w:rsidR="00D54F2A" w:rsidRPr="005557B3"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 xml:space="preserve">integrarlas </w:t>
      </w:r>
      <w:r w:rsidR="006315DF">
        <w:rPr>
          <w:rFonts w:ascii="Arial" w:hAnsi="Arial" w:cs="Arial"/>
          <w:sz w:val="22"/>
          <w:szCs w:val="22"/>
        </w:rPr>
        <w:t>en</w:t>
      </w:r>
      <w:r w:rsidR="006315DF" w:rsidRPr="0092706B">
        <w:rPr>
          <w:rFonts w:ascii="Arial" w:hAnsi="Arial" w:cs="Arial"/>
          <w:sz w:val="22"/>
          <w:szCs w:val="22"/>
        </w:rPr>
        <w:t xml:space="preserve"> </w:t>
      </w:r>
      <w:r w:rsidRPr="0092706B">
        <w:rPr>
          <w:rFonts w:ascii="Arial" w:hAnsi="Arial" w:cs="Arial"/>
          <w:sz w:val="22"/>
          <w:szCs w:val="22"/>
        </w:rPr>
        <w:t xml:space="preserve">políticas y programas públicos; </w:t>
      </w:r>
    </w:p>
    <w:p w:rsidR="00D54F2A" w:rsidRPr="0092706B" w:rsidRDefault="00D54F2A"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5557B3">
        <w:rPr>
          <w:rFonts w:ascii="Arial" w:hAnsi="Arial" w:cs="Arial"/>
          <w:sz w:val="22"/>
          <w:szCs w:val="22"/>
        </w:rPr>
        <w:t xml:space="preserve">reducir su vulnerabilidad durante y </w:t>
      </w:r>
      <w:r w:rsidR="006315DF">
        <w:rPr>
          <w:rFonts w:ascii="Arial" w:hAnsi="Arial" w:cs="Arial"/>
          <w:sz w:val="22"/>
          <w:szCs w:val="22"/>
        </w:rPr>
        <w:t>después</w:t>
      </w:r>
      <w:r w:rsidR="006315DF" w:rsidRPr="0092706B">
        <w:rPr>
          <w:rFonts w:ascii="Arial" w:hAnsi="Arial" w:cs="Arial"/>
          <w:sz w:val="22"/>
          <w:szCs w:val="22"/>
        </w:rPr>
        <w:t xml:space="preserve"> </w:t>
      </w:r>
      <w:r w:rsidRPr="0092706B">
        <w:rPr>
          <w:rFonts w:ascii="Arial" w:hAnsi="Arial" w:cs="Arial"/>
          <w:sz w:val="22"/>
          <w:szCs w:val="22"/>
        </w:rPr>
        <w:t>de</w:t>
      </w:r>
      <w:r w:rsidR="006315DF">
        <w:rPr>
          <w:rFonts w:ascii="Arial" w:hAnsi="Arial" w:cs="Arial"/>
          <w:sz w:val="22"/>
          <w:szCs w:val="22"/>
        </w:rPr>
        <w:t xml:space="preserve"> </w:t>
      </w:r>
      <w:r w:rsidRPr="0092706B">
        <w:rPr>
          <w:rFonts w:ascii="Arial" w:hAnsi="Arial" w:cs="Arial"/>
          <w:sz w:val="22"/>
          <w:szCs w:val="22"/>
        </w:rPr>
        <w:t>l</w:t>
      </w:r>
      <w:r w:rsidR="006315DF">
        <w:rPr>
          <w:rFonts w:ascii="Arial" w:hAnsi="Arial" w:cs="Arial"/>
          <w:sz w:val="22"/>
          <w:szCs w:val="22"/>
        </w:rPr>
        <w:t>os</w:t>
      </w:r>
      <w:r w:rsidRPr="0092706B">
        <w:rPr>
          <w:rFonts w:ascii="Arial" w:hAnsi="Arial" w:cs="Arial"/>
          <w:sz w:val="22"/>
          <w:szCs w:val="22"/>
        </w:rPr>
        <w:t xml:space="preserve"> conflicto</w:t>
      </w:r>
      <w:r w:rsidR="006315DF">
        <w:rPr>
          <w:rFonts w:ascii="Arial" w:hAnsi="Arial" w:cs="Arial"/>
          <w:sz w:val="22"/>
          <w:szCs w:val="22"/>
        </w:rPr>
        <w:t>s</w:t>
      </w:r>
      <w:r w:rsidRPr="0092706B">
        <w:rPr>
          <w:rFonts w:ascii="Arial" w:hAnsi="Arial" w:cs="Arial"/>
          <w:sz w:val="22"/>
          <w:szCs w:val="22"/>
        </w:rPr>
        <w:t>;</w:t>
      </w:r>
    </w:p>
    <w:p w:rsidR="00D54F2A" w:rsidRPr="005557B3" w:rsidRDefault="006315DF" w:rsidP="00D54F2A">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rPr>
      </w:pPr>
      <w:r>
        <w:rPr>
          <w:rFonts w:ascii="Arial" w:hAnsi="Arial" w:cs="Arial"/>
          <w:sz w:val="22"/>
          <w:szCs w:val="22"/>
        </w:rPr>
        <w:t>considerarlas, en todo lo posible,</w:t>
      </w:r>
      <w:r w:rsidR="00D54F2A" w:rsidRPr="0092706B">
        <w:rPr>
          <w:rFonts w:ascii="Arial" w:hAnsi="Arial" w:cs="Arial"/>
          <w:sz w:val="22"/>
          <w:szCs w:val="22"/>
        </w:rPr>
        <w:t xml:space="preserve"> como complementos </w:t>
      </w:r>
      <w:r>
        <w:rPr>
          <w:rFonts w:ascii="Arial" w:hAnsi="Arial" w:cs="Arial"/>
          <w:sz w:val="22"/>
          <w:szCs w:val="22"/>
        </w:rPr>
        <w:t>de</w:t>
      </w:r>
      <w:r w:rsidRPr="0092706B">
        <w:rPr>
          <w:rFonts w:ascii="Arial" w:hAnsi="Arial" w:cs="Arial"/>
          <w:sz w:val="22"/>
          <w:szCs w:val="22"/>
        </w:rPr>
        <w:t xml:space="preserve"> </w:t>
      </w:r>
      <w:r w:rsidR="00D54F2A" w:rsidRPr="0092706B">
        <w:rPr>
          <w:rFonts w:ascii="Arial" w:hAnsi="Arial" w:cs="Arial"/>
          <w:sz w:val="22"/>
          <w:szCs w:val="22"/>
        </w:rPr>
        <w:t xml:space="preserve">otros mecanismos legales y administrativos de prevención </w:t>
      </w:r>
      <w:r w:rsidR="00D54F2A" w:rsidRPr="005557B3">
        <w:rPr>
          <w:rFonts w:ascii="Arial" w:hAnsi="Arial" w:cs="Arial"/>
          <w:sz w:val="22"/>
          <w:szCs w:val="22"/>
        </w:rPr>
        <w:t>y resolución pacífica de conflictos.</w:t>
      </w:r>
    </w:p>
    <w:p w:rsidR="00D54F2A" w:rsidRPr="0092706B" w:rsidRDefault="00D54F2A" w:rsidP="00D54F2A">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t>VI.4.3</w:t>
      </w:r>
      <w:r w:rsidRPr="001C4C46">
        <w:rPr>
          <w:rFonts w:ascii="Arial" w:hAnsi="Arial" w:cs="Arial"/>
          <w:sz w:val="22"/>
          <w:szCs w:val="22"/>
        </w:rPr>
        <w:tab/>
      </w:r>
      <w:r w:rsidR="006315DF">
        <w:rPr>
          <w:rFonts w:ascii="Arial" w:hAnsi="Arial" w:cs="Arial"/>
          <w:b/>
          <w:color w:val="000000"/>
          <w:sz w:val="22"/>
          <w:szCs w:val="22"/>
        </w:rPr>
        <w:t>R</w:t>
      </w:r>
      <w:r w:rsidR="006315DF" w:rsidRPr="006315DF">
        <w:rPr>
          <w:rFonts w:ascii="Arial" w:hAnsi="Arial" w:cs="Arial"/>
          <w:b/>
          <w:color w:val="000000"/>
          <w:sz w:val="22"/>
          <w:szCs w:val="22"/>
        </w:rPr>
        <w:t>estauración de la paz y la seguridad</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92706B">
        <w:rPr>
          <w:rFonts w:ascii="Arial" w:hAnsi="Arial" w:cs="Arial"/>
          <w:sz w:val="22"/>
          <w:szCs w:val="22"/>
        </w:rPr>
        <w:t xml:space="preserve">Los Estados Partes intentarán aprovechar al máximo el </w:t>
      </w:r>
      <w:r w:rsidR="006315DF">
        <w:rPr>
          <w:rFonts w:ascii="Arial" w:hAnsi="Arial" w:cs="Arial"/>
          <w:sz w:val="22"/>
          <w:szCs w:val="22"/>
        </w:rPr>
        <w:t>papel</w:t>
      </w:r>
      <w:r w:rsidR="006315DF" w:rsidRPr="0092706B">
        <w:rPr>
          <w:rFonts w:ascii="Arial" w:hAnsi="Arial" w:cs="Arial"/>
          <w:sz w:val="22"/>
          <w:szCs w:val="22"/>
        </w:rPr>
        <w:t xml:space="preserve"> </w:t>
      </w:r>
      <w:r w:rsidRPr="0092706B">
        <w:rPr>
          <w:rFonts w:ascii="Arial" w:hAnsi="Arial" w:cs="Arial"/>
          <w:sz w:val="22"/>
          <w:szCs w:val="22"/>
        </w:rPr>
        <w:t>potencial del pa</w:t>
      </w:r>
      <w:r w:rsidRPr="005557B3">
        <w:rPr>
          <w:rFonts w:ascii="Arial" w:hAnsi="Arial" w:cs="Arial"/>
          <w:sz w:val="22"/>
          <w:szCs w:val="22"/>
        </w:rPr>
        <w:t xml:space="preserve">trimonio cultural inmaterial en </w:t>
      </w:r>
      <w:r w:rsidR="006315DF">
        <w:rPr>
          <w:rFonts w:ascii="Arial" w:hAnsi="Arial" w:cs="Arial"/>
          <w:sz w:val="22"/>
          <w:szCs w:val="22"/>
        </w:rPr>
        <w:t>la restauración</w:t>
      </w:r>
      <w:r w:rsidRPr="0092706B">
        <w:rPr>
          <w:rFonts w:ascii="Arial" w:hAnsi="Arial" w:cs="Arial"/>
          <w:sz w:val="22"/>
          <w:szCs w:val="22"/>
        </w:rPr>
        <w:t xml:space="preserve"> de la paz, la reconciliación entre partes, el restablecimiento de la seguridad </w:t>
      </w:r>
      <w:r w:rsidRPr="005557B3">
        <w:rPr>
          <w:rFonts w:ascii="Arial" w:hAnsi="Arial" w:cs="Arial"/>
          <w:sz w:val="22"/>
          <w:szCs w:val="22"/>
        </w:rPr>
        <w:t>y la recuperación de comunidades, grupos e individuos. Para ello, se invita a los Estados Partes 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promover metodologías de investigación y estudios científicos, incluyendo los realizados por las</w:t>
      </w:r>
      <w:r w:rsidR="00190BD4">
        <w:rPr>
          <w:rFonts w:ascii="Arial" w:hAnsi="Arial" w:cs="Arial"/>
          <w:sz w:val="22"/>
          <w:szCs w:val="22"/>
        </w:rPr>
        <w:t xml:space="preserve"> propias</w:t>
      </w:r>
      <w:r w:rsidRPr="0092706B">
        <w:rPr>
          <w:rFonts w:ascii="Arial" w:hAnsi="Arial" w:cs="Arial"/>
          <w:sz w:val="22"/>
          <w:szCs w:val="22"/>
        </w:rPr>
        <w:t xml:space="preserve"> comunidades y grupos, orientados a comprender cómo el patrimonio cultural inmaterial puede contribuir </w:t>
      </w:r>
      <w:r w:rsidR="004C4840">
        <w:rPr>
          <w:rFonts w:ascii="Arial" w:hAnsi="Arial" w:cs="Arial"/>
          <w:sz w:val="22"/>
          <w:szCs w:val="22"/>
        </w:rPr>
        <w:t>a la restauración</w:t>
      </w:r>
      <w:r w:rsidRPr="0092706B">
        <w:rPr>
          <w:rFonts w:ascii="Arial" w:hAnsi="Arial" w:cs="Arial"/>
          <w:sz w:val="22"/>
          <w:szCs w:val="22"/>
        </w:rPr>
        <w:t xml:space="preserve"> de la paz, la reconciliación entre la</w:t>
      </w:r>
      <w:r w:rsidRPr="005557B3">
        <w:rPr>
          <w:rFonts w:ascii="Arial" w:hAnsi="Arial" w:cs="Arial"/>
          <w:sz w:val="22"/>
          <w:szCs w:val="22"/>
        </w:rPr>
        <w:t>s partes, el restablecimiento de la seguridad y la recuperación de comunidades, grupos e individuos;</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adoptar las medidas de orden jurídico, técnico, administrativo y financiero</w:t>
      </w:r>
      <w:r w:rsidR="004C4840">
        <w:rPr>
          <w:rFonts w:ascii="Arial" w:hAnsi="Arial" w:cs="Arial"/>
          <w:sz w:val="22"/>
          <w:szCs w:val="22"/>
        </w:rPr>
        <w:t xml:space="preserve"> adecuadas</w:t>
      </w:r>
      <w:r w:rsidRPr="0092706B">
        <w:rPr>
          <w:rFonts w:ascii="Arial" w:hAnsi="Arial" w:cs="Arial"/>
          <w:sz w:val="22"/>
          <w:szCs w:val="22"/>
        </w:rPr>
        <w:t>, para integrar dicho patrimonio cultural inmaterial en las pol</w:t>
      </w:r>
      <w:r w:rsidRPr="005557B3">
        <w:rPr>
          <w:rFonts w:ascii="Arial" w:hAnsi="Arial" w:cs="Arial"/>
          <w:sz w:val="22"/>
          <w:szCs w:val="22"/>
        </w:rPr>
        <w:t xml:space="preserve">íticas y programas públicos destinados </w:t>
      </w:r>
      <w:r w:rsidR="004C4840">
        <w:rPr>
          <w:rFonts w:ascii="Arial" w:hAnsi="Arial" w:cs="Arial"/>
          <w:sz w:val="22"/>
          <w:szCs w:val="22"/>
        </w:rPr>
        <w:t>a la restauración</w:t>
      </w:r>
      <w:r w:rsidRPr="0092706B">
        <w:rPr>
          <w:rFonts w:ascii="Arial" w:hAnsi="Arial" w:cs="Arial"/>
          <w:sz w:val="22"/>
          <w:szCs w:val="22"/>
        </w:rPr>
        <w:t xml:space="preserve"> de la paz, la reconciliación entre las partes, el restablecimiento de la seguridad </w:t>
      </w:r>
      <w:r w:rsidRPr="005557B3">
        <w:rPr>
          <w:rFonts w:ascii="Arial" w:hAnsi="Arial" w:cs="Arial"/>
          <w:sz w:val="22"/>
          <w:szCs w:val="22"/>
        </w:rPr>
        <w:t>y la recuperación de comunidades, grupos e individuos.</w:t>
      </w:r>
    </w:p>
    <w:p w:rsidR="00D54F2A" w:rsidRPr="00410628" w:rsidRDefault="00D54F2A" w:rsidP="00D54F2A">
      <w:pPr>
        <w:keepNext/>
        <w:spacing w:before="360" w:after="120"/>
        <w:ind w:firstLine="567"/>
        <w:jc w:val="both"/>
        <w:rPr>
          <w:rFonts w:ascii="Arial" w:hAnsi="Arial" w:cs="Arial"/>
          <w:b/>
          <w:color w:val="000000"/>
          <w:sz w:val="22"/>
          <w:szCs w:val="22"/>
        </w:rPr>
      </w:pPr>
      <w:r w:rsidRPr="005557B3">
        <w:rPr>
          <w:rFonts w:ascii="Arial" w:hAnsi="Arial" w:cs="Arial"/>
          <w:b/>
          <w:color w:val="000000"/>
          <w:sz w:val="22"/>
          <w:szCs w:val="22"/>
        </w:rPr>
        <w:t xml:space="preserve">VI.4.4 </w:t>
      </w:r>
      <w:r w:rsidR="004C4840">
        <w:rPr>
          <w:rFonts w:ascii="Arial" w:hAnsi="Arial" w:cs="Arial"/>
          <w:b/>
          <w:color w:val="000000"/>
          <w:sz w:val="22"/>
          <w:szCs w:val="22"/>
        </w:rPr>
        <w:t xml:space="preserve">El logro de </w:t>
      </w:r>
      <w:r w:rsidRPr="0092706B">
        <w:rPr>
          <w:rFonts w:ascii="Arial" w:hAnsi="Arial" w:cs="Arial"/>
          <w:b/>
          <w:color w:val="000000"/>
          <w:sz w:val="22"/>
          <w:szCs w:val="22"/>
        </w:rPr>
        <w:t xml:space="preserve">una paz y </w:t>
      </w:r>
      <w:r w:rsidR="004C4840">
        <w:rPr>
          <w:rFonts w:ascii="Arial" w:hAnsi="Arial" w:cs="Arial"/>
          <w:b/>
          <w:color w:val="000000"/>
          <w:sz w:val="22"/>
          <w:szCs w:val="22"/>
        </w:rPr>
        <w:t xml:space="preserve">una </w:t>
      </w:r>
      <w:r w:rsidRPr="0092706B">
        <w:rPr>
          <w:rFonts w:ascii="Arial" w:hAnsi="Arial" w:cs="Arial"/>
          <w:b/>
          <w:color w:val="000000"/>
          <w:sz w:val="22"/>
          <w:szCs w:val="22"/>
        </w:rPr>
        <w:t xml:space="preserve">seguridad </w:t>
      </w:r>
      <w:r w:rsidRPr="001C4C46">
        <w:rPr>
          <w:rFonts w:ascii="Arial" w:hAnsi="Arial" w:cs="Arial"/>
          <w:b/>
          <w:sz w:val="22"/>
          <w:szCs w:val="22"/>
        </w:rPr>
        <w:t>permanentes</w:t>
      </w:r>
    </w:p>
    <w:p w:rsidR="00D54F2A" w:rsidRPr="005557B3" w:rsidRDefault="00D54F2A" w:rsidP="00D54F2A">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rPr>
      </w:pPr>
      <w:r w:rsidRPr="0092706B">
        <w:rPr>
          <w:rFonts w:ascii="Arial" w:hAnsi="Arial" w:cs="Arial"/>
          <w:sz w:val="22"/>
          <w:szCs w:val="22"/>
        </w:rPr>
        <w:t xml:space="preserve">Los Estados Partes intentarán reconocer, promover y </w:t>
      </w:r>
      <w:r w:rsidR="00EA41B4">
        <w:rPr>
          <w:rFonts w:ascii="Arial" w:hAnsi="Arial" w:cs="Arial"/>
          <w:sz w:val="22"/>
          <w:szCs w:val="22"/>
        </w:rPr>
        <w:t>valorizar</w:t>
      </w:r>
      <w:r w:rsidR="00EA41B4" w:rsidRPr="0092706B">
        <w:rPr>
          <w:rFonts w:ascii="Arial" w:hAnsi="Arial" w:cs="Arial"/>
          <w:sz w:val="22"/>
          <w:szCs w:val="22"/>
        </w:rPr>
        <w:t xml:space="preserve"> </w:t>
      </w:r>
      <w:r w:rsidRPr="0092706B">
        <w:rPr>
          <w:rFonts w:ascii="Arial" w:hAnsi="Arial" w:cs="Arial"/>
          <w:sz w:val="22"/>
          <w:szCs w:val="22"/>
        </w:rPr>
        <w:t>la contribución de la salvaguardia del patrimonio cultural inmaterial de comunidades, grupos e individuos a la construcción de una paz y</w:t>
      </w:r>
      <w:r w:rsidR="00EA41B4">
        <w:rPr>
          <w:rFonts w:ascii="Arial" w:hAnsi="Arial" w:cs="Arial"/>
          <w:sz w:val="22"/>
          <w:szCs w:val="22"/>
        </w:rPr>
        <w:t xml:space="preserve"> una</w:t>
      </w:r>
      <w:r w:rsidRPr="0092706B">
        <w:rPr>
          <w:rFonts w:ascii="Arial" w:hAnsi="Arial" w:cs="Arial"/>
          <w:sz w:val="22"/>
          <w:szCs w:val="22"/>
        </w:rPr>
        <w:t xml:space="preserve"> seguridad </w:t>
      </w:r>
      <w:r w:rsidR="00EA41B4">
        <w:rPr>
          <w:rFonts w:ascii="Arial" w:hAnsi="Arial" w:cs="Arial"/>
          <w:sz w:val="22"/>
          <w:szCs w:val="22"/>
        </w:rPr>
        <w:t>duraderas</w:t>
      </w:r>
      <w:r w:rsidRPr="0092706B">
        <w:rPr>
          <w:rFonts w:ascii="Arial" w:hAnsi="Arial" w:cs="Arial"/>
          <w:sz w:val="22"/>
          <w:szCs w:val="22"/>
        </w:rPr>
        <w:t>. Para ello, se invita a los Estados Partes a:</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garantizar que sus esfuerzos de salvaguardia reconozcan e incluyan plenamente el patrimonio cultural inmaterial de los pueblos indígenas, emigrantes, inmigrantes y refugiados, personas de diferentes edades y géneros, personas con discapacidades, y miembros de grupos vulnerables;</w:t>
      </w:r>
    </w:p>
    <w:p w:rsidR="00D54F2A" w:rsidRPr="005557B3" w:rsidRDefault="00D54F2A"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sidRPr="005557B3">
        <w:rPr>
          <w:rFonts w:ascii="Arial" w:hAnsi="Arial" w:cs="Arial"/>
          <w:sz w:val="22"/>
          <w:szCs w:val="22"/>
        </w:rPr>
        <w:t xml:space="preserve">aprovechar al máximo la contribución de la salvaguardia del patrimonio cultural inmaterial a la gobernanza democrática y a los derechos humanos, garantizando la participación más </w:t>
      </w:r>
      <w:r w:rsidR="00EA41B4">
        <w:rPr>
          <w:rFonts w:ascii="Arial" w:hAnsi="Arial" w:cs="Arial"/>
          <w:sz w:val="22"/>
          <w:szCs w:val="22"/>
        </w:rPr>
        <w:t>amplia</w:t>
      </w:r>
      <w:r w:rsidR="00EA41B4" w:rsidRPr="0092706B">
        <w:rPr>
          <w:rFonts w:ascii="Arial" w:hAnsi="Arial" w:cs="Arial"/>
          <w:sz w:val="22"/>
          <w:szCs w:val="22"/>
        </w:rPr>
        <w:t xml:space="preserve"> </w:t>
      </w:r>
      <w:r w:rsidRPr="0092706B">
        <w:rPr>
          <w:rFonts w:ascii="Arial" w:hAnsi="Arial" w:cs="Arial"/>
          <w:sz w:val="22"/>
          <w:szCs w:val="22"/>
        </w:rPr>
        <w:t>posible de las comunidades, g</w:t>
      </w:r>
      <w:r w:rsidRPr="005557B3">
        <w:rPr>
          <w:rFonts w:ascii="Arial" w:hAnsi="Arial" w:cs="Arial"/>
          <w:sz w:val="22"/>
          <w:szCs w:val="22"/>
        </w:rPr>
        <w:t>rupos e individuos;</w:t>
      </w:r>
    </w:p>
    <w:p w:rsidR="00D54F2A" w:rsidRPr="001C4C46" w:rsidRDefault="00EA41B4" w:rsidP="00D54F2A">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rPr>
      </w:pPr>
      <w:r>
        <w:rPr>
          <w:rFonts w:ascii="Arial" w:hAnsi="Arial" w:cs="Arial"/>
          <w:sz w:val="22"/>
          <w:szCs w:val="22"/>
        </w:rPr>
        <w:t>realizar</w:t>
      </w:r>
      <w:r w:rsidRPr="0092706B">
        <w:rPr>
          <w:rFonts w:ascii="Arial" w:hAnsi="Arial" w:cs="Arial"/>
          <w:sz w:val="22"/>
          <w:szCs w:val="22"/>
        </w:rPr>
        <w:t xml:space="preserve"> </w:t>
      </w:r>
      <w:r w:rsidR="00D54F2A" w:rsidRPr="0092706B">
        <w:rPr>
          <w:rFonts w:ascii="Arial" w:hAnsi="Arial" w:cs="Arial"/>
          <w:sz w:val="22"/>
          <w:szCs w:val="22"/>
        </w:rPr>
        <w:t xml:space="preserve">el potencial </w:t>
      </w:r>
      <w:r w:rsidR="00D54F2A" w:rsidRPr="00EA41B4">
        <w:rPr>
          <w:rFonts w:ascii="Arial" w:hAnsi="Arial" w:cs="Arial"/>
          <w:sz w:val="22"/>
          <w:szCs w:val="22"/>
        </w:rPr>
        <w:t xml:space="preserve">para </w:t>
      </w:r>
      <w:r>
        <w:rPr>
          <w:rFonts w:ascii="Arial" w:hAnsi="Arial" w:cs="Arial"/>
          <w:sz w:val="22"/>
          <w:szCs w:val="22"/>
        </w:rPr>
        <w:t>la consolidación</w:t>
      </w:r>
      <w:r w:rsidR="00D54F2A" w:rsidRPr="0092706B">
        <w:rPr>
          <w:rFonts w:ascii="Arial" w:hAnsi="Arial" w:cs="Arial"/>
          <w:sz w:val="22"/>
          <w:szCs w:val="22"/>
        </w:rPr>
        <w:t xml:space="preserve"> de la paz de los esfuerzos de sal</w:t>
      </w:r>
      <w:r w:rsidR="00D54F2A" w:rsidRPr="00EA41B4">
        <w:rPr>
          <w:rFonts w:ascii="Arial" w:hAnsi="Arial" w:cs="Arial"/>
          <w:sz w:val="22"/>
          <w:szCs w:val="22"/>
        </w:rPr>
        <w:t xml:space="preserve">vaguardia </w:t>
      </w:r>
      <w:r w:rsidR="00D54F2A" w:rsidRPr="0092706B">
        <w:rPr>
          <w:rFonts w:ascii="Arial" w:hAnsi="Arial" w:cs="Arial"/>
          <w:sz w:val="22"/>
          <w:szCs w:val="22"/>
        </w:rPr>
        <w:t xml:space="preserve">que </w:t>
      </w:r>
      <w:r>
        <w:rPr>
          <w:rFonts w:ascii="Arial" w:hAnsi="Arial" w:cs="Arial"/>
          <w:sz w:val="22"/>
          <w:szCs w:val="22"/>
        </w:rPr>
        <w:t>implican</w:t>
      </w:r>
      <w:r w:rsidRPr="0092706B">
        <w:rPr>
          <w:rFonts w:ascii="Arial" w:hAnsi="Arial" w:cs="Arial"/>
          <w:sz w:val="22"/>
          <w:szCs w:val="22"/>
        </w:rPr>
        <w:t xml:space="preserve"> </w:t>
      </w:r>
      <w:r>
        <w:rPr>
          <w:rFonts w:ascii="Arial" w:hAnsi="Arial" w:cs="Arial"/>
          <w:sz w:val="22"/>
          <w:szCs w:val="22"/>
        </w:rPr>
        <w:t xml:space="preserve">el </w:t>
      </w:r>
      <w:r w:rsidR="00D54F2A" w:rsidRPr="0092706B">
        <w:rPr>
          <w:rFonts w:ascii="Arial" w:hAnsi="Arial" w:cs="Arial"/>
          <w:sz w:val="22"/>
          <w:szCs w:val="22"/>
        </w:rPr>
        <w:t>diálogo</w:t>
      </w:r>
      <w:r w:rsidR="00D54F2A" w:rsidRPr="005557B3">
        <w:rPr>
          <w:rFonts w:ascii="Arial" w:hAnsi="Arial" w:cs="Arial"/>
          <w:sz w:val="22"/>
          <w:szCs w:val="22"/>
        </w:rPr>
        <w:t xml:space="preserve"> intercultural y el respeto por la diversidad cultural.</w:t>
      </w:r>
    </w:p>
    <w:p w:rsidR="00163D7D" w:rsidRDefault="00163D7D" w:rsidP="00163D7D">
      <w:pPr>
        <w:pStyle w:val="GAParaResolution"/>
        <w:numPr>
          <w:ilvl w:val="0"/>
          <w:numId w:val="15"/>
        </w:numPr>
        <w:rPr>
          <w:b/>
          <w:u w:val="none"/>
        </w:rPr>
        <w:sectPr w:rsidR="00163D7D" w:rsidSect="001C4C46">
          <w:pgSz w:w="11906" w:h="16838" w:code="9"/>
          <w:pgMar w:top="1134" w:right="1134" w:bottom="1418" w:left="1134" w:header="397" w:footer="284" w:gutter="0"/>
          <w:cols w:space="708"/>
          <w:docGrid w:linePitch="360"/>
        </w:sectPr>
      </w:pPr>
    </w:p>
    <w:p w:rsidR="00D54F2A" w:rsidRPr="0092706B" w:rsidRDefault="00D54F2A" w:rsidP="001C4C46">
      <w:pPr>
        <w:pStyle w:val="GAParaResolution"/>
        <w:numPr>
          <w:ilvl w:val="0"/>
          <w:numId w:val="15"/>
        </w:numPr>
        <w:rPr>
          <w:rFonts w:eastAsia="Times New Roman"/>
          <w:b/>
          <w:u w:val="none"/>
        </w:rPr>
      </w:pPr>
      <w:r w:rsidRPr="00410628">
        <w:rPr>
          <w:b/>
          <w:u w:val="none"/>
        </w:rPr>
        <w:lastRenderedPageBreak/>
        <w:t>Informes periódic</w:t>
      </w:r>
      <w:r w:rsidRPr="0092706B">
        <w:rPr>
          <w:b/>
          <w:u w:val="none"/>
        </w:rPr>
        <w:t>os</w:t>
      </w:r>
    </w:p>
    <w:tbl>
      <w:tblPr>
        <w:tblW w:w="15082" w:type="dxa"/>
        <w:tblInd w:w="-602" w:type="dxa"/>
        <w:tblLayout w:type="fixed"/>
        <w:tblCellMar>
          <w:top w:w="57" w:type="dxa"/>
          <w:bottom w:w="57" w:type="dxa"/>
        </w:tblCellMar>
        <w:tblLook w:val="04A0" w:firstRow="1" w:lastRow="0" w:firstColumn="1" w:lastColumn="0" w:noHBand="0" w:noVBand="1"/>
      </w:tblPr>
      <w:tblGrid>
        <w:gridCol w:w="284"/>
        <w:gridCol w:w="796"/>
        <w:gridCol w:w="170"/>
        <w:gridCol w:w="6321"/>
        <w:gridCol w:w="170"/>
        <w:gridCol w:w="680"/>
        <w:gridCol w:w="170"/>
        <w:gridCol w:w="6321"/>
        <w:gridCol w:w="170"/>
      </w:tblGrid>
      <w:tr w:rsidR="00D54F2A" w:rsidRPr="00220C1E" w:rsidTr="005557B3">
        <w:trPr>
          <w:gridBefore w:val="1"/>
          <w:wBefore w:w="284" w:type="dxa"/>
          <w:cantSplit/>
          <w:trHeight w:val="737"/>
        </w:trPr>
        <w:tc>
          <w:tcPr>
            <w:tcW w:w="966" w:type="dxa"/>
            <w:gridSpan w:val="2"/>
            <w:shd w:val="clear" w:color="auto" w:fill="auto"/>
          </w:tcPr>
          <w:p w:rsidR="00D54F2A" w:rsidRPr="00220C1E" w:rsidRDefault="00D54F2A" w:rsidP="00D54F2A">
            <w:pPr>
              <w:spacing w:before="120" w:after="120"/>
              <w:jc w:val="right"/>
              <w:rPr>
                <w:rFonts w:ascii="Arial" w:hAnsi="Arial" w:cs="Arial"/>
                <w:b/>
                <w:bCs/>
                <w:sz w:val="22"/>
                <w:szCs w:val="22"/>
              </w:rPr>
            </w:pPr>
          </w:p>
        </w:tc>
        <w:tc>
          <w:tcPr>
            <w:tcW w:w="6491" w:type="dxa"/>
            <w:gridSpan w:val="2"/>
            <w:shd w:val="clear" w:color="auto" w:fill="auto"/>
          </w:tcPr>
          <w:p w:rsidR="00D54F2A" w:rsidRPr="001C4C46" w:rsidRDefault="00D54F2A" w:rsidP="0092706B">
            <w:pPr>
              <w:spacing w:before="120" w:after="120"/>
              <w:jc w:val="both"/>
              <w:rPr>
                <w:rFonts w:ascii="Arial" w:hAnsi="Arial" w:cs="Arial"/>
                <w:b/>
                <w:bCs/>
                <w:sz w:val="22"/>
                <w:szCs w:val="22"/>
                <w:u w:val="single"/>
              </w:rPr>
            </w:pPr>
            <w:r w:rsidRPr="001C4C46">
              <w:rPr>
                <w:rFonts w:ascii="Arial" w:hAnsi="Arial" w:cs="Arial"/>
                <w:b/>
                <w:sz w:val="22"/>
                <w:szCs w:val="22"/>
                <w:u w:val="single"/>
              </w:rPr>
              <w:t xml:space="preserve">Texto actual de las </w:t>
            </w:r>
            <w:r w:rsidR="00CF2EB9" w:rsidRPr="001C4C46">
              <w:rPr>
                <w:rFonts w:ascii="Arial" w:hAnsi="Arial" w:cs="Arial"/>
                <w:b/>
                <w:sz w:val="22"/>
                <w:szCs w:val="22"/>
                <w:u w:val="single"/>
              </w:rPr>
              <w:t>Directrices Operativas</w:t>
            </w:r>
          </w:p>
        </w:tc>
        <w:tc>
          <w:tcPr>
            <w:tcW w:w="850" w:type="dxa"/>
            <w:gridSpan w:val="2"/>
          </w:tcPr>
          <w:p w:rsidR="00D54F2A" w:rsidRPr="001C4C46" w:rsidRDefault="00D54F2A" w:rsidP="00D54F2A">
            <w:pPr>
              <w:spacing w:before="120" w:after="120"/>
              <w:jc w:val="right"/>
              <w:rPr>
                <w:rFonts w:ascii="Arial" w:hAnsi="Arial" w:cs="Arial"/>
                <w:b/>
                <w:bCs/>
                <w:sz w:val="22"/>
                <w:szCs w:val="22"/>
              </w:rPr>
            </w:pPr>
          </w:p>
        </w:tc>
        <w:tc>
          <w:tcPr>
            <w:tcW w:w="6491" w:type="dxa"/>
            <w:gridSpan w:val="2"/>
          </w:tcPr>
          <w:p w:rsidR="00D54F2A" w:rsidRPr="0092706B" w:rsidRDefault="00D54F2A" w:rsidP="00D54F2A">
            <w:pPr>
              <w:spacing w:before="120" w:after="120"/>
              <w:jc w:val="both"/>
              <w:rPr>
                <w:rFonts w:ascii="Arial" w:hAnsi="Arial" w:cs="Arial"/>
                <w:sz w:val="22"/>
                <w:szCs w:val="22"/>
              </w:rPr>
            </w:pPr>
            <w:r w:rsidRPr="00410628">
              <w:rPr>
                <w:rFonts w:ascii="Arial" w:hAnsi="Arial" w:cs="Arial"/>
                <w:b/>
                <w:sz w:val="22"/>
                <w:szCs w:val="22"/>
                <w:u w:val="single"/>
              </w:rPr>
              <w:t>Enmiendas propuestas</w:t>
            </w:r>
          </w:p>
        </w:tc>
      </w:tr>
      <w:tr w:rsidR="00D54F2A" w:rsidRPr="00220C1E" w:rsidTr="005557B3">
        <w:trPr>
          <w:gridBefore w:val="1"/>
          <w:wBefore w:w="284" w:type="dxa"/>
          <w:cantSplit/>
          <w:trHeight w:val="737"/>
        </w:trPr>
        <w:tc>
          <w:tcPr>
            <w:tcW w:w="966"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b/>
                <w:sz w:val="22"/>
                <w:szCs w:val="22"/>
              </w:rPr>
              <w:t>V.1</w:t>
            </w:r>
          </w:p>
        </w:tc>
        <w:tc>
          <w:tcPr>
            <w:tcW w:w="6491" w:type="dxa"/>
            <w:gridSpan w:val="2"/>
            <w:shd w:val="clear" w:color="auto" w:fill="auto"/>
          </w:tcPr>
          <w:p w:rsidR="00D54F2A" w:rsidRPr="001C4C46" w:rsidRDefault="00D54F2A" w:rsidP="00D54F2A">
            <w:pPr>
              <w:spacing w:before="120" w:after="120"/>
              <w:jc w:val="both"/>
              <w:rPr>
                <w:rFonts w:ascii="Arial" w:hAnsi="Arial" w:cs="Arial"/>
                <w:sz w:val="22"/>
                <w:szCs w:val="22"/>
              </w:rPr>
            </w:pPr>
            <w:r w:rsidRPr="001C4C46">
              <w:rPr>
                <w:rFonts w:ascii="Arial" w:hAnsi="Arial" w:cs="Arial"/>
                <w:b/>
                <w:sz w:val="22"/>
                <w:szCs w:val="22"/>
              </w:rPr>
              <w:t>Informes de los Estados Partes sobre la implementación de la Convención</w:t>
            </w:r>
          </w:p>
        </w:tc>
        <w:tc>
          <w:tcPr>
            <w:tcW w:w="850" w:type="dxa"/>
            <w:gridSpan w:val="2"/>
          </w:tcPr>
          <w:p w:rsidR="00D54F2A" w:rsidRPr="0092706B" w:rsidRDefault="00D54F2A" w:rsidP="00D54F2A">
            <w:pPr>
              <w:spacing w:before="120" w:after="120"/>
              <w:jc w:val="right"/>
              <w:rPr>
                <w:rFonts w:ascii="Arial" w:hAnsi="Arial" w:cs="Arial"/>
                <w:sz w:val="22"/>
                <w:szCs w:val="22"/>
              </w:rPr>
            </w:pPr>
            <w:r w:rsidRPr="00410628">
              <w:rPr>
                <w:rFonts w:ascii="Arial" w:hAnsi="Arial" w:cs="Arial"/>
                <w:b/>
                <w:sz w:val="22"/>
                <w:szCs w:val="22"/>
              </w:rPr>
              <w:t>V.1</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D54F2A" w:rsidRPr="00220C1E" w:rsidTr="005557B3">
        <w:trPr>
          <w:gridBefore w:val="1"/>
          <w:wBefore w:w="284" w:type="dxa"/>
          <w:cantSplit/>
          <w:trHeight w:val="737"/>
        </w:trPr>
        <w:tc>
          <w:tcPr>
            <w:tcW w:w="966"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151.</w:t>
            </w:r>
          </w:p>
        </w:tc>
        <w:tc>
          <w:tcPr>
            <w:tcW w:w="6491" w:type="dxa"/>
            <w:gridSpan w:val="2"/>
            <w:shd w:val="clear" w:color="auto" w:fill="auto"/>
          </w:tcPr>
          <w:p w:rsidR="00D54F2A" w:rsidRPr="0092706B"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Los Estados Partes en la Convención presentarán periódicamente al Comité informes sobre las disposiciones legislativas, reglamentarias y de otra índole que hayan adoptado para </w:t>
            </w:r>
            <w:r w:rsidR="00CF2EB9">
              <w:rPr>
                <w:rFonts w:ascii="Arial" w:hAnsi="Arial" w:cs="Arial"/>
                <w:sz w:val="22"/>
                <w:szCs w:val="22"/>
              </w:rPr>
              <w:t>aplicar</w:t>
            </w:r>
            <w:r w:rsidRPr="0092706B">
              <w:rPr>
                <w:rFonts w:ascii="Arial" w:hAnsi="Arial" w:cs="Arial"/>
                <w:sz w:val="22"/>
                <w:szCs w:val="22"/>
              </w:rPr>
              <w:t xml:space="preserve"> la Convención.</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151.</w:t>
            </w:r>
          </w:p>
        </w:tc>
        <w:tc>
          <w:tcPr>
            <w:tcW w:w="6491" w:type="dxa"/>
            <w:gridSpan w:val="2"/>
          </w:tcPr>
          <w:p w:rsidR="00D54F2A" w:rsidRPr="005557B3" w:rsidRDefault="00D54F2A" w:rsidP="0092706B">
            <w:pPr>
              <w:spacing w:before="120" w:after="120"/>
              <w:ind w:right="175"/>
              <w:jc w:val="both"/>
              <w:rPr>
                <w:rFonts w:ascii="Arial" w:hAnsi="Arial" w:cs="Arial"/>
                <w:sz w:val="22"/>
                <w:szCs w:val="22"/>
              </w:rPr>
            </w:pPr>
            <w:r w:rsidRPr="005557B3">
              <w:rPr>
                <w:rFonts w:ascii="Arial" w:hAnsi="Arial" w:cs="Arial"/>
                <w:sz w:val="22"/>
                <w:szCs w:val="22"/>
              </w:rPr>
              <w:t xml:space="preserve">Los Estados Partes en la Convención presentarán periódicamente al Comité informes sobre las disposiciones legislativas, reglamentarias y de otra índole que hayan adoptado para </w:t>
            </w:r>
            <w:r w:rsidR="00CF2EB9">
              <w:rPr>
                <w:rFonts w:ascii="Arial" w:hAnsi="Arial" w:cs="Arial"/>
                <w:sz w:val="22"/>
                <w:szCs w:val="22"/>
              </w:rPr>
              <w:t>aplicar</w:t>
            </w:r>
            <w:r w:rsidRPr="0092706B">
              <w:rPr>
                <w:rFonts w:ascii="Arial" w:hAnsi="Arial" w:cs="Arial"/>
                <w:sz w:val="22"/>
                <w:szCs w:val="22"/>
              </w:rPr>
              <w:t xml:space="preserve"> la Convención. </w:t>
            </w:r>
            <w:r w:rsidRPr="0092706B">
              <w:rPr>
                <w:rFonts w:ascii="Arial" w:hAnsi="Arial" w:cs="Arial"/>
                <w:b/>
                <w:sz w:val="22"/>
                <w:szCs w:val="22"/>
                <w:u w:val="single"/>
              </w:rPr>
              <w:t xml:space="preserve">Se invita a los Estados Partes a complementar los datos recogidos sobre la </w:t>
            </w:r>
            <w:r w:rsidR="00CF2EB9">
              <w:rPr>
                <w:rFonts w:ascii="Arial" w:hAnsi="Arial" w:cs="Arial"/>
                <w:b/>
                <w:sz w:val="22"/>
                <w:szCs w:val="22"/>
                <w:u w:val="single"/>
              </w:rPr>
              <w:t>aplicación</w:t>
            </w:r>
            <w:r w:rsidR="00CF2EB9" w:rsidRPr="0092706B">
              <w:rPr>
                <w:rFonts w:ascii="Arial" w:hAnsi="Arial" w:cs="Arial"/>
                <w:b/>
                <w:sz w:val="22"/>
                <w:szCs w:val="22"/>
                <w:u w:val="single"/>
              </w:rPr>
              <w:t xml:space="preserve"> </w:t>
            </w:r>
            <w:r w:rsidRPr="0092706B">
              <w:rPr>
                <w:rFonts w:ascii="Arial" w:hAnsi="Arial" w:cs="Arial"/>
                <w:b/>
                <w:sz w:val="22"/>
                <w:szCs w:val="22"/>
                <w:u w:val="single"/>
              </w:rPr>
              <w:t xml:space="preserve">de la Convención con informaciones </w:t>
            </w:r>
            <w:r w:rsidR="00CF2EB9">
              <w:rPr>
                <w:rFonts w:ascii="Arial" w:hAnsi="Arial" w:cs="Arial"/>
                <w:b/>
                <w:sz w:val="22"/>
                <w:szCs w:val="22"/>
                <w:u w:val="single"/>
              </w:rPr>
              <w:t>proporcionadas</w:t>
            </w:r>
            <w:r w:rsidR="00CF2EB9" w:rsidRPr="0092706B">
              <w:rPr>
                <w:rFonts w:ascii="Arial" w:hAnsi="Arial" w:cs="Arial"/>
                <w:b/>
                <w:sz w:val="22"/>
                <w:szCs w:val="22"/>
                <w:u w:val="single"/>
              </w:rPr>
              <w:t xml:space="preserve"> </w:t>
            </w:r>
            <w:r w:rsidRPr="0092706B">
              <w:rPr>
                <w:rFonts w:ascii="Arial" w:hAnsi="Arial" w:cs="Arial"/>
                <w:b/>
                <w:sz w:val="22"/>
                <w:szCs w:val="22"/>
                <w:u w:val="single"/>
              </w:rPr>
              <w:t>por organizaciones no gubernamentales pertinentes.</w:t>
            </w:r>
          </w:p>
        </w:tc>
      </w:tr>
      <w:tr w:rsidR="00D54F2A" w:rsidRPr="00220C1E" w:rsidTr="005557B3">
        <w:trPr>
          <w:gridBefore w:val="1"/>
          <w:wBefore w:w="284" w:type="dxa"/>
          <w:cantSplit/>
          <w:trHeight w:val="737"/>
        </w:trPr>
        <w:tc>
          <w:tcPr>
            <w:tcW w:w="966"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152.</w:t>
            </w:r>
          </w:p>
        </w:tc>
        <w:tc>
          <w:tcPr>
            <w:tcW w:w="6491" w:type="dxa"/>
            <w:gridSpan w:val="2"/>
            <w:shd w:val="clear" w:color="auto" w:fill="auto"/>
          </w:tcPr>
          <w:p w:rsidR="00D54F2A" w:rsidRPr="005557B3" w:rsidRDefault="00D54F2A" w:rsidP="00D54F2A">
            <w:pPr>
              <w:spacing w:before="120" w:after="120"/>
              <w:jc w:val="both"/>
              <w:rPr>
                <w:rFonts w:ascii="Arial" w:hAnsi="Arial" w:cs="Arial"/>
                <w:color w:val="000000"/>
                <w:sz w:val="22"/>
                <w:szCs w:val="22"/>
              </w:rPr>
            </w:pPr>
            <w:r w:rsidRPr="005557B3">
              <w:rPr>
                <w:rFonts w:ascii="Arial" w:hAnsi="Arial" w:cs="Arial"/>
                <w:color w:val="000000"/>
                <w:sz w:val="22"/>
                <w:szCs w:val="22"/>
              </w:rPr>
              <w:t>Cada Estado Parte presentará su informe periódico al Comité, sobre la base de las orientaciones generales y en la forma simplificada preparada por la Secretaría y aprobada por el Comité, a más tardar el 15 de diciembre del sexto año siguiente a aquel en que haya depositado su instrumento de ratificación, aceptación o aprobación, y cada seis años a partir de entonces.</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152.</w:t>
            </w:r>
          </w:p>
        </w:tc>
        <w:tc>
          <w:tcPr>
            <w:tcW w:w="6491" w:type="dxa"/>
            <w:gridSpan w:val="2"/>
          </w:tcPr>
          <w:p w:rsidR="00D54F2A" w:rsidRPr="005557B3" w:rsidRDefault="00D54F2A" w:rsidP="0092706B">
            <w:pPr>
              <w:spacing w:before="120" w:after="120"/>
              <w:jc w:val="both"/>
              <w:rPr>
                <w:rFonts w:ascii="Arial" w:hAnsi="Arial" w:cs="Arial"/>
                <w:strike/>
                <w:sz w:val="22"/>
                <w:szCs w:val="22"/>
              </w:rPr>
            </w:pPr>
            <w:r w:rsidRPr="005557B3">
              <w:rPr>
                <w:rFonts w:ascii="Arial" w:hAnsi="Arial" w:cs="Arial"/>
                <w:color w:val="000000"/>
                <w:sz w:val="22"/>
                <w:szCs w:val="22"/>
              </w:rPr>
              <w:t xml:space="preserve">Cada Estado Parte presentará su informe periódico al Comité </w:t>
            </w:r>
            <w:r w:rsidRPr="005557B3">
              <w:rPr>
                <w:rFonts w:ascii="Arial" w:hAnsi="Arial" w:cs="Arial"/>
                <w:strike/>
                <w:color w:val="000000"/>
                <w:sz w:val="22"/>
                <w:szCs w:val="22"/>
              </w:rPr>
              <w:t>sobre la base de las orientaciones generales y en la forma simplificada preparada por la Secretaría y aprobada por el Comité,</w:t>
            </w:r>
            <w:r w:rsidRPr="001A298C">
              <w:rPr>
                <w:rFonts w:ascii="Arial" w:hAnsi="Arial" w:cs="Arial"/>
                <w:color w:val="000000"/>
                <w:sz w:val="22"/>
                <w:szCs w:val="22"/>
              </w:rPr>
              <w:t xml:space="preserve"> a más tardar el 15 de diciembre del sexto año siguiente a aquel en que haya depositado su instrumento de ratificación, aceptación o aprobación, y cada seis años a partir de entonces. </w:t>
            </w:r>
            <w:r w:rsidRPr="001A298C">
              <w:rPr>
                <w:rFonts w:ascii="Arial" w:hAnsi="Arial" w:cs="Arial"/>
                <w:b/>
                <w:color w:val="000000"/>
                <w:sz w:val="22"/>
                <w:szCs w:val="22"/>
                <w:u w:val="single"/>
              </w:rPr>
              <w:t xml:space="preserve">El </w:t>
            </w:r>
            <w:r w:rsidR="00B61CCB">
              <w:rPr>
                <w:rFonts w:ascii="Arial" w:hAnsi="Arial" w:cs="Arial"/>
                <w:b/>
                <w:color w:val="000000"/>
                <w:sz w:val="22"/>
                <w:szCs w:val="22"/>
                <w:u w:val="single"/>
              </w:rPr>
              <w:t>f</w:t>
            </w:r>
            <w:r w:rsidR="00B61CCB" w:rsidRPr="0092706B">
              <w:rPr>
                <w:rFonts w:ascii="Arial" w:hAnsi="Arial" w:cs="Arial"/>
                <w:b/>
                <w:color w:val="000000"/>
                <w:sz w:val="22"/>
                <w:szCs w:val="22"/>
                <w:u w:val="single"/>
              </w:rPr>
              <w:t>ormulario </w:t>
            </w:r>
            <w:r w:rsidRPr="0092706B">
              <w:rPr>
                <w:rFonts w:ascii="Arial" w:hAnsi="Arial" w:cs="Arial"/>
                <w:b/>
                <w:color w:val="000000"/>
                <w:sz w:val="22"/>
                <w:szCs w:val="22"/>
                <w:u w:val="single"/>
              </w:rPr>
              <w:t>ICH-10 se utiliza para tales informes y se encuentra dispo</w:t>
            </w:r>
            <w:r w:rsidRPr="005557B3">
              <w:rPr>
                <w:rFonts w:ascii="Arial" w:hAnsi="Arial" w:cs="Arial"/>
                <w:b/>
                <w:color w:val="000000"/>
                <w:sz w:val="22"/>
                <w:szCs w:val="22"/>
                <w:u w:val="single"/>
              </w:rPr>
              <w:t xml:space="preserve">nible en </w:t>
            </w:r>
            <w:hyperlink r:id="rId57">
              <w:r w:rsidRPr="001C4C46">
                <w:rPr>
                  <w:rStyle w:val="Hyperlink"/>
                  <w:rFonts w:ascii="Arial" w:hAnsi="Arial" w:cs="Arial"/>
                  <w:b/>
                  <w:sz w:val="22"/>
                  <w:szCs w:val="22"/>
                </w:rPr>
                <w:t>www.unesco.org/culture/ich</w:t>
              </w:r>
            </w:hyperlink>
            <w:r w:rsidRPr="00410628">
              <w:rPr>
                <w:rFonts w:ascii="Arial" w:hAnsi="Arial" w:cs="Arial"/>
                <w:b/>
                <w:color w:val="000000"/>
                <w:sz w:val="22"/>
                <w:szCs w:val="22"/>
                <w:u w:val="single"/>
              </w:rPr>
              <w:t xml:space="preserve"> o </w:t>
            </w:r>
            <w:r w:rsidR="00B61CCB">
              <w:rPr>
                <w:rFonts w:ascii="Arial" w:hAnsi="Arial" w:cs="Arial"/>
                <w:b/>
                <w:color w:val="000000"/>
                <w:sz w:val="22"/>
                <w:szCs w:val="22"/>
                <w:u w:val="single"/>
              </w:rPr>
              <w:t>previa solicitud</w:t>
            </w:r>
            <w:r w:rsidRPr="00410628">
              <w:rPr>
                <w:rFonts w:ascii="Arial" w:hAnsi="Arial" w:cs="Arial"/>
                <w:b/>
                <w:color w:val="000000"/>
                <w:sz w:val="22"/>
                <w:szCs w:val="22"/>
                <w:u w:val="single"/>
              </w:rPr>
              <w:t xml:space="preserve"> a la Secretaría. Los </w:t>
            </w:r>
            <w:r w:rsidR="00B61CCB">
              <w:rPr>
                <w:rFonts w:ascii="Arial" w:hAnsi="Arial" w:cs="Arial"/>
                <w:b/>
                <w:color w:val="000000"/>
                <w:sz w:val="22"/>
                <w:szCs w:val="22"/>
                <w:u w:val="single"/>
              </w:rPr>
              <w:t>informes</w:t>
            </w:r>
            <w:r w:rsidR="00B61CCB" w:rsidRPr="00410628">
              <w:rPr>
                <w:rFonts w:ascii="Arial" w:hAnsi="Arial" w:cs="Arial"/>
                <w:b/>
                <w:color w:val="000000"/>
                <w:sz w:val="22"/>
                <w:szCs w:val="22"/>
                <w:u w:val="single"/>
              </w:rPr>
              <w:t xml:space="preserve"> </w:t>
            </w:r>
            <w:r w:rsidRPr="00410628">
              <w:rPr>
                <w:rFonts w:ascii="Arial" w:hAnsi="Arial" w:cs="Arial"/>
                <w:b/>
                <w:color w:val="000000"/>
                <w:sz w:val="22"/>
                <w:szCs w:val="22"/>
                <w:u w:val="single"/>
              </w:rPr>
              <w:t xml:space="preserve">deberán incluir </w:t>
            </w:r>
            <w:r w:rsidRPr="0092706B">
              <w:rPr>
                <w:rFonts w:ascii="Arial" w:hAnsi="Arial" w:cs="Arial"/>
                <w:b/>
                <w:bCs/>
                <w:color w:val="000000"/>
                <w:sz w:val="22"/>
                <w:szCs w:val="22"/>
                <w:u w:val="single"/>
              </w:rPr>
              <w:br/>
            </w:r>
            <w:r w:rsidRPr="0092706B">
              <w:rPr>
                <w:rFonts w:ascii="Arial" w:hAnsi="Arial" w:cs="Arial"/>
                <w:b/>
                <w:color w:val="000000"/>
                <w:sz w:val="22"/>
                <w:szCs w:val="22"/>
                <w:u w:val="single"/>
              </w:rPr>
              <w:t xml:space="preserve">únicamente la información requerida en </w:t>
            </w:r>
            <w:r w:rsidR="00B61CCB">
              <w:rPr>
                <w:rFonts w:ascii="Arial" w:hAnsi="Arial" w:cs="Arial"/>
                <w:b/>
                <w:color w:val="000000"/>
                <w:sz w:val="22"/>
                <w:szCs w:val="22"/>
                <w:u w:val="single"/>
              </w:rPr>
              <w:t>el</w:t>
            </w:r>
            <w:r w:rsidR="00B61CCB" w:rsidRPr="0092706B">
              <w:rPr>
                <w:rFonts w:ascii="Arial" w:hAnsi="Arial" w:cs="Arial"/>
                <w:b/>
                <w:color w:val="000000"/>
                <w:sz w:val="22"/>
                <w:szCs w:val="22"/>
                <w:u w:val="single"/>
              </w:rPr>
              <w:t xml:space="preserve"> </w:t>
            </w:r>
            <w:r w:rsidRPr="0092706B">
              <w:rPr>
                <w:rFonts w:ascii="Arial" w:hAnsi="Arial" w:cs="Arial"/>
                <w:b/>
                <w:color w:val="000000"/>
                <w:sz w:val="22"/>
                <w:szCs w:val="22"/>
                <w:u w:val="single"/>
              </w:rPr>
              <w:t>formulario</w:t>
            </w:r>
            <w:r w:rsidRPr="005557B3">
              <w:rPr>
                <w:rFonts w:ascii="Arial" w:hAnsi="Arial" w:cs="Arial"/>
                <w:b/>
                <w:color w:val="000000"/>
                <w:sz w:val="22"/>
                <w:szCs w:val="22"/>
                <w:u w:val="single"/>
              </w:rPr>
              <w:t>.</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lastRenderedPageBreak/>
              <w:t>153.</w:t>
            </w:r>
          </w:p>
        </w:tc>
        <w:tc>
          <w:tcPr>
            <w:tcW w:w="6491" w:type="dxa"/>
            <w:gridSpan w:val="2"/>
            <w:shd w:val="clear" w:color="auto" w:fill="auto"/>
          </w:tcPr>
          <w:p w:rsidR="00D54F2A" w:rsidRPr="005557B3" w:rsidRDefault="00D54F2A" w:rsidP="00D54F2A">
            <w:pPr>
              <w:spacing w:before="120" w:after="120"/>
              <w:jc w:val="both"/>
              <w:rPr>
                <w:rFonts w:ascii="Arial" w:hAnsi="Arial" w:cs="Arial"/>
                <w:color w:val="000000"/>
                <w:sz w:val="22"/>
                <w:szCs w:val="22"/>
              </w:rPr>
            </w:pPr>
            <w:r w:rsidRPr="005557B3">
              <w:rPr>
                <w:rFonts w:ascii="Arial" w:hAnsi="Arial" w:cs="Arial"/>
                <w:color w:val="000000"/>
                <w:sz w:val="22"/>
                <w:szCs w:val="22"/>
              </w:rPr>
              <w:t xml:space="preserve">El Estado Parte informará sobre las disposiciones adoptadas para </w:t>
            </w:r>
            <w:r w:rsidR="00CF2EB9" w:rsidRPr="005557B3">
              <w:rPr>
                <w:rFonts w:ascii="Arial" w:hAnsi="Arial" w:cs="Arial"/>
                <w:color w:val="000000"/>
                <w:sz w:val="22"/>
                <w:szCs w:val="22"/>
              </w:rPr>
              <w:t>aplicar</w:t>
            </w:r>
            <w:r w:rsidRPr="005557B3">
              <w:rPr>
                <w:rFonts w:ascii="Arial" w:hAnsi="Arial" w:cs="Arial"/>
                <w:color w:val="000000"/>
                <w:sz w:val="22"/>
                <w:szCs w:val="22"/>
              </w:rPr>
              <w:t xml:space="preserve"> la Convención en el plano nacional, en particular:</w:t>
            </w:r>
          </w:p>
          <w:p w:rsidR="00D54F2A" w:rsidRPr="001C4C46" w:rsidRDefault="00D54F2A" w:rsidP="00D54F2A">
            <w:pPr>
              <w:pStyle w:val="U1"/>
              <w:widowControl/>
              <w:numPr>
                <w:ilvl w:val="0"/>
                <w:numId w:val="21"/>
              </w:numPr>
              <w:tabs>
                <w:tab w:val="clear" w:pos="1701"/>
              </w:tabs>
              <w:ind w:left="656" w:hanging="656"/>
              <w:jc w:val="both"/>
            </w:pPr>
            <w:r w:rsidRPr="001C4C46">
              <w:t xml:space="preserve">la confección de inventarios del patrimonio cultural inmaterial presente en su territorio, tal como se indica en los </w:t>
            </w:r>
            <w:r w:rsidR="006C3C5F" w:rsidRPr="0092706B">
              <w:t>artículo</w:t>
            </w:r>
            <w:r w:rsidRPr="001C4C46">
              <w:t>s 11 y 12 de la Convención;</w:t>
            </w:r>
          </w:p>
          <w:p w:rsidR="00D54F2A" w:rsidRPr="001C4C46" w:rsidRDefault="00D54F2A" w:rsidP="00D54F2A">
            <w:pPr>
              <w:pStyle w:val="U1"/>
              <w:widowControl/>
              <w:numPr>
                <w:ilvl w:val="0"/>
                <w:numId w:val="21"/>
              </w:numPr>
              <w:tabs>
                <w:tab w:val="clear" w:pos="1701"/>
              </w:tabs>
              <w:ind w:left="656" w:hanging="656"/>
              <w:jc w:val="both"/>
            </w:pPr>
            <w:r w:rsidRPr="001C4C46">
              <w:t xml:space="preserve">otras medidas de salvaguardia mencionadas en los </w:t>
            </w:r>
            <w:r w:rsidR="006C3C5F" w:rsidRPr="0092706B">
              <w:t>a</w:t>
            </w:r>
            <w:r w:rsidR="006C3C5F" w:rsidRPr="001C4C46">
              <w:t xml:space="preserve">rtículos </w:t>
            </w:r>
            <w:r w:rsidRPr="001C4C46">
              <w:t>11 y 13 de la Convención, entre ellas:</w:t>
            </w:r>
          </w:p>
          <w:p w:rsidR="00D54F2A" w:rsidRPr="001C4C46" w:rsidRDefault="00D54F2A" w:rsidP="00D54F2A">
            <w:pPr>
              <w:pStyle w:val="i"/>
              <w:numPr>
                <w:ilvl w:val="0"/>
                <w:numId w:val="23"/>
              </w:numPr>
              <w:tabs>
                <w:tab w:val="left" w:pos="1223"/>
              </w:tabs>
              <w:ind w:left="1223" w:hanging="567"/>
              <w:rPr>
                <w:w w:val="100"/>
              </w:rPr>
            </w:pPr>
            <w:r w:rsidRPr="001C4C46">
              <w:rPr>
                <w:w w:val="100"/>
              </w:rPr>
              <w:t>realzar la función del patrimonio cultural inmaterial en la sociedad e integrar su salvaguardia en programas de planificación;</w:t>
            </w:r>
          </w:p>
          <w:p w:rsidR="00D54F2A" w:rsidRPr="001C4C46" w:rsidRDefault="00D54F2A" w:rsidP="00D54F2A">
            <w:pPr>
              <w:pStyle w:val="i"/>
              <w:numPr>
                <w:ilvl w:val="0"/>
                <w:numId w:val="23"/>
              </w:numPr>
              <w:tabs>
                <w:tab w:val="left" w:pos="1223"/>
              </w:tabs>
              <w:ind w:left="1223" w:hanging="567"/>
              <w:rPr>
                <w:w w:val="100"/>
              </w:rPr>
            </w:pPr>
            <w:r w:rsidRPr="001C4C46">
              <w:rPr>
                <w:w w:val="100"/>
              </w:rPr>
              <w:t>fomentar estudios científicos, técnicos y artísticos para una salvaguardia eficaz;</w:t>
            </w:r>
          </w:p>
          <w:p w:rsidR="00D54F2A" w:rsidRPr="001C4C46" w:rsidRDefault="00D54F2A" w:rsidP="00D54F2A">
            <w:pPr>
              <w:pStyle w:val="i"/>
              <w:numPr>
                <w:ilvl w:val="0"/>
                <w:numId w:val="23"/>
              </w:numPr>
              <w:tabs>
                <w:tab w:val="left" w:pos="1223"/>
              </w:tabs>
              <w:ind w:left="1223" w:hanging="567"/>
              <w:rPr>
                <w:color w:val="000000"/>
                <w:w w:val="100"/>
              </w:rPr>
            </w:pPr>
            <w:r w:rsidRPr="001C4C46">
              <w:rPr>
                <w:w w:val="100"/>
              </w:rPr>
              <w:t>facilitar, en la medida de lo posible, el acceso a la información relativa al patrimonio cultural inmaterial, respetando al mismo tiempo los usos consuetudinarios por los que se rige el acceso a determinados aspectos del mismo.</w:t>
            </w:r>
          </w:p>
        </w:tc>
        <w:tc>
          <w:tcPr>
            <w:tcW w:w="850" w:type="dxa"/>
            <w:gridSpan w:val="2"/>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153.</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El Estado Parte informará sobre las disposiciones </w:t>
            </w:r>
            <w:r w:rsidRPr="005557B3">
              <w:rPr>
                <w:rFonts w:ascii="Arial" w:hAnsi="Arial" w:cs="Arial"/>
                <w:b/>
                <w:sz w:val="22"/>
                <w:szCs w:val="22"/>
                <w:u w:val="single"/>
              </w:rPr>
              <w:t>legislativas, reglamentarias y de otra índole</w:t>
            </w:r>
            <w:r w:rsidRPr="005557B3">
              <w:rPr>
                <w:rFonts w:ascii="Arial" w:hAnsi="Arial" w:cs="Arial"/>
                <w:sz w:val="22"/>
                <w:szCs w:val="22"/>
              </w:rPr>
              <w:t xml:space="preserve"> que hayan adoptado para </w:t>
            </w:r>
            <w:r w:rsidR="00CF2EB9" w:rsidRPr="005557B3">
              <w:rPr>
                <w:rFonts w:ascii="Arial" w:hAnsi="Arial" w:cs="Arial"/>
                <w:sz w:val="22"/>
                <w:szCs w:val="22"/>
              </w:rPr>
              <w:t>aplicar</w:t>
            </w:r>
            <w:r w:rsidRPr="005557B3">
              <w:rPr>
                <w:rFonts w:ascii="Arial" w:hAnsi="Arial" w:cs="Arial"/>
                <w:sz w:val="22"/>
                <w:szCs w:val="22"/>
              </w:rPr>
              <w:t xml:space="preserve"> la Convención en el plano nacional, en particular:</w:t>
            </w:r>
          </w:p>
          <w:p w:rsidR="00D54F2A" w:rsidRPr="005557B3" w:rsidRDefault="00D54F2A" w:rsidP="00D54F2A">
            <w:pPr>
              <w:numPr>
                <w:ilvl w:val="0"/>
                <w:numId w:val="20"/>
              </w:numPr>
              <w:spacing w:before="120" w:after="120"/>
              <w:ind w:left="601" w:hanging="567"/>
              <w:jc w:val="both"/>
              <w:rPr>
                <w:rFonts w:ascii="Arial" w:hAnsi="Arial" w:cs="Arial"/>
                <w:sz w:val="22"/>
                <w:szCs w:val="22"/>
              </w:rPr>
            </w:pPr>
            <w:r w:rsidRPr="005557B3">
              <w:rPr>
                <w:rFonts w:ascii="Arial" w:hAnsi="Arial" w:cs="Arial"/>
                <w:sz w:val="22"/>
                <w:szCs w:val="22"/>
              </w:rPr>
              <w:t xml:space="preserve">la confección de inventarios del patrimonio cultural inmaterial presente en su territorio, tal como se indica en los </w:t>
            </w:r>
            <w:r w:rsidR="006C3C5F" w:rsidRPr="005557B3">
              <w:rPr>
                <w:rFonts w:ascii="Arial" w:hAnsi="Arial" w:cs="Arial"/>
                <w:sz w:val="22"/>
                <w:szCs w:val="22"/>
              </w:rPr>
              <w:t>artículo</w:t>
            </w:r>
            <w:r w:rsidRPr="005557B3">
              <w:rPr>
                <w:rFonts w:ascii="Arial" w:hAnsi="Arial" w:cs="Arial"/>
                <w:sz w:val="22"/>
                <w:szCs w:val="22"/>
              </w:rPr>
              <w:t>s 11 y 12 de la Convención;</w:t>
            </w:r>
          </w:p>
          <w:p w:rsidR="00D54F2A" w:rsidRPr="001A298C" w:rsidRDefault="00D54F2A" w:rsidP="00D54F2A">
            <w:pPr>
              <w:numPr>
                <w:ilvl w:val="0"/>
                <w:numId w:val="20"/>
              </w:numPr>
              <w:spacing w:before="120" w:after="120"/>
              <w:ind w:left="601" w:hanging="567"/>
              <w:jc w:val="both"/>
              <w:rPr>
                <w:rFonts w:ascii="Arial" w:hAnsi="Arial" w:cs="Arial"/>
                <w:sz w:val="22"/>
                <w:szCs w:val="22"/>
              </w:rPr>
            </w:pPr>
            <w:r w:rsidRPr="001A298C">
              <w:rPr>
                <w:rFonts w:ascii="Arial" w:hAnsi="Arial" w:cs="Arial"/>
                <w:sz w:val="22"/>
                <w:szCs w:val="22"/>
              </w:rPr>
              <w:t xml:space="preserve">otras medidas de salvaguardia mencionadas en los </w:t>
            </w:r>
            <w:r w:rsidR="006C3C5F" w:rsidRPr="001A298C">
              <w:rPr>
                <w:rFonts w:ascii="Arial" w:hAnsi="Arial" w:cs="Arial"/>
                <w:sz w:val="22"/>
                <w:szCs w:val="22"/>
              </w:rPr>
              <w:t>artículo</w:t>
            </w:r>
            <w:r w:rsidRPr="001A298C">
              <w:rPr>
                <w:rFonts w:ascii="Arial" w:hAnsi="Arial" w:cs="Arial"/>
                <w:sz w:val="22"/>
                <w:szCs w:val="22"/>
              </w:rPr>
              <w:t>s 11 y 13 de la Convención, entre ellas:</w:t>
            </w:r>
          </w:p>
          <w:p w:rsidR="00D54F2A" w:rsidRPr="001C4C46" w:rsidRDefault="00D54F2A" w:rsidP="00D54F2A">
            <w:pPr>
              <w:pStyle w:val="i"/>
              <w:numPr>
                <w:ilvl w:val="0"/>
                <w:numId w:val="25"/>
              </w:numPr>
              <w:ind w:left="1168" w:hanging="567"/>
              <w:rPr>
                <w:w w:val="100"/>
              </w:rPr>
            </w:pPr>
            <w:r w:rsidRPr="001C4C46">
              <w:rPr>
                <w:b/>
                <w:w w:val="100"/>
                <w:u w:val="single"/>
              </w:rPr>
              <w:t xml:space="preserve">adoptar una política general </w:t>
            </w:r>
            <w:r w:rsidR="00B61CCB">
              <w:rPr>
                <w:b/>
                <w:w w:val="100"/>
                <w:u w:val="single"/>
              </w:rPr>
              <w:t>destinada</w:t>
            </w:r>
            <w:r w:rsidR="00B61CCB" w:rsidRPr="001C4C46">
              <w:rPr>
                <w:b/>
                <w:w w:val="100"/>
                <w:u w:val="single"/>
              </w:rPr>
              <w:t xml:space="preserve"> </w:t>
            </w:r>
            <w:r w:rsidRPr="001C4C46">
              <w:rPr>
                <w:b/>
                <w:w w:val="100"/>
                <w:u w:val="single"/>
              </w:rPr>
              <w:t>a</w:t>
            </w:r>
            <w:r w:rsidRPr="001C4C46">
              <w:rPr>
                <w:w w:val="100"/>
              </w:rPr>
              <w:t xml:space="preserve"> realzar la función del patrimonio cultural inmaterial en la sociedad e integrar su salvaguardia en programas de planificación;</w:t>
            </w:r>
          </w:p>
          <w:p w:rsidR="00D54F2A" w:rsidRPr="001C4C46" w:rsidRDefault="00D54F2A" w:rsidP="00D54F2A">
            <w:pPr>
              <w:pStyle w:val="i"/>
              <w:numPr>
                <w:ilvl w:val="0"/>
                <w:numId w:val="25"/>
              </w:numPr>
              <w:ind w:left="1168" w:hanging="567"/>
              <w:rPr>
                <w:w w:val="100"/>
              </w:rPr>
            </w:pPr>
            <w:r w:rsidRPr="001C4C46">
              <w:rPr>
                <w:w w:val="100"/>
              </w:rPr>
              <w:t>fomentar estudios científicos, técnicos y artísticos para una salvaguardia eficaz;</w:t>
            </w:r>
          </w:p>
          <w:p w:rsidR="00D54F2A" w:rsidRPr="001C4C46" w:rsidRDefault="00D54F2A" w:rsidP="00D54F2A">
            <w:pPr>
              <w:pStyle w:val="i"/>
              <w:numPr>
                <w:ilvl w:val="0"/>
                <w:numId w:val="25"/>
              </w:numPr>
              <w:ind w:left="1168" w:hanging="567"/>
              <w:rPr>
                <w:w w:val="100"/>
              </w:rPr>
            </w:pPr>
            <w:r w:rsidRPr="001C4C46">
              <w:rPr>
                <w:w w:val="100"/>
              </w:rPr>
              <w:t>facilitar, en la medida de lo posible, el acceso a la información relativa al patrimonio cultural inmaterial, respetando al mismo tiempo los usos consuetudinarios por los que se rige el acceso a determinados aspectos del mismo.</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lastRenderedPageBreak/>
              <w:t>154.</w:t>
            </w:r>
          </w:p>
        </w:tc>
        <w:tc>
          <w:tcPr>
            <w:tcW w:w="6491" w:type="dxa"/>
            <w:gridSpan w:val="2"/>
            <w:shd w:val="clear" w:color="auto" w:fill="auto"/>
          </w:tcPr>
          <w:p w:rsidR="00D54F2A" w:rsidRPr="0092706B"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El Estado Parte informará sobre las medidas adoptadas en el plano nacional para fortalecer las capacidades institucionales en materia de salvaguardia del patrimonio cultural inmaterial, tal como se establece en el </w:t>
            </w:r>
            <w:r w:rsidR="006C3C5F">
              <w:rPr>
                <w:rFonts w:ascii="Arial" w:hAnsi="Arial" w:cs="Arial"/>
                <w:sz w:val="22"/>
                <w:szCs w:val="22"/>
              </w:rPr>
              <w:t>artículo</w:t>
            </w:r>
            <w:r w:rsidRPr="0092706B">
              <w:rPr>
                <w:rFonts w:ascii="Arial" w:hAnsi="Arial" w:cs="Arial"/>
                <w:sz w:val="22"/>
                <w:szCs w:val="22"/>
              </w:rPr>
              <w:t xml:space="preserve"> 13 de la Convención, entre ellas las consistentes en:</w:t>
            </w:r>
          </w:p>
          <w:p w:rsidR="00D54F2A" w:rsidRPr="005557B3" w:rsidRDefault="00D54F2A" w:rsidP="00D54F2A">
            <w:pPr>
              <w:pStyle w:val="U1"/>
              <w:widowControl/>
              <w:numPr>
                <w:ilvl w:val="0"/>
                <w:numId w:val="26"/>
              </w:numPr>
              <w:tabs>
                <w:tab w:val="clear" w:pos="1701"/>
              </w:tabs>
              <w:ind w:left="656" w:hanging="656"/>
              <w:jc w:val="both"/>
            </w:pPr>
            <w:r w:rsidRPr="005557B3">
              <w:t>designar o crear uno o varios organismos competentes para la salvaguardia de su patrimonio cultural inmaterial;</w:t>
            </w:r>
          </w:p>
          <w:p w:rsidR="00D54F2A" w:rsidRPr="001C4C46" w:rsidRDefault="00D54F2A" w:rsidP="00D54F2A">
            <w:pPr>
              <w:pStyle w:val="U1"/>
              <w:widowControl/>
              <w:numPr>
                <w:ilvl w:val="0"/>
                <w:numId w:val="26"/>
              </w:numPr>
              <w:tabs>
                <w:tab w:val="clear" w:pos="1701"/>
              </w:tabs>
              <w:ind w:left="656" w:hanging="656"/>
              <w:jc w:val="both"/>
            </w:pPr>
            <w:r w:rsidRPr="001C4C46">
              <w:t>fortalecer las instituciones de formación en gestión del patrimonio cultural inmaterial, así como la transmisión de ese patrimonio;</w:t>
            </w:r>
          </w:p>
          <w:p w:rsidR="00D54F2A" w:rsidRPr="001C4C46" w:rsidRDefault="00D54F2A" w:rsidP="00D54F2A">
            <w:pPr>
              <w:pStyle w:val="U1"/>
              <w:widowControl/>
              <w:numPr>
                <w:ilvl w:val="0"/>
                <w:numId w:val="26"/>
              </w:numPr>
              <w:tabs>
                <w:tab w:val="clear" w:pos="1701"/>
              </w:tabs>
              <w:ind w:left="656" w:hanging="656"/>
              <w:jc w:val="both"/>
            </w:pPr>
            <w:r w:rsidRPr="001C4C46">
              <w:t>crear instituciones de documentación sobre el patrimonio cultural inmaterial y facilitar el acceso a ellas.</w:t>
            </w:r>
          </w:p>
        </w:tc>
        <w:tc>
          <w:tcPr>
            <w:tcW w:w="850" w:type="dxa"/>
            <w:gridSpan w:val="2"/>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154.</w:t>
            </w:r>
          </w:p>
        </w:tc>
        <w:tc>
          <w:tcPr>
            <w:tcW w:w="6491" w:type="dxa"/>
            <w:gridSpan w:val="2"/>
          </w:tcPr>
          <w:p w:rsidR="00D54F2A" w:rsidRPr="005557B3" w:rsidRDefault="00D54F2A" w:rsidP="00D54F2A">
            <w:pPr>
              <w:spacing w:before="120" w:after="120"/>
              <w:jc w:val="both"/>
              <w:rPr>
                <w:rFonts w:ascii="Arial" w:hAnsi="Arial" w:cs="Arial"/>
                <w:sz w:val="22"/>
                <w:szCs w:val="22"/>
              </w:rPr>
            </w:pPr>
            <w:r w:rsidRPr="0092706B">
              <w:rPr>
                <w:rFonts w:ascii="Arial" w:hAnsi="Arial" w:cs="Arial"/>
                <w:sz w:val="22"/>
                <w:szCs w:val="22"/>
              </w:rPr>
              <w:t xml:space="preserve">El Estado Parte informará sobre las </w:t>
            </w:r>
            <w:r w:rsidR="00B61CCB" w:rsidRPr="00B61CCB">
              <w:rPr>
                <w:rFonts w:ascii="Arial" w:hAnsi="Arial" w:cs="Arial"/>
                <w:strike/>
                <w:sz w:val="22"/>
                <w:szCs w:val="22"/>
              </w:rPr>
              <w:t>medidas</w:t>
            </w:r>
            <w:r w:rsidR="00B61CCB">
              <w:rPr>
                <w:rFonts w:ascii="Arial" w:hAnsi="Arial" w:cs="Arial"/>
                <w:sz w:val="22"/>
                <w:szCs w:val="22"/>
              </w:rPr>
              <w:t xml:space="preserve"> </w:t>
            </w:r>
            <w:r w:rsidRPr="001C4C46">
              <w:rPr>
                <w:rFonts w:ascii="Arial" w:hAnsi="Arial" w:cs="Arial"/>
                <w:b/>
                <w:sz w:val="22"/>
                <w:szCs w:val="22"/>
                <w:u w:val="single"/>
              </w:rPr>
              <w:t xml:space="preserve">disposiciones </w:t>
            </w:r>
            <w:r w:rsidRPr="0092706B">
              <w:rPr>
                <w:rFonts w:ascii="Arial" w:hAnsi="Arial" w:cs="Arial"/>
                <w:b/>
                <w:sz w:val="22"/>
                <w:szCs w:val="22"/>
                <w:u w:val="single"/>
              </w:rPr>
              <w:t>legislativas, reglamentarias y de otra índole</w:t>
            </w:r>
            <w:r w:rsidRPr="0092706B">
              <w:rPr>
                <w:rFonts w:ascii="Arial" w:hAnsi="Arial" w:cs="Arial"/>
                <w:sz w:val="22"/>
                <w:szCs w:val="22"/>
              </w:rPr>
              <w:t xml:space="preserve"> adoptadas en el plano nacional para fortalecer las capacidades institucionales en mater</w:t>
            </w:r>
            <w:r w:rsidRPr="005557B3">
              <w:rPr>
                <w:rFonts w:ascii="Arial" w:hAnsi="Arial" w:cs="Arial"/>
                <w:sz w:val="22"/>
                <w:szCs w:val="22"/>
              </w:rPr>
              <w:t xml:space="preserve">ia de salvaguardia del patrimonio cultural inmaterial, tal como se establece en el </w:t>
            </w:r>
            <w:r w:rsidR="006C3C5F">
              <w:rPr>
                <w:rFonts w:ascii="Arial" w:hAnsi="Arial" w:cs="Arial"/>
                <w:sz w:val="22"/>
                <w:szCs w:val="22"/>
              </w:rPr>
              <w:t>artículo</w:t>
            </w:r>
            <w:r w:rsidRPr="0092706B">
              <w:rPr>
                <w:rFonts w:ascii="Arial" w:hAnsi="Arial" w:cs="Arial"/>
                <w:sz w:val="22"/>
                <w:szCs w:val="22"/>
              </w:rPr>
              <w:t xml:space="preserve"> 13 de la Convención, entre ellas las consistentes en:</w:t>
            </w:r>
          </w:p>
          <w:p w:rsidR="00D54F2A" w:rsidRPr="005557B3" w:rsidRDefault="00D54F2A" w:rsidP="00D54F2A">
            <w:pPr>
              <w:pStyle w:val="U1"/>
              <w:widowControl/>
              <w:numPr>
                <w:ilvl w:val="0"/>
                <w:numId w:val="27"/>
              </w:numPr>
              <w:tabs>
                <w:tab w:val="clear" w:pos="1701"/>
              </w:tabs>
              <w:ind w:left="656" w:hanging="656"/>
              <w:jc w:val="both"/>
            </w:pPr>
            <w:r w:rsidRPr="005557B3">
              <w:t>designar o crear uno o varios organismos competentes para la salvaguardia de su patrimonio cultural inmaterial;</w:t>
            </w:r>
          </w:p>
          <w:p w:rsidR="00D54F2A" w:rsidRPr="001C4C46" w:rsidRDefault="00D54F2A" w:rsidP="00D54F2A">
            <w:pPr>
              <w:pStyle w:val="U1"/>
              <w:widowControl/>
              <w:numPr>
                <w:ilvl w:val="0"/>
                <w:numId w:val="27"/>
              </w:numPr>
              <w:tabs>
                <w:tab w:val="clear" w:pos="1701"/>
              </w:tabs>
              <w:ind w:left="656" w:hanging="656"/>
              <w:jc w:val="both"/>
            </w:pPr>
            <w:r w:rsidRPr="001C4C46">
              <w:t>fortalecer las instituciones de formación en gestión del patrimonio cultural inmaterial, así como la transmisión de ese patrimonio;</w:t>
            </w:r>
          </w:p>
          <w:p w:rsidR="00D54F2A" w:rsidRPr="001C4C46" w:rsidRDefault="00D54F2A" w:rsidP="00D54F2A">
            <w:pPr>
              <w:pStyle w:val="U1"/>
              <w:widowControl/>
              <w:numPr>
                <w:ilvl w:val="0"/>
                <w:numId w:val="27"/>
              </w:numPr>
              <w:tabs>
                <w:tab w:val="clear" w:pos="1701"/>
              </w:tabs>
              <w:ind w:left="656" w:hanging="656"/>
              <w:jc w:val="both"/>
              <w:rPr>
                <w:u w:val="single"/>
              </w:rPr>
            </w:pPr>
            <w:r w:rsidRPr="001C4C46">
              <w:t>crear instituciones de documentación sobre el patrimonio cultural inmaterial y facilitar el acceso a ellas.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15</w:t>
            </w:r>
            <w:r w:rsidRPr="0092706B">
              <w:rPr>
                <w:rFonts w:ascii="Arial" w:hAnsi="Arial" w:cs="Arial"/>
                <w:sz w:val="22"/>
                <w:szCs w:val="22"/>
              </w:rPr>
              <w:t>5.</w:t>
            </w:r>
          </w:p>
        </w:tc>
        <w:tc>
          <w:tcPr>
            <w:tcW w:w="6491" w:type="dxa"/>
            <w:gridSpan w:val="2"/>
            <w:shd w:val="clear" w:color="auto" w:fill="auto"/>
          </w:tcPr>
          <w:p w:rsidR="00D54F2A" w:rsidRPr="0092706B"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El Estado Parte informará sobre las medidas adoptadas en el plano nacional para </w:t>
            </w:r>
            <w:r w:rsidR="00B61CCB">
              <w:rPr>
                <w:rFonts w:ascii="Arial" w:hAnsi="Arial" w:cs="Arial"/>
                <w:sz w:val="22"/>
                <w:szCs w:val="22"/>
              </w:rPr>
              <w:t>asegurar un mayor reconocimiento, el respeto y la valorización</w:t>
            </w:r>
            <w:r w:rsidRPr="0092706B">
              <w:rPr>
                <w:rFonts w:ascii="Arial" w:hAnsi="Arial" w:cs="Arial"/>
                <w:sz w:val="22"/>
                <w:szCs w:val="22"/>
              </w:rPr>
              <w:t xml:space="preserve"> del patrimonio cultural inmaterial, </w:t>
            </w:r>
            <w:r w:rsidR="00B61CCB">
              <w:rPr>
                <w:rFonts w:ascii="Arial" w:hAnsi="Arial" w:cs="Arial"/>
                <w:sz w:val="22"/>
                <w:szCs w:val="22"/>
              </w:rPr>
              <w:t>en particular las mencionadas</w:t>
            </w:r>
            <w:r w:rsidRPr="0092706B">
              <w:rPr>
                <w:rFonts w:ascii="Arial" w:hAnsi="Arial" w:cs="Arial"/>
                <w:sz w:val="22"/>
                <w:szCs w:val="22"/>
              </w:rPr>
              <w:t xml:space="preserve"> en el </w:t>
            </w:r>
            <w:r w:rsidR="006C3C5F">
              <w:rPr>
                <w:rFonts w:ascii="Arial" w:hAnsi="Arial" w:cs="Arial"/>
                <w:sz w:val="22"/>
                <w:szCs w:val="22"/>
              </w:rPr>
              <w:t>artículo</w:t>
            </w:r>
            <w:r w:rsidRPr="0092706B">
              <w:rPr>
                <w:rFonts w:ascii="Arial" w:hAnsi="Arial" w:cs="Arial"/>
                <w:sz w:val="22"/>
                <w:szCs w:val="22"/>
              </w:rPr>
              <w:t xml:space="preserve"> 14 de la Convención</w:t>
            </w:r>
            <w:r w:rsidR="00B61CCB">
              <w:rPr>
                <w:rFonts w:ascii="Arial" w:hAnsi="Arial" w:cs="Arial"/>
                <w:sz w:val="22"/>
                <w:szCs w:val="22"/>
              </w:rPr>
              <w:t>, a saber</w:t>
            </w:r>
            <w:r w:rsidRPr="0092706B">
              <w:rPr>
                <w:rFonts w:ascii="Arial" w:hAnsi="Arial" w:cs="Arial"/>
                <w:sz w:val="22"/>
                <w:szCs w:val="22"/>
              </w:rPr>
              <w:t>:</w:t>
            </w:r>
          </w:p>
          <w:p w:rsidR="00D54F2A" w:rsidRPr="001C4C46" w:rsidRDefault="00D54F2A" w:rsidP="00D54F2A">
            <w:pPr>
              <w:pStyle w:val="U1"/>
              <w:widowControl/>
              <w:numPr>
                <w:ilvl w:val="0"/>
                <w:numId w:val="28"/>
              </w:numPr>
              <w:tabs>
                <w:tab w:val="clear" w:pos="1701"/>
              </w:tabs>
              <w:ind w:left="656" w:hanging="656"/>
              <w:jc w:val="both"/>
            </w:pPr>
            <w:r w:rsidRPr="001C4C46">
              <w:t>programas educativos, de sensibilización y de difusión de información;</w:t>
            </w:r>
          </w:p>
          <w:p w:rsidR="00D54F2A" w:rsidRPr="001C4C46" w:rsidRDefault="00D54F2A" w:rsidP="00D54F2A">
            <w:pPr>
              <w:pStyle w:val="U1"/>
              <w:widowControl/>
              <w:numPr>
                <w:ilvl w:val="0"/>
                <w:numId w:val="28"/>
              </w:numPr>
              <w:tabs>
                <w:tab w:val="clear" w:pos="1701"/>
              </w:tabs>
              <w:ind w:left="656" w:hanging="656"/>
              <w:jc w:val="both"/>
            </w:pPr>
            <w:r w:rsidRPr="001C4C46">
              <w:t xml:space="preserve">programas educativos y de formación específicos en las comunidades y grupos </w:t>
            </w:r>
            <w:r w:rsidR="00C506F5">
              <w:t>interesados</w:t>
            </w:r>
            <w:r w:rsidRPr="001C4C46">
              <w:t>;</w:t>
            </w:r>
          </w:p>
          <w:p w:rsidR="00D54F2A" w:rsidRPr="001C4C46" w:rsidRDefault="00D54F2A" w:rsidP="00D54F2A">
            <w:pPr>
              <w:pStyle w:val="U1"/>
              <w:widowControl/>
              <w:numPr>
                <w:ilvl w:val="0"/>
                <w:numId w:val="28"/>
              </w:numPr>
              <w:tabs>
                <w:tab w:val="clear" w:pos="1701"/>
              </w:tabs>
              <w:ind w:left="656" w:hanging="656"/>
              <w:jc w:val="both"/>
            </w:pPr>
            <w:r w:rsidRPr="001C4C46">
              <w:t xml:space="preserve">actividades de </w:t>
            </w:r>
            <w:r w:rsidR="00CC1B1D">
              <w:t>fortalecimiento</w:t>
            </w:r>
            <w:r w:rsidRPr="001C4C46">
              <w:t xml:space="preserve"> de capacidades para la salvaguardia del patrimonio cultural inmaterial;</w:t>
            </w:r>
          </w:p>
          <w:p w:rsidR="00D54F2A" w:rsidRPr="0092706B" w:rsidRDefault="00D54F2A" w:rsidP="00D54F2A">
            <w:pPr>
              <w:pStyle w:val="U1"/>
              <w:widowControl/>
              <w:numPr>
                <w:ilvl w:val="0"/>
                <w:numId w:val="28"/>
              </w:numPr>
              <w:tabs>
                <w:tab w:val="clear" w:pos="1701"/>
              </w:tabs>
              <w:ind w:left="656" w:hanging="656"/>
              <w:jc w:val="both"/>
            </w:pPr>
            <w:r w:rsidRPr="00410628">
              <w:t>medios no formale</w:t>
            </w:r>
            <w:r w:rsidRPr="0092706B">
              <w:t>s de transmisión del saber;</w:t>
            </w:r>
          </w:p>
          <w:p w:rsidR="00D54F2A" w:rsidRPr="001C4C46" w:rsidRDefault="00D54F2A" w:rsidP="00D54F2A">
            <w:pPr>
              <w:pStyle w:val="U1"/>
              <w:widowControl/>
              <w:numPr>
                <w:ilvl w:val="0"/>
                <w:numId w:val="28"/>
              </w:numPr>
              <w:tabs>
                <w:tab w:val="clear" w:pos="1701"/>
              </w:tabs>
              <w:ind w:left="656" w:hanging="656"/>
              <w:jc w:val="both"/>
            </w:pPr>
            <w:r w:rsidRPr="001C4C46">
              <w:t>educación sobre la protección de espacios naturales y lugares importantes para la memoria colectiva.</w:t>
            </w:r>
          </w:p>
        </w:tc>
        <w:tc>
          <w:tcPr>
            <w:tcW w:w="850" w:type="dxa"/>
            <w:gridSpan w:val="2"/>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155.</w:t>
            </w:r>
          </w:p>
        </w:tc>
        <w:tc>
          <w:tcPr>
            <w:tcW w:w="6491" w:type="dxa"/>
            <w:gridSpan w:val="2"/>
          </w:tcPr>
          <w:p w:rsidR="00B61CCB" w:rsidRPr="0092706B" w:rsidRDefault="00B61CCB" w:rsidP="00B61CCB">
            <w:pPr>
              <w:spacing w:before="120" w:after="120"/>
              <w:jc w:val="both"/>
              <w:rPr>
                <w:rFonts w:ascii="Arial" w:hAnsi="Arial" w:cs="Arial"/>
                <w:sz w:val="22"/>
                <w:szCs w:val="22"/>
              </w:rPr>
            </w:pPr>
            <w:r w:rsidRPr="0092706B">
              <w:rPr>
                <w:rFonts w:ascii="Arial" w:hAnsi="Arial" w:cs="Arial"/>
                <w:sz w:val="22"/>
                <w:szCs w:val="22"/>
              </w:rPr>
              <w:t>El Estado Parte informará sobre</w:t>
            </w:r>
            <w:r>
              <w:rPr>
                <w:rFonts w:ascii="Arial" w:hAnsi="Arial" w:cs="Arial"/>
                <w:sz w:val="22"/>
                <w:szCs w:val="22"/>
              </w:rPr>
              <w:t xml:space="preserve"> las</w:t>
            </w:r>
            <w:r w:rsidRPr="0092706B">
              <w:rPr>
                <w:rFonts w:ascii="Arial" w:hAnsi="Arial" w:cs="Arial"/>
                <w:sz w:val="22"/>
                <w:szCs w:val="22"/>
              </w:rPr>
              <w:t xml:space="preserve"> </w:t>
            </w:r>
            <w:r w:rsidRPr="00B61CCB">
              <w:rPr>
                <w:rFonts w:ascii="Arial" w:hAnsi="Arial" w:cs="Arial"/>
                <w:strike/>
                <w:sz w:val="22"/>
                <w:szCs w:val="22"/>
              </w:rPr>
              <w:t>medidas</w:t>
            </w:r>
            <w:r>
              <w:rPr>
                <w:rFonts w:ascii="Arial" w:hAnsi="Arial" w:cs="Arial"/>
                <w:sz w:val="22"/>
                <w:szCs w:val="22"/>
              </w:rPr>
              <w:t xml:space="preserve"> </w:t>
            </w:r>
            <w:r w:rsidRPr="001C4C46">
              <w:rPr>
                <w:rFonts w:ascii="Arial" w:hAnsi="Arial" w:cs="Arial"/>
                <w:b/>
                <w:sz w:val="22"/>
                <w:szCs w:val="22"/>
                <w:u w:val="single"/>
              </w:rPr>
              <w:t xml:space="preserve">disposiciones </w:t>
            </w:r>
            <w:r w:rsidRPr="0092706B">
              <w:rPr>
                <w:rFonts w:ascii="Arial" w:hAnsi="Arial" w:cs="Arial"/>
                <w:b/>
                <w:sz w:val="22"/>
                <w:szCs w:val="22"/>
                <w:u w:val="single"/>
              </w:rPr>
              <w:t>legislativas, reglamentarias y de otra índole</w:t>
            </w:r>
            <w:r w:rsidRPr="0092706B">
              <w:rPr>
                <w:rFonts w:ascii="Arial" w:hAnsi="Arial" w:cs="Arial"/>
                <w:sz w:val="22"/>
                <w:szCs w:val="22"/>
              </w:rPr>
              <w:t xml:space="preserve"> adoptadas en el plano nacional para </w:t>
            </w:r>
            <w:r>
              <w:rPr>
                <w:rFonts w:ascii="Arial" w:hAnsi="Arial" w:cs="Arial"/>
                <w:sz w:val="22"/>
                <w:szCs w:val="22"/>
              </w:rPr>
              <w:t>asegurar un mayor reconocimiento, el respeto y la valorización</w:t>
            </w:r>
            <w:r w:rsidRPr="0092706B">
              <w:rPr>
                <w:rFonts w:ascii="Arial" w:hAnsi="Arial" w:cs="Arial"/>
                <w:sz w:val="22"/>
                <w:szCs w:val="22"/>
              </w:rPr>
              <w:t xml:space="preserve"> del patrimonio cultural inmaterial, </w:t>
            </w:r>
            <w:r>
              <w:rPr>
                <w:rFonts w:ascii="Arial" w:hAnsi="Arial" w:cs="Arial"/>
                <w:sz w:val="22"/>
                <w:szCs w:val="22"/>
              </w:rPr>
              <w:t>en particular las mencionadas</w:t>
            </w:r>
            <w:r w:rsidRPr="0092706B">
              <w:rPr>
                <w:rFonts w:ascii="Arial" w:hAnsi="Arial" w:cs="Arial"/>
                <w:sz w:val="22"/>
                <w:szCs w:val="22"/>
              </w:rPr>
              <w:t xml:space="preserve"> en el </w:t>
            </w:r>
            <w:r>
              <w:rPr>
                <w:rFonts w:ascii="Arial" w:hAnsi="Arial" w:cs="Arial"/>
                <w:sz w:val="22"/>
                <w:szCs w:val="22"/>
              </w:rPr>
              <w:t>artículo</w:t>
            </w:r>
            <w:r w:rsidRPr="0092706B">
              <w:rPr>
                <w:rFonts w:ascii="Arial" w:hAnsi="Arial" w:cs="Arial"/>
                <w:sz w:val="22"/>
                <w:szCs w:val="22"/>
              </w:rPr>
              <w:t xml:space="preserve"> 14 de la Convención</w:t>
            </w:r>
            <w:r>
              <w:rPr>
                <w:rFonts w:ascii="Arial" w:hAnsi="Arial" w:cs="Arial"/>
                <w:sz w:val="22"/>
                <w:szCs w:val="22"/>
              </w:rPr>
              <w:t>, a saber</w:t>
            </w:r>
            <w:r w:rsidRPr="0092706B">
              <w:rPr>
                <w:rFonts w:ascii="Arial" w:hAnsi="Arial" w:cs="Arial"/>
                <w:sz w:val="22"/>
                <w:szCs w:val="22"/>
              </w:rPr>
              <w:t>:</w:t>
            </w:r>
          </w:p>
          <w:p w:rsidR="00D54F2A" w:rsidRPr="001C4C46" w:rsidRDefault="00D54F2A" w:rsidP="0092706B">
            <w:pPr>
              <w:pStyle w:val="U1"/>
              <w:widowControl/>
              <w:numPr>
                <w:ilvl w:val="0"/>
                <w:numId w:val="66"/>
              </w:numPr>
              <w:tabs>
                <w:tab w:val="clear" w:pos="1701"/>
              </w:tabs>
              <w:ind w:left="567" w:hanging="567"/>
              <w:jc w:val="both"/>
            </w:pPr>
            <w:r w:rsidRPr="001C4C46">
              <w:t>programas educativos, de sensibilización y de difusión de información;</w:t>
            </w:r>
          </w:p>
          <w:p w:rsidR="00D54F2A" w:rsidRPr="001C4C46" w:rsidRDefault="00D54F2A" w:rsidP="0092706B">
            <w:pPr>
              <w:pStyle w:val="U1"/>
              <w:widowControl/>
              <w:numPr>
                <w:ilvl w:val="0"/>
                <w:numId w:val="66"/>
              </w:numPr>
              <w:tabs>
                <w:tab w:val="clear" w:pos="1701"/>
              </w:tabs>
              <w:ind w:left="656" w:hanging="656"/>
              <w:jc w:val="both"/>
            </w:pPr>
            <w:r w:rsidRPr="001C4C46">
              <w:t xml:space="preserve">programas educativos y de formación específicos en las comunidades y grupos </w:t>
            </w:r>
            <w:r w:rsidR="00C506F5">
              <w:t>interesados</w:t>
            </w:r>
            <w:r w:rsidRPr="001C4C46">
              <w:t>;</w:t>
            </w:r>
          </w:p>
          <w:p w:rsidR="00CC1B1D" w:rsidRPr="001C4C46" w:rsidRDefault="00CC1B1D" w:rsidP="0092706B">
            <w:pPr>
              <w:pStyle w:val="U1"/>
              <w:widowControl/>
              <w:numPr>
                <w:ilvl w:val="0"/>
                <w:numId w:val="66"/>
              </w:numPr>
              <w:tabs>
                <w:tab w:val="clear" w:pos="1701"/>
              </w:tabs>
              <w:ind w:left="656" w:hanging="656"/>
              <w:jc w:val="both"/>
            </w:pPr>
            <w:r w:rsidRPr="001C4C46">
              <w:t xml:space="preserve">actividades de </w:t>
            </w:r>
            <w:r>
              <w:t>fortalecimiento</w:t>
            </w:r>
            <w:r w:rsidRPr="001C4C46">
              <w:t xml:space="preserve"> de capacidades para la salvaguardia del patrimonio cultural inmaterial;</w:t>
            </w:r>
          </w:p>
          <w:p w:rsidR="00D54F2A" w:rsidRPr="00410628" w:rsidRDefault="00D54F2A" w:rsidP="0092706B">
            <w:pPr>
              <w:pStyle w:val="U1"/>
              <w:widowControl/>
              <w:numPr>
                <w:ilvl w:val="0"/>
                <w:numId w:val="66"/>
              </w:numPr>
              <w:tabs>
                <w:tab w:val="clear" w:pos="1701"/>
              </w:tabs>
              <w:ind w:left="656" w:hanging="656"/>
              <w:jc w:val="both"/>
            </w:pPr>
            <w:r w:rsidRPr="00410628">
              <w:t>medios no formales de transmisión del saber;</w:t>
            </w:r>
          </w:p>
          <w:p w:rsidR="00D54F2A" w:rsidRPr="001C4C46" w:rsidRDefault="00D54F2A" w:rsidP="0092706B">
            <w:pPr>
              <w:pStyle w:val="U1"/>
              <w:widowControl/>
              <w:numPr>
                <w:ilvl w:val="0"/>
                <w:numId w:val="66"/>
              </w:numPr>
              <w:tabs>
                <w:tab w:val="clear" w:pos="1701"/>
              </w:tabs>
              <w:ind w:left="656" w:hanging="656"/>
              <w:jc w:val="both"/>
            </w:pPr>
            <w:r w:rsidRPr="001C4C46">
              <w:t>educación sobre la protección de espacios naturales y lugares importantes para la memoria colectiva.</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lastRenderedPageBreak/>
              <w:t>156.</w:t>
            </w:r>
          </w:p>
        </w:tc>
        <w:tc>
          <w:tcPr>
            <w:tcW w:w="6491" w:type="dxa"/>
            <w:gridSpan w:val="2"/>
            <w:shd w:val="clear" w:color="auto" w:fill="auto"/>
          </w:tcPr>
          <w:p w:rsidR="00D54F2A" w:rsidRPr="0092706B"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El Estado Parte informará acerca de las medidas que haya adoptado en los planos bilateral, subregional, regional e internacional para </w:t>
            </w:r>
            <w:r w:rsidR="00CF2EB9">
              <w:rPr>
                <w:rFonts w:ascii="Arial" w:hAnsi="Arial" w:cs="Arial"/>
                <w:sz w:val="22"/>
                <w:szCs w:val="22"/>
              </w:rPr>
              <w:t>aplicar</w:t>
            </w:r>
            <w:r w:rsidRPr="0092706B">
              <w:rPr>
                <w:rFonts w:ascii="Arial" w:hAnsi="Arial" w:cs="Arial"/>
                <w:sz w:val="22"/>
                <w:szCs w:val="22"/>
              </w:rPr>
              <w:t xml:space="preserve"> la Convención, comprendidas las medidas de cooperación internacional, como el intercambio de información y de experiencias, y otras iniciativas comunes, a las que se hace referencia en el </w:t>
            </w:r>
            <w:r w:rsidR="006C3C5F">
              <w:rPr>
                <w:rFonts w:ascii="Arial" w:hAnsi="Arial" w:cs="Arial"/>
                <w:sz w:val="22"/>
                <w:szCs w:val="22"/>
              </w:rPr>
              <w:t>artículo</w:t>
            </w:r>
            <w:r w:rsidRPr="0092706B">
              <w:rPr>
                <w:rFonts w:ascii="Arial" w:hAnsi="Arial" w:cs="Arial"/>
                <w:sz w:val="22"/>
                <w:szCs w:val="22"/>
              </w:rPr>
              <w:t xml:space="preserve"> 19 de la Convención.</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156.</w:t>
            </w:r>
          </w:p>
        </w:tc>
        <w:tc>
          <w:tcPr>
            <w:tcW w:w="6491" w:type="dxa"/>
            <w:gridSpan w:val="2"/>
          </w:tcPr>
          <w:p w:rsidR="00D54F2A" w:rsidRPr="005557B3" w:rsidRDefault="005557B3" w:rsidP="00D54F2A">
            <w:pPr>
              <w:spacing w:before="120" w:after="120"/>
              <w:jc w:val="both"/>
              <w:rPr>
                <w:rFonts w:ascii="Arial" w:hAnsi="Arial" w:cs="Arial"/>
                <w:sz w:val="22"/>
                <w:szCs w:val="22"/>
              </w:rPr>
            </w:pPr>
            <w:r w:rsidRPr="005557B3">
              <w:rPr>
                <w:rFonts w:ascii="Arial" w:hAnsi="Arial" w:cs="Arial"/>
                <w:sz w:val="22"/>
                <w:szCs w:val="22"/>
              </w:rPr>
              <w:t xml:space="preserve">El Estado Parte informará acerca de las </w:t>
            </w:r>
            <w:r w:rsidRPr="001C4C46">
              <w:rPr>
                <w:rFonts w:ascii="Arial" w:hAnsi="Arial" w:cs="Arial"/>
                <w:strike/>
                <w:sz w:val="22"/>
                <w:szCs w:val="22"/>
              </w:rPr>
              <w:t>medidas</w:t>
            </w:r>
            <w:r w:rsidRPr="005557B3">
              <w:rPr>
                <w:rFonts w:ascii="Arial" w:hAnsi="Arial" w:cs="Arial"/>
                <w:sz w:val="22"/>
                <w:szCs w:val="22"/>
              </w:rPr>
              <w:t xml:space="preserve"> </w:t>
            </w:r>
            <w:r w:rsidRPr="001C4C46">
              <w:rPr>
                <w:rFonts w:ascii="Arial" w:hAnsi="Arial" w:cs="Arial"/>
                <w:b/>
                <w:sz w:val="22"/>
                <w:szCs w:val="22"/>
                <w:u w:val="single"/>
              </w:rPr>
              <w:t>disposiciones</w:t>
            </w:r>
            <w:r>
              <w:rPr>
                <w:rFonts w:ascii="Arial" w:hAnsi="Arial" w:cs="Arial"/>
                <w:sz w:val="22"/>
                <w:szCs w:val="22"/>
              </w:rPr>
              <w:t xml:space="preserve"> </w:t>
            </w:r>
            <w:r w:rsidRPr="005557B3">
              <w:rPr>
                <w:rFonts w:ascii="Arial" w:hAnsi="Arial" w:cs="Arial"/>
                <w:sz w:val="22"/>
                <w:szCs w:val="22"/>
              </w:rPr>
              <w:t xml:space="preserve">que haya adoptado en los planos bilateral, subregional, regional e internacional para </w:t>
            </w:r>
            <w:r>
              <w:rPr>
                <w:rFonts w:ascii="Arial" w:hAnsi="Arial" w:cs="Arial"/>
                <w:sz w:val="22"/>
                <w:szCs w:val="22"/>
              </w:rPr>
              <w:t>aplicar</w:t>
            </w:r>
            <w:r w:rsidRPr="0092706B">
              <w:rPr>
                <w:rFonts w:ascii="Arial" w:hAnsi="Arial" w:cs="Arial"/>
                <w:sz w:val="22"/>
                <w:szCs w:val="22"/>
              </w:rPr>
              <w:t xml:space="preserve"> la Convención, comprendidas las medidas de cooperación internacional, como el intercambio de información y de experiencias, y otras iniciativas comunes, a las que se hace referencia en el </w:t>
            </w:r>
            <w:r>
              <w:rPr>
                <w:rFonts w:ascii="Arial" w:hAnsi="Arial" w:cs="Arial"/>
                <w:sz w:val="22"/>
                <w:szCs w:val="22"/>
              </w:rPr>
              <w:t>artículo</w:t>
            </w:r>
            <w:r w:rsidRPr="0092706B">
              <w:rPr>
                <w:rFonts w:ascii="Arial" w:hAnsi="Arial" w:cs="Arial"/>
                <w:sz w:val="22"/>
                <w:szCs w:val="22"/>
              </w:rPr>
              <w:t xml:space="preserve"> 19 de la Convención.</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157.</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El Estado Parte informará acerca del estado actual de todos los elementos del patrimonio cultural inmaterial presentes en su territorio que estén inscritos en la Lista representativa del patrimonio cultural inmaterial de la humanidad. El Estado Parte velará por lograr una participación lo más amplia posible de las comunidades, los grupos y, si procede, los individuos </w:t>
            </w:r>
            <w:r w:rsidR="00C506F5">
              <w:rPr>
                <w:rFonts w:ascii="Arial" w:hAnsi="Arial" w:cs="Arial"/>
                <w:sz w:val="22"/>
                <w:szCs w:val="22"/>
              </w:rPr>
              <w:t>interesados</w:t>
            </w:r>
            <w:r w:rsidRPr="0092706B">
              <w:rPr>
                <w:rFonts w:ascii="Arial" w:hAnsi="Arial" w:cs="Arial"/>
                <w:sz w:val="22"/>
                <w:szCs w:val="22"/>
              </w:rPr>
              <w:t xml:space="preserve"> en el proceso de preparación de esos informes, en los que se indicará para cada elemento:</w:t>
            </w:r>
          </w:p>
          <w:p w:rsidR="00D54F2A" w:rsidRPr="005557B3" w:rsidRDefault="00D54F2A" w:rsidP="00D54F2A">
            <w:pPr>
              <w:numPr>
                <w:ilvl w:val="0"/>
                <w:numId w:val="24"/>
              </w:numPr>
              <w:spacing w:before="120" w:after="120"/>
              <w:ind w:left="656" w:hanging="656"/>
              <w:jc w:val="both"/>
              <w:rPr>
                <w:rFonts w:ascii="Arial" w:hAnsi="Arial" w:cs="Arial"/>
                <w:sz w:val="22"/>
                <w:szCs w:val="22"/>
              </w:rPr>
            </w:pPr>
            <w:r w:rsidRPr="005557B3">
              <w:rPr>
                <w:rFonts w:ascii="Arial" w:hAnsi="Arial" w:cs="Arial"/>
                <w:sz w:val="22"/>
                <w:szCs w:val="22"/>
              </w:rPr>
              <w:t>sus funciones sociales y culturales;</w:t>
            </w:r>
          </w:p>
          <w:p w:rsidR="00D54F2A" w:rsidRPr="005557B3" w:rsidRDefault="00D54F2A" w:rsidP="00D54F2A">
            <w:pPr>
              <w:numPr>
                <w:ilvl w:val="0"/>
                <w:numId w:val="24"/>
              </w:numPr>
              <w:spacing w:before="120" w:after="120"/>
              <w:ind w:left="656" w:hanging="656"/>
              <w:jc w:val="both"/>
              <w:rPr>
                <w:rFonts w:ascii="Arial" w:hAnsi="Arial" w:cs="Arial"/>
                <w:sz w:val="22"/>
                <w:szCs w:val="22"/>
              </w:rPr>
            </w:pPr>
            <w:r w:rsidRPr="005557B3">
              <w:rPr>
                <w:rFonts w:ascii="Arial" w:hAnsi="Arial" w:cs="Arial"/>
                <w:sz w:val="22"/>
                <w:szCs w:val="22"/>
              </w:rPr>
              <w:t>una evaluación de su viabilidad y los riesgos que corre actualmente, de haberlos;</w:t>
            </w:r>
          </w:p>
          <w:p w:rsidR="00D54F2A" w:rsidRPr="005557B3" w:rsidRDefault="00D54F2A" w:rsidP="00D54F2A">
            <w:pPr>
              <w:numPr>
                <w:ilvl w:val="0"/>
                <w:numId w:val="24"/>
              </w:numPr>
              <w:spacing w:before="120" w:after="120"/>
              <w:ind w:left="656" w:hanging="656"/>
              <w:jc w:val="both"/>
              <w:rPr>
                <w:rFonts w:ascii="Arial" w:hAnsi="Arial" w:cs="Arial"/>
                <w:sz w:val="22"/>
                <w:szCs w:val="22"/>
              </w:rPr>
            </w:pPr>
            <w:r w:rsidRPr="005557B3">
              <w:rPr>
                <w:rFonts w:ascii="Arial" w:hAnsi="Arial" w:cs="Arial"/>
                <w:sz w:val="22"/>
                <w:szCs w:val="22"/>
              </w:rPr>
              <w:t>su contribución a los objetivos de la Lista;</w:t>
            </w:r>
          </w:p>
          <w:p w:rsidR="00D54F2A" w:rsidRPr="001A298C" w:rsidRDefault="00D54F2A" w:rsidP="00D54F2A">
            <w:pPr>
              <w:numPr>
                <w:ilvl w:val="0"/>
                <w:numId w:val="24"/>
              </w:numPr>
              <w:spacing w:before="120" w:after="120"/>
              <w:ind w:left="656" w:hanging="656"/>
              <w:jc w:val="both"/>
              <w:rPr>
                <w:rFonts w:ascii="Arial" w:hAnsi="Arial" w:cs="Arial"/>
                <w:sz w:val="22"/>
                <w:szCs w:val="22"/>
              </w:rPr>
            </w:pPr>
            <w:r w:rsidRPr="005557B3">
              <w:rPr>
                <w:rFonts w:ascii="Arial" w:hAnsi="Arial" w:cs="Arial"/>
                <w:sz w:val="22"/>
                <w:szCs w:val="22"/>
              </w:rPr>
              <w:t>los esfuerzos destinados a promover o reforzar el elemento, especialmente la aplicación de todas las medidas que pu</w:t>
            </w:r>
            <w:r w:rsidRPr="001A298C">
              <w:rPr>
                <w:rFonts w:ascii="Arial" w:hAnsi="Arial" w:cs="Arial"/>
                <w:sz w:val="22"/>
                <w:szCs w:val="22"/>
              </w:rPr>
              <w:t>edan haber sido necesarias como consecuencia de la inscripción;</w:t>
            </w:r>
          </w:p>
          <w:p w:rsidR="00D54F2A" w:rsidRPr="001A298C" w:rsidRDefault="00D54F2A" w:rsidP="00D54F2A">
            <w:pPr>
              <w:numPr>
                <w:ilvl w:val="0"/>
                <w:numId w:val="24"/>
              </w:numPr>
              <w:spacing w:before="120" w:after="120"/>
              <w:ind w:left="656" w:hanging="656"/>
              <w:jc w:val="both"/>
              <w:rPr>
                <w:rFonts w:ascii="Arial" w:hAnsi="Arial" w:cs="Arial"/>
                <w:sz w:val="22"/>
                <w:szCs w:val="22"/>
              </w:rPr>
            </w:pPr>
            <w:r w:rsidRPr="001A298C">
              <w:rPr>
                <w:rFonts w:ascii="Arial" w:hAnsi="Arial" w:cs="Arial"/>
                <w:sz w:val="22"/>
                <w:szCs w:val="22"/>
              </w:rPr>
              <w:t>la participación de las comunidades, los grupos y los individuos en la salvaguardia del elemento y su voluntad de seguir salvaguardándolo.</w:t>
            </w:r>
          </w:p>
        </w:tc>
        <w:tc>
          <w:tcPr>
            <w:tcW w:w="850" w:type="dxa"/>
            <w:gridSpan w:val="2"/>
          </w:tcPr>
          <w:p w:rsidR="00D54F2A" w:rsidRPr="006B774A" w:rsidRDefault="00D54F2A" w:rsidP="00D54F2A">
            <w:pPr>
              <w:spacing w:before="120" w:after="120"/>
              <w:jc w:val="right"/>
              <w:rPr>
                <w:rFonts w:ascii="Arial" w:hAnsi="Arial" w:cs="Arial"/>
                <w:sz w:val="22"/>
                <w:szCs w:val="22"/>
              </w:rPr>
            </w:pPr>
            <w:r w:rsidRPr="006B774A">
              <w:rPr>
                <w:rFonts w:ascii="Arial" w:hAnsi="Arial" w:cs="Arial"/>
                <w:sz w:val="22"/>
                <w:szCs w:val="22"/>
              </w:rPr>
              <w:t>157.</w:t>
            </w:r>
          </w:p>
        </w:tc>
        <w:tc>
          <w:tcPr>
            <w:tcW w:w="6491" w:type="dxa"/>
            <w:gridSpan w:val="2"/>
          </w:tcPr>
          <w:p w:rsidR="00D54F2A" w:rsidRPr="00410628" w:rsidRDefault="00D54F2A" w:rsidP="00D54F2A">
            <w:pPr>
              <w:spacing w:before="120" w:after="120"/>
              <w:jc w:val="both"/>
              <w:rPr>
                <w:rFonts w:ascii="Arial" w:hAnsi="Arial" w:cs="Arial"/>
                <w:sz w:val="22"/>
                <w:szCs w:val="22"/>
              </w:rPr>
            </w:pPr>
            <w:r w:rsidRPr="00C84753">
              <w:rPr>
                <w:rFonts w:ascii="Arial" w:hAnsi="Arial" w:cs="Arial"/>
                <w:sz w:val="22"/>
                <w:szCs w:val="22"/>
              </w:rPr>
              <w:t xml:space="preserve">El Estado Parte informará acerca del estado actual de todos los elementos del patrimonio cultural inmaterial presentes en su territorio que estén inscritos en la Lista representativa del patrimonio cultural inmaterial de la humanidad. El Estado Parte </w:t>
            </w:r>
            <w:r w:rsidRPr="00417C23">
              <w:rPr>
                <w:rFonts w:ascii="Arial" w:hAnsi="Arial" w:cs="Arial"/>
                <w:b/>
                <w:sz w:val="22"/>
                <w:szCs w:val="22"/>
                <w:u w:val="single"/>
              </w:rPr>
              <w:t>prestará especial atención al rol del género y</w:t>
            </w:r>
            <w:r w:rsidRPr="001C4C46">
              <w:rPr>
                <w:rFonts w:ascii="Arial" w:hAnsi="Arial" w:cs="Arial"/>
                <w:sz w:val="22"/>
                <w:szCs w:val="22"/>
              </w:rPr>
              <w:t xml:space="preserve"> velará por lograr una participación lo más amplia posible de las comunidades, los grupos y, si procede, los individuos </w:t>
            </w:r>
            <w:r w:rsidR="00C506F5">
              <w:rPr>
                <w:rFonts w:ascii="Arial" w:hAnsi="Arial" w:cs="Arial"/>
                <w:sz w:val="22"/>
                <w:szCs w:val="22"/>
              </w:rPr>
              <w:t>interesados</w:t>
            </w:r>
            <w:r w:rsidRPr="001C4C46">
              <w:rPr>
                <w:rFonts w:ascii="Arial" w:hAnsi="Arial" w:cs="Arial"/>
                <w:sz w:val="22"/>
                <w:szCs w:val="22"/>
              </w:rPr>
              <w:t xml:space="preserve"> </w:t>
            </w:r>
            <w:r w:rsidRPr="001C4C46">
              <w:rPr>
                <w:rFonts w:ascii="Arial" w:hAnsi="Arial" w:cs="Arial"/>
                <w:b/>
                <w:sz w:val="22"/>
                <w:szCs w:val="22"/>
                <w:u w:val="single"/>
              </w:rPr>
              <w:t xml:space="preserve">y de las </w:t>
            </w:r>
            <w:r w:rsidR="005557B3">
              <w:rPr>
                <w:rFonts w:ascii="Arial" w:hAnsi="Arial" w:cs="Arial"/>
                <w:b/>
                <w:sz w:val="22"/>
                <w:szCs w:val="22"/>
                <w:u w:val="single"/>
              </w:rPr>
              <w:t>organizaciones</w:t>
            </w:r>
            <w:r w:rsidR="005557B3" w:rsidRPr="001C4C46">
              <w:rPr>
                <w:rFonts w:ascii="Arial" w:hAnsi="Arial" w:cs="Arial"/>
                <w:b/>
                <w:sz w:val="22"/>
                <w:szCs w:val="22"/>
                <w:u w:val="single"/>
              </w:rPr>
              <w:t xml:space="preserve"> </w:t>
            </w:r>
            <w:r w:rsidRPr="001C4C46">
              <w:rPr>
                <w:rFonts w:ascii="Arial" w:hAnsi="Arial" w:cs="Arial"/>
                <w:b/>
                <w:sz w:val="22"/>
                <w:szCs w:val="22"/>
                <w:u w:val="single"/>
              </w:rPr>
              <w:t>no gubernamentales pertinentes</w:t>
            </w:r>
            <w:r w:rsidRPr="001C4C46">
              <w:rPr>
                <w:rFonts w:ascii="Arial" w:hAnsi="Arial" w:cs="Arial"/>
                <w:b/>
                <w:sz w:val="22"/>
                <w:szCs w:val="22"/>
              </w:rPr>
              <w:t xml:space="preserve"> </w:t>
            </w:r>
            <w:r w:rsidRPr="001C4C46">
              <w:rPr>
                <w:rFonts w:ascii="Arial" w:hAnsi="Arial" w:cs="Arial"/>
                <w:sz w:val="22"/>
                <w:szCs w:val="22"/>
              </w:rPr>
              <w:t>en el proceso de preparación de esos informes, en los que se indicará para cada elemento:</w:t>
            </w:r>
          </w:p>
          <w:p w:rsidR="00D54F2A" w:rsidRPr="0092706B" w:rsidRDefault="00D54F2A" w:rsidP="00D54F2A">
            <w:pPr>
              <w:numPr>
                <w:ilvl w:val="0"/>
                <w:numId w:val="30"/>
              </w:numPr>
              <w:spacing w:before="120" w:after="120"/>
              <w:ind w:left="656" w:hanging="656"/>
              <w:jc w:val="both"/>
              <w:rPr>
                <w:rFonts w:ascii="Arial" w:hAnsi="Arial" w:cs="Arial"/>
                <w:sz w:val="22"/>
                <w:szCs w:val="22"/>
              </w:rPr>
            </w:pPr>
            <w:r w:rsidRPr="0092706B">
              <w:rPr>
                <w:rFonts w:ascii="Arial" w:hAnsi="Arial" w:cs="Arial"/>
                <w:sz w:val="22"/>
                <w:szCs w:val="22"/>
              </w:rPr>
              <w:t>sus funciones sociales y culturales;</w:t>
            </w:r>
          </w:p>
          <w:p w:rsidR="00D54F2A" w:rsidRPr="005557B3" w:rsidRDefault="00D54F2A" w:rsidP="00D54F2A">
            <w:pPr>
              <w:numPr>
                <w:ilvl w:val="0"/>
                <w:numId w:val="30"/>
              </w:numPr>
              <w:spacing w:before="120" w:after="120"/>
              <w:ind w:left="656" w:hanging="656"/>
              <w:jc w:val="both"/>
              <w:rPr>
                <w:rFonts w:ascii="Arial" w:hAnsi="Arial" w:cs="Arial"/>
                <w:sz w:val="22"/>
                <w:szCs w:val="22"/>
              </w:rPr>
            </w:pPr>
            <w:r w:rsidRPr="005557B3">
              <w:rPr>
                <w:rFonts w:ascii="Arial" w:hAnsi="Arial" w:cs="Arial"/>
                <w:sz w:val="22"/>
                <w:szCs w:val="22"/>
              </w:rPr>
              <w:t>una evaluación de su viabilidad y los riesgos que corre actualmente, de haberlos;</w:t>
            </w:r>
          </w:p>
          <w:p w:rsidR="00D54F2A" w:rsidRPr="005557B3" w:rsidRDefault="00D54F2A" w:rsidP="00D54F2A">
            <w:pPr>
              <w:numPr>
                <w:ilvl w:val="0"/>
                <w:numId w:val="30"/>
              </w:numPr>
              <w:spacing w:before="120" w:after="120"/>
              <w:ind w:left="656" w:hanging="656"/>
              <w:jc w:val="both"/>
              <w:rPr>
                <w:rFonts w:ascii="Arial" w:hAnsi="Arial" w:cs="Arial"/>
                <w:sz w:val="22"/>
                <w:szCs w:val="22"/>
              </w:rPr>
            </w:pPr>
            <w:r w:rsidRPr="005557B3">
              <w:rPr>
                <w:rFonts w:ascii="Arial" w:hAnsi="Arial" w:cs="Arial"/>
                <w:sz w:val="22"/>
                <w:szCs w:val="22"/>
              </w:rPr>
              <w:t>su contribución a los objetivos de la Lista;</w:t>
            </w:r>
          </w:p>
          <w:p w:rsidR="00D54F2A" w:rsidRPr="005557B3" w:rsidRDefault="00D54F2A" w:rsidP="00D54F2A">
            <w:pPr>
              <w:numPr>
                <w:ilvl w:val="0"/>
                <w:numId w:val="30"/>
              </w:numPr>
              <w:spacing w:before="120" w:after="120"/>
              <w:ind w:left="656" w:hanging="656"/>
              <w:jc w:val="both"/>
              <w:rPr>
                <w:rFonts w:ascii="Arial" w:hAnsi="Arial" w:cs="Arial"/>
                <w:sz w:val="22"/>
                <w:szCs w:val="22"/>
              </w:rPr>
            </w:pPr>
            <w:r w:rsidRPr="005557B3">
              <w:rPr>
                <w:rFonts w:ascii="Arial" w:hAnsi="Arial" w:cs="Arial"/>
                <w:sz w:val="22"/>
                <w:szCs w:val="22"/>
              </w:rPr>
              <w:t>los esfuerzos destinados a promover o reforzar el elemento, especialmente la aplicación de todas las medidas que puedan haber sido necesarias como consecuencia de la inscripción;</w:t>
            </w:r>
          </w:p>
          <w:p w:rsidR="00D54F2A" w:rsidRPr="00410628" w:rsidRDefault="00D54F2A" w:rsidP="005557B3">
            <w:pPr>
              <w:numPr>
                <w:ilvl w:val="0"/>
                <w:numId w:val="30"/>
              </w:numPr>
              <w:spacing w:before="120" w:after="120"/>
              <w:ind w:left="656" w:hanging="656"/>
              <w:jc w:val="both"/>
              <w:rPr>
                <w:rFonts w:ascii="Arial" w:hAnsi="Arial" w:cs="Arial"/>
                <w:sz w:val="22"/>
                <w:szCs w:val="22"/>
              </w:rPr>
            </w:pPr>
            <w:r w:rsidRPr="005557B3">
              <w:rPr>
                <w:rFonts w:ascii="Arial" w:hAnsi="Arial" w:cs="Arial"/>
                <w:sz w:val="22"/>
                <w:szCs w:val="22"/>
              </w:rPr>
              <w:t xml:space="preserve">la participación de las comunidades, los grupos y los individuos, </w:t>
            </w:r>
            <w:r w:rsidRPr="005557B3">
              <w:rPr>
                <w:rFonts w:ascii="Arial" w:hAnsi="Arial" w:cs="Arial"/>
                <w:b/>
                <w:sz w:val="22"/>
                <w:szCs w:val="22"/>
                <w:u w:val="single"/>
              </w:rPr>
              <w:t>y de las organizaciones no gubernamentales pertinentes</w:t>
            </w:r>
            <w:r w:rsidRPr="005557B3">
              <w:rPr>
                <w:rFonts w:ascii="Arial" w:hAnsi="Arial" w:cs="Arial"/>
                <w:sz w:val="22"/>
                <w:szCs w:val="22"/>
              </w:rPr>
              <w:t xml:space="preserve"> en la salvaguardia del el</w:t>
            </w:r>
            <w:r w:rsidRPr="001A298C">
              <w:rPr>
                <w:rFonts w:ascii="Arial" w:hAnsi="Arial" w:cs="Arial"/>
                <w:sz w:val="22"/>
                <w:szCs w:val="22"/>
              </w:rPr>
              <w:t xml:space="preserve">emento y su </w:t>
            </w:r>
            <w:r w:rsidR="005557B3" w:rsidRPr="00A26632">
              <w:rPr>
                <w:rFonts w:ascii="Arial" w:hAnsi="Arial" w:cs="Arial"/>
                <w:b/>
                <w:sz w:val="22"/>
                <w:szCs w:val="22"/>
                <w:u w:val="single"/>
              </w:rPr>
              <w:t>constante</w:t>
            </w:r>
            <w:r w:rsidR="005557B3" w:rsidRPr="00A26632">
              <w:rPr>
                <w:rFonts w:ascii="Arial" w:hAnsi="Arial" w:cs="Arial"/>
                <w:sz w:val="22"/>
                <w:szCs w:val="22"/>
              </w:rPr>
              <w:t xml:space="preserve"> </w:t>
            </w:r>
            <w:r w:rsidRPr="005557B3">
              <w:rPr>
                <w:rFonts w:ascii="Arial" w:hAnsi="Arial" w:cs="Arial"/>
                <w:sz w:val="22"/>
                <w:szCs w:val="22"/>
              </w:rPr>
              <w:t xml:space="preserve">voluntad </w:t>
            </w:r>
            <w:r w:rsidRPr="001C4C46">
              <w:rPr>
                <w:rFonts w:ascii="Arial" w:hAnsi="Arial" w:cs="Arial"/>
                <w:sz w:val="22"/>
                <w:szCs w:val="22"/>
              </w:rPr>
              <w:t>de seguir salvaguardándolo.</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lastRenderedPageBreak/>
              <w:t>158.</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El Estado Parte informará sobre el contexto institucional del elemento inscrito en la Lista </w:t>
            </w:r>
            <w:r w:rsidR="005557B3">
              <w:rPr>
                <w:rFonts w:ascii="Arial" w:hAnsi="Arial" w:cs="Arial"/>
                <w:sz w:val="22"/>
                <w:szCs w:val="22"/>
              </w:rPr>
              <w:t>r</w:t>
            </w:r>
            <w:r w:rsidR="005557B3" w:rsidRPr="005557B3">
              <w:rPr>
                <w:rFonts w:ascii="Arial" w:hAnsi="Arial" w:cs="Arial"/>
                <w:sz w:val="22"/>
                <w:szCs w:val="22"/>
              </w:rPr>
              <w:t xml:space="preserve">epresentativa </w:t>
            </w:r>
            <w:r w:rsidRPr="005557B3">
              <w:rPr>
                <w:rFonts w:ascii="Arial" w:hAnsi="Arial" w:cs="Arial"/>
                <w:sz w:val="22"/>
                <w:szCs w:val="22"/>
              </w:rPr>
              <w:t xml:space="preserve">del </w:t>
            </w:r>
            <w:r w:rsidR="005557B3">
              <w:rPr>
                <w:rFonts w:ascii="Arial" w:hAnsi="Arial" w:cs="Arial"/>
                <w:sz w:val="22"/>
                <w:szCs w:val="22"/>
              </w:rPr>
              <w:t>p</w:t>
            </w:r>
            <w:r w:rsidR="005557B3" w:rsidRPr="005557B3">
              <w:rPr>
                <w:rFonts w:ascii="Arial" w:hAnsi="Arial" w:cs="Arial"/>
                <w:sz w:val="22"/>
                <w:szCs w:val="22"/>
              </w:rPr>
              <w:t xml:space="preserve">atrimonio </w:t>
            </w:r>
            <w:r w:rsidR="005557B3">
              <w:rPr>
                <w:rFonts w:ascii="Arial" w:hAnsi="Arial" w:cs="Arial"/>
                <w:sz w:val="22"/>
                <w:szCs w:val="22"/>
              </w:rPr>
              <w:t>c</w:t>
            </w:r>
            <w:r w:rsidR="005557B3" w:rsidRPr="005557B3">
              <w:rPr>
                <w:rFonts w:ascii="Arial" w:hAnsi="Arial" w:cs="Arial"/>
                <w:sz w:val="22"/>
                <w:szCs w:val="22"/>
              </w:rPr>
              <w:t xml:space="preserve">ultural </w:t>
            </w:r>
            <w:r w:rsidR="005557B3">
              <w:rPr>
                <w:rFonts w:ascii="Arial" w:hAnsi="Arial" w:cs="Arial"/>
                <w:sz w:val="22"/>
                <w:szCs w:val="22"/>
              </w:rPr>
              <w:t>i</w:t>
            </w:r>
            <w:r w:rsidR="005557B3" w:rsidRPr="005557B3">
              <w:rPr>
                <w:rFonts w:ascii="Arial" w:hAnsi="Arial" w:cs="Arial"/>
                <w:sz w:val="22"/>
                <w:szCs w:val="22"/>
              </w:rPr>
              <w:t xml:space="preserve">nmaterial </w:t>
            </w:r>
            <w:r w:rsidRPr="005557B3">
              <w:rPr>
                <w:rFonts w:ascii="Arial" w:hAnsi="Arial" w:cs="Arial"/>
                <w:sz w:val="22"/>
                <w:szCs w:val="22"/>
              </w:rPr>
              <w:t xml:space="preserve">de la </w:t>
            </w:r>
            <w:r w:rsidR="005557B3">
              <w:rPr>
                <w:rFonts w:ascii="Arial" w:hAnsi="Arial" w:cs="Arial"/>
                <w:sz w:val="22"/>
                <w:szCs w:val="22"/>
              </w:rPr>
              <w:t>h</w:t>
            </w:r>
            <w:r w:rsidR="005557B3" w:rsidRPr="005557B3">
              <w:rPr>
                <w:rFonts w:ascii="Arial" w:hAnsi="Arial" w:cs="Arial"/>
                <w:sz w:val="22"/>
                <w:szCs w:val="22"/>
              </w:rPr>
              <w:t>umanidad</w:t>
            </w:r>
            <w:r w:rsidRPr="005557B3">
              <w:rPr>
                <w:rFonts w:ascii="Arial" w:hAnsi="Arial" w:cs="Arial"/>
                <w:sz w:val="22"/>
                <w:szCs w:val="22"/>
              </w:rPr>
              <w:t>, en particular:</w:t>
            </w:r>
          </w:p>
          <w:p w:rsidR="00D54F2A" w:rsidRPr="005557B3" w:rsidRDefault="00D54F2A" w:rsidP="00D54F2A">
            <w:pPr>
              <w:numPr>
                <w:ilvl w:val="0"/>
                <w:numId w:val="31"/>
              </w:numPr>
              <w:spacing w:before="120" w:after="120"/>
              <w:ind w:left="656" w:hanging="656"/>
              <w:jc w:val="both"/>
              <w:rPr>
                <w:rFonts w:ascii="Arial" w:hAnsi="Arial" w:cs="Arial"/>
                <w:sz w:val="22"/>
                <w:szCs w:val="22"/>
              </w:rPr>
            </w:pPr>
            <w:r w:rsidRPr="005557B3">
              <w:rPr>
                <w:rFonts w:ascii="Arial" w:hAnsi="Arial" w:cs="Arial"/>
                <w:sz w:val="22"/>
                <w:szCs w:val="22"/>
              </w:rPr>
              <w:t>el(los) organismo(s) competente(s) que se encarga(n) de su gestión y/o salvaguardia;</w:t>
            </w:r>
          </w:p>
          <w:p w:rsidR="00D54F2A" w:rsidRPr="005557B3" w:rsidRDefault="00D54F2A" w:rsidP="005557B3">
            <w:pPr>
              <w:numPr>
                <w:ilvl w:val="0"/>
                <w:numId w:val="31"/>
              </w:numPr>
              <w:spacing w:before="120" w:after="120"/>
              <w:ind w:left="656" w:hanging="656"/>
              <w:jc w:val="both"/>
              <w:rPr>
                <w:rFonts w:ascii="Arial" w:hAnsi="Arial" w:cs="Arial"/>
                <w:sz w:val="22"/>
                <w:szCs w:val="22"/>
              </w:rPr>
            </w:pPr>
            <w:r w:rsidRPr="005557B3">
              <w:rPr>
                <w:rFonts w:ascii="Arial" w:hAnsi="Arial" w:cs="Arial"/>
                <w:sz w:val="22"/>
                <w:szCs w:val="22"/>
              </w:rPr>
              <w:t xml:space="preserve">la(s) organización(es) de la comunidad o el grupo </w:t>
            </w:r>
            <w:r w:rsidR="005557B3">
              <w:rPr>
                <w:rFonts w:ascii="Arial" w:hAnsi="Arial" w:cs="Arial"/>
                <w:sz w:val="22"/>
                <w:szCs w:val="22"/>
              </w:rPr>
              <w:t>interesado</w:t>
            </w:r>
            <w:r w:rsidR="005557B3" w:rsidRPr="005557B3">
              <w:rPr>
                <w:rFonts w:ascii="Arial" w:hAnsi="Arial" w:cs="Arial"/>
                <w:sz w:val="22"/>
                <w:szCs w:val="22"/>
              </w:rPr>
              <w:t xml:space="preserve"> </w:t>
            </w:r>
            <w:r w:rsidRPr="005557B3">
              <w:rPr>
                <w:rFonts w:ascii="Arial" w:hAnsi="Arial" w:cs="Arial"/>
                <w:sz w:val="22"/>
                <w:szCs w:val="22"/>
              </w:rPr>
              <w:t>en el elemento y su salvaguardia.</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158.</w:t>
            </w:r>
          </w:p>
        </w:tc>
        <w:tc>
          <w:tcPr>
            <w:tcW w:w="6491" w:type="dxa"/>
            <w:gridSpan w:val="2"/>
          </w:tcPr>
          <w:p w:rsidR="00D54F2A" w:rsidRPr="001A298C" w:rsidRDefault="00D54F2A" w:rsidP="00D54F2A">
            <w:pPr>
              <w:spacing w:before="120" w:after="120"/>
              <w:jc w:val="both"/>
              <w:rPr>
                <w:rFonts w:ascii="Arial" w:hAnsi="Arial" w:cs="Arial"/>
                <w:sz w:val="22"/>
                <w:szCs w:val="22"/>
              </w:rPr>
            </w:pPr>
            <w:r w:rsidRPr="001A298C">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159.</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Los Estados Partes responderán a su debido tiempo a las peticiones concretas de información complementaria que les remita el Comité, de ser necesario entre los plazos establecidos en el párrafo 152 </w:t>
            </w:r>
            <w:r w:rsidRPr="001C4C46">
              <w:rPr>
                <w:rFonts w:ascii="Arial" w:hAnsi="Arial" w:cs="Arial"/>
                <w:i/>
                <w:sz w:val="22"/>
                <w:szCs w:val="22"/>
              </w:rPr>
              <w:t>supra</w:t>
            </w:r>
            <w:r w:rsidRPr="005557B3">
              <w:rPr>
                <w:rFonts w:ascii="Arial" w:hAnsi="Arial" w:cs="Arial"/>
                <w:sz w:val="22"/>
                <w:szCs w:val="22"/>
              </w:rPr>
              <w:t>.</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159.</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b/>
                <w:sz w:val="22"/>
                <w:szCs w:val="22"/>
              </w:rPr>
              <w:t>V.2</w:t>
            </w:r>
          </w:p>
        </w:tc>
        <w:tc>
          <w:tcPr>
            <w:tcW w:w="6491" w:type="dxa"/>
            <w:gridSpan w:val="2"/>
            <w:shd w:val="clear" w:color="auto" w:fill="auto"/>
          </w:tcPr>
          <w:p w:rsidR="00D54F2A" w:rsidRPr="001C4C46" w:rsidRDefault="00D54F2A" w:rsidP="00D54F2A">
            <w:pPr>
              <w:spacing w:before="120" w:after="120"/>
              <w:jc w:val="both"/>
              <w:rPr>
                <w:rFonts w:ascii="Arial" w:hAnsi="Arial" w:cs="Arial"/>
                <w:sz w:val="22"/>
                <w:szCs w:val="22"/>
              </w:rPr>
            </w:pPr>
            <w:r w:rsidRPr="001C4C46">
              <w:rPr>
                <w:rFonts w:ascii="Arial" w:hAnsi="Arial" w:cs="Arial"/>
                <w:b/>
                <w:sz w:val="22"/>
                <w:szCs w:val="22"/>
              </w:rPr>
              <w:t>Informes de los Estados Partes sobre los elementos inscritos en la Lista del patrimonio cultural inmaterial que requiere medidas urgentes de salvaguardia</w:t>
            </w:r>
          </w:p>
        </w:tc>
        <w:tc>
          <w:tcPr>
            <w:tcW w:w="850" w:type="dxa"/>
            <w:gridSpan w:val="2"/>
          </w:tcPr>
          <w:p w:rsidR="00D54F2A" w:rsidRPr="0092706B" w:rsidRDefault="00D54F2A" w:rsidP="00D54F2A">
            <w:pPr>
              <w:spacing w:before="120" w:after="120"/>
              <w:jc w:val="right"/>
              <w:rPr>
                <w:rFonts w:ascii="Arial" w:hAnsi="Arial" w:cs="Arial"/>
                <w:sz w:val="22"/>
                <w:szCs w:val="22"/>
              </w:rPr>
            </w:pPr>
            <w:r w:rsidRPr="00410628">
              <w:rPr>
                <w:rFonts w:ascii="Arial" w:hAnsi="Arial" w:cs="Arial"/>
                <w:b/>
                <w:sz w:val="22"/>
                <w:szCs w:val="22"/>
              </w:rPr>
              <w:t>V.2</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410628">
              <w:rPr>
                <w:rFonts w:ascii="Arial" w:hAnsi="Arial" w:cs="Arial"/>
                <w:sz w:val="22"/>
                <w:szCs w:val="22"/>
              </w:rPr>
              <w:t>160.</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Cada Estado Parte presentará al Comité informes sobre el estado de los elementos del patrimonio cultural inmaterial presentes en su territorio que hayan sido inscritos en la Lista del patrimonio cultural inmaterial que requiere medidas urgentes de salvaguardia a petición suya o, en casos de extrema urgencia, previa consulta con el Comité. El Estado Parte se esforzará por hacer participar del modo más amplio posible a las comunidades, los grupos y, si procede, los individuos </w:t>
            </w:r>
            <w:r w:rsidR="00C506F5">
              <w:rPr>
                <w:rFonts w:ascii="Arial" w:hAnsi="Arial" w:cs="Arial"/>
                <w:sz w:val="22"/>
                <w:szCs w:val="22"/>
              </w:rPr>
              <w:t>interesados</w:t>
            </w:r>
            <w:r w:rsidRPr="0092706B">
              <w:rPr>
                <w:rFonts w:ascii="Arial" w:hAnsi="Arial" w:cs="Arial"/>
                <w:sz w:val="22"/>
                <w:szCs w:val="22"/>
              </w:rPr>
              <w:t xml:space="preserve"> en el proceso de elaboración de esos informes.</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160.</w:t>
            </w:r>
          </w:p>
        </w:tc>
        <w:tc>
          <w:tcPr>
            <w:tcW w:w="6491" w:type="dxa"/>
            <w:gridSpan w:val="2"/>
          </w:tcPr>
          <w:p w:rsidR="00D54F2A" w:rsidRPr="005557B3" w:rsidRDefault="00D54F2A" w:rsidP="005557B3">
            <w:pPr>
              <w:spacing w:before="120" w:after="120"/>
              <w:jc w:val="both"/>
              <w:rPr>
                <w:rFonts w:ascii="Arial" w:hAnsi="Arial" w:cs="Arial"/>
                <w:sz w:val="22"/>
                <w:szCs w:val="22"/>
              </w:rPr>
            </w:pPr>
            <w:r w:rsidRPr="005557B3">
              <w:rPr>
                <w:rFonts w:ascii="Arial" w:hAnsi="Arial" w:cs="Arial"/>
                <w:sz w:val="22"/>
                <w:szCs w:val="22"/>
              </w:rPr>
              <w:t xml:space="preserve">Cada Estado Parte presentará al Comité informes sobre el estado de los elementos del patrimonio cultural inmaterial presentes en su territorio que hayan sido inscritos en la Lista del patrimonio cultural inmaterial que requiere medidas urgentes de salvaguardia a petición suya o, en casos de extrema urgencia, previa consulta con el Comité. El Estado Parte se esforzará por hacer participar del modo más amplio posible a las comunidades, los grupos y, si procede, los individuos </w:t>
            </w:r>
            <w:r w:rsidR="00C506F5">
              <w:rPr>
                <w:rFonts w:ascii="Arial" w:hAnsi="Arial" w:cs="Arial"/>
                <w:sz w:val="22"/>
                <w:szCs w:val="22"/>
              </w:rPr>
              <w:t>interesados</w:t>
            </w:r>
            <w:r w:rsidRPr="0092706B">
              <w:rPr>
                <w:rFonts w:ascii="Arial" w:hAnsi="Arial" w:cs="Arial"/>
                <w:sz w:val="22"/>
                <w:szCs w:val="22"/>
              </w:rPr>
              <w:t xml:space="preserve"> </w:t>
            </w:r>
            <w:r w:rsidRPr="0092706B">
              <w:rPr>
                <w:rFonts w:ascii="Arial" w:hAnsi="Arial" w:cs="Arial"/>
                <w:b/>
                <w:sz w:val="22"/>
                <w:szCs w:val="22"/>
                <w:u w:val="single"/>
              </w:rPr>
              <w:t xml:space="preserve">y las </w:t>
            </w:r>
            <w:r w:rsidR="005557B3">
              <w:rPr>
                <w:rFonts w:ascii="Arial" w:hAnsi="Arial" w:cs="Arial"/>
                <w:b/>
                <w:sz w:val="22"/>
                <w:szCs w:val="22"/>
                <w:u w:val="single"/>
              </w:rPr>
              <w:t>organizaciones</w:t>
            </w:r>
            <w:r w:rsidR="005557B3" w:rsidRPr="0092706B">
              <w:rPr>
                <w:rFonts w:ascii="Arial" w:hAnsi="Arial" w:cs="Arial"/>
                <w:b/>
                <w:sz w:val="22"/>
                <w:szCs w:val="22"/>
                <w:u w:val="single"/>
              </w:rPr>
              <w:t xml:space="preserve"> </w:t>
            </w:r>
            <w:r w:rsidRPr="0092706B">
              <w:rPr>
                <w:rFonts w:ascii="Arial" w:hAnsi="Arial" w:cs="Arial"/>
                <w:b/>
                <w:sz w:val="22"/>
                <w:szCs w:val="22"/>
                <w:u w:val="single"/>
              </w:rPr>
              <w:t>no gubernamentales pertinentes</w:t>
            </w:r>
            <w:r w:rsidRPr="005557B3">
              <w:rPr>
                <w:rFonts w:ascii="Arial" w:hAnsi="Arial" w:cs="Arial"/>
                <w:sz w:val="22"/>
                <w:szCs w:val="22"/>
              </w:rPr>
              <w:t xml:space="preserve"> en el proceso de elaboración de esos informes.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lastRenderedPageBreak/>
              <w:t>161.</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Esos informes se presentarán normalmente al Comité, sobre la base de orientaciones comunes y en una forma simplificada preparada por la Secretaría y aprobada por el Comité, a más tardar el 15 de diciembre del cuarto año siguiente a aquel en que se haya inscrito el elemento, y cada cuatro años a partir de entonces. En el momento de la inscripción, el Comité podrá establecer en cada caso particular un calendario específico para la presentación de informes que prevalecerá sobre el ciclo normal de cuatro años.</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161.</w:t>
            </w:r>
          </w:p>
        </w:tc>
        <w:tc>
          <w:tcPr>
            <w:tcW w:w="6491" w:type="dxa"/>
            <w:gridSpan w:val="2"/>
          </w:tcPr>
          <w:p w:rsidR="00D54F2A" w:rsidRPr="005557B3" w:rsidRDefault="00D54F2A" w:rsidP="001A298C">
            <w:pPr>
              <w:spacing w:before="120" w:after="120"/>
              <w:jc w:val="both"/>
              <w:rPr>
                <w:rFonts w:ascii="Arial" w:hAnsi="Arial" w:cs="Arial"/>
                <w:sz w:val="22"/>
                <w:szCs w:val="22"/>
              </w:rPr>
            </w:pPr>
            <w:r w:rsidRPr="005557B3">
              <w:rPr>
                <w:rFonts w:ascii="Arial" w:hAnsi="Arial" w:cs="Arial"/>
                <w:sz w:val="22"/>
                <w:szCs w:val="22"/>
              </w:rPr>
              <w:t xml:space="preserve">Esos informes se presentarán normalmente al Comité </w:t>
            </w:r>
            <w:r w:rsidRPr="005557B3">
              <w:rPr>
                <w:rFonts w:ascii="Arial" w:hAnsi="Arial" w:cs="Arial"/>
                <w:strike/>
                <w:sz w:val="22"/>
                <w:szCs w:val="22"/>
              </w:rPr>
              <w:t>sobre la base de orientaciones comunes y en una forma simplificada preparada por la Secretaría y aprobada por el Comité</w:t>
            </w:r>
            <w:r w:rsidRPr="005557B3">
              <w:rPr>
                <w:rFonts w:ascii="Arial" w:hAnsi="Arial" w:cs="Arial"/>
                <w:sz w:val="22"/>
                <w:szCs w:val="22"/>
              </w:rPr>
              <w:t>, a más tardar el 15 de diciembre del cuarto año siguiente a aquel en que se haya inscrito el elemento, y cada cuatro a</w:t>
            </w:r>
            <w:r w:rsidRPr="001A298C">
              <w:rPr>
                <w:rFonts w:ascii="Arial" w:hAnsi="Arial" w:cs="Arial"/>
                <w:sz w:val="22"/>
                <w:szCs w:val="22"/>
              </w:rPr>
              <w:t xml:space="preserve">ños a partir de entonces. </w:t>
            </w:r>
            <w:r w:rsidRPr="001A298C">
              <w:rPr>
                <w:rFonts w:ascii="Arial" w:hAnsi="Arial" w:cs="Arial"/>
                <w:b/>
                <w:color w:val="000000"/>
                <w:sz w:val="22"/>
                <w:szCs w:val="22"/>
                <w:u w:val="single"/>
              </w:rPr>
              <w:t xml:space="preserve">El </w:t>
            </w:r>
            <w:r w:rsidR="001A298C">
              <w:rPr>
                <w:rFonts w:ascii="Arial" w:hAnsi="Arial" w:cs="Arial"/>
                <w:b/>
                <w:color w:val="000000"/>
                <w:sz w:val="22"/>
                <w:szCs w:val="22"/>
                <w:u w:val="single"/>
              </w:rPr>
              <w:t>f</w:t>
            </w:r>
            <w:r w:rsidR="001A298C" w:rsidRPr="001A298C">
              <w:rPr>
                <w:rFonts w:ascii="Arial" w:hAnsi="Arial" w:cs="Arial"/>
                <w:b/>
                <w:color w:val="000000"/>
                <w:sz w:val="22"/>
                <w:szCs w:val="22"/>
                <w:u w:val="single"/>
              </w:rPr>
              <w:t>ormulario </w:t>
            </w:r>
            <w:r w:rsidRPr="001A298C">
              <w:rPr>
                <w:rFonts w:ascii="Arial" w:hAnsi="Arial" w:cs="Arial"/>
                <w:b/>
                <w:color w:val="000000"/>
                <w:sz w:val="22"/>
                <w:szCs w:val="22"/>
                <w:u w:val="single"/>
              </w:rPr>
              <w:t xml:space="preserve">ICH-11 se utiliza para tales informes y se encuentra disponible en </w:t>
            </w:r>
            <w:hyperlink r:id="rId58">
              <w:r w:rsidRPr="001C4C46">
                <w:rPr>
                  <w:rStyle w:val="Hyperlink"/>
                  <w:rFonts w:ascii="Arial" w:hAnsi="Arial" w:cs="Arial"/>
                  <w:b/>
                  <w:sz w:val="22"/>
                  <w:szCs w:val="22"/>
                </w:rPr>
                <w:t>www.unesco.org/culture/ich</w:t>
              </w:r>
            </w:hyperlink>
            <w:r w:rsidRPr="0092706B">
              <w:rPr>
                <w:rFonts w:ascii="Arial" w:hAnsi="Arial" w:cs="Arial"/>
                <w:b/>
                <w:color w:val="000000"/>
                <w:sz w:val="22"/>
                <w:szCs w:val="22"/>
                <w:u w:val="single"/>
              </w:rPr>
              <w:t xml:space="preserve"> o </w:t>
            </w:r>
            <w:r w:rsidR="001A298C">
              <w:rPr>
                <w:rFonts w:ascii="Arial" w:hAnsi="Arial" w:cs="Arial"/>
                <w:b/>
                <w:color w:val="000000"/>
                <w:sz w:val="22"/>
                <w:szCs w:val="22"/>
                <w:u w:val="single"/>
              </w:rPr>
              <w:t>previa solicitud</w:t>
            </w:r>
            <w:r w:rsidRPr="0092706B">
              <w:rPr>
                <w:rFonts w:ascii="Arial" w:hAnsi="Arial" w:cs="Arial"/>
                <w:b/>
                <w:color w:val="000000"/>
                <w:sz w:val="22"/>
                <w:szCs w:val="22"/>
                <w:u w:val="single"/>
              </w:rPr>
              <w:t xml:space="preserve"> a la Secretaría. Los </w:t>
            </w:r>
            <w:r w:rsidR="001A298C">
              <w:rPr>
                <w:rFonts w:ascii="Arial" w:hAnsi="Arial" w:cs="Arial"/>
                <w:b/>
                <w:color w:val="000000"/>
                <w:sz w:val="22"/>
                <w:szCs w:val="22"/>
                <w:u w:val="single"/>
              </w:rPr>
              <w:t>informes</w:t>
            </w:r>
            <w:r w:rsidR="001A298C" w:rsidRPr="0092706B">
              <w:rPr>
                <w:rFonts w:ascii="Arial" w:hAnsi="Arial" w:cs="Arial"/>
                <w:b/>
                <w:color w:val="000000"/>
                <w:sz w:val="22"/>
                <w:szCs w:val="22"/>
                <w:u w:val="single"/>
              </w:rPr>
              <w:t xml:space="preserve"> </w:t>
            </w:r>
            <w:r w:rsidRPr="0092706B">
              <w:rPr>
                <w:rFonts w:ascii="Arial" w:hAnsi="Arial" w:cs="Arial"/>
                <w:b/>
                <w:color w:val="000000"/>
                <w:sz w:val="22"/>
                <w:szCs w:val="22"/>
                <w:u w:val="single"/>
              </w:rPr>
              <w:t>deberán incluir única</w:t>
            </w:r>
            <w:r w:rsidRPr="005557B3">
              <w:rPr>
                <w:rFonts w:ascii="Arial" w:hAnsi="Arial" w:cs="Arial"/>
                <w:b/>
                <w:color w:val="000000"/>
                <w:sz w:val="22"/>
                <w:szCs w:val="22"/>
                <w:u w:val="single"/>
              </w:rPr>
              <w:t xml:space="preserve">mente la información requerida en </w:t>
            </w:r>
            <w:r w:rsidR="001A298C">
              <w:rPr>
                <w:rFonts w:ascii="Arial" w:hAnsi="Arial" w:cs="Arial"/>
                <w:b/>
                <w:color w:val="000000"/>
                <w:sz w:val="22"/>
                <w:szCs w:val="22"/>
                <w:u w:val="single"/>
              </w:rPr>
              <w:t>el</w:t>
            </w:r>
            <w:r w:rsidR="001A298C" w:rsidRPr="005557B3">
              <w:rPr>
                <w:rFonts w:ascii="Arial" w:hAnsi="Arial" w:cs="Arial"/>
                <w:b/>
                <w:color w:val="000000"/>
                <w:sz w:val="22"/>
                <w:szCs w:val="22"/>
                <w:u w:val="single"/>
              </w:rPr>
              <w:t xml:space="preserve"> </w:t>
            </w:r>
            <w:r w:rsidRPr="005557B3">
              <w:rPr>
                <w:rFonts w:ascii="Arial" w:hAnsi="Arial" w:cs="Arial"/>
                <w:b/>
                <w:color w:val="000000"/>
                <w:sz w:val="22"/>
                <w:szCs w:val="22"/>
                <w:u w:val="single"/>
              </w:rPr>
              <w:t>formulario.</w:t>
            </w:r>
            <w:r w:rsidRPr="005557B3">
              <w:rPr>
                <w:rFonts w:ascii="Arial" w:hAnsi="Arial" w:cs="Arial"/>
                <w:b/>
                <w:color w:val="000000"/>
                <w:sz w:val="22"/>
                <w:szCs w:val="22"/>
              </w:rPr>
              <w:t xml:space="preserve"> </w:t>
            </w:r>
            <w:r w:rsidRPr="005557B3">
              <w:rPr>
                <w:rFonts w:ascii="Arial" w:hAnsi="Arial" w:cs="Arial"/>
                <w:sz w:val="22"/>
                <w:szCs w:val="22"/>
              </w:rPr>
              <w:t>En el momento de la inscripción, el Comité podrá establecer en cada caso particular un calendario específico para la presentación de informes que prevalecerá sobre el ciclo normal de cuatro años.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162.</w:t>
            </w:r>
          </w:p>
        </w:tc>
        <w:tc>
          <w:tcPr>
            <w:tcW w:w="6491" w:type="dxa"/>
            <w:gridSpan w:val="2"/>
            <w:shd w:val="clear" w:color="auto" w:fill="auto"/>
          </w:tcPr>
          <w:p w:rsidR="00D54F2A" w:rsidRPr="001C4C46" w:rsidRDefault="00D54F2A" w:rsidP="00D54F2A">
            <w:pPr>
              <w:spacing w:before="120" w:after="120"/>
              <w:jc w:val="both"/>
              <w:rPr>
                <w:rFonts w:ascii="Arial" w:hAnsi="Arial" w:cs="Arial"/>
                <w:sz w:val="22"/>
                <w:szCs w:val="22"/>
              </w:rPr>
            </w:pPr>
            <w:r w:rsidRPr="001C4C46">
              <w:rPr>
                <w:rFonts w:ascii="Arial" w:hAnsi="Arial" w:cs="Arial"/>
                <w:sz w:val="22"/>
                <w:szCs w:val="22"/>
              </w:rPr>
              <w:t>El Estado Parte informará sobre el estado actual del elemento, especialmente:</w:t>
            </w:r>
          </w:p>
          <w:p w:rsidR="00D54F2A" w:rsidRPr="0092706B" w:rsidRDefault="00D54F2A" w:rsidP="00D54F2A">
            <w:pPr>
              <w:numPr>
                <w:ilvl w:val="0"/>
                <w:numId w:val="32"/>
              </w:numPr>
              <w:spacing w:before="120" w:after="120"/>
              <w:ind w:left="656" w:hanging="656"/>
              <w:jc w:val="both"/>
              <w:rPr>
                <w:rFonts w:ascii="Arial" w:hAnsi="Arial" w:cs="Arial"/>
                <w:sz w:val="22"/>
                <w:szCs w:val="22"/>
              </w:rPr>
            </w:pPr>
            <w:r w:rsidRPr="0092706B">
              <w:rPr>
                <w:rFonts w:ascii="Arial" w:hAnsi="Arial" w:cs="Arial"/>
                <w:sz w:val="22"/>
                <w:szCs w:val="22"/>
              </w:rPr>
              <w:t>sus funciones sociales y culturales;</w:t>
            </w:r>
          </w:p>
          <w:p w:rsidR="00D54F2A" w:rsidRPr="005557B3" w:rsidRDefault="00D54F2A" w:rsidP="00D54F2A">
            <w:pPr>
              <w:numPr>
                <w:ilvl w:val="0"/>
                <w:numId w:val="32"/>
              </w:numPr>
              <w:spacing w:before="120" w:after="120"/>
              <w:ind w:left="656" w:hanging="656"/>
              <w:jc w:val="both"/>
              <w:rPr>
                <w:rFonts w:ascii="Arial" w:hAnsi="Arial" w:cs="Arial"/>
                <w:sz w:val="22"/>
                <w:szCs w:val="22"/>
              </w:rPr>
            </w:pPr>
            <w:r w:rsidRPr="005557B3">
              <w:rPr>
                <w:rFonts w:ascii="Arial" w:hAnsi="Arial" w:cs="Arial"/>
                <w:sz w:val="22"/>
                <w:szCs w:val="22"/>
              </w:rPr>
              <w:t>una evaluación de su viabilidad y los riesgos que corre actualmente;</w:t>
            </w:r>
          </w:p>
          <w:p w:rsidR="00D54F2A" w:rsidRPr="005557B3" w:rsidRDefault="00D54F2A" w:rsidP="00D54F2A">
            <w:pPr>
              <w:numPr>
                <w:ilvl w:val="0"/>
                <w:numId w:val="32"/>
              </w:numPr>
              <w:spacing w:before="120" w:after="120"/>
              <w:ind w:left="656" w:hanging="656"/>
              <w:jc w:val="both"/>
              <w:rPr>
                <w:rFonts w:ascii="Arial" w:hAnsi="Arial" w:cs="Arial"/>
                <w:sz w:val="22"/>
                <w:szCs w:val="22"/>
              </w:rPr>
            </w:pPr>
            <w:r w:rsidRPr="005557B3">
              <w:rPr>
                <w:rFonts w:ascii="Arial" w:hAnsi="Arial" w:cs="Arial"/>
                <w:sz w:val="22"/>
                <w:szCs w:val="22"/>
              </w:rPr>
              <w:t xml:space="preserve">las consecuencias de los esfuerzos encaminados a salvaguardar el elemento, en particular la </w:t>
            </w:r>
            <w:r w:rsidR="001A298C">
              <w:rPr>
                <w:rFonts w:ascii="Arial" w:hAnsi="Arial" w:cs="Arial"/>
                <w:sz w:val="22"/>
                <w:szCs w:val="22"/>
              </w:rPr>
              <w:t>aplicación</w:t>
            </w:r>
            <w:r w:rsidR="001A298C" w:rsidRPr="005557B3">
              <w:rPr>
                <w:rFonts w:ascii="Arial" w:hAnsi="Arial" w:cs="Arial"/>
                <w:sz w:val="22"/>
                <w:szCs w:val="22"/>
              </w:rPr>
              <w:t xml:space="preserve"> </w:t>
            </w:r>
            <w:r w:rsidRPr="005557B3">
              <w:rPr>
                <w:rFonts w:ascii="Arial" w:hAnsi="Arial" w:cs="Arial"/>
                <w:sz w:val="22"/>
                <w:szCs w:val="22"/>
              </w:rPr>
              <w:t>del plan de salvaguardia que se presentó en el momento de la candidatura;</w:t>
            </w:r>
          </w:p>
          <w:p w:rsidR="00D54F2A" w:rsidRPr="005557B3" w:rsidRDefault="00D54F2A" w:rsidP="001A298C">
            <w:pPr>
              <w:numPr>
                <w:ilvl w:val="0"/>
                <w:numId w:val="32"/>
              </w:numPr>
              <w:spacing w:before="120" w:after="120"/>
              <w:ind w:left="656" w:hanging="656"/>
              <w:jc w:val="both"/>
              <w:rPr>
                <w:rFonts w:ascii="Arial" w:hAnsi="Arial" w:cs="Arial"/>
                <w:sz w:val="22"/>
                <w:szCs w:val="22"/>
              </w:rPr>
            </w:pPr>
            <w:r w:rsidRPr="005557B3">
              <w:rPr>
                <w:rFonts w:ascii="Arial" w:hAnsi="Arial" w:cs="Arial"/>
                <w:sz w:val="22"/>
                <w:szCs w:val="22"/>
              </w:rPr>
              <w:t>la participación de las comunidades, los grupos y los individuos en la salvaguardia del elemento y su voluntad de seguir salvaguardándolo.</w:t>
            </w:r>
          </w:p>
        </w:tc>
        <w:tc>
          <w:tcPr>
            <w:tcW w:w="850" w:type="dxa"/>
            <w:gridSpan w:val="2"/>
          </w:tcPr>
          <w:p w:rsidR="00D54F2A" w:rsidRPr="001A298C" w:rsidRDefault="00D54F2A" w:rsidP="00D54F2A">
            <w:pPr>
              <w:spacing w:before="120" w:after="120"/>
              <w:jc w:val="right"/>
              <w:rPr>
                <w:rFonts w:ascii="Arial" w:hAnsi="Arial" w:cs="Arial"/>
                <w:sz w:val="22"/>
                <w:szCs w:val="22"/>
              </w:rPr>
            </w:pPr>
            <w:r w:rsidRPr="001A298C">
              <w:rPr>
                <w:rFonts w:ascii="Arial" w:hAnsi="Arial" w:cs="Arial"/>
                <w:sz w:val="22"/>
                <w:szCs w:val="22"/>
              </w:rPr>
              <w:t>162.</w:t>
            </w:r>
          </w:p>
        </w:tc>
        <w:tc>
          <w:tcPr>
            <w:tcW w:w="6491" w:type="dxa"/>
            <w:gridSpan w:val="2"/>
          </w:tcPr>
          <w:p w:rsidR="00D54F2A" w:rsidRPr="001C4C46" w:rsidRDefault="00D54F2A" w:rsidP="00D54F2A">
            <w:pPr>
              <w:spacing w:before="120" w:after="120"/>
              <w:jc w:val="both"/>
              <w:rPr>
                <w:rFonts w:ascii="Arial" w:hAnsi="Arial" w:cs="Arial"/>
                <w:sz w:val="22"/>
                <w:szCs w:val="22"/>
              </w:rPr>
            </w:pPr>
            <w:r w:rsidRPr="001C4C46">
              <w:rPr>
                <w:rFonts w:ascii="Arial" w:hAnsi="Arial" w:cs="Arial"/>
                <w:sz w:val="22"/>
                <w:szCs w:val="22"/>
              </w:rPr>
              <w:t xml:space="preserve">El Estado Parte </w:t>
            </w:r>
            <w:r w:rsidRPr="001C4C46">
              <w:rPr>
                <w:rFonts w:ascii="Arial" w:hAnsi="Arial" w:cs="Arial"/>
                <w:b/>
                <w:sz w:val="22"/>
                <w:szCs w:val="22"/>
                <w:u w:val="single"/>
              </w:rPr>
              <w:t>prestará especial atención al rol del género e</w:t>
            </w:r>
            <w:r w:rsidRPr="001C4C46">
              <w:rPr>
                <w:rFonts w:ascii="Arial" w:hAnsi="Arial" w:cs="Arial"/>
                <w:sz w:val="22"/>
                <w:szCs w:val="22"/>
              </w:rPr>
              <w:t xml:space="preserve"> informará sobre el estado actual del elemento, especialmente:</w:t>
            </w:r>
          </w:p>
          <w:p w:rsidR="00D54F2A" w:rsidRPr="0092706B" w:rsidRDefault="00D54F2A" w:rsidP="00D54F2A">
            <w:pPr>
              <w:numPr>
                <w:ilvl w:val="0"/>
                <w:numId w:val="33"/>
              </w:numPr>
              <w:spacing w:before="120" w:after="120"/>
              <w:ind w:left="656" w:hanging="656"/>
              <w:jc w:val="both"/>
              <w:rPr>
                <w:rFonts w:ascii="Arial" w:hAnsi="Arial" w:cs="Arial"/>
                <w:sz w:val="22"/>
                <w:szCs w:val="22"/>
              </w:rPr>
            </w:pPr>
            <w:r w:rsidRPr="0092706B">
              <w:rPr>
                <w:rFonts w:ascii="Arial" w:hAnsi="Arial" w:cs="Arial"/>
                <w:sz w:val="22"/>
                <w:szCs w:val="22"/>
              </w:rPr>
              <w:t>sus funciones sociales y culturales;</w:t>
            </w:r>
          </w:p>
          <w:p w:rsidR="00D54F2A" w:rsidRPr="005557B3" w:rsidRDefault="00D54F2A" w:rsidP="00D54F2A">
            <w:pPr>
              <w:numPr>
                <w:ilvl w:val="0"/>
                <w:numId w:val="33"/>
              </w:numPr>
              <w:spacing w:before="120" w:after="120"/>
              <w:ind w:left="656" w:hanging="656"/>
              <w:jc w:val="both"/>
              <w:rPr>
                <w:rFonts w:ascii="Arial" w:hAnsi="Arial" w:cs="Arial"/>
                <w:sz w:val="22"/>
                <w:szCs w:val="22"/>
              </w:rPr>
            </w:pPr>
            <w:r w:rsidRPr="005557B3">
              <w:rPr>
                <w:rFonts w:ascii="Arial" w:hAnsi="Arial" w:cs="Arial"/>
                <w:sz w:val="22"/>
                <w:szCs w:val="22"/>
              </w:rPr>
              <w:t>una evaluación de su viabilidad y los riesgos que corre actualmente;</w:t>
            </w:r>
          </w:p>
          <w:p w:rsidR="00D54F2A" w:rsidRPr="005557B3" w:rsidRDefault="00D54F2A" w:rsidP="00D54F2A">
            <w:pPr>
              <w:numPr>
                <w:ilvl w:val="0"/>
                <w:numId w:val="33"/>
              </w:numPr>
              <w:spacing w:before="120" w:after="120"/>
              <w:ind w:left="656" w:hanging="656"/>
              <w:jc w:val="both"/>
              <w:rPr>
                <w:rFonts w:ascii="Arial" w:hAnsi="Arial" w:cs="Arial"/>
                <w:sz w:val="22"/>
                <w:szCs w:val="22"/>
              </w:rPr>
            </w:pPr>
            <w:r w:rsidRPr="005557B3">
              <w:rPr>
                <w:rFonts w:ascii="Arial" w:hAnsi="Arial" w:cs="Arial"/>
                <w:sz w:val="22"/>
                <w:szCs w:val="22"/>
              </w:rPr>
              <w:t xml:space="preserve">las consecuencias de los esfuerzos encaminados a salvaguardar el elemento, en particular la </w:t>
            </w:r>
            <w:r w:rsidR="001A298C">
              <w:rPr>
                <w:rFonts w:ascii="Arial" w:hAnsi="Arial" w:cs="Arial"/>
                <w:sz w:val="22"/>
                <w:szCs w:val="22"/>
              </w:rPr>
              <w:t>aplicación</w:t>
            </w:r>
            <w:r w:rsidR="001A298C" w:rsidRPr="005557B3">
              <w:rPr>
                <w:rFonts w:ascii="Arial" w:hAnsi="Arial" w:cs="Arial"/>
                <w:sz w:val="22"/>
                <w:szCs w:val="22"/>
              </w:rPr>
              <w:t xml:space="preserve"> </w:t>
            </w:r>
            <w:r w:rsidRPr="005557B3">
              <w:rPr>
                <w:rFonts w:ascii="Arial" w:hAnsi="Arial" w:cs="Arial"/>
                <w:sz w:val="22"/>
                <w:szCs w:val="22"/>
              </w:rPr>
              <w:t>del plan de salvaguardia que se presentó en el momento de la candidatura;</w:t>
            </w:r>
          </w:p>
          <w:p w:rsidR="00D54F2A" w:rsidRPr="001A298C" w:rsidRDefault="00D54F2A" w:rsidP="00D54F2A">
            <w:pPr>
              <w:numPr>
                <w:ilvl w:val="0"/>
                <w:numId w:val="33"/>
              </w:numPr>
              <w:spacing w:before="120" w:after="120"/>
              <w:ind w:left="656" w:hanging="656"/>
              <w:jc w:val="both"/>
              <w:rPr>
                <w:rFonts w:ascii="Arial" w:hAnsi="Arial" w:cs="Arial"/>
                <w:sz w:val="22"/>
                <w:szCs w:val="22"/>
              </w:rPr>
            </w:pPr>
            <w:r w:rsidRPr="005557B3">
              <w:rPr>
                <w:rFonts w:ascii="Arial" w:hAnsi="Arial" w:cs="Arial"/>
                <w:sz w:val="22"/>
                <w:szCs w:val="22"/>
              </w:rPr>
              <w:t xml:space="preserve">la participación de las comunidades, los grupos y los individuos, </w:t>
            </w:r>
            <w:r w:rsidRPr="005557B3">
              <w:rPr>
                <w:rFonts w:ascii="Arial" w:hAnsi="Arial" w:cs="Arial"/>
                <w:b/>
                <w:sz w:val="22"/>
                <w:szCs w:val="22"/>
                <w:u w:val="single"/>
              </w:rPr>
              <w:t>y las organizaciones no gubernamentales pertinentes</w:t>
            </w:r>
            <w:r w:rsidRPr="005557B3">
              <w:rPr>
                <w:rFonts w:ascii="Arial" w:hAnsi="Arial" w:cs="Arial"/>
                <w:sz w:val="22"/>
                <w:szCs w:val="22"/>
              </w:rPr>
              <w:t xml:space="preserve"> </w:t>
            </w:r>
            <w:r w:rsidRPr="001A298C">
              <w:rPr>
                <w:rFonts w:ascii="Arial" w:hAnsi="Arial" w:cs="Arial"/>
                <w:sz w:val="22"/>
                <w:szCs w:val="22"/>
              </w:rPr>
              <w:t xml:space="preserve">en la salvaguardia del elemento y su </w:t>
            </w:r>
            <w:r w:rsidR="001A298C">
              <w:rPr>
                <w:rFonts w:ascii="Arial" w:hAnsi="Arial" w:cs="Arial"/>
                <w:b/>
                <w:sz w:val="22"/>
                <w:szCs w:val="22"/>
                <w:u w:val="single"/>
              </w:rPr>
              <w:t xml:space="preserve">constante </w:t>
            </w:r>
            <w:r w:rsidRPr="001A298C">
              <w:rPr>
                <w:rFonts w:ascii="Arial" w:hAnsi="Arial" w:cs="Arial"/>
                <w:sz w:val="22"/>
                <w:szCs w:val="22"/>
              </w:rPr>
              <w:t xml:space="preserve">voluntad de seguir </w:t>
            </w:r>
            <w:r w:rsidRPr="001C4C46">
              <w:rPr>
                <w:rFonts w:ascii="Arial" w:hAnsi="Arial" w:cs="Arial"/>
                <w:sz w:val="22"/>
                <w:szCs w:val="22"/>
              </w:rPr>
              <w:t>salvaguardándolo</w:t>
            </w:r>
            <w:r w:rsidRPr="001A298C">
              <w:rPr>
                <w:rFonts w:ascii="Arial" w:hAnsi="Arial" w:cs="Arial"/>
                <w:sz w:val="22"/>
                <w:szCs w:val="22"/>
              </w:rPr>
              <w:t>.</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lastRenderedPageBreak/>
              <w:t>163.</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El Estado Parte informará sobre el contexto institucional en que tiene lugar la salvaguardia del elemento inscrito en la Lista, en particular:</w:t>
            </w:r>
          </w:p>
          <w:p w:rsidR="00D54F2A" w:rsidRPr="005557B3" w:rsidRDefault="00D54F2A" w:rsidP="00D54F2A">
            <w:pPr>
              <w:numPr>
                <w:ilvl w:val="0"/>
                <w:numId w:val="34"/>
              </w:numPr>
              <w:spacing w:before="120" w:after="120"/>
              <w:ind w:left="656" w:hanging="656"/>
              <w:jc w:val="both"/>
              <w:rPr>
                <w:rFonts w:ascii="Arial" w:hAnsi="Arial" w:cs="Arial"/>
                <w:sz w:val="22"/>
                <w:szCs w:val="22"/>
              </w:rPr>
            </w:pPr>
            <w:r w:rsidRPr="005557B3">
              <w:rPr>
                <w:rFonts w:ascii="Arial" w:hAnsi="Arial" w:cs="Arial"/>
                <w:sz w:val="22"/>
                <w:szCs w:val="22"/>
              </w:rPr>
              <w:t>el(los) organismo(s) competente(s) que se encarga(n) de su salvaguardia;</w:t>
            </w:r>
          </w:p>
          <w:p w:rsidR="00D54F2A" w:rsidRPr="005557B3" w:rsidRDefault="00D54F2A" w:rsidP="00047899">
            <w:pPr>
              <w:numPr>
                <w:ilvl w:val="0"/>
                <w:numId w:val="34"/>
              </w:numPr>
              <w:spacing w:before="120" w:after="120"/>
              <w:ind w:left="656" w:hanging="656"/>
              <w:jc w:val="both"/>
              <w:rPr>
                <w:rFonts w:ascii="Arial" w:hAnsi="Arial" w:cs="Arial"/>
                <w:sz w:val="22"/>
                <w:szCs w:val="22"/>
              </w:rPr>
            </w:pPr>
            <w:r w:rsidRPr="005557B3">
              <w:rPr>
                <w:rFonts w:ascii="Arial" w:hAnsi="Arial" w:cs="Arial"/>
                <w:sz w:val="22"/>
                <w:szCs w:val="22"/>
              </w:rPr>
              <w:t xml:space="preserve">la(s) organización(es) de la comunidad o el grupo </w:t>
            </w:r>
            <w:r w:rsidR="00047899">
              <w:rPr>
                <w:rFonts w:ascii="Arial" w:hAnsi="Arial" w:cs="Arial"/>
                <w:sz w:val="22"/>
                <w:szCs w:val="22"/>
              </w:rPr>
              <w:t>interesado</w:t>
            </w:r>
            <w:r w:rsidRPr="005557B3">
              <w:rPr>
                <w:rFonts w:ascii="Arial" w:hAnsi="Arial" w:cs="Arial"/>
                <w:sz w:val="22"/>
                <w:szCs w:val="22"/>
              </w:rPr>
              <w:t>(s) en el elemento y su salvaguardia.</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163.</w:t>
            </w:r>
          </w:p>
        </w:tc>
        <w:tc>
          <w:tcPr>
            <w:tcW w:w="6491" w:type="dxa"/>
            <w:gridSpan w:val="2"/>
          </w:tcPr>
          <w:p w:rsidR="00D54F2A" w:rsidRPr="001A298C" w:rsidRDefault="00D54F2A" w:rsidP="00D54F2A">
            <w:pPr>
              <w:spacing w:before="120" w:after="120"/>
              <w:jc w:val="both"/>
              <w:rPr>
                <w:rFonts w:ascii="Arial" w:hAnsi="Arial" w:cs="Arial"/>
                <w:sz w:val="22"/>
                <w:szCs w:val="22"/>
              </w:rPr>
            </w:pPr>
            <w:r w:rsidRPr="001A298C">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164.</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Los Estados Partes responderán a su debido tiempo a las peticiones concretas de información complementaria que les remita el Comité, de ser necesario entre los plazos establecidos en el párrafo 161 supra.</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164.</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b/>
                <w:sz w:val="22"/>
                <w:szCs w:val="22"/>
              </w:rPr>
              <w:t>V.3</w:t>
            </w:r>
          </w:p>
        </w:tc>
        <w:tc>
          <w:tcPr>
            <w:tcW w:w="6491" w:type="dxa"/>
            <w:gridSpan w:val="2"/>
            <w:shd w:val="clear" w:color="auto" w:fill="auto"/>
          </w:tcPr>
          <w:p w:rsidR="00D54F2A" w:rsidRPr="001C4C46" w:rsidRDefault="00D54F2A" w:rsidP="00D54F2A">
            <w:pPr>
              <w:spacing w:before="120" w:after="120"/>
              <w:jc w:val="both"/>
              <w:rPr>
                <w:rFonts w:ascii="Arial" w:hAnsi="Arial" w:cs="Arial"/>
                <w:sz w:val="22"/>
                <w:szCs w:val="22"/>
              </w:rPr>
            </w:pPr>
            <w:r w:rsidRPr="001C4C46">
              <w:rPr>
                <w:rFonts w:ascii="Arial" w:hAnsi="Arial" w:cs="Arial"/>
                <w:b/>
                <w:sz w:val="22"/>
                <w:szCs w:val="22"/>
              </w:rPr>
              <w:t>Recepción y tramitación de los informes</w:t>
            </w:r>
          </w:p>
        </w:tc>
        <w:tc>
          <w:tcPr>
            <w:tcW w:w="850" w:type="dxa"/>
            <w:gridSpan w:val="2"/>
          </w:tcPr>
          <w:p w:rsidR="00D54F2A" w:rsidRPr="0092706B" w:rsidRDefault="00D54F2A" w:rsidP="00D54F2A">
            <w:pPr>
              <w:spacing w:before="120" w:after="120"/>
              <w:jc w:val="right"/>
              <w:rPr>
                <w:rFonts w:ascii="Arial" w:hAnsi="Arial" w:cs="Arial"/>
                <w:sz w:val="22"/>
                <w:szCs w:val="22"/>
              </w:rPr>
            </w:pPr>
            <w:r w:rsidRPr="0092706B">
              <w:rPr>
                <w:rFonts w:ascii="Arial" w:hAnsi="Arial" w:cs="Arial"/>
                <w:b/>
                <w:sz w:val="22"/>
                <w:szCs w:val="22"/>
              </w:rPr>
              <w:t>V.3</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165.</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En cuanto reciba los informes de los Estados Partes, la Secretaría los registrará y acusará recibo. Si un informe está incompleto, se asesorará al Estado Parte sobre la manera de completarlo.</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165.</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166.</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La Secretaría transmitirá al Comité, antes de cada reunión ordinaria, una reseña de todos los informes recibidos. La reseña y los informes también se pondrán a disposición de los Estados Partes a título informativo.</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166.</w:t>
            </w:r>
          </w:p>
        </w:tc>
        <w:tc>
          <w:tcPr>
            <w:tcW w:w="6491" w:type="dxa"/>
            <w:gridSpan w:val="2"/>
          </w:tcPr>
          <w:p w:rsidR="00D54F2A" w:rsidRPr="005557B3" w:rsidRDefault="00D54F2A" w:rsidP="006B774A">
            <w:pPr>
              <w:spacing w:before="120" w:after="120"/>
              <w:jc w:val="both"/>
              <w:rPr>
                <w:rFonts w:ascii="Arial" w:hAnsi="Arial" w:cs="Arial"/>
                <w:sz w:val="22"/>
                <w:szCs w:val="22"/>
              </w:rPr>
            </w:pPr>
            <w:r w:rsidRPr="005557B3">
              <w:rPr>
                <w:rFonts w:ascii="Arial" w:hAnsi="Arial" w:cs="Arial"/>
                <w:sz w:val="22"/>
                <w:szCs w:val="22"/>
              </w:rPr>
              <w:t>La Secretaría transmitirá al Comité</w:t>
            </w:r>
            <w:r w:rsidRPr="005557B3">
              <w:rPr>
                <w:rFonts w:ascii="Arial" w:hAnsi="Arial" w:cs="Arial"/>
                <w:strike/>
                <w:sz w:val="22"/>
                <w:szCs w:val="22"/>
              </w:rPr>
              <w:t>, antes de cada reunión ordinaria,</w:t>
            </w:r>
            <w:r w:rsidRPr="005557B3">
              <w:rPr>
                <w:rFonts w:ascii="Arial" w:hAnsi="Arial" w:cs="Arial"/>
                <w:sz w:val="22"/>
                <w:szCs w:val="22"/>
              </w:rPr>
              <w:t xml:space="preserve"> una reseña de todos los informes recibidos </w:t>
            </w:r>
            <w:r w:rsidRPr="005557B3">
              <w:rPr>
                <w:rFonts w:ascii="Arial" w:hAnsi="Arial" w:cs="Arial"/>
                <w:b/>
                <w:sz w:val="22"/>
                <w:szCs w:val="22"/>
                <w:u w:val="single"/>
              </w:rPr>
              <w:t>cuatro semanas antes de su reunión</w:t>
            </w:r>
            <w:r w:rsidRPr="001C4C46">
              <w:rPr>
                <w:rFonts w:ascii="Arial" w:hAnsi="Arial" w:cs="Arial"/>
                <w:b/>
                <w:sz w:val="22"/>
                <w:szCs w:val="22"/>
              </w:rPr>
              <w:t xml:space="preserve">. </w:t>
            </w:r>
            <w:r w:rsidR="00047899" w:rsidRPr="005557B3">
              <w:rPr>
                <w:rFonts w:ascii="Arial" w:hAnsi="Arial" w:cs="Arial"/>
                <w:sz w:val="22"/>
                <w:szCs w:val="22"/>
              </w:rPr>
              <w:t xml:space="preserve">La reseña y los informes también se pondrán a disposición </w:t>
            </w:r>
            <w:r w:rsidR="00047899" w:rsidRPr="001C4C46">
              <w:rPr>
                <w:rFonts w:ascii="Arial" w:hAnsi="Arial" w:cs="Arial"/>
                <w:strike/>
                <w:sz w:val="22"/>
                <w:szCs w:val="22"/>
              </w:rPr>
              <w:t>de los Estados Partes a título informativo</w:t>
            </w:r>
            <w:r w:rsidR="00047899">
              <w:rPr>
                <w:rFonts w:ascii="Arial" w:hAnsi="Arial" w:cs="Arial"/>
                <w:sz w:val="22"/>
                <w:szCs w:val="22"/>
              </w:rPr>
              <w:t xml:space="preserve"> </w:t>
            </w:r>
            <w:r w:rsidR="00047899" w:rsidRPr="001C4C46">
              <w:rPr>
                <w:rFonts w:ascii="Arial" w:hAnsi="Arial" w:cs="Arial"/>
                <w:b/>
                <w:sz w:val="22"/>
                <w:szCs w:val="22"/>
                <w:u w:val="single"/>
              </w:rPr>
              <w:t xml:space="preserve">para </w:t>
            </w:r>
            <w:r w:rsidR="00047899">
              <w:rPr>
                <w:rFonts w:ascii="Arial" w:hAnsi="Arial" w:cs="Arial"/>
                <w:b/>
                <w:sz w:val="22"/>
                <w:szCs w:val="22"/>
                <w:u w:val="single"/>
              </w:rPr>
              <w:t>la</w:t>
            </w:r>
            <w:r w:rsidR="00047899" w:rsidRPr="001C4C46">
              <w:rPr>
                <w:rFonts w:ascii="Arial" w:hAnsi="Arial" w:cs="Arial"/>
                <w:b/>
                <w:sz w:val="22"/>
                <w:szCs w:val="22"/>
                <w:u w:val="single"/>
              </w:rPr>
              <w:t xml:space="preserve"> consulta en línea</w:t>
            </w:r>
            <w:r w:rsidR="00047899" w:rsidRPr="005557B3">
              <w:rPr>
                <w:rFonts w:ascii="Arial" w:hAnsi="Arial" w:cs="Arial"/>
                <w:sz w:val="22"/>
                <w:szCs w:val="22"/>
              </w:rPr>
              <w:t>.</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167.</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Tras la reunión en que sean examinados por el Comité, los informes se pondrán a disposición del público a título informativo, a menos que el Comité decida otra cosa en casos excepcionales.</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167.</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b/>
                <w:sz w:val="22"/>
                <w:szCs w:val="22"/>
              </w:rPr>
            </w:pPr>
            <w:r w:rsidRPr="0092706B">
              <w:rPr>
                <w:rFonts w:ascii="Arial" w:hAnsi="Arial" w:cs="Arial"/>
                <w:b/>
                <w:sz w:val="22"/>
                <w:szCs w:val="22"/>
              </w:rPr>
              <w:lastRenderedPageBreak/>
              <w:t>V.4</w:t>
            </w:r>
          </w:p>
        </w:tc>
        <w:tc>
          <w:tcPr>
            <w:tcW w:w="6491" w:type="dxa"/>
            <w:gridSpan w:val="2"/>
            <w:shd w:val="clear" w:color="auto" w:fill="auto"/>
          </w:tcPr>
          <w:p w:rsidR="00D54F2A" w:rsidRPr="001C4C46" w:rsidRDefault="00D54F2A" w:rsidP="00D54F2A">
            <w:pPr>
              <w:spacing w:before="120" w:after="120"/>
              <w:jc w:val="both"/>
              <w:rPr>
                <w:rFonts w:ascii="Arial" w:hAnsi="Arial" w:cs="Arial"/>
                <w:b/>
                <w:sz w:val="22"/>
                <w:szCs w:val="22"/>
              </w:rPr>
            </w:pPr>
            <w:r w:rsidRPr="001C4C46">
              <w:rPr>
                <w:rFonts w:ascii="Arial" w:hAnsi="Arial" w:cs="Arial"/>
                <w:b/>
                <w:sz w:val="22"/>
                <w:szCs w:val="22"/>
              </w:rPr>
              <w:t xml:space="preserve">Informes de Estados no Partes en la Convención sobre elementos inscritos en la </w:t>
            </w:r>
            <w:r w:rsidR="00047899">
              <w:rPr>
                <w:rFonts w:ascii="Arial" w:hAnsi="Arial" w:cs="Arial"/>
                <w:b/>
                <w:sz w:val="22"/>
                <w:szCs w:val="22"/>
              </w:rPr>
              <w:t>L</w:t>
            </w:r>
            <w:r w:rsidRPr="001C4C46">
              <w:rPr>
                <w:rFonts w:ascii="Arial" w:hAnsi="Arial" w:cs="Arial"/>
                <w:b/>
                <w:sz w:val="22"/>
                <w:szCs w:val="22"/>
              </w:rPr>
              <w:t>ista representativa del patrimonio cultural inmaterial de la humanidad</w:t>
            </w:r>
          </w:p>
        </w:tc>
        <w:tc>
          <w:tcPr>
            <w:tcW w:w="850" w:type="dxa"/>
            <w:gridSpan w:val="2"/>
          </w:tcPr>
          <w:p w:rsidR="00D54F2A" w:rsidRPr="0092706B" w:rsidRDefault="00D54F2A" w:rsidP="00D54F2A">
            <w:pPr>
              <w:spacing w:before="120" w:after="120"/>
              <w:jc w:val="right"/>
              <w:rPr>
                <w:rFonts w:ascii="Arial" w:hAnsi="Arial" w:cs="Arial"/>
                <w:b/>
                <w:sz w:val="22"/>
                <w:szCs w:val="22"/>
              </w:rPr>
            </w:pPr>
            <w:r w:rsidRPr="0092706B">
              <w:rPr>
                <w:rFonts w:ascii="Arial" w:hAnsi="Arial" w:cs="Arial"/>
                <w:b/>
                <w:sz w:val="22"/>
                <w:szCs w:val="22"/>
              </w:rPr>
              <w:t>V.4</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168.</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Los párrafos 157 a 159 y 165 a 167 de las presentes Directrices se aplicarán en su totalidad a los Estados no Partes en la Convención en cuyo territorio se encuentren elementos proclamados Obras maestras que se hayan incorporado a la Lista representativa del patrimonio cultural inmaterial de la humanidad, y que hayan aceptado los derechos y obligaciones que ello conlleva.</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168.</w:t>
            </w:r>
          </w:p>
        </w:tc>
        <w:tc>
          <w:tcPr>
            <w:tcW w:w="6491" w:type="dxa"/>
            <w:gridSpan w:val="2"/>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[sin cambios]</w:t>
            </w:r>
          </w:p>
        </w:tc>
      </w:tr>
      <w:tr w:rsidR="00D54F2A" w:rsidRPr="00220C1E" w:rsidTr="005557B3">
        <w:trPr>
          <w:gridAfter w:val="1"/>
          <w:wAfter w:w="170" w:type="dxa"/>
          <w:cantSplit/>
          <w:trHeight w:val="737"/>
        </w:trPr>
        <w:tc>
          <w:tcPr>
            <w:tcW w:w="1080" w:type="dxa"/>
            <w:gridSpan w:val="2"/>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169.</w:t>
            </w:r>
          </w:p>
        </w:tc>
        <w:tc>
          <w:tcPr>
            <w:tcW w:w="6491" w:type="dxa"/>
            <w:gridSpan w:val="2"/>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Los Estados no Partes presentarán esos informes al Comité, en la forma indicada, a más tardar el 15 de diciembre de 2014, y cada seis años a partir de entonces.</w:t>
            </w:r>
          </w:p>
        </w:tc>
        <w:tc>
          <w:tcPr>
            <w:tcW w:w="850" w:type="dxa"/>
            <w:gridSpan w:val="2"/>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169.</w:t>
            </w:r>
          </w:p>
        </w:tc>
        <w:tc>
          <w:tcPr>
            <w:tcW w:w="6491" w:type="dxa"/>
            <w:gridSpan w:val="2"/>
          </w:tcPr>
          <w:p w:rsidR="00D54F2A" w:rsidRPr="005557B3" w:rsidRDefault="00D54F2A" w:rsidP="006B774A">
            <w:pPr>
              <w:spacing w:before="120" w:after="120"/>
              <w:jc w:val="both"/>
              <w:rPr>
                <w:rFonts w:ascii="Arial" w:hAnsi="Arial" w:cs="Arial"/>
                <w:sz w:val="22"/>
                <w:szCs w:val="22"/>
              </w:rPr>
            </w:pPr>
            <w:r w:rsidRPr="005557B3">
              <w:rPr>
                <w:rFonts w:ascii="Arial" w:hAnsi="Arial" w:cs="Arial"/>
                <w:sz w:val="22"/>
                <w:szCs w:val="22"/>
              </w:rPr>
              <w:t>Los Estados no Partes presentarán esos informes al Comité</w:t>
            </w:r>
            <w:r w:rsidRPr="005557B3">
              <w:rPr>
                <w:rFonts w:ascii="Arial" w:hAnsi="Arial" w:cs="Arial"/>
                <w:strike/>
                <w:sz w:val="22"/>
                <w:szCs w:val="22"/>
              </w:rPr>
              <w:t>, en la forma indicada,</w:t>
            </w:r>
            <w:r w:rsidRPr="005557B3">
              <w:rPr>
                <w:rFonts w:ascii="Arial" w:hAnsi="Arial" w:cs="Arial"/>
                <w:sz w:val="22"/>
                <w:szCs w:val="22"/>
              </w:rPr>
              <w:t xml:space="preserve"> a más tardar el 15 de diciembre de 2014, y cada seis años a partir de entonces.</w:t>
            </w:r>
            <w:r w:rsidRPr="005557B3">
              <w:rPr>
                <w:rFonts w:ascii="Arial" w:hAnsi="Arial" w:cs="Arial"/>
                <w:b/>
                <w:color w:val="000000"/>
                <w:sz w:val="22"/>
                <w:szCs w:val="22"/>
                <w:u w:val="single"/>
              </w:rPr>
              <w:t xml:space="preserve"> El </w:t>
            </w:r>
            <w:r w:rsidR="00047899">
              <w:rPr>
                <w:rFonts w:ascii="Arial" w:hAnsi="Arial" w:cs="Arial"/>
                <w:b/>
                <w:color w:val="000000"/>
                <w:sz w:val="22"/>
                <w:szCs w:val="22"/>
                <w:u w:val="single"/>
              </w:rPr>
              <w:t>f</w:t>
            </w:r>
            <w:r w:rsidR="00047899" w:rsidRPr="005557B3">
              <w:rPr>
                <w:rFonts w:ascii="Arial" w:hAnsi="Arial" w:cs="Arial"/>
                <w:b/>
                <w:color w:val="000000"/>
                <w:sz w:val="22"/>
                <w:szCs w:val="22"/>
                <w:u w:val="single"/>
              </w:rPr>
              <w:t>ormulario </w:t>
            </w:r>
            <w:r w:rsidRPr="005557B3">
              <w:rPr>
                <w:rFonts w:ascii="Arial" w:hAnsi="Arial" w:cs="Arial"/>
                <w:b/>
                <w:color w:val="000000"/>
                <w:sz w:val="22"/>
                <w:szCs w:val="22"/>
                <w:u w:val="single"/>
              </w:rPr>
              <w:t xml:space="preserve">ICH-10 se utiliza para tales informes y se encuentra disponible en </w:t>
            </w:r>
            <w:hyperlink r:id="rId59">
              <w:r w:rsidRPr="001C4C46">
                <w:rPr>
                  <w:rStyle w:val="Hyperlink"/>
                  <w:rFonts w:ascii="Arial" w:hAnsi="Arial" w:cs="Arial"/>
                  <w:b/>
                  <w:sz w:val="22"/>
                  <w:szCs w:val="22"/>
                </w:rPr>
                <w:t>www.unesco.org/culture/ich</w:t>
              </w:r>
            </w:hyperlink>
            <w:r w:rsidRPr="0092706B">
              <w:rPr>
                <w:rFonts w:ascii="Arial" w:hAnsi="Arial" w:cs="Arial"/>
                <w:b/>
                <w:color w:val="000000"/>
                <w:sz w:val="22"/>
                <w:szCs w:val="22"/>
                <w:u w:val="single"/>
              </w:rPr>
              <w:t xml:space="preserve"> o </w:t>
            </w:r>
            <w:r w:rsidR="00047899">
              <w:rPr>
                <w:rFonts w:ascii="Arial" w:hAnsi="Arial" w:cs="Arial"/>
                <w:b/>
                <w:color w:val="000000"/>
                <w:sz w:val="22"/>
                <w:szCs w:val="22"/>
                <w:u w:val="single"/>
              </w:rPr>
              <w:t>previa solicitud</w:t>
            </w:r>
            <w:r w:rsidRPr="0092706B">
              <w:rPr>
                <w:rFonts w:ascii="Arial" w:hAnsi="Arial" w:cs="Arial"/>
                <w:b/>
                <w:color w:val="000000"/>
                <w:sz w:val="22"/>
                <w:szCs w:val="22"/>
                <w:u w:val="single"/>
              </w:rPr>
              <w:t xml:space="preserve"> a la Secretaría. Los </w:t>
            </w:r>
            <w:r w:rsidR="00047899">
              <w:rPr>
                <w:rFonts w:ascii="Arial" w:hAnsi="Arial" w:cs="Arial"/>
                <w:b/>
                <w:color w:val="000000"/>
                <w:sz w:val="22"/>
                <w:szCs w:val="22"/>
                <w:u w:val="single"/>
              </w:rPr>
              <w:t>informes</w:t>
            </w:r>
            <w:r w:rsidR="00047899" w:rsidRPr="0092706B">
              <w:rPr>
                <w:rFonts w:ascii="Arial" w:hAnsi="Arial" w:cs="Arial"/>
                <w:b/>
                <w:color w:val="000000"/>
                <w:sz w:val="22"/>
                <w:szCs w:val="22"/>
                <w:u w:val="single"/>
              </w:rPr>
              <w:t xml:space="preserve"> </w:t>
            </w:r>
            <w:r w:rsidRPr="0092706B">
              <w:rPr>
                <w:rFonts w:ascii="Arial" w:hAnsi="Arial" w:cs="Arial"/>
                <w:b/>
                <w:color w:val="000000"/>
                <w:sz w:val="22"/>
                <w:szCs w:val="22"/>
                <w:u w:val="single"/>
              </w:rPr>
              <w:t>deberán incluir únicamente la informa</w:t>
            </w:r>
            <w:r w:rsidRPr="005557B3">
              <w:rPr>
                <w:rFonts w:ascii="Arial" w:hAnsi="Arial" w:cs="Arial"/>
                <w:b/>
                <w:color w:val="000000"/>
                <w:sz w:val="22"/>
                <w:szCs w:val="22"/>
                <w:u w:val="single"/>
              </w:rPr>
              <w:t xml:space="preserve">ción requerida en </w:t>
            </w:r>
            <w:r w:rsidR="00047899">
              <w:rPr>
                <w:rFonts w:ascii="Arial" w:hAnsi="Arial" w:cs="Arial"/>
                <w:b/>
                <w:color w:val="000000"/>
                <w:sz w:val="22"/>
                <w:szCs w:val="22"/>
                <w:u w:val="single"/>
              </w:rPr>
              <w:t>el</w:t>
            </w:r>
            <w:r w:rsidR="00047899" w:rsidRPr="005557B3">
              <w:rPr>
                <w:rFonts w:ascii="Arial" w:hAnsi="Arial" w:cs="Arial"/>
                <w:b/>
                <w:color w:val="000000"/>
                <w:sz w:val="22"/>
                <w:szCs w:val="22"/>
                <w:u w:val="single"/>
              </w:rPr>
              <w:t xml:space="preserve"> </w:t>
            </w:r>
            <w:r w:rsidRPr="005557B3">
              <w:rPr>
                <w:rFonts w:ascii="Arial" w:hAnsi="Arial" w:cs="Arial"/>
                <w:b/>
                <w:color w:val="000000"/>
                <w:sz w:val="22"/>
                <w:szCs w:val="22"/>
                <w:u w:val="single"/>
              </w:rPr>
              <w:t>formulario.</w:t>
            </w:r>
          </w:p>
        </w:tc>
      </w:tr>
    </w:tbl>
    <w:p w:rsidR="00D54F2A" w:rsidRPr="005557B3" w:rsidRDefault="00D54F2A" w:rsidP="00D54F2A">
      <w:pPr>
        <w:pStyle w:val="GAParaResolution"/>
        <w:pageBreakBefore/>
        <w:numPr>
          <w:ilvl w:val="0"/>
          <w:numId w:val="15"/>
        </w:numPr>
        <w:rPr>
          <w:rFonts w:eastAsia="Times New Roman"/>
          <w:b/>
          <w:u w:val="none"/>
        </w:rPr>
      </w:pPr>
      <w:r w:rsidRPr="0092706B">
        <w:rPr>
          <w:b/>
          <w:u w:val="none"/>
        </w:rPr>
        <w:lastRenderedPageBreak/>
        <w:t>Opción de remisión</w:t>
      </w:r>
    </w:p>
    <w:tbl>
      <w:tblPr>
        <w:tblW w:w="0" w:type="auto"/>
        <w:tblInd w:w="-602" w:type="dxa"/>
        <w:tblLayout w:type="fixed"/>
        <w:tblCellMar>
          <w:top w:w="57" w:type="dxa"/>
          <w:bottom w:w="57" w:type="dxa"/>
        </w:tblCellMar>
        <w:tblLook w:val="04A0" w:firstRow="1" w:lastRow="0" w:firstColumn="1" w:lastColumn="0" w:noHBand="0" w:noVBand="1"/>
      </w:tblPr>
      <w:tblGrid>
        <w:gridCol w:w="737"/>
        <w:gridCol w:w="6491"/>
        <w:gridCol w:w="737"/>
        <w:gridCol w:w="6491"/>
      </w:tblGrid>
      <w:tr w:rsidR="00D54F2A" w:rsidRPr="00220C1E" w:rsidTr="006B774A">
        <w:tc>
          <w:tcPr>
            <w:tcW w:w="737" w:type="dxa"/>
            <w:shd w:val="clear" w:color="auto" w:fill="auto"/>
          </w:tcPr>
          <w:p w:rsidR="00D54F2A" w:rsidRPr="005557B3" w:rsidRDefault="00D54F2A" w:rsidP="00D54F2A">
            <w:pPr>
              <w:spacing w:before="120" w:after="120"/>
              <w:jc w:val="center"/>
              <w:rPr>
                <w:rFonts w:ascii="Arial" w:hAnsi="Arial" w:cs="Arial"/>
                <w:b/>
                <w:bCs/>
                <w:sz w:val="22"/>
                <w:szCs w:val="22"/>
              </w:rPr>
            </w:pPr>
          </w:p>
        </w:tc>
        <w:tc>
          <w:tcPr>
            <w:tcW w:w="6491" w:type="dxa"/>
            <w:shd w:val="clear" w:color="auto" w:fill="auto"/>
          </w:tcPr>
          <w:p w:rsidR="00D54F2A" w:rsidRPr="001C4C46" w:rsidRDefault="00D54F2A" w:rsidP="006B774A">
            <w:pPr>
              <w:keepNext/>
              <w:spacing w:before="120" w:after="120"/>
              <w:jc w:val="both"/>
              <w:rPr>
                <w:rFonts w:ascii="Arial" w:hAnsi="Arial" w:cs="Arial"/>
                <w:b/>
                <w:bCs/>
                <w:sz w:val="22"/>
                <w:szCs w:val="22"/>
              </w:rPr>
            </w:pPr>
            <w:r w:rsidRPr="001C4C46">
              <w:rPr>
                <w:rFonts w:ascii="Arial" w:hAnsi="Arial" w:cs="Arial"/>
                <w:b/>
                <w:sz w:val="22"/>
                <w:szCs w:val="22"/>
                <w:u w:val="single"/>
              </w:rPr>
              <w:t xml:space="preserve">Texto actual de las </w:t>
            </w:r>
            <w:r w:rsidR="006B774A">
              <w:rPr>
                <w:rFonts w:ascii="Arial" w:hAnsi="Arial" w:cs="Arial"/>
                <w:b/>
                <w:sz w:val="22"/>
                <w:szCs w:val="22"/>
                <w:u w:val="single"/>
              </w:rPr>
              <w:t>D</w:t>
            </w:r>
            <w:r w:rsidR="006B774A" w:rsidRPr="001C4C46">
              <w:rPr>
                <w:rFonts w:ascii="Arial" w:hAnsi="Arial" w:cs="Arial"/>
                <w:b/>
                <w:sz w:val="22"/>
                <w:szCs w:val="22"/>
                <w:u w:val="single"/>
              </w:rPr>
              <w:t xml:space="preserve">irectrices </w:t>
            </w:r>
            <w:r w:rsidR="006B774A">
              <w:rPr>
                <w:rFonts w:ascii="Arial" w:hAnsi="Arial" w:cs="Arial"/>
                <w:b/>
                <w:sz w:val="22"/>
                <w:szCs w:val="22"/>
                <w:u w:val="single"/>
              </w:rPr>
              <w:t>O</w:t>
            </w:r>
            <w:r w:rsidR="006B774A" w:rsidRPr="001C4C46">
              <w:rPr>
                <w:rFonts w:ascii="Arial" w:hAnsi="Arial" w:cs="Arial"/>
                <w:b/>
                <w:sz w:val="22"/>
                <w:szCs w:val="22"/>
                <w:u w:val="single"/>
              </w:rPr>
              <w:t>perativas</w:t>
            </w:r>
          </w:p>
        </w:tc>
        <w:tc>
          <w:tcPr>
            <w:tcW w:w="737" w:type="dxa"/>
          </w:tcPr>
          <w:p w:rsidR="00D54F2A" w:rsidRPr="001C4C46" w:rsidRDefault="00D54F2A" w:rsidP="00D54F2A">
            <w:pPr>
              <w:spacing w:before="120" w:after="120"/>
              <w:jc w:val="right"/>
              <w:rPr>
                <w:rFonts w:ascii="Arial" w:hAnsi="Arial" w:cs="Arial"/>
                <w:b/>
                <w:bCs/>
                <w:sz w:val="22"/>
                <w:szCs w:val="22"/>
              </w:rPr>
            </w:pPr>
          </w:p>
        </w:tc>
        <w:tc>
          <w:tcPr>
            <w:tcW w:w="6491" w:type="dxa"/>
          </w:tcPr>
          <w:p w:rsidR="00D54F2A" w:rsidRPr="005557B3" w:rsidRDefault="00D54F2A" w:rsidP="00D54F2A">
            <w:pPr>
              <w:spacing w:before="120" w:after="120"/>
              <w:jc w:val="both"/>
              <w:rPr>
                <w:rFonts w:ascii="Arial" w:hAnsi="Arial" w:cs="Arial"/>
                <w:sz w:val="22"/>
                <w:szCs w:val="22"/>
              </w:rPr>
            </w:pPr>
            <w:r w:rsidRPr="0092706B">
              <w:rPr>
                <w:rFonts w:ascii="Arial" w:hAnsi="Arial" w:cs="Arial"/>
                <w:b/>
                <w:sz w:val="22"/>
                <w:szCs w:val="22"/>
                <w:u w:val="single"/>
              </w:rPr>
              <w:t xml:space="preserve">Enmiendas propuestas </w:t>
            </w:r>
          </w:p>
        </w:tc>
      </w:tr>
      <w:tr w:rsidR="00D54F2A" w:rsidRPr="00220C1E" w:rsidTr="006B774A">
        <w:tc>
          <w:tcPr>
            <w:tcW w:w="737" w:type="dxa"/>
            <w:shd w:val="clear" w:color="auto" w:fill="auto"/>
          </w:tcPr>
          <w:p w:rsidR="00D54F2A" w:rsidRPr="005557B3" w:rsidRDefault="00D54F2A" w:rsidP="00D54F2A">
            <w:pPr>
              <w:spacing w:before="120" w:after="120"/>
              <w:jc w:val="right"/>
              <w:rPr>
                <w:rFonts w:ascii="Arial" w:hAnsi="Arial" w:cs="Arial"/>
                <w:sz w:val="22"/>
                <w:szCs w:val="22"/>
              </w:rPr>
            </w:pPr>
            <w:r w:rsidRPr="0092706B">
              <w:rPr>
                <w:rFonts w:ascii="Arial" w:hAnsi="Arial" w:cs="Arial"/>
                <w:sz w:val="22"/>
                <w:szCs w:val="22"/>
              </w:rPr>
              <w:t>30.</w:t>
            </w: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El Órgano de evaluación presentará al Comité un informe de examen, en el que recomendará:</w:t>
            </w:r>
          </w:p>
          <w:p w:rsidR="00D54F2A" w:rsidRPr="001A298C" w:rsidRDefault="00D54F2A" w:rsidP="00D54F2A">
            <w:pPr>
              <w:numPr>
                <w:ilvl w:val="0"/>
                <w:numId w:val="19"/>
              </w:numPr>
              <w:spacing w:before="120" w:after="120"/>
              <w:jc w:val="both"/>
              <w:rPr>
                <w:rFonts w:ascii="Arial" w:hAnsi="Arial" w:cs="Arial"/>
                <w:sz w:val="22"/>
                <w:szCs w:val="22"/>
              </w:rPr>
            </w:pPr>
            <w:r w:rsidRPr="005557B3">
              <w:rPr>
                <w:rFonts w:ascii="Arial" w:hAnsi="Arial" w:cs="Arial"/>
                <w:sz w:val="22"/>
                <w:szCs w:val="22"/>
              </w:rPr>
              <w:t>inscribir o no el elemento propuesto en la Lista del patrimonio cultural inmaterial que requiere medidas urgentes de salvaguardia;</w:t>
            </w:r>
          </w:p>
          <w:p w:rsidR="00D54F2A" w:rsidRPr="001A298C" w:rsidRDefault="00D54F2A" w:rsidP="00D54F2A">
            <w:pPr>
              <w:numPr>
                <w:ilvl w:val="0"/>
                <w:numId w:val="19"/>
              </w:numPr>
              <w:spacing w:before="120" w:after="120"/>
              <w:jc w:val="both"/>
              <w:rPr>
                <w:rFonts w:ascii="Arial" w:hAnsi="Arial" w:cs="Arial"/>
                <w:sz w:val="22"/>
                <w:szCs w:val="22"/>
              </w:rPr>
            </w:pPr>
            <w:r w:rsidRPr="001A298C">
              <w:rPr>
                <w:rFonts w:ascii="Arial" w:hAnsi="Arial" w:cs="Arial"/>
                <w:sz w:val="22"/>
                <w:szCs w:val="22"/>
              </w:rPr>
              <w:t>inscribir o no el elemento que se propone en la Lista representativa del patrimonio cultural inmaterial de la humanidad, o remitir la candidatura al(a los) Estado(s) Parte(s) solicitante(s) para obtener información complementaria;</w:t>
            </w:r>
          </w:p>
          <w:p w:rsidR="00D54F2A" w:rsidRPr="001C4C46" w:rsidRDefault="00D54F2A" w:rsidP="00D54F2A">
            <w:pPr>
              <w:numPr>
                <w:ilvl w:val="0"/>
                <w:numId w:val="19"/>
              </w:numPr>
              <w:spacing w:before="120" w:after="120"/>
              <w:jc w:val="both"/>
              <w:rPr>
                <w:rFonts w:ascii="Arial" w:hAnsi="Arial" w:cs="Arial"/>
                <w:sz w:val="22"/>
                <w:szCs w:val="22"/>
              </w:rPr>
            </w:pPr>
            <w:r w:rsidRPr="001C4C46">
              <w:rPr>
                <w:rFonts w:ascii="Arial" w:hAnsi="Arial" w:cs="Arial"/>
                <w:sz w:val="22"/>
                <w:szCs w:val="22"/>
              </w:rPr>
              <w:t>seleccionar o no una propuesta de programa, proyecto o actividad; o</w:t>
            </w:r>
          </w:p>
          <w:p w:rsidR="00D54F2A" w:rsidRPr="005557B3" w:rsidRDefault="00D54F2A" w:rsidP="00D54F2A">
            <w:pPr>
              <w:numPr>
                <w:ilvl w:val="0"/>
                <w:numId w:val="19"/>
              </w:numPr>
              <w:spacing w:before="120" w:after="120"/>
              <w:jc w:val="both"/>
              <w:rPr>
                <w:rFonts w:ascii="Arial" w:hAnsi="Arial" w:cs="Arial"/>
                <w:sz w:val="22"/>
                <w:szCs w:val="22"/>
              </w:rPr>
            </w:pPr>
            <w:r w:rsidRPr="0092706B">
              <w:rPr>
                <w:rFonts w:ascii="Arial" w:hAnsi="Arial" w:cs="Arial"/>
                <w:sz w:val="22"/>
                <w:szCs w:val="22"/>
              </w:rPr>
              <w:t>aprobar o no la solicitud de asistencia internacional.</w:t>
            </w:r>
          </w:p>
        </w:tc>
        <w:tc>
          <w:tcPr>
            <w:tcW w:w="737" w:type="dxa"/>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30.</w:t>
            </w:r>
          </w:p>
        </w:tc>
        <w:tc>
          <w:tcPr>
            <w:tcW w:w="6491" w:type="dxa"/>
          </w:tcPr>
          <w:p w:rsidR="00D54F2A" w:rsidRPr="001A298C" w:rsidRDefault="00D54F2A" w:rsidP="00D54F2A">
            <w:pPr>
              <w:spacing w:before="120" w:after="120"/>
              <w:jc w:val="both"/>
              <w:rPr>
                <w:rFonts w:ascii="Arial" w:hAnsi="Arial" w:cs="Arial"/>
                <w:sz w:val="22"/>
                <w:szCs w:val="22"/>
              </w:rPr>
            </w:pPr>
            <w:r w:rsidRPr="005557B3">
              <w:rPr>
                <w:rFonts w:ascii="Arial" w:hAnsi="Arial" w:cs="Arial"/>
                <w:sz w:val="22"/>
                <w:szCs w:val="22"/>
              </w:rPr>
              <w:t>El Órgano de evaluación presentará al Comité un informe de examen, en el que recomendará:</w:t>
            </w:r>
          </w:p>
          <w:p w:rsidR="00D54F2A" w:rsidRPr="001A298C" w:rsidRDefault="00D54F2A" w:rsidP="00D54F2A">
            <w:pPr>
              <w:numPr>
                <w:ilvl w:val="0"/>
                <w:numId w:val="19"/>
              </w:numPr>
              <w:spacing w:before="120" w:after="120"/>
              <w:jc w:val="both"/>
              <w:rPr>
                <w:rFonts w:ascii="Arial" w:hAnsi="Arial" w:cs="Arial"/>
                <w:strike/>
                <w:sz w:val="22"/>
                <w:szCs w:val="22"/>
              </w:rPr>
            </w:pPr>
            <w:r w:rsidRPr="001A298C">
              <w:rPr>
                <w:rFonts w:ascii="Arial" w:hAnsi="Arial" w:cs="Arial"/>
                <w:strike/>
                <w:sz w:val="22"/>
                <w:szCs w:val="22"/>
              </w:rPr>
              <w:t>inscribir o no el elemento propuesto en la Lista del patrimonio cultural inmaterial que requiere medidas urgentes de salvaguardia;</w:t>
            </w:r>
          </w:p>
          <w:p w:rsidR="00D54F2A" w:rsidRPr="006B774A" w:rsidRDefault="00D54F2A" w:rsidP="00D54F2A">
            <w:pPr>
              <w:numPr>
                <w:ilvl w:val="0"/>
                <w:numId w:val="19"/>
              </w:numPr>
              <w:spacing w:before="120" w:after="120"/>
              <w:jc w:val="both"/>
              <w:rPr>
                <w:rFonts w:ascii="Arial" w:hAnsi="Arial" w:cs="Arial"/>
                <w:strike/>
                <w:sz w:val="22"/>
                <w:szCs w:val="22"/>
              </w:rPr>
            </w:pPr>
            <w:r w:rsidRPr="001A298C">
              <w:rPr>
                <w:rFonts w:ascii="Arial" w:hAnsi="Arial" w:cs="Arial"/>
                <w:strike/>
                <w:sz w:val="22"/>
                <w:szCs w:val="22"/>
              </w:rPr>
              <w:t>inscribir o no el elemento que se propone en la Lista representativa del patrimonio cultural inmaterial de la humanidad, o remitir la candidatura al(a los) Estado(s) Parte(s) solicitante(s) para obtener información complementaria;</w:t>
            </w:r>
          </w:p>
          <w:p w:rsidR="00D54F2A" w:rsidRPr="006B774A" w:rsidRDefault="00D54F2A" w:rsidP="00D54F2A">
            <w:pPr>
              <w:numPr>
                <w:ilvl w:val="0"/>
                <w:numId w:val="19"/>
              </w:numPr>
              <w:jc w:val="both"/>
              <w:rPr>
                <w:rFonts w:ascii="Arial" w:hAnsi="Arial" w:cs="Arial"/>
                <w:strike/>
                <w:sz w:val="22"/>
                <w:szCs w:val="22"/>
              </w:rPr>
            </w:pPr>
            <w:r w:rsidRPr="006B774A">
              <w:rPr>
                <w:rFonts w:ascii="Arial" w:hAnsi="Arial" w:cs="Arial"/>
                <w:b/>
                <w:sz w:val="22"/>
                <w:szCs w:val="22"/>
                <w:u w:val="single"/>
              </w:rPr>
              <w:t>inscribir o no el elemento que se propone en la Lista del patrimonio cultural inmaterial que requiere medidas urgentes de salvaguardia o en la Lista representativa del patrimonio cultural inmaterial de la humanidad, o remitir la candidatura al(a los) Estado(s) Parte(s) solicitante(s) para obtener información complementaria;</w:t>
            </w:r>
          </w:p>
          <w:p w:rsidR="00D54F2A" w:rsidRPr="00C84753" w:rsidRDefault="00D54F2A" w:rsidP="00D54F2A">
            <w:pPr>
              <w:numPr>
                <w:ilvl w:val="0"/>
                <w:numId w:val="19"/>
              </w:numPr>
              <w:spacing w:before="120" w:after="120"/>
              <w:jc w:val="both"/>
              <w:rPr>
                <w:rFonts w:ascii="Arial" w:hAnsi="Arial" w:cs="Arial"/>
                <w:b/>
                <w:bCs/>
                <w:sz w:val="22"/>
                <w:szCs w:val="22"/>
                <w:u w:val="single"/>
              </w:rPr>
            </w:pPr>
            <w:r w:rsidRPr="006B774A">
              <w:rPr>
                <w:rFonts w:ascii="Arial" w:hAnsi="Arial" w:cs="Arial"/>
                <w:sz w:val="22"/>
                <w:szCs w:val="22"/>
              </w:rPr>
              <w:t xml:space="preserve">seleccionar o no una propuesta de programa, proyecto o actividad; </w:t>
            </w:r>
            <w:r w:rsidRPr="006B774A">
              <w:rPr>
                <w:rFonts w:ascii="Arial" w:hAnsi="Arial" w:cs="Arial"/>
                <w:b/>
                <w:sz w:val="22"/>
                <w:szCs w:val="22"/>
                <w:u w:val="single"/>
              </w:rPr>
              <w:t xml:space="preserve">o remitir la </w:t>
            </w:r>
            <w:r w:rsidR="00C84753">
              <w:rPr>
                <w:rFonts w:ascii="Arial" w:hAnsi="Arial" w:cs="Arial"/>
                <w:b/>
                <w:sz w:val="22"/>
                <w:szCs w:val="22"/>
                <w:u w:val="single"/>
              </w:rPr>
              <w:t>propuesta</w:t>
            </w:r>
            <w:r w:rsidR="00C84753" w:rsidRPr="006B774A">
              <w:rPr>
                <w:rFonts w:ascii="Arial" w:hAnsi="Arial" w:cs="Arial"/>
                <w:b/>
                <w:sz w:val="22"/>
                <w:szCs w:val="22"/>
                <w:u w:val="single"/>
              </w:rPr>
              <w:t xml:space="preserve"> </w:t>
            </w:r>
            <w:r w:rsidRPr="006B774A">
              <w:rPr>
                <w:rFonts w:ascii="Arial" w:hAnsi="Arial" w:cs="Arial"/>
                <w:b/>
                <w:sz w:val="22"/>
                <w:szCs w:val="22"/>
                <w:u w:val="single"/>
              </w:rPr>
              <w:t>al(a los) Estado(s) Parte(s) solicitante(s) para obtener información complementaria; o</w:t>
            </w:r>
          </w:p>
          <w:p w:rsidR="00D54F2A" w:rsidRPr="00C84753" w:rsidRDefault="00D54F2A" w:rsidP="00C84753">
            <w:pPr>
              <w:numPr>
                <w:ilvl w:val="0"/>
                <w:numId w:val="19"/>
              </w:numPr>
              <w:jc w:val="both"/>
              <w:rPr>
                <w:rFonts w:ascii="Arial" w:hAnsi="Arial" w:cs="Arial"/>
                <w:sz w:val="22"/>
                <w:szCs w:val="22"/>
              </w:rPr>
            </w:pPr>
            <w:r w:rsidRPr="00C84753">
              <w:rPr>
                <w:rFonts w:ascii="Arial" w:hAnsi="Arial" w:cs="Arial"/>
                <w:sz w:val="22"/>
                <w:szCs w:val="22"/>
              </w:rPr>
              <w:t xml:space="preserve">aprobar o no la solicitud de asistencia internacional, </w:t>
            </w:r>
            <w:r w:rsidRPr="00C84753">
              <w:rPr>
                <w:rFonts w:ascii="Arial" w:hAnsi="Arial" w:cs="Arial"/>
                <w:b/>
                <w:sz w:val="22"/>
                <w:szCs w:val="22"/>
                <w:u w:val="single"/>
              </w:rPr>
              <w:t xml:space="preserve">o remitir la </w:t>
            </w:r>
            <w:r w:rsidR="00C84753">
              <w:rPr>
                <w:rFonts w:ascii="Arial" w:hAnsi="Arial" w:cs="Arial"/>
                <w:b/>
                <w:sz w:val="22"/>
                <w:szCs w:val="22"/>
                <w:u w:val="single"/>
              </w:rPr>
              <w:t>solicitud</w:t>
            </w:r>
            <w:r w:rsidR="00C84753" w:rsidRPr="00C84753">
              <w:rPr>
                <w:rFonts w:ascii="Arial" w:hAnsi="Arial" w:cs="Arial"/>
                <w:b/>
                <w:sz w:val="22"/>
                <w:szCs w:val="22"/>
                <w:u w:val="single"/>
              </w:rPr>
              <w:t xml:space="preserve"> </w:t>
            </w:r>
            <w:r w:rsidRPr="00C84753">
              <w:rPr>
                <w:rFonts w:ascii="Arial" w:hAnsi="Arial" w:cs="Arial"/>
                <w:b/>
                <w:sz w:val="22"/>
                <w:szCs w:val="22"/>
                <w:u w:val="single"/>
              </w:rPr>
              <w:t>al(a los) Estado(s) Parte(s) solicitante(s) para obtener información complementaria.</w:t>
            </w:r>
          </w:p>
        </w:tc>
      </w:tr>
      <w:tr w:rsidR="00D54F2A" w:rsidRPr="00220C1E" w:rsidTr="006B774A">
        <w:tc>
          <w:tcPr>
            <w:tcW w:w="737" w:type="dxa"/>
            <w:shd w:val="clear" w:color="auto" w:fill="auto"/>
          </w:tcPr>
          <w:p w:rsidR="00D54F2A" w:rsidRPr="0092706B" w:rsidRDefault="00D54F2A" w:rsidP="00D54F2A">
            <w:pPr>
              <w:spacing w:before="120" w:after="120"/>
              <w:jc w:val="right"/>
              <w:rPr>
                <w:rFonts w:ascii="Arial" w:hAnsi="Arial" w:cs="Arial"/>
                <w:sz w:val="22"/>
                <w:szCs w:val="22"/>
              </w:rPr>
            </w:pP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p>
        </w:tc>
        <w:tc>
          <w:tcPr>
            <w:tcW w:w="737" w:type="dxa"/>
          </w:tcPr>
          <w:p w:rsidR="00D54F2A" w:rsidRPr="005557B3" w:rsidRDefault="00D54F2A" w:rsidP="00D54F2A">
            <w:pPr>
              <w:spacing w:before="120" w:after="120"/>
              <w:jc w:val="right"/>
              <w:rPr>
                <w:rFonts w:ascii="Arial" w:hAnsi="Arial" w:cs="Arial"/>
                <w:sz w:val="22"/>
                <w:szCs w:val="22"/>
              </w:rPr>
            </w:pPr>
            <w:r w:rsidRPr="005557B3">
              <w:rPr>
                <w:rFonts w:ascii="Arial" w:hAnsi="Arial" w:cs="Arial"/>
                <w:sz w:val="22"/>
                <w:szCs w:val="22"/>
              </w:rPr>
              <w:t>[31 a 34]</w:t>
            </w:r>
          </w:p>
        </w:tc>
        <w:tc>
          <w:tcPr>
            <w:tcW w:w="6491" w:type="dxa"/>
          </w:tcPr>
          <w:p w:rsidR="00D54F2A" w:rsidRPr="001A298C" w:rsidRDefault="00D54F2A" w:rsidP="00D54F2A">
            <w:pPr>
              <w:spacing w:before="120" w:after="120"/>
              <w:jc w:val="both"/>
              <w:rPr>
                <w:rFonts w:ascii="Arial" w:hAnsi="Arial" w:cs="Arial"/>
                <w:sz w:val="22"/>
                <w:szCs w:val="22"/>
              </w:rPr>
            </w:pPr>
            <w:r w:rsidRPr="001A298C">
              <w:rPr>
                <w:rFonts w:ascii="Arial" w:hAnsi="Arial" w:cs="Arial"/>
                <w:sz w:val="22"/>
                <w:szCs w:val="22"/>
              </w:rPr>
              <w:t>[sin cambios]</w:t>
            </w:r>
          </w:p>
        </w:tc>
      </w:tr>
      <w:tr w:rsidR="00D54F2A" w:rsidRPr="00220C1E" w:rsidTr="006B774A">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35.</w:t>
            </w:r>
          </w:p>
        </w:tc>
        <w:tc>
          <w:tcPr>
            <w:tcW w:w="6491" w:type="dxa"/>
            <w:shd w:val="clear" w:color="auto" w:fill="auto"/>
          </w:tcPr>
          <w:p w:rsidR="00D54F2A" w:rsidRPr="001A298C" w:rsidRDefault="00D54F2A" w:rsidP="00D54F2A">
            <w:pPr>
              <w:spacing w:before="120" w:after="120"/>
              <w:jc w:val="both"/>
              <w:rPr>
                <w:rFonts w:ascii="Arial" w:hAnsi="Arial" w:cs="Arial"/>
                <w:sz w:val="22"/>
                <w:szCs w:val="22"/>
              </w:rPr>
            </w:pPr>
            <w:r w:rsidRPr="005557B3">
              <w:rPr>
                <w:rFonts w:ascii="Arial" w:hAnsi="Arial" w:cs="Arial"/>
                <w:sz w:val="22"/>
                <w:szCs w:val="22"/>
              </w:rPr>
              <w:t xml:space="preserve">Tras el examen, el Comité decidirá si procede o no inscribir un elemento en la Lista del patrimonio cultural inmaterial que requiere medidas urgentes de salvaguardia, si procede o no </w:t>
            </w:r>
            <w:r w:rsidRPr="005557B3">
              <w:rPr>
                <w:rFonts w:ascii="Arial" w:hAnsi="Arial" w:cs="Arial"/>
                <w:sz w:val="22"/>
                <w:szCs w:val="22"/>
              </w:rPr>
              <w:lastRenderedPageBreak/>
              <w:t xml:space="preserve">inscribir un elemento en la Lista representativa del patrimonio cultural inmaterial de la humanidad, o si conviene remitir la candidatura al Estado solicitante para obtener información complementaria, si debe seleccionar un programa, proyecto o actividad como práctica ejemplar de salvaguardia o si debe acordar una asistencia internacional superior a </w:t>
            </w:r>
            <w:r w:rsidR="00220C1E" w:rsidRPr="001A298C">
              <w:rPr>
                <w:rFonts w:ascii="Arial" w:hAnsi="Arial" w:cs="Arial"/>
                <w:sz w:val="22"/>
                <w:szCs w:val="22"/>
              </w:rPr>
              <w:t>25.000 dólares estadounidenses</w:t>
            </w:r>
            <w:r w:rsidRPr="001A298C">
              <w:rPr>
                <w:rFonts w:ascii="Arial" w:hAnsi="Arial" w:cs="Arial"/>
                <w:sz w:val="22"/>
                <w:szCs w:val="22"/>
              </w:rPr>
              <w:t>.</w:t>
            </w:r>
          </w:p>
        </w:tc>
        <w:tc>
          <w:tcPr>
            <w:tcW w:w="737" w:type="dxa"/>
          </w:tcPr>
          <w:p w:rsidR="00D54F2A" w:rsidRPr="006B774A" w:rsidRDefault="00D54F2A" w:rsidP="00D54F2A">
            <w:pPr>
              <w:spacing w:before="120" w:after="120"/>
              <w:jc w:val="right"/>
              <w:rPr>
                <w:rFonts w:ascii="Arial" w:hAnsi="Arial" w:cs="Arial"/>
                <w:sz w:val="22"/>
                <w:szCs w:val="22"/>
              </w:rPr>
            </w:pPr>
            <w:r w:rsidRPr="006B774A">
              <w:rPr>
                <w:rFonts w:ascii="Arial" w:hAnsi="Arial" w:cs="Arial"/>
                <w:sz w:val="22"/>
                <w:szCs w:val="22"/>
              </w:rPr>
              <w:lastRenderedPageBreak/>
              <w:t>35.</w:t>
            </w:r>
          </w:p>
        </w:tc>
        <w:tc>
          <w:tcPr>
            <w:tcW w:w="6491" w:type="dxa"/>
          </w:tcPr>
          <w:p w:rsidR="00D54F2A" w:rsidRPr="006B774A" w:rsidRDefault="00D54F2A" w:rsidP="00D54F2A">
            <w:pPr>
              <w:spacing w:before="120" w:after="120"/>
              <w:jc w:val="both"/>
              <w:rPr>
                <w:rFonts w:ascii="Arial" w:hAnsi="Arial" w:cs="Arial"/>
                <w:sz w:val="22"/>
                <w:szCs w:val="22"/>
              </w:rPr>
            </w:pPr>
            <w:r w:rsidRPr="006B774A">
              <w:rPr>
                <w:rFonts w:ascii="Arial" w:hAnsi="Arial" w:cs="Arial"/>
                <w:sz w:val="22"/>
                <w:szCs w:val="22"/>
              </w:rPr>
              <w:t>Tras el examen, el Comité decidirá</w:t>
            </w:r>
            <w:r w:rsidRPr="001C4C46">
              <w:rPr>
                <w:rFonts w:ascii="Arial" w:hAnsi="Arial" w:cs="Arial"/>
                <w:b/>
                <w:sz w:val="22"/>
                <w:szCs w:val="22"/>
                <w:u w:val="single"/>
              </w:rPr>
              <w:t>:</w:t>
            </w:r>
          </w:p>
          <w:p w:rsidR="00D54F2A" w:rsidRPr="00C84753" w:rsidRDefault="00D54F2A" w:rsidP="00D54F2A">
            <w:pPr>
              <w:numPr>
                <w:ilvl w:val="0"/>
                <w:numId w:val="19"/>
              </w:numPr>
              <w:jc w:val="both"/>
              <w:rPr>
                <w:rFonts w:ascii="Arial" w:hAnsi="Arial" w:cs="Arial"/>
                <w:b/>
                <w:strike/>
                <w:sz w:val="22"/>
                <w:szCs w:val="22"/>
                <w:u w:val="single"/>
              </w:rPr>
            </w:pPr>
            <w:r w:rsidRPr="006B774A">
              <w:rPr>
                <w:rFonts w:ascii="Arial" w:hAnsi="Arial" w:cs="Arial"/>
                <w:sz w:val="22"/>
                <w:szCs w:val="22"/>
              </w:rPr>
              <w:t xml:space="preserve">si procede o no inscribir un elemento en la Lista del </w:t>
            </w:r>
            <w:r w:rsidRPr="006B774A">
              <w:rPr>
                <w:rFonts w:ascii="Arial" w:hAnsi="Arial" w:cs="Arial"/>
                <w:sz w:val="22"/>
                <w:szCs w:val="22"/>
              </w:rPr>
              <w:lastRenderedPageBreak/>
              <w:t>patrimonio cultural inmaterial que requiere medidas urgentes de salvaguardia</w:t>
            </w:r>
            <w:r w:rsidRPr="006B774A">
              <w:rPr>
                <w:rFonts w:ascii="Arial" w:hAnsi="Arial" w:cs="Arial"/>
                <w:strike/>
                <w:sz w:val="22"/>
                <w:szCs w:val="22"/>
              </w:rPr>
              <w:t xml:space="preserve"> si procede o no inscribir un elemento</w:t>
            </w:r>
            <w:r w:rsidRPr="006B774A">
              <w:rPr>
                <w:rFonts w:ascii="Arial" w:hAnsi="Arial" w:cs="Arial"/>
                <w:sz w:val="22"/>
                <w:szCs w:val="22"/>
              </w:rPr>
              <w:t xml:space="preserve"> </w:t>
            </w:r>
            <w:r w:rsidRPr="006B774A">
              <w:rPr>
                <w:rFonts w:ascii="Arial" w:hAnsi="Arial" w:cs="Arial"/>
                <w:b/>
                <w:sz w:val="22"/>
                <w:szCs w:val="22"/>
                <w:u w:val="single"/>
              </w:rPr>
              <w:t>o</w:t>
            </w:r>
            <w:r w:rsidRPr="00C84753">
              <w:rPr>
                <w:rFonts w:ascii="Arial" w:hAnsi="Arial" w:cs="Arial"/>
                <w:sz w:val="22"/>
                <w:szCs w:val="22"/>
              </w:rPr>
              <w:t xml:space="preserve"> en la </w:t>
            </w:r>
            <w:r w:rsidR="00C84753">
              <w:rPr>
                <w:rFonts w:ascii="Arial" w:hAnsi="Arial" w:cs="Arial"/>
                <w:sz w:val="22"/>
                <w:szCs w:val="22"/>
              </w:rPr>
              <w:t>L</w:t>
            </w:r>
            <w:r w:rsidRPr="00C84753">
              <w:rPr>
                <w:rFonts w:ascii="Arial" w:hAnsi="Arial" w:cs="Arial"/>
                <w:sz w:val="22"/>
                <w:szCs w:val="22"/>
              </w:rPr>
              <w:t>ista representativa del patrimonio cultural inmaterial de la humanidad, o si conviene remitir la candidatura al</w:t>
            </w:r>
            <w:r w:rsidR="00C84753" w:rsidRPr="001C4C46">
              <w:rPr>
                <w:rFonts w:ascii="Arial" w:hAnsi="Arial" w:cs="Arial"/>
                <w:b/>
                <w:sz w:val="22"/>
                <w:szCs w:val="22"/>
                <w:u w:val="single"/>
              </w:rPr>
              <w:t>(a los)</w:t>
            </w:r>
            <w:r w:rsidRPr="001C4C46">
              <w:rPr>
                <w:rFonts w:ascii="Arial" w:hAnsi="Arial" w:cs="Arial"/>
                <w:b/>
                <w:sz w:val="22"/>
                <w:szCs w:val="22"/>
                <w:u w:val="single"/>
              </w:rPr>
              <w:t xml:space="preserve"> </w:t>
            </w:r>
            <w:r w:rsidRPr="00C84753">
              <w:rPr>
                <w:rFonts w:ascii="Arial" w:hAnsi="Arial" w:cs="Arial"/>
                <w:sz w:val="22"/>
                <w:szCs w:val="22"/>
              </w:rPr>
              <w:t>Estado</w:t>
            </w:r>
            <w:r w:rsidR="00C84753" w:rsidRPr="001C4C46">
              <w:rPr>
                <w:rFonts w:ascii="Arial" w:hAnsi="Arial" w:cs="Arial"/>
                <w:b/>
                <w:sz w:val="22"/>
                <w:szCs w:val="22"/>
              </w:rPr>
              <w:t>(s)</w:t>
            </w:r>
            <w:r w:rsidRPr="00C84753">
              <w:rPr>
                <w:rFonts w:ascii="Arial" w:hAnsi="Arial" w:cs="Arial"/>
                <w:sz w:val="22"/>
                <w:szCs w:val="22"/>
              </w:rPr>
              <w:t xml:space="preserve"> solicitante</w:t>
            </w:r>
            <w:r w:rsidR="00C84753" w:rsidRPr="001C4C46">
              <w:rPr>
                <w:rFonts w:ascii="Arial" w:hAnsi="Arial" w:cs="Arial"/>
                <w:b/>
                <w:sz w:val="22"/>
                <w:szCs w:val="22"/>
              </w:rPr>
              <w:t>(s)</w:t>
            </w:r>
            <w:r w:rsidRPr="00C84753">
              <w:rPr>
                <w:rFonts w:ascii="Arial" w:hAnsi="Arial" w:cs="Arial"/>
                <w:sz w:val="22"/>
                <w:szCs w:val="22"/>
              </w:rPr>
              <w:t xml:space="preserve"> para obtener información </w:t>
            </w:r>
            <w:r w:rsidRPr="001C4C46">
              <w:rPr>
                <w:rFonts w:ascii="Arial" w:hAnsi="Arial" w:cs="Arial"/>
                <w:sz w:val="22"/>
                <w:szCs w:val="22"/>
              </w:rPr>
              <w:t xml:space="preserve">complementaria </w:t>
            </w:r>
            <w:r w:rsidRPr="00C84753">
              <w:rPr>
                <w:rFonts w:ascii="Arial" w:hAnsi="Arial" w:cs="Arial"/>
                <w:sz w:val="22"/>
                <w:szCs w:val="22"/>
              </w:rPr>
              <w:t>,</w:t>
            </w:r>
          </w:p>
          <w:p w:rsidR="00D54F2A" w:rsidRPr="00C84753" w:rsidRDefault="00D54F2A" w:rsidP="00D54F2A">
            <w:pPr>
              <w:numPr>
                <w:ilvl w:val="0"/>
                <w:numId w:val="19"/>
              </w:numPr>
              <w:jc w:val="both"/>
              <w:rPr>
                <w:rFonts w:ascii="Arial" w:hAnsi="Arial" w:cs="Arial"/>
                <w:b/>
                <w:sz w:val="22"/>
                <w:szCs w:val="22"/>
                <w:u w:val="single"/>
              </w:rPr>
            </w:pPr>
            <w:r w:rsidRPr="00C84753">
              <w:rPr>
                <w:rFonts w:ascii="Arial" w:hAnsi="Arial" w:cs="Arial"/>
                <w:sz w:val="22"/>
                <w:szCs w:val="22"/>
              </w:rPr>
              <w:t xml:space="preserve">si debe seleccionar un programa, proyecto o actividad como </w:t>
            </w:r>
            <w:r w:rsidR="00C84753" w:rsidRPr="001C4C46">
              <w:rPr>
                <w:rFonts w:ascii="Arial" w:hAnsi="Arial" w:cs="Arial"/>
                <w:b/>
                <w:sz w:val="22"/>
                <w:szCs w:val="22"/>
                <w:u w:val="single"/>
              </w:rPr>
              <w:t>mejor</w:t>
            </w:r>
            <w:r w:rsidR="00C84753">
              <w:rPr>
                <w:rFonts w:ascii="Arial" w:hAnsi="Arial" w:cs="Arial"/>
                <w:sz w:val="22"/>
                <w:szCs w:val="22"/>
              </w:rPr>
              <w:t xml:space="preserve"> </w:t>
            </w:r>
            <w:r w:rsidRPr="00C84753">
              <w:rPr>
                <w:rFonts w:ascii="Arial" w:hAnsi="Arial" w:cs="Arial"/>
                <w:sz w:val="22"/>
                <w:szCs w:val="22"/>
              </w:rPr>
              <w:t xml:space="preserve">práctica </w:t>
            </w:r>
            <w:r w:rsidRPr="001C4C46">
              <w:rPr>
                <w:rFonts w:ascii="Arial" w:hAnsi="Arial" w:cs="Arial"/>
                <w:strike/>
                <w:sz w:val="22"/>
                <w:szCs w:val="22"/>
              </w:rPr>
              <w:t xml:space="preserve">ejemplar </w:t>
            </w:r>
            <w:r w:rsidRPr="00C84753">
              <w:rPr>
                <w:rFonts w:ascii="Arial" w:hAnsi="Arial" w:cs="Arial"/>
                <w:sz w:val="22"/>
                <w:szCs w:val="22"/>
              </w:rPr>
              <w:t xml:space="preserve">de salvaguardia, </w:t>
            </w:r>
            <w:r w:rsidRPr="00C84753">
              <w:rPr>
                <w:rFonts w:ascii="Arial" w:hAnsi="Arial" w:cs="Arial"/>
                <w:b/>
                <w:sz w:val="22"/>
                <w:szCs w:val="22"/>
                <w:u w:val="single"/>
              </w:rPr>
              <w:t xml:space="preserve">o si conviene remitir la </w:t>
            </w:r>
            <w:r w:rsidR="00C84753">
              <w:rPr>
                <w:rFonts w:ascii="Arial" w:hAnsi="Arial" w:cs="Arial"/>
                <w:b/>
                <w:sz w:val="22"/>
                <w:szCs w:val="22"/>
                <w:u w:val="single"/>
              </w:rPr>
              <w:t>propuesta</w:t>
            </w:r>
            <w:r w:rsidR="00C84753" w:rsidRPr="00C84753">
              <w:rPr>
                <w:rFonts w:ascii="Arial" w:hAnsi="Arial" w:cs="Arial"/>
                <w:b/>
                <w:sz w:val="22"/>
                <w:szCs w:val="22"/>
                <w:u w:val="single"/>
              </w:rPr>
              <w:t xml:space="preserve"> </w:t>
            </w:r>
            <w:r w:rsidRPr="00C84753">
              <w:rPr>
                <w:rFonts w:ascii="Arial" w:hAnsi="Arial" w:cs="Arial"/>
                <w:b/>
                <w:sz w:val="22"/>
                <w:szCs w:val="22"/>
                <w:u w:val="single"/>
              </w:rPr>
              <w:t>al</w:t>
            </w:r>
            <w:r w:rsidR="00C84753">
              <w:rPr>
                <w:rFonts w:ascii="Arial" w:hAnsi="Arial" w:cs="Arial"/>
                <w:b/>
                <w:sz w:val="22"/>
                <w:szCs w:val="22"/>
                <w:u w:val="single"/>
              </w:rPr>
              <w:t>(a los)</w:t>
            </w:r>
            <w:r w:rsidRPr="00C84753">
              <w:rPr>
                <w:rFonts w:ascii="Arial" w:hAnsi="Arial" w:cs="Arial"/>
                <w:b/>
                <w:sz w:val="22"/>
                <w:szCs w:val="22"/>
                <w:u w:val="single"/>
              </w:rPr>
              <w:t xml:space="preserve"> Estado</w:t>
            </w:r>
            <w:r w:rsidR="00C84753">
              <w:rPr>
                <w:rFonts w:ascii="Arial" w:hAnsi="Arial" w:cs="Arial"/>
                <w:b/>
                <w:sz w:val="22"/>
                <w:szCs w:val="22"/>
                <w:u w:val="single"/>
              </w:rPr>
              <w:t>(s)</w:t>
            </w:r>
            <w:r w:rsidRPr="00C84753">
              <w:rPr>
                <w:rFonts w:ascii="Arial" w:hAnsi="Arial" w:cs="Arial"/>
                <w:b/>
                <w:sz w:val="22"/>
                <w:szCs w:val="22"/>
                <w:u w:val="single"/>
              </w:rPr>
              <w:t xml:space="preserve"> solicitante</w:t>
            </w:r>
            <w:r w:rsidR="00C84753">
              <w:rPr>
                <w:rFonts w:ascii="Arial" w:hAnsi="Arial" w:cs="Arial"/>
                <w:b/>
                <w:sz w:val="22"/>
                <w:szCs w:val="22"/>
                <w:u w:val="single"/>
              </w:rPr>
              <w:t>(s)</w:t>
            </w:r>
            <w:r w:rsidRPr="00C84753">
              <w:rPr>
                <w:rFonts w:ascii="Arial" w:hAnsi="Arial" w:cs="Arial"/>
                <w:b/>
                <w:sz w:val="22"/>
                <w:szCs w:val="22"/>
                <w:u w:val="single"/>
              </w:rPr>
              <w:t xml:space="preserve"> para obtener información </w:t>
            </w:r>
            <w:r w:rsidR="00C84753">
              <w:rPr>
                <w:rFonts w:ascii="Arial" w:hAnsi="Arial" w:cs="Arial"/>
                <w:b/>
                <w:sz w:val="22"/>
                <w:szCs w:val="22"/>
                <w:u w:val="single"/>
              </w:rPr>
              <w:t>complementaria</w:t>
            </w:r>
            <w:r w:rsidRPr="00C84753">
              <w:rPr>
                <w:rFonts w:ascii="Arial" w:hAnsi="Arial" w:cs="Arial"/>
                <w:b/>
                <w:sz w:val="22"/>
                <w:szCs w:val="22"/>
                <w:u w:val="single"/>
              </w:rPr>
              <w:t>;</w:t>
            </w:r>
          </w:p>
          <w:p w:rsidR="00D54F2A" w:rsidRPr="00C84753" w:rsidRDefault="00D54F2A" w:rsidP="00C84753">
            <w:pPr>
              <w:numPr>
                <w:ilvl w:val="0"/>
                <w:numId w:val="19"/>
              </w:numPr>
              <w:jc w:val="both"/>
              <w:rPr>
                <w:rFonts w:ascii="Arial" w:hAnsi="Arial" w:cs="Arial"/>
                <w:sz w:val="22"/>
                <w:szCs w:val="22"/>
              </w:rPr>
            </w:pPr>
            <w:r w:rsidRPr="00C84753">
              <w:rPr>
                <w:rFonts w:ascii="Arial" w:hAnsi="Arial" w:cs="Arial"/>
                <w:sz w:val="22"/>
                <w:szCs w:val="22"/>
              </w:rPr>
              <w:t xml:space="preserve">o si debe </w:t>
            </w:r>
            <w:r w:rsidRPr="001C4C46">
              <w:rPr>
                <w:rFonts w:ascii="Arial" w:hAnsi="Arial" w:cs="Arial"/>
                <w:strike/>
                <w:sz w:val="22"/>
                <w:szCs w:val="22"/>
              </w:rPr>
              <w:t>acordar</w:t>
            </w:r>
            <w:r w:rsidRPr="00C84753">
              <w:rPr>
                <w:rFonts w:ascii="Arial" w:hAnsi="Arial" w:cs="Arial"/>
                <w:sz w:val="22"/>
                <w:szCs w:val="22"/>
              </w:rPr>
              <w:t xml:space="preserve"> </w:t>
            </w:r>
            <w:r w:rsidR="00C84753" w:rsidRPr="001C4C46">
              <w:rPr>
                <w:rFonts w:ascii="Arial" w:hAnsi="Arial" w:cs="Arial"/>
                <w:b/>
                <w:sz w:val="22"/>
                <w:szCs w:val="22"/>
                <w:u w:val="single"/>
              </w:rPr>
              <w:t>conceder</w:t>
            </w:r>
            <w:r w:rsidR="00C84753">
              <w:rPr>
                <w:rFonts w:ascii="Arial" w:hAnsi="Arial" w:cs="Arial"/>
                <w:sz w:val="22"/>
                <w:szCs w:val="22"/>
              </w:rPr>
              <w:t xml:space="preserve"> </w:t>
            </w:r>
            <w:r w:rsidRPr="00C84753">
              <w:rPr>
                <w:rFonts w:ascii="Arial" w:hAnsi="Arial" w:cs="Arial"/>
                <w:sz w:val="22"/>
                <w:szCs w:val="22"/>
              </w:rPr>
              <w:t xml:space="preserve">una asistencia internacional superior a </w:t>
            </w:r>
            <w:r w:rsidR="00220C1E" w:rsidRPr="001C4C46">
              <w:rPr>
                <w:rFonts w:ascii="Arial" w:hAnsi="Arial" w:cs="Arial"/>
                <w:strike/>
                <w:sz w:val="22"/>
                <w:szCs w:val="22"/>
              </w:rPr>
              <w:t>25.000</w:t>
            </w:r>
            <w:r w:rsidR="00C84753" w:rsidRPr="001C4C46">
              <w:rPr>
                <w:rFonts w:ascii="Arial" w:hAnsi="Arial" w:cs="Arial"/>
                <w:b/>
                <w:sz w:val="22"/>
                <w:szCs w:val="22"/>
                <w:u w:val="single"/>
              </w:rPr>
              <w:t>100.000</w:t>
            </w:r>
            <w:r w:rsidR="00C84753">
              <w:rPr>
                <w:rFonts w:ascii="Arial" w:hAnsi="Arial" w:cs="Arial"/>
                <w:sz w:val="22"/>
                <w:szCs w:val="22"/>
              </w:rPr>
              <w:t> </w:t>
            </w:r>
            <w:r w:rsidR="00220C1E" w:rsidRPr="00C84753">
              <w:rPr>
                <w:rFonts w:ascii="Arial" w:hAnsi="Arial" w:cs="Arial"/>
                <w:sz w:val="22"/>
                <w:szCs w:val="22"/>
              </w:rPr>
              <w:t>dólares estadounidenses</w:t>
            </w:r>
            <w:r w:rsidRPr="00C84753">
              <w:rPr>
                <w:rFonts w:ascii="Arial" w:hAnsi="Arial" w:cs="Arial"/>
                <w:sz w:val="22"/>
                <w:szCs w:val="22"/>
              </w:rPr>
              <w:t xml:space="preserve">, </w:t>
            </w:r>
            <w:r w:rsidRPr="00C84753">
              <w:rPr>
                <w:rFonts w:ascii="Arial" w:hAnsi="Arial" w:cs="Arial"/>
                <w:b/>
                <w:sz w:val="22"/>
                <w:szCs w:val="22"/>
                <w:u w:val="single"/>
              </w:rPr>
              <w:t xml:space="preserve">o si conviene remitir la </w:t>
            </w:r>
            <w:r w:rsidR="00C84753">
              <w:rPr>
                <w:rFonts w:ascii="Arial" w:hAnsi="Arial" w:cs="Arial"/>
                <w:b/>
                <w:sz w:val="22"/>
                <w:szCs w:val="22"/>
                <w:u w:val="single"/>
              </w:rPr>
              <w:t>solicitud</w:t>
            </w:r>
            <w:r w:rsidR="00C84753" w:rsidRPr="00C84753">
              <w:rPr>
                <w:rFonts w:ascii="Arial" w:hAnsi="Arial" w:cs="Arial"/>
                <w:b/>
                <w:sz w:val="22"/>
                <w:szCs w:val="22"/>
                <w:u w:val="single"/>
              </w:rPr>
              <w:t xml:space="preserve"> </w:t>
            </w:r>
            <w:r w:rsidRPr="00C84753">
              <w:rPr>
                <w:rFonts w:ascii="Arial" w:hAnsi="Arial" w:cs="Arial"/>
                <w:b/>
                <w:sz w:val="22"/>
                <w:szCs w:val="22"/>
                <w:u w:val="single"/>
              </w:rPr>
              <w:t>al</w:t>
            </w:r>
            <w:r w:rsidR="00C84753">
              <w:rPr>
                <w:rFonts w:ascii="Arial" w:hAnsi="Arial" w:cs="Arial"/>
                <w:b/>
                <w:sz w:val="22"/>
                <w:szCs w:val="22"/>
                <w:u w:val="single"/>
              </w:rPr>
              <w:t>(a los)</w:t>
            </w:r>
            <w:r w:rsidRPr="00C84753">
              <w:rPr>
                <w:rFonts w:ascii="Arial" w:hAnsi="Arial" w:cs="Arial"/>
                <w:b/>
                <w:sz w:val="22"/>
                <w:szCs w:val="22"/>
                <w:u w:val="single"/>
              </w:rPr>
              <w:t xml:space="preserve"> Estado</w:t>
            </w:r>
            <w:r w:rsidR="00C84753">
              <w:rPr>
                <w:rFonts w:ascii="Arial" w:hAnsi="Arial" w:cs="Arial"/>
                <w:b/>
                <w:sz w:val="22"/>
                <w:szCs w:val="22"/>
                <w:u w:val="single"/>
              </w:rPr>
              <w:t>(s)</w:t>
            </w:r>
            <w:r w:rsidRPr="00C84753">
              <w:rPr>
                <w:rFonts w:ascii="Arial" w:hAnsi="Arial" w:cs="Arial"/>
                <w:b/>
                <w:sz w:val="22"/>
                <w:szCs w:val="22"/>
                <w:u w:val="single"/>
              </w:rPr>
              <w:t xml:space="preserve"> solicitante</w:t>
            </w:r>
            <w:r w:rsidR="00C84753">
              <w:rPr>
                <w:rFonts w:ascii="Arial" w:hAnsi="Arial" w:cs="Arial"/>
                <w:b/>
                <w:sz w:val="22"/>
                <w:szCs w:val="22"/>
                <w:u w:val="single"/>
              </w:rPr>
              <w:t>(s)</w:t>
            </w:r>
            <w:r w:rsidRPr="00C84753">
              <w:rPr>
                <w:rFonts w:ascii="Arial" w:hAnsi="Arial" w:cs="Arial"/>
                <w:b/>
                <w:sz w:val="22"/>
                <w:szCs w:val="22"/>
                <w:u w:val="single"/>
              </w:rPr>
              <w:t xml:space="preserve"> para obtener información </w:t>
            </w:r>
            <w:r w:rsidR="00C84753">
              <w:rPr>
                <w:rFonts w:ascii="Arial" w:hAnsi="Arial" w:cs="Arial"/>
                <w:b/>
                <w:sz w:val="22"/>
                <w:szCs w:val="22"/>
                <w:u w:val="single"/>
              </w:rPr>
              <w:t>complementaria</w:t>
            </w:r>
            <w:r w:rsidRPr="00C84753">
              <w:rPr>
                <w:rFonts w:ascii="Arial" w:hAnsi="Arial" w:cs="Arial"/>
                <w:b/>
                <w:sz w:val="22"/>
                <w:szCs w:val="22"/>
                <w:u w:val="single"/>
              </w:rPr>
              <w:t>.</w:t>
            </w:r>
          </w:p>
        </w:tc>
      </w:tr>
      <w:tr w:rsidR="00D54F2A" w:rsidRPr="00220C1E" w:rsidTr="006B774A">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lastRenderedPageBreak/>
              <w:t>36.</w:t>
            </w: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Toda candidatura para la Lista representativa del patrimonio cultural inmaterial de la humanidad que el Comité decida remitir al Estado solicitante para obtener información complementaria podrá presentarse de nuevo para su examen en un ciclo posterior, una vez actualizada y completada.</w:t>
            </w:r>
          </w:p>
        </w:tc>
        <w:tc>
          <w:tcPr>
            <w:tcW w:w="737" w:type="dxa"/>
          </w:tcPr>
          <w:p w:rsidR="00D54F2A" w:rsidRPr="001A298C" w:rsidRDefault="00D54F2A" w:rsidP="00D54F2A">
            <w:pPr>
              <w:spacing w:before="120" w:after="120"/>
              <w:jc w:val="right"/>
              <w:rPr>
                <w:rFonts w:ascii="Arial" w:hAnsi="Arial" w:cs="Arial"/>
                <w:sz w:val="22"/>
                <w:szCs w:val="22"/>
              </w:rPr>
            </w:pPr>
            <w:r w:rsidRPr="001A298C">
              <w:rPr>
                <w:rFonts w:ascii="Arial" w:hAnsi="Arial" w:cs="Arial"/>
                <w:sz w:val="22"/>
                <w:szCs w:val="22"/>
              </w:rPr>
              <w:t>36.</w:t>
            </w:r>
          </w:p>
        </w:tc>
        <w:tc>
          <w:tcPr>
            <w:tcW w:w="6491" w:type="dxa"/>
          </w:tcPr>
          <w:p w:rsidR="00D54F2A" w:rsidRPr="006B774A" w:rsidRDefault="00D54F2A" w:rsidP="00D54F2A">
            <w:pPr>
              <w:spacing w:before="120" w:after="120"/>
              <w:jc w:val="both"/>
              <w:rPr>
                <w:rFonts w:ascii="Arial" w:hAnsi="Arial" w:cs="Arial"/>
                <w:sz w:val="22"/>
                <w:szCs w:val="22"/>
              </w:rPr>
            </w:pPr>
            <w:r w:rsidRPr="001A298C">
              <w:rPr>
                <w:rFonts w:ascii="Arial" w:hAnsi="Arial" w:cs="Arial"/>
                <w:sz w:val="22"/>
                <w:szCs w:val="22"/>
              </w:rPr>
              <w:t xml:space="preserve">Toda candidatura, </w:t>
            </w:r>
            <w:r w:rsidRPr="001A298C">
              <w:rPr>
                <w:rFonts w:ascii="Arial" w:hAnsi="Arial" w:cs="Arial"/>
                <w:strike/>
                <w:sz w:val="22"/>
                <w:szCs w:val="22"/>
              </w:rPr>
              <w:t>para la Lista Representativa del Patrimonio Cultural Inmaterial de la Humanidad</w:t>
            </w:r>
            <w:r w:rsidRPr="006B774A">
              <w:rPr>
                <w:rFonts w:ascii="Arial" w:hAnsi="Arial" w:cs="Arial"/>
                <w:sz w:val="22"/>
                <w:szCs w:val="22"/>
              </w:rPr>
              <w:t xml:space="preserve">, </w:t>
            </w:r>
            <w:r w:rsidRPr="006B774A">
              <w:rPr>
                <w:rFonts w:ascii="Arial" w:hAnsi="Arial" w:cs="Arial"/>
                <w:b/>
                <w:sz w:val="22"/>
                <w:szCs w:val="22"/>
                <w:u w:val="single"/>
              </w:rPr>
              <w:t>propuesta o solicitud</w:t>
            </w:r>
            <w:r w:rsidRPr="006B774A">
              <w:rPr>
                <w:rFonts w:ascii="Arial" w:hAnsi="Arial" w:cs="Arial"/>
                <w:sz w:val="22"/>
                <w:szCs w:val="22"/>
              </w:rPr>
              <w:t xml:space="preserve"> que el Comité decida </w:t>
            </w:r>
            <w:r w:rsidRPr="006B774A">
              <w:rPr>
                <w:rFonts w:ascii="Arial" w:hAnsi="Arial" w:cs="Arial"/>
                <w:b/>
                <w:sz w:val="22"/>
                <w:szCs w:val="22"/>
                <w:u w:val="single"/>
              </w:rPr>
              <w:t xml:space="preserve">no inscribir, </w:t>
            </w:r>
            <w:r w:rsidR="00C84753">
              <w:rPr>
                <w:rFonts w:ascii="Arial" w:hAnsi="Arial" w:cs="Arial"/>
                <w:b/>
                <w:sz w:val="22"/>
                <w:szCs w:val="22"/>
                <w:u w:val="single"/>
              </w:rPr>
              <w:t xml:space="preserve">no </w:t>
            </w:r>
            <w:r w:rsidRPr="006B774A">
              <w:rPr>
                <w:rFonts w:ascii="Arial" w:hAnsi="Arial" w:cs="Arial"/>
                <w:b/>
                <w:sz w:val="22"/>
                <w:szCs w:val="22"/>
                <w:u w:val="single"/>
              </w:rPr>
              <w:t xml:space="preserve">seleccionar o </w:t>
            </w:r>
            <w:r w:rsidR="00C84753">
              <w:rPr>
                <w:rFonts w:ascii="Arial" w:hAnsi="Arial" w:cs="Arial"/>
                <w:b/>
                <w:sz w:val="22"/>
                <w:szCs w:val="22"/>
                <w:u w:val="single"/>
              </w:rPr>
              <w:t xml:space="preserve">no </w:t>
            </w:r>
            <w:r w:rsidRPr="006B774A">
              <w:rPr>
                <w:rFonts w:ascii="Arial" w:hAnsi="Arial" w:cs="Arial"/>
                <w:b/>
                <w:sz w:val="22"/>
                <w:szCs w:val="22"/>
                <w:u w:val="single"/>
              </w:rPr>
              <w:t>aprobar, o</w:t>
            </w:r>
            <w:r w:rsidRPr="006B774A">
              <w:rPr>
                <w:rFonts w:ascii="Arial" w:hAnsi="Arial" w:cs="Arial"/>
                <w:sz w:val="22"/>
                <w:szCs w:val="22"/>
              </w:rPr>
              <w:t xml:space="preserve"> remitir al</w:t>
            </w:r>
            <w:r w:rsidR="00C84753" w:rsidRPr="001C4C46">
              <w:rPr>
                <w:rFonts w:ascii="Arial" w:hAnsi="Arial" w:cs="Arial"/>
                <w:b/>
                <w:sz w:val="22"/>
                <w:szCs w:val="22"/>
                <w:u w:val="single"/>
              </w:rPr>
              <w:t>(a los)</w:t>
            </w:r>
            <w:r w:rsidRPr="006B774A">
              <w:rPr>
                <w:rFonts w:ascii="Arial" w:hAnsi="Arial" w:cs="Arial"/>
                <w:sz w:val="22"/>
                <w:szCs w:val="22"/>
              </w:rPr>
              <w:t xml:space="preserve"> Estado</w:t>
            </w:r>
            <w:r w:rsidR="00C84753" w:rsidRPr="001C4C46">
              <w:rPr>
                <w:rFonts w:ascii="Arial" w:hAnsi="Arial" w:cs="Arial"/>
                <w:b/>
                <w:sz w:val="22"/>
                <w:szCs w:val="22"/>
                <w:u w:val="single"/>
              </w:rPr>
              <w:t>(s)</w:t>
            </w:r>
            <w:r w:rsidRPr="006B774A">
              <w:rPr>
                <w:rFonts w:ascii="Arial" w:hAnsi="Arial" w:cs="Arial"/>
                <w:sz w:val="22"/>
                <w:szCs w:val="22"/>
              </w:rPr>
              <w:t xml:space="preserve"> solicitante</w:t>
            </w:r>
            <w:r w:rsidR="00C84753" w:rsidRPr="001C4C46">
              <w:rPr>
                <w:rFonts w:ascii="Arial" w:hAnsi="Arial" w:cs="Arial"/>
                <w:b/>
                <w:sz w:val="22"/>
                <w:szCs w:val="22"/>
                <w:u w:val="single"/>
              </w:rPr>
              <w:t>(s)</w:t>
            </w:r>
            <w:r w:rsidRPr="006B774A">
              <w:rPr>
                <w:rFonts w:ascii="Arial" w:hAnsi="Arial" w:cs="Arial"/>
                <w:sz w:val="22"/>
                <w:szCs w:val="22"/>
              </w:rPr>
              <w:t xml:space="preserve"> para obtener información complementaria podrá presentarse de nuevo para su examen en un ciclo posterior, una vez actualizada y completada.</w:t>
            </w:r>
          </w:p>
        </w:tc>
      </w:tr>
      <w:tr w:rsidR="00D54F2A" w:rsidRPr="00220C1E" w:rsidTr="006B774A">
        <w:tc>
          <w:tcPr>
            <w:tcW w:w="737" w:type="dxa"/>
            <w:shd w:val="clear" w:color="auto" w:fill="auto"/>
          </w:tcPr>
          <w:p w:rsidR="00D54F2A" w:rsidRPr="0092706B" w:rsidRDefault="00D54F2A" w:rsidP="00D54F2A">
            <w:pPr>
              <w:spacing w:before="120" w:after="120"/>
              <w:jc w:val="right"/>
              <w:rPr>
                <w:rFonts w:ascii="Arial" w:hAnsi="Arial" w:cs="Arial"/>
                <w:sz w:val="22"/>
                <w:szCs w:val="22"/>
              </w:rPr>
            </w:pPr>
            <w:r w:rsidRPr="0092706B">
              <w:rPr>
                <w:rFonts w:ascii="Arial" w:hAnsi="Arial" w:cs="Arial"/>
                <w:sz w:val="22"/>
                <w:szCs w:val="22"/>
              </w:rPr>
              <w:t>37.</w:t>
            </w:r>
          </w:p>
        </w:tc>
        <w:tc>
          <w:tcPr>
            <w:tcW w:w="6491" w:type="dxa"/>
            <w:shd w:val="clear" w:color="auto" w:fill="auto"/>
          </w:tcPr>
          <w:p w:rsidR="00D54F2A" w:rsidRPr="005557B3" w:rsidRDefault="00D54F2A" w:rsidP="00D54F2A">
            <w:pPr>
              <w:spacing w:before="120" w:after="120"/>
              <w:jc w:val="both"/>
              <w:rPr>
                <w:rFonts w:ascii="Arial" w:hAnsi="Arial" w:cs="Arial"/>
                <w:sz w:val="22"/>
                <w:szCs w:val="22"/>
              </w:rPr>
            </w:pPr>
            <w:r w:rsidRPr="005557B3">
              <w:rPr>
                <w:rFonts w:ascii="Arial" w:hAnsi="Arial" w:cs="Arial"/>
                <w:sz w:val="22"/>
                <w:szCs w:val="22"/>
              </w:rPr>
              <w:t>Si el Comité decide que un elemento no se inscriba en la Lista representativa del patrimonio cultural de la humanidad tendrán que transcurrir cuatro años para que pueda presentarse de nuevo al Comité la candidatura del mismo elemento en la Lista.</w:t>
            </w:r>
          </w:p>
        </w:tc>
        <w:tc>
          <w:tcPr>
            <w:tcW w:w="737" w:type="dxa"/>
          </w:tcPr>
          <w:p w:rsidR="00D54F2A" w:rsidRPr="001A298C" w:rsidRDefault="00D54F2A" w:rsidP="00D54F2A">
            <w:pPr>
              <w:spacing w:before="120" w:after="120"/>
              <w:jc w:val="right"/>
              <w:rPr>
                <w:rFonts w:ascii="Arial" w:hAnsi="Arial" w:cs="Arial"/>
                <w:sz w:val="22"/>
                <w:szCs w:val="22"/>
              </w:rPr>
            </w:pPr>
            <w:r w:rsidRPr="005557B3">
              <w:rPr>
                <w:rFonts w:ascii="Arial" w:hAnsi="Arial" w:cs="Arial"/>
                <w:sz w:val="22"/>
                <w:szCs w:val="22"/>
              </w:rPr>
              <w:t>37.</w:t>
            </w:r>
          </w:p>
        </w:tc>
        <w:tc>
          <w:tcPr>
            <w:tcW w:w="6491" w:type="dxa"/>
          </w:tcPr>
          <w:p w:rsidR="00D54F2A" w:rsidRPr="001A298C" w:rsidRDefault="00D54F2A" w:rsidP="00D54F2A">
            <w:pPr>
              <w:spacing w:before="120" w:after="120"/>
              <w:jc w:val="both"/>
              <w:rPr>
                <w:rFonts w:ascii="Arial" w:hAnsi="Arial" w:cs="Arial"/>
                <w:strike/>
                <w:sz w:val="22"/>
                <w:szCs w:val="22"/>
              </w:rPr>
            </w:pPr>
            <w:r w:rsidRPr="001A298C">
              <w:rPr>
                <w:rFonts w:ascii="Arial" w:hAnsi="Arial" w:cs="Arial"/>
                <w:strike/>
                <w:sz w:val="22"/>
                <w:szCs w:val="22"/>
              </w:rPr>
              <w:t>Si el Comité decide que un elemento no se inscriba en la Lista representativa del patrimonio cultural de la humanidad tendrán que transcurrir cuatro años para que pueda presentarse de nuevo al Comité la candidatura del mismo elemento en la Lista.</w:t>
            </w:r>
          </w:p>
          <w:p w:rsidR="00D54F2A" w:rsidRPr="006B774A" w:rsidRDefault="00D54F2A" w:rsidP="00417C23">
            <w:pPr>
              <w:spacing w:before="120" w:after="120"/>
              <w:jc w:val="both"/>
              <w:rPr>
                <w:rFonts w:ascii="Arial" w:hAnsi="Arial" w:cs="Arial"/>
                <w:b/>
                <w:sz w:val="22"/>
                <w:szCs w:val="22"/>
                <w:u w:val="single"/>
              </w:rPr>
            </w:pPr>
            <w:r w:rsidRPr="006B774A">
              <w:rPr>
                <w:rFonts w:ascii="Arial" w:hAnsi="Arial" w:cs="Arial"/>
                <w:b/>
                <w:sz w:val="22"/>
                <w:szCs w:val="22"/>
                <w:u w:val="single"/>
              </w:rPr>
              <w:t>Una decisión del Comité de remitir una candidatura, proposición o solicitud al</w:t>
            </w:r>
            <w:r w:rsidR="00C84753">
              <w:rPr>
                <w:rFonts w:ascii="Arial" w:hAnsi="Arial" w:cs="Arial"/>
                <w:b/>
                <w:sz w:val="22"/>
                <w:szCs w:val="22"/>
                <w:u w:val="single"/>
              </w:rPr>
              <w:t>(a los)</w:t>
            </w:r>
            <w:r w:rsidRPr="006B774A">
              <w:rPr>
                <w:rFonts w:ascii="Arial" w:hAnsi="Arial" w:cs="Arial"/>
                <w:b/>
                <w:sz w:val="22"/>
                <w:szCs w:val="22"/>
                <w:u w:val="single"/>
              </w:rPr>
              <w:t xml:space="preserve"> Estado</w:t>
            </w:r>
            <w:r w:rsidR="00C84753">
              <w:rPr>
                <w:rFonts w:ascii="Arial" w:hAnsi="Arial" w:cs="Arial"/>
                <w:b/>
                <w:sz w:val="22"/>
                <w:szCs w:val="22"/>
                <w:u w:val="single"/>
              </w:rPr>
              <w:t>(s)</w:t>
            </w:r>
            <w:r w:rsidRPr="006B774A">
              <w:rPr>
                <w:rFonts w:ascii="Arial" w:hAnsi="Arial" w:cs="Arial"/>
                <w:b/>
                <w:sz w:val="22"/>
                <w:szCs w:val="22"/>
                <w:u w:val="single"/>
              </w:rPr>
              <w:t xml:space="preserve"> solicitante</w:t>
            </w:r>
            <w:r w:rsidR="00C84753">
              <w:rPr>
                <w:rFonts w:ascii="Arial" w:hAnsi="Arial" w:cs="Arial"/>
                <w:b/>
                <w:sz w:val="22"/>
                <w:szCs w:val="22"/>
                <w:u w:val="single"/>
              </w:rPr>
              <w:t>(s)</w:t>
            </w:r>
            <w:r w:rsidRPr="006B774A">
              <w:rPr>
                <w:rFonts w:ascii="Arial" w:hAnsi="Arial" w:cs="Arial"/>
                <w:b/>
                <w:sz w:val="22"/>
                <w:szCs w:val="22"/>
                <w:u w:val="single"/>
              </w:rPr>
              <w:t xml:space="preserve"> para obtener información complementaria no implica </w:t>
            </w:r>
            <w:r w:rsidR="00D60965">
              <w:rPr>
                <w:rFonts w:ascii="Arial" w:hAnsi="Arial" w:cs="Arial"/>
                <w:b/>
                <w:sz w:val="22"/>
                <w:szCs w:val="22"/>
                <w:u w:val="single"/>
              </w:rPr>
              <w:t>ni garantiza</w:t>
            </w:r>
            <w:r w:rsidR="00D60965" w:rsidRPr="006B774A">
              <w:rPr>
                <w:rFonts w:ascii="Arial" w:hAnsi="Arial" w:cs="Arial"/>
                <w:b/>
                <w:sz w:val="22"/>
                <w:szCs w:val="22"/>
                <w:u w:val="single"/>
              </w:rPr>
              <w:t xml:space="preserve"> </w:t>
            </w:r>
            <w:r w:rsidRPr="006B774A">
              <w:rPr>
                <w:rFonts w:ascii="Arial" w:hAnsi="Arial" w:cs="Arial"/>
                <w:b/>
                <w:sz w:val="22"/>
                <w:szCs w:val="22"/>
                <w:u w:val="single"/>
              </w:rPr>
              <w:t xml:space="preserve">que el elemento será inscrito, o que la </w:t>
            </w:r>
            <w:r w:rsidR="00D60965">
              <w:rPr>
                <w:rFonts w:ascii="Arial" w:hAnsi="Arial" w:cs="Arial"/>
                <w:b/>
                <w:sz w:val="22"/>
                <w:szCs w:val="22"/>
                <w:u w:val="single"/>
              </w:rPr>
              <w:t>propuesta</w:t>
            </w:r>
            <w:r w:rsidR="00D60965" w:rsidRPr="006B774A">
              <w:rPr>
                <w:rFonts w:ascii="Arial" w:hAnsi="Arial" w:cs="Arial"/>
                <w:b/>
                <w:sz w:val="22"/>
                <w:szCs w:val="22"/>
                <w:u w:val="single"/>
              </w:rPr>
              <w:t xml:space="preserve"> </w:t>
            </w:r>
            <w:r w:rsidRPr="006B774A">
              <w:rPr>
                <w:rFonts w:ascii="Arial" w:hAnsi="Arial" w:cs="Arial"/>
                <w:b/>
                <w:sz w:val="22"/>
                <w:szCs w:val="22"/>
                <w:u w:val="single"/>
              </w:rPr>
              <w:t xml:space="preserve">será seleccionada, o que la solicitud será aprobada en el futuro. Toda presentación posterior debe demostrar </w:t>
            </w:r>
            <w:r w:rsidR="00D60965">
              <w:rPr>
                <w:rFonts w:ascii="Arial" w:hAnsi="Arial" w:cs="Arial"/>
                <w:b/>
                <w:sz w:val="22"/>
                <w:szCs w:val="22"/>
                <w:u w:val="single"/>
              </w:rPr>
              <w:t>plenamente</w:t>
            </w:r>
            <w:r w:rsidR="00D60965" w:rsidRPr="006B774A">
              <w:rPr>
                <w:rFonts w:ascii="Arial" w:hAnsi="Arial" w:cs="Arial"/>
                <w:b/>
                <w:sz w:val="22"/>
                <w:szCs w:val="22"/>
                <w:u w:val="single"/>
              </w:rPr>
              <w:t xml:space="preserve"> </w:t>
            </w:r>
            <w:r w:rsidRPr="006B774A">
              <w:rPr>
                <w:rFonts w:ascii="Arial" w:hAnsi="Arial" w:cs="Arial"/>
                <w:b/>
                <w:sz w:val="22"/>
                <w:szCs w:val="22"/>
                <w:u w:val="single"/>
              </w:rPr>
              <w:t>que los criterios de inscripción, selección y aprobación</w:t>
            </w:r>
            <w:r w:rsidR="00D60965">
              <w:rPr>
                <w:rFonts w:ascii="Arial" w:hAnsi="Arial" w:cs="Arial"/>
                <w:b/>
                <w:sz w:val="22"/>
                <w:szCs w:val="22"/>
                <w:u w:val="single"/>
              </w:rPr>
              <w:t xml:space="preserve"> han sido </w:t>
            </w:r>
            <w:proofErr w:type="gramStart"/>
            <w:r w:rsidR="00D60965">
              <w:rPr>
                <w:rFonts w:ascii="Arial" w:hAnsi="Arial" w:cs="Arial"/>
                <w:b/>
                <w:sz w:val="22"/>
                <w:szCs w:val="22"/>
                <w:u w:val="single"/>
              </w:rPr>
              <w:t>satisfechos</w:t>
            </w:r>
            <w:proofErr w:type="gramEnd"/>
            <w:r w:rsidRPr="006B774A">
              <w:rPr>
                <w:rFonts w:ascii="Arial" w:hAnsi="Arial" w:cs="Arial"/>
                <w:b/>
                <w:sz w:val="22"/>
                <w:szCs w:val="22"/>
                <w:u w:val="single"/>
              </w:rPr>
              <w:t>.</w:t>
            </w:r>
          </w:p>
        </w:tc>
      </w:tr>
    </w:tbl>
    <w:p w:rsidR="00D54F2A" w:rsidRPr="0092706B" w:rsidRDefault="00D54F2A" w:rsidP="00D54F2A">
      <w:pPr>
        <w:pStyle w:val="GAParaResolution"/>
        <w:pageBreakBefore/>
        <w:numPr>
          <w:ilvl w:val="0"/>
          <w:numId w:val="15"/>
        </w:numPr>
        <w:spacing w:before="240"/>
        <w:rPr>
          <w:rFonts w:eastAsia="Times New Roman"/>
          <w:b/>
          <w:u w:val="none"/>
        </w:rPr>
      </w:pPr>
      <w:r w:rsidRPr="0092706B">
        <w:rPr>
          <w:b/>
          <w:u w:val="none"/>
        </w:rPr>
        <w:lastRenderedPageBreak/>
        <w:t>Calendario de acreditación de organizaciones no gubernamentales</w:t>
      </w:r>
    </w:p>
    <w:tbl>
      <w:tblPr>
        <w:tblStyle w:val="TableGrid"/>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6486"/>
        <w:gridCol w:w="794"/>
        <w:gridCol w:w="6486"/>
      </w:tblGrid>
      <w:tr w:rsidR="00D54F2A" w:rsidRPr="00220C1E" w:rsidTr="001C4C46">
        <w:tc>
          <w:tcPr>
            <w:tcW w:w="794" w:type="dxa"/>
            <w:vAlign w:val="center"/>
          </w:tcPr>
          <w:p w:rsidR="00D54F2A" w:rsidRPr="005557B3" w:rsidRDefault="00D54F2A" w:rsidP="00D54F2A">
            <w:pPr>
              <w:pStyle w:val="COMParaDecision"/>
              <w:spacing w:before="120"/>
              <w:ind w:left="0" w:firstLine="0"/>
              <w:jc w:val="right"/>
              <w:rPr>
                <w:b/>
                <w:bCs/>
              </w:rPr>
            </w:pPr>
          </w:p>
        </w:tc>
        <w:tc>
          <w:tcPr>
            <w:tcW w:w="6486" w:type="dxa"/>
            <w:vAlign w:val="center"/>
          </w:tcPr>
          <w:p w:rsidR="00D54F2A" w:rsidRPr="005557B3" w:rsidRDefault="00D54F2A" w:rsidP="00D54F2A">
            <w:pPr>
              <w:pStyle w:val="COMParaDecision"/>
              <w:spacing w:before="120"/>
              <w:ind w:left="0" w:firstLine="0"/>
              <w:jc w:val="left"/>
              <w:rPr>
                <w:b/>
                <w:u w:val="none"/>
              </w:rPr>
            </w:pPr>
            <w:r w:rsidRPr="005557B3">
              <w:rPr>
                <w:b/>
              </w:rPr>
              <w:t>Texto actual de las directrices operativas</w:t>
            </w:r>
          </w:p>
        </w:tc>
        <w:tc>
          <w:tcPr>
            <w:tcW w:w="794" w:type="dxa"/>
          </w:tcPr>
          <w:p w:rsidR="00D54F2A" w:rsidRPr="001A298C" w:rsidRDefault="00D54F2A" w:rsidP="00D54F2A">
            <w:pPr>
              <w:pStyle w:val="COMParaDecision"/>
              <w:spacing w:before="120"/>
              <w:ind w:left="0" w:firstLine="0"/>
              <w:jc w:val="left"/>
              <w:rPr>
                <w:b/>
                <w:bCs/>
              </w:rPr>
            </w:pPr>
          </w:p>
        </w:tc>
        <w:tc>
          <w:tcPr>
            <w:tcW w:w="6486" w:type="dxa"/>
            <w:vAlign w:val="center"/>
          </w:tcPr>
          <w:p w:rsidR="00D54F2A" w:rsidRPr="001A298C" w:rsidRDefault="00D54F2A" w:rsidP="00D54F2A">
            <w:pPr>
              <w:pStyle w:val="COMParaDecision"/>
              <w:spacing w:before="120"/>
              <w:ind w:left="0" w:firstLine="0"/>
              <w:jc w:val="left"/>
              <w:rPr>
                <w:b/>
                <w:u w:val="none"/>
              </w:rPr>
            </w:pPr>
            <w:r w:rsidRPr="001A298C">
              <w:rPr>
                <w:b/>
              </w:rPr>
              <w:t>Enmiendas propuestas</w:t>
            </w:r>
          </w:p>
        </w:tc>
      </w:tr>
      <w:tr w:rsidR="00D54F2A" w:rsidRPr="00220C1E" w:rsidTr="001C4C46">
        <w:tc>
          <w:tcPr>
            <w:tcW w:w="794" w:type="dxa"/>
          </w:tcPr>
          <w:p w:rsidR="00D54F2A" w:rsidRPr="0092706B" w:rsidRDefault="00D54F2A" w:rsidP="00D54F2A">
            <w:pPr>
              <w:pStyle w:val="COMParaDecision"/>
              <w:spacing w:before="120"/>
              <w:ind w:left="0" w:firstLine="0"/>
              <w:jc w:val="right"/>
              <w:rPr>
                <w:b/>
                <w:u w:val="none"/>
              </w:rPr>
            </w:pPr>
            <w:r w:rsidRPr="0092706B">
              <w:rPr>
                <w:b/>
                <w:u w:val="none"/>
              </w:rPr>
              <w:t>III</w:t>
            </w:r>
          </w:p>
        </w:tc>
        <w:tc>
          <w:tcPr>
            <w:tcW w:w="6486" w:type="dxa"/>
            <w:vAlign w:val="center"/>
          </w:tcPr>
          <w:p w:rsidR="00D54F2A" w:rsidRPr="001C4C46" w:rsidRDefault="00D54F2A" w:rsidP="00417C23">
            <w:pPr>
              <w:pStyle w:val="COMParaDecision"/>
              <w:spacing w:before="120"/>
              <w:ind w:left="0" w:firstLine="0"/>
              <w:jc w:val="left"/>
              <w:rPr>
                <w:b/>
                <w:u w:val="none"/>
              </w:rPr>
            </w:pPr>
            <w:r w:rsidRPr="001C4C46">
              <w:rPr>
                <w:b/>
                <w:u w:val="none"/>
              </w:rPr>
              <w:t xml:space="preserve">Participación en la </w:t>
            </w:r>
            <w:r w:rsidR="00417C23">
              <w:rPr>
                <w:b/>
                <w:u w:val="none"/>
              </w:rPr>
              <w:t>aplicación</w:t>
            </w:r>
            <w:r w:rsidR="00417C23" w:rsidRPr="001C4C46">
              <w:rPr>
                <w:b/>
                <w:u w:val="none"/>
              </w:rPr>
              <w:t xml:space="preserve"> </w:t>
            </w:r>
            <w:r w:rsidRPr="001C4C46">
              <w:rPr>
                <w:b/>
                <w:u w:val="none"/>
              </w:rPr>
              <w:t>de la Convención</w:t>
            </w:r>
          </w:p>
        </w:tc>
        <w:tc>
          <w:tcPr>
            <w:tcW w:w="794" w:type="dxa"/>
            <w:vAlign w:val="center"/>
          </w:tcPr>
          <w:p w:rsidR="00D54F2A" w:rsidRPr="0092706B" w:rsidRDefault="00D54F2A" w:rsidP="00D54F2A">
            <w:pPr>
              <w:pStyle w:val="COMParaDecision"/>
              <w:spacing w:before="120"/>
              <w:ind w:left="0" w:firstLine="0"/>
              <w:jc w:val="right"/>
              <w:rPr>
                <w:b/>
                <w:u w:val="none"/>
              </w:rPr>
            </w:pPr>
            <w:r w:rsidRPr="0092706B">
              <w:rPr>
                <w:b/>
                <w:u w:val="none"/>
              </w:rPr>
              <w:t>III</w:t>
            </w:r>
          </w:p>
        </w:tc>
        <w:tc>
          <w:tcPr>
            <w:tcW w:w="6486" w:type="dxa"/>
            <w:vAlign w:val="center"/>
          </w:tcPr>
          <w:p w:rsidR="00D54F2A" w:rsidRPr="005557B3" w:rsidRDefault="00D54F2A" w:rsidP="00D54F2A">
            <w:pPr>
              <w:pStyle w:val="COMParaDecision"/>
              <w:spacing w:before="120"/>
              <w:ind w:left="0" w:firstLine="0"/>
              <w:jc w:val="left"/>
              <w:rPr>
                <w:u w:val="none"/>
              </w:rPr>
            </w:pPr>
            <w:r w:rsidRPr="005557B3">
              <w:t>[sin cambios]</w:t>
            </w:r>
          </w:p>
        </w:tc>
      </w:tr>
      <w:tr w:rsidR="00D54F2A" w:rsidRPr="00220C1E" w:rsidTr="001C4C46">
        <w:tc>
          <w:tcPr>
            <w:tcW w:w="794" w:type="dxa"/>
          </w:tcPr>
          <w:p w:rsidR="00D54F2A" w:rsidRPr="0092706B" w:rsidRDefault="00D54F2A" w:rsidP="00D54F2A">
            <w:pPr>
              <w:pStyle w:val="COMParaDecision"/>
              <w:spacing w:before="120"/>
              <w:ind w:left="0" w:firstLine="0"/>
              <w:jc w:val="right"/>
              <w:rPr>
                <w:b/>
                <w:u w:val="none"/>
              </w:rPr>
            </w:pPr>
            <w:r w:rsidRPr="0092706B">
              <w:rPr>
                <w:b/>
                <w:u w:val="none"/>
              </w:rPr>
              <w:t>III.2</w:t>
            </w:r>
          </w:p>
        </w:tc>
        <w:tc>
          <w:tcPr>
            <w:tcW w:w="6486" w:type="dxa"/>
            <w:vAlign w:val="center"/>
          </w:tcPr>
          <w:p w:rsidR="00D54F2A" w:rsidRPr="005557B3" w:rsidRDefault="00D54F2A" w:rsidP="00D54F2A">
            <w:pPr>
              <w:pStyle w:val="COMParaDecision"/>
              <w:spacing w:before="120"/>
              <w:ind w:left="0" w:firstLine="0"/>
              <w:jc w:val="left"/>
              <w:rPr>
                <w:b/>
                <w:u w:val="none"/>
              </w:rPr>
            </w:pPr>
            <w:r w:rsidRPr="005557B3">
              <w:rPr>
                <w:b/>
                <w:u w:val="none"/>
              </w:rPr>
              <w:t>Organizaciones no gubernamentales y la Convención</w:t>
            </w:r>
          </w:p>
        </w:tc>
        <w:tc>
          <w:tcPr>
            <w:tcW w:w="794" w:type="dxa"/>
          </w:tcPr>
          <w:p w:rsidR="00D54F2A" w:rsidRPr="005557B3" w:rsidRDefault="00D54F2A" w:rsidP="00D54F2A">
            <w:pPr>
              <w:pStyle w:val="COMParaDecision"/>
              <w:spacing w:before="120"/>
              <w:ind w:left="0" w:firstLine="0"/>
              <w:jc w:val="right"/>
              <w:rPr>
                <w:b/>
                <w:u w:val="none"/>
              </w:rPr>
            </w:pPr>
            <w:r w:rsidRPr="005557B3">
              <w:rPr>
                <w:b/>
                <w:u w:val="none"/>
              </w:rPr>
              <w:t>III.2</w:t>
            </w:r>
          </w:p>
        </w:tc>
        <w:tc>
          <w:tcPr>
            <w:tcW w:w="6486" w:type="dxa"/>
            <w:vAlign w:val="center"/>
          </w:tcPr>
          <w:p w:rsidR="00D54F2A" w:rsidRPr="001A298C" w:rsidRDefault="00D54F2A" w:rsidP="00D54F2A">
            <w:pPr>
              <w:pStyle w:val="COMParaDecision"/>
              <w:spacing w:before="120"/>
              <w:ind w:left="0" w:firstLine="0"/>
              <w:jc w:val="left"/>
              <w:rPr>
                <w:u w:val="none"/>
              </w:rPr>
            </w:pPr>
            <w:r w:rsidRPr="005557B3">
              <w:t>[sin cambios]</w:t>
            </w:r>
          </w:p>
        </w:tc>
      </w:tr>
      <w:tr w:rsidR="00D54F2A" w:rsidRPr="00220C1E" w:rsidTr="001C4C46">
        <w:tc>
          <w:tcPr>
            <w:tcW w:w="794" w:type="dxa"/>
          </w:tcPr>
          <w:p w:rsidR="00D54F2A" w:rsidRPr="0092706B" w:rsidRDefault="00D54F2A" w:rsidP="00D54F2A">
            <w:pPr>
              <w:pStyle w:val="COMParaDecision"/>
              <w:spacing w:before="120"/>
              <w:ind w:left="0" w:firstLine="0"/>
              <w:jc w:val="right"/>
              <w:rPr>
                <w:u w:val="none"/>
              </w:rPr>
            </w:pPr>
            <w:r w:rsidRPr="0092706B">
              <w:rPr>
                <w:u w:val="none"/>
              </w:rPr>
              <w:t>III.2.2</w:t>
            </w:r>
          </w:p>
        </w:tc>
        <w:tc>
          <w:tcPr>
            <w:tcW w:w="6486" w:type="dxa"/>
            <w:vAlign w:val="center"/>
          </w:tcPr>
          <w:p w:rsidR="00D54F2A" w:rsidRPr="005557B3" w:rsidRDefault="00D54F2A" w:rsidP="00D54F2A">
            <w:pPr>
              <w:pStyle w:val="COMParaDecision"/>
              <w:spacing w:before="120"/>
              <w:ind w:left="0" w:firstLine="0"/>
              <w:jc w:val="left"/>
              <w:rPr>
                <w:u w:val="none"/>
              </w:rPr>
            </w:pPr>
            <w:r w:rsidRPr="005557B3">
              <w:rPr>
                <w:u w:val="none"/>
              </w:rPr>
              <w:t>Participación de organizaciones no gubernamentales acreditadas</w:t>
            </w:r>
          </w:p>
        </w:tc>
        <w:tc>
          <w:tcPr>
            <w:tcW w:w="794" w:type="dxa"/>
          </w:tcPr>
          <w:p w:rsidR="00D54F2A" w:rsidRPr="005557B3" w:rsidRDefault="00D54F2A" w:rsidP="00D54F2A">
            <w:pPr>
              <w:pStyle w:val="COMParaDecision"/>
              <w:spacing w:before="120"/>
              <w:ind w:left="0" w:firstLine="0"/>
              <w:jc w:val="right"/>
              <w:rPr>
                <w:u w:val="none"/>
              </w:rPr>
            </w:pPr>
            <w:r w:rsidRPr="005557B3">
              <w:rPr>
                <w:u w:val="none"/>
              </w:rPr>
              <w:t>III.2.2</w:t>
            </w:r>
          </w:p>
        </w:tc>
        <w:tc>
          <w:tcPr>
            <w:tcW w:w="6486" w:type="dxa"/>
            <w:vAlign w:val="center"/>
          </w:tcPr>
          <w:p w:rsidR="00D54F2A" w:rsidRPr="001A298C" w:rsidRDefault="00D54F2A" w:rsidP="00D54F2A">
            <w:pPr>
              <w:pStyle w:val="COMParaDecision"/>
              <w:spacing w:before="120"/>
              <w:ind w:left="0" w:firstLine="0"/>
              <w:jc w:val="left"/>
              <w:rPr>
                <w:u w:val="none"/>
              </w:rPr>
            </w:pPr>
            <w:r w:rsidRPr="001A298C">
              <w:t>[sin cambios]</w:t>
            </w:r>
          </w:p>
        </w:tc>
      </w:tr>
      <w:tr w:rsidR="00D54F2A" w:rsidRPr="00220C1E" w:rsidTr="001C4C46">
        <w:tc>
          <w:tcPr>
            <w:tcW w:w="794" w:type="dxa"/>
          </w:tcPr>
          <w:p w:rsidR="00D54F2A" w:rsidRPr="0092706B" w:rsidRDefault="00D54F2A" w:rsidP="00D54F2A">
            <w:pPr>
              <w:pStyle w:val="COMParaDecision"/>
              <w:spacing w:before="120"/>
              <w:ind w:left="0" w:firstLine="0"/>
              <w:jc w:val="right"/>
              <w:rPr>
                <w:u w:val="none"/>
              </w:rPr>
            </w:pPr>
            <w:r w:rsidRPr="0092706B">
              <w:rPr>
                <w:u w:val="none"/>
              </w:rPr>
              <w:t>98.</w:t>
            </w:r>
          </w:p>
        </w:tc>
        <w:tc>
          <w:tcPr>
            <w:tcW w:w="6486" w:type="dxa"/>
          </w:tcPr>
          <w:p w:rsidR="00D54F2A" w:rsidRPr="001C4C46" w:rsidRDefault="00D54F2A" w:rsidP="00417C23">
            <w:pPr>
              <w:pStyle w:val="COMParaDecision"/>
              <w:spacing w:before="120"/>
              <w:ind w:left="0" w:firstLine="0"/>
              <w:jc w:val="left"/>
              <w:rPr>
                <w:u w:val="none"/>
              </w:rPr>
            </w:pPr>
            <w:bookmarkStart w:id="1" w:name="OLE_LINK1"/>
            <w:bookmarkStart w:id="2" w:name="OLE_LINK2"/>
            <w:r w:rsidRPr="001C4C46">
              <w:rPr>
                <w:u w:val="none"/>
              </w:rPr>
              <w:t xml:space="preserve">Las solicitudes de acreditación deberán enviarse a la Secretaría utilizando el formulario ICH-09 (disponible en la dirección </w:t>
            </w:r>
            <w:hyperlink r:id="rId60" w:history="1">
              <w:r w:rsidR="00417C23" w:rsidRPr="001C4C46">
                <w:rPr>
                  <w:rStyle w:val="Hyperlink"/>
                </w:rPr>
                <w:t>www.unesco.org/culture/ich</w:t>
              </w:r>
            </w:hyperlink>
            <w:r w:rsidR="00417C23">
              <w:rPr>
                <w:b/>
                <w:u w:val="none"/>
              </w:rPr>
              <w:t xml:space="preserve"> </w:t>
            </w:r>
            <w:r w:rsidRPr="001C4C46">
              <w:rPr>
                <w:u w:val="none"/>
              </w:rPr>
              <w:t xml:space="preserve">o sobre pedido a la Secretaría) que deben contener única y exclusivamente la información requerida. Las solicitudes deben llegar a la Secretaría, </w:t>
            </w:r>
            <w:proofErr w:type="gramStart"/>
            <w:r w:rsidRPr="001C4C46">
              <w:rPr>
                <w:u w:val="none"/>
              </w:rPr>
              <w:t>al</w:t>
            </w:r>
            <w:proofErr w:type="gramEnd"/>
            <w:r w:rsidRPr="001C4C46">
              <w:rPr>
                <w:u w:val="none"/>
              </w:rPr>
              <w:t xml:space="preserve"> menos cuatro meses antes de la reunión ordinaria del Comité.</w:t>
            </w:r>
            <w:bookmarkEnd w:id="1"/>
            <w:bookmarkEnd w:id="2"/>
          </w:p>
        </w:tc>
        <w:tc>
          <w:tcPr>
            <w:tcW w:w="794" w:type="dxa"/>
          </w:tcPr>
          <w:p w:rsidR="00D54F2A" w:rsidRPr="0092706B" w:rsidRDefault="00D54F2A" w:rsidP="00D54F2A">
            <w:pPr>
              <w:pStyle w:val="COMParaDecision"/>
              <w:spacing w:before="120"/>
              <w:ind w:left="0" w:firstLine="0"/>
              <w:jc w:val="right"/>
              <w:rPr>
                <w:u w:val="none"/>
              </w:rPr>
            </w:pPr>
            <w:r w:rsidRPr="0092706B">
              <w:rPr>
                <w:u w:val="none"/>
              </w:rPr>
              <w:t>98.</w:t>
            </w:r>
          </w:p>
        </w:tc>
        <w:tc>
          <w:tcPr>
            <w:tcW w:w="6486" w:type="dxa"/>
            <w:vAlign w:val="center"/>
          </w:tcPr>
          <w:p w:rsidR="00D54F2A" w:rsidRPr="001C4C46" w:rsidRDefault="00D54F2A" w:rsidP="00D54F2A">
            <w:pPr>
              <w:pStyle w:val="COMParaDecision"/>
              <w:spacing w:before="120"/>
              <w:ind w:left="0" w:firstLine="0"/>
              <w:jc w:val="left"/>
              <w:rPr>
                <w:b/>
                <w:u w:val="none"/>
              </w:rPr>
            </w:pPr>
            <w:r w:rsidRPr="001C4C46">
              <w:t xml:space="preserve">Las solicitudes de acreditación deberán </w:t>
            </w:r>
            <w:r w:rsidRPr="001C4C46">
              <w:rPr>
                <w:strike/>
              </w:rPr>
              <w:t>enviarse a la Secretaría</w:t>
            </w:r>
            <w:r w:rsidRPr="001C4C46">
              <w:t xml:space="preserve"> </w:t>
            </w:r>
            <w:r w:rsidR="00417C23" w:rsidRPr="001C4C46">
              <w:rPr>
                <w:b/>
              </w:rPr>
              <w:t>prepararse</w:t>
            </w:r>
            <w:r w:rsidR="00417C23">
              <w:rPr>
                <w:u w:val="none"/>
              </w:rPr>
              <w:t xml:space="preserve"> </w:t>
            </w:r>
            <w:r w:rsidRPr="001C4C46">
              <w:t xml:space="preserve">utilizando el formulario ICH-09 (disponible en la dirección </w:t>
            </w:r>
            <w:hyperlink r:id="rId61" w:history="1">
              <w:r w:rsidR="00417C23" w:rsidRPr="001C4C46">
                <w:rPr>
                  <w:rStyle w:val="Hyperlink"/>
                </w:rPr>
                <w:t>www.unesco.org/culture/ich</w:t>
              </w:r>
            </w:hyperlink>
            <w:r w:rsidR="00417C23">
              <w:rPr>
                <w:b/>
                <w:u w:val="none"/>
              </w:rPr>
              <w:t xml:space="preserve"> </w:t>
            </w:r>
            <w:r w:rsidRPr="001C4C46">
              <w:t xml:space="preserve">o </w:t>
            </w:r>
            <w:r w:rsidRPr="001C4C46">
              <w:rPr>
                <w:strike/>
              </w:rPr>
              <w:t>sobre pedido</w:t>
            </w:r>
            <w:r w:rsidRPr="001C4C46">
              <w:t xml:space="preserve"> </w:t>
            </w:r>
            <w:r w:rsidR="00417C23" w:rsidRPr="001C4C46">
              <w:rPr>
                <w:b/>
              </w:rPr>
              <w:t>previa solicitud</w:t>
            </w:r>
            <w:r w:rsidR="00417C23">
              <w:rPr>
                <w:u w:val="none"/>
              </w:rPr>
              <w:t xml:space="preserve"> </w:t>
            </w:r>
            <w:r w:rsidRPr="001C4C46">
              <w:t xml:space="preserve">a la Secretaría) </w:t>
            </w:r>
            <w:r w:rsidRPr="001C4C46">
              <w:rPr>
                <w:strike/>
              </w:rPr>
              <w:t>que deben</w:t>
            </w:r>
            <w:r w:rsidRPr="001C4C46">
              <w:t xml:space="preserve"> </w:t>
            </w:r>
            <w:r w:rsidR="00417C23" w:rsidRPr="001C4C46">
              <w:rPr>
                <w:b/>
              </w:rPr>
              <w:t>y deberán</w:t>
            </w:r>
            <w:r w:rsidR="00417C23">
              <w:rPr>
                <w:u w:val="none"/>
              </w:rPr>
              <w:t xml:space="preserve"> </w:t>
            </w:r>
            <w:r w:rsidRPr="001C4C46">
              <w:t xml:space="preserve">contener única y exclusivamente la información requerida. </w:t>
            </w:r>
            <w:r w:rsidRPr="001C4C46">
              <w:rPr>
                <w:u w:val="none"/>
              </w:rPr>
              <w:t>Las solicitudes deben llegar a la Secretaría</w:t>
            </w:r>
            <w:r w:rsidRPr="001C4C46">
              <w:rPr>
                <w:strike/>
              </w:rPr>
              <w:t xml:space="preserve">, </w:t>
            </w:r>
            <w:proofErr w:type="gramStart"/>
            <w:r w:rsidRPr="001C4C46">
              <w:rPr>
                <w:strike/>
              </w:rPr>
              <w:t>al</w:t>
            </w:r>
            <w:proofErr w:type="gramEnd"/>
            <w:r w:rsidRPr="001C4C46">
              <w:rPr>
                <w:strike/>
              </w:rPr>
              <w:t xml:space="preserve"> menos cuatro meses antes de la reunión ordinaria del Comité</w:t>
            </w:r>
            <w:r w:rsidRPr="001C4C46">
              <w:t xml:space="preserve"> </w:t>
            </w:r>
            <w:r w:rsidRPr="001C4C46">
              <w:rPr>
                <w:b/>
              </w:rPr>
              <w:t xml:space="preserve">antes del 30 de </w:t>
            </w:r>
            <w:r w:rsidR="00417C23">
              <w:rPr>
                <w:b/>
              </w:rPr>
              <w:t>a</w:t>
            </w:r>
            <w:r w:rsidR="00417C23" w:rsidRPr="001C4C46">
              <w:rPr>
                <w:b/>
              </w:rPr>
              <w:t xml:space="preserve">bril </w:t>
            </w:r>
            <w:r w:rsidRPr="001C4C46">
              <w:rPr>
                <w:b/>
              </w:rPr>
              <w:t xml:space="preserve">de los años impares para su </w:t>
            </w:r>
            <w:r w:rsidR="00417C23">
              <w:rPr>
                <w:b/>
              </w:rPr>
              <w:t>examen</w:t>
            </w:r>
            <w:r w:rsidR="00417C23" w:rsidRPr="001C4C46">
              <w:rPr>
                <w:b/>
              </w:rPr>
              <w:t xml:space="preserve"> </w:t>
            </w:r>
            <w:r w:rsidRPr="001C4C46">
              <w:rPr>
                <w:b/>
              </w:rPr>
              <w:t>por el Comité en su reunión ordinaria ese mismo año.</w:t>
            </w:r>
          </w:p>
        </w:tc>
      </w:tr>
    </w:tbl>
    <w:p w:rsidR="002F312A" w:rsidRPr="001C4C46" w:rsidRDefault="002F312A" w:rsidP="001C4C46">
      <w:pPr>
        <w:spacing w:after="720"/>
        <w:rPr>
          <w:rFonts w:ascii="Arial" w:hAnsi="Arial" w:cs="Arial"/>
          <w:sz w:val="22"/>
          <w:szCs w:val="22"/>
        </w:rPr>
      </w:pPr>
    </w:p>
    <w:sectPr w:rsidR="002F312A" w:rsidRPr="001C4C46" w:rsidSect="002F312A">
      <w:pgSz w:w="16838" w:h="11906" w:orient="landscape" w:code="9"/>
      <w:pgMar w:top="1134" w:right="1134" w:bottom="1134" w:left="1418"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879" w:rsidRDefault="00136879" w:rsidP="00655736">
      <w:r>
        <w:separator/>
      </w:r>
    </w:p>
  </w:endnote>
  <w:endnote w:type="continuationSeparator" w:id="0">
    <w:p w:rsidR="00136879" w:rsidRDefault="00136879" w:rsidP="00655736">
      <w:r>
        <w:continuationSeparator/>
      </w:r>
    </w:p>
  </w:endnote>
  <w:endnote w:type="continuationNotice" w:id="1">
    <w:p w:rsidR="00136879" w:rsidRDefault="00136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79" w:rsidRDefault="001368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79" w:rsidRDefault="001368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79" w:rsidRDefault="00136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879" w:rsidRDefault="00136879" w:rsidP="00655736">
      <w:r>
        <w:separator/>
      </w:r>
    </w:p>
  </w:footnote>
  <w:footnote w:type="continuationSeparator" w:id="0">
    <w:p w:rsidR="00136879" w:rsidRDefault="00136879" w:rsidP="00655736">
      <w:r>
        <w:continuationSeparator/>
      </w:r>
    </w:p>
  </w:footnote>
  <w:footnote w:type="continuationNotice" w:id="1">
    <w:p w:rsidR="00136879" w:rsidRDefault="00136879"/>
  </w:footnote>
  <w:footnote w:id="2">
    <w:p w:rsidR="00136879" w:rsidRPr="005E5A2A" w:rsidRDefault="00136879" w:rsidP="00FA35D0">
      <w:pPr>
        <w:pStyle w:val="FootnoteText"/>
        <w:ind w:left="567" w:hanging="567"/>
        <w:jc w:val="both"/>
        <w:rPr>
          <w:rFonts w:ascii="Arial" w:hAnsi="Arial" w:cs="Arial"/>
        </w:rPr>
      </w:pPr>
      <w:r>
        <w:rPr>
          <w:rStyle w:val="FootnoteReference"/>
          <w:rFonts w:ascii="Arial" w:hAnsi="Arial"/>
          <w:vertAlign w:val="baseline"/>
        </w:rPr>
        <w:footnoteRef/>
      </w:r>
      <w:r>
        <w:rPr>
          <w:rFonts w:ascii="Arial" w:hAnsi="Arial"/>
        </w:rPr>
        <w:t>.</w:t>
      </w:r>
      <w:r>
        <w:tab/>
      </w:r>
      <w:r>
        <w:rPr>
          <w:rFonts w:ascii="Arial" w:hAnsi="Arial"/>
        </w:rPr>
        <w:t xml:space="preserve">En su última reunión, el Comité delegó su autoridad a la Mesa para que tomara la decisión más adecuada relativa a una solicitud revisada de asistencia internacional recibida por Kenia para salvaguardar </w:t>
      </w:r>
      <w:proofErr w:type="spellStart"/>
      <w:r>
        <w:rPr>
          <w:rFonts w:ascii="Arial" w:hAnsi="Arial"/>
        </w:rPr>
        <w:t>Enkipaata</w:t>
      </w:r>
      <w:proofErr w:type="spellEnd"/>
      <w:r>
        <w:rPr>
          <w:rFonts w:ascii="Arial" w:hAnsi="Arial"/>
        </w:rPr>
        <w:t xml:space="preserve">, </w:t>
      </w:r>
      <w:proofErr w:type="spellStart"/>
      <w:r>
        <w:rPr>
          <w:rFonts w:ascii="Arial" w:hAnsi="Arial"/>
        </w:rPr>
        <w:t>Eunoto</w:t>
      </w:r>
      <w:proofErr w:type="spellEnd"/>
      <w:r>
        <w:rPr>
          <w:rFonts w:ascii="Arial" w:hAnsi="Arial"/>
        </w:rPr>
        <w:t xml:space="preserve"> y </w:t>
      </w:r>
      <w:proofErr w:type="spellStart"/>
      <w:r>
        <w:rPr>
          <w:rFonts w:ascii="Arial" w:hAnsi="Arial"/>
        </w:rPr>
        <w:t>Olng’esherr</w:t>
      </w:r>
      <w:proofErr w:type="spellEnd"/>
      <w:r>
        <w:rPr>
          <w:rFonts w:ascii="Arial" w:hAnsi="Arial"/>
        </w:rPr>
        <w:t xml:space="preserve">, tres ritos masculinos de paso de las comunidad </w:t>
      </w:r>
      <w:proofErr w:type="spellStart"/>
      <w:r>
        <w:rPr>
          <w:rFonts w:ascii="Arial" w:hAnsi="Arial"/>
        </w:rPr>
        <w:t>Massái</w:t>
      </w:r>
      <w:proofErr w:type="spellEnd"/>
      <w:r>
        <w:rPr>
          <w:rFonts w:ascii="Arial" w:hAnsi="Arial"/>
        </w:rPr>
        <w:t xml:space="preserve"> (Decisión 10.COM 10.c.2). En el momento de la redacción del presente documento, la solicitud revisada no había sido remitida por el Estado Parte, por lo tanto, la Mesa ha ejercido cuatro veces dicha delegación de autoridad hasta el momento.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79" w:rsidRPr="00C23A97" w:rsidRDefault="00136879">
    <w:pPr>
      <w:pStyle w:val="Header"/>
      <w:rPr>
        <w:rFonts w:ascii="Arial" w:hAnsi="Arial" w:cs="Arial"/>
      </w:rPr>
    </w:pPr>
    <w:r>
      <w:rPr>
        <w:rFonts w:ascii="Arial" w:hAnsi="Arial"/>
        <w:sz w:val="20"/>
      </w:rPr>
      <w:t xml:space="preserve">ITH/16/6.GA/7 – página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6711BF">
      <w:rPr>
        <w:rStyle w:val="PageNumber"/>
        <w:rFonts w:ascii="Arial" w:hAnsi="Arial" w:cs="Arial"/>
        <w:noProof/>
        <w:sz w:val="20"/>
        <w:szCs w:val="20"/>
      </w:rPr>
      <w:t>8</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79" w:rsidRPr="0063300C" w:rsidRDefault="00136879" w:rsidP="0063300C">
    <w:pPr>
      <w:pStyle w:val="Header"/>
      <w:jc w:val="right"/>
      <w:rPr>
        <w:rFonts w:ascii="Arial" w:hAnsi="Arial" w:cs="Arial"/>
      </w:rPr>
    </w:pPr>
    <w:r>
      <w:rPr>
        <w:rFonts w:ascii="Arial" w:hAnsi="Arial"/>
        <w:sz w:val="20"/>
      </w:rPr>
      <w:t xml:space="preserve">ITH/14/6.GA/7 –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6711BF">
      <w:rPr>
        <w:rStyle w:val="PageNumber"/>
        <w:rFonts w:ascii="Arial" w:hAnsi="Arial" w:cs="Arial"/>
        <w:noProof/>
        <w:sz w:val="20"/>
        <w:szCs w:val="20"/>
      </w:rPr>
      <w:t>7</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79" w:rsidRPr="008724E5" w:rsidRDefault="00136879" w:rsidP="00587048">
    <w:pPr>
      <w:pStyle w:val="Header"/>
    </w:pPr>
    <w:r>
      <w:rPr>
        <w:noProof/>
        <w:lang w:val="fr-FR" w:eastAsia="fr-FR" w:bidi="ar-SA"/>
      </w:rPr>
      <w:drawing>
        <wp:anchor distT="0" distB="0" distL="114300" distR="114300" simplePos="0" relativeHeight="251659264" behindDoc="1" locked="0" layoutInCell="1" allowOverlap="1">
          <wp:simplePos x="0" y="0"/>
          <wp:positionH relativeFrom="column">
            <wp:posOffset>-300990</wp:posOffset>
          </wp:positionH>
          <wp:positionV relativeFrom="paragraph">
            <wp:posOffset>14605</wp:posOffset>
          </wp:positionV>
          <wp:extent cx="2133600" cy="1438275"/>
          <wp:effectExtent l="19050" t="0" r="0" b="0"/>
          <wp:wrapNone/>
          <wp:docPr id="6"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33600" cy="1438275"/>
                  </a:xfrm>
                  <a:prstGeom prst="rect">
                    <a:avLst/>
                  </a:prstGeom>
                  <a:noFill/>
                  <a:ln w="9525">
                    <a:noFill/>
                    <a:miter lim="800000"/>
                    <a:headEnd/>
                    <a:tailEnd/>
                  </a:ln>
                </pic:spPr>
              </pic:pic>
            </a:graphicData>
          </a:graphic>
        </wp:anchor>
      </w:drawing>
    </w:r>
  </w:p>
  <w:p w:rsidR="00136879" w:rsidRPr="00600B1B" w:rsidRDefault="00136879" w:rsidP="00587048">
    <w:pPr>
      <w:pStyle w:val="Header"/>
      <w:spacing w:after="520"/>
      <w:jc w:val="right"/>
      <w:rPr>
        <w:rFonts w:ascii="Arial" w:hAnsi="Arial"/>
        <w:b/>
        <w:sz w:val="44"/>
      </w:rPr>
    </w:pPr>
    <w:r>
      <w:rPr>
        <w:rFonts w:ascii="Arial" w:hAnsi="Arial"/>
        <w:b/>
        <w:sz w:val="44"/>
      </w:rPr>
      <w:tab/>
    </w:r>
    <w:r>
      <w:rPr>
        <w:rFonts w:ascii="Arial" w:hAnsi="Arial"/>
        <w:b/>
        <w:sz w:val="44"/>
      </w:rPr>
      <w:tab/>
      <w:t>6 GA</w:t>
    </w:r>
  </w:p>
  <w:p w:rsidR="00136879" w:rsidRPr="00600B1B" w:rsidRDefault="00136879" w:rsidP="00655736">
    <w:pPr>
      <w:jc w:val="right"/>
      <w:rPr>
        <w:rFonts w:ascii="Arial" w:hAnsi="Arial"/>
        <w:b/>
        <w:sz w:val="22"/>
      </w:rPr>
    </w:pPr>
    <w:r>
      <w:rPr>
        <w:rFonts w:ascii="Arial" w:hAnsi="Arial"/>
        <w:b/>
        <w:sz w:val="22"/>
      </w:rPr>
      <w:t>ITH/16/6.GA/7</w:t>
    </w:r>
  </w:p>
  <w:p w:rsidR="00136879" w:rsidRPr="00600B1B" w:rsidRDefault="00136879" w:rsidP="00655736">
    <w:pPr>
      <w:jc w:val="right"/>
      <w:rPr>
        <w:rFonts w:ascii="Arial" w:hAnsi="Arial"/>
        <w:b/>
        <w:sz w:val="22"/>
      </w:rPr>
    </w:pPr>
    <w:r>
      <w:rPr>
        <w:rFonts w:ascii="Arial" w:hAnsi="Arial"/>
        <w:b/>
        <w:sz w:val="22"/>
      </w:rPr>
      <w:t>París, 29 de abril de 2016</w:t>
    </w:r>
  </w:p>
  <w:p w:rsidR="00136879" w:rsidRPr="00C23A97" w:rsidRDefault="00136879" w:rsidP="000048ED">
    <w:pPr>
      <w:jc w:val="right"/>
      <w:rPr>
        <w:rFonts w:ascii="Arial" w:hAnsi="Arial" w:cs="Arial"/>
        <w:b/>
        <w:sz w:val="22"/>
        <w:szCs w:val="22"/>
      </w:rPr>
    </w:pPr>
    <w:r>
      <w:rPr>
        <w:rFonts w:ascii="Arial" w:hAnsi="Arial"/>
        <w:b/>
        <w:sz w:val="22"/>
      </w:rPr>
      <w:t>Original: Inglés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79" w:rsidRPr="00C23A97" w:rsidRDefault="00136879">
    <w:pPr>
      <w:pStyle w:val="Header"/>
      <w:rPr>
        <w:rFonts w:ascii="Arial" w:hAnsi="Arial" w:cs="Arial"/>
      </w:rPr>
    </w:pPr>
    <w:r>
      <w:rPr>
        <w:rFonts w:ascii="Arial" w:hAnsi="Arial"/>
        <w:sz w:val="20"/>
      </w:rPr>
      <w:t xml:space="preserve">ITH/16/6.GA/7 – página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6711BF">
      <w:rPr>
        <w:rStyle w:val="PageNumber"/>
        <w:rFonts w:ascii="Arial" w:hAnsi="Arial" w:cs="Arial"/>
        <w:noProof/>
        <w:sz w:val="20"/>
        <w:szCs w:val="20"/>
      </w:rPr>
      <w:t>32</w:t>
    </w:r>
    <w:r w:rsidRPr="00C23A97">
      <w:rPr>
        <w:rStyle w:val="PageNumber"/>
        <w:rFonts w:ascii="Arial" w:hAnsi="Arial" w:cs="Arial"/>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79" w:rsidRPr="0063300C" w:rsidRDefault="00136879" w:rsidP="0063300C">
    <w:pPr>
      <w:pStyle w:val="Header"/>
      <w:jc w:val="right"/>
      <w:rPr>
        <w:rFonts w:ascii="Arial" w:hAnsi="Arial" w:cs="Arial"/>
      </w:rPr>
    </w:pPr>
    <w:r>
      <w:rPr>
        <w:rFonts w:ascii="Arial" w:hAnsi="Arial"/>
        <w:sz w:val="20"/>
      </w:rPr>
      <w:t xml:space="preserve">ITH/14/6.GA/7 –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6711BF">
      <w:rPr>
        <w:rStyle w:val="PageNumber"/>
        <w:rFonts w:ascii="Arial" w:hAnsi="Arial" w:cs="Arial"/>
        <w:noProof/>
        <w:sz w:val="20"/>
        <w:szCs w:val="20"/>
      </w:rPr>
      <w:t>9</w:t>
    </w:r>
    <w:r w:rsidRPr="0063300C">
      <w:rPr>
        <w:rStyle w:val="PageNumber"/>
        <w:rFonts w:ascii="Arial" w:hAnsi="Arial" w:cs="Arial"/>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79" w:rsidRPr="008724E5" w:rsidRDefault="00136879">
    <w:pPr>
      <w:pStyle w:val="Header"/>
    </w:pPr>
    <w:r>
      <w:rPr>
        <w:noProof/>
        <w:lang w:val="fr-FR" w:eastAsia="fr-FR" w:bidi="ar-SA"/>
      </w:rPr>
      <w:drawing>
        <wp:anchor distT="0" distB="0" distL="114300" distR="114300" simplePos="0" relativeHeight="251661312" behindDoc="1" locked="0" layoutInCell="1" allowOverlap="1">
          <wp:simplePos x="0" y="0"/>
          <wp:positionH relativeFrom="column">
            <wp:posOffset>-461010</wp:posOffset>
          </wp:positionH>
          <wp:positionV relativeFrom="paragraph">
            <wp:posOffset>-61595</wp:posOffset>
          </wp:positionV>
          <wp:extent cx="2133600" cy="1438275"/>
          <wp:effectExtent l="0" t="0" r="0" b="9525"/>
          <wp:wrapNone/>
          <wp:docPr id="10"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33600" cy="1438275"/>
                  </a:xfrm>
                  <a:prstGeom prst="rect">
                    <a:avLst/>
                  </a:prstGeom>
                  <a:noFill/>
                  <a:ln w="9525">
                    <a:noFill/>
                    <a:miter lim="800000"/>
                    <a:headEnd/>
                    <a:tailEnd/>
                  </a:ln>
                </pic:spPr>
              </pic:pic>
            </a:graphicData>
          </a:graphic>
        </wp:anchor>
      </w:drawing>
    </w:r>
  </w:p>
  <w:p w:rsidR="00136879" w:rsidRPr="001C4C46" w:rsidRDefault="00136879" w:rsidP="00655736">
    <w:pPr>
      <w:pStyle w:val="Header"/>
      <w:spacing w:after="520"/>
      <w:jc w:val="right"/>
      <w:rPr>
        <w:rFonts w:ascii="Arial" w:hAnsi="Arial"/>
        <w:b/>
        <w:sz w:val="44"/>
      </w:rPr>
    </w:pPr>
    <w:r w:rsidRPr="001C4C46">
      <w:rPr>
        <w:rFonts w:ascii="Arial" w:hAnsi="Arial"/>
        <w:b/>
        <w:sz w:val="44"/>
      </w:rPr>
      <w:t>6 GA</w:t>
    </w:r>
  </w:p>
  <w:p w:rsidR="00136879" w:rsidRPr="001C4C46" w:rsidRDefault="00136879" w:rsidP="00655736">
    <w:pPr>
      <w:jc w:val="right"/>
      <w:rPr>
        <w:rFonts w:ascii="Arial" w:hAnsi="Arial"/>
        <w:b/>
        <w:sz w:val="22"/>
      </w:rPr>
    </w:pPr>
    <w:r w:rsidRPr="001C4C46">
      <w:rPr>
        <w:rFonts w:ascii="Arial" w:hAnsi="Arial"/>
        <w:b/>
        <w:sz w:val="22"/>
      </w:rPr>
      <w:t>ITH/16/6.GA/7</w:t>
    </w:r>
  </w:p>
  <w:p w:rsidR="00136879" w:rsidRPr="001C4C46" w:rsidRDefault="00136879" w:rsidP="00655736">
    <w:pPr>
      <w:jc w:val="right"/>
      <w:rPr>
        <w:rFonts w:ascii="Arial" w:hAnsi="Arial"/>
        <w:b/>
        <w:sz w:val="22"/>
      </w:rPr>
    </w:pPr>
    <w:r w:rsidRPr="001C4C46">
      <w:rPr>
        <w:rFonts w:ascii="Arial" w:hAnsi="Arial"/>
        <w:b/>
        <w:sz w:val="22"/>
      </w:rPr>
      <w:t xml:space="preserve">París, </w:t>
    </w:r>
    <w:r w:rsidRPr="001C4C46">
      <w:rPr>
        <w:rFonts w:ascii="Arial" w:hAnsi="Arial"/>
        <w:b/>
        <w:sz w:val="22"/>
        <w:highlight w:val="yellow"/>
      </w:rPr>
      <w:t xml:space="preserve">xxx </w:t>
    </w:r>
    <w:proofErr w:type="spellStart"/>
    <w:r w:rsidRPr="001C4C46">
      <w:rPr>
        <w:rFonts w:ascii="Arial" w:hAnsi="Arial"/>
        <w:b/>
        <w:sz w:val="22"/>
        <w:highlight w:val="yellow"/>
      </w:rPr>
      <w:t>xxx</w:t>
    </w:r>
    <w:proofErr w:type="spellEnd"/>
    <w:r w:rsidRPr="001C4C46">
      <w:rPr>
        <w:rFonts w:ascii="Arial" w:hAnsi="Arial"/>
        <w:b/>
        <w:sz w:val="22"/>
      </w:rPr>
      <w:t xml:space="preserve"> 2016</w:t>
    </w:r>
  </w:p>
  <w:p w:rsidR="00136879" w:rsidRPr="00C23A97" w:rsidRDefault="00136879" w:rsidP="000048ED">
    <w:pPr>
      <w:jc w:val="right"/>
      <w:rPr>
        <w:rFonts w:ascii="Arial" w:hAnsi="Arial" w:cs="Arial"/>
        <w:b/>
        <w:sz w:val="22"/>
        <w:szCs w:val="22"/>
      </w:rPr>
    </w:pPr>
    <w:r>
      <w:rPr>
        <w:rFonts w:ascii="Arial" w:hAnsi="Arial"/>
        <w:b/>
        <w:sz w:val="22"/>
      </w:rPr>
      <w:t>Original: Inglés</w:t>
    </w:r>
  </w:p>
  <w:p w:rsidR="00136879" w:rsidRPr="00C23A97" w:rsidRDefault="00136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481"/>
    <w:multiLevelType w:val="hybridMultilevel"/>
    <w:tmpl w:val="63C2A3FE"/>
    <w:lvl w:ilvl="0" w:tplc="040C0017">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nsid w:val="066D2903"/>
    <w:multiLevelType w:val="hybridMultilevel"/>
    <w:tmpl w:val="E5E4F9CE"/>
    <w:lvl w:ilvl="0" w:tplc="040C0017">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
    <w:nsid w:val="0C166C6B"/>
    <w:multiLevelType w:val="hybridMultilevel"/>
    <w:tmpl w:val="4EEE8E20"/>
    <w:lvl w:ilvl="0" w:tplc="040C0017">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F40B2D"/>
    <w:multiLevelType w:val="hybridMultilevel"/>
    <w:tmpl w:val="63C2A3FE"/>
    <w:lvl w:ilvl="0" w:tplc="040C0017">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4">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nsid w:val="15934AAA"/>
    <w:multiLevelType w:val="hybridMultilevel"/>
    <w:tmpl w:val="59BE3DF6"/>
    <w:lvl w:ilvl="0" w:tplc="040C0017">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6">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C448E1"/>
    <w:multiLevelType w:val="hybridMultilevel"/>
    <w:tmpl w:val="9796EDAA"/>
    <w:lvl w:ilvl="0" w:tplc="30B017E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13C2A9B"/>
    <w:multiLevelType w:val="hybridMultilevel"/>
    <w:tmpl w:val="85941C6E"/>
    <w:lvl w:ilvl="0" w:tplc="11D47716">
      <w:start w:val="1"/>
      <w:numFmt w:val="decimal"/>
      <w:lvlText w:val="%1."/>
      <w:lvlJc w:val="left"/>
      <w:pPr>
        <w:ind w:left="720" w:hanging="360"/>
      </w:pPr>
      <w:rPr>
        <w:rFonts w:ascii="Calibri" w:hAnsi="Calibri"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7B6374F"/>
    <w:multiLevelType w:val="hybridMultilevel"/>
    <w:tmpl w:val="C73CCA46"/>
    <w:lvl w:ilvl="0" w:tplc="8CF2B6A0">
      <w:start w:val="1"/>
      <w:numFmt w:val="lowerRoman"/>
      <w:lvlText w:val="%1."/>
      <w:lvlJc w:val="left"/>
      <w:pPr>
        <w:ind w:left="1507" w:hanging="720"/>
      </w:pPr>
      <w:rPr>
        <w:rFonts w:hint="default"/>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11">
    <w:nsid w:val="28964627"/>
    <w:multiLevelType w:val="hybridMultilevel"/>
    <w:tmpl w:val="FC68BA64"/>
    <w:lvl w:ilvl="0" w:tplc="040C0017">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945F3A"/>
    <w:multiLevelType w:val="hybridMultilevel"/>
    <w:tmpl w:val="26B67F58"/>
    <w:lvl w:ilvl="0" w:tplc="040C0017">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3">
    <w:nsid w:val="35F07BFE"/>
    <w:multiLevelType w:val="hybridMultilevel"/>
    <w:tmpl w:val="E24AD55A"/>
    <w:lvl w:ilvl="0" w:tplc="76CAC304">
      <w:start w:val="1"/>
      <w:numFmt w:val="decimal"/>
      <w:pStyle w:val="GAPara"/>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nsid w:val="395B111E"/>
    <w:multiLevelType w:val="hybridMultilevel"/>
    <w:tmpl w:val="6DD604A6"/>
    <w:lvl w:ilvl="0" w:tplc="040C0017">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9">
    <w:nsid w:val="447A4380"/>
    <w:multiLevelType w:val="multilevel"/>
    <w:tmpl w:val="162AC226"/>
    <w:lvl w:ilvl="0">
      <w:start w:val="1"/>
      <w:numFmt w:val="decimal"/>
      <w:lvlText w:val="%1."/>
      <w:lvlJc w:val="left"/>
      <w:pPr>
        <w:tabs>
          <w:tab w:val="num" w:pos="2062"/>
        </w:tabs>
        <w:ind w:left="2062" w:hanging="360"/>
      </w:pPr>
      <w:rPr>
        <w:rFonts w:ascii="Arial" w:eastAsia="Arial" w:hAnsi="Arial" w:cs="Arial"/>
        <w:sz w:val="22"/>
        <w:szCs w:val="22"/>
        <w:bdr w:val="none" w:sz="0" w:space="0" w:color="auto" w:frame="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nsid w:val="47C22FB2"/>
    <w:multiLevelType w:val="hybridMultilevel"/>
    <w:tmpl w:val="6128CFD8"/>
    <w:lvl w:ilvl="0" w:tplc="040C0017">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2">
    <w:nsid w:val="54C13D09"/>
    <w:multiLevelType w:val="hybridMultilevel"/>
    <w:tmpl w:val="2E4ED872"/>
    <w:lvl w:ilvl="0" w:tplc="040C0017">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5734D0"/>
    <w:multiLevelType w:val="hybridMultilevel"/>
    <w:tmpl w:val="977E5ECA"/>
    <w:lvl w:ilvl="0" w:tplc="76CAC304">
      <w:start w:val="1"/>
      <w:numFmt w:val="decimal"/>
      <w:lvlText w:val="%1."/>
      <w:lvlJc w:val="left"/>
      <w:pPr>
        <w:ind w:left="720" w:hanging="360"/>
      </w:pPr>
    </w:lvl>
    <w:lvl w:ilvl="1" w:tplc="4F7CBCD0">
      <w:start w:val="1"/>
      <w:numFmt w:val="upp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5613E12"/>
    <w:multiLevelType w:val="hybridMultilevel"/>
    <w:tmpl w:val="0F92B27C"/>
    <w:lvl w:ilvl="0" w:tplc="040C0017">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9">
    <w:nsid w:val="65844D09"/>
    <w:multiLevelType w:val="hybridMultilevel"/>
    <w:tmpl w:val="50E49E94"/>
    <w:lvl w:ilvl="0" w:tplc="040C0017">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FB82F79"/>
    <w:multiLevelType w:val="hybridMultilevel"/>
    <w:tmpl w:val="083EA8CE"/>
    <w:lvl w:ilvl="0" w:tplc="7B46B9E4">
      <w:start w:val="1"/>
      <w:numFmt w:val="upp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nsid w:val="713959EA"/>
    <w:multiLevelType w:val="hybridMultilevel"/>
    <w:tmpl w:val="07EE8C52"/>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34">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E26587C"/>
    <w:multiLevelType w:val="hybridMultilevel"/>
    <w:tmpl w:val="6D46A5AA"/>
    <w:lvl w:ilvl="0" w:tplc="040C0017">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num w:numId="1">
    <w:abstractNumId w:val="28"/>
  </w:num>
  <w:num w:numId="2">
    <w:abstractNumId w:val="14"/>
  </w:num>
  <w:num w:numId="3">
    <w:abstractNumId w:val="6"/>
  </w:num>
  <w:num w:numId="4">
    <w:abstractNumId w:val="34"/>
  </w:num>
  <w:num w:numId="5">
    <w:abstractNumId w:val="30"/>
  </w:num>
  <w:num w:numId="6">
    <w:abstractNumId w:val="4"/>
  </w:num>
  <w:num w:numId="7">
    <w:abstractNumId w:val="7"/>
  </w:num>
  <w:num w:numId="8">
    <w:abstractNumId w:val="20"/>
  </w:num>
  <w:num w:numId="9">
    <w:abstractNumId w:val="13"/>
  </w:num>
  <w:num w:numId="10">
    <w:abstractNumId w:val="16"/>
  </w:num>
  <w:num w:numId="11">
    <w:abstractNumId w:val="18"/>
  </w:num>
  <w:num w:numId="12">
    <w:abstractNumId w:val="17"/>
  </w:num>
  <w:num w:numId="13">
    <w:abstractNumId w:val="31"/>
  </w:num>
  <w:num w:numId="14">
    <w:abstractNumId w:val="23"/>
  </w:num>
  <w:num w:numId="15">
    <w:abstractNumId w:val="26"/>
  </w:num>
  <w:num w:numId="16">
    <w:abstractNumId w:val="16"/>
  </w:num>
  <w:num w:numId="17">
    <w:abstractNumId w:val="16"/>
  </w:num>
  <w:num w:numId="18">
    <w:abstractNumId w:val="16"/>
  </w:num>
  <w:num w:numId="19">
    <w:abstractNumId w:val="8"/>
  </w:num>
  <w:num w:numId="20">
    <w:abstractNumId w:val="12"/>
  </w:num>
  <w:num w:numId="21">
    <w:abstractNumId w:val="21"/>
  </w:num>
  <w:num w:numId="22">
    <w:abstractNumId w:val="33"/>
  </w:num>
  <w:num w:numId="23">
    <w:abstractNumId w:val="33"/>
    <w:lvlOverride w:ilvl="0">
      <w:startOverride w:val="1"/>
    </w:lvlOverride>
  </w:num>
  <w:num w:numId="24">
    <w:abstractNumId w:val="29"/>
  </w:num>
  <w:num w:numId="25">
    <w:abstractNumId w:val="10"/>
  </w:num>
  <w:num w:numId="26">
    <w:abstractNumId w:val="35"/>
  </w:num>
  <w:num w:numId="27">
    <w:abstractNumId w:val="1"/>
  </w:num>
  <w:num w:numId="28">
    <w:abstractNumId w:val="0"/>
  </w:num>
  <w:num w:numId="29">
    <w:abstractNumId w:val="5"/>
  </w:num>
  <w:num w:numId="30">
    <w:abstractNumId w:val="25"/>
  </w:num>
  <w:num w:numId="31">
    <w:abstractNumId w:val="15"/>
  </w:num>
  <w:num w:numId="32">
    <w:abstractNumId w:val="22"/>
  </w:num>
  <w:num w:numId="33">
    <w:abstractNumId w:val="11"/>
  </w:num>
  <w:num w:numId="34">
    <w:abstractNumId w:val="2"/>
  </w:num>
  <w:num w:numId="35">
    <w:abstractNumId w:val="13"/>
    <w:lvlOverride w:ilvl="0">
      <w:startOverride w:val="1"/>
    </w:lvlOverride>
  </w:num>
  <w:num w:numId="36">
    <w:abstractNumId w:val="32"/>
  </w:num>
  <w:num w:numId="37">
    <w:abstractNumId w:val="19"/>
  </w:num>
  <w:num w:numId="38">
    <w:abstractNumId w:val="27"/>
  </w:num>
  <w:num w:numId="39">
    <w:abstractNumId w:val="13"/>
  </w:num>
  <w:num w:numId="40">
    <w:abstractNumId w:val="13"/>
  </w:num>
  <w:num w:numId="41">
    <w:abstractNumId w:val="13"/>
  </w:num>
  <w:num w:numId="42">
    <w:abstractNumId w:val="24"/>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9"/>
  </w:num>
  <w:num w:numId="50">
    <w:abstractNumId w:val="13"/>
  </w:num>
  <w:num w:numId="51">
    <w:abstractNumId w:val="13"/>
  </w:num>
  <w:num w:numId="52">
    <w:abstractNumId w:val="13"/>
    <w:lvlOverride w:ilvl="0">
      <w:startOverride w:val="1"/>
    </w:lvlOverride>
  </w:num>
  <w:num w:numId="53">
    <w:abstractNumId w:val="13"/>
  </w:num>
  <w:num w:numId="54">
    <w:abstractNumId w:val="13"/>
  </w:num>
  <w:num w:numId="55">
    <w:abstractNumId w:val="13"/>
  </w:num>
  <w:num w:numId="56">
    <w:abstractNumId w:val="13"/>
  </w:num>
  <w:num w:numId="57">
    <w:abstractNumId w:val="13"/>
  </w:num>
  <w:num w:numId="58">
    <w:abstractNumId w:val="13"/>
  </w:num>
  <w:num w:numId="59">
    <w:abstractNumId w:val="13"/>
  </w:num>
  <w:num w:numId="60">
    <w:abstractNumId w:val="13"/>
  </w:num>
  <w:num w:numId="61">
    <w:abstractNumId w:val="13"/>
  </w:num>
  <w:num w:numId="62">
    <w:abstractNumId w:val="13"/>
  </w:num>
  <w:num w:numId="63">
    <w:abstractNumId w:val="13"/>
  </w:num>
  <w:num w:numId="64">
    <w:abstractNumId w:val="13"/>
  </w:num>
  <w:num w:numId="65">
    <w:abstractNumId w:val="16"/>
  </w:num>
  <w:num w:numId="66">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179CC"/>
    <w:rsid w:val="00026305"/>
    <w:rsid w:val="000329EF"/>
    <w:rsid w:val="00041A66"/>
    <w:rsid w:val="00045B51"/>
    <w:rsid w:val="00047899"/>
    <w:rsid w:val="0005176E"/>
    <w:rsid w:val="000520EB"/>
    <w:rsid w:val="00053C79"/>
    <w:rsid w:val="000765F7"/>
    <w:rsid w:val="00077AB7"/>
    <w:rsid w:val="00080185"/>
    <w:rsid w:val="00081CD8"/>
    <w:rsid w:val="00081DA9"/>
    <w:rsid w:val="000835A3"/>
    <w:rsid w:val="000A7C17"/>
    <w:rsid w:val="000A7F0E"/>
    <w:rsid w:val="000C0D61"/>
    <w:rsid w:val="000E2272"/>
    <w:rsid w:val="000E4AF1"/>
    <w:rsid w:val="000F3A3F"/>
    <w:rsid w:val="000F5F64"/>
    <w:rsid w:val="00102557"/>
    <w:rsid w:val="00124268"/>
    <w:rsid w:val="00136879"/>
    <w:rsid w:val="00151EE3"/>
    <w:rsid w:val="00153345"/>
    <w:rsid w:val="00156BD6"/>
    <w:rsid w:val="00157BD3"/>
    <w:rsid w:val="00160A86"/>
    <w:rsid w:val="00163D7D"/>
    <w:rsid w:val="00164D56"/>
    <w:rsid w:val="00165EF1"/>
    <w:rsid w:val="00167B10"/>
    <w:rsid w:val="0017402F"/>
    <w:rsid w:val="00190BD4"/>
    <w:rsid w:val="00192127"/>
    <w:rsid w:val="00196C1B"/>
    <w:rsid w:val="001A298C"/>
    <w:rsid w:val="001A57CA"/>
    <w:rsid w:val="001A70FA"/>
    <w:rsid w:val="001A784F"/>
    <w:rsid w:val="001B0F73"/>
    <w:rsid w:val="001B2835"/>
    <w:rsid w:val="001C4C46"/>
    <w:rsid w:val="001D5C04"/>
    <w:rsid w:val="001E5C55"/>
    <w:rsid w:val="002040DF"/>
    <w:rsid w:val="002157AE"/>
    <w:rsid w:val="00220C1E"/>
    <w:rsid w:val="002220C5"/>
    <w:rsid w:val="00222A2D"/>
    <w:rsid w:val="00223029"/>
    <w:rsid w:val="0023007D"/>
    <w:rsid w:val="00234745"/>
    <w:rsid w:val="002407AF"/>
    <w:rsid w:val="002906B5"/>
    <w:rsid w:val="00297E7A"/>
    <w:rsid w:val="002B2E88"/>
    <w:rsid w:val="002B5B77"/>
    <w:rsid w:val="002C09E3"/>
    <w:rsid w:val="002C1D84"/>
    <w:rsid w:val="002C41F8"/>
    <w:rsid w:val="002E0BCC"/>
    <w:rsid w:val="002E1C03"/>
    <w:rsid w:val="002E3CC3"/>
    <w:rsid w:val="002F312A"/>
    <w:rsid w:val="00315878"/>
    <w:rsid w:val="00320AE8"/>
    <w:rsid w:val="00340E95"/>
    <w:rsid w:val="00345CB4"/>
    <w:rsid w:val="0035072D"/>
    <w:rsid w:val="003549B8"/>
    <w:rsid w:val="00354BCF"/>
    <w:rsid w:val="0036124B"/>
    <w:rsid w:val="003A2FB6"/>
    <w:rsid w:val="003A4D2E"/>
    <w:rsid w:val="003C3527"/>
    <w:rsid w:val="003D069C"/>
    <w:rsid w:val="003D2DB9"/>
    <w:rsid w:val="003D7646"/>
    <w:rsid w:val="003E0B1A"/>
    <w:rsid w:val="003E0B5C"/>
    <w:rsid w:val="003E78AC"/>
    <w:rsid w:val="003F113A"/>
    <w:rsid w:val="003F1B8E"/>
    <w:rsid w:val="0040791D"/>
    <w:rsid w:val="00410628"/>
    <w:rsid w:val="00414643"/>
    <w:rsid w:val="00417C23"/>
    <w:rsid w:val="00431623"/>
    <w:rsid w:val="00437B75"/>
    <w:rsid w:val="004421E5"/>
    <w:rsid w:val="004430E3"/>
    <w:rsid w:val="00443D17"/>
    <w:rsid w:val="00444448"/>
    <w:rsid w:val="00452284"/>
    <w:rsid w:val="00462953"/>
    <w:rsid w:val="00466DF6"/>
    <w:rsid w:val="004673FF"/>
    <w:rsid w:val="004726A1"/>
    <w:rsid w:val="004856CA"/>
    <w:rsid w:val="00495322"/>
    <w:rsid w:val="0049705E"/>
    <w:rsid w:val="004A34A0"/>
    <w:rsid w:val="004A4DB3"/>
    <w:rsid w:val="004B27A9"/>
    <w:rsid w:val="004C4840"/>
    <w:rsid w:val="004F5681"/>
    <w:rsid w:val="004F5B8E"/>
    <w:rsid w:val="00500484"/>
    <w:rsid w:val="00505ABE"/>
    <w:rsid w:val="005221AA"/>
    <w:rsid w:val="00526B7B"/>
    <w:rsid w:val="005308CE"/>
    <w:rsid w:val="0054020F"/>
    <w:rsid w:val="005512AB"/>
    <w:rsid w:val="005557B3"/>
    <w:rsid w:val="0057439C"/>
    <w:rsid w:val="005861FF"/>
    <w:rsid w:val="00587048"/>
    <w:rsid w:val="00590C05"/>
    <w:rsid w:val="005938FA"/>
    <w:rsid w:val="005A4D20"/>
    <w:rsid w:val="005A7548"/>
    <w:rsid w:val="005B0127"/>
    <w:rsid w:val="005B7A35"/>
    <w:rsid w:val="005C4B73"/>
    <w:rsid w:val="005D36A8"/>
    <w:rsid w:val="005E1D2B"/>
    <w:rsid w:val="005E5A2A"/>
    <w:rsid w:val="00600B1B"/>
    <w:rsid w:val="00600D93"/>
    <w:rsid w:val="006035A7"/>
    <w:rsid w:val="00605129"/>
    <w:rsid w:val="0060522B"/>
    <w:rsid w:val="00605463"/>
    <w:rsid w:val="00614927"/>
    <w:rsid w:val="0062297B"/>
    <w:rsid w:val="00624CC5"/>
    <w:rsid w:val="006315DF"/>
    <w:rsid w:val="0063300C"/>
    <w:rsid w:val="006335AB"/>
    <w:rsid w:val="00655736"/>
    <w:rsid w:val="0066066E"/>
    <w:rsid w:val="00663B8D"/>
    <w:rsid w:val="006706E2"/>
    <w:rsid w:val="006711BF"/>
    <w:rsid w:val="00682EBE"/>
    <w:rsid w:val="00696C8D"/>
    <w:rsid w:val="006A2AC2"/>
    <w:rsid w:val="006A3617"/>
    <w:rsid w:val="006A45C3"/>
    <w:rsid w:val="006A6F3F"/>
    <w:rsid w:val="006B774A"/>
    <w:rsid w:val="006C3C5F"/>
    <w:rsid w:val="006E46E4"/>
    <w:rsid w:val="006F2741"/>
    <w:rsid w:val="00703B99"/>
    <w:rsid w:val="00711F2E"/>
    <w:rsid w:val="00717DA5"/>
    <w:rsid w:val="00735E4C"/>
    <w:rsid w:val="007428EB"/>
    <w:rsid w:val="00744484"/>
    <w:rsid w:val="00747EA6"/>
    <w:rsid w:val="00757B2B"/>
    <w:rsid w:val="00763A0D"/>
    <w:rsid w:val="00771787"/>
    <w:rsid w:val="00773188"/>
    <w:rsid w:val="00783782"/>
    <w:rsid w:val="00784B8C"/>
    <w:rsid w:val="0079548D"/>
    <w:rsid w:val="007B1A78"/>
    <w:rsid w:val="007B36ED"/>
    <w:rsid w:val="007D4556"/>
    <w:rsid w:val="007D6476"/>
    <w:rsid w:val="007E4C8B"/>
    <w:rsid w:val="007E5F8E"/>
    <w:rsid w:val="007F1D7D"/>
    <w:rsid w:val="00812206"/>
    <w:rsid w:val="00814B31"/>
    <w:rsid w:val="00823A11"/>
    <w:rsid w:val="008255B3"/>
    <w:rsid w:val="00852866"/>
    <w:rsid w:val="0085414A"/>
    <w:rsid w:val="0086269D"/>
    <w:rsid w:val="0086543A"/>
    <w:rsid w:val="00871F01"/>
    <w:rsid w:val="008724E5"/>
    <w:rsid w:val="0087372A"/>
    <w:rsid w:val="00873B1C"/>
    <w:rsid w:val="00876C66"/>
    <w:rsid w:val="00880EB7"/>
    <w:rsid w:val="008841D7"/>
    <w:rsid w:val="00884A9D"/>
    <w:rsid w:val="00884C6F"/>
    <w:rsid w:val="0088512B"/>
    <w:rsid w:val="0089050D"/>
    <w:rsid w:val="008A0373"/>
    <w:rsid w:val="008A2B2D"/>
    <w:rsid w:val="008A3BE8"/>
    <w:rsid w:val="008A4E1E"/>
    <w:rsid w:val="008C296C"/>
    <w:rsid w:val="008D3F84"/>
    <w:rsid w:val="008D4305"/>
    <w:rsid w:val="008E322B"/>
    <w:rsid w:val="008F1D1B"/>
    <w:rsid w:val="00901C35"/>
    <w:rsid w:val="00912519"/>
    <w:rsid w:val="00914527"/>
    <w:rsid w:val="009163A7"/>
    <w:rsid w:val="0092706B"/>
    <w:rsid w:val="00946D0B"/>
    <w:rsid w:val="009501CE"/>
    <w:rsid w:val="00950673"/>
    <w:rsid w:val="00961F4F"/>
    <w:rsid w:val="00966D4D"/>
    <w:rsid w:val="009A14AE"/>
    <w:rsid w:val="009A18CD"/>
    <w:rsid w:val="009A301C"/>
    <w:rsid w:val="009B54EF"/>
    <w:rsid w:val="009D0C5C"/>
    <w:rsid w:val="009D52ED"/>
    <w:rsid w:val="009E18D5"/>
    <w:rsid w:val="009F0E33"/>
    <w:rsid w:val="00A026D8"/>
    <w:rsid w:val="00A12558"/>
    <w:rsid w:val="00A13903"/>
    <w:rsid w:val="00A24400"/>
    <w:rsid w:val="00A26F0D"/>
    <w:rsid w:val="00A34ED5"/>
    <w:rsid w:val="00A404F6"/>
    <w:rsid w:val="00A44385"/>
    <w:rsid w:val="00A45053"/>
    <w:rsid w:val="00A45DBF"/>
    <w:rsid w:val="00A46E1A"/>
    <w:rsid w:val="00A534E1"/>
    <w:rsid w:val="00A5665A"/>
    <w:rsid w:val="00A604CD"/>
    <w:rsid w:val="00A755A2"/>
    <w:rsid w:val="00A84F40"/>
    <w:rsid w:val="00A90947"/>
    <w:rsid w:val="00AA6660"/>
    <w:rsid w:val="00AB2C36"/>
    <w:rsid w:val="00AB424F"/>
    <w:rsid w:val="00AB70B6"/>
    <w:rsid w:val="00AB77CF"/>
    <w:rsid w:val="00AC1CBF"/>
    <w:rsid w:val="00AC77AB"/>
    <w:rsid w:val="00AD1A86"/>
    <w:rsid w:val="00AD3046"/>
    <w:rsid w:val="00AD4506"/>
    <w:rsid w:val="00AE103E"/>
    <w:rsid w:val="00AF0A07"/>
    <w:rsid w:val="00AF4AEC"/>
    <w:rsid w:val="00AF4BE1"/>
    <w:rsid w:val="00AF625E"/>
    <w:rsid w:val="00AF66BB"/>
    <w:rsid w:val="00B22A49"/>
    <w:rsid w:val="00B45DCC"/>
    <w:rsid w:val="00B47185"/>
    <w:rsid w:val="00B61CCB"/>
    <w:rsid w:val="00B63C4B"/>
    <w:rsid w:val="00B64506"/>
    <w:rsid w:val="00B85780"/>
    <w:rsid w:val="00B96B09"/>
    <w:rsid w:val="00BA49C4"/>
    <w:rsid w:val="00BB0445"/>
    <w:rsid w:val="00BB04AF"/>
    <w:rsid w:val="00BC2641"/>
    <w:rsid w:val="00BC4C02"/>
    <w:rsid w:val="00BD52C9"/>
    <w:rsid w:val="00BE6354"/>
    <w:rsid w:val="00BF66AD"/>
    <w:rsid w:val="00C06B55"/>
    <w:rsid w:val="00C23A97"/>
    <w:rsid w:val="00C24C72"/>
    <w:rsid w:val="00C317FB"/>
    <w:rsid w:val="00C329C4"/>
    <w:rsid w:val="00C506F5"/>
    <w:rsid w:val="00C50FB3"/>
    <w:rsid w:val="00C54EC5"/>
    <w:rsid w:val="00C56134"/>
    <w:rsid w:val="00C61A4F"/>
    <w:rsid w:val="00C658E6"/>
    <w:rsid w:val="00C70EA7"/>
    <w:rsid w:val="00C7225A"/>
    <w:rsid w:val="00C7516E"/>
    <w:rsid w:val="00C75770"/>
    <w:rsid w:val="00C84753"/>
    <w:rsid w:val="00C86809"/>
    <w:rsid w:val="00CA545D"/>
    <w:rsid w:val="00CC1B1D"/>
    <w:rsid w:val="00CC1C4D"/>
    <w:rsid w:val="00CD06C1"/>
    <w:rsid w:val="00CD3862"/>
    <w:rsid w:val="00CD76C1"/>
    <w:rsid w:val="00CF2EB9"/>
    <w:rsid w:val="00D003C0"/>
    <w:rsid w:val="00D00B2B"/>
    <w:rsid w:val="00D0180D"/>
    <w:rsid w:val="00D029DC"/>
    <w:rsid w:val="00D24877"/>
    <w:rsid w:val="00D42600"/>
    <w:rsid w:val="00D4322B"/>
    <w:rsid w:val="00D54F2A"/>
    <w:rsid w:val="00D60965"/>
    <w:rsid w:val="00D609AA"/>
    <w:rsid w:val="00D90181"/>
    <w:rsid w:val="00D902F0"/>
    <w:rsid w:val="00D95C4C"/>
    <w:rsid w:val="00DA36ED"/>
    <w:rsid w:val="00DB2D36"/>
    <w:rsid w:val="00DC1509"/>
    <w:rsid w:val="00DC2F1F"/>
    <w:rsid w:val="00DC3FAD"/>
    <w:rsid w:val="00DD457E"/>
    <w:rsid w:val="00DE34F1"/>
    <w:rsid w:val="00DE47CE"/>
    <w:rsid w:val="00DF4942"/>
    <w:rsid w:val="00E05CD4"/>
    <w:rsid w:val="00E52E56"/>
    <w:rsid w:val="00E6108A"/>
    <w:rsid w:val="00E627B1"/>
    <w:rsid w:val="00E9376C"/>
    <w:rsid w:val="00E96EFA"/>
    <w:rsid w:val="00EA335E"/>
    <w:rsid w:val="00EA41B4"/>
    <w:rsid w:val="00EA528C"/>
    <w:rsid w:val="00ED5A2A"/>
    <w:rsid w:val="00EE555D"/>
    <w:rsid w:val="00EF26C3"/>
    <w:rsid w:val="00EF34E2"/>
    <w:rsid w:val="00EF4F1F"/>
    <w:rsid w:val="00F077DC"/>
    <w:rsid w:val="00F32FF0"/>
    <w:rsid w:val="00F44539"/>
    <w:rsid w:val="00F46B46"/>
    <w:rsid w:val="00F5072B"/>
    <w:rsid w:val="00F530C0"/>
    <w:rsid w:val="00F53DE9"/>
    <w:rsid w:val="00F576CB"/>
    <w:rsid w:val="00F65E56"/>
    <w:rsid w:val="00F71A02"/>
    <w:rsid w:val="00F7599E"/>
    <w:rsid w:val="00F8368C"/>
    <w:rsid w:val="00FA35D0"/>
    <w:rsid w:val="00FB3F8D"/>
    <w:rsid w:val="00FD1226"/>
    <w:rsid w:val="00FF2A33"/>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A5665A"/>
    <w:pPr>
      <w:numPr>
        <w:numId w:val="9"/>
      </w:numPr>
      <w:spacing w:after="120"/>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
    <w:name w:val="COM Para"/>
    <w:qFormat/>
    <w:rsid w:val="007E4C8B"/>
    <w:pPr>
      <w:spacing w:after="120"/>
      <w:ind w:left="567" w:hanging="567"/>
    </w:pPr>
    <w:rPr>
      <w:rFonts w:ascii="Arial" w:eastAsia="Times New Roman" w:hAnsi="Arial" w:cs="Arial"/>
      <w:snapToGrid w:val="0"/>
      <w:sz w:val="22"/>
      <w:szCs w:val="22"/>
    </w:rPr>
  </w:style>
  <w:style w:type="character" w:styleId="Hyperlink">
    <w:name w:val="Hyperlink"/>
    <w:uiPriority w:val="99"/>
    <w:unhideWhenUsed/>
    <w:rsid w:val="007E4C8B"/>
    <w:rPr>
      <w:color w:val="0000FF"/>
      <w:u w:val="single"/>
    </w:rPr>
  </w:style>
  <w:style w:type="paragraph" w:customStyle="1" w:styleId="U1">
    <w:name w:val="U.1"/>
    <w:basedOn w:val="Normal"/>
    <w:qFormat/>
    <w:rsid w:val="007E4C8B"/>
    <w:pPr>
      <w:widowControl w:val="0"/>
      <w:tabs>
        <w:tab w:val="left" w:pos="1701"/>
      </w:tabs>
      <w:autoSpaceDE w:val="0"/>
      <w:autoSpaceDN w:val="0"/>
      <w:adjustRightInd w:val="0"/>
      <w:spacing w:after="120"/>
      <w:ind w:left="1701" w:hanging="567"/>
    </w:pPr>
    <w:rPr>
      <w:rFonts w:ascii="Arial" w:eastAsia="SimSun" w:hAnsi="Arial" w:cs="Arial"/>
      <w:sz w:val="22"/>
      <w:szCs w:val="22"/>
    </w:rPr>
  </w:style>
  <w:style w:type="paragraph" w:customStyle="1" w:styleId="i">
    <w:name w:val="(i)"/>
    <w:basedOn w:val="Normal"/>
    <w:link w:val="iChar"/>
    <w:autoRedefine/>
    <w:qFormat/>
    <w:rsid w:val="007E4C8B"/>
    <w:pPr>
      <w:numPr>
        <w:numId w:val="22"/>
      </w:numPr>
      <w:autoSpaceDE w:val="0"/>
      <w:autoSpaceDN w:val="0"/>
      <w:adjustRightInd w:val="0"/>
      <w:spacing w:before="120" w:after="120"/>
      <w:ind w:right="284"/>
      <w:jc w:val="both"/>
    </w:pPr>
    <w:rPr>
      <w:rFonts w:ascii="Arial" w:eastAsia="SimSun" w:hAnsi="Arial" w:cs="Arial"/>
      <w:w w:val="90"/>
      <w:sz w:val="22"/>
      <w:szCs w:val="22"/>
    </w:rPr>
  </w:style>
  <w:style w:type="character" w:customStyle="1" w:styleId="iChar">
    <w:name w:val="(i) Char"/>
    <w:link w:val="i"/>
    <w:locked/>
    <w:rsid w:val="007E4C8B"/>
    <w:rPr>
      <w:rFonts w:ascii="Arial" w:hAnsi="Arial" w:cs="Arial"/>
      <w:w w:val="90"/>
      <w:sz w:val="22"/>
      <w:szCs w:val="22"/>
      <w:lang w:val="es-ES" w:eastAsia="es-ES"/>
    </w:rPr>
  </w:style>
  <w:style w:type="character" w:styleId="FollowedHyperlink">
    <w:name w:val="FollowedHyperlink"/>
    <w:basedOn w:val="DefaultParagraphFont"/>
    <w:uiPriority w:val="99"/>
    <w:semiHidden/>
    <w:unhideWhenUsed/>
    <w:rsid w:val="007E4C8B"/>
    <w:rPr>
      <w:color w:val="954F72" w:themeColor="followedHyperlink"/>
      <w:u w:val="single"/>
    </w:rPr>
  </w:style>
  <w:style w:type="paragraph" w:styleId="Revision">
    <w:name w:val="Revision"/>
    <w:hidden/>
    <w:uiPriority w:val="99"/>
    <w:semiHidden/>
    <w:rsid w:val="00E52E56"/>
    <w:rPr>
      <w:rFonts w:ascii="Times New Roman" w:eastAsia="Times New Roman" w:hAnsi="Times New Roman"/>
      <w:sz w:val="24"/>
      <w:szCs w:val="24"/>
    </w:rPr>
  </w:style>
  <w:style w:type="paragraph" w:customStyle="1" w:styleId="COMParaDecision">
    <w:name w:val="COM Para Decision"/>
    <w:basedOn w:val="Normal"/>
    <w:qFormat/>
    <w:rsid w:val="00E52E56"/>
    <w:pPr>
      <w:autoSpaceDE w:val="0"/>
      <w:autoSpaceDN w:val="0"/>
      <w:adjustRightInd w:val="0"/>
      <w:spacing w:after="120"/>
      <w:ind w:left="1134" w:hanging="567"/>
      <w:jc w:val="both"/>
    </w:pPr>
    <w:rPr>
      <w:rFonts w:ascii="Arial" w:eastAsia="SimSun" w:hAnsi="Arial" w:cs="Arial"/>
      <w:sz w:val="22"/>
      <w:szCs w:val="22"/>
      <w:u w:val="single"/>
    </w:rPr>
  </w:style>
  <w:style w:type="character" w:customStyle="1" w:styleId="st1">
    <w:name w:val="st1"/>
    <w:rsid w:val="00A5665A"/>
  </w:style>
  <w:style w:type="character" w:styleId="CommentReference">
    <w:name w:val="annotation reference"/>
    <w:basedOn w:val="DefaultParagraphFont"/>
    <w:uiPriority w:val="99"/>
    <w:semiHidden/>
    <w:unhideWhenUsed/>
    <w:rsid w:val="00A5665A"/>
    <w:rPr>
      <w:sz w:val="16"/>
      <w:szCs w:val="16"/>
    </w:rPr>
  </w:style>
  <w:style w:type="paragraph" w:styleId="CommentText">
    <w:name w:val="annotation text"/>
    <w:basedOn w:val="Normal"/>
    <w:link w:val="CommentTextChar"/>
    <w:uiPriority w:val="99"/>
    <w:semiHidden/>
    <w:unhideWhenUsed/>
    <w:rsid w:val="00A5665A"/>
    <w:rPr>
      <w:sz w:val="20"/>
      <w:szCs w:val="20"/>
    </w:rPr>
  </w:style>
  <w:style w:type="character" w:customStyle="1" w:styleId="CommentTextChar">
    <w:name w:val="Comment Text Char"/>
    <w:basedOn w:val="DefaultParagraphFont"/>
    <w:link w:val="CommentText"/>
    <w:uiPriority w:val="99"/>
    <w:semiHidden/>
    <w:rsid w:val="00A5665A"/>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A5665A"/>
    <w:rPr>
      <w:b/>
      <w:bCs/>
    </w:rPr>
  </w:style>
  <w:style w:type="character" w:customStyle="1" w:styleId="CommentSubjectChar">
    <w:name w:val="Comment Subject Char"/>
    <w:basedOn w:val="CommentTextChar"/>
    <w:link w:val="CommentSubject"/>
    <w:uiPriority w:val="99"/>
    <w:semiHidden/>
    <w:rsid w:val="00A5665A"/>
    <w:rPr>
      <w:rFonts w:ascii="Times New Roman" w:eastAsia="Times New Roman" w:hAnsi="Times New Roman"/>
      <w:b/>
      <w:bCs/>
      <w:lang w:val="es-ES" w:eastAsia="es-ES"/>
    </w:rPr>
  </w:style>
  <w:style w:type="paragraph" w:customStyle="1" w:styleId="Bullet1">
    <w:name w:val="Bullet_1"/>
    <w:basedOn w:val="Normal"/>
    <w:link w:val="Bullet1Char"/>
    <w:qFormat/>
    <w:rsid w:val="00A5665A"/>
    <w:pPr>
      <w:numPr>
        <w:numId w:val="38"/>
      </w:numPr>
      <w:snapToGrid w:val="0"/>
      <w:spacing w:before="240" w:after="240" w:line="360" w:lineRule="auto"/>
      <w:jc w:val="both"/>
    </w:pPr>
    <w:rPr>
      <w:rFonts w:ascii="Arial" w:eastAsia="SimSun" w:hAnsi="Arial" w:cs="Arial"/>
      <w:snapToGrid w:val="0"/>
      <w:sz w:val="28"/>
      <w:szCs w:val="28"/>
    </w:rPr>
  </w:style>
  <w:style w:type="paragraph" w:customStyle="1" w:styleId="Bullet2">
    <w:name w:val="Bullet_2"/>
    <w:basedOn w:val="Normal"/>
    <w:link w:val="Bullet2Char"/>
    <w:qFormat/>
    <w:rsid w:val="00A5665A"/>
    <w:pPr>
      <w:numPr>
        <w:ilvl w:val="1"/>
        <w:numId w:val="38"/>
      </w:numPr>
      <w:snapToGrid w:val="0"/>
      <w:spacing w:before="240" w:after="240" w:line="360" w:lineRule="auto"/>
      <w:jc w:val="both"/>
    </w:pPr>
    <w:rPr>
      <w:rFonts w:ascii="Arial" w:eastAsia="SimSun" w:hAnsi="Arial" w:cs="Arial"/>
      <w:snapToGrid w:val="0"/>
      <w:sz w:val="28"/>
      <w:szCs w:val="28"/>
    </w:rPr>
  </w:style>
  <w:style w:type="character" w:customStyle="1" w:styleId="Bullet1Char">
    <w:name w:val="Bullet_1 Char"/>
    <w:link w:val="Bullet1"/>
    <w:rsid w:val="00A5665A"/>
    <w:rPr>
      <w:rFonts w:ascii="Arial" w:hAnsi="Arial" w:cs="Arial"/>
      <w:snapToGrid w:val="0"/>
      <w:sz w:val="28"/>
      <w:szCs w:val="28"/>
      <w:lang w:eastAsia="es-ES"/>
    </w:rPr>
  </w:style>
  <w:style w:type="character" w:customStyle="1" w:styleId="Bullet2Char">
    <w:name w:val="Bullet_2 Char"/>
    <w:link w:val="Bullet2"/>
    <w:rsid w:val="00A5665A"/>
    <w:rPr>
      <w:rFonts w:ascii="Arial" w:hAnsi="Arial" w:cs="Arial"/>
      <w:snapToGrid w:val="0"/>
      <w:sz w:val="28"/>
      <w:szCs w:val="28"/>
      <w:lang w:eastAsia="es-ES"/>
    </w:rPr>
  </w:style>
  <w:style w:type="paragraph" w:customStyle="1" w:styleId="dates">
    <w:name w:val="dates"/>
    <w:basedOn w:val="Normal"/>
    <w:qFormat/>
    <w:rsid w:val="00A5665A"/>
    <w:pPr>
      <w:widowControl w:val="0"/>
      <w:tabs>
        <w:tab w:val="left" w:pos="2268"/>
      </w:tabs>
      <w:autoSpaceDE w:val="0"/>
      <w:autoSpaceDN w:val="0"/>
      <w:adjustRightInd w:val="0"/>
      <w:spacing w:after="120"/>
      <w:ind w:left="2268" w:hanging="1134"/>
    </w:pPr>
    <w:rPr>
      <w:rFonts w:ascii="Arial" w:eastAsia="SimSun" w:hAnsi="Arial" w:cs="Arial"/>
      <w:w w:val="90"/>
      <w:sz w:val="22"/>
      <w:szCs w:val="22"/>
    </w:rPr>
  </w:style>
  <w:style w:type="paragraph" w:styleId="FootnoteText">
    <w:name w:val="footnote text"/>
    <w:basedOn w:val="Normal"/>
    <w:link w:val="FootnoteTextChar"/>
    <w:uiPriority w:val="99"/>
    <w:semiHidden/>
    <w:unhideWhenUsed/>
    <w:rsid w:val="002220C5"/>
    <w:rPr>
      <w:sz w:val="20"/>
      <w:szCs w:val="20"/>
    </w:rPr>
  </w:style>
  <w:style w:type="character" w:customStyle="1" w:styleId="FootnoteTextChar">
    <w:name w:val="Footnote Text Char"/>
    <w:basedOn w:val="DefaultParagraphFont"/>
    <w:link w:val="FootnoteText"/>
    <w:uiPriority w:val="99"/>
    <w:semiHidden/>
    <w:rsid w:val="002220C5"/>
    <w:rPr>
      <w:rFonts w:ascii="Times New Roman" w:eastAsia="Times New Roman" w:hAnsi="Times New Roman"/>
      <w:lang w:val="es-ES" w:eastAsia="es-ES"/>
    </w:rPr>
  </w:style>
  <w:style w:type="character" w:styleId="FootnoteReference">
    <w:name w:val="footnote reference"/>
    <w:basedOn w:val="DefaultParagraphFont"/>
    <w:uiPriority w:val="99"/>
    <w:semiHidden/>
    <w:unhideWhenUsed/>
    <w:rsid w:val="002220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A5665A"/>
    <w:pPr>
      <w:numPr>
        <w:numId w:val="9"/>
      </w:numPr>
      <w:spacing w:after="120"/>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
    <w:name w:val="COM Para"/>
    <w:qFormat/>
    <w:rsid w:val="007E4C8B"/>
    <w:pPr>
      <w:spacing w:after="120"/>
      <w:ind w:left="567" w:hanging="567"/>
    </w:pPr>
    <w:rPr>
      <w:rFonts w:ascii="Arial" w:eastAsia="Times New Roman" w:hAnsi="Arial" w:cs="Arial"/>
      <w:snapToGrid w:val="0"/>
      <w:sz w:val="22"/>
      <w:szCs w:val="22"/>
    </w:rPr>
  </w:style>
  <w:style w:type="character" w:styleId="Hyperlink">
    <w:name w:val="Hyperlink"/>
    <w:uiPriority w:val="99"/>
    <w:unhideWhenUsed/>
    <w:rsid w:val="007E4C8B"/>
    <w:rPr>
      <w:color w:val="0000FF"/>
      <w:u w:val="single"/>
    </w:rPr>
  </w:style>
  <w:style w:type="paragraph" w:customStyle="1" w:styleId="U1">
    <w:name w:val="U.1"/>
    <w:basedOn w:val="Normal"/>
    <w:qFormat/>
    <w:rsid w:val="007E4C8B"/>
    <w:pPr>
      <w:widowControl w:val="0"/>
      <w:tabs>
        <w:tab w:val="left" w:pos="1701"/>
      </w:tabs>
      <w:autoSpaceDE w:val="0"/>
      <w:autoSpaceDN w:val="0"/>
      <w:adjustRightInd w:val="0"/>
      <w:spacing w:after="120"/>
      <w:ind w:left="1701" w:hanging="567"/>
    </w:pPr>
    <w:rPr>
      <w:rFonts w:ascii="Arial" w:eastAsia="SimSun" w:hAnsi="Arial" w:cs="Arial"/>
      <w:sz w:val="22"/>
      <w:szCs w:val="22"/>
    </w:rPr>
  </w:style>
  <w:style w:type="paragraph" w:customStyle="1" w:styleId="i">
    <w:name w:val="(i)"/>
    <w:basedOn w:val="Normal"/>
    <w:link w:val="iChar"/>
    <w:autoRedefine/>
    <w:qFormat/>
    <w:rsid w:val="007E4C8B"/>
    <w:pPr>
      <w:numPr>
        <w:numId w:val="22"/>
      </w:numPr>
      <w:autoSpaceDE w:val="0"/>
      <w:autoSpaceDN w:val="0"/>
      <w:adjustRightInd w:val="0"/>
      <w:spacing w:before="120" w:after="120"/>
      <w:ind w:right="284"/>
      <w:jc w:val="both"/>
    </w:pPr>
    <w:rPr>
      <w:rFonts w:ascii="Arial" w:eastAsia="SimSun" w:hAnsi="Arial" w:cs="Arial"/>
      <w:w w:val="90"/>
      <w:sz w:val="22"/>
      <w:szCs w:val="22"/>
    </w:rPr>
  </w:style>
  <w:style w:type="character" w:customStyle="1" w:styleId="iChar">
    <w:name w:val="(i) Char"/>
    <w:link w:val="i"/>
    <w:locked/>
    <w:rsid w:val="007E4C8B"/>
    <w:rPr>
      <w:rFonts w:ascii="Arial" w:hAnsi="Arial" w:cs="Arial"/>
      <w:w w:val="90"/>
      <w:sz w:val="22"/>
      <w:szCs w:val="22"/>
      <w:lang w:val="es-ES" w:eastAsia="es-ES"/>
    </w:rPr>
  </w:style>
  <w:style w:type="character" w:styleId="FollowedHyperlink">
    <w:name w:val="FollowedHyperlink"/>
    <w:basedOn w:val="DefaultParagraphFont"/>
    <w:uiPriority w:val="99"/>
    <w:semiHidden/>
    <w:unhideWhenUsed/>
    <w:rsid w:val="007E4C8B"/>
    <w:rPr>
      <w:color w:val="954F72" w:themeColor="followedHyperlink"/>
      <w:u w:val="single"/>
    </w:rPr>
  </w:style>
  <w:style w:type="paragraph" w:styleId="Revision">
    <w:name w:val="Revision"/>
    <w:hidden/>
    <w:uiPriority w:val="99"/>
    <w:semiHidden/>
    <w:rsid w:val="00E52E56"/>
    <w:rPr>
      <w:rFonts w:ascii="Times New Roman" w:eastAsia="Times New Roman" w:hAnsi="Times New Roman"/>
      <w:sz w:val="24"/>
      <w:szCs w:val="24"/>
    </w:rPr>
  </w:style>
  <w:style w:type="paragraph" w:customStyle="1" w:styleId="COMParaDecision">
    <w:name w:val="COM Para Decision"/>
    <w:basedOn w:val="Normal"/>
    <w:qFormat/>
    <w:rsid w:val="00E52E56"/>
    <w:pPr>
      <w:autoSpaceDE w:val="0"/>
      <w:autoSpaceDN w:val="0"/>
      <w:adjustRightInd w:val="0"/>
      <w:spacing w:after="120"/>
      <w:ind w:left="1134" w:hanging="567"/>
      <w:jc w:val="both"/>
    </w:pPr>
    <w:rPr>
      <w:rFonts w:ascii="Arial" w:eastAsia="SimSun" w:hAnsi="Arial" w:cs="Arial"/>
      <w:sz w:val="22"/>
      <w:szCs w:val="22"/>
      <w:u w:val="single"/>
    </w:rPr>
  </w:style>
  <w:style w:type="character" w:customStyle="1" w:styleId="st1">
    <w:name w:val="st1"/>
    <w:rsid w:val="00A5665A"/>
  </w:style>
  <w:style w:type="character" w:styleId="CommentReference">
    <w:name w:val="annotation reference"/>
    <w:basedOn w:val="DefaultParagraphFont"/>
    <w:uiPriority w:val="99"/>
    <w:semiHidden/>
    <w:unhideWhenUsed/>
    <w:rsid w:val="00A5665A"/>
    <w:rPr>
      <w:sz w:val="16"/>
      <w:szCs w:val="16"/>
    </w:rPr>
  </w:style>
  <w:style w:type="paragraph" w:styleId="CommentText">
    <w:name w:val="annotation text"/>
    <w:basedOn w:val="Normal"/>
    <w:link w:val="CommentTextChar"/>
    <w:uiPriority w:val="99"/>
    <w:semiHidden/>
    <w:unhideWhenUsed/>
    <w:rsid w:val="00A5665A"/>
    <w:rPr>
      <w:sz w:val="20"/>
      <w:szCs w:val="20"/>
    </w:rPr>
  </w:style>
  <w:style w:type="character" w:customStyle="1" w:styleId="CommentTextChar">
    <w:name w:val="Comment Text Char"/>
    <w:basedOn w:val="DefaultParagraphFont"/>
    <w:link w:val="CommentText"/>
    <w:uiPriority w:val="99"/>
    <w:semiHidden/>
    <w:rsid w:val="00A5665A"/>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A5665A"/>
    <w:rPr>
      <w:b/>
      <w:bCs/>
    </w:rPr>
  </w:style>
  <w:style w:type="character" w:customStyle="1" w:styleId="CommentSubjectChar">
    <w:name w:val="Comment Subject Char"/>
    <w:basedOn w:val="CommentTextChar"/>
    <w:link w:val="CommentSubject"/>
    <w:uiPriority w:val="99"/>
    <w:semiHidden/>
    <w:rsid w:val="00A5665A"/>
    <w:rPr>
      <w:rFonts w:ascii="Times New Roman" w:eastAsia="Times New Roman" w:hAnsi="Times New Roman"/>
      <w:b/>
      <w:bCs/>
      <w:lang w:val="es-ES" w:eastAsia="es-ES"/>
    </w:rPr>
  </w:style>
  <w:style w:type="paragraph" w:customStyle="1" w:styleId="Bullet1">
    <w:name w:val="Bullet_1"/>
    <w:basedOn w:val="Normal"/>
    <w:link w:val="Bullet1Char"/>
    <w:qFormat/>
    <w:rsid w:val="00A5665A"/>
    <w:pPr>
      <w:numPr>
        <w:numId w:val="38"/>
      </w:numPr>
      <w:snapToGrid w:val="0"/>
      <w:spacing w:before="240" w:after="240" w:line="360" w:lineRule="auto"/>
      <w:jc w:val="both"/>
    </w:pPr>
    <w:rPr>
      <w:rFonts w:ascii="Arial" w:eastAsia="SimSun" w:hAnsi="Arial" w:cs="Arial"/>
      <w:snapToGrid w:val="0"/>
      <w:sz w:val="28"/>
      <w:szCs w:val="28"/>
    </w:rPr>
  </w:style>
  <w:style w:type="paragraph" w:customStyle="1" w:styleId="Bullet2">
    <w:name w:val="Bullet_2"/>
    <w:basedOn w:val="Normal"/>
    <w:link w:val="Bullet2Char"/>
    <w:qFormat/>
    <w:rsid w:val="00A5665A"/>
    <w:pPr>
      <w:numPr>
        <w:ilvl w:val="1"/>
        <w:numId w:val="38"/>
      </w:numPr>
      <w:snapToGrid w:val="0"/>
      <w:spacing w:before="240" w:after="240" w:line="360" w:lineRule="auto"/>
      <w:jc w:val="both"/>
    </w:pPr>
    <w:rPr>
      <w:rFonts w:ascii="Arial" w:eastAsia="SimSun" w:hAnsi="Arial" w:cs="Arial"/>
      <w:snapToGrid w:val="0"/>
      <w:sz w:val="28"/>
      <w:szCs w:val="28"/>
    </w:rPr>
  </w:style>
  <w:style w:type="character" w:customStyle="1" w:styleId="Bullet1Char">
    <w:name w:val="Bullet_1 Char"/>
    <w:link w:val="Bullet1"/>
    <w:rsid w:val="00A5665A"/>
    <w:rPr>
      <w:rFonts w:ascii="Arial" w:hAnsi="Arial" w:cs="Arial"/>
      <w:snapToGrid w:val="0"/>
      <w:sz w:val="28"/>
      <w:szCs w:val="28"/>
      <w:lang w:eastAsia="es-ES"/>
    </w:rPr>
  </w:style>
  <w:style w:type="character" w:customStyle="1" w:styleId="Bullet2Char">
    <w:name w:val="Bullet_2 Char"/>
    <w:link w:val="Bullet2"/>
    <w:rsid w:val="00A5665A"/>
    <w:rPr>
      <w:rFonts w:ascii="Arial" w:hAnsi="Arial" w:cs="Arial"/>
      <w:snapToGrid w:val="0"/>
      <w:sz w:val="28"/>
      <w:szCs w:val="28"/>
      <w:lang w:eastAsia="es-ES"/>
    </w:rPr>
  </w:style>
  <w:style w:type="paragraph" w:customStyle="1" w:styleId="dates">
    <w:name w:val="dates"/>
    <w:basedOn w:val="Normal"/>
    <w:qFormat/>
    <w:rsid w:val="00A5665A"/>
    <w:pPr>
      <w:widowControl w:val="0"/>
      <w:tabs>
        <w:tab w:val="left" w:pos="2268"/>
      </w:tabs>
      <w:autoSpaceDE w:val="0"/>
      <w:autoSpaceDN w:val="0"/>
      <w:adjustRightInd w:val="0"/>
      <w:spacing w:after="120"/>
      <w:ind w:left="2268" w:hanging="1134"/>
    </w:pPr>
    <w:rPr>
      <w:rFonts w:ascii="Arial" w:eastAsia="SimSun" w:hAnsi="Arial" w:cs="Arial"/>
      <w:w w:val="90"/>
      <w:sz w:val="22"/>
      <w:szCs w:val="22"/>
    </w:rPr>
  </w:style>
  <w:style w:type="paragraph" w:styleId="FootnoteText">
    <w:name w:val="footnote text"/>
    <w:basedOn w:val="Normal"/>
    <w:link w:val="FootnoteTextChar"/>
    <w:uiPriority w:val="99"/>
    <w:semiHidden/>
    <w:unhideWhenUsed/>
    <w:rsid w:val="002220C5"/>
    <w:rPr>
      <w:sz w:val="20"/>
      <w:szCs w:val="20"/>
    </w:rPr>
  </w:style>
  <w:style w:type="character" w:customStyle="1" w:styleId="FootnoteTextChar">
    <w:name w:val="Footnote Text Char"/>
    <w:basedOn w:val="DefaultParagraphFont"/>
    <w:link w:val="FootnoteText"/>
    <w:uiPriority w:val="99"/>
    <w:semiHidden/>
    <w:rsid w:val="002220C5"/>
    <w:rPr>
      <w:rFonts w:ascii="Times New Roman" w:eastAsia="Times New Roman" w:hAnsi="Times New Roman"/>
      <w:lang w:val="es-ES" w:eastAsia="es-ES"/>
    </w:rPr>
  </w:style>
  <w:style w:type="character" w:styleId="FootnoteReference">
    <w:name w:val="footnote reference"/>
    <w:basedOn w:val="DefaultParagraphFont"/>
    <w:uiPriority w:val="99"/>
    <w:semiHidden/>
    <w:unhideWhenUsed/>
    <w:rsid w:val="002220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74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9271984">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en/Decisions/10.COM/15.c" TargetMode="External"/><Relationship Id="rId18" Type="http://schemas.openxmlformats.org/officeDocument/2006/relationships/hyperlink" Target="http://www.unesco.org/culture/ich/doc/src/ITH-13-8.COM-5.c-EN.doc" TargetMode="External"/><Relationship Id="rId26" Type="http://schemas.openxmlformats.org/officeDocument/2006/relationships/hyperlink" Target="http://unesdoc.unesco.org/images/0024/002433/243325e.pdf" TargetMode="External"/><Relationship Id="rId39" Type="http://schemas.openxmlformats.org/officeDocument/2006/relationships/hyperlink" Target="http://www.unesco.org/culture/ich/doc/src/ITH-12-7.COM-13.a-EN.doc" TargetMode="External"/><Relationship Id="rId21" Type="http://schemas.openxmlformats.org/officeDocument/2006/relationships/hyperlink" Target="http://www.unesco.org/culture/ich/doc/src/20548-EN.pdf" TargetMode="External"/><Relationship Id="rId34" Type="http://schemas.openxmlformats.org/officeDocument/2006/relationships/hyperlink" Target="http://www.unesco.org/culture/ich/en/Decisions/8.COM/6.a" TargetMode="External"/><Relationship Id="rId42" Type="http://schemas.openxmlformats.org/officeDocument/2006/relationships/hyperlink" Target="http://www.unesco.org/culture/ich/doc/src/ITH-15-10.COM-14.b_EN.docx" TargetMode="External"/><Relationship Id="rId47" Type="http://schemas.openxmlformats.org/officeDocument/2006/relationships/hyperlink" Target="http://www.unesco.org/culture/ich/en/Decisions/10.COM/14.c" TargetMode="External"/><Relationship Id="rId50" Type="http://schemas.openxmlformats.org/officeDocument/2006/relationships/header" Target="header3.xml"/><Relationship Id="rId55" Type="http://schemas.openxmlformats.org/officeDocument/2006/relationships/header" Target="header6.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nesco.org/culture/ich/en/Resolutions/4.GA/5" TargetMode="External"/><Relationship Id="rId29" Type="http://schemas.openxmlformats.org/officeDocument/2006/relationships/hyperlink" Target="http://unesdoc.unesco.org/images/0022/002230/223095e.pdf" TargetMode="External"/><Relationship Id="rId11" Type="http://schemas.openxmlformats.org/officeDocument/2006/relationships/hyperlink" Target="http://www.unesco.org/culture/ich/en/Decisions/10.COM/14.b" TargetMode="External"/><Relationship Id="rId24" Type="http://schemas.openxmlformats.org/officeDocument/2006/relationships/hyperlink" Target="http://www.un.org/ga/search/view_doc.asp?symbol=A/70/L.1&amp;Lang=E" TargetMode="External"/><Relationship Id="rId32" Type="http://schemas.openxmlformats.org/officeDocument/2006/relationships/hyperlink" Target="http://www.unesco.org/culture/ich/en/Decisions/8.COM/6.a" TargetMode="External"/><Relationship Id="rId37" Type="http://schemas.openxmlformats.org/officeDocument/2006/relationships/hyperlink" Target="http://www.unesco.org/culture/ich/en/Resolutions/3.GA/5" TargetMode="External"/><Relationship Id="rId40" Type="http://schemas.openxmlformats.org/officeDocument/2006/relationships/hyperlink" Target="http://www.unesco.org/culture/ich/doc/src/ITH-13-8.COM-13.b-EN.doc" TargetMode="External"/><Relationship Id="rId45" Type="http://schemas.openxmlformats.org/officeDocument/2006/relationships/hyperlink" Target="http://www.unesco.org/culture/ich/en/Resolutions/2.GA/5" TargetMode="External"/><Relationship Id="rId53" Type="http://schemas.openxmlformats.org/officeDocument/2006/relationships/footer" Target="footer1.xml"/><Relationship Id="rId58" Type="http://schemas.openxmlformats.org/officeDocument/2006/relationships/hyperlink" Target="http://www.unesco.org/culture/ich" TargetMode="External"/><Relationship Id="rId5" Type="http://schemas.openxmlformats.org/officeDocument/2006/relationships/settings" Target="settings.xml"/><Relationship Id="rId61" Type="http://schemas.openxmlformats.org/officeDocument/2006/relationships/hyperlink" Target="http://www.unesco.org/culture/ich" TargetMode="External"/><Relationship Id="rId19" Type="http://schemas.openxmlformats.org/officeDocument/2006/relationships/hyperlink" Target="http://www.unesco.org/culture/ich/en/Decisions/10.COM/15.c" TargetMode="External"/><Relationship Id="rId14" Type="http://schemas.openxmlformats.org/officeDocument/2006/relationships/hyperlink" Target="http://www.unesco.org/culture/ich/en/Resolutions/2.GA/5" TargetMode="External"/><Relationship Id="rId22" Type="http://schemas.openxmlformats.org/officeDocument/2006/relationships/hyperlink" Target="http://www.unesco.org/culture/ich/en/Decisions/8.COM/13.a" TargetMode="External"/><Relationship Id="rId27" Type="http://schemas.openxmlformats.org/officeDocument/2006/relationships/hyperlink" Target="http://en.unesco.org/creativity/sites/creativity/files/Conv2005_DO_Art_13_EN.pdf" TargetMode="External"/><Relationship Id="rId30" Type="http://schemas.openxmlformats.org/officeDocument/2006/relationships/hyperlink" Target="http://www.unesco.org/culture/ich/doc/src/ITH-13-8.COM-INF.5.c-EN.doc" TargetMode="External"/><Relationship Id="rId35" Type="http://schemas.openxmlformats.org/officeDocument/2006/relationships/hyperlink" Target="http://www.unesco.org/culture/ich/en/Decisions/8.COM/14.b" TargetMode="External"/><Relationship Id="rId43" Type="http://schemas.openxmlformats.org/officeDocument/2006/relationships/hyperlink" Target="http://www.unesco.org/culture/ich/en/Decisions/9.COM/13.c" TargetMode="External"/><Relationship Id="rId48" Type="http://schemas.openxmlformats.org/officeDocument/2006/relationships/header" Target="header1.xm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www.unesco.org/culture/ich/en/Decisions/10.COM/14.c" TargetMode="External"/><Relationship Id="rId17" Type="http://schemas.openxmlformats.org/officeDocument/2006/relationships/hyperlink" Target="http://www.unesco.org/culture/ich/en/Resolutions/5.GA/5.1" TargetMode="External"/><Relationship Id="rId25" Type="http://schemas.openxmlformats.org/officeDocument/2006/relationships/hyperlink" Target="http://unesdoc.unesco.org/images/0023/002328/232890e.pdf" TargetMode="External"/><Relationship Id="rId33" Type="http://schemas.openxmlformats.org/officeDocument/2006/relationships/hyperlink" Target="http://www.unesco.org/culture/ich/en/Decisions/8.COM/5.c.1" TargetMode="External"/><Relationship Id="rId38" Type="http://schemas.openxmlformats.org/officeDocument/2006/relationships/hyperlink" Target="http://www.unesco.org/culture/ich/en/Resolutions/4.GA/5" TargetMode="External"/><Relationship Id="rId46" Type="http://schemas.openxmlformats.org/officeDocument/2006/relationships/hyperlink" Target="http://www.unesco.org/culture/ich/en/Decisions/9.COM/14" TargetMode="External"/><Relationship Id="rId59" Type="http://schemas.openxmlformats.org/officeDocument/2006/relationships/hyperlink" Target="http://www.unesco.org/culture/ich" TargetMode="External"/><Relationship Id="rId20" Type="http://schemas.openxmlformats.org/officeDocument/2006/relationships/hyperlink" Target="http://www.unesco.org/culture/ich/en/Decisions/10.COM/15.c" TargetMode="External"/><Relationship Id="rId41" Type="http://schemas.openxmlformats.org/officeDocument/2006/relationships/hyperlink" Target="hhttp://www.unesco.org/culture/ich/doc/src/ITH-14-9.COM-13.c-EN.doc" TargetMode="External"/><Relationship Id="rId54" Type="http://schemas.openxmlformats.org/officeDocument/2006/relationships/footer" Target="footer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nesco.org/culture/ich/en/Resolutions/3.GA/5" TargetMode="External"/><Relationship Id="rId23" Type="http://schemas.openxmlformats.org/officeDocument/2006/relationships/hyperlink" Target="http://www.unesco.org/culture/ich/en/Decisions/10.COM/14.a" TargetMode="External"/><Relationship Id="rId28" Type="http://schemas.openxmlformats.org/officeDocument/2006/relationships/hyperlink" Target="http://whc.unesco.org/document/135650" TargetMode="External"/><Relationship Id="rId36" Type="http://schemas.openxmlformats.org/officeDocument/2006/relationships/hyperlink" Target="http://www.unesco.org/culture/ich/en/Decisions/9.COM/13.a" TargetMode="External"/><Relationship Id="rId49" Type="http://schemas.openxmlformats.org/officeDocument/2006/relationships/header" Target="header2.xml"/><Relationship Id="rId57" Type="http://schemas.openxmlformats.org/officeDocument/2006/relationships/hyperlink" Target="http://www.unesco.org/culture/ich" TargetMode="External"/><Relationship Id="rId10" Type="http://schemas.openxmlformats.org/officeDocument/2006/relationships/hyperlink" Target="http://www.unesco.org/culture/ich/en/Decisions/10.COM/14.a" TargetMode="External"/><Relationship Id="rId31" Type="http://schemas.openxmlformats.org/officeDocument/2006/relationships/hyperlink" Target="http://www.unesco.org/culture/ich/en/Decisions/8.COM/5.c.1" TargetMode="External"/><Relationship Id="rId44" Type="http://schemas.openxmlformats.org/officeDocument/2006/relationships/hyperlink" Target="http://www.unesco.org/culture/ich/en/Decisions/10.COM/14.b" TargetMode="External"/><Relationship Id="rId52" Type="http://schemas.openxmlformats.org/officeDocument/2006/relationships/header" Target="header5.xml"/><Relationship Id="rId60" Type="http://schemas.openxmlformats.org/officeDocument/2006/relationships/hyperlink" Target="http://www.unesco.org/culture/ich" TargetMode="External"/><Relationship Id="rId4" Type="http://schemas.microsoft.com/office/2007/relationships/stylesWithEffects" Target="stylesWithEffects.xml"/><Relationship Id="rId9" Type="http://schemas.openxmlformats.org/officeDocument/2006/relationships/hyperlink" Target="http://www.unesco.org/culture/ich/en/Decisions/9.COM/13.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53C9F-766A-4095-B3F7-738A93A5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7</TotalTime>
  <Pages>33</Pages>
  <Words>15386</Words>
  <Characters>84625</Characters>
  <Application>Microsoft Office Word</Application>
  <DocSecurity>0</DocSecurity>
  <Lines>705</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99812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6</cp:revision>
  <cp:lastPrinted>2016-03-25T16:20:00Z</cp:lastPrinted>
  <dcterms:created xsi:type="dcterms:W3CDTF">2016-04-28T12:33:00Z</dcterms:created>
  <dcterms:modified xsi:type="dcterms:W3CDTF">2016-04-29T13:35:00Z</dcterms:modified>
</cp:coreProperties>
</file>