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28F04"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0DB1B26C" w14:textId="77777777" w:rsidR="00F943B7" w:rsidRPr="00414643" w:rsidRDefault="00F943B7" w:rsidP="00F943B7">
      <w:pPr>
        <w:spacing w:before="1200"/>
        <w:jc w:val="center"/>
        <w:rPr>
          <w:rFonts w:ascii="Arial" w:hAnsi="Arial" w:cs="Arial"/>
          <w:b/>
          <w:sz w:val="22"/>
          <w:szCs w:val="22"/>
        </w:rPr>
      </w:pPr>
      <w:r>
        <w:rPr>
          <w:rFonts w:ascii="Arial" w:hAnsi="Arial"/>
          <w:b/>
          <w:sz w:val="22"/>
        </w:rPr>
        <w:t>ASSEMBLÉE GÉNÉRALE DES ÉTATS PARTIES À LA CONVENTION</w:t>
      </w:r>
    </w:p>
    <w:p w14:paraId="65FB12BA" w14:textId="77777777" w:rsidR="00F943B7" w:rsidRPr="00FD624F" w:rsidRDefault="00F943B7" w:rsidP="00F943B7">
      <w:pPr>
        <w:spacing w:before="840"/>
        <w:jc w:val="center"/>
        <w:rPr>
          <w:rFonts w:ascii="Arial" w:hAnsi="Arial" w:cs="Arial"/>
          <w:b/>
          <w:sz w:val="22"/>
          <w:szCs w:val="22"/>
        </w:rPr>
      </w:pPr>
      <w:r>
        <w:rPr>
          <w:rFonts w:ascii="Arial" w:hAnsi="Arial"/>
          <w:b/>
          <w:sz w:val="22"/>
        </w:rPr>
        <w:t>Sixième session</w:t>
      </w:r>
    </w:p>
    <w:p w14:paraId="63753B3E" w14:textId="77777777" w:rsidR="00F943B7" w:rsidRPr="00FD624F" w:rsidRDefault="00F943B7" w:rsidP="00F943B7">
      <w:pPr>
        <w:jc w:val="center"/>
        <w:rPr>
          <w:rFonts w:ascii="Arial" w:hAnsi="Arial" w:cs="Arial"/>
          <w:b/>
          <w:sz w:val="22"/>
          <w:szCs w:val="22"/>
        </w:rPr>
      </w:pPr>
      <w:r>
        <w:rPr>
          <w:rFonts w:ascii="Arial" w:hAnsi="Arial"/>
          <w:b/>
          <w:sz w:val="22"/>
        </w:rPr>
        <w:t>Siège de l’UNESCO, Salle II</w:t>
      </w:r>
    </w:p>
    <w:p w14:paraId="23A6FAD6" w14:textId="77777777" w:rsidR="0016418B" w:rsidRPr="0033544D" w:rsidRDefault="0016418B" w:rsidP="0016418B">
      <w:pPr>
        <w:jc w:val="center"/>
        <w:rPr>
          <w:rFonts w:ascii="Arial" w:hAnsi="Arial" w:cs="Arial"/>
          <w:b/>
          <w:szCs w:val="22"/>
        </w:rPr>
      </w:pPr>
      <w:r w:rsidRPr="0033544D">
        <w:rPr>
          <w:rFonts w:ascii="Arial" w:hAnsi="Arial" w:cs="Arial"/>
          <w:b/>
          <w:sz w:val="22"/>
          <w:szCs w:val="22"/>
        </w:rPr>
        <w:t xml:space="preserve">30 </w:t>
      </w:r>
      <w:r w:rsidRPr="00E67457">
        <w:rPr>
          <w:rFonts w:ascii="Arial" w:hAnsi="Arial" w:cs="Arial"/>
          <w:b/>
          <w:sz w:val="22"/>
          <w:szCs w:val="22"/>
        </w:rPr>
        <w:t>mai – 1</w:t>
      </w:r>
      <w:r w:rsidRPr="00E67457">
        <w:rPr>
          <w:rFonts w:ascii="Arial" w:hAnsi="Arial" w:cs="Arial"/>
          <w:b/>
          <w:sz w:val="22"/>
          <w:szCs w:val="22"/>
          <w:vertAlign w:val="superscript"/>
        </w:rPr>
        <w:t>er</w:t>
      </w:r>
      <w:r w:rsidRPr="00E67457">
        <w:rPr>
          <w:rFonts w:ascii="Arial" w:hAnsi="Arial" w:cs="Arial"/>
          <w:b/>
          <w:sz w:val="22"/>
          <w:szCs w:val="22"/>
        </w:rPr>
        <w:t xml:space="preserve"> juin</w:t>
      </w:r>
      <w:r w:rsidRPr="0033544D">
        <w:rPr>
          <w:rFonts w:ascii="Arial" w:hAnsi="Arial" w:cs="Arial"/>
          <w:b/>
          <w:sz w:val="22"/>
          <w:szCs w:val="22"/>
        </w:rPr>
        <w:t xml:space="preserve"> 2016</w:t>
      </w:r>
    </w:p>
    <w:p w14:paraId="676D532D" w14:textId="57F1ACA5" w:rsidR="00BC3420" w:rsidRPr="00A61C6E" w:rsidRDefault="00BC3420" w:rsidP="00BC3420">
      <w:pPr>
        <w:jc w:val="center"/>
        <w:rPr>
          <w:rFonts w:ascii="Arial" w:hAnsi="Arial" w:cs="Arial"/>
          <w:b/>
          <w:sz w:val="22"/>
          <w:szCs w:val="22"/>
        </w:rPr>
      </w:pPr>
    </w:p>
    <w:p w14:paraId="681CCB19" w14:textId="3E89345A" w:rsidR="00BC3420" w:rsidRPr="00EE55A0" w:rsidRDefault="00BC3420" w:rsidP="00BC3420">
      <w:pPr>
        <w:pStyle w:val="Sansinterligne2"/>
        <w:spacing w:before="1200"/>
        <w:jc w:val="center"/>
        <w:rPr>
          <w:rFonts w:ascii="Arial" w:hAnsi="Arial" w:cs="Arial"/>
          <w:b/>
          <w:sz w:val="22"/>
          <w:szCs w:val="22"/>
          <w:u w:val="single"/>
        </w:rPr>
      </w:pPr>
      <w:r w:rsidRPr="00B43974">
        <w:rPr>
          <w:rFonts w:ascii="Arial" w:hAnsi="Arial" w:cs="Arial"/>
          <w:b/>
          <w:sz w:val="22"/>
          <w:szCs w:val="22"/>
          <w:u w:val="single"/>
        </w:rPr>
        <w:t xml:space="preserve">Point </w:t>
      </w:r>
      <w:r w:rsidR="00F943B7">
        <w:rPr>
          <w:rFonts w:ascii="Arial" w:hAnsi="Arial" w:cs="Arial"/>
          <w:b/>
          <w:sz w:val="22"/>
          <w:szCs w:val="22"/>
          <w:u w:val="single"/>
        </w:rPr>
        <w:t>6</w:t>
      </w:r>
      <w:r w:rsidR="00A03C71">
        <w:rPr>
          <w:rFonts w:ascii="Arial" w:hAnsi="Arial" w:cs="Arial"/>
          <w:b/>
          <w:sz w:val="22"/>
          <w:szCs w:val="22"/>
          <w:u w:val="single"/>
        </w:rPr>
        <w:t xml:space="preserve"> </w:t>
      </w:r>
      <w:r w:rsidRPr="00B43974">
        <w:rPr>
          <w:rFonts w:ascii="Arial" w:hAnsi="Arial" w:cs="Arial"/>
          <w:b/>
          <w:sz w:val="22"/>
          <w:szCs w:val="22"/>
          <w:u w:val="single"/>
        </w:rPr>
        <w:t xml:space="preserve">de l’ordre du jour </w:t>
      </w:r>
      <w:r w:rsidRPr="00EE55A0">
        <w:rPr>
          <w:rFonts w:ascii="Arial" w:hAnsi="Arial" w:cs="Arial"/>
          <w:b/>
          <w:sz w:val="22"/>
          <w:szCs w:val="22"/>
          <w:u w:val="single"/>
        </w:rPr>
        <w:t>provisoire</w:t>
      </w:r>
      <w:r w:rsidRPr="00724B1B">
        <w:rPr>
          <w:rFonts w:ascii="Arial" w:hAnsi="Arial" w:cs="Arial"/>
          <w:b/>
          <w:sz w:val="22"/>
          <w:szCs w:val="22"/>
        </w:rPr>
        <w:t> :</w:t>
      </w:r>
    </w:p>
    <w:p w14:paraId="33A8718C" w14:textId="17B65044" w:rsidR="00BC3420" w:rsidRPr="00B43974" w:rsidRDefault="00A03C71" w:rsidP="00BC3420">
      <w:pPr>
        <w:pStyle w:val="NoSpacing"/>
        <w:spacing w:after="1200"/>
        <w:jc w:val="center"/>
        <w:rPr>
          <w:rFonts w:ascii="Arial" w:hAnsi="Arial" w:cs="Arial"/>
          <w:b/>
          <w:sz w:val="22"/>
          <w:szCs w:val="22"/>
        </w:rPr>
      </w:pPr>
      <w:r>
        <w:rPr>
          <w:rFonts w:ascii="Arial" w:hAnsi="Arial" w:cs="Arial"/>
          <w:b/>
          <w:sz w:val="22"/>
          <w:szCs w:val="22"/>
        </w:rPr>
        <w:t>Rapport du Secrétariat</w:t>
      </w:r>
      <w:r w:rsidR="00143044">
        <w:rPr>
          <w:rFonts w:ascii="Arial" w:hAnsi="Arial" w:cs="Arial"/>
          <w:b/>
          <w:sz w:val="22"/>
          <w:szCs w:val="22"/>
        </w:rPr>
        <w:t xml:space="preserve"> sur ses ac</w:t>
      </w:r>
      <w:r w:rsidR="00760B8B">
        <w:rPr>
          <w:rFonts w:ascii="Arial" w:hAnsi="Arial" w:cs="Arial"/>
          <w:b/>
          <w:sz w:val="22"/>
          <w:szCs w:val="22"/>
        </w:rPr>
        <w:t>tivités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B43974" w14:paraId="7683C290" w14:textId="77777777" w:rsidTr="0019264E">
        <w:trPr>
          <w:jc w:val="center"/>
        </w:trPr>
        <w:tc>
          <w:tcPr>
            <w:tcW w:w="7825" w:type="dxa"/>
            <w:vAlign w:val="center"/>
          </w:tcPr>
          <w:p w14:paraId="6018DE2D" w14:textId="77777777" w:rsidR="00BC3420" w:rsidRPr="00B43974" w:rsidRDefault="00BC3420" w:rsidP="0019264E">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14:paraId="351047C7" w14:textId="158BAE51" w:rsidR="00A03C71" w:rsidRPr="00760B8B" w:rsidRDefault="00760B8B" w:rsidP="00EE55A0">
            <w:pPr>
              <w:pStyle w:val="Sansinterligne2"/>
              <w:spacing w:before="200" w:after="200"/>
              <w:ind w:left="171" w:right="284"/>
              <w:jc w:val="both"/>
              <w:rPr>
                <w:rFonts w:ascii="Arial" w:hAnsi="Arial" w:cs="Arial"/>
                <w:sz w:val="22"/>
                <w:szCs w:val="22"/>
              </w:rPr>
            </w:pPr>
            <w:r>
              <w:rPr>
                <w:rFonts w:ascii="Arial" w:hAnsi="Arial" w:cs="Arial"/>
                <w:sz w:val="22"/>
                <w:szCs w:val="22"/>
              </w:rPr>
              <w:t xml:space="preserve">Le présent </w:t>
            </w:r>
            <w:r w:rsidR="00F943B7">
              <w:rPr>
                <w:rFonts w:ascii="Arial" w:hAnsi="Arial" w:cs="Arial"/>
                <w:sz w:val="22"/>
                <w:szCs w:val="22"/>
              </w:rPr>
              <w:t>document</w:t>
            </w:r>
            <w:r>
              <w:rPr>
                <w:rFonts w:ascii="Arial" w:hAnsi="Arial" w:cs="Arial"/>
                <w:sz w:val="22"/>
                <w:szCs w:val="22"/>
              </w:rPr>
              <w:t xml:space="preserve"> </w:t>
            </w:r>
            <w:r w:rsidR="00F943B7">
              <w:rPr>
                <w:rFonts w:ascii="Arial" w:hAnsi="Arial" w:cs="Arial"/>
                <w:sz w:val="22"/>
                <w:szCs w:val="22"/>
              </w:rPr>
              <w:t>présente les</w:t>
            </w:r>
            <w:r>
              <w:rPr>
                <w:rFonts w:ascii="Arial" w:hAnsi="Arial" w:cs="Arial"/>
                <w:sz w:val="22"/>
                <w:szCs w:val="22"/>
              </w:rPr>
              <w:t xml:space="preserve"> activités </w:t>
            </w:r>
            <w:r w:rsidR="00DE2342">
              <w:rPr>
                <w:rFonts w:ascii="Arial" w:hAnsi="Arial" w:cs="Arial"/>
                <w:sz w:val="22"/>
                <w:szCs w:val="22"/>
              </w:rPr>
              <w:t>menées</w:t>
            </w:r>
            <w:r w:rsidR="00F943B7">
              <w:rPr>
                <w:rFonts w:ascii="Arial" w:hAnsi="Arial" w:cs="Arial"/>
                <w:sz w:val="22"/>
                <w:szCs w:val="22"/>
              </w:rPr>
              <w:t xml:space="preserve"> par le</w:t>
            </w:r>
            <w:r>
              <w:rPr>
                <w:rFonts w:ascii="Arial" w:hAnsi="Arial" w:cs="Arial"/>
                <w:sz w:val="22"/>
                <w:szCs w:val="22"/>
              </w:rPr>
              <w:t xml:space="preserve"> </w:t>
            </w:r>
            <w:r w:rsidRPr="00760B8B">
              <w:rPr>
                <w:rFonts w:ascii="Arial" w:hAnsi="Arial" w:cs="Arial"/>
                <w:sz w:val="22"/>
                <w:szCs w:val="22"/>
              </w:rPr>
              <w:t>Secrétariat</w:t>
            </w:r>
            <w:r>
              <w:rPr>
                <w:rFonts w:ascii="Arial" w:hAnsi="Arial" w:cs="Arial"/>
                <w:sz w:val="22"/>
                <w:szCs w:val="22"/>
              </w:rPr>
              <w:t xml:space="preserve"> </w:t>
            </w:r>
            <w:r w:rsidR="00F943B7">
              <w:rPr>
                <w:rFonts w:ascii="Arial" w:hAnsi="Arial" w:cs="Arial"/>
                <w:sz w:val="22"/>
                <w:szCs w:val="22"/>
              </w:rPr>
              <w:t>de juin 2014 à juin 2016.</w:t>
            </w:r>
          </w:p>
          <w:p w14:paraId="4C9E788E" w14:textId="1B5C5B62" w:rsidR="00BC3420" w:rsidRPr="00B43974" w:rsidRDefault="00A54E83" w:rsidP="00F943B7">
            <w:pPr>
              <w:pStyle w:val="Sansinterligne2"/>
              <w:spacing w:before="200" w:after="200"/>
              <w:ind w:left="171" w:right="284"/>
              <w:jc w:val="both"/>
              <w:rPr>
                <w:rFonts w:ascii="Arial" w:hAnsi="Arial" w:cs="Arial"/>
                <w:b/>
                <w:sz w:val="22"/>
                <w:szCs w:val="22"/>
              </w:rPr>
            </w:pPr>
            <w:r>
              <w:rPr>
                <w:rFonts w:ascii="Arial" w:hAnsi="Arial" w:cs="Arial"/>
                <w:b/>
                <w:sz w:val="22"/>
                <w:szCs w:val="22"/>
              </w:rPr>
              <w:t>Décision</w:t>
            </w:r>
            <w:r w:rsidR="00BC3420" w:rsidRPr="00B43974">
              <w:rPr>
                <w:rFonts w:ascii="Arial" w:hAnsi="Arial" w:cs="Arial"/>
                <w:b/>
                <w:sz w:val="22"/>
                <w:szCs w:val="22"/>
              </w:rPr>
              <w:t xml:space="preserve"> requise : </w:t>
            </w:r>
            <w:r w:rsidR="00BC3420" w:rsidRPr="00B43974">
              <w:rPr>
                <w:rFonts w:ascii="Arial" w:hAnsi="Arial" w:cs="Arial"/>
                <w:bCs/>
                <w:sz w:val="22"/>
                <w:szCs w:val="22"/>
              </w:rPr>
              <w:t>paragraphe</w:t>
            </w:r>
            <w:r w:rsidR="00A03C71">
              <w:rPr>
                <w:rFonts w:ascii="Arial" w:hAnsi="Arial" w:cs="Arial"/>
                <w:bCs/>
                <w:sz w:val="22"/>
                <w:szCs w:val="22"/>
              </w:rPr>
              <w:t> </w:t>
            </w:r>
            <w:r w:rsidR="00F104F1">
              <w:rPr>
                <w:rFonts w:ascii="Arial" w:hAnsi="Arial" w:cs="Arial"/>
                <w:bCs/>
                <w:sz w:val="22"/>
                <w:szCs w:val="22"/>
              </w:rPr>
              <w:t>89</w:t>
            </w:r>
          </w:p>
        </w:tc>
      </w:tr>
    </w:tbl>
    <w:p w14:paraId="37CC0C7E" w14:textId="7D0740C9" w:rsidR="00A03C71" w:rsidRPr="00760B8B" w:rsidRDefault="00BC3420" w:rsidP="00A03C71">
      <w:pPr>
        <w:pStyle w:val="COMPara"/>
        <w:numPr>
          <w:ilvl w:val="0"/>
          <w:numId w:val="9"/>
        </w:numPr>
        <w:ind w:left="567" w:hanging="567"/>
        <w:jc w:val="both"/>
        <w:rPr>
          <w:lang w:val="fr-FR"/>
        </w:rPr>
      </w:pPr>
      <w:r w:rsidRPr="00022428">
        <w:rPr>
          <w:lang w:val="fr-FR"/>
        </w:rPr>
        <w:br w:type="page"/>
      </w:r>
      <w:r w:rsidR="00025ECA">
        <w:rPr>
          <w:lang w:val="fr-FR"/>
        </w:rPr>
        <w:lastRenderedPageBreak/>
        <w:t>Depuis la soumission de son précédent rapport à la cinquième session de l’Assemblée générale en juin 2014 (</w:t>
      </w:r>
      <w:hyperlink r:id="rId8" w:history="1">
        <w:r w:rsidR="00183F66" w:rsidRPr="00183F66">
          <w:rPr>
            <w:rStyle w:val="Hyperlink"/>
            <w:lang w:val="fr-FR"/>
          </w:rPr>
          <w:t>document ITH/14/5.GA/4.3</w:t>
        </w:r>
      </w:hyperlink>
      <w:r w:rsidR="00183F66">
        <w:rPr>
          <w:lang w:val="fr-FR"/>
        </w:rPr>
        <w:t>),</w:t>
      </w:r>
      <w:r w:rsidR="00025ECA">
        <w:rPr>
          <w:lang w:val="fr-FR"/>
        </w:rPr>
        <w:t>l</w:t>
      </w:r>
      <w:r w:rsidR="00760B8B" w:rsidRPr="00760B8B">
        <w:rPr>
          <w:lang w:val="fr-FR"/>
        </w:rPr>
        <w:t xml:space="preserve">e </w:t>
      </w:r>
      <w:r w:rsidR="00F70DAD" w:rsidRPr="00760B8B">
        <w:rPr>
          <w:lang w:val="fr-FR"/>
        </w:rPr>
        <w:t>Secrétariat</w:t>
      </w:r>
      <w:r w:rsidR="00A03C71" w:rsidRPr="00760B8B">
        <w:rPr>
          <w:lang w:val="fr-FR"/>
        </w:rPr>
        <w:t xml:space="preserve"> </w:t>
      </w:r>
      <w:r w:rsidR="00F70DAD">
        <w:rPr>
          <w:lang w:val="fr-FR"/>
        </w:rPr>
        <w:t xml:space="preserve">a fourni un </w:t>
      </w:r>
      <w:r w:rsidR="00A03C71" w:rsidRPr="00760B8B">
        <w:rPr>
          <w:lang w:val="fr-FR"/>
        </w:rPr>
        <w:t>r</w:t>
      </w:r>
      <w:r w:rsidR="00F70DAD">
        <w:rPr>
          <w:lang w:val="fr-FR"/>
        </w:rPr>
        <w:t>ap</w:t>
      </w:r>
      <w:r w:rsidR="00A03C71" w:rsidRPr="00760B8B">
        <w:rPr>
          <w:lang w:val="fr-FR"/>
        </w:rPr>
        <w:t xml:space="preserve">port </w:t>
      </w:r>
      <w:r w:rsidR="00F70DAD">
        <w:rPr>
          <w:lang w:val="fr-FR"/>
        </w:rPr>
        <w:t xml:space="preserve">détaillé sur ses </w:t>
      </w:r>
      <w:r w:rsidR="00A03C71" w:rsidRPr="00760B8B">
        <w:rPr>
          <w:lang w:val="fr-FR"/>
        </w:rPr>
        <w:t>activit</w:t>
      </w:r>
      <w:r w:rsidR="00F70DAD">
        <w:rPr>
          <w:lang w:val="fr-FR"/>
        </w:rPr>
        <w:t>é</w:t>
      </w:r>
      <w:r w:rsidR="00A03C71" w:rsidRPr="00760B8B">
        <w:rPr>
          <w:lang w:val="fr-FR"/>
        </w:rPr>
        <w:t>s</w:t>
      </w:r>
      <w:r w:rsidR="00F70DAD">
        <w:rPr>
          <w:lang w:val="fr-FR"/>
        </w:rPr>
        <w:t xml:space="preserve"> de 2014</w:t>
      </w:r>
      <w:r w:rsidR="00A03C71" w:rsidRPr="00760B8B">
        <w:rPr>
          <w:lang w:val="fr-FR"/>
        </w:rPr>
        <w:t xml:space="preserve"> </w:t>
      </w:r>
      <w:r w:rsidR="00F70DAD">
        <w:rPr>
          <w:lang w:val="fr-FR"/>
        </w:rPr>
        <w:t xml:space="preserve">lors de la neuvième </w:t>
      </w:r>
      <w:r w:rsidR="00A03C71" w:rsidRPr="00760B8B">
        <w:rPr>
          <w:lang w:val="fr-FR"/>
        </w:rPr>
        <w:t xml:space="preserve">session </w:t>
      </w:r>
      <w:r w:rsidR="00F70DAD">
        <w:rPr>
          <w:lang w:val="fr-FR"/>
        </w:rPr>
        <w:t xml:space="preserve">du Comité en </w:t>
      </w:r>
      <w:r w:rsidR="00A03C71" w:rsidRPr="00760B8B">
        <w:rPr>
          <w:lang w:val="fr-FR"/>
        </w:rPr>
        <w:t>2014 (</w:t>
      </w:r>
      <w:hyperlink r:id="rId9" w:history="1">
        <w:r w:rsidR="00101740">
          <w:rPr>
            <w:rStyle w:val="Hyperlink"/>
            <w:lang w:val="fr-FR"/>
          </w:rPr>
          <w:t>d</w:t>
        </w:r>
        <w:r w:rsidR="00A03C71" w:rsidRPr="00760B8B">
          <w:rPr>
            <w:rStyle w:val="Hyperlink"/>
            <w:lang w:val="fr-FR"/>
          </w:rPr>
          <w:t>ocument</w:t>
        </w:r>
        <w:r w:rsidR="00101740">
          <w:rPr>
            <w:rStyle w:val="Hyperlink"/>
            <w:lang w:val="fr-FR"/>
          </w:rPr>
          <w:t> </w:t>
        </w:r>
        <w:r w:rsidR="00A03C71" w:rsidRPr="00760B8B">
          <w:rPr>
            <w:rStyle w:val="Hyperlink"/>
            <w:lang w:val="fr-FR"/>
          </w:rPr>
          <w:t>ITH/14/9.COM/6</w:t>
        </w:r>
      </w:hyperlink>
      <w:r w:rsidR="00A03C71" w:rsidRPr="00760B8B">
        <w:rPr>
          <w:lang w:val="fr-FR"/>
        </w:rPr>
        <w:t xml:space="preserve">) </w:t>
      </w:r>
      <w:r w:rsidR="00F70DAD">
        <w:rPr>
          <w:lang w:val="fr-FR"/>
        </w:rPr>
        <w:t xml:space="preserve">et un rapport </w:t>
      </w:r>
      <w:r w:rsidR="00DA39CB">
        <w:rPr>
          <w:lang w:val="fr-FR"/>
        </w:rPr>
        <w:t>cumulé de</w:t>
      </w:r>
      <w:r w:rsidR="00F70DAD">
        <w:rPr>
          <w:lang w:val="fr-FR"/>
        </w:rPr>
        <w:t xml:space="preserve"> ses </w:t>
      </w:r>
      <w:r w:rsidR="00A03C71" w:rsidRPr="00760B8B">
        <w:rPr>
          <w:lang w:val="fr-FR"/>
        </w:rPr>
        <w:t>activit</w:t>
      </w:r>
      <w:r w:rsidR="00F70DAD">
        <w:rPr>
          <w:lang w:val="fr-FR"/>
        </w:rPr>
        <w:t>és</w:t>
      </w:r>
      <w:r w:rsidR="00F70DAD" w:rsidRPr="00760B8B">
        <w:rPr>
          <w:lang w:val="fr-FR"/>
        </w:rPr>
        <w:t xml:space="preserve"> </w:t>
      </w:r>
      <w:r w:rsidR="00025ECA">
        <w:rPr>
          <w:lang w:val="fr-FR"/>
        </w:rPr>
        <w:t xml:space="preserve">lors </w:t>
      </w:r>
      <w:r w:rsidR="00895820">
        <w:rPr>
          <w:lang w:val="fr-FR"/>
        </w:rPr>
        <w:t xml:space="preserve">de l’exercice biennal </w:t>
      </w:r>
      <w:r w:rsidR="00025ECA">
        <w:rPr>
          <w:lang w:val="fr-FR"/>
        </w:rPr>
        <w:t>2014-2015</w:t>
      </w:r>
      <w:r w:rsidR="00A03C71" w:rsidRPr="00760B8B">
        <w:rPr>
          <w:lang w:val="fr-FR"/>
        </w:rPr>
        <w:t xml:space="preserve"> </w:t>
      </w:r>
      <w:r w:rsidR="00F70DAD">
        <w:rPr>
          <w:lang w:val="fr-FR"/>
        </w:rPr>
        <w:t xml:space="preserve">lors de la </w:t>
      </w:r>
      <w:r w:rsidR="0006249E">
        <w:rPr>
          <w:lang w:val="fr-FR"/>
        </w:rPr>
        <w:t>dixième</w:t>
      </w:r>
      <w:r w:rsidR="00F70DAD">
        <w:rPr>
          <w:lang w:val="fr-FR"/>
        </w:rPr>
        <w:t xml:space="preserve"> </w:t>
      </w:r>
      <w:r w:rsidR="00A03C71" w:rsidRPr="00760B8B">
        <w:rPr>
          <w:lang w:val="fr-FR"/>
        </w:rPr>
        <w:t xml:space="preserve">session </w:t>
      </w:r>
      <w:r w:rsidR="0006249E">
        <w:rPr>
          <w:lang w:val="fr-FR"/>
        </w:rPr>
        <w:t>du Comité</w:t>
      </w:r>
      <w:r w:rsidR="00A03C71" w:rsidRPr="00760B8B">
        <w:rPr>
          <w:lang w:val="fr-FR"/>
        </w:rPr>
        <w:t xml:space="preserve"> </w:t>
      </w:r>
      <w:r w:rsidR="0006249E" w:rsidRPr="0006249E">
        <w:rPr>
          <w:lang w:val="fr-FR"/>
        </w:rPr>
        <w:t>(</w:t>
      </w:r>
      <w:hyperlink r:id="rId10" w:history="1">
        <w:r w:rsidR="00183F66">
          <w:rPr>
            <w:rStyle w:val="Hyperlink"/>
            <w:lang w:val="fr-FR"/>
          </w:rPr>
          <w:t>d</w:t>
        </w:r>
        <w:r w:rsidR="0006249E" w:rsidRPr="009830F3">
          <w:rPr>
            <w:rStyle w:val="Hyperlink"/>
            <w:lang w:val="fr-FR"/>
          </w:rPr>
          <w:t>ocument  ITH/15/10.COM/7</w:t>
        </w:r>
        <w:r w:rsidR="00B14FA4" w:rsidRPr="009830F3">
          <w:rPr>
            <w:rStyle w:val="Hyperlink"/>
            <w:lang w:val="fr-FR"/>
          </w:rPr>
          <w:t>.b</w:t>
        </w:r>
      </w:hyperlink>
      <w:r w:rsidR="0006249E" w:rsidRPr="009830F3">
        <w:rPr>
          <w:lang w:val="fr-FR"/>
        </w:rPr>
        <w:t>)</w:t>
      </w:r>
      <w:r w:rsidR="00E53681" w:rsidRPr="009830F3">
        <w:rPr>
          <w:lang w:val="fr-FR"/>
        </w:rPr>
        <w:t>.</w:t>
      </w:r>
      <w:r w:rsidR="00E53681">
        <w:rPr>
          <w:lang w:val="fr-FR"/>
        </w:rPr>
        <w:t xml:space="preserve"> Le présent rapport </w:t>
      </w:r>
      <w:r w:rsidR="00DE2342">
        <w:rPr>
          <w:lang w:val="fr-FR"/>
        </w:rPr>
        <w:t>met à jour le</w:t>
      </w:r>
      <w:r w:rsidR="00E53681">
        <w:rPr>
          <w:lang w:val="fr-FR"/>
        </w:rPr>
        <w:t xml:space="preserve"> dernier rapport et présente les activités menées par le Secrétariat de juin 2014 à juin 2016.</w:t>
      </w:r>
    </w:p>
    <w:p w14:paraId="2A08131E" w14:textId="59B0004C" w:rsidR="00A03C71" w:rsidRPr="00857F2D" w:rsidRDefault="000E0511" w:rsidP="00EE55A0">
      <w:pPr>
        <w:pStyle w:val="COMPara"/>
        <w:numPr>
          <w:ilvl w:val="0"/>
          <w:numId w:val="9"/>
        </w:numPr>
        <w:ind w:left="567" w:hanging="567"/>
        <w:jc w:val="both"/>
        <w:rPr>
          <w:lang w:val="fr-FR"/>
        </w:rPr>
      </w:pPr>
      <w:r w:rsidRPr="00857F2D">
        <w:rPr>
          <w:lang w:val="fr-FR"/>
        </w:rPr>
        <w:t xml:space="preserve">La </w:t>
      </w:r>
      <w:r w:rsidR="00A03C71" w:rsidRPr="00857F2D">
        <w:rPr>
          <w:lang w:val="fr-FR"/>
        </w:rPr>
        <w:t xml:space="preserve">structure </w:t>
      </w:r>
      <w:r w:rsidRPr="00857F2D">
        <w:rPr>
          <w:lang w:val="fr-FR"/>
        </w:rPr>
        <w:t xml:space="preserve">du </w:t>
      </w:r>
      <w:r w:rsidR="00A03C71" w:rsidRPr="00857F2D">
        <w:rPr>
          <w:lang w:val="fr-FR"/>
        </w:rPr>
        <w:t>pr</w:t>
      </w:r>
      <w:r w:rsidRPr="00857F2D">
        <w:rPr>
          <w:lang w:val="fr-FR"/>
        </w:rPr>
        <w:t>é</w:t>
      </w:r>
      <w:r w:rsidR="00A03C71" w:rsidRPr="00857F2D">
        <w:rPr>
          <w:lang w:val="fr-FR"/>
        </w:rPr>
        <w:t>sent r</w:t>
      </w:r>
      <w:r w:rsidRPr="00857F2D">
        <w:rPr>
          <w:lang w:val="fr-FR"/>
        </w:rPr>
        <w:t>ap</w:t>
      </w:r>
      <w:r w:rsidR="00A03C71" w:rsidRPr="00857F2D">
        <w:rPr>
          <w:lang w:val="fr-FR"/>
        </w:rPr>
        <w:t xml:space="preserve">port </w:t>
      </w:r>
      <w:r w:rsidRPr="00857F2D">
        <w:rPr>
          <w:lang w:val="fr-FR"/>
        </w:rPr>
        <w:t xml:space="preserve">cherche à rendre compte de </w:t>
      </w:r>
      <w:r w:rsidR="00DA39CB">
        <w:rPr>
          <w:lang w:val="fr-FR"/>
        </w:rPr>
        <w:t>l’étendue du travail</w:t>
      </w:r>
      <w:r w:rsidRPr="00857F2D">
        <w:rPr>
          <w:lang w:val="fr-FR"/>
        </w:rPr>
        <w:t xml:space="preserve"> du </w:t>
      </w:r>
      <w:r w:rsidR="00A03C71" w:rsidRPr="00857F2D">
        <w:rPr>
          <w:lang w:val="fr-FR"/>
        </w:rPr>
        <w:t>Secr</w:t>
      </w:r>
      <w:r w:rsidRPr="00857F2D">
        <w:rPr>
          <w:lang w:val="fr-FR"/>
        </w:rPr>
        <w:t>é</w:t>
      </w:r>
      <w:r w:rsidR="00A03C71" w:rsidRPr="00857F2D">
        <w:rPr>
          <w:lang w:val="fr-FR"/>
        </w:rPr>
        <w:t>tariat</w:t>
      </w:r>
      <w:r w:rsidRPr="00857F2D">
        <w:rPr>
          <w:lang w:val="fr-FR"/>
        </w:rPr>
        <w:t xml:space="preserve"> pendant la période </w:t>
      </w:r>
      <w:r w:rsidR="00C36368">
        <w:rPr>
          <w:lang w:val="fr-FR"/>
        </w:rPr>
        <w:t xml:space="preserve">considérée </w:t>
      </w:r>
      <w:r w:rsidRPr="00857F2D">
        <w:rPr>
          <w:lang w:val="fr-FR"/>
        </w:rPr>
        <w:t xml:space="preserve">à l’aune du cadre de </w:t>
      </w:r>
      <w:r w:rsidR="00A03C71" w:rsidRPr="00857F2D">
        <w:rPr>
          <w:lang w:val="fr-FR"/>
        </w:rPr>
        <w:t>r</w:t>
      </w:r>
      <w:r w:rsidRPr="00857F2D">
        <w:rPr>
          <w:lang w:val="fr-FR"/>
        </w:rPr>
        <w:t>é</w:t>
      </w:r>
      <w:r w:rsidR="00A03C71" w:rsidRPr="00857F2D">
        <w:rPr>
          <w:lang w:val="fr-FR"/>
        </w:rPr>
        <w:t>sult</w:t>
      </w:r>
      <w:r w:rsidRPr="00857F2D">
        <w:rPr>
          <w:lang w:val="fr-FR"/>
        </w:rPr>
        <w:t>at</w:t>
      </w:r>
      <w:r w:rsidR="00A03C71" w:rsidRPr="00857F2D">
        <w:rPr>
          <w:lang w:val="fr-FR"/>
        </w:rPr>
        <w:t>s adopt</w:t>
      </w:r>
      <w:r w:rsidRPr="00857F2D">
        <w:rPr>
          <w:lang w:val="fr-FR"/>
        </w:rPr>
        <w:t xml:space="preserve">é </w:t>
      </w:r>
      <w:r w:rsidR="00DA39CB">
        <w:rPr>
          <w:lang w:val="fr-FR"/>
        </w:rPr>
        <w:t>dans le P</w:t>
      </w:r>
      <w:r w:rsidRPr="00857F2D">
        <w:rPr>
          <w:lang w:val="fr-FR"/>
        </w:rPr>
        <w:t xml:space="preserve">rogramme et </w:t>
      </w:r>
      <w:r w:rsidR="00DA39CB">
        <w:rPr>
          <w:lang w:val="fr-FR"/>
        </w:rPr>
        <w:t>B</w:t>
      </w:r>
      <w:r w:rsidR="00DA39CB" w:rsidRPr="00857F2D">
        <w:rPr>
          <w:lang w:val="fr-FR"/>
        </w:rPr>
        <w:t xml:space="preserve">udget </w:t>
      </w:r>
      <w:r w:rsidRPr="00857F2D">
        <w:rPr>
          <w:lang w:val="fr-FR"/>
        </w:rPr>
        <w:t xml:space="preserve">de </w:t>
      </w:r>
      <w:r w:rsidR="00DA39CB" w:rsidRPr="00857F2D">
        <w:rPr>
          <w:lang w:val="fr-FR"/>
        </w:rPr>
        <w:t>l’Organisation</w:t>
      </w:r>
      <w:r w:rsidR="00DA39CB">
        <w:rPr>
          <w:lang w:val="fr-FR"/>
        </w:rPr>
        <w:t xml:space="preserve"> </w:t>
      </w:r>
      <w:r w:rsidR="00A03C71" w:rsidRPr="00857F2D">
        <w:rPr>
          <w:lang w:val="fr-FR"/>
        </w:rPr>
        <w:t>2014</w:t>
      </w:r>
      <w:r w:rsidRPr="00857F2D">
        <w:rPr>
          <w:lang w:val="fr-FR"/>
        </w:rPr>
        <w:t>-</w:t>
      </w:r>
      <w:r w:rsidR="00A03C71" w:rsidRPr="00857F2D">
        <w:rPr>
          <w:lang w:val="fr-FR"/>
        </w:rPr>
        <w:t>2017 (</w:t>
      </w:r>
      <w:hyperlink r:id="rId11" w:history="1">
        <w:r w:rsidR="00DA39CB">
          <w:rPr>
            <w:rStyle w:val="Hyperlink"/>
            <w:lang w:val="fr-FR"/>
          </w:rPr>
          <w:t>d</w:t>
        </w:r>
        <w:r w:rsidR="00DA39CB" w:rsidRPr="00857F2D">
          <w:rPr>
            <w:rStyle w:val="Hyperlink"/>
            <w:lang w:val="fr-FR"/>
          </w:rPr>
          <w:t>ocument</w:t>
        </w:r>
        <w:r w:rsidR="00853587">
          <w:rPr>
            <w:rStyle w:val="Hyperlink"/>
            <w:lang w:val="fr-FR"/>
          </w:rPr>
          <w:t> </w:t>
        </w:r>
        <w:r w:rsidR="00DA39CB" w:rsidRPr="00857F2D">
          <w:rPr>
            <w:rStyle w:val="Hyperlink"/>
            <w:lang w:val="fr-FR"/>
          </w:rPr>
          <w:t>37</w:t>
        </w:r>
        <w:r w:rsidR="00DA39CB">
          <w:rPr>
            <w:rStyle w:val="Hyperlink"/>
            <w:lang w:val="fr-FR"/>
          </w:rPr>
          <w:t> </w:t>
        </w:r>
        <w:r w:rsidR="00DA39CB" w:rsidRPr="00857F2D">
          <w:rPr>
            <w:rStyle w:val="Hyperlink"/>
            <w:lang w:val="fr-FR"/>
          </w:rPr>
          <w:t xml:space="preserve">C/5 </w:t>
        </w:r>
        <w:r w:rsidR="00DA39CB">
          <w:rPr>
            <w:rStyle w:val="Hyperlink"/>
            <w:lang w:val="fr-FR"/>
          </w:rPr>
          <w:t>a</w:t>
        </w:r>
        <w:r w:rsidR="00DA39CB" w:rsidRPr="00857F2D">
          <w:rPr>
            <w:rStyle w:val="Hyperlink"/>
            <w:lang w:val="fr-FR"/>
          </w:rPr>
          <w:t>ppro</w:t>
        </w:r>
        <w:r w:rsidR="00DA39CB">
          <w:rPr>
            <w:rStyle w:val="Hyperlink"/>
            <w:lang w:val="fr-FR"/>
          </w:rPr>
          <w:t>u</w:t>
        </w:r>
        <w:r w:rsidR="00DA39CB" w:rsidRPr="00857F2D">
          <w:rPr>
            <w:rStyle w:val="Hyperlink"/>
            <w:lang w:val="fr-FR"/>
          </w:rPr>
          <w:t>v</w:t>
        </w:r>
        <w:r w:rsidR="00DA39CB">
          <w:rPr>
            <w:rStyle w:val="Hyperlink"/>
            <w:lang w:val="fr-FR"/>
          </w:rPr>
          <w:t>é</w:t>
        </w:r>
      </w:hyperlink>
      <w:r w:rsidR="00A03C71" w:rsidRPr="00857F2D">
        <w:rPr>
          <w:lang w:val="fr-FR"/>
        </w:rPr>
        <w:t>)</w:t>
      </w:r>
      <w:r w:rsidR="00DA39CB">
        <w:rPr>
          <w:lang w:val="fr-FR"/>
        </w:rPr>
        <w:t>,</w:t>
      </w:r>
      <w:r w:rsidR="00A03C71" w:rsidRPr="00857F2D">
        <w:rPr>
          <w:lang w:val="fr-FR"/>
        </w:rPr>
        <w:t xml:space="preserve"> </w:t>
      </w:r>
      <w:r w:rsidR="00857F2D" w:rsidRPr="00857F2D">
        <w:rPr>
          <w:lang w:val="fr-FR"/>
        </w:rPr>
        <w:t>et plus spécialement</w:t>
      </w:r>
      <w:r w:rsidR="00A03C71" w:rsidRPr="00857F2D">
        <w:rPr>
          <w:lang w:val="fr-FR"/>
        </w:rPr>
        <w:t xml:space="preserve"> </w:t>
      </w:r>
      <w:r w:rsidR="00857F2D" w:rsidRPr="00857F2D">
        <w:rPr>
          <w:lang w:val="fr-FR"/>
        </w:rPr>
        <w:t xml:space="preserve">des huit indicateurs de </w:t>
      </w:r>
      <w:r w:rsidR="00A03C71" w:rsidRPr="00857F2D">
        <w:rPr>
          <w:lang w:val="fr-FR"/>
        </w:rPr>
        <w:t xml:space="preserve">performance </w:t>
      </w:r>
      <w:r w:rsidR="00857F2D" w:rsidRPr="00857F2D">
        <w:rPr>
          <w:lang w:val="fr-FR"/>
        </w:rPr>
        <w:t>du Résultat escompté </w:t>
      </w:r>
      <w:r w:rsidR="00A03C71" w:rsidRPr="00857F2D">
        <w:rPr>
          <w:lang w:val="fr-FR"/>
        </w:rPr>
        <w:t xml:space="preserve">6 </w:t>
      </w:r>
      <w:r w:rsidR="00857F2D" w:rsidRPr="00857F2D">
        <w:rPr>
          <w:lang w:val="fr-FR"/>
        </w:rPr>
        <w:t>du Grand programme </w:t>
      </w:r>
      <w:r w:rsidR="00A03C71" w:rsidRPr="00857F2D">
        <w:rPr>
          <w:lang w:val="fr-FR"/>
        </w:rPr>
        <w:t>IV</w:t>
      </w:r>
      <w:r w:rsidR="00857F2D" w:rsidRPr="00857F2D">
        <w:rPr>
          <w:lang w:val="fr-FR"/>
        </w:rPr>
        <w:t> </w:t>
      </w:r>
      <w:r w:rsidR="00A03C71" w:rsidRPr="00857F2D">
        <w:rPr>
          <w:lang w:val="fr-FR"/>
        </w:rPr>
        <w:t xml:space="preserve">: </w:t>
      </w:r>
      <w:r w:rsidR="00857F2D" w:rsidRPr="00857F2D">
        <w:rPr>
          <w:lang w:val="fr-FR"/>
        </w:rPr>
        <w:t>Renforcement et utilisation des capacités nationales en vue de la sauvegarde du patrimoine culturel immatériel, y compris les langues autochtones et en péril, par la mise en œuvre effective de la Convention de 2003</w:t>
      </w:r>
      <w:r w:rsidR="00A03C71" w:rsidRPr="00857F2D">
        <w:rPr>
          <w:lang w:val="fr-FR"/>
        </w:rPr>
        <w:t xml:space="preserve">, </w:t>
      </w:r>
      <w:r w:rsidR="00F80329">
        <w:rPr>
          <w:lang w:val="fr-FR"/>
        </w:rPr>
        <w:t xml:space="preserve">ce </w:t>
      </w:r>
      <w:r w:rsidR="00101740">
        <w:rPr>
          <w:lang w:val="fr-FR"/>
        </w:rPr>
        <w:t xml:space="preserve">qui est </w:t>
      </w:r>
      <w:r w:rsidR="00857F2D" w:rsidRPr="00857F2D">
        <w:rPr>
          <w:lang w:val="fr-FR"/>
        </w:rPr>
        <w:t xml:space="preserve">également </w:t>
      </w:r>
      <w:r w:rsidR="00B71C7F">
        <w:rPr>
          <w:lang w:val="fr-FR"/>
        </w:rPr>
        <w:t xml:space="preserve">reflété </w:t>
      </w:r>
      <w:r w:rsidR="00101740">
        <w:rPr>
          <w:lang w:val="fr-FR"/>
        </w:rPr>
        <w:t xml:space="preserve">dans </w:t>
      </w:r>
      <w:r w:rsidR="00857F2D" w:rsidRPr="00857F2D">
        <w:rPr>
          <w:lang w:val="fr-FR"/>
        </w:rPr>
        <w:t xml:space="preserve">le programme </w:t>
      </w:r>
      <w:r w:rsidR="00A03C71" w:rsidRPr="00857F2D">
        <w:rPr>
          <w:lang w:val="fr-FR"/>
        </w:rPr>
        <w:t xml:space="preserve">SISTER </w:t>
      </w:r>
      <w:r w:rsidR="00857F2D" w:rsidRPr="00857F2D">
        <w:rPr>
          <w:lang w:val="fr-FR"/>
        </w:rPr>
        <w:t>qui soutient sa mise en œuvre</w:t>
      </w:r>
      <w:r w:rsidR="00A03C71" w:rsidRPr="00857F2D">
        <w:rPr>
          <w:lang w:val="fr-FR"/>
        </w:rPr>
        <w:t xml:space="preserve">. </w:t>
      </w:r>
      <w:r w:rsidR="00857F2D" w:rsidRPr="00857F2D">
        <w:rPr>
          <w:lang w:val="fr-FR"/>
        </w:rPr>
        <w:t>Ce</w:t>
      </w:r>
      <w:r w:rsidR="00B71C7F">
        <w:rPr>
          <w:lang w:val="fr-FR"/>
        </w:rPr>
        <w:t>tte</w:t>
      </w:r>
      <w:r w:rsidR="00857F2D" w:rsidRPr="00857F2D">
        <w:rPr>
          <w:lang w:val="fr-FR"/>
        </w:rPr>
        <w:t xml:space="preserve"> </w:t>
      </w:r>
      <w:r w:rsidR="00B71C7F">
        <w:rPr>
          <w:lang w:val="fr-FR"/>
        </w:rPr>
        <w:t>structure</w:t>
      </w:r>
      <w:r w:rsidR="00B71C7F" w:rsidRPr="00857F2D">
        <w:rPr>
          <w:lang w:val="fr-FR"/>
        </w:rPr>
        <w:t xml:space="preserve"> </w:t>
      </w:r>
      <w:r w:rsidR="00A55907">
        <w:rPr>
          <w:lang w:val="fr-FR"/>
        </w:rPr>
        <w:t>constitue le cadre global</w:t>
      </w:r>
      <w:r w:rsidR="00857F2D" w:rsidRPr="00857F2D">
        <w:rPr>
          <w:lang w:val="fr-FR"/>
        </w:rPr>
        <w:t xml:space="preserve"> pour toutes les activités du Secrétariat</w:t>
      </w:r>
      <w:r w:rsidR="00A03C71" w:rsidRPr="00857F2D">
        <w:rPr>
          <w:lang w:val="fr-FR"/>
        </w:rPr>
        <w:t xml:space="preserve">, </w:t>
      </w:r>
      <w:r w:rsidR="00857F2D" w:rsidRPr="00857F2D">
        <w:rPr>
          <w:lang w:val="fr-FR"/>
        </w:rPr>
        <w:t xml:space="preserve">qu’elles soient financées par le </w:t>
      </w:r>
      <w:r w:rsidR="00A03C71" w:rsidRPr="00857F2D">
        <w:rPr>
          <w:lang w:val="fr-FR"/>
        </w:rPr>
        <w:t xml:space="preserve">Programme </w:t>
      </w:r>
      <w:r w:rsidR="00857F2D" w:rsidRPr="00857F2D">
        <w:rPr>
          <w:lang w:val="fr-FR"/>
        </w:rPr>
        <w:t>ordinaire de l’UNESCO ou par diverses sources extrabudgétaires</w:t>
      </w:r>
      <w:r w:rsidR="00A03C71" w:rsidRPr="00857F2D">
        <w:rPr>
          <w:lang w:val="fr-FR"/>
        </w:rPr>
        <w:t>.</w:t>
      </w:r>
      <w:r w:rsidR="00076C31">
        <w:rPr>
          <w:lang w:val="fr-FR"/>
        </w:rPr>
        <w:t xml:space="preserve"> Le rapport contient également deux annexes consacrées au suivi des audits et évaluations du Service d’évaluation et d’audit (IOS). </w:t>
      </w:r>
    </w:p>
    <w:p w14:paraId="12D23B78" w14:textId="4193D4BA" w:rsidR="00A03C71" w:rsidRPr="00760B8B" w:rsidRDefault="00C95493" w:rsidP="00A03C71">
      <w:pPr>
        <w:pStyle w:val="COMPara"/>
        <w:numPr>
          <w:ilvl w:val="0"/>
          <w:numId w:val="9"/>
        </w:numPr>
        <w:ind w:left="567" w:hanging="567"/>
        <w:jc w:val="both"/>
        <w:rPr>
          <w:b/>
          <w:lang w:val="fr-FR"/>
        </w:rPr>
      </w:pPr>
      <w:r>
        <w:rPr>
          <w:lang w:val="fr-FR"/>
        </w:rPr>
        <w:t xml:space="preserve">Le </w:t>
      </w:r>
      <w:r w:rsidR="00A03C71" w:rsidRPr="00760B8B">
        <w:rPr>
          <w:lang w:val="fr-FR"/>
        </w:rPr>
        <w:t>pr</w:t>
      </w:r>
      <w:r>
        <w:rPr>
          <w:lang w:val="fr-FR"/>
        </w:rPr>
        <w:t>é</w:t>
      </w:r>
      <w:r w:rsidR="00A03C71" w:rsidRPr="00760B8B">
        <w:rPr>
          <w:lang w:val="fr-FR"/>
        </w:rPr>
        <w:t>sent r</w:t>
      </w:r>
      <w:r>
        <w:rPr>
          <w:lang w:val="fr-FR"/>
        </w:rPr>
        <w:t>ap</w:t>
      </w:r>
      <w:r w:rsidR="00A03C71" w:rsidRPr="00760B8B">
        <w:rPr>
          <w:lang w:val="fr-FR"/>
        </w:rPr>
        <w:t xml:space="preserve">port </w:t>
      </w:r>
      <w:r>
        <w:rPr>
          <w:lang w:val="fr-FR"/>
        </w:rPr>
        <w:t xml:space="preserve">doit être lu </w:t>
      </w:r>
      <w:r w:rsidR="00A55907">
        <w:rPr>
          <w:lang w:val="fr-FR"/>
        </w:rPr>
        <w:t>en conjonction avec</w:t>
      </w:r>
      <w:r>
        <w:rPr>
          <w:lang w:val="fr-FR"/>
        </w:rPr>
        <w:t xml:space="preserve"> </w:t>
      </w:r>
      <w:r w:rsidR="00A55907">
        <w:rPr>
          <w:lang w:val="fr-FR"/>
        </w:rPr>
        <w:t xml:space="preserve">les </w:t>
      </w:r>
      <w:r>
        <w:rPr>
          <w:lang w:val="fr-FR"/>
        </w:rPr>
        <w:t>documents suivants </w:t>
      </w:r>
      <w:r w:rsidR="00A03C71" w:rsidRPr="00760B8B">
        <w:rPr>
          <w:lang w:val="fr-FR"/>
        </w:rPr>
        <w:t xml:space="preserve">: </w:t>
      </w:r>
      <w:r>
        <w:rPr>
          <w:lang w:val="fr-FR"/>
        </w:rPr>
        <w:t xml:space="preserve">le </w:t>
      </w:r>
      <w:r w:rsidR="00A03C71" w:rsidRPr="00760B8B">
        <w:rPr>
          <w:lang w:val="fr-FR"/>
        </w:rPr>
        <w:t>r</w:t>
      </w:r>
      <w:r>
        <w:rPr>
          <w:lang w:val="fr-FR"/>
        </w:rPr>
        <w:t>ap</w:t>
      </w:r>
      <w:r w:rsidR="00A03C71" w:rsidRPr="00760B8B">
        <w:rPr>
          <w:lang w:val="fr-FR"/>
        </w:rPr>
        <w:t xml:space="preserve">port </w:t>
      </w:r>
      <w:r>
        <w:rPr>
          <w:lang w:val="fr-FR"/>
        </w:rPr>
        <w:t xml:space="preserve">du Comité à l’Assemblée générale </w:t>
      </w:r>
      <w:r w:rsidR="00A55907">
        <w:rPr>
          <w:lang w:val="fr-FR"/>
        </w:rPr>
        <w:t xml:space="preserve">sur ses activités </w:t>
      </w:r>
      <w:r w:rsidR="00A03C71" w:rsidRPr="00760B8B">
        <w:rPr>
          <w:lang w:val="fr-FR"/>
        </w:rPr>
        <w:t>(</w:t>
      </w:r>
      <w:hyperlink r:id="rId12" w:history="1">
        <w:r w:rsidR="00183F66" w:rsidRPr="00F863D7">
          <w:rPr>
            <w:rStyle w:val="Hyperlink"/>
            <w:lang w:val="fr-FR"/>
          </w:rPr>
          <w:t>d</w:t>
        </w:r>
        <w:r w:rsidR="00076C31" w:rsidRPr="00F863D7">
          <w:rPr>
            <w:rStyle w:val="Hyperlink"/>
            <w:lang w:val="fr-FR"/>
          </w:rPr>
          <w:t>ocument ITH/16/6.GA/5</w:t>
        </w:r>
      </w:hyperlink>
      <w:r w:rsidR="00076C31" w:rsidRPr="00F863D7">
        <w:rPr>
          <w:lang w:val="fr-FR"/>
        </w:rPr>
        <w:t>),</w:t>
      </w:r>
      <w:r w:rsidR="00A03C71" w:rsidRPr="00760B8B">
        <w:rPr>
          <w:lang w:val="fr-FR"/>
        </w:rPr>
        <w:t xml:space="preserve"> </w:t>
      </w:r>
      <w:r>
        <w:rPr>
          <w:lang w:val="fr-FR"/>
        </w:rPr>
        <w:t xml:space="preserve">le </w:t>
      </w:r>
      <w:r w:rsidR="00A03C71" w:rsidRPr="00760B8B">
        <w:rPr>
          <w:lang w:val="fr-FR"/>
        </w:rPr>
        <w:t>r</w:t>
      </w:r>
      <w:r w:rsidR="0096106D">
        <w:rPr>
          <w:lang w:val="fr-FR"/>
        </w:rPr>
        <w:t>ap</w:t>
      </w:r>
      <w:r w:rsidR="00A03C71" w:rsidRPr="00760B8B">
        <w:rPr>
          <w:lang w:val="fr-FR"/>
        </w:rPr>
        <w:t xml:space="preserve">port </w:t>
      </w:r>
      <w:r w:rsidRPr="00760B8B">
        <w:rPr>
          <w:lang w:val="fr-FR"/>
        </w:rPr>
        <w:t>financi</w:t>
      </w:r>
      <w:r>
        <w:rPr>
          <w:lang w:val="fr-FR"/>
        </w:rPr>
        <w:t xml:space="preserve">er du </w:t>
      </w:r>
      <w:r w:rsidR="00DE347B">
        <w:rPr>
          <w:lang w:val="fr-FR"/>
        </w:rPr>
        <w:t xml:space="preserve">Fonds </w:t>
      </w:r>
      <w:r>
        <w:rPr>
          <w:lang w:val="fr-FR"/>
        </w:rPr>
        <w:t xml:space="preserve">de la </w:t>
      </w:r>
      <w:r w:rsidR="00A03C71" w:rsidRPr="00760B8B">
        <w:rPr>
          <w:lang w:val="fr-FR"/>
        </w:rPr>
        <w:t>Convention</w:t>
      </w:r>
      <w:r>
        <w:rPr>
          <w:lang w:val="fr-FR"/>
        </w:rPr>
        <w:t xml:space="preserve"> pour la </w:t>
      </w:r>
      <w:r w:rsidR="00DE347B">
        <w:rPr>
          <w:lang w:val="fr-FR"/>
        </w:rPr>
        <w:t xml:space="preserve">sauvegarde </w:t>
      </w:r>
      <w:r>
        <w:rPr>
          <w:lang w:val="fr-FR"/>
        </w:rPr>
        <w:t xml:space="preserve">du </w:t>
      </w:r>
      <w:r w:rsidR="00DE347B">
        <w:rPr>
          <w:lang w:val="fr-FR"/>
        </w:rPr>
        <w:t xml:space="preserve">patrimoine </w:t>
      </w:r>
      <w:r>
        <w:rPr>
          <w:lang w:val="fr-FR"/>
        </w:rPr>
        <w:t xml:space="preserve">culturel immatériel </w:t>
      </w:r>
      <w:r w:rsidR="00A55907">
        <w:rPr>
          <w:lang w:val="fr-FR"/>
        </w:rPr>
        <w:t>inclus dans le</w:t>
      </w:r>
      <w:hyperlink r:id="rId13" w:history="1">
        <w:r w:rsidR="00A55907" w:rsidRPr="00F863D7">
          <w:rPr>
            <w:rStyle w:val="Hyperlink"/>
            <w:lang w:val="fr-FR"/>
          </w:rPr>
          <w:t xml:space="preserve"> </w:t>
        </w:r>
        <w:r w:rsidR="00201D0F" w:rsidRPr="00F863D7">
          <w:rPr>
            <w:rStyle w:val="Hyperlink"/>
            <w:lang w:val="fr-FR"/>
          </w:rPr>
          <w:t>document ITH/16/6.GA</w:t>
        </w:r>
      </w:hyperlink>
      <w:r w:rsidR="00191D07">
        <w:rPr>
          <w:lang w:val="fr-FR"/>
        </w:rPr>
        <w:t xml:space="preserve"> et</w:t>
      </w:r>
      <w:r>
        <w:rPr>
          <w:lang w:val="fr-FR"/>
        </w:rPr>
        <w:t xml:space="preserve"> les rapports périodiques de la </w:t>
      </w:r>
      <w:r w:rsidR="00A03C71" w:rsidRPr="00760B8B">
        <w:rPr>
          <w:lang w:val="fr-FR"/>
        </w:rPr>
        <w:t>Direct</w:t>
      </w:r>
      <w:r>
        <w:rPr>
          <w:lang w:val="fr-FR"/>
        </w:rPr>
        <w:t xml:space="preserve">rice </w:t>
      </w:r>
      <w:r w:rsidRPr="00760B8B">
        <w:rPr>
          <w:lang w:val="fr-FR"/>
        </w:rPr>
        <w:t>générale</w:t>
      </w:r>
      <w:r>
        <w:rPr>
          <w:lang w:val="fr-FR"/>
        </w:rPr>
        <w:t xml:space="preserve"> </w:t>
      </w:r>
      <w:r w:rsidR="00F80329">
        <w:rPr>
          <w:lang w:val="fr-FR"/>
        </w:rPr>
        <w:t>au Conseil exécutif sur l’</w:t>
      </w:r>
      <w:r w:rsidR="00A03C71" w:rsidRPr="00760B8B">
        <w:rPr>
          <w:lang w:val="fr-FR"/>
        </w:rPr>
        <w:t>ex</w:t>
      </w:r>
      <w:r w:rsidR="00F80329">
        <w:rPr>
          <w:lang w:val="fr-FR"/>
        </w:rPr>
        <w:t>é</w:t>
      </w:r>
      <w:r w:rsidR="00A03C71" w:rsidRPr="00760B8B">
        <w:rPr>
          <w:lang w:val="fr-FR"/>
        </w:rPr>
        <w:t xml:space="preserve">cution </w:t>
      </w:r>
      <w:r w:rsidR="00F80329">
        <w:rPr>
          <w:lang w:val="fr-FR"/>
        </w:rPr>
        <w:t xml:space="preserve">du </w:t>
      </w:r>
      <w:r w:rsidR="00A03C71" w:rsidRPr="00760B8B">
        <w:rPr>
          <w:lang w:val="fr-FR"/>
        </w:rPr>
        <w:t>programme adopt</w:t>
      </w:r>
      <w:r w:rsidR="00F80329">
        <w:rPr>
          <w:lang w:val="fr-FR"/>
        </w:rPr>
        <w:t xml:space="preserve">é par la Conférence </w:t>
      </w:r>
      <w:r w:rsidR="00F80329" w:rsidRPr="00760B8B">
        <w:rPr>
          <w:lang w:val="fr-FR"/>
        </w:rPr>
        <w:t>générale</w:t>
      </w:r>
      <w:r w:rsidR="00F80329">
        <w:rPr>
          <w:lang w:val="fr-FR"/>
        </w:rPr>
        <w:t xml:space="preserve"> </w:t>
      </w:r>
      <w:r w:rsidR="00A03C71" w:rsidRPr="00760B8B">
        <w:rPr>
          <w:lang w:val="fr-FR"/>
        </w:rPr>
        <w:t>(</w:t>
      </w:r>
      <w:r w:rsidR="00A03C71" w:rsidRPr="00183F66">
        <w:rPr>
          <w:lang w:val="fr-FR"/>
        </w:rPr>
        <w:t>EX/4</w:t>
      </w:r>
      <w:r w:rsidR="00A03C71" w:rsidRPr="00760B8B">
        <w:rPr>
          <w:lang w:val="fr-FR"/>
        </w:rPr>
        <w:t>).</w:t>
      </w:r>
    </w:p>
    <w:p w14:paraId="074C8D81" w14:textId="77777777" w:rsidR="00A03C71" w:rsidRPr="00760B8B" w:rsidRDefault="00824913" w:rsidP="00EE55A0">
      <w:pPr>
        <w:pStyle w:val="COMPara"/>
        <w:keepNext/>
        <w:numPr>
          <w:ilvl w:val="0"/>
          <w:numId w:val="14"/>
        </w:numPr>
        <w:spacing w:before="360"/>
        <w:ind w:left="567" w:hanging="567"/>
        <w:rPr>
          <w:b/>
          <w:lang w:val="fr-FR"/>
        </w:rPr>
      </w:pPr>
      <w:r>
        <w:rPr>
          <w:b/>
          <w:lang w:val="fr-FR"/>
        </w:rPr>
        <w:t>Fonctions</w:t>
      </w:r>
      <w:r w:rsidR="00A03C71" w:rsidRPr="00760B8B">
        <w:rPr>
          <w:b/>
          <w:lang w:val="fr-FR"/>
        </w:rPr>
        <w:t xml:space="preserve">, structure </w:t>
      </w:r>
      <w:r w:rsidR="00AE2B25">
        <w:rPr>
          <w:b/>
          <w:lang w:val="fr-FR"/>
        </w:rPr>
        <w:t xml:space="preserve">et </w:t>
      </w:r>
      <w:r w:rsidR="00A03C71" w:rsidRPr="00760B8B">
        <w:rPr>
          <w:b/>
          <w:lang w:val="fr-FR"/>
        </w:rPr>
        <w:t xml:space="preserve">composition </w:t>
      </w:r>
      <w:r w:rsidR="00AE2B25">
        <w:rPr>
          <w:b/>
          <w:lang w:val="fr-FR"/>
        </w:rPr>
        <w:t xml:space="preserve">du </w:t>
      </w:r>
      <w:r w:rsidR="00AE2B25" w:rsidRPr="00760B8B">
        <w:rPr>
          <w:b/>
          <w:lang w:val="fr-FR"/>
        </w:rPr>
        <w:t>Secrétariat</w:t>
      </w:r>
    </w:p>
    <w:p w14:paraId="1EDD46BC" w14:textId="46C93FF8" w:rsidR="00A03C71" w:rsidRPr="00AE2B25" w:rsidRDefault="00AE2B25" w:rsidP="00EE55A0">
      <w:pPr>
        <w:pStyle w:val="COMPara"/>
        <w:numPr>
          <w:ilvl w:val="0"/>
          <w:numId w:val="9"/>
        </w:numPr>
        <w:ind w:left="567" w:hanging="567"/>
        <w:jc w:val="both"/>
        <w:rPr>
          <w:lang w:val="fr-FR"/>
        </w:rPr>
      </w:pPr>
      <w:r w:rsidRPr="00AE2B25">
        <w:rPr>
          <w:lang w:val="fr-FR"/>
        </w:rPr>
        <w:t>La première responsabilité du Secrétariat</w:t>
      </w:r>
      <w:r w:rsidR="00A03C71" w:rsidRPr="00AE2B25">
        <w:rPr>
          <w:lang w:val="fr-FR"/>
        </w:rPr>
        <w:t xml:space="preserve">, </w:t>
      </w:r>
      <w:r w:rsidR="00432020">
        <w:rPr>
          <w:lang w:val="fr-FR"/>
        </w:rPr>
        <w:t>telle qu’énoncé dans</w:t>
      </w:r>
      <w:r w:rsidRPr="00AE2B25">
        <w:rPr>
          <w:lang w:val="fr-FR"/>
        </w:rPr>
        <w:t xml:space="preserve"> la </w:t>
      </w:r>
      <w:r w:rsidR="00A03C71" w:rsidRPr="00AE2B25">
        <w:rPr>
          <w:lang w:val="fr-FR"/>
        </w:rPr>
        <w:t xml:space="preserve">Convention, </w:t>
      </w:r>
      <w:r w:rsidRPr="00AE2B25">
        <w:rPr>
          <w:lang w:val="fr-FR"/>
        </w:rPr>
        <w:t>est d’</w:t>
      </w:r>
      <w:r w:rsidR="00A03C71" w:rsidRPr="00AE2B25">
        <w:rPr>
          <w:lang w:val="fr-FR"/>
        </w:rPr>
        <w:t>assist</w:t>
      </w:r>
      <w:r w:rsidRPr="00AE2B25">
        <w:rPr>
          <w:lang w:val="fr-FR"/>
        </w:rPr>
        <w:t xml:space="preserve">er le Comité et de </w:t>
      </w:r>
      <w:r>
        <w:rPr>
          <w:lang w:val="fr-FR"/>
        </w:rPr>
        <w:t>« [</w:t>
      </w:r>
      <w:r w:rsidRPr="00AE2B25">
        <w:rPr>
          <w:lang w:val="fr-FR"/>
        </w:rPr>
        <w:t>prépare</w:t>
      </w:r>
      <w:r>
        <w:rPr>
          <w:lang w:val="fr-FR"/>
        </w:rPr>
        <w:t>r]</w:t>
      </w:r>
      <w:r w:rsidRPr="00AE2B25">
        <w:rPr>
          <w:lang w:val="fr-FR"/>
        </w:rPr>
        <w:t xml:space="preserve"> la documentation de l</w:t>
      </w:r>
      <w:r w:rsidR="00101740">
        <w:rPr>
          <w:lang w:val="fr-FR"/>
        </w:rPr>
        <w:t>’</w:t>
      </w:r>
      <w:r w:rsidRPr="00AE2B25">
        <w:rPr>
          <w:lang w:val="fr-FR"/>
        </w:rPr>
        <w:t>Assemblée générale et du Comité, ainsi que le projet d</w:t>
      </w:r>
      <w:r w:rsidR="00101740">
        <w:rPr>
          <w:lang w:val="fr-FR"/>
        </w:rPr>
        <w:t>’</w:t>
      </w:r>
      <w:r w:rsidRPr="00AE2B25">
        <w:rPr>
          <w:lang w:val="fr-FR"/>
        </w:rPr>
        <w:t xml:space="preserve">ordre du jour de leurs réunions et </w:t>
      </w:r>
      <w:r>
        <w:rPr>
          <w:lang w:val="fr-FR"/>
        </w:rPr>
        <w:t>[d’</w:t>
      </w:r>
      <w:r w:rsidRPr="00AE2B25">
        <w:rPr>
          <w:lang w:val="fr-FR"/>
        </w:rPr>
        <w:t>assure</w:t>
      </w:r>
      <w:r>
        <w:rPr>
          <w:lang w:val="fr-FR"/>
        </w:rPr>
        <w:t>r]</w:t>
      </w:r>
      <w:r w:rsidRPr="00AE2B25">
        <w:rPr>
          <w:lang w:val="fr-FR"/>
        </w:rPr>
        <w:t xml:space="preserve"> l</w:t>
      </w:r>
      <w:r w:rsidR="00101740">
        <w:rPr>
          <w:lang w:val="fr-FR"/>
        </w:rPr>
        <w:t>’</w:t>
      </w:r>
      <w:r w:rsidRPr="00AE2B25">
        <w:rPr>
          <w:lang w:val="fr-FR"/>
        </w:rPr>
        <w:t>exécution de leurs décisions</w:t>
      </w:r>
      <w:r>
        <w:rPr>
          <w:lang w:val="fr-FR"/>
        </w:rPr>
        <w:t> »</w:t>
      </w:r>
      <w:r w:rsidR="00A03C71" w:rsidRPr="00AE2B25">
        <w:rPr>
          <w:lang w:val="fr-FR"/>
        </w:rPr>
        <w:t xml:space="preserve"> (</w:t>
      </w:r>
      <w:r w:rsidRPr="00AE2B25">
        <w:rPr>
          <w:lang w:val="fr-FR"/>
        </w:rPr>
        <w:t>a</w:t>
      </w:r>
      <w:r w:rsidR="00A03C71" w:rsidRPr="00AE2B25">
        <w:rPr>
          <w:lang w:val="fr-FR"/>
        </w:rPr>
        <w:t>rticle</w:t>
      </w:r>
      <w:r w:rsidRPr="00AE2B25">
        <w:rPr>
          <w:lang w:val="fr-FR"/>
        </w:rPr>
        <w:t> </w:t>
      </w:r>
      <w:r w:rsidR="00A03C71" w:rsidRPr="00AE2B25">
        <w:rPr>
          <w:lang w:val="fr-FR"/>
        </w:rPr>
        <w:t xml:space="preserve">10 </w:t>
      </w:r>
      <w:r w:rsidRPr="00AE2B25">
        <w:rPr>
          <w:lang w:val="fr-FR"/>
        </w:rPr>
        <w:t xml:space="preserve">de la </w:t>
      </w:r>
      <w:r w:rsidR="00A03C71" w:rsidRPr="00AE2B25">
        <w:rPr>
          <w:lang w:val="fr-FR"/>
        </w:rPr>
        <w:t>Convention).</w:t>
      </w:r>
    </w:p>
    <w:p w14:paraId="29EF6EF8" w14:textId="5F318E4A" w:rsidR="00A03C71" w:rsidRPr="00AE2B25" w:rsidRDefault="00AE2B25" w:rsidP="00A03C71">
      <w:pPr>
        <w:pStyle w:val="COMPara"/>
        <w:numPr>
          <w:ilvl w:val="0"/>
          <w:numId w:val="9"/>
        </w:numPr>
        <w:ind w:left="567" w:hanging="567"/>
        <w:jc w:val="both"/>
        <w:rPr>
          <w:lang w:val="fr-FR"/>
        </w:rPr>
      </w:pPr>
      <w:r>
        <w:rPr>
          <w:lang w:val="fr-FR"/>
        </w:rPr>
        <w:t xml:space="preserve">Depuis </w:t>
      </w:r>
      <w:r w:rsidR="00A03C71" w:rsidRPr="00AE2B25">
        <w:rPr>
          <w:lang w:val="fr-FR"/>
        </w:rPr>
        <w:t xml:space="preserve">2014, </w:t>
      </w:r>
      <w:r>
        <w:rPr>
          <w:lang w:val="fr-FR"/>
        </w:rPr>
        <w:t xml:space="preserve">la </w:t>
      </w:r>
      <w:r w:rsidR="00A03C71" w:rsidRPr="00AE2B25">
        <w:rPr>
          <w:lang w:val="fr-FR"/>
        </w:rPr>
        <w:t xml:space="preserve">Section </w:t>
      </w:r>
      <w:r>
        <w:rPr>
          <w:lang w:val="fr-FR"/>
        </w:rPr>
        <w:t xml:space="preserve">est composée de deux </w:t>
      </w:r>
      <w:r w:rsidR="00A03C71" w:rsidRPr="00AE2B25">
        <w:rPr>
          <w:lang w:val="fr-FR"/>
        </w:rPr>
        <w:t>unit</w:t>
      </w:r>
      <w:r>
        <w:rPr>
          <w:lang w:val="fr-FR"/>
        </w:rPr>
        <w:t>é</w:t>
      </w:r>
      <w:r w:rsidR="00A03C71" w:rsidRPr="00AE2B25">
        <w:rPr>
          <w:lang w:val="fr-FR"/>
        </w:rPr>
        <w:t>s</w:t>
      </w:r>
      <w:r w:rsidR="00432020">
        <w:rPr>
          <w:lang w:val="fr-FR"/>
        </w:rPr>
        <w:t xml:space="preserve"> </w:t>
      </w:r>
      <w:r w:rsidR="00A03C71" w:rsidRPr="00AE2B25">
        <w:rPr>
          <w:lang w:val="fr-FR"/>
        </w:rPr>
        <w:t>–</w:t>
      </w:r>
      <w:r w:rsidR="00432020">
        <w:rPr>
          <w:lang w:val="fr-FR"/>
        </w:rPr>
        <w:t xml:space="preserve"> une Unité </w:t>
      </w:r>
      <w:r>
        <w:rPr>
          <w:lang w:val="fr-FR"/>
        </w:rPr>
        <w:t xml:space="preserve">de </w:t>
      </w:r>
      <w:r w:rsidR="00366652">
        <w:rPr>
          <w:lang w:val="fr-FR"/>
        </w:rPr>
        <w:t xml:space="preserve">la </w:t>
      </w:r>
      <w:r>
        <w:rPr>
          <w:lang w:val="fr-FR"/>
        </w:rPr>
        <w:t xml:space="preserve">mise en œuvre du </w:t>
      </w:r>
      <w:r w:rsidRPr="00AE2B25">
        <w:rPr>
          <w:lang w:val="fr-FR"/>
        </w:rPr>
        <w:t>programme</w:t>
      </w:r>
      <w:r>
        <w:rPr>
          <w:lang w:val="fr-FR"/>
        </w:rPr>
        <w:t xml:space="preserve"> et </w:t>
      </w:r>
      <w:r w:rsidR="00432020">
        <w:rPr>
          <w:lang w:val="fr-FR"/>
        </w:rPr>
        <w:t xml:space="preserve">une Unité </w:t>
      </w:r>
      <w:r w:rsidR="00366652">
        <w:rPr>
          <w:lang w:val="fr-FR"/>
        </w:rPr>
        <w:t xml:space="preserve">du </w:t>
      </w:r>
      <w:r w:rsidR="00C40116">
        <w:rPr>
          <w:lang w:val="fr-FR"/>
        </w:rPr>
        <w:t>renforcement des capacités et de</w:t>
      </w:r>
      <w:r w:rsidR="00366652">
        <w:rPr>
          <w:lang w:val="fr-FR"/>
        </w:rPr>
        <w:t>s</w:t>
      </w:r>
      <w:r w:rsidR="00C40116">
        <w:rPr>
          <w:lang w:val="fr-FR"/>
        </w:rPr>
        <w:t xml:space="preserve"> politique</w:t>
      </w:r>
      <w:r w:rsidR="00366652">
        <w:rPr>
          <w:lang w:val="fr-FR"/>
        </w:rPr>
        <w:t>s du patrimoine</w:t>
      </w:r>
      <w:r w:rsidR="00A03C71" w:rsidRPr="00AE2B25">
        <w:rPr>
          <w:lang w:val="fr-FR"/>
        </w:rPr>
        <w:t xml:space="preserve">. </w:t>
      </w:r>
      <w:r w:rsidR="00C40116">
        <w:rPr>
          <w:lang w:val="fr-FR"/>
        </w:rPr>
        <w:t xml:space="preserve">Les responsabilités </w:t>
      </w:r>
      <w:r w:rsidR="00C40116" w:rsidRPr="00AE2B25">
        <w:rPr>
          <w:lang w:val="fr-FR"/>
        </w:rPr>
        <w:t>régionale</w:t>
      </w:r>
      <w:r w:rsidR="00C40116">
        <w:rPr>
          <w:lang w:val="fr-FR"/>
        </w:rPr>
        <w:t>s</w:t>
      </w:r>
      <w:r w:rsidR="00C40116" w:rsidRPr="00AE2B25">
        <w:rPr>
          <w:lang w:val="fr-FR"/>
        </w:rPr>
        <w:t xml:space="preserve"> </w:t>
      </w:r>
      <w:r w:rsidR="00C40116">
        <w:rPr>
          <w:lang w:val="fr-FR"/>
        </w:rPr>
        <w:t xml:space="preserve">sont </w:t>
      </w:r>
      <w:r w:rsidR="00A03C71" w:rsidRPr="00AE2B25">
        <w:rPr>
          <w:lang w:val="fr-FR"/>
        </w:rPr>
        <w:t>distribu</w:t>
      </w:r>
      <w:r w:rsidR="00C40116">
        <w:rPr>
          <w:lang w:val="fr-FR"/>
        </w:rPr>
        <w:t xml:space="preserve">ées </w:t>
      </w:r>
      <w:r w:rsidR="00432020">
        <w:rPr>
          <w:lang w:val="fr-FR"/>
        </w:rPr>
        <w:t xml:space="preserve">de manière transversale </w:t>
      </w:r>
      <w:r w:rsidR="00F97447">
        <w:rPr>
          <w:lang w:val="fr-FR"/>
        </w:rPr>
        <w:t>entre les</w:t>
      </w:r>
      <w:r w:rsidR="00C40116">
        <w:rPr>
          <w:lang w:val="fr-FR"/>
        </w:rPr>
        <w:t xml:space="preserve"> deux </w:t>
      </w:r>
      <w:r w:rsidR="00A03C71" w:rsidRPr="00AE2B25">
        <w:rPr>
          <w:lang w:val="fr-FR"/>
        </w:rPr>
        <w:t>unit</w:t>
      </w:r>
      <w:r w:rsidR="00C40116">
        <w:rPr>
          <w:lang w:val="fr-FR"/>
        </w:rPr>
        <w:t>é</w:t>
      </w:r>
      <w:r w:rsidR="00A03C71" w:rsidRPr="00AE2B25">
        <w:rPr>
          <w:lang w:val="fr-FR"/>
        </w:rPr>
        <w:t>s</w:t>
      </w:r>
      <w:r w:rsidR="00F97447">
        <w:rPr>
          <w:lang w:val="fr-FR"/>
        </w:rPr>
        <w:t xml:space="preserve">, </w:t>
      </w:r>
      <w:r w:rsidR="00432020">
        <w:rPr>
          <w:lang w:val="fr-FR"/>
        </w:rPr>
        <w:t xml:space="preserve">avec des </w:t>
      </w:r>
      <w:r w:rsidR="00F97447">
        <w:rPr>
          <w:lang w:val="fr-FR"/>
        </w:rPr>
        <w:t>« responsables régionaux »</w:t>
      </w:r>
      <w:r w:rsidR="00A03C71" w:rsidRPr="00AE2B25">
        <w:rPr>
          <w:lang w:val="fr-FR"/>
        </w:rPr>
        <w:t xml:space="preserve"> </w:t>
      </w:r>
      <w:r w:rsidR="00C40116">
        <w:rPr>
          <w:lang w:val="fr-FR"/>
        </w:rPr>
        <w:t xml:space="preserve">pour chacun des six groupes </w:t>
      </w:r>
      <w:r w:rsidR="00A03C71" w:rsidRPr="00AE2B25">
        <w:rPr>
          <w:lang w:val="fr-FR"/>
        </w:rPr>
        <w:t>r</w:t>
      </w:r>
      <w:r w:rsidR="00C40116">
        <w:rPr>
          <w:lang w:val="fr-FR"/>
        </w:rPr>
        <w:t>é</w:t>
      </w:r>
      <w:r w:rsidR="00A03C71" w:rsidRPr="00AE2B25">
        <w:rPr>
          <w:lang w:val="fr-FR"/>
        </w:rPr>
        <w:t>giona</w:t>
      </w:r>
      <w:r w:rsidR="00C40116">
        <w:rPr>
          <w:lang w:val="fr-FR"/>
        </w:rPr>
        <w:t>ux</w:t>
      </w:r>
      <w:r w:rsidR="00A03C71" w:rsidRPr="00AE2B25">
        <w:rPr>
          <w:lang w:val="fr-FR"/>
        </w:rPr>
        <w:t>.</w:t>
      </w:r>
      <w:r w:rsidR="002948E3">
        <w:rPr>
          <w:lang w:val="fr-FR"/>
        </w:rPr>
        <w:t xml:space="preserve"> Un nouveau secrétaire de la Convention, qui est également chef de la section, a été nommé en janvier 2016.</w:t>
      </w:r>
    </w:p>
    <w:p w14:paraId="6180DD4F" w14:textId="0B0AAD7D" w:rsidR="00A03C71" w:rsidRPr="00AE2B25" w:rsidRDefault="00432020" w:rsidP="00A03C71">
      <w:pPr>
        <w:pStyle w:val="COMPara"/>
        <w:numPr>
          <w:ilvl w:val="0"/>
          <w:numId w:val="9"/>
        </w:numPr>
        <w:ind w:left="567" w:hanging="567"/>
        <w:jc w:val="both"/>
        <w:rPr>
          <w:lang w:val="fr-FR"/>
        </w:rPr>
      </w:pPr>
      <w:r>
        <w:rPr>
          <w:lang w:val="fr-FR"/>
        </w:rPr>
        <w:t xml:space="preserve">L’Unité </w:t>
      </w:r>
      <w:r w:rsidR="006F6A38">
        <w:rPr>
          <w:lang w:val="fr-FR"/>
        </w:rPr>
        <w:t xml:space="preserve">de </w:t>
      </w:r>
      <w:r>
        <w:rPr>
          <w:lang w:val="fr-FR"/>
        </w:rPr>
        <w:t xml:space="preserve">la </w:t>
      </w:r>
      <w:r w:rsidR="006F6A38">
        <w:rPr>
          <w:lang w:val="fr-FR"/>
        </w:rPr>
        <w:t xml:space="preserve">mise en œuvre du </w:t>
      </w:r>
      <w:r w:rsidR="006F6A38" w:rsidRPr="00AE2B25">
        <w:rPr>
          <w:lang w:val="fr-FR"/>
        </w:rPr>
        <w:t>programme</w:t>
      </w:r>
      <w:r w:rsidR="006F6A38">
        <w:rPr>
          <w:lang w:val="fr-FR"/>
        </w:rPr>
        <w:t xml:space="preserve"> est </w:t>
      </w:r>
      <w:r w:rsidR="00A03C71" w:rsidRPr="00AE2B25">
        <w:rPr>
          <w:lang w:val="fr-FR"/>
        </w:rPr>
        <w:t>respons</w:t>
      </w:r>
      <w:r w:rsidR="006F6A38">
        <w:rPr>
          <w:lang w:val="fr-FR"/>
        </w:rPr>
        <w:t>a</w:t>
      </w:r>
      <w:r w:rsidR="00A03C71" w:rsidRPr="00AE2B25">
        <w:rPr>
          <w:lang w:val="fr-FR"/>
        </w:rPr>
        <w:t xml:space="preserve">ble </w:t>
      </w:r>
      <w:r w:rsidR="006F6A38">
        <w:rPr>
          <w:lang w:val="fr-FR"/>
        </w:rPr>
        <w:t xml:space="preserve">de la </w:t>
      </w:r>
      <w:r w:rsidR="006F6A38" w:rsidRPr="00AE2B25">
        <w:rPr>
          <w:lang w:val="fr-FR"/>
        </w:rPr>
        <w:t>préparation</w:t>
      </w:r>
      <w:r w:rsidR="00A03C71" w:rsidRPr="00AE2B25">
        <w:rPr>
          <w:lang w:val="fr-FR"/>
        </w:rPr>
        <w:t xml:space="preserve">, </w:t>
      </w:r>
      <w:r w:rsidR="00465798">
        <w:rPr>
          <w:lang w:val="fr-FR"/>
        </w:rPr>
        <w:t xml:space="preserve">de l’organisation efficace et du suivi des réunions des organes directeurs de la </w:t>
      </w:r>
      <w:r w:rsidR="00A03C71" w:rsidRPr="00AE2B25">
        <w:rPr>
          <w:lang w:val="fr-FR"/>
        </w:rPr>
        <w:t xml:space="preserve">Convention. </w:t>
      </w:r>
      <w:r w:rsidR="00465798">
        <w:rPr>
          <w:lang w:val="fr-FR"/>
        </w:rPr>
        <w:t xml:space="preserve">L’unité assure également le </w:t>
      </w:r>
      <w:r w:rsidR="00A03C71" w:rsidRPr="00AE2B25">
        <w:rPr>
          <w:lang w:val="fr-FR"/>
        </w:rPr>
        <w:t>tr</w:t>
      </w:r>
      <w:r w:rsidR="00465798">
        <w:rPr>
          <w:lang w:val="fr-FR"/>
        </w:rPr>
        <w:t xml:space="preserve">aitement des </w:t>
      </w:r>
      <w:r w:rsidR="002948E3">
        <w:rPr>
          <w:lang w:val="fr-FR"/>
        </w:rPr>
        <w:t>candidatures</w:t>
      </w:r>
      <w:r w:rsidR="00D67C69">
        <w:rPr>
          <w:lang w:val="fr-FR"/>
        </w:rPr>
        <w:t xml:space="preserve"> sur les listes de la Convention</w:t>
      </w:r>
      <w:r w:rsidR="00A03C71" w:rsidRPr="00AE2B25">
        <w:rPr>
          <w:lang w:val="fr-FR"/>
        </w:rPr>
        <w:t xml:space="preserve">, </w:t>
      </w:r>
      <w:r>
        <w:rPr>
          <w:lang w:val="fr-FR"/>
        </w:rPr>
        <w:t>d</w:t>
      </w:r>
      <w:r w:rsidR="00465798">
        <w:rPr>
          <w:lang w:val="fr-FR"/>
        </w:rPr>
        <w:t>es demandes d’a</w:t>
      </w:r>
      <w:r w:rsidR="00A03C71" w:rsidRPr="00AE2B25">
        <w:rPr>
          <w:lang w:val="fr-FR"/>
        </w:rPr>
        <w:t xml:space="preserve">ssistance </w:t>
      </w:r>
      <w:r w:rsidR="00465798" w:rsidRPr="00AE2B25">
        <w:rPr>
          <w:lang w:val="fr-FR"/>
        </w:rPr>
        <w:t>international</w:t>
      </w:r>
      <w:r w:rsidR="00465798">
        <w:rPr>
          <w:lang w:val="fr-FR"/>
        </w:rPr>
        <w:t>e</w:t>
      </w:r>
      <w:r w:rsidR="00A03C71" w:rsidRPr="00AE2B25">
        <w:rPr>
          <w:lang w:val="fr-FR"/>
        </w:rPr>
        <w:t xml:space="preserve">, </w:t>
      </w:r>
      <w:r>
        <w:rPr>
          <w:lang w:val="fr-FR"/>
        </w:rPr>
        <w:t>d</w:t>
      </w:r>
      <w:r w:rsidR="00465798">
        <w:rPr>
          <w:lang w:val="fr-FR"/>
        </w:rPr>
        <w:t xml:space="preserve">es propositions de meilleures pratiques de sauvegarde </w:t>
      </w:r>
      <w:r w:rsidR="00A03C71" w:rsidRPr="00AE2B25">
        <w:rPr>
          <w:lang w:val="fr-FR"/>
        </w:rPr>
        <w:t>pr</w:t>
      </w:r>
      <w:r w:rsidR="00465798">
        <w:rPr>
          <w:lang w:val="fr-FR"/>
        </w:rPr>
        <w:t>é</w:t>
      </w:r>
      <w:r w:rsidR="00A03C71" w:rsidRPr="00AE2B25">
        <w:rPr>
          <w:lang w:val="fr-FR"/>
        </w:rPr>
        <w:t>sent</w:t>
      </w:r>
      <w:r w:rsidR="00465798">
        <w:rPr>
          <w:lang w:val="fr-FR"/>
        </w:rPr>
        <w:t>ées par les États parties</w:t>
      </w:r>
      <w:r w:rsidR="00A03C71" w:rsidRPr="00AE2B25">
        <w:rPr>
          <w:lang w:val="fr-FR"/>
        </w:rPr>
        <w:t xml:space="preserve">, </w:t>
      </w:r>
      <w:r w:rsidR="00465798">
        <w:rPr>
          <w:lang w:val="fr-FR"/>
        </w:rPr>
        <w:t xml:space="preserve">ainsi que </w:t>
      </w:r>
      <w:r>
        <w:rPr>
          <w:lang w:val="fr-FR"/>
        </w:rPr>
        <w:t>d</w:t>
      </w:r>
      <w:r w:rsidR="00465798">
        <w:rPr>
          <w:lang w:val="fr-FR"/>
        </w:rPr>
        <w:t>es demandes d’</w:t>
      </w:r>
      <w:r w:rsidR="00465798" w:rsidRPr="00AE2B25">
        <w:rPr>
          <w:lang w:val="fr-FR"/>
        </w:rPr>
        <w:t>accréditation</w:t>
      </w:r>
      <w:r w:rsidR="00A03C71" w:rsidRPr="00AE2B25">
        <w:rPr>
          <w:lang w:val="fr-FR"/>
        </w:rPr>
        <w:t xml:space="preserve"> </w:t>
      </w:r>
      <w:r w:rsidR="00465798">
        <w:rPr>
          <w:lang w:val="fr-FR"/>
        </w:rPr>
        <w:t xml:space="preserve">et de renouvellement des </w:t>
      </w:r>
      <w:r>
        <w:rPr>
          <w:lang w:val="fr-FR"/>
        </w:rPr>
        <w:t xml:space="preserve">organisations non gouvernementales </w:t>
      </w:r>
      <w:r w:rsidR="00D67C69">
        <w:rPr>
          <w:lang w:val="fr-FR"/>
        </w:rPr>
        <w:t xml:space="preserve">et </w:t>
      </w:r>
      <w:r>
        <w:rPr>
          <w:lang w:val="fr-FR"/>
        </w:rPr>
        <w:t xml:space="preserve">des </w:t>
      </w:r>
      <w:r w:rsidR="00D67C69">
        <w:rPr>
          <w:lang w:val="fr-FR"/>
        </w:rPr>
        <w:t>rapports périodiques</w:t>
      </w:r>
      <w:r w:rsidR="00465798">
        <w:rPr>
          <w:lang w:val="fr-FR"/>
        </w:rPr>
        <w:t> </w:t>
      </w:r>
      <w:r w:rsidR="00A03C71" w:rsidRPr="00AE2B25">
        <w:rPr>
          <w:lang w:val="fr-FR"/>
        </w:rPr>
        <w:t xml:space="preserve">; </w:t>
      </w:r>
      <w:r w:rsidR="00465798">
        <w:rPr>
          <w:lang w:val="fr-FR"/>
        </w:rPr>
        <w:t>l’unité est également responsable de l’</w:t>
      </w:r>
      <w:r w:rsidR="00A03C71" w:rsidRPr="00AE2B25">
        <w:rPr>
          <w:lang w:val="fr-FR"/>
        </w:rPr>
        <w:t xml:space="preserve">organisation </w:t>
      </w:r>
      <w:r w:rsidR="00465798">
        <w:rPr>
          <w:lang w:val="fr-FR"/>
        </w:rPr>
        <w:t xml:space="preserve">de réunions </w:t>
      </w:r>
      <w:r w:rsidR="00465798" w:rsidRPr="00AE2B25">
        <w:rPr>
          <w:lang w:val="fr-FR"/>
        </w:rPr>
        <w:t>thématiques</w:t>
      </w:r>
      <w:r w:rsidR="00A03C71" w:rsidRPr="00AE2B25">
        <w:rPr>
          <w:lang w:val="fr-FR"/>
        </w:rPr>
        <w:t xml:space="preserve"> </w:t>
      </w:r>
      <w:r w:rsidR="00465798">
        <w:rPr>
          <w:lang w:val="fr-FR"/>
        </w:rPr>
        <w:t xml:space="preserve">et d’autres processus qui permettent une réflexion sur la Convention </w:t>
      </w:r>
      <w:r w:rsidR="002948E3">
        <w:rPr>
          <w:lang w:val="fr-FR"/>
        </w:rPr>
        <w:t>et</w:t>
      </w:r>
      <w:r w:rsidR="00465798">
        <w:rPr>
          <w:lang w:val="fr-FR"/>
        </w:rPr>
        <w:t xml:space="preserve"> son développement</w:t>
      </w:r>
      <w:r w:rsidR="00AC0B91">
        <w:rPr>
          <w:lang w:val="fr-FR"/>
        </w:rPr>
        <w:t xml:space="preserve">, </w:t>
      </w:r>
      <w:r w:rsidR="0046705C">
        <w:rPr>
          <w:lang w:val="fr-FR"/>
        </w:rPr>
        <w:t>en même temps que d</w:t>
      </w:r>
      <w:r>
        <w:rPr>
          <w:lang w:val="fr-FR"/>
        </w:rPr>
        <w:t>es fonctions générales de</w:t>
      </w:r>
      <w:r w:rsidR="00AC0B91">
        <w:rPr>
          <w:lang w:val="fr-FR"/>
        </w:rPr>
        <w:t xml:space="preserve"> rapport </w:t>
      </w:r>
      <w:r w:rsidR="002948E3">
        <w:rPr>
          <w:lang w:val="fr-FR"/>
        </w:rPr>
        <w:t>et de</w:t>
      </w:r>
      <w:r w:rsidR="00AC0B91">
        <w:rPr>
          <w:lang w:val="fr-FR"/>
        </w:rPr>
        <w:t xml:space="preserve"> collecte de fonds au niveau de l’axe d’action</w:t>
      </w:r>
      <w:r w:rsidR="002716F9">
        <w:rPr>
          <w:lang w:val="fr-FR"/>
        </w:rPr>
        <w:t xml:space="preserve"> principal</w:t>
      </w:r>
      <w:r w:rsidR="00AC0B91">
        <w:rPr>
          <w:lang w:val="fr-FR"/>
        </w:rPr>
        <w:t>.</w:t>
      </w:r>
    </w:p>
    <w:p w14:paraId="27B708E6" w14:textId="6E8FF310" w:rsidR="00A03C71" w:rsidRPr="00760B8B" w:rsidRDefault="00DD6BD4" w:rsidP="00A03C71">
      <w:pPr>
        <w:pStyle w:val="COMPara"/>
        <w:numPr>
          <w:ilvl w:val="0"/>
          <w:numId w:val="9"/>
        </w:numPr>
        <w:ind w:left="567" w:hanging="567"/>
        <w:jc w:val="both"/>
        <w:rPr>
          <w:lang w:val="fr-FR"/>
        </w:rPr>
      </w:pPr>
      <w:r>
        <w:rPr>
          <w:lang w:val="fr-FR"/>
        </w:rPr>
        <w:t xml:space="preserve">L’Unité </w:t>
      </w:r>
      <w:r w:rsidR="00366652">
        <w:rPr>
          <w:lang w:val="fr-FR"/>
        </w:rPr>
        <w:t>du renforcement des capacités et des politiques du patrimoine</w:t>
      </w:r>
      <w:r w:rsidR="00A03C71" w:rsidRPr="00760B8B">
        <w:rPr>
          <w:lang w:val="fr-FR"/>
        </w:rPr>
        <w:t xml:space="preserve"> </w:t>
      </w:r>
      <w:r w:rsidR="00366652">
        <w:rPr>
          <w:lang w:val="fr-FR"/>
        </w:rPr>
        <w:t xml:space="preserve">est responsable du développement et de la </w:t>
      </w:r>
      <w:r w:rsidR="00A03C71" w:rsidRPr="00760B8B">
        <w:rPr>
          <w:lang w:val="fr-FR"/>
        </w:rPr>
        <w:t xml:space="preserve">coordination </w:t>
      </w:r>
      <w:r w:rsidR="00366652">
        <w:rPr>
          <w:lang w:val="fr-FR"/>
        </w:rPr>
        <w:t xml:space="preserve">de la stratégie </w:t>
      </w:r>
      <w:r w:rsidR="00A03C71" w:rsidRPr="00760B8B">
        <w:rPr>
          <w:lang w:val="fr-FR"/>
        </w:rPr>
        <w:t>global</w:t>
      </w:r>
      <w:r w:rsidR="00366652">
        <w:rPr>
          <w:lang w:val="fr-FR"/>
        </w:rPr>
        <w:t xml:space="preserve">e de renforcement des capacités </w:t>
      </w:r>
      <w:r w:rsidR="00A03C71" w:rsidRPr="00760B8B">
        <w:rPr>
          <w:lang w:val="fr-FR"/>
        </w:rPr>
        <w:t>national</w:t>
      </w:r>
      <w:r w:rsidR="00366652">
        <w:rPr>
          <w:lang w:val="fr-FR"/>
        </w:rPr>
        <w:t>es</w:t>
      </w:r>
      <w:r w:rsidR="00A03C71" w:rsidRPr="00760B8B">
        <w:rPr>
          <w:lang w:val="fr-FR"/>
        </w:rPr>
        <w:t xml:space="preserve"> </w:t>
      </w:r>
      <w:r w:rsidR="00366652">
        <w:rPr>
          <w:lang w:val="fr-FR"/>
        </w:rPr>
        <w:t xml:space="preserve">de sauvegarde afin de traduire les </w:t>
      </w:r>
      <w:r w:rsidR="00A03C71" w:rsidRPr="00760B8B">
        <w:rPr>
          <w:lang w:val="fr-FR"/>
        </w:rPr>
        <w:t xml:space="preserve">principes </w:t>
      </w:r>
      <w:r w:rsidR="00366652">
        <w:rPr>
          <w:lang w:val="fr-FR"/>
        </w:rPr>
        <w:t xml:space="preserve">de la </w:t>
      </w:r>
      <w:r w:rsidR="00A03C71" w:rsidRPr="00760B8B">
        <w:rPr>
          <w:lang w:val="fr-FR"/>
        </w:rPr>
        <w:t xml:space="preserve">Convention </w:t>
      </w:r>
      <w:r w:rsidR="00366652">
        <w:rPr>
          <w:lang w:val="fr-FR"/>
        </w:rPr>
        <w:t xml:space="preserve">de </w:t>
      </w:r>
      <w:r w:rsidR="00366652" w:rsidRPr="00760B8B">
        <w:rPr>
          <w:lang w:val="fr-FR"/>
        </w:rPr>
        <w:t xml:space="preserve">2003 </w:t>
      </w:r>
      <w:r w:rsidR="00366652">
        <w:rPr>
          <w:lang w:val="fr-FR"/>
        </w:rPr>
        <w:t xml:space="preserve">pour la sauvegarde du patrimoine culturel immatériel en politiques et </w:t>
      </w:r>
      <w:r w:rsidR="00A03C71" w:rsidRPr="00760B8B">
        <w:rPr>
          <w:lang w:val="fr-FR"/>
        </w:rPr>
        <w:t xml:space="preserve">programmes </w:t>
      </w:r>
      <w:r w:rsidR="00366652">
        <w:rPr>
          <w:lang w:val="fr-FR"/>
        </w:rPr>
        <w:t>au niveau des pays</w:t>
      </w:r>
      <w:r w:rsidR="00A03C71" w:rsidRPr="00760B8B">
        <w:rPr>
          <w:lang w:val="fr-FR"/>
        </w:rPr>
        <w:t xml:space="preserve">. </w:t>
      </w:r>
      <w:r w:rsidR="00366652">
        <w:rPr>
          <w:lang w:val="fr-FR"/>
        </w:rPr>
        <w:t>En tant que telle</w:t>
      </w:r>
      <w:r w:rsidR="00A03C71" w:rsidRPr="00760B8B">
        <w:rPr>
          <w:lang w:val="fr-FR"/>
        </w:rPr>
        <w:t xml:space="preserve">, </w:t>
      </w:r>
      <w:r w:rsidR="00366652">
        <w:rPr>
          <w:lang w:val="fr-FR"/>
        </w:rPr>
        <w:t xml:space="preserve">elle assure la </w:t>
      </w:r>
      <w:r w:rsidR="00A03C71" w:rsidRPr="00760B8B">
        <w:rPr>
          <w:lang w:val="fr-FR"/>
        </w:rPr>
        <w:t xml:space="preserve">coordination </w:t>
      </w:r>
      <w:r w:rsidR="00CB4DF4">
        <w:rPr>
          <w:lang w:val="fr-FR"/>
        </w:rPr>
        <w:t>de la planification</w:t>
      </w:r>
      <w:r w:rsidR="00A03C71" w:rsidRPr="00760B8B">
        <w:rPr>
          <w:lang w:val="fr-FR"/>
        </w:rPr>
        <w:t xml:space="preserve">, </w:t>
      </w:r>
      <w:r w:rsidR="00366652">
        <w:rPr>
          <w:lang w:val="fr-FR"/>
        </w:rPr>
        <w:t>de la mise en œuvre</w:t>
      </w:r>
      <w:r w:rsidR="00A03C71" w:rsidRPr="00760B8B">
        <w:rPr>
          <w:lang w:val="fr-FR"/>
        </w:rPr>
        <w:t xml:space="preserve">, </w:t>
      </w:r>
      <w:r w:rsidR="00366652">
        <w:rPr>
          <w:lang w:val="fr-FR"/>
        </w:rPr>
        <w:t xml:space="preserve">du suivi et </w:t>
      </w:r>
      <w:r w:rsidR="00CB4DF4">
        <w:rPr>
          <w:lang w:val="fr-FR"/>
        </w:rPr>
        <w:t xml:space="preserve">de l’élaboration </w:t>
      </w:r>
      <w:r w:rsidR="00366652">
        <w:rPr>
          <w:lang w:val="fr-FR"/>
        </w:rPr>
        <w:t xml:space="preserve">des rapports des programmes de renforcement des capacités menés par la </w:t>
      </w:r>
      <w:r w:rsidR="00A03C71" w:rsidRPr="00760B8B">
        <w:rPr>
          <w:lang w:val="fr-FR"/>
        </w:rPr>
        <w:t xml:space="preserve">Section, </w:t>
      </w:r>
      <w:r w:rsidR="00366652">
        <w:rPr>
          <w:lang w:val="fr-FR"/>
        </w:rPr>
        <w:t>les bureaux hors Siège et les États membres</w:t>
      </w:r>
      <w:r w:rsidR="00A03C71" w:rsidRPr="00760B8B">
        <w:rPr>
          <w:lang w:val="fr-FR"/>
        </w:rPr>
        <w:t>.</w:t>
      </w:r>
      <w:r w:rsidR="00FC5BBD">
        <w:rPr>
          <w:lang w:val="fr-FR"/>
        </w:rPr>
        <w:t xml:space="preserve"> Elle est aussi chargée de développer du matériel de formation, de maintenir le réseau des experts-facilitateurs et </w:t>
      </w:r>
      <w:r w:rsidR="00CB4DF4">
        <w:rPr>
          <w:lang w:val="fr-FR"/>
        </w:rPr>
        <w:t>de mettre à jour</w:t>
      </w:r>
      <w:r w:rsidR="00FC5BBD">
        <w:rPr>
          <w:lang w:val="fr-FR"/>
        </w:rPr>
        <w:t xml:space="preserve"> leurs compétences.</w:t>
      </w:r>
    </w:p>
    <w:p w14:paraId="33DD3A4B" w14:textId="176BAC12" w:rsidR="00A03C71" w:rsidRPr="00760B8B" w:rsidRDefault="00366652" w:rsidP="00A03C71">
      <w:pPr>
        <w:pStyle w:val="COMPara"/>
        <w:numPr>
          <w:ilvl w:val="0"/>
          <w:numId w:val="9"/>
        </w:numPr>
        <w:ind w:left="567" w:hanging="567"/>
        <w:jc w:val="both"/>
        <w:rPr>
          <w:lang w:val="fr-FR"/>
        </w:rPr>
      </w:pPr>
      <w:r>
        <w:rPr>
          <w:lang w:val="fr-FR"/>
        </w:rPr>
        <w:t>À ce jour</w:t>
      </w:r>
      <w:r w:rsidR="00A03C71" w:rsidRPr="00760B8B">
        <w:rPr>
          <w:lang w:val="fr-FR"/>
        </w:rPr>
        <w:t xml:space="preserve">, </w:t>
      </w:r>
      <w:r>
        <w:rPr>
          <w:lang w:val="fr-FR"/>
        </w:rPr>
        <w:t xml:space="preserve">la </w:t>
      </w:r>
      <w:r w:rsidR="00A03C71" w:rsidRPr="00760B8B">
        <w:rPr>
          <w:lang w:val="fr-FR"/>
        </w:rPr>
        <w:t xml:space="preserve">Section </w:t>
      </w:r>
      <w:r>
        <w:rPr>
          <w:lang w:val="fr-FR"/>
        </w:rPr>
        <w:t xml:space="preserve">comprend </w:t>
      </w:r>
      <w:r w:rsidR="00A03C71" w:rsidRPr="00760B8B">
        <w:rPr>
          <w:lang w:val="fr-FR"/>
        </w:rPr>
        <w:t>13</w:t>
      </w:r>
      <w:r w:rsidR="006F5491">
        <w:rPr>
          <w:lang w:val="fr-FR"/>
        </w:rPr>
        <w:t xml:space="preserve"> </w:t>
      </w:r>
      <w:r w:rsidR="00A03C71" w:rsidRPr="00760B8B">
        <w:rPr>
          <w:lang w:val="fr-FR"/>
        </w:rPr>
        <w:t>post</w:t>
      </w:r>
      <w:r>
        <w:rPr>
          <w:lang w:val="fr-FR"/>
        </w:rPr>
        <w:t>e</w:t>
      </w:r>
      <w:r w:rsidR="00A03C71" w:rsidRPr="00760B8B">
        <w:rPr>
          <w:lang w:val="fr-FR"/>
        </w:rPr>
        <w:t xml:space="preserve">s </w:t>
      </w:r>
      <w:r>
        <w:rPr>
          <w:lang w:val="fr-FR"/>
        </w:rPr>
        <w:t>financés par le Programme ordinaire</w:t>
      </w:r>
      <w:r w:rsidR="006F5491">
        <w:rPr>
          <w:lang w:val="fr-FR"/>
        </w:rPr>
        <w:t xml:space="preserve"> : </w:t>
      </w:r>
      <w:r w:rsidR="00987CF9">
        <w:rPr>
          <w:lang w:val="fr-FR"/>
        </w:rPr>
        <w:t>cinq</w:t>
      </w:r>
      <w:r w:rsidR="006F5491">
        <w:rPr>
          <w:lang w:val="fr-FR"/>
        </w:rPr>
        <w:t xml:space="preserve"> de la catégorie « services généraux » et </w:t>
      </w:r>
      <w:r w:rsidR="00987CF9">
        <w:rPr>
          <w:lang w:val="fr-FR"/>
        </w:rPr>
        <w:t>huit</w:t>
      </w:r>
      <w:r w:rsidR="006F5491">
        <w:rPr>
          <w:lang w:val="fr-FR"/>
        </w:rPr>
        <w:t xml:space="preserve"> de la catégorie « </w:t>
      </w:r>
      <w:r w:rsidR="00A03C71" w:rsidRPr="00760B8B">
        <w:rPr>
          <w:lang w:val="fr-FR"/>
        </w:rPr>
        <w:t>profession</w:t>
      </w:r>
      <w:r w:rsidR="006F5491">
        <w:rPr>
          <w:lang w:val="fr-FR"/>
        </w:rPr>
        <w:t>ne</w:t>
      </w:r>
      <w:r w:rsidR="00A03C71" w:rsidRPr="00760B8B">
        <w:rPr>
          <w:lang w:val="fr-FR"/>
        </w:rPr>
        <w:t>ls</w:t>
      </w:r>
      <w:r w:rsidR="006F5491">
        <w:rPr>
          <w:lang w:val="fr-FR"/>
        </w:rPr>
        <w:t> »</w:t>
      </w:r>
      <w:r w:rsidR="00A03C71" w:rsidRPr="00760B8B">
        <w:rPr>
          <w:lang w:val="fr-FR"/>
        </w:rPr>
        <w:t xml:space="preserve">. </w:t>
      </w:r>
      <w:r w:rsidR="00987CF9">
        <w:rPr>
          <w:lang w:val="fr-FR"/>
        </w:rPr>
        <w:t>Le</w:t>
      </w:r>
      <w:r w:rsidR="006F5491">
        <w:rPr>
          <w:lang w:val="fr-FR"/>
        </w:rPr>
        <w:t xml:space="preserve"> </w:t>
      </w:r>
      <w:r w:rsidR="00A03C71" w:rsidRPr="00760B8B">
        <w:rPr>
          <w:lang w:val="fr-FR"/>
        </w:rPr>
        <w:t>Secr</w:t>
      </w:r>
      <w:r w:rsidR="006F5491">
        <w:rPr>
          <w:lang w:val="fr-FR"/>
        </w:rPr>
        <w:t>é</w:t>
      </w:r>
      <w:r w:rsidR="00A03C71" w:rsidRPr="00760B8B">
        <w:rPr>
          <w:lang w:val="fr-FR"/>
        </w:rPr>
        <w:t>ta</w:t>
      </w:r>
      <w:r w:rsidR="006F5491">
        <w:rPr>
          <w:lang w:val="fr-FR"/>
        </w:rPr>
        <w:t xml:space="preserve">ire de la </w:t>
      </w:r>
      <w:r w:rsidR="00A03C71" w:rsidRPr="00760B8B">
        <w:rPr>
          <w:lang w:val="fr-FR"/>
        </w:rPr>
        <w:t xml:space="preserve">Convention </w:t>
      </w:r>
      <w:r w:rsidR="006F5491">
        <w:rPr>
          <w:lang w:val="fr-FR"/>
        </w:rPr>
        <w:t xml:space="preserve">assure aussi les </w:t>
      </w:r>
      <w:r w:rsidR="00A03C71" w:rsidRPr="00760B8B">
        <w:rPr>
          <w:lang w:val="fr-FR"/>
        </w:rPr>
        <w:t>f</w:t>
      </w:r>
      <w:r w:rsidR="006F5491">
        <w:rPr>
          <w:lang w:val="fr-FR"/>
        </w:rPr>
        <w:t>o</w:t>
      </w:r>
      <w:r w:rsidR="00A03C71" w:rsidRPr="00760B8B">
        <w:rPr>
          <w:lang w:val="fr-FR"/>
        </w:rPr>
        <w:t xml:space="preserve">nctions </w:t>
      </w:r>
      <w:r w:rsidR="006F5491">
        <w:rPr>
          <w:lang w:val="fr-FR"/>
        </w:rPr>
        <w:t xml:space="preserve">de chef de la </w:t>
      </w:r>
      <w:r w:rsidR="006F5491" w:rsidRPr="00760B8B">
        <w:rPr>
          <w:lang w:val="fr-FR"/>
        </w:rPr>
        <w:t>Section</w:t>
      </w:r>
      <w:r w:rsidR="006F5491">
        <w:rPr>
          <w:lang w:val="fr-FR"/>
        </w:rPr>
        <w:t> </w:t>
      </w:r>
      <w:r w:rsidR="00A03C71" w:rsidRPr="00760B8B">
        <w:rPr>
          <w:lang w:val="fr-FR"/>
        </w:rPr>
        <w:t xml:space="preserve">; </w:t>
      </w:r>
      <w:r w:rsidR="006F5491">
        <w:rPr>
          <w:lang w:val="fr-FR"/>
        </w:rPr>
        <w:t>un chef d’unité supervise</w:t>
      </w:r>
      <w:r w:rsidR="00CB4DF4">
        <w:rPr>
          <w:lang w:val="fr-FR"/>
        </w:rPr>
        <w:t xml:space="preserve"> chacune</w:t>
      </w:r>
      <w:r w:rsidR="006F5491">
        <w:rPr>
          <w:lang w:val="fr-FR"/>
        </w:rPr>
        <w:t xml:space="preserve"> </w:t>
      </w:r>
      <w:r w:rsidR="00CB4DF4">
        <w:rPr>
          <w:lang w:val="fr-FR"/>
        </w:rPr>
        <w:t xml:space="preserve">des </w:t>
      </w:r>
      <w:r w:rsidR="006F5491">
        <w:rPr>
          <w:lang w:val="fr-FR"/>
        </w:rPr>
        <w:t xml:space="preserve">deux </w:t>
      </w:r>
      <w:r w:rsidR="00A03C71" w:rsidRPr="00760B8B">
        <w:rPr>
          <w:lang w:val="fr-FR"/>
        </w:rPr>
        <w:t>unit</w:t>
      </w:r>
      <w:r w:rsidR="006F5491">
        <w:rPr>
          <w:lang w:val="fr-FR"/>
        </w:rPr>
        <w:t>é</w:t>
      </w:r>
      <w:r w:rsidR="00A03C71" w:rsidRPr="00760B8B">
        <w:rPr>
          <w:lang w:val="fr-FR"/>
        </w:rPr>
        <w:t>s.</w:t>
      </w:r>
    </w:p>
    <w:p w14:paraId="63C16662" w14:textId="7254153A" w:rsidR="00A03C71" w:rsidRDefault="00824913" w:rsidP="00A03C71">
      <w:pPr>
        <w:pStyle w:val="COMPara"/>
        <w:numPr>
          <w:ilvl w:val="0"/>
          <w:numId w:val="9"/>
        </w:numPr>
        <w:ind w:left="567" w:hanging="567"/>
        <w:jc w:val="both"/>
        <w:rPr>
          <w:lang w:val="fr-FR"/>
        </w:rPr>
      </w:pPr>
      <w:r>
        <w:rPr>
          <w:lang w:val="fr-FR"/>
        </w:rPr>
        <w:t xml:space="preserve">Comme indiqué dans le </w:t>
      </w:r>
      <w:bookmarkStart w:id="0" w:name="_GoBack"/>
      <w:r w:rsidR="00A63556">
        <w:fldChar w:fldCharType="begin"/>
      </w:r>
      <w:r w:rsidR="00A63556" w:rsidRPr="00A63556">
        <w:rPr>
          <w:lang w:val="fr-FR"/>
        </w:rPr>
        <w:instrText xml:space="preserve"> HYPERLINK "http://www.unesco.org/culture/ich/doc/src/ITH-14-9.COM-6-FR_.doc" </w:instrText>
      </w:r>
      <w:r w:rsidR="00A63556">
        <w:fldChar w:fldCharType="separate"/>
      </w:r>
      <w:r w:rsidR="0002527C">
        <w:rPr>
          <w:rStyle w:val="Hyperlink"/>
          <w:lang w:val="fr-FR"/>
        </w:rPr>
        <w:t>d</w:t>
      </w:r>
      <w:r w:rsidR="0002527C" w:rsidRPr="00760B8B">
        <w:rPr>
          <w:rStyle w:val="Hyperlink"/>
          <w:lang w:val="fr-FR"/>
        </w:rPr>
        <w:t>ocument</w:t>
      </w:r>
      <w:r w:rsidR="0002527C">
        <w:rPr>
          <w:rStyle w:val="Hyperlink"/>
          <w:lang w:val="fr-FR"/>
        </w:rPr>
        <w:t> </w:t>
      </w:r>
      <w:r w:rsidR="0002527C" w:rsidRPr="00760B8B">
        <w:rPr>
          <w:rStyle w:val="Hyperlink"/>
          <w:lang w:val="fr-FR"/>
        </w:rPr>
        <w:t>ITH/13/9.COM/6</w:t>
      </w:r>
      <w:r w:rsidR="00A63556">
        <w:rPr>
          <w:rStyle w:val="Hyperlink"/>
          <w:lang w:val="fr-FR"/>
        </w:rPr>
        <w:fldChar w:fldCharType="end"/>
      </w:r>
      <w:bookmarkEnd w:id="0"/>
      <w:r w:rsidR="00A03C71" w:rsidRPr="00760B8B">
        <w:rPr>
          <w:lang w:val="fr-FR"/>
        </w:rPr>
        <w:t xml:space="preserve">, </w:t>
      </w:r>
      <w:r>
        <w:rPr>
          <w:lang w:val="fr-FR"/>
        </w:rPr>
        <w:t xml:space="preserve">et conformément au </w:t>
      </w:r>
      <w:r w:rsidR="00A03C71" w:rsidRPr="00760B8B">
        <w:rPr>
          <w:lang w:val="fr-FR"/>
        </w:rPr>
        <w:t xml:space="preserve">plan </w:t>
      </w:r>
      <w:r>
        <w:rPr>
          <w:lang w:val="fr-FR"/>
        </w:rPr>
        <w:t xml:space="preserve">de restructuration </w:t>
      </w:r>
      <w:r w:rsidR="00A03C71" w:rsidRPr="00760B8B">
        <w:rPr>
          <w:lang w:val="fr-FR"/>
        </w:rPr>
        <w:t>appro</w:t>
      </w:r>
      <w:r>
        <w:rPr>
          <w:lang w:val="fr-FR"/>
        </w:rPr>
        <w:t xml:space="preserve">uvé par la </w:t>
      </w:r>
      <w:r w:rsidR="00A03C71" w:rsidRPr="00760B8B">
        <w:rPr>
          <w:lang w:val="fr-FR"/>
        </w:rPr>
        <w:t>Direct</w:t>
      </w:r>
      <w:r>
        <w:rPr>
          <w:lang w:val="fr-FR"/>
        </w:rPr>
        <w:t>rice g</w:t>
      </w:r>
      <w:r w:rsidRPr="00760B8B">
        <w:rPr>
          <w:lang w:val="fr-FR"/>
        </w:rPr>
        <w:t>énéral</w:t>
      </w:r>
      <w:r>
        <w:rPr>
          <w:lang w:val="fr-FR"/>
        </w:rPr>
        <w:t>e</w:t>
      </w:r>
      <w:r w:rsidR="00A03C71" w:rsidRPr="00760B8B">
        <w:rPr>
          <w:lang w:val="fr-FR"/>
        </w:rPr>
        <w:t xml:space="preserve">, </w:t>
      </w:r>
      <w:r>
        <w:rPr>
          <w:lang w:val="fr-FR"/>
        </w:rPr>
        <w:t xml:space="preserve">le Secteur de la </w:t>
      </w:r>
      <w:r w:rsidRPr="00760B8B">
        <w:rPr>
          <w:lang w:val="fr-FR"/>
        </w:rPr>
        <w:t xml:space="preserve">culture </w:t>
      </w:r>
      <w:r>
        <w:rPr>
          <w:lang w:val="fr-FR"/>
        </w:rPr>
        <w:t xml:space="preserve">a mis en place une </w:t>
      </w:r>
      <w:r w:rsidRPr="00173BDB">
        <w:rPr>
          <w:snapToGrid/>
          <w:lang w:val="fr-FR"/>
        </w:rPr>
        <w:t>Unité des services communs des conventions</w:t>
      </w:r>
      <w:r w:rsidR="00A03C71" w:rsidRPr="00760B8B">
        <w:rPr>
          <w:lang w:val="fr-FR"/>
        </w:rPr>
        <w:t xml:space="preserve"> </w:t>
      </w:r>
      <w:r w:rsidR="00173BDB">
        <w:rPr>
          <w:lang w:val="fr-FR"/>
        </w:rPr>
        <w:t>à la mi</w:t>
      </w:r>
      <w:r w:rsidR="00A03C71" w:rsidRPr="00760B8B">
        <w:rPr>
          <w:lang w:val="fr-FR"/>
        </w:rPr>
        <w:t>-2014</w:t>
      </w:r>
      <w:r w:rsidR="00173BDB">
        <w:rPr>
          <w:lang w:val="fr-FR"/>
        </w:rPr>
        <w:t xml:space="preserve">, destinée à fournir aux secrétariats des </w:t>
      </w:r>
      <w:r w:rsidR="00A03C71" w:rsidRPr="00760B8B">
        <w:rPr>
          <w:lang w:val="fr-FR"/>
        </w:rPr>
        <w:t>convention</w:t>
      </w:r>
      <w:r w:rsidR="00173BDB">
        <w:rPr>
          <w:lang w:val="fr-FR"/>
        </w:rPr>
        <w:t>s</w:t>
      </w:r>
      <w:r w:rsidR="00A03C71" w:rsidRPr="00760B8B">
        <w:rPr>
          <w:lang w:val="fr-FR"/>
        </w:rPr>
        <w:t xml:space="preserve"> </w:t>
      </w:r>
      <w:r w:rsidR="00173BDB">
        <w:rPr>
          <w:lang w:val="fr-FR"/>
        </w:rPr>
        <w:t xml:space="preserve">une </w:t>
      </w:r>
      <w:r w:rsidR="00A03C71" w:rsidRPr="00760B8B">
        <w:rPr>
          <w:lang w:val="fr-FR"/>
        </w:rPr>
        <w:t>plat</w:t>
      </w:r>
      <w:r w:rsidR="00173BDB">
        <w:rPr>
          <w:lang w:val="fr-FR"/>
        </w:rPr>
        <w:t>e</w:t>
      </w:r>
      <w:r w:rsidR="00A03C71" w:rsidRPr="00760B8B">
        <w:rPr>
          <w:lang w:val="fr-FR"/>
        </w:rPr>
        <w:t>form</w:t>
      </w:r>
      <w:r w:rsidR="00173BDB">
        <w:rPr>
          <w:lang w:val="fr-FR"/>
        </w:rPr>
        <w:t>e</w:t>
      </w:r>
      <w:r w:rsidR="00A03C71" w:rsidRPr="00760B8B">
        <w:rPr>
          <w:lang w:val="fr-FR"/>
        </w:rPr>
        <w:t xml:space="preserve"> </w:t>
      </w:r>
      <w:r w:rsidR="00173BDB">
        <w:rPr>
          <w:lang w:val="fr-FR"/>
        </w:rPr>
        <w:t>de ressources mutualisées pour répondre à plusieurs besoins communs</w:t>
      </w:r>
      <w:r w:rsidR="009C43C1">
        <w:rPr>
          <w:lang w:val="fr-FR"/>
        </w:rPr>
        <w:t xml:space="preserve"> liés aux aspects </w:t>
      </w:r>
      <w:r w:rsidR="00A03C71" w:rsidRPr="00760B8B">
        <w:rPr>
          <w:lang w:val="fr-FR"/>
        </w:rPr>
        <w:t>logisti</w:t>
      </w:r>
      <w:r w:rsidR="00173BDB">
        <w:rPr>
          <w:lang w:val="fr-FR"/>
        </w:rPr>
        <w:t>que</w:t>
      </w:r>
      <w:r w:rsidR="009C43C1">
        <w:rPr>
          <w:lang w:val="fr-FR"/>
        </w:rPr>
        <w:t>s</w:t>
      </w:r>
      <w:r w:rsidR="00173BDB">
        <w:rPr>
          <w:lang w:val="fr-FR"/>
        </w:rPr>
        <w:t xml:space="preserve"> des réunions </w:t>
      </w:r>
      <w:r w:rsidR="00A03C71" w:rsidRPr="00760B8B">
        <w:rPr>
          <w:lang w:val="fr-FR"/>
        </w:rPr>
        <w:t>statut</w:t>
      </w:r>
      <w:r w:rsidR="00173BDB">
        <w:rPr>
          <w:lang w:val="fr-FR"/>
        </w:rPr>
        <w:t>aires</w:t>
      </w:r>
      <w:r w:rsidR="00A03C71" w:rsidRPr="00760B8B">
        <w:rPr>
          <w:lang w:val="fr-FR"/>
        </w:rPr>
        <w:t xml:space="preserve">, </w:t>
      </w:r>
      <w:r w:rsidR="009C43C1">
        <w:rPr>
          <w:lang w:val="fr-FR"/>
        </w:rPr>
        <w:t xml:space="preserve">ainsi qu’à la </w:t>
      </w:r>
      <w:r w:rsidR="00A03C71" w:rsidRPr="00760B8B">
        <w:rPr>
          <w:lang w:val="fr-FR"/>
        </w:rPr>
        <w:t xml:space="preserve">communication, </w:t>
      </w:r>
      <w:r w:rsidR="002B60C0">
        <w:rPr>
          <w:lang w:val="fr-FR"/>
        </w:rPr>
        <w:t xml:space="preserve">à </w:t>
      </w:r>
      <w:r w:rsidR="009C43C1">
        <w:rPr>
          <w:lang w:val="fr-FR"/>
        </w:rPr>
        <w:t xml:space="preserve">la </w:t>
      </w:r>
      <w:r w:rsidR="00173BDB">
        <w:rPr>
          <w:lang w:val="fr-FR"/>
        </w:rPr>
        <w:t xml:space="preserve">sensibilisation et </w:t>
      </w:r>
      <w:r w:rsidR="002B60C0">
        <w:rPr>
          <w:lang w:val="fr-FR"/>
        </w:rPr>
        <w:t>aux</w:t>
      </w:r>
      <w:r w:rsidR="009C43C1">
        <w:rPr>
          <w:lang w:val="fr-FR"/>
        </w:rPr>
        <w:t xml:space="preserve"> </w:t>
      </w:r>
      <w:r w:rsidR="00173BDB">
        <w:rPr>
          <w:lang w:val="fr-FR"/>
        </w:rPr>
        <w:t>partenariats</w:t>
      </w:r>
      <w:r w:rsidR="00A03C71" w:rsidRPr="00760B8B">
        <w:rPr>
          <w:lang w:val="fr-FR"/>
        </w:rPr>
        <w:t xml:space="preserve">. </w:t>
      </w:r>
      <w:r w:rsidR="00173BDB">
        <w:rPr>
          <w:lang w:val="fr-FR"/>
        </w:rPr>
        <w:t xml:space="preserve">Depuis qu’elle a été mise en place, </w:t>
      </w:r>
      <w:r w:rsidR="009C43C1">
        <w:rPr>
          <w:lang w:val="fr-FR"/>
        </w:rPr>
        <w:t>l’Unité assiste</w:t>
      </w:r>
      <w:r w:rsidR="005137A7">
        <w:rPr>
          <w:lang w:val="fr-FR"/>
        </w:rPr>
        <w:t xml:space="preserve"> </w:t>
      </w:r>
      <w:r w:rsidR="00173BDB">
        <w:rPr>
          <w:lang w:val="fr-FR"/>
        </w:rPr>
        <w:t xml:space="preserve">la </w:t>
      </w:r>
      <w:r w:rsidR="00A03C71" w:rsidRPr="00760B8B">
        <w:rPr>
          <w:lang w:val="fr-FR"/>
        </w:rPr>
        <w:t xml:space="preserve">Section </w:t>
      </w:r>
      <w:r w:rsidR="009C43C1">
        <w:rPr>
          <w:lang w:val="fr-FR"/>
        </w:rPr>
        <w:t>dans l’</w:t>
      </w:r>
      <w:r w:rsidR="001A5664">
        <w:rPr>
          <w:lang w:val="fr-FR"/>
        </w:rPr>
        <w:t>organis</w:t>
      </w:r>
      <w:r w:rsidR="009C43C1">
        <w:rPr>
          <w:lang w:val="fr-FR"/>
        </w:rPr>
        <w:t>ation</w:t>
      </w:r>
      <w:r w:rsidR="001A5664">
        <w:rPr>
          <w:lang w:val="fr-FR"/>
        </w:rPr>
        <w:t xml:space="preserve"> </w:t>
      </w:r>
      <w:r w:rsidR="009C43C1">
        <w:rPr>
          <w:lang w:val="fr-FR"/>
        </w:rPr>
        <w:t>d</w:t>
      </w:r>
      <w:r w:rsidR="001A5664">
        <w:rPr>
          <w:lang w:val="fr-FR"/>
        </w:rPr>
        <w:t>es réunions statutaires</w:t>
      </w:r>
      <w:r w:rsidR="009C43C1">
        <w:rPr>
          <w:lang w:val="fr-FR"/>
        </w:rPr>
        <w:t>,</w:t>
      </w:r>
      <w:r w:rsidR="001A5664">
        <w:rPr>
          <w:lang w:val="fr-FR"/>
        </w:rPr>
        <w:t xml:space="preserve"> notamment pour les aspects logistiques ainsi </w:t>
      </w:r>
      <w:r w:rsidR="002B60C0">
        <w:rPr>
          <w:lang w:val="fr-FR"/>
        </w:rPr>
        <w:t>que ceux liés au</w:t>
      </w:r>
      <w:r w:rsidR="009C43C1">
        <w:rPr>
          <w:lang w:val="fr-FR"/>
        </w:rPr>
        <w:t xml:space="preserve"> voyage des participants aux réunions, de même que pour </w:t>
      </w:r>
      <w:r w:rsidR="002B60C0">
        <w:rPr>
          <w:lang w:val="fr-FR"/>
        </w:rPr>
        <w:t>l</w:t>
      </w:r>
      <w:r w:rsidR="005137A7">
        <w:rPr>
          <w:lang w:val="fr-FR"/>
        </w:rPr>
        <w:t xml:space="preserve">es </w:t>
      </w:r>
      <w:r w:rsidR="002E23CD">
        <w:rPr>
          <w:lang w:val="fr-FR"/>
        </w:rPr>
        <w:t xml:space="preserve">questions </w:t>
      </w:r>
      <w:r w:rsidR="00A03C71" w:rsidRPr="00760B8B">
        <w:rPr>
          <w:lang w:val="fr-FR"/>
        </w:rPr>
        <w:t>administrative</w:t>
      </w:r>
      <w:r w:rsidR="005137A7">
        <w:rPr>
          <w:lang w:val="fr-FR"/>
        </w:rPr>
        <w:t>s</w:t>
      </w:r>
      <w:r w:rsidR="00A03C71" w:rsidRPr="00760B8B">
        <w:rPr>
          <w:lang w:val="fr-FR"/>
        </w:rPr>
        <w:t xml:space="preserve"> </w:t>
      </w:r>
      <w:r w:rsidR="005137A7">
        <w:rPr>
          <w:lang w:val="fr-FR"/>
        </w:rPr>
        <w:t xml:space="preserve">et </w:t>
      </w:r>
      <w:r w:rsidR="005137A7" w:rsidRPr="00760B8B">
        <w:rPr>
          <w:lang w:val="fr-FR"/>
        </w:rPr>
        <w:t>procédurale</w:t>
      </w:r>
      <w:r w:rsidR="005137A7">
        <w:rPr>
          <w:lang w:val="fr-FR"/>
        </w:rPr>
        <w:t>s</w:t>
      </w:r>
      <w:r w:rsidR="00A03C71" w:rsidRPr="00760B8B">
        <w:rPr>
          <w:lang w:val="fr-FR"/>
        </w:rPr>
        <w:t xml:space="preserve"> </w:t>
      </w:r>
      <w:r w:rsidR="005137A7">
        <w:rPr>
          <w:lang w:val="fr-FR"/>
        </w:rPr>
        <w:t xml:space="preserve">liées à la </w:t>
      </w:r>
      <w:r w:rsidR="005137A7" w:rsidRPr="00760B8B">
        <w:rPr>
          <w:lang w:val="fr-FR"/>
        </w:rPr>
        <w:t>coopération</w:t>
      </w:r>
      <w:r w:rsidR="00A03C71" w:rsidRPr="00760B8B">
        <w:rPr>
          <w:lang w:val="fr-FR"/>
        </w:rPr>
        <w:t xml:space="preserve"> </w:t>
      </w:r>
      <w:r w:rsidR="005137A7">
        <w:rPr>
          <w:lang w:val="fr-FR"/>
        </w:rPr>
        <w:t xml:space="preserve">avec les centres de </w:t>
      </w:r>
      <w:r w:rsidR="005137A7" w:rsidRPr="00760B8B">
        <w:rPr>
          <w:lang w:val="fr-FR"/>
        </w:rPr>
        <w:t>catégorie</w:t>
      </w:r>
      <w:r w:rsidR="005137A7">
        <w:rPr>
          <w:lang w:val="fr-FR"/>
        </w:rPr>
        <w:t> </w:t>
      </w:r>
      <w:r w:rsidR="00A03C71" w:rsidRPr="00760B8B">
        <w:rPr>
          <w:lang w:val="fr-FR"/>
        </w:rPr>
        <w:t>2</w:t>
      </w:r>
      <w:r w:rsidR="009C43C1">
        <w:rPr>
          <w:lang w:val="fr-FR"/>
        </w:rPr>
        <w:t xml:space="preserve"> et</w:t>
      </w:r>
      <w:r w:rsidR="005137A7">
        <w:rPr>
          <w:lang w:val="fr-FR"/>
        </w:rPr>
        <w:t xml:space="preserve"> </w:t>
      </w:r>
      <w:r w:rsidR="009C43C1">
        <w:rPr>
          <w:lang w:val="fr-FR"/>
        </w:rPr>
        <w:t xml:space="preserve">au traitement </w:t>
      </w:r>
      <w:r w:rsidR="005137A7">
        <w:rPr>
          <w:lang w:val="fr-FR"/>
        </w:rPr>
        <w:t xml:space="preserve">des demandes de </w:t>
      </w:r>
      <w:r w:rsidR="00CD5665">
        <w:rPr>
          <w:lang w:val="fr-FR"/>
        </w:rPr>
        <w:t xml:space="preserve">patronage </w:t>
      </w:r>
      <w:r w:rsidR="005137A7">
        <w:rPr>
          <w:lang w:val="fr-FR"/>
        </w:rPr>
        <w:t xml:space="preserve">et </w:t>
      </w:r>
      <w:r w:rsidR="009C43C1">
        <w:rPr>
          <w:lang w:val="fr-FR"/>
        </w:rPr>
        <w:t xml:space="preserve">de </w:t>
      </w:r>
      <w:r w:rsidR="005137A7">
        <w:rPr>
          <w:lang w:val="fr-FR"/>
        </w:rPr>
        <w:t xml:space="preserve">l’utilisation de l’emblème de la </w:t>
      </w:r>
      <w:r w:rsidR="00A03C71" w:rsidRPr="00760B8B">
        <w:rPr>
          <w:lang w:val="fr-FR"/>
        </w:rPr>
        <w:t>Convention.</w:t>
      </w:r>
    </w:p>
    <w:p w14:paraId="0D81B4F7" w14:textId="77777777" w:rsidR="00A03C71" w:rsidRPr="005137A7" w:rsidRDefault="005137A7" w:rsidP="00EE55A0">
      <w:pPr>
        <w:pStyle w:val="COMPara"/>
        <w:keepNext/>
        <w:numPr>
          <w:ilvl w:val="0"/>
          <w:numId w:val="14"/>
        </w:numPr>
        <w:spacing w:before="360"/>
        <w:ind w:left="567" w:hanging="567"/>
        <w:rPr>
          <w:b/>
          <w:lang w:val="fr-FR"/>
        </w:rPr>
      </w:pPr>
      <w:r w:rsidRPr="005137A7">
        <w:rPr>
          <w:b/>
          <w:lang w:val="fr-FR"/>
        </w:rPr>
        <w:t>Résultats escomptés et indicateurs de performance</w:t>
      </w:r>
    </w:p>
    <w:p w14:paraId="440828C5" w14:textId="3F4A315D" w:rsidR="00A03C71" w:rsidRPr="005137A7" w:rsidRDefault="00D71002" w:rsidP="00A03C71">
      <w:pPr>
        <w:pStyle w:val="COMPara"/>
        <w:numPr>
          <w:ilvl w:val="0"/>
          <w:numId w:val="9"/>
        </w:numPr>
        <w:ind w:left="567" w:hanging="567"/>
        <w:jc w:val="both"/>
        <w:rPr>
          <w:lang w:val="fr-FR"/>
        </w:rPr>
      </w:pPr>
      <w:r>
        <w:rPr>
          <w:lang w:val="fr-FR"/>
        </w:rPr>
        <w:t xml:space="preserve">Les </w:t>
      </w:r>
      <w:r w:rsidR="00A03C71" w:rsidRPr="005137A7">
        <w:rPr>
          <w:lang w:val="fr-FR"/>
        </w:rPr>
        <w:t>activit</w:t>
      </w:r>
      <w:r>
        <w:rPr>
          <w:lang w:val="fr-FR"/>
        </w:rPr>
        <w:t>é</w:t>
      </w:r>
      <w:r w:rsidR="00A03C71" w:rsidRPr="005137A7">
        <w:rPr>
          <w:lang w:val="fr-FR"/>
        </w:rPr>
        <w:t xml:space="preserve">s </w:t>
      </w:r>
      <w:r>
        <w:rPr>
          <w:lang w:val="fr-FR"/>
        </w:rPr>
        <w:t xml:space="preserve">du </w:t>
      </w:r>
      <w:r w:rsidRPr="005137A7">
        <w:rPr>
          <w:lang w:val="fr-FR"/>
        </w:rPr>
        <w:t>Secrétariat</w:t>
      </w:r>
      <w:r w:rsidR="00A03C71" w:rsidRPr="005137A7">
        <w:rPr>
          <w:lang w:val="fr-FR"/>
        </w:rPr>
        <w:t xml:space="preserve"> </w:t>
      </w:r>
      <w:r w:rsidR="00325F81">
        <w:rPr>
          <w:lang w:val="fr-FR"/>
        </w:rPr>
        <w:t xml:space="preserve">se situent dans la perspective de la nouvelle </w:t>
      </w:r>
      <w:hyperlink r:id="rId14" w:history="1">
        <w:r w:rsidR="00325F81">
          <w:rPr>
            <w:rStyle w:val="Hyperlink"/>
            <w:lang w:val="fr-FR"/>
          </w:rPr>
          <w:t xml:space="preserve">Stratégie à moyen terme </w:t>
        </w:r>
        <w:r w:rsidR="008772D2">
          <w:rPr>
            <w:rStyle w:val="Hyperlink"/>
            <w:lang w:val="fr-FR"/>
          </w:rPr>
          <w:t xml:space="preserve">sur huit années </w:t>
        </w:r>
        <w:r w:rsidR="00A03C71" w:rsidRPr="005137A7">
          <w:rPr>
            <w:rStyle w:val="Hyperlink"/>
            <w:lang w:val="fr-FR"/>
          </w:rPr>
          <w:t>(2014</w:t>
        </w:r>
        <w:r w:rsidR="00490A8E">
          <w:rPr>
            <w:rStyle w:val="Hyperlink"/>
            <w:lang w:val="fr-FR"/>
          </w:rPr>
          <w:t> </w:t>
        </w:r>
        <w:r w:rsidR="00325F81">
          <w:rPr>
            <w:rStyle w:val="Hyperlink"/>
            <w:lang w:val="fr-FR"/>
          </w:rPr>
          <w:noBreakHyphen/>
        </w:r>
        <w:r w:rsidR="00490A8E">
          <w:rPr>
            <w:rStyle w:val="Hyperlink"/>
            <w:lang w:val="fr-FR"/>
          </w:rPr>
          <w:t> </w:t>
        </w:r>
        <w:r w:rsidR="00325F81">
          <w:rPr>
            <w:rStyle w:val="Hyperlink"/>
            <w:lang w:val="fr-FR"/>
          </w:rPr>
          <w:t>2021</w:t>
        </w:r>
        <w:r w:rsidR="00A03C71" w:rsidRPr="005137A7">
          <w:rPr>
            <w:rStyle w:val="Hyperlink"/>
            <w:lang w:val="fr-FR"/>
          </w:rPr>
          <w:t>)</w:t>
        </w:r>
      </w:hyperlink>
      <w:r w:rsidR="00A03C71" w:rsidRPr="005137A7">
        <w:rPr>
          <w:lang w:val="fr-FR"/>
        </w:rPr>
        <w:t xml:space="preserve"> </w:t>
      </w:r>
      <w:r w:rsidR="00325F81">
        <w:rPr>
          <w:lang w:val="fr-FR"/>
        </w:rPr>
        <w:t>et d</w:t>
      </w:r>
      <w:r w:rsidR="00F07384">
        <w:rPr>
          <w:lang w:val="fr-FR"/>
        </w:rPr>
        <w:t>es</w:t>
      </w:r>
      <w:r w:rsidR="00325F81">
        <w:rPr>
          <w:lang w:val="fr-FR"/>
        </w:rPr>
        <w:t xml:space="preserve"> </w:t>
      </w:r>
      <w:r w:rsidR="00A03C71" w:rsidRPr="005137A7">
        <w:rPr>
          <w:lang w:val="fr-FR"/>
        </w:rPr>
        <w:t xml:space="preserve">Programme </w:t>
      </w:r>
      <w:r w:rsidR="00325F81">
        <w:rPr>
          <w:lang w:val="fr-FR"/>
        </w:rPr>
        <w:t xml:space="preserve">et </w:t>
      </w:r>
      <w:r w:rsidR="00A03C71" w:rsidRPr="005137A7">
        <w:rPr>
          <w:lang w:val="fr-FR"/>
        </w:rPr>
        <w:t xml:space="preserve">Budget </w:t>
      </w:r>
      <w:r w:rsidR="008772D2">
        <w:rPr>
          <w:lang w:val="fr-FR"/>
        </w:rPr>
        <w:t xml:space="preserve">quadriennaux </w:t>
      </w:r>
      <w:r w:rsidR="00A03C71" w:rsidRPr="005137A7">
        <w:rPr>
          <w:lang w:val="fr-FR"/>
        </w:rPr>
        <w:t>(2014</w:t>
      </w:r>
      <w:r w:rsidR="00325F81">
        <w:rPr>
          <w:lang w:val="fr-FR"/>
        </w:rPr>
        <w:t>-2017</w:t>
      </w:r>
      <w:r w:rsidR="00A03C71" w:rsidRPr="005137A7">
        <w:rPr>
          <w:lang w:val="fr-FR"/>
        </w:rPr>
        <w:t xml:space="preserve">) </w:t>
      </w:r>
      <w:r w:rsidR="00325F81">
        <w:rPr>
          <w:lang w:val="fr-FR"/>
        </w:rPr>
        <w:t>de l’</w:t>
      </w:r>
      <w:r w:rsidR="00A03C71" w:rsidRPr="005137A7">
        <w:rPr>
          <w:lang w:val="fr-FR"/>
        </w:rPr>
        <w:t xml:space="preserve">UNESCO. </w:t>
      </w:r>
      <w:r w:rsidR="00F07384">
        <w:rPr>
          <w:lang w:val="fr-FR"/>
        </w:rPr>
        <w:t xml:space="preserve">Les </w:t>
      </w:r>
      <w:r w:rsidR="00A03C71" w:rsidRPr="005137A7">
        <w:rPr>
          <w:lang w:val="fr-FR"/>
        </w:rPr>
        <w:t xml:space="preserve">Programme </w:t>
      </w:r>
      <w:r w:rsidR="00325F81">
        <w:rPr>
          <w:lang w:val="fr-FR"/>
        </w:rPr>
        <w:t xml:space="preserve">et </w:t>
      </w:r>
      <w:r w:rsidR="00A03C71" w:rsidRPr="005137A7">
        <w:rPr>
          <w:lang w:val="fr-FR"/>
        </w:rPr>
        <w:t xml:space="preserve">Budget </w:t>
      </w:r>
      <w:r w:rsidR="00325F81">
        <w:rPr>
          <w:lang w:val="fr-FR"/>
        </w:rPr>
        <w:t>approuvé</w:t>
      </w:r>
      <w:r w:rsidR="008772D2">
        <w:rPr>
          <w:lang w:val="fr-FR"/>
        </w:rPr>
        <w:t>s</w:t>
      </w:r>
      <w:r w:rsidR="00325F81">
        <w:rPr>
          <w:lang w:val="fr-FR"/>
        </w:rPr>
        <w:t xml:space="preserve"> pour </w:t>
      </w:r>
      <w:r w:rsidR="00A03C71" w:rsidRPr="005137A7">
        <w:rPr>
          <w:lang w:val="fr-FR"/>
        </w:rPr>
        <w:t>2014</w:t>
      </w:r>
      <w:r w:rsidR="00325F81">
        <w:rPr>
          <w:lang w:val="fr-FR"/>
        </w:rPr>
        <w:t>-</w:t>
      </w:r>
      <w:r w:rsidR="00A03C71" w:rsidRPr="005137A7">
        <w:rPr>
          <w:lang w:val="fr-FR"/>
        </w:rPr>
        <w:t>2017 (37 C/5) cont</w:t>
      </w:r>
      <w:r w:rsidR="00325F81">
        <w:rPr>
          <w:lang w:val="fr-FR"/>
        </w:rPr>
        <w:t>ien</w:t>
      </w:r>
      <w:r w:rsidR="00F07384">
        <w:rPr>
          <w:lang w:val="fr-FR"/>
        </w:rPr>
        <w:t>nen</w:t>
      </w:r>
      <w:r w:rsidR="00325F81">
        <w:rPr>
          <w:lang w:val="fr-FR"/>
        </w:rPr>
        <w:t xml:space="preserve">t un </w:t>
      </w:r>
      <w:r w:rsidR="00F65E68">
        <w:rPr>
          <w:lang w:val="fr-FR"/>
        </w:rPr>
        <w:t>Axe d’A</w:t>
      </w:r>
      <w:r w:rsidR="00F65E68" w:rsidRPr="005137A7">
        <w:rPr>
          <w:lang w:val="fr-FR"/>
        </w:rPr>
        <w:t>ction</w:t>
      </w:r>
      <w:r w:rsidR="00F65E68">
        <w:rPr>
          <w:lang w:val="fr-FR"/>
        </w:rPr>
        <w:t xml:space="preserve"> </w:t>
      </w:r>
      <w:r w:rsidR="00325F81">
        <w:rPr>
          <w:lang w:val="fr-FR"/>
        </w:rPr>
        <w:t>principal </w:t>
      </w:r>
      <w:r w:rsidR="00A03C71" w:rsidRPr="005137A7">
        <w:rPr>
          <w:lang w:val="fr-FR"/>
        </w:rPr>
        <w:t xml:space="preserve">: </w:t>
      </w:r>
      <w:r w:rsidR="008772D2">
        <w:rPr>
          <w:lang w:val="fr-FR"/>
        </w:rPr>
        <w:t xml:space="preserve">Soutenir </w:t>
      </w:r>
      <w:r w:rsidR="00325F81">
        <w:rPr>
          <w:lang w:val="fr-FR"/>
        </w:rPr>
        <w:t xml:space="preserve">et promouvoir la </w:t>
      </w:r>
      <w:r w:rsidR="00A03C71" w:rsidRPr="005137A7">
        <w:rPr>
          <w:lang w:val="fr-FR"/>
        </w:rPr>
        <w:t>diversit</w:t>
      </w:r>
      <w:r w:rsidR="00325F81">
        <w:rPr>
          <w:lang w:val="fr-FR"/>
        </w:rPr>
        <w:t xml:space="preserve">é des </w:t>
      </w:r>
      <w:r w:rsidR="00A03C71" w:rsidRPr="005137A7">
        <w:rPr>
          <w:lang w:val="fr-FR"/>
        </w:rPr>
        <w:t>expressions</w:t>
      </w:r>
      <w:r w:rsidR="00325F81">
        <w:rPr>
          <w:lang w:val="fr-FR"/>
        </w:rPr>
        <w:t xml:space="preserve"> culturelles</w:t>
      </w:r>
      <w:r w:rsidR="00A03C71" w:rsidRPr="005137A7">
        <w:rPr>
          <w:lang w:val="fr-FR"/>
        </w:rPr>
        <w:t xml:space="preserve">, </w:t>
      </w:r>
      <w:r w:rsidR="00325F81">
        <w:rPr>
          <w:lang w:val="fr-FR"/>
        </w:rPr>
        <w:t>la sauvegarde du patrimoine culturel immatériel</w:t>
      </w:r>
      <w:r w:rsidR="00A03C71" w:rsidRPr="005137A7">
        <w:rPr>
          <w:lang w:val="fr-FR"/>
        </w:rPr>
        <w:t xml:space="preserve">, </w:t>
      </w:r>
      <w:r w:rsidR="00325F81">
        <w:rPr>
          <w:lang w:val="fr-FR"/>
        </w:rPr>
        <w:t>et l</w:t>
      </w:r>
      <w:r w:rsidR="008772D2">
        <w:rPr>
          <w:lang w:val="fr-FR"/>
        </w:rPr>
        <w:t xml:space="preserve">’avènement </w:t>
      </w:r>
      <w:r w:rsidR="00325F81">
        <w:rPr>
          <w:lang w:val="fr-FR"/>
        </w:rPr>
        <w:t>d’industrie</w:t>
      </w:r>
      <w:r w:rsidR="008772D2">
        <w:rPr>
          <w:lang w:val="fr-FR"/>
        </w:rPr>
        <w:t>s</w:t>
      </w:r>
      <w:r w:rsidR="00325F81">
        <w:rPr>
          <w:lang w:val="fr-FR"/>
        </w:rPr>
        <w:t xml:space="preserve"> </w:t>
      </w:r>
      <w:r w:rsidR="00A03C71" w:rsidRPr="005137A7">
        <w:rPr>
          <w:lang w:val="fr-FR"/>
        </w:rPr>
        <w:t>cultur</w:t>
      </w:r>
      <w:r w:rsidR="00325F81">
        <w:rPr>
          <w:lang w:val="fr-FR"/>
        </w:rPr>
        <w:t>elle</w:t>
      </w:r>
      <w:r w:rsidR="008772D2">
        <w:rPr>
          <w:lang w:val="fr-FR"/>
        </w:rPr>
        <w:t>s</w:t>
      </w:r>
      <w:r w:rsidR="00325F81">
        <w:rPr>
          <w:lang w:val="fr-FR"/>
        </w:rPr>
        <w:t xml:space="preserve"> et </w:t>
      </w:r>
      <w:r w:rsidR="00A03C71" w:rsidRPr="005137A7">
        <w:rPr>
          <w:lang w:val="fr-FR"/>
        </w:rPr>
        <w:t>cr</w:t>
      </w:r>
      <w:r w:rsidR="00325F81">
        <w:rPr>
          <w:lang w:val="fr-FR"/>
        </w:rPr>
        <w:t>é</w:t>
      </w:r>
      <w:r w:rsidR="00A03C71" w:rsidRPr="005137A7">
        <w:rPr>
          <w:lang w:val="fr-FR"/>
        </w:rPr>
        <w:t>ati</w:t>
      </w:r>
      <w:r w:rsidR="00325F81">
        <w:rPr>
          <w:lang w:val="fr-FR"/>
        </w:rPr>
        <w:t>ve</w:t>
      </w:r>
      <w:r w:rsidR="008772D2">
        <w:rPr>
          <w:lang w:val="fr-FR"/>
        </w:rPr>
        <w:t>s</w:t>
      </w:r>
      <w:r w:rsidR="00325F81">
        <w:rPr>
          <w:lang w:val="fr-FR"/>
        </w:rPr>
        <w:t xml:space="preserve">. À cette fin, un résultat escompté de la Convention de </w:t>
      </w:r>
      <w:r w:rsidR="00A03C71" w:rsidRPr="005137A7">
        <w:rPr>
          <w:lang w:val="fr-FR"/>
        </w:rPr>
        <w:t xml:space="preserve">2003 </w:t>
      </w:r>
      <w:r w:rsidR="00325F81">
        <w:rPr>
          <w:lang w:val="fr-FR"/>
        </w:rPr>
        <w:t>a été mis en place </w:t>
      </w:r>
      <w:r w:rsidR="00A03C71" w:rsidRPr="005137A7">
        <w:rPr>
          <w:lang w:val="fr-FR"/>
        </w:rPr>
        <w:t xml:space="preserve">: </w:t>
      </w:r>
      <w:r w:rsidR="008772D2">
        <w:rPr>
          <w:lang w:val="fr-FR"/>
        </w:rPr>
        <w:t xml:space="preserve">Renforcement </w:t>
      </w:r>
      <w:r w:rsidR="00D523B1">
        <w:rPr>
          <w:lang w:val="fr-FR"/>
        </w:rPr>
        <w:t xml:space="preserve">et utilisation des capacités </w:t>
      </w:r>
      <w:r w:rsidR="00D523B1" w:rsidRPr="005137A7">
        <w:rPr>
          <w:lang w:val="fr-FR"/>
        </w:rPr>
        <w:t>national</w:t>
      </w:r>
      <w:r w:rsidR="00D523B1">
        <w:rPr>
          <w:lang w:val="fr-FR"/>
        </w:rPr>
        <w:t>es</w:t>
      </w:r>
      <w:r w:rsidR="00D523B1" w:rsidRPr="005137A7">
        <w:rPr>
          <w:lang w:val="fr-FR"/>
        </w:rPr>
        <w:t xml:space="preserve"> </w:t>
      </w:r>
      <w:r w:rsidR="00D523B1">
        <w:rPr>
          <w:lang w:val="fr-FR"/>
        </w:rPr>
        <w:t xml:space="preserve">en vue de la </w:t>
      </w:r>
      <w:r w:rsidR="00A03C71" w:rsidRPr="005137A7">
        <w:rPr>
          <w:lang w:val="fr-FR"/>
        </w:rPr>
        <w:t>sa</w:t>
      </w:r>
      <w:r w:rsidR="00D523B1">
        <w:rPr>
          <w:lang w:val="fr-FR"/>
        </w:rPr>
        <w:t>uv</w:t>
      </w:r>
      <w:r w:rsidR="00A03C71" w:rsidRPr="005137A7">
        <w:rPr>
          <w:lang w:val="fr-FR"/>
        </w:rPr>
        <w:t>eg</w:t>
      </w:r>
      <w:r w:rsidR="00D523B1">
        <w:rPr>
          <w:lang w:val="fr-FR"/>
        </w:rPr>
        <w:t>arde du patrimoine culturel immatériel</w:t>
      </w:r>
      <w:r w:rsidR="00A03C71" w:rsidRPr="005137A7">
        <w:rPr>
          <w:lang w:val="fr-FR"/>
        </w:rPr>
        <w:t xml:space="preserve">, </w:t>
      </w:r>
      <w:r w:rsidR="00D523B1">
        <w:rPr>
          <w:lang w:val="fr-FR"/>
        </w:rPr>
        <w:t>y compris les langues autochtones et en péril</w:t>
      </w:r>
      <w:r w:rsidR="00A03C71" w:rsidRPr="005137A7">
        <w:rPr>
          <w:lang w:val="fr-FR"/>
        </w:rPr>
        <w:t xml:space="preserve">, </w:t>
      </w:r>
      <w:r w:rsidR="00D523B1">
        <w:rPr>
          <w:lang w:val="fr-FR"/>
        </w:rPr>
        <w:t xml:space="preserve">par la mise en œuvre effective de la </w:t>
      </w:r>
      <w:r w:rsidR="00A03C71" w:rsidRPr="005137A7">
        <w:rPr>
          <w:lang w:val="fr-FR"/>
        </w:rPr>
        <w:t>Convention</w:t>
      </w:r>
      <w:r w:rsidR="00D523B1">
        <w:rPr>
          <w:lang w:val="fr-FR"/>
        </w:rPr>
        <w:t xml:space="preserve"> de </w:t>
      </w:r>
      <w:r w:rsidR="00D523B1" w:rsidRPr="005137A7">
        <w:rPr>
          <w:lang w:val="fr-FR"/>
        </w:rPr>
        <w:t>2003</w:t>
      </w:r>
      <w:r w:rsidR="00A03C71" w:rsidRPr="005137A7">
        <w:rPr>
          <w:lang w:val="fr-FR"/>
        </w:rPr>
        <w:t xml:space="preserve">. </w:t>
      </w:r>
      <w:r w:rsidR="00D523B1">
        <w:rPr>
          <w:lang w:val="fr-FR"/>
        </w:rPr>
        <w:t>Les huit indicateurs de p</w:t>
      </w:r>
      <w:r w:rsidR="00A03C71" w:rsidRPr="005137A7">
        <w:rPr>
          <w:lang w:val="fr-FR"/>
        </w:rPr>
        <w:t xml:space="preserve">erformance </w:t>
      </w:r>
      <w:r w:rsidR="00D523B1">
        <w:rPr>
          <w:lang w:val="fr-FR"/>
        </w:rPr>
        <w:t xml:space="preserve">suivants </w:t>
      </w:r>
      <w:r w:rsidR="00A03C71" w:rsidRPr="005137A7">
        <w:rPr>
          <w:lang w:val="fr-FR"/>
        </w:rPr>
        <w:t>(</w:t>
      </w:r>
      <w:r w:rsidR="00D523B1">
        <w:rPr>
          <w:lang w:val="fr-FR"/>
        </w:rPr>
        <w:t>IP</w:t>
      </w:r>
      <w:r w:rsidR="00A03C71" w:rsidRPr="005137A7">
        <w:rPr>
          <w:lang w:val="fr-FR"/>
        </w:rPr>
        <w:t xml:space="preserve">) </w:t>
      </w:r>
      <w:r w:rsidR="00D523B1">
        <w:rPr>
          <w:lang w:val="fr-FR"/>
        </w:rPr>
        <w:t>ont été élaborés pour ce résultat escompté </w:t>
      </w:r>
      <w:r w:rsidR="00A03C71" w:rsidRPr="005137A7">
        <w:rPr>
          <w:lang w:val="fr-FR"/>
        </w:rPr>
        <w:t>:</w:t>
      </w:r>
    </w:p>
    <w:p w14:paraId="0810DA86"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1</w:t>
      </w:r>
      <w:r w:rsidR="00A03C71" w:rsidRPr="005137A7">
        <w:rPr>
          <w:lang w:val="fr-FR"/>
        </w:rPr>
        <w:tab/>
      </w:r>
      <w:r w:rsidRPr="00D523B1">
        <w:rPr>
          <w:lang w:val="fr-FR"/>
        </w:rPr>
        <w:t>Les organes directeurs de la Convention de 2003 exercent une bonne gouvernance grâce à une organisation efficace de leurs réunions statutaires</w:t>
      </w:r>
      <w:r>
        <w:rPr>
          <w:lang w:val="fr-FR"/>
        </w:rPr>
        <w:t> </w:t>
      </w:r>
      <w:r w:rsidR="00A03C71" w:rsidRPr="005137A7">
        <w:rPr>
          <w:lang w:val="fr-FR"/>
        </w:rPr>
        <w:t>;</w:t>
      </w:r>
    </w:p>
    <w:p w14:paraId="099BE8B3" w14:textId="47C9F0C9"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2</w:t>
      </w:r>
      <w:r w:rsidR="00A03C71" w:rsidRPr="005137A7">
        <w:rPr>
          <w:lang w:val="fr-FR"/>
        </w:rPr>
        <w:tab/>
      </w:r>
      <w:r w:rsidRPr="00D523B1">
        <w:rPr>
          <w:lang w:val="fr-FR"/>
        </w:rPr>
        <w:t xml:space="preserve">Nombre d’États membres soutenus utilisant des ressources humaines et institutionnelles pour le patrimoine culturel immatériel renforcées et intégrant le </w:t>
      </w:r>
      <w:r w:rsidR="00D2734B">
        <w:rPr>
          <w:lang w:val="fr-FR"/>
        </w:rPr>
        <w:t>patrimoine culturel immatériel</w:t>
      </w:r>
      <w:r w:rsidRPr="00D523B1">
        <w:rPr>
          <w:lang w:val="fr-FR"/>
        </w:rPr>
        <w:t xml:space="preserve"> dans les politiques nationales</w:t>
      </w:r>
      <w:r w:rsidR="002A6FAD">
        <w:rPr>
          <w:lang w:val="fr-FR"/>
        </w:rPr>
        <w:t> </w:t>
      </w:r>
      <w:r w:rsidR="00A03C71" w:rsidRPr="005137A7">
        <w:rPr>
          <w:lang w:val="fr-FR"/>
        </w:rPr>
        <w:t>;</w:t>
      </w:r>
    </w:p>
    <w:p w14:paraId="3D3AE056" w14:textId="77777777" w:rsidR="00A03C71" w:rsidRPr="005137A7" w:rsidRDefault="00D523B1" w:rsidP="00A03C71">
      <w:pPr>
        <w:pStyle w:val="COMPara"/>
        <w:ind w:left="1701" w:hanging="1134"/>
        <w:jc w:val="both"/>
        <w:rPr>
          <w:lang w:val="fr-FR"/>
        </w:rPr>
      </w:pPr>
      <w:r w:rsidRPr="002A6FAD">
        <w:rPr>
          <w:lang w:val="fr-FR"/>
        </w:rPr>
        <w:t>IP</w:t>
      </w:r>
      <w:r w:rsidR="00A03C71" w:rsidRPr="002A6FAD">
        <w:rPr>
          <w:lang w:val="fr-FR"/>
        </w:rPr>
        <w:t xml:space="preserve"> 3</w:t>
      </w:r>
      <w:r w:rsidR="00A03C71" w:rsidRPr="002A6FAD">
        <w:rPr>
          <w:lang w:val="fr-FR"/>
        </w:rPr>
        <w:tab/>
      </w:r>
      <w:r w:rsidR="002A6FAD" w:rsidRPr="002A6FAD">
        <w:rPr>
          <w:lang w:val="fr-FR" w:eastAsia="en-GB"/>
        </w:rPr>
        <w:t>Nombre de plans de sauvegarde, y compris les langues autochtones et les langues en danger, développés et/ou mis en œuvre par les États membres </w:t>
      </w:r>
      <w:r w:rsidR="00A03C71" w:rsidRPr="005137A7">
        <w:rPr>
          <w:lang w:val="fr-FR"/>
        </w:rPr>
        <w:t>;</w:t>
      </w:r>
    </w:p>
    <w:p w14:paraId="16BD1DC2"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4</w:t>
      </w:r>
      <w:r w:rsidR="00A03C71" w:rsidRPr="005137A7">
        <w:rPr>
          <w:lang w:val="fr-FR"/>
        </w:rPr>
        <w:tab/>
      </w:r>
      <w:r w:rsidR="002A6FAD" w:rsidRPr="002A6FAD">
        <w:rPr>
          <w:lang w:val="fr-FR"/>
        </w:rPr>
        <w:t>Nombre de demandes d’assistance internationale soumises et mises en œuvre de façon effective par les États membres, de candidatures soumises par les États membres et de meilleures pratiques soumises par les États membres et diffusées par eux et les autres parties prenantes</w:t>
      </w:r>
      <w:r w:rsidR="002A6FAD">
        <w:rPr>
          <w:lang w:val="fr-FR"/>
        </w:rPr>
        <w:t> </w:t>
      </w:r>
      <w:r w:rsidR="00A03C71" w:rsidRPr="005137A7">
        <w:rPr>
          <w:lang w:val="fr-FR"/>
        </w:rPr>
        <w:t>;</w:t>
      </w:r>
    </w:p>
    <w:p w14:paraId="702B5F22"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5</w:t>
      </w:r>
      <w:r w:rsidR="00A03C71" w:rsidRPr="005137A7">
        <w:rPr>
          <w:lang w:val="fr-FR"/>
        </w:rPr>
        <w:tab/>
      </w:r>
      <w:r w:rsidR="002A6FAD" w:rsidRPr="002A6FAD">
        <w:rPr>
          <w:lang w:val="fr-FR"/>
        </w:rPr>
        <w:t>Nombre de rapports périodiques sur la mise en œuvre de la Convention au niveau national soumis par les États parties et examinés par le Comité, et nombre de rapports traitant des questions de genre et décrivant des politiques favorisant l’égalité d’accès et la participation à la vie culturelle</w:t>
      </w:r>
      <w:r w:rsidR="002A6FAD">
        <w:rPr>
          <w:lang w:val="fr-FR"/>
        </w:rPr>
        <w:t> </w:t>
      </w:r>
      <w:r w:rsidR="00A03C71" w:rsidRPr="005137A7">
        <w:rPr>
          <w:lang w:val="fr-FR"/>
        </w:rPr>
        <w:t>;</w:t>
      </w:r>
    </w:p>
    <w:p w14:paraId="4AED9C61"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6</w:t>
      </w:r>
      <w:r w:rsidR="00A03C71" w:rsidRPr="005137A7">
        <w:rPr>
          <w:lang w:val="fr-FR"/>
        </w:rPr>
        <w:tab/>
      </w:r>
      <w:r w:rsidR="002A6FAD" w:rsidRPr="002A6FAD">
        <w:rPr>
          <w:lang w:val="fr-FR"/>
        </w:rPr>
        <w:t>Hausse du nombre des États parties à la Convention</w:t>
      </w:r>
      <w:r w:rsidR="002A6FAD">
        <w:rPr>
          <w:lang w:val="fr-FR"/>
        </w:rPr>
        <w:t> </w:t>
      </w:r>
      <w:r w:rsidR="00A03C71" w:rsidRPr="005137A7">
        <w:rPr>
          <w:lang w:val="fr-FR"/>
        </w:rPr>
        <w:t>;</w:t>
      </w:r>
    </w:p>
    <w:p w14:paraId="189506FD"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7</w:t>
      </w:r>
      <w:r w:rsidR="00A03C71" w:rsidRPr="005137A7">
        <w:rPr>
          <w:lang w:val="fr-FR"/>
        </w:rPr>
        <w:tab/>
      </w:r>
      <w:r w:rsidR="002A6FAD" w:rsidRPr="002A6FAD">
        <w:rPr>
          <w:lang w:val="fr-FR"/>
        </w:rPr>
        <w:t>Nombre d’organisations au sein et à l’extérieur du système des Nations Unies, de la société civile et du secteur privé contribuant à l’exécution du programme</w:t>
      </w:r>
      <w:r w:rsidR="002A6FAD">
        <w:rPr>
          <w:lang w:val="fr-FR"/>
        </w:rPr>
        <w:t> </w:t>
      </w:r>
      <w:r w:rsidR="00A03C71" w:rsidRPr="005137A7">
        <w:rPr>
          <w:lang w:val="fr-FR"/>
        </w:rPr>
        <w:t>;</w:t>
      </w:r>
    </w:p>
    <w:p w14:paraId="2839D1E8" w14:textId="77777777" w:rsidR="00A03C71" w:rsidRPr="005137A7" w:rsidRDefault="00D523B1" w:rsidP="00A03C71">
      <w:pPr>
        <w:pStyle w:val="COMPara"/>
        <w:ind w:left="1701" w:hanging="1134"/>
        <w:jc w:val="both"/>
        <w:rPr>
          <w:lang w:val="fr-FR"/>
        </w:rPr>
      </w:pPr>
      <w:r>
        <w:rPr>
          <w:lang w:val="fr-FR"/>
        </w:rPr>
        <w:t>IP</w:t>
      </w:r>
      <w:r w:rsidR="00A03C71" w:rsidRPr="005137A7">
        <w:rPr>
          <w:lang w:val="fr-FR"/>
        </w:rPr>
        <w:t xml:space="preserve"> 8</w:t>
      </w:r>
      <w:r w:rsidR="00A03C71" w:rsidRPr="005137A7">
        <w:rPr>
          <w:lang w:val="fr-FR"/>
        </w:rPr>
        <w:tab/>
      </w:r>
      <w:r w:rsidR="002A6FAD" w:rsidRPr="002A6FAD">
        <w:rPr>
          <w:lang w:val="fr-FR"/>
        </w:rPr>
        <w:t>Nombre de parties prenantes impliquées dans la mise en œuvre de la Convention contribuant avec des informations au système de gestion des connaissances</w:t>
      </w:r>
      <w:r w:rsidR="00A03C71" w:rsidRPr="005137A7">
        <w:rPr>
          <w:lang w:val="fr-FR"/>
        </w:rPr>
        <w:t>.</w:t>
      </w:r>
    </w:p>
    <w:p w14:paraId="63AC33B4" w14:textId="518C527D" w:rsidR="003C68DE" w:rsidRPr="003C68DE" w:rsidRDefault="003C68DE" w:rsidP="00A03C71">
      <w:pPr>
        <w:pStyle w:val="COMPara"/>
        <w:numPr>
          <w:ilvl w:val="0"/>
          <w:numId w:val="9"/>
        </w:numPr>
        <w:ind w:left="567" w:hanging="567"/>
        <w:jc w:val="both"/>
        <w:rPr>
          <w:lang w:val="fr-FR"/>
        </w:rPr>
      </w:pPr>
      <w:r w:rsidRPr="00EE55A0">
        <w:rPr>
          <w:lang w:val="fr-FR"/>
        </w:rPr>
        <w:t xml:space="preserve">Une </w:t>
      </w:r>
      <w:r w:rsidR="00134303">
        <w:rPr>
          <w:lang w:val="fr-FR"/>
        </w:rPr>
        <w:t>part</w:t>
      </w:r>
      <w:r w:rsidRPr="00EE55A0">
        <w:rPr>
          <w:lang w:val="fr-FR"/>
        </w:rPr>
        <w:t xml:space="preserve"> importante des services fournis par le Secrétariat</w:t>
      </w:r>
      <w:r w:rsidR="00070D3A">
        <w:rPr>
          <w:lang w:val="fr-FR"/>
        </w:rPr>
        <w:t xml:space="preserve"> </w:t>
      </w:r>
      <w:r w:rsidR="00070D3A" w:rsidRPr="00FE2DC0">
        <w:rPr>
          <w:lang w:val="fr-FR"/>
        </w:rPr>
        <w:t>–</w:t>
      </w:r>
      <w:r w:rsidR="00070D3A">
        <w:rPr>
          <w:lang w:val="fr-FR"/>
        </w:rPr>
        <w:t xml:space="preserve"> </w:t>
      </w:r>
      <w:r>
        <w:rPr>
          <w:lang w:val="fr-FR"/>
        </w:rPr>
        <w:t xml:space="preserve">en particulier ceux concernant le renforcement des capacités institutionnelles et </w:t>
      </w:r>
      <w:r w:rsidR="00070D3A">
        <w:rPr>
          <w:lang w:val="fr-FR"/>
        </w:rPr>
        <w:t xml:space="preserve">des </w:t>
      </w:r>
      <w:r>
        <w:rPr>
          <w:lang w:val="fr-FR"/>
        </w:rPr>
        <w:t>communaut</w:t>
      </w:r>
      <w:r w:rsidR="00070D3A">
        <w:rPr>
          <w:lang w:val="fr-FR"/>
        </w:rPr>
        <w:t>é</w:t>
      </w:r>
      <w:r>
        <w:rPr>
          <w:lang w:val="fr-FR"/>
        </w:rPr>
        <w:t xml:space="preserve">s </w:t>
      </w:r>
      <w:r w:rsidR="00134303">
        <w:rPr>
          <w:lang w:val="fr-FR"/>
        </w:rPr>
        <w:t>pour</w:t>
      </w:r>
      <w:r>
        <w:rPr>
          <w:lang w:val="fr-FR"/>
        </w:rPr>
        <w:t xml:space="preserve"> la sauvegarde </w:t>
      </w:r>
      <w:r w:rsidR="00A111EC">
        <w:rPr>
          <w:lang w:val="fr-FR"/>
        </w:rPr>
        <w:t xml:space="preserve">effective </w:t>
      </w:r>
      <w:r>
        <w:rPr>
          <w:lang w:val="fr-FR"/>
        </w:rPr>
        <w:t xml:space="preserve">du patrimoine culturel immatériel, la prise de conscience de ce patrimoine et </w:t>
      </w:r>
      <w:r w:rsidR="00134303">
        <w:rPr>
          <w:lang w:val="fr-FR"/>
        </w:rPr>
        <w:t>de son importance</w:t>
      </w:r>
      <w:r>
        <w:rPr>
          <w:lang w:val="fr-FR"/>
        </w:rPr>
        <w:t>, et la diffusion d’informations sur les meilleures pratiques</w:t>
      </w:r>
      <w:r w:rsidR="00A111EC">
        <w:rPr>
          <w:lang w:val="fr-FR"/>
        </w:rPr>
        <w:t xml:space="preserve"> </w:t>
      </w:r>
      <w:r w:rsidR="00A111EC" w:rsidRPr="00FE2DC0">
        <w:rPr>
          <w:lang w:val="fr-FR"/>
        </w:rPr>
        <w:t>–</w:t>
      </w:r>
      <w:r w:rsidR="00A111EC">
        <w:rPr>
          <w:lang w:val="fr-FR"/>
        </w:rPr>
        <w:t xml:space="preserve"> </w:t>
      </w:r>
      <w:r w:rsidR="00134303">
        <w:rPr>
          <w:lang w:val="fr-FR"/>
        </w:rPr>
        <w:t>n’</w:t>
      </w:r>
      <w:r>
        <w:rPr>
          <w:lang w:val="fr-FR"/>
        </w:rPr>
        <w:t xml:space="preserve">est possible </w:t>
      </w:r>
      <w:r w:rsidR="00134303">
        <w:rPr>
          <w:lang w:val="fr-FR"/>
        </w:rPr>
        <w:t xml:space="preserve">que </w:t>
      </w:r>
      <w:r>
        <w:rPr>
          <w:lang w:val="fr-FR"/>
        </w:rPr>
        <w:t xml:space="preserve">grâce au soutien </w:t>
      </w:r>
      <w:r w:rsidR="00B10A45">
        <w:rPr>
          <w:lang w:val="fr-FR"/>
        </w:rPr>
        <w:t>de la ligne « Autres fonctions du Comité » du Plan pour l’utilisation des ressources du Fonds du patrimoine culturel immatériel adopté par l’Assemblée générale. L’utilisation d</w:t>
      </w:r>
      <w:r w:rsidR="00134303">
        <w:rPr>
          <w:lang w:val="fr-FR"/>
        </w:rPr>
        <w:t>es</w:t>
      </w:r>
      <w:r w:rsidR="00B10A45">
        <w:rPr>
          <w:lang w:val="fr-FR"/>
        </w:rPr>
        <w:t xml:space="preserve"> </w:t>
      </w:r>
      <w:r w:rsidR="00134303">
        <w:rPr>
          <w:lang w:val="fr-FR"/>
        </w:rPr>
        <w:t>ressources</w:t>
      </w:r>
      <w:r w:rsidR="00B10A45">
        <w:rPr>
          <w:lang w:val="fr-FR"/>
        </w:rPr>
        <w:t xml:space="preserve"> que la cinquième session de l’Assemblée générale (</w:t>
      </w:r>
      <w:hyperlink r:id="rId15" w:history="1">
        <w:r w:rsidR="00134303" w:rsidRPr="00CA1B8E">
          <w:rPr>
            <w:rStyle w:val="Hyperlink"/>
            <w:lang w:val="fr-FR"/>
          </w:rPr>
          <w:t>r</w:t>
        </w:r>
        <w:r w:rsidR="00B10A45" w:rsidRPr="00CA1B8E">
          <w:rPr>
            <w:rStyle w:val="Hyperlink"/>
            <w:lang w:val="fr-FR"/>
          </w:rPr>
          <w:t>ésolution</w:t>
        </w:r>
        <w:r w:rsidR="00DE347B" w:rsidRPr="00CA1B8E">
          <w:rPr>
            <w:rStyle w:val="Hyperlink"/>
            <w:lang w:val="fr-FR"/>
          </w:rPr>
          <w:t xml:space="preserve"> </w:t>
        </w:r>
        <w:r w:rsidR="00B10A45" w:rsidRPr="00CA1B8E">
          <w:rPr>
            <w:rStyle w:val="Hyperlink"/>
            <w:lang w:val="fr-FR"/>
          </w:rPr>
          <w:t>5.GA 7</w:t>
        </w:r>
      </w:hyperlink>
      <w:r w:rsidR="00B10A45" w:rsidRPr="00CA1B8E">
        <w:rPr>
          <w:lang w:val="fr-FR"/>
        </w:rPr>
        <w:t>)</w:t>
      </w:r>
      <w:r w:rsidR="00B10A45">
        <w:rPr>
          <w:lang w:val="fr-FR"/>
        </w:rPr>
        <w:t xml:space="preserve"> a affecté</w:t>
      </w:r>
      <w:r w:rsidR="00134303">
        <w:rPr>
          <w:lang w:val="fr-FR"/>
        </w:rPr>
        <w:t>es</w:t>
      </w:r>
      <w:r w:rsidR="00B10A45">
        <w:rPr>
          <w:lang w:val="fr-FR"/>
        </w:rPr>
        <w:t xml:space="preserve"> à cette fin a été approuvée par le Bureau </w:t>
      </w:r>
      <w:r w:rsidR="00B10A45" w:rsidRPr="00EE55A0">
        <w:rPr>
          <w:lang w:val="fr-FR"/>
        </w:rPr>
        <w:t>(</w:t>
      </w:r>
      <w:hyperlink r:id="rId16" w:history="1">
        <w:r w:rsidR="00B10A45" w:rsidRPr="008038C6">
          <w:rPr>
            <w:rStyle w:val="Hyperlink"/>
            <w:lang w:val="fr-FR"/>
          </w:rPr>
          <w:t>décision 9.COM 2.BUR 1</w:t>
        </w:r>
      </w:hyperlink>
      <w:r w:rsidR="00B10A45" w:rsidRPr="00EE55A0">
        <w:rPr>
          <w:lang w:val="fr-FR"/>
        </w:rPr>
        <w:t>)</w:t>
      </w:r>
      <w:r w:rsidR="00B10A45">
        <w:rPr>
          <w:lang w:val="fr-FR"/>
        </w:rPr>
        <w:t xml:space="preserve"> sur la base d’une proposition qui incluait déjà intégralement les principes de </w:t>
      </w:r>
      <w:r w:rsidR="00A84F45">
        <w:rPr>
          <w:lang w:val="fr-FR"/>
        </w:rPr>
        <w:t xml:space="preserve">gestion axée sur les résultats </w:t>
      </w:r>
      <w:r w:rsidR="00B10A45">
        <w:rPr>
          <w:lang w:val="fr-FR"/>
        </w:rPr>
        <w:t>et était exprimée en termes de produits, résultats et indicateurs. Les notes de bas de page ci-dessous établissent le lien entre ces indicateurs</w:t>
      </w:r>
      <w:r w:rsidR="00134303">
        <w:rPr>
          <w:lang w:val="fr-FR"/>
        </w:rPr>
        <w:t xml:space="preserve"> et ceux existant au niveau de l’axe d’action</w:t>
      </w:r>
      <w:r w:rsidR="00A84F45">
        <w:rPr>
          <w:lang w:val="fr-FR"/>
        </w:rPr>
        <w:t>.</w:t>
      </w:r>
    </w:p>
    <w:p w14:paraId="4D367B63" w14:textId="6F3096A8" w:rsidR="00A03C71" w:rsidRPr="005137A7" w:rsidRDefault="00DF208F" w:rsidP="00A03C71">
      <w:pPr>
        <w:pStyle w:val="COMPara"/>
        <w:numPr>
          <w:ilvl w:val="0"/>
          <w:numId w:val="9"/>
        </w:numPr>
        <w:ind w:left="567" w:hanging="567"/>
        <w:jc w:val="both"/>
        <w:rPr>
          <w:b/>
          <w:lang w:val="fr-FR"/>
        </w:rPr>
      </w:pPr>
      <w:r>
        <w:rPr>
          <w:lang w:val="fr-FR"/>
        </w:rPr>
        <w:t xml:space="preserve">Afin d’illustrer les </w:t>
      </w:r>
      <w:r w:rsidR="00505276">
        <w:rPr>
          <w:lang w:val="fr-FR"/>
        </w:rPr>
        <w:t xml:space="preserve">indicateurs de performance </w:t>
      </w:r>
      <w:r w:rsidR="00A03C71" w:rsidRPr="005137A7">
        <w:rPr>
          <w:lang w:val="fr-FR"/>
        </w:rPr>
        <w:t>identifi</w:t>
      </w:r>
      <w:r>
        <w:rPr>
          <w:lang w:val="fr-FR"/>
        </w:rPr>
        <w:t>és pour mesurer l’atteinte du résultat escompté</w:t>
      </w:r>
      <w:r w:rsidR="00A03C71" w:rsidRPr="005137A7">
        <w:rPr>
          <w:lang w:val="fr-FR"/>
        </w:rPr>
        <w:t xml:space="preserve">, </w:t>
      </w:r>
      <w:r>
        <w:rPr>
          <w:lang w:val="fr-FR"/>
        </w:rPr>
        <w:t xml:space="preserve">les informations suivantes sont à la fois </w:t>
      </w:r>
      <w:r w:rsidR="00A03C71" w:rsidRPr="005137A7">
        <w:rPr>
          <w:lang w:val="fr-FR"/>
        </w:rPr>
        <w:t>qualitative</w:t>
      </w:r>
      <w:r>
        <w:rPr>
          <w:lang w:val="fr-FR"/>
        </w:rPr>
        <w:t>s</w:t>
      </w:r>
      <w:r w:rsidR="00A03C71" w:rsidRPr="005137A7">
        <w:rPr>
          <w:lang w:val="fr-FR"/>
        </w:rPr>
        <w:t xml:space="preserve"> </w:t>
      </w:r>
      <w:r>
        <w:rPr>
          <w:lang w:val="fr-FR"/>
        </w:rPr>
        <w:t xml:space="preserve">et </w:t>
      </w:r>
      <w:r w:rsidR="00A03C71" w:rsidRPr="005137A7">
        <w:rPr>
          <w:lang w:val="fr-FR"/>
        </w:rPr>
        <w:t>quantitative</w:t>
      </w:r>
      <w:r>
        <w:rPr>
          <w:lang w:val="fr-FR"/>
        </w:rPr>
        <w:t>s</w:t>
      </w:r>
      <w:r w:rsidR="00A03C71" w:rsidRPr="005137A7">
        <w:rPr>
          <w:lang w:val="fr-FR"/>
        </w:rPr>
        <w:t>.</w:t>
      </w:r>
    </w:p>
    <w:p w14:paraId="3E285118" w14:textId="77777777" w:rsidR="00A03C71" w:rsidRPr="005137A7" w:rsidRDefault="00290A79" w:rsidP="00EE55A0">
      <w:pPr>
        <w:pStyle w:val="COMPara"/>
        <w:spacing w:before="360"/>
        <w:ind w:left="0" w:firstLine="0"/>
        <w:rPr>
          <w:b/>
          <w:lang w:val="fr-FR"/>
        </w:rPr>
      </w:pPr>
      <w:r>
        <w:rPr>
          <w:b/>
          <w:lang w:val="fr-FR"/>
        </w:rPr>
        <w:t xml:space="preserve">Indicateur de </w:t>
      </w:r>
      <w:r w:rsidRPr="00EE55A0">
        <w:rPr>
          <w:b/>
          <w:lang w:val="fr-FR"/>
        </w:rPr>
        <w:t>performance</w:t>
      </w:r>
      <w:r>
        <w:rPr>
          <w:b/>
          <w:lang w:val="fr-FR"/>
        </w:rPr>
        <w:t> </w:t>
      </w:r>
      <w:r w:rsidR="00A03C71" w:rsidRPr="005137A7">
        <w:rPr>
          <w:b/>
          <w:lang w:val="fr-FR"/>
        </w:rPr>
        <w:t>1</w:t>
      </w:r>
      <w:r>
        <w:rPr>
          <w:b/>
          <w:lang w:val="fr-FR"/>
        </w:rPr>
        <w:t> </w:t>
      </w:r>
      <w:r w:rsidR="00A03C71" w:rsidRPr="005137A7">
        <w:rPr>
          <w:b/>
          <w:lang w:val="fr-FR"/>
        </w:rPr>
        <w:t xml:space="preserve">: </w:t>
      </w:r>
      <w:r>
        <w:rPr>
          <w:b/>
          <w:lang w:val="fr-FR"/>
        </w:rPr>
        <w:t>l</w:t>
      </w:r>
      <w:r w:rsidRPr="00290A79">
        <w:rPr>
          <w:b/>
          <w:lang w:val="fr-FR"/>
        </w:rPr>
        <w:t>es organes directeurs de la Convention de 2003 exercent une bonne gouvernance grâce à une organisation efficace de leurs réunions statutaires</w:t>
      </w:r>
    </w:p>
    <w:p w14:paraId="2BBBCE2D" w14:textId="4E12F182" w:rsidR="00A03C71" w:rsidRPr="005137A7" w:rsidRDefault="00F07384" w:rsidP="00A03C71">
      <w:pPr>
        <w:pStyle w:val="COMPara"/>
        <w:numPr>
          <w:ilvl w:val="0"/>
          <w:numId w:val="9"/>
        </w:numPr>
        <w:ind w:left="567" w:hanging="567"/>
        <w:jc w:val="both"/>
        <w:rPr>
          <w:lang w:val="fr-FR"/>
        </w:rPr>
      </w:pPr>
      <w:r>
        <w:rPr>
          <w:lang w:val="fr-FR"/>
        </w:rPr>
        <w:t xml:space="preserve">Même </w:t>
      </w:r>
      <w:r w:rsidR="00290A79">
        <w:rPr>
          <w:lang w:val="fr-FR"/>
        </w:rPr>
        <w:t xml:space="preserve">si le soutien du </w:t>
      </w:r>
      <w:r w:rsidR="00A03C71" w:rsidRPr="005137A7">
        <w:rPr>
          <w:lang w:val="fr-FR"/>
        </w:rPr>
        <w:t>Secr</w:t>
      </w:r>
      <w:r w:rsidR="00290A79">
        <w:rPr>
          <w:lang w:val="fr-FR"/>
        </w:rPr>
        <w:t>é</w:t>
      </w:r>
      <w:r w:rsidR="00A03C71" w:rsidRPr="005137A7">
        <w:rPr>
          <w:lang w:val="fr-FR"/>
        </w:rPr>
        <w:t>tariat</w:t>
      </w:r>
      <w:r w:rsidR="00290A79">
        <w:rPr>
          <w:lang w:val="fr-FR"/>
        </w:rPr>
        <w:t xml:space="preserve"> aux mécanismes de gouvernance de la </w:t>
      </w:r>
      <w:r w:rsidR="00A03C71" w:rsidRPr="005137A7">
        <w:rPr>
          <w:lang w:val="fr-FR"/>
        </w:rPr>
        <w:t>Convention</w:t>
      </w:r>
      <w:r w:rsidR="00290A79">
        <w:rPr>
          <w:lang w:val="fr-FR"/>
        </w:rPr>
        <w:t xml:space="preserve"> est </w:t>
      </w:r>
      <w:r w:rsidR="00694AE5">
        <w:rPr>
          <w:lang w:val="fr-FR"/>
        </w:rPr>
        <w:t xml:space="preserve">le </w:t>
      </w:r>
      <w:r w:rsidR="00290A79">
        <w:rPr>
          <w:lang w:val="fr-FR"/>
        </w:rPr>
        <w:t xml:space="preserve">plus </w:t>
      </w:r>
      <w:r w:rsidR="009C5529">
        <w:rPr>
          <w:lang w:val="fr-FR"/>
        </w:rPr>
        <w:t xml:space="preserve">visible </w:t>
      </w:r>
      <w:r w:rsidR="00290A79">
        <w:rPr>
          <w:lang w:val="fr-FR"/>
        </w:rPr>
        <w:t xml:space="preserve">immédiatement avant et pendant les </w:t>
      </w:r>
      <w:r w:rsidR="00A03C71" w:rsidRPr="005137A7">
        <w:rPr>
          <w:lang w:val="fr-FR"/>
        </w:rPr>
        <w:t xml:space="preserve">sessions </w:t>
      </w:r>
      <w:r w:rsidR="00290A79">
        <w:rPr>
          <w:lang w:val="fr-FR"/>
        </w:rPr>
        <w:t xml:space="preserve">du Comité et </w:t>
      </w:r>
      <w:r w:rsidR="009C5529">
        <w:rPr>
          <w:lang w:val="fr-FR"/>
        </w:rPr>
        <w:t xml:space="preserve">de </w:t>
      </w:r>
      <w:r w:rsidR="00290A79" w:rsidRPr="00290A79">
        <w:rPr>
          <w:lang w:val="fr-FR"/>
        </w:rPr>
        <w:t>l’Assemblée générale</w:t>
      </w:r>
      <w:r w:rsidR="00A03C71" w:rsidRPr="005137A7">
        <w:rPr>
          <w:lang w:val="fr-FR"/>
        </w:rPr>
        <w:t xml:space="preserve">, </w:t>
      </w:r>
      <w:r w:rsidR="00290A79">
        <w:rPr>
          <w:lang w:val="fr-FR"/>
        </w:rPr>
        <w:t xml:space="preserve">il </w:t>
      </w:r>
      <w:r w:rsidR="009C5529">
        <w:rPr>
          <w:lang w:val="fr-FR"/>
        </w:rPr>
        <w:t>est réel</w:t>
      </w:r>
      <w:r w:rsidR="00290A79">
        <w:rPr>
          <w:lang w:val="fr-FR"/>
        </w:rPr>
        <w:t xml:space="preserve"> tout au long de l’année et parfois </w:t>
      </w:r>
      <w:r w:rsidR="00694AE5">
        <w:rPr>
          <w:lang w:val="fr-FR"/>
        </w:rPr>
        <w:t>pendant un cycle de plusieurs années</w:t>
      </w:r>
      <w:r w:rsidR="00A03C71" w:rsidRPr="005137A7">
        <w:rPr>
          <w:lang w:val="fr-FR"/>
        </w:rPr>
        <w:t xml:space="preserve">. </w:t>
      </w:r>
      <w:r w:rsidR="005C09B8">
        <w:rPr>
          <w:lang w:val="fr-FR"/>
        </w:rPr>
        <w:t>Par exemple</w:t>
      </w:r>
      <w:r w:rsidR="00A03C71" w:rsidRPr="005137A7">
        <w:rPr>
          <w:lang w:val="fr-FR"/>
        </w:rPr>
        <w:t xml:space="preserve">, </w:t>
      </w:r>
      <w:r w:rsidR="005C09B8">
        <w:rPr>
          <w:lang w:val="fr-FR"/>
        </w:rPr>
        <w:t xml:space="preserve">parmi les candidatures examinées par l’Organe d’évaluation en </w:t>
      </w:r>
      <w:r w:rsidR="00A03C71" w:rsidRPr="005137A7">
        <w:rPr>
          <w:lang w:val="fr-FR"/>
        </w:rPr>
        <w:t>2015</w:t>
      </w:r>
      <w:r w:rsidR="005C09B8">
        <w:rPr>
          <w:lang w:val="fr-FR"/>
        </w:rPr>
        <w:t xml:space="preserve">, trois dataient de </w:t>
      </w:r>
      <w:r w:rsidR="00A03C71" w:rsidRPr="005137A7">
        <w:rPr>
          <w:lang w:val="fr-FR"/>
        </w:rPr>
        <w:t xml:space="preserve">2012, </w:t>
      </w:r>
      <w:r w:rsidR="005C09B8">
        <w:rPr>
          <w:lang w:val="fr-FR"/>
        </w:rPr>
        <w:t xml:space="preserve">une de </w:t>
      </w:r>
      <w:r w:rsidR="00A03C71" w:rsidRPr="005137A7">
        <w:rPr>
          <w:lang w:val="fr-FR"/>
        </w:rPr>
        <w:t xml:space="preserve">2013 </w:t>
      </w:r>
      <w:r w:rsidR="005C09B8">
        <w:rPr>
          <w:lang w:val="fr-FR"/>
        </w:rPr>
        <w:t xml:space="preserve">et sept de </w:t>
      </w:r>
      <w:r w:rsidR="00A03C71" w:rsidRPr="005137A7">
        <w:rPr>
          <w:lang w:val="fr-FR"/>
        </w:rPr>
        <w:t xml:space="preserve">2014. </w:t>
      </w:r>
      <w:r w:rsidR="005C09B8">
        <w:rPr>
          <w:lang w:val="fr-FR"/>
        </w:rPr>
        <w:t xml:space="preserve">Pendant que l’Organe d’évaluation se réunissait pour évaluer les candidatures pour </w:t>
      </w:r>
      <w:r w:rsidR="00A03C71" w:rsidRPr="005137A7">
        <w:rPr>
          <w:lang w:val="fr-FR"/>
        </w:rPr>
        <w:t>exam</w:t>
      </w:r>
      <w:r w:rsidR="005C09B8">
        <w:rPr>
          <w:lang w:val="fr-FR"/>
        </w:rPr>
        <w:t xml:space="preserve">en par le Comité à </w:t>
      </w:r>
      <w:r w:rsidR="008F5F2A">
        <w:rPr>
          <w:lang w:val="fr-FR"/>
        </w:rPr>
        <w:t>sa dixième session en 2015</w:t>
      </w:r>
      <w:r w:rsidR="00A03C71" w:rsidRPr="005137A7">
        <w:rPr>
          <w:lang w:val="fr-FR"/>
        </w:rPr>
        <w:t xml:space="preserve">, </w:t>
      </w:r>
      <w:r w:rsidR="005C09B8">
        <w:rPr>
          <w:lang w:val="fr-FR"/>
        </w:rPr>
        <w:t xml:space="preserve">le </w:t>
      </w:r>
      <w:r w:rsidR="005C09B8" w:rsidRPr="005137A7">
        <w:rPr>
          <w:lang w:val="fr-FR"/>
        </w:rPr>
        <w:t>Secrétariat</w:t>
      </w:r>
      <w:r w:rsidR="00A03C71" w:rsidRPr="005137A7">
        <w:rPr>
          <w:lang w:val="fr-FR"/>
        </w:rPr>
        <w:t xml:space="preserve"> </w:t>
      </w:r>
      <w:r w:rsidR="005C09B8">
        <w:rPr>
          <w:lang w:val="fr-FR"/>
        </w:rPr>
        <w:t xml:space="preserve">traitait </w:t>
      </w:r>
      <w:r w:rsidR="00A03C71" w:rsidRPr="005137A7">
        <w:rPr>
          <w:lang w:val="fr-FR"/>
        </w:rPr>
        <w:t>simultan</w:t>
      </w:r>
      <w:r w:rsidR="005C09B8">
        <w:rPr>
          <w:lang w:val="fr-FR"/>
        </w:rPr>
        <w:t xml:space="preserve">ément les candidatures soumises pour un </w:t>
      </w:r>
      <w:r w:rsidR="00A03C71" w:rsidRPr="005137A7">
        <w:rPr>
          <w:lang w:val="fr-FR"/>
        </w:rPr>
        <w:t>possible exam</w:t>
      </w:r>
      <w:r w:rsidR="005C09B8">
        <w:rPr>
          <w:lang w:val="fr-FR"/>
        </w:rPr>
        <w:t xml:space="preserve">en en </w:t>
      </w:r>
      <w:r w:rsidR="00A03C71" w:rsidRPr="005137A7">
        <w:rPr>
          <w:lang w:val="fr-FR"/>
        </w:rPr>
        <w:t xml:space="preserve">2016 </w:t>
      </w:r>
      <w:r w:rsidR="005C09B8">
        <w:rPr>
          <w:lang w:val="fr-FR"/>
        </w:rPr>
        <w:t xml:space="preserve">et en </w:t>
      </w:r>
      <w:r w:rsidR="00A03C71" w:rsidRPr="005137A7">
        <w:rPr>
          <w:lang w:val="fr-FR"/>
        </w:rPr>
        <w:t>2017.</w:t>
      </w:r>
    </w:p>
    <w:p w14:paraId="5EE160A0" w14:textId="6B122C2B" w:rsidR="00A03C71" w:rsidRPr="005137A7" w:rsidRDefault="00A03C71" w:rsidP="00A03C71">
      <w:pPr>
        <w:pStyle w:val="COMPara"/>
        <w:numPr>
          <w:ilvl w:val="0"/>
          <w:numId w:val="9"/>
        </w:numPr>
        <w:ind w:left="567" w:hanging="567"/>
        <w:jc w:val="both"/>
        <w:rPr>
          <w:lang w:val="fr-FR"/>
        </w:rPr>
      </w:pPr>
      <w:r w:rsidRPr="005137A7">
        <w:rPr>
          <w:lang w:val="fr-FR"/>
        </w:rPr>
        <w:t>Dur</w:t>
      </w:r>
      <w:r w:rsidR="00E3137A">
        <w:rPr>
          <w:lang w:val="fr-FR"/>
        </w:rPr>
        <w:t xml:space="preserve">ant la période </w:t>
      </w:r>
      <w:r w:rsidR="00C36368">
        <w:rPr>
          <w:lang w:val="fr-FR"/>
        </w:rPr>
        <w:t>considérée</w:t>
      </w:r>
      <w:r w:rsidR="00E3137A">
        <w:rPr>
          <w:lang w:val="fr-FR"/>
        </w:rPr>
        <w:t xml:space="preserve"> de </w:t>
      </w:r>
      <w:r w:rsidR="008F5F2A">
        <w:rPr>
          <w:lang w:val="fr-FR"/>
        </w:rPr>
        <w:t>24</w:t>
      </w:r>
      <w:r w:rsidR="00E3137A">
        <w:rPr>
          <w:lang w:val="fr-FR"/>
        </w:rPr>
        <w:t> mois</w:t>
      </w:r>
      <w:r w:rsidRPr="005137A7">
        <w:rPr>
          <w:lang w:val="fr-FR"/>
        </w:rPr>
        <w:t xml:space="preserve">, </w:t>
      </w:r>
      <w:r w:rsidR="00B7374B">
        <w:rPr>
          <w:lang w:val="fr-FR"/>
        </w:rPr>
        <w:t xml:space="preserve">le </w:t>
      </w:r>
      <w:r w:rsidR="00B7374B" w:rsidRPr="005137A7">
        <w:rPr>
          <w:lang w:val="fr-FR"/>
        </w:rPr>
        <w:t>Secrétariat</w:t>
      </w:r>
      <w:r w:rsidRPr="005137A7">
        <w:rPr>
          <w:lang w:val="fr-FR"/>
        </w:rPr>
        <w:t xml:space="preserve"> </w:t>
      </w:r>
      <w:r w:rsidR="00B7374B">
        <w:rPr>
          <w:lang w:val="fr-FR"/>
        </w:rPr>
        <w:t xml:space="preserve">a </w:t>
      </w:r>
      <w:r w:rsidRPr="005137A7">
        <w:rPr>
          <w:lang w:val="fr-FR"/>
        </w:rPr>
        <w:t>organi</w:t>
      </w:r>
      <w:r w:rsidR="00B7374B">
        <w:rPr>
          <w:lang w:val="fr-FR"/>
        </w:rPr>
        <w:t xml:space="preserve">sé </w:t>
      </w:r>
      <w:r w:rsidR="008F5F2A">
        <w:rPr>
          <w:lang w:val="fr-FR"/>
        </w:rPr>
        <w:t>15</w:t>
      </w:r>
      <w:r w:rsidR="00B7374B">
        <w:rPr>
          <w:lang w:val="fr-FR"/>
        </w:rPr>
        <w:t> réunions statutaires</w:t>
      </w:r>
      <w:r w:rsidR="008F5F2A">
        <w:rPr>
          <w:lang w:val="fr-FR"/>
        </w:rPr>
        <w:t xml:space="preserve"> physiques et quatre consultations du Bureau par voie électronique</w:t>
      </w:r>
      <w:r w:rsidR="00CB7737">
        <w:rPr>
          <w:rStyle w:val="FootnoteReference"/>
          <w:lang w:val="fr-FR"/>
        </w:rPr>
        <w:footnoteReference w:id="1"/>
      </w:r>
      <w:r w:rsidR="00B7374B">
        <w:rPr>
          <w:lang w:val="fr-FR"/>
        </w:rPr>
        <w:t> </w:t>
      </w:r>
      <w:r w:rsidRPr="005137A7">
        <w:rPr>
          <w:lang w:val="fr-FR"/>
        </w:rPr>
        <w:t>:</w:t>
      </w:r>
    </w:p>
    <w:p w14:paraId="0744B085" w14:textId="29DC9F92" w:rsidR="00A03C71" w:rsidRPr="005137A7" w:rsidRDefault="008F5F2A" w:rsidP="00A03C71">
      <w:pPr>
        <w:pStyle w:val="COMPara"/>
        <w:ind w:left="567" w:firstLine="0"/>
        <w:jc w:val="both"/>
        <w:rPr>
          <w:lang w:val="fr-FR"/>
        </w:rPr>
      </w:pPr>
      <w:r>
        <w:rPr>
          <w:lang w:val="fr-FR"/>
        </w:rPr>
        <w:t xml:space="preserve">Six </w:t>
      </w:r>
      <w:r w:rsidR="00B7374B">
        <w:rPr>
          <w:lang w:val="fr-FR"/>
        </w:rPr>
        <w:t xml:space="preserve">réunions </w:t>
      </w:r>
      <w:r>
        <w:rPr>
          <w:lang w:val="fr-FR"/>
        </w:rPr>
        <w:t xml:space="preserve">et quatre consultations </w:t>
      </w:r>
      <w:r w:rsidR="00B7374B">
        <w:rPr>
          <w:lang w:val="fr-FR"/>
        </w:rPr>
        <w:t>des organes directeurs </w:t>
      </w:r>
      <w:r w:rsidR="00A03C71" w:rsidRPr="005137A7">
        <w:rPr>
          <w:lang w:val="fr-FR"/>
        </w:rPr>
        <w:t>:</w:t>
      </w:r>
    </w:p>
    <w:p w14:paraId="7134A259" w14:textId="02742433" w:rsidR="00A03C71" w:rsidRPr="005137A7" w:rsidRDefault="00B7374B" w:rsidP="00A03C71">
      <w:pPr>
        <w:pStyle w:val="COMPara"/>
        <w:numPr>
          <w:ilvl w:val="0"/>
          <w:numId w:val="15"/>
        </w:numPr>
        <w:jc w:val="both"/>
        <w:rPr>
          <w:lang w:val="fr-FR"/>
        </w:rPr>
      </w:pPr>
      <w:r>
        <w:rPr>
          <w:lang w:val="fr-FR"/>
        </w:rPr>
        <w:t xml:space="preserve">cinquième </w:t>
      </w:r>
      <w:r w:rsidR="00A03C71" w:rsidRPr="005137A7">
        <w:rPr>
          <w:lang w:val="fr-FR"/>
        </w:rPr>
        <w:t xml:space="preserve">session </w:t>
      </w:r>
      <w:r>
        <w:rPr>
          <w:lang w:val="fr-FR"/>
        </w:rPr>
        <w:t xml:space="preserve">de </w:t>
      </w:r>
      <w:r w:rsidRPr="00B7374B">
        <w:rPr>
          <w:lang w:val="fr-FR"/>
        </w:rPr>
        <w:t>l’Assemblée générale</w:t>
      </w:r>
      <w:r>
        <w:rPr>
          <w:lang w:val="fr-FR"/>
        </w:rPr>
        <w:t xml:space="preserve"> des États parties à la </w:t>
      </w:r>
      <w:r w:rsidR="00A03C71" w:rsidRPr="005137A7">
        <w:rPr>
          <w:lang w:val="fr-FR"/>
        </w:rPr>
        <w:t xml:space="preserve">Convention </w:t>
      </w:r>
      <w:r>
        <w:rPr>
          <w:lang w:val="fr-FR"/>
        </w:rPr>
        <w:t xml:space="preserve">pour la </w:t>
      </w:r>
      <w:r w:rsidR="009C5529">
        <w:rPr>
          <w:lang w:val="fr-FR"/>
        </w:rPr>
        <w:t>s</w:t>
      </w:r>
      <w:r>
        <w:rPr>
          <w:lang w:val="fr-FR"/>
        </w:rPr>
        <w:t xml:space="preserve">auvegarde du </w:t>
      </w:r>
      <w:r w:rsidR="009C5529">
        <w:rPr>
          <w:lang w:val="fr-FR"/>
        </w:rPr>
        <w:t>p</w:t>
      </w:r>
      <w:r>
        <w:rPr>
          <w:lang w:val="fr-FR"/>
        </w:rPr>
        <w:t xml:space="preserve">atrimoine culturel immatériel </w:t>
      </w:r>
      <w:r w:rsidR="00A03C71" w:rsidRPr="005137A7">
        <w:rPr>
          <w:lang w:val="fr-FR"/>
        </w:rPr>
        <w:t>(</w:t>
      </w:r>
      <w:r>
        <w:rPr>
          <w:lang w:val="fr-FR"/>
        </w:rPr>
        <w:t xml:space="preserve">du </w:t>
      </w:r>
      <w:r w:rsidR="00A03C71" w:rsidRPr="005137A7">
        <w:rPr>
          <w:lang w:val="fr-FR"/>
        </w:rPr>
        <w:t>2</w:t>
      </w:r>
      <w:r>
        <w:rPr>
          <w:lang w:val="fr-FR"/>
        </w:rPr>
        <w:t xml:space="preserve"> au </w:t>
      </w:r>
      <w:r w:rsidR="00A03C71" w:rsidRPr="005137A7">
        <w:rPr>
          <w:lang w:val="fr-FR"/>
        </w:rPr>
        <w:t>4</w:t>
      </w:r>
      <w:r>
        <w:rPr>
          <w:lang w:val="fr-FR"/>
        </w:rPr>
        <w:t xml:space="preserve"> juin </w:t>
      </w:r>
      <w:r w:rsidR="00A03C71" w:rsidRPr="005137A7">
        <w:rPr>
          <w:lang w:val="fr-FR"/>
        </w:rPr>
        <w:t>2014)</w:t>
      </w:r>
      <w:r>
        <w:rPr>
          <w:lang w:val="fr-FR"/>
        </w:rPr>
        <w:t> </w:t>
      </w:r>
      <w:r w:rsidR="00A03C71" w:rsidRPr="005137A7">
        <w:rPr>
          <w:lang w:val="fr-FR"/>
        </w:rPr>
        <w:t>;</w:t>
      </w:r>
    </w:p>
    <w:p w14:paraId="0B452DD7" w14:textId="5C0003D6" w:rsidR="00A03C71" w:rsidRPr="005137A7" w:rsidRDefault="00B7374B" w:rsidP="00A03C71">
      <w:pPr>
        <w:pStyle w:val="COMPara"/>
        <w:numPr>
          <w:ilvl w:val="0"/>
          <w:numId w:val="15"/>
        </w:numPr>
        <w:jc w:val="both"/>
        <w:rPr>
          <w:lang w:val="fr-FR"/>
        </w:rPr>
      </w:pPr>
      <w:r>
        <w:rPr>
          <w:lang w:val="fr-FR"/>
        </w:rPr>
        <w:t xml:space="preserve">neuvième et dixième </w:t>
      </w:r>
      <w:r w:rsidR="00A03C71" w:rsidRPr="005137A7">
        <w:rPr>
          <w:lang w:val="fr-FR"/>
        </w:rPr>
        <w:t xml:space="preserve">sessions </w:t>
      </w:r>
      <w:r>
        <w:rPr>
          <w:lang w:val="fr-FR"/>
        </w:rPr>
        <w:t xml:space="preserve">du Comité intergouvernemental </w:t>
      </w:r>
      <w:r w:rsidR="009C5529">
        <w:rPr>
          <w:lang w:val="fr-FR"/>
        </w:rPr>
        <w:t>de</w:t>
      </w:r>
      <w:r>
        <w:rPr>
          <w:lang w:val="fr-FR"/>
        </w:rPr>
        <w:t xml:space="preserve"> </w:t>
      </w:r>
      <w:r w:rsidR="009C5529">
        <w:rPr>
          <w:lang w:val="fr-FR"/>
        </w:rPr>
        <w:t xml:space="preserve">sauvegarde </w:t>
      </w:r>
      <w:r>
        <w:rPr>
          <w:lang w:val="fr-FR"/>
        </w:rPr>
        <w:t xml:space="preserve">du </w:t>
      </w:r>
      <w:r w:rsidR="009C5529">
        <w:rPr>
          <w:lang w:val="fr-FR"/>
        </w:rPr>
        <w:t xml:space="preserve">patrimoine </w:t>
      </w:r>
      <w:r>
        <w:rPr>
          <w:lang w:val="fr-FR"/>
        </w:rPr>
        <w:t xml:space="preserve">culturel immatériel </w:t>
      </w:r>
      <w:r w:rsidR="00A03C71" w:rsidRPr="005137A7">
        <w:rPr>
          <w:lang w:val="fr-FR"/>
        </w:rPr>
        <w:t>(</w:t>
      </w:r>
      <w:r>
        <w:rPr>
          <w:lang w:val="fr-FR"/>
        </w:rPr>
        <w:t xml:space="preserve">du </w:t>
      </w:r>
      <w:r w:rsidR="00A03C71" w:rsidRPr="005137A7">
        <w:rPr>
          <w:lang w:val="fr-FR"/>
        </w:rPr>
        <w:t>24</w:t>
      </w:r>
      <w:r>
        <w:rPr>
          <w:lang w:val="fr-FR"/>
        </w:rPr>
        <w:t xml:space="preserve"> au </w:t>
      </w:r>
      <w:r w:rsidR="00A03C71" w:rsidRPr="005137A7">
        <w:rPr>
          <w:lang w:val="fr-FR"/>
        </w:rPr>
        <w:t>28</w:t>
      </w:r>
      <w:r>
        <w:rPr>
          <w:lang w:val="fr-FR"/>
        </w:rPr>
        <w:t xml:space="preserve"> novembre </w:t>
      </w:r>
      <w:r w:rsidR="00A03C71" w:rsidRPr="005137A7">
        <w:rPr>
          <w:lang w:val="fr-FR"/>
        </w:rPr>
        <w:t xml:space="preserve">2014 </w:t>
      </w:r>
      <w:r>
        <w:rPr>
          <w:lang w:val="fr-FR"/>
        </w:rPr>
        <w:t xml:space="preserve">et du </w:t>
      </w:r>
      <w:r w:rsidR="00A03C71" w:rsidRPr="005137A7">
        <w:rPr>
          <w:lang w:val="fr-FR"/>
        </w:rPr>
        <w:t>30</w:t>
      </w:r>
      <w:r>
        <w:rPr>
          <w:lang w:val="fr-FR"/>
        </w:rPr>
        <w:t xml:space="preserve"> novembre au </w:t>
      </w:r>
      <w:r w:rsidR="00A03C71" w:rsidRPr="005137A7">
        <w:rPr>
          <w:lang w:val="fr-FR"/>
        </w:rPr>
        <w:t>4</w:t>
      </w:r>
      <w:r>
        <w:rPr>
          <w:lang w:val="fr-FR"/>
        </w:rPr>
        <w:t xml:space="preserve"> décembre </w:t>
      </w:r>
      <w:r w:rsidR="00A03C71" w:rsidRPr="005137A7">
        <w:rPr>
          <w:lang w:val="fr-FR"/>
        </w:rPr>
        <w:t>2015)</w:t>
      </w:r>
      <w:r>
        <w:rPr>
          <w:lang w:val="fr-FR"/>
        </w:rPr>
        <w:t> </w:t>
      </w:r>
      <w:r w:rsidR="00A03C71" w:rsidRPr="005137A7">
        <w:rPr>
          <w:lang w:val="fr-FR"/>
        </w:rPr>
        <w:t>;</w:t>
      </w:r>
    </w:p>
    <w:p w14:paraId="77FC4E2B" w14:textId="2EFF3ACC" w:rsidR="00A03C71" w:rsidRPr="005137A7" w:rsidRDefault="008F5F2A" w:rsidP="00A03C71">
      <w:pPr>
        <w:pStyle w:val="COMPara"/>
        <w:numPr>
          <w:ilvl w:val="0"/>
          <w:numId w:val="15"/>
        </w:numPr>
        <w:jc w:val="both"/>
        <w:rPr>
          <w:lang w:val="fr-FR"/>
        </w:rPr>
      </w:pPr>
      <w:r>
        <w:rPr>
          <w:lang w:val="fr-FR"/>
        </w:rPr>
        <w:t>trois</w:t>
      </w:r>
      <w:r w:rsidR="00B7374B">
        <w:rPr>
          <w:lang w:val="fr-FR"/>
        </w:rPr>
        <w:t xml:space="preserve"> réunions du </w:t>
      </w:r>
      <w:r w:rsidR="00A03C71" w:rsidRPr="005137A7">
        <w:rPr>
          <w:lang w:val="fr-FR"/>
        </w:rPr>
        <w:t xml:space="preserve">Bureau </w:t>
      </w:r>
      <w:r w:rsidR="00B7374B">
        <w:rPr>
          <w:lang w:val="fr-FR"/>
        </w:rPr>
        <w:t xml:space="preserve">du Comité </w:t>
      </w:r>
      <w:r w:rsidR="00A03C71" w:rsidRPr="005137A7">
        <w:rPr>
          <w:lang w:val="fr-FR"/>
        </w:rPr>
        <w:t>(13</w:t>
      </w:r>
      <w:r w:rsidR="00B7374B">
        <w:rPr>
          <w:lang w:val="fr-FR"/>
        </w:rPr>
        <w:t xml:space="preserve"> octobre </w:t>
      </w:r>
      <w:r w:rsidR="000414AE">
        <w:rPr>
          <w:lang w:val="fr-FR"/>
        </w:rPr>
        <w:t xml:space="preserve">2014, </w:t>
      </w:r>
      <w:r w:rsidR="00A03C71" w:rsidRPr="005137A7">
        <w:rPr>
          <w:lang w:val="fr-FR"/>
        </w:rPr>
        <w:t>6</w:t>
      </w:r>
      <w:r w:rsidR="00B7374B">
        <w:rPr>
          <w:lang w:val="fr-FR"/>
        </w:rPr>
        <w:t xml:space="preserve"> octobre </w:t>
      </w:r>
      <w:r w:rsidR="00A03C71" w:rsidRPr="005137A7">
        <w:rPr>
          <w:lang w:val="fr-FR"/>
        </w:rPr>
        <w:t>2015</w:t>
      </w:r>
      <w:r>
        <w:rPr>
          <w:lang w:val="fr-FR"/>
        </w:rPr>
        <w:t xml:space="preserve"> et 4 décembre 2015</w:t>
      </w:r>
      <w:r w:rsidR="00A03C71" w:rsidRPr="005137A7">
        <w:rPr>
          <w:lang w:val="fr-FR"/>
        </w:rPr>
        <w:t xml:space="preserve">) </w:t>
      </w:r>
      <w:r w:rsidR="00B7374B">
        <w:rPr>
          <w:lang w:val="fr-FR"/>
        </w:rPr>
        <w:t xml:space="preserve">et quatre </w:t>
      </w:r>
      <w:r w:rsidR="00A03C71" w:rsidRPr="005137A7">
        <w:rPr>
          <w:lang w:val="fr-FR"/>
        </w:rPr>
        <w:t xml:space="preserve">consultations </w:t>
      </w:r>
      <w:r w:rsidR="00B7374B" w:rsidRPr="005137A7">
        <w:rPr>
          <w:lang w:val="fr-FR"/>
        </w:rPr>
        <w:t xml:space="preserve">électroniques </w:t>
      </w:r>
      <w:r w:rsidR="00B7374B">
        <w:rPr>
          <w:lang w:val="fr-FR"/>
        </w:rPr>
        <w:t xml:space="preserve">du </w:t>
      </w:r>
      <w:r w:rsidR="00A03C71" w:rsidRPr="005137A7">
        <w:rPr>
          <w:lang w:val="fr-FR"/>
        </w:rPr>
        <w:t>Bureau (</w:t>
      </w:r>
      <w:r w:rsidR="00B7374B">
        <w:rPr>
          <w:lang w:val="fr-FR"/>
        </w:rPr>
        <w:t xml:space="preserve">juin </w:t>
      </w:r>
      <w:r w:rsidR="00A03C71" w:rsidRPr="005137A7">
        <w:rPr>
          <w:lang w:val="fr-FR"/>
        </w:rPr>
        <w:t>2014</w:t>
      </w:r>
      <w:r w:rsidR="00B7374B">
        <w:rPr>
          <w:lang w:val="fr-FR"/>
        </w:rPr>
        <w:t> </w:t>
      </w:r>
      <w:r w:rsidR="00A03C71" w:rsidRPr="005137A7">
        <w:rPr>
          <w:lang w:val="fr-FR"/>
        </w:rPr>
        <w:t xml:space="preserve">; </w:t>
      </w:r>
      <w:r w:rsidR="00B7374B">
        <w:rPr>
          <w:lang w:val="fr-FR"/>
        </w:rPr>
        <w:t xml:space="preserve">novembre </w:t>
      </w:r>
      <w:r w:rsidR="00A03C71" w:rsidRPr="005137A7">
        <w:rPr>
          <w:lang w:val="fr-FR"/>
        </w:rPr>
        <w:t>2014</w:t>
      </w:r>
      <w:r w:rsidR="00B7374B">
        <w:rPr>
          <w:lang w:val="fr-FR"/>
        </w:rPr>
        <w:t> </w:t>
      </w:r>
      <w:r w:rsidR="00A03C71" w:rsidRPr="005137A7">
        <w:rPr>
          <w:lang w:val="fr-FR"/>
        </w:rPr>
        <w:t xml:space="preserve">; </w:t>
      </w:r>
      <w:r w:rsidR="00B7374B">
        <w:rPr>
          <w:lang w:val="fr-FR"/>
        </w:rPr>
        <w:t xml:space="preserve">juin </w:t>
      </w:r>
      <w:r w:rsidR="00A03C71" w:rsidRPr="005137A7">
        <w:rPr>
          <w:lang w:val="fr-FR"/>
        </w:rPr>
        <w:t>2015</w:t>
      </w:r>
      <w:r w:rsidR="000414AE">
        <w:rPr>
          <w:lang w:val="fr-FR"/>
        </w:rPr>
        <w:t>,</w:t>
      </w:r>
      <w:r>
        <w:rPr>
          <w:lang w:val="fr-FR"/>
        </w:rPr>
        <w:t xml:space="preserve"> et mars 2016</w:t>
      </w:r>
      <w:r w:rsidR="00A03C71" w:rsidRPr="005137A7">
        <w:rPr>
          <w:lang w:val="fr-FR"/>
        </w:rPr>
        <w:t>).</w:t>
      </w:r>
    </w:p>
    <w:p w14:paraId="254FC940" w14:textId="77777777" w:rsidR="00A03C71" w:rsidRPr="005137A7" w:rsidRDefault="00B7374B" w:rsidP="00A03C71">
      <w:pPr>
        <w:pStyle w:val="COMPara"/>
        <w:ind w:left="567" w:firstLine="0"/>
        <w:jc w:val="both"/>
        <w:rPr>
          <w:lang w:val="fr-FR"/>
        </w:rPr>
      </w:pPr>
      <w:r>
        <w:rPr>
          <w:lang w:val="fr-FR"/>
        </w:rPr>
        <w:t xml:space="preserve">Six réunions pour des </w:t>
      </w:r>
      <w:r w:rsidR="00A03C71" w:rsidRPr="005137A7">
        <w:rPr>
          <w:lang w:val="fr-FR"/>
        </w:rPr>
        <w:t>services</w:t>
      </w:r>
      <w:r>
        <w:rPr>
          <w:lang w:val="fr-FR"/>
        </w:rPr>
        <w:t xml:space="preserve"> consultatifs </w:t>
      </w:r>
      <w:r w:rsidR="00A03C71" w:rsidRPr="005137A7">
        <w:rPr>
          <w:lang w:val="fr-FR"/>
        </w:rPr>
        <w:t>:</w:t>
      </w:r>
    </w:p>
    <w:p w14:paraId="6CABD434" w14:textId="77777777" w:rsidR="00A03C71" w:rsidRPr="005137A7" w:rsidRDefault="00B7374B" w:rsidP="00A03C71">
      <w:pPr>
        <w:pStyle w:val="COMPara"/>
        <w:numPr>
          <w:ilvl w:val="0"/>
          <w:numId w:val="15"/>
        </w:numPr>
        <w:jc w:val="both"/>
        <w:rPr>
          <w:lang w:val="fr-FR"/>
        </w:rPr>
      </w:pPr>
      <w:r w:rsidRPr="00CD2F58">
        <w:rPr>
          <w:lang w:val="fr-FR"/>
        </w:rPr>
        <w:t xml:space="preserve">réunion de l’Organe subsidiaire (du </w:t>
      </w:r>
      <w:r w:rsidR="00C21001">
        <w:rPr>
          <w:lang w:val="fr-FR"/>
        </w:rPr>
        <w:t>1</w:t>
      </w:r>
      <w:r w:rsidR="00C21001" w:rsidRPr="00EE55A0">
        <w:rPr>
          <w:vertAlign w:val="superscript"/>
          <w:lang w:val="fr-FR"/>
        </w:rPr>
        <w:t>er</w:t>
      </w:r>
      <w:r w:rsidR="00C21001">
        <w:rPr>
          <w:lang w:val="fr-FR"/>
        </w:rPr>
        <w:t xml:space="preserve"> </w:t>
      </w:r>
      <w:r w:rsidRPr="00CD2F58">
        <w:rPr>
          <w:lang w:val="fr-FR"/>
        </w:rPr>
        <w:t>au 5</w:t>
      </w:r>
      <w:r>
        <w:rPr>
          <w:lang w:val="fr-FR"/>
        </w:rPr>
        <w:t> </w:t>
      </w:r>
      <w:r w:rsidRPr="00CD2F58">
        <w:rPr>
          <w:lang w:val="fr-FR"/>
        </w:rPr>
        <w:t>septembre 2014)</w:t>
      </w:r>
      <w:r>
        <w:rPr>
          <w:lang w:val="fr-FR"/>
        </w:rPr>
        <w:t> </w:t>
      </w:r>
      <w:r w:rsidR="00A03C71" w:rsidRPr="005137A7">
        <w:rPr>
          <w:lang w:val="fr-FR"/>
        </w:rPr>
        <w:t>;</w:t>
      </w:r>
    </w:p>
    <w:p w14:paraId="16F8C25C" w14:textId="77777777" w:rsidR="00A03C71" w:rsidRPr="005137A7" w:rsidRDefault="00C21001" w:rsidP="00A03C71">
      <w:pPr>
        <w:pStyle w:val="COMPara"/>
        <w:numPr>
          <w:ilvl w:val="0"/>
          <w:numId w:val="15"/>
        </w:numPr>
        <w:jc w:val="both"/>
        <w:rPr>
          <w:lang w:val="fr-FR"/>
        </w:rPr>
      </w:pPr>
      <w:r w:rsidRPr="00CD2F58">
        <w:rPr>
          <w:lang w:val="fr-FR"/>
        </w:rPr>
        <w:t xml:space="preserve">réunion </w:t>
      </w:r>
      <w:r w:rsidR="00B7374B" w:rsidRPr="00CD2F58">
        <w:rPr>
          <w:lang w:val="fr-FR"/>
        </w:rPr>
        <w:t>de l’Organe consultatif (du 8 au 11</w:t>
      </w:r>
      <w:r w:rsidR="00B7374B">
        <w:rPr>
          <w:lang w:val="fr-FR"/>
        </w:rPr>
        <w:t> </w:t>
      </w:r>
      <w:r w:rsidR="00B7374B" w:rsidRPr="00CD2F58">
        <w:rPr>
          <w:lang w:val="fr-FR"/>
        </w:rPr>
        <w:t>septembre 2014)</w:t>
      </w:r>
      <w:r w:rsidR="00B7374B">
        <w:rPr>
          <w:lang w:val="fr-FR"/>
        </w:rPr>
        <w:t> </w:t>
      </w:r>
      <w:r w:rsidR="00A03C71" w:rsidRPr="005137A7">
        <w:rPr>
          <w:lang w:val="fr-FR"/>
        </w:rPr>
        <w:t>;</w:t>
      </w:r>
    </w:p>
    <w:p w14:paraId="6044FEFD" w14:textId="7C1A1F31" w:rsidR="00A03C71" w:rsidRPr="005137A7" w:rsidRDefault="008F5F2A" w:rsidP="00A03C71">
      <w:pPr>
        <w:pStyle w:val="COMPara"/>
        <w:numPr>
          <w:ilvl w:val="0"/>
          <w:numId w:val="15"/>
        </w:numPr>
        <w:jc w:val="both"/>
        <w:rPr>
          <w:lang w:val="fr-FR"/>
        </w:rPr>
      </w:pPr>
      <w:r>
        <w:rPr>
          <w:lang w:val="fr-FR"/>
        </w:rPr>
        <w:t>quatre</w:t>
      </w:r>
      <w:r w:rsidR="00C21001">
        <w:rPr>
          <w:lang w:val="fr-FR"/>
        </w:rPr>
        <w:t xml:space="preserve"> réunions de l’Organe d’é</w:t>
      </w:r>
      <w:r w:rsidR="00A03C71" w:rsidRPr="005137A7">
        <w:rPr>
          <w:lang w:val="fr-FR"/>
        </w:rPr>
        <w:t>valuation</w:t>
      </w:r>
      <w:r w:rsidR="00C21001">
        <w:rPr>
          <w:lang w:val="fr-FR"/>
        </w:rPr>
        <w:t xml:space="preserve"> </w:t>
      </w:r>
      <w:r w:rsidR="00A03C71" w:rsidRPr="005137A7">
        <w:rPr>
          <w:lang w:val="fr-FR"/>
        </w:rPr>
        <w:t>(</w:t>
      </w:r>
      <w:r>
        <w:rPr>
          <w:lang w:val="fr-FR"/>
        </w:rPr>
        <w:t>les</w:t>
      </w:r>
      <w:r w:rsidR="00C21001">
        <w:rPr>
          <w:lang w:val="fr-FR"/>
        </w:rPr>
        <w:t xml:space="preserve"> </w:t>
      </w:r>
      <w:r w:rsidR="00A03C71" w:rsidRPr="005137A7">
        <w:rPr>
          <w:lang w:val="fr-FR"/>
        </w:rPr>
        <w:t xml:space="preserve">3 </w:t>
      </w:r>
      <w:r>
        <w:rPr>
          <w:lang w:val="fr-FR"/>
        </w:rPr>
        <w:t>et</w:t>
      </w:r>
      <w:r w:rsidR="00C21001">
        <w:rPr>
          <w:lang w:val="fr-FR"/>
        </w:rPr>
        <w:t xml:space="preserve"> </w:t>
      </w:r>
      <w:r w:rsidR="00A03C71" w:rsidRPr="005137A7">
        <w:rPr>
          <w:lang w:val="fr-FR"/>
        </w:rPr>
        <w:t>4</w:t>
      </w:r>
      <w:r w:rsidR="00C21001">
        <w:rPr>
          <w:lang w:val="fr-FR"/>
        </w:rPr>
        <w:t xml:space="preserve"> mars </w:t>
      </w:r>
      <w:r w:rsidR="00A03C71" w:rsidRPr="005137A7">
        <w:rPr>
          <w:lang w:val="fr-FR"/>
        </w:rPr>
        <w:t>2015</w:t>
      </w:r>
      <w:r w:rsidR="00C21001">
        <w:rPr>
          <w:lang w:val="fr-FR"/>
        </w:rPr>
        <w:t> </w:t>
      </w:r>
      <w:r w:rsidR="00A03C71" w:rsidRPr="005137A7">
        <w:rPr>
          <w:lang w:val="fr-FR"/>
        </w:rPr>
        <w:t xml:space="preserve">; </w:t>
      </w:r>
      <w:r w:rsidR="00C21001">
        <w:rPr>
          <w:lang w:val="fr-FR"/>
        </w:rPr>
        <w:t xml:space="preserve">du </w:t>
      </w:r>
      <w:r w:rsidR="00A03C71" w:rsidRPr="005137A7">
        <w:rPr>
          <w:lang w:val="fr-FR"/>
        </w:rPr>
        <w:t xml:space="preserve">15 </w:t>
      </w:r>
      <w:r w:rsidR="00C21001">
        <w:rPr>
          <w:lang w:val="fr-FR"/>
        </w:rPr>
        <w:t xml:space="preserve">au </w:t>
      </w:r>
      <w:r w:rsidR="00A03C71" w:rsidRPr="005137A7">
        <w:rPr>
          <w:lang w:val="fr-FR"/>
        </w:rPr>
        <w:t>19</w:t>
      </w:r>
      <w:r w:rsidR="00C21001">
        <w:rPr>
          <w:lang w:val="fr-FR"/>
        </w:rPr>
        <w:t xml:space="preserve"> juin </w:t>
      </w:r>
      <w:r w:rsidR="00A03C71" w:rsidRPr="005137A7">
        <w:rPr>
          <w:lang w:val="fr-FR"/>
        </w:rPr>
        <w:t>2015</w:t>
      </w:r>
      <w:r w:rsidR="00C21001">
        <w:rPr>
          <w:lang w:val="fr-FR"/>
        </w:rPr>
        <w:t> </w:t>
      </w:r>
      <w:r w:rsidR="00A03C71" w:rsidRPr="005137A7">
        <w:rPr>
          <w:lang w:val="fr-FR"/>
        </w:rPr>
        <w:t xml:space="preserve">; </w:t>
      </w:r>
      <w:r w:rsidR="00C21001">
        <w:rPr>
          <w:lang w:val="fr-FR"/>
        </w:rPr>
        <w:t xml:space="preserve">du 9 au </w:t>
      </w:r>
      <w:r w:rsidR="00A03C71" w:rsidRPr="005137A7">
        <w:rPr>
          <w:lang w:val="fr-FR"/>
        </w:rPr>
        <w:t>11</w:t>
      </w:r>
      <w:r w:rsidR="00C21001">
        <w:rPr>
          <w:lang w:val="fr-FR"/>
        </w:rPr>
        <w:t xml:space="preserve"> septembre </w:t>
      </w:r>
      <w:r w:rsidR="00A03C71" w:rsidRPr="005137A7">
        <w:rPr>
          <w:lang w:val="fr-FR"/>
        </w:rPr>
        <w:t>2015</w:t>
      </w:r>
      <w:r>
        <w:rPr>
          <w:lang w:val="fr-FR"/>
        </w:rPr>
        <w:t xml:space="preserve"> ; et </w:t>
      </w:r>
      <w:r w:rsidR="000414AE">
        <w:rPr>
          <w:lang w:val="fr-FR"/>
        </w:rPr>
        <w:t>du</w:t>
      </w:r>
      <w:r>
        <w:rPr>
          <w:lang w:val="fr-FR"/>
        </w:rPr>
        <w:t xml:space="preserve"> 10 </w:t>
      </w:r>
      <w:r w:rsidR="000414AE">
        <w:rPr>
          <w:lang w:val="fr-FR"/>
        </w:rPr>
        <w:t>au</w:t>
      </w:r>
      <w:r>
        <w:rPr>
          <w:lang w:val="fr-FR"/>
        </w:rPr>
        <w:t xml:space="preserve"> 11 mars 2016</w:t>
      </w:r>
      <w:r w:rsidR="00A03C71" w:rsidRPr="005137A7">
        <w:rPr>
          <w:lang w:val="fr-FR"/>
        </w:rPr>
        <w:t>).</w:t>
      </w:r>
    </w:p>
    <w:p w14:paraId="51F71942" w14:textId="28067A5D" w:rsidR="00A03C71" w:rsidRPr="005137A7" w:rsidRDefault="00C21001" w:rsidP="00A03C71">
      <w:pPr>
        <w:pStyle w:val="COMPara"/>
        <w:ind w:left="567" w:firstLine="0"/>
        <w:jc w:val="both"/>
        <w:rPr>
          <w:lang w:val="fr-FR"/>
        </w:rPr>
      </w:pPr>
      <w:r>
        <w:rPr>
          <w:lang w:val="fr-FR"/>
        </w:rPr>
        <w:t>Trois réunions d’experts</w:t>
      </w:r>
      <w:r w:rsidR="00505276">
        <w:rPr>
          <w:lang w:val="fr-FR"/>
        </w:rPr>
        <w:t xml:space="preserve"> à la demande du Comité</w:t>
      </w:r>
      <w:r>
        <w:rPr>
          <w:lang w:val="fr-FR"/>
        </w:rPr>
        <w:t> </w:t>
      </w:r>
      <w:r w:rsidR="00A03C71" w:rsidRPr="005137A7">
        <w:rPr>
          <w:lang w:val="fr-FR"/>
        </w:rPr>
        <w:t>:</w:t>
      </w:r>
    </w:p>
    <w:p w14:paraId="0F90E1A8" w14:textId="77777777" w:rsidR="00A03C71" w:rsidRPr="005137A7" w:rsidRDefault="00C21001" w:rsidP="00A03C71">
      <w:pPr>
        <w:pStyle w:val="COMPara"/>
        <w:numPr>
          <w:ilvl w:val="0"/>
          <w:numId w:val="15"/>
        </w:numPr>
        <w:jc w:val="both"/>
        <w:rPr>
          <w:lang w:val="fr-FR"/>
        </w:rPr>
      </w:pPr>
      <w:r w:rsidRPr="00CD2F58">
        <w:rPr>
          <w:lang w:val="fr-FR"/>
        </w:rPr>
        <w:t>une réunion d’experts sur la sauvegarde du patrimoine culturel immatériel et le développement durable au niveau national</w:t>
      </w:r>
      <w:r w:rsidR="00201100">
        <w:rPr>
          <w:lang w:val="fr-FR"/>
        </w:rPr>
        <w:t xml:space="preserve"> à </w:t>
      </w:r>
      <w:r w:rsidRPr="00CD2F58">
        <w:rPr>
          <w:lang w:val="fr-FR"/>
        </w:rPr>
        <w:t>Istanbul</w:t>
      </w:r>
      <w:r w:rsidR="00201100">
        <w:rPr>
          <w:lang w:val="fr-FR"/>
        </w:rPr>
        <w:t xml:space="preserve"> (</w:t>
      </w:r>
      <w:r w:rsidRPr="00CD2F58">
        <w:rPr>
          <w:lang w:val="fr-FR"/>
        </w:rPr>
        <w:t>Turquie</w:t>
      </w:r>
      <w:r w:rsidR="00201100">
        <w:rPr>
          <w:lang w:val="fr-FR"/>
        </w:rPr>
        <w:t xml:space="preserve">), </w:t>
      </w:r>
      <w:r w:rsidRPr="00CD2F58">
        <w:rPr>
          <w:lang w:val="fr-FR"/>
        </w:rPr>
        <w:t xml:space="preserve">du 29 septembre au </w:t>
      </w:r>
      <w:r>
        <w:rPr>
          <w:lang w:val="fr-FR"/>
        </w:rPr>
        <w:t>1</w:t>
      </w:r>
      <w:r w:rsidRPr="00EE55A0">
        <w:rPr>
          <w:vertAlign w:val="superscript"/>
          <w:lang w:val="fr-FR"/>
        </w:rPr>
        <w:t>er</w:t>
      </w:r>
      <w:r>
        <w:rPr>
          <w:lang w:val="fr-FR"/>
        </w:rPr>
        <w:t> </w:t>
      </w:r>
      <w:r w:rsidRPr="00CD2F58">
        <w:rPr>
          <w:lang w:val="fr-FR"/>
        </w:rPr>
        <w:t>octobre 2014</w:t>
      </w:r>
      <w:r w:rsidR="00201100">
        <w:rPr>
          <w:lang w:val="fr-FR"/>
        </w:rPr>
        <w:t> </w:t>
      </w:r>
      <w:r w:rsidR="00A03C71" w:rsidRPr="005137A7">
        <w:rPr>
          <w:lang w:val="fr-FR"/>
        </w:rPr>
        <w:t>;</w:t>
      </w:r>
    </w:p>
    <w:p w14:paraId="442D93FE" w14:textId="77777777" w:rsidR="00A03C71" w:rsidRPr="005137A7" w:rsidRDefault="00C21001" w:rsidP="00A03C71">
      <w:pPr>
        <w:pStyle w:val="COMPara"/>
        <w:numPr>
          <w:ilvl w:val="0"/>
          <w:numId w:val="15"/>
        </w:numPr>
        <w:jc w:val="both"/>
        <w:rPr>
          <w:lang w:val="fr-FR"/>
        </w:rPr>
      </w:pPr>
      <w:r>
        <w:rPr>
          <w:lang w:val="fr-FR"/>
        </w:rPr>
        <w:t xml:space="preserve">une réunion d’experts sur un modèle de </w:t>
      </w:r>
      <w:r w:rsidR="00A03C71" w:rsidRPr="005137A7">
        <w:rPr>
          <w:lang w:val="fr-FR"/>
        </w:rPr>
        <w:t xml:space="preserve">code </w:t>
      </w:r>
      <w:r>
        <w:rPr>
          <w:lang w:val="fr-FR"/>
        </w:rPr>
        <w:t>d’éthique pour le patrimoine culturel immatériel</w:t>
      </w:r>
      <w:r w:rsidR="00201100">
        <w:rPr>
          <w:lang w:val="fr-FR"/>
        </w:rPr>
        <w:t xml:space="preserve"> à </w:t>
      </w:r>
      <w:r w:rsidR="002F735E">
        <w:rPr>
          <w:lang w:val="fr-FR"/>
        </w:rPr>
        <w:t>Valence</w:t>
      </w:r>
      <w:r w:rsidR="00201100">
        <w:rPr>
          <w:lang w:val="fr-FR"/>
        </w:rPr>
        <w:t xml:space="preserve"> (Espagne), </w:t>
      </w:r>
      <w:r>
        <w:rPr>
          <w:lang w:val="fr-FR"/>
        </w:rPr>
        <w:t xml:space="preserve">du </w:t>
      </w:r>
      <w:r w:rsidR="00A03C71" w:rsidRPr="005137A7">
        <w:rPr>
          <w:lang w:val="fr-FR"/>
        </w:rPr>
        <w:t>30</w:t>
      </w:r>
      <w:r>
        <w:rPr>
          <w:lang w:val="fr-FR"/>
        </w:rPr>
        <w:t xml:space="preserve"> mars au </w:t>
      </w:r>
      <w:r w:rsidR="00A03C71" w:rsidRPr="005137A7">
        <w:rPr>
          <w:lang w:val="fr-FR"/>
        </w:rPr>
        <w:t>2</w:t>
      </w:r>
      <w:r>
        <w:rPr>
          <w:lang w:val="fr-FR"/>
        </w:rPr>
        <w:t xml:space="preserve"> avril </w:t>
      </w:r>
      <w:r w:rsidR="00A03C71" w:rsidRPr="005137A7">
        <w:rPr>
          <w:lang w:val="fr-FR"/>
        </w:rPr>
        <w:t>2015</w:t>
      </w:r>
      <w:r w:rsidR="00201100">
        <w:rPr>
          <w:lang w:val="fr-FR"/>
        </w:rPr>
        <w:t> </w:t>
      </w:r>
      <w:r w:rsidR="00A03C71" w:rsidRPr="005137A7">
        <w:rPr>
          <w:lang w:val="fr-FR"/>
        </w:rPr>
        <w:t>;</w:t>
      </w:r>
    </w:p>
    <w:p w14:paraId="23934653" w14:textId="77777777" w:rsidR="00A03C71" w:rsidRPr="005137A7" w:rsidRDefault="00C21001" w:rsidP="00A03C71">
      <w:pPr>
        <w:pStyle w:val="COMPara"/>
        <w:numPr>
          <w:ilvl w:val="0"/>
          <w:numId w:val="15"/>
        </w:numPr>
        <w:jc w:val="both"/>
        <w:rPr>
          <w:lang w:val="fr-FR"/>
        </w:rPr>
      </w:pPr>
      <w:r>
        <w:rPr>
          <w:lang w:val="fr-FR"/>
        </w:rPr>
        <w:t>une réunion d’</w:t>
      </w:r>
      <w:r w:rsidR="00A03C71" w:rsidRPr="005137A7">
        <w:rPr>
          <w:lang w:val="fr-FR"/>
        </w:rPr>
        <w:t>expert</w:t>
      </w:r>
      <w:r>
        <w:rPr>
          <w:lang w:val="fr-FR"/>
        </w:rPr>
        <w:t>s</w:t>
      </w:r>
      <w:r w:rsidR="00A03C71" w:rsidRPr="005137A7">
        <w:rPr>
          <w:lang w:val="fr-FR"/>
        </w:rPr>
        <w:t xml:space="preserve"> </w:t>
      </w:r>
      <w:r>
        <w:rPr>
          <w:lang w:val="fr-FR"/>
        </w:rPr>
        <w:t>sur l’élaboration d’un mécanisme de suivi et d’é</w:t>
      </w:r>
      <w:r w:rsidR="00A03C71" w:rsidRPr="005137A7">
        <w:rPr>
          <w:lang w:val="fr-FR"/>
        </w:rPr>
        <w:t xml:space="preserve">valuation </w:t>
      </w:r>
      <w:r>
        <w:rPr>
          <w:lang w:val="fr-FR"/>
        </w:rPr>
        <w:t xml:space="preserve">des activités de renforcement des </w:t>
      </w:r>
      <w:r w:rsidR="00A03C71" w:rsidRPr="005137A7">
        <w:rPr>
          <w:lang w:val="fr-FR"/>
        </w:rPr>
        <w:t>capacit</w:t>
      </w:r>
      <w:r>
        <w:rPr>
          <w:lang w:val="fr-FR"/>
        </w:rPr>
        <w:t>és</w:t>
      </w:r>
      <w:r w:rsidR="00201100">
        <w:rPr>
          <w:lang w:val="fr-FR"/>
        </w:rPr>
        <w:t xml:space="preserve"> à </w:t>
      </w:r>
      <w:r w:rsidR="00A03C71" w:rsidRPr="005137A7">
        <w:rPr>
          <w:lang w:val="fr-FR"/>
        </w:rPr>
        <w:t>Paris</w:t>
      </w:r>
      <w:r w:rsidR="00201100">
        <w:rPr>
          <w:lang w:val="fr-FR"/>
        </w:rPr>
        <w:t xml:space="preserve"> (France), </w:t>
      </w:r>
      <w:r>
        <w:rPr>
          <w:lang w:val="fr-FR"/>
        </w:rPr>
        <w:t xml:space="preserve">du </w:t>
      </w:r>
      <w:r w:rsidR="00A03C71" w:rsidRPr="005137A7">
        <w:rPr>
          <w:lang w:val="fr-FR"/>
        </w:rPr>
        <w:t>1</w:t>
      </w:r>
      <w:r w:rsidRPr="00EE55A0">
        <w:rPr>
          <w:vertAlign w:val="superscript"/>
          <w:lang w:val="fr-FR"/>
        </w:rPr>
        <w:t>er</w:t>
      </w:r>
      <w:r>
        <w:rPr>
          <w:lang w:val="fr-FR"/>
        </w:rPr>
        <w:t xml:space="preserve"> au </w:t>
      </w:r>
      <w:r w:rsidR="00A03C71" w:rsidRPr="005137A7">
        <w:rPr>
          <w:lang w:val="fr-FR"/>
        </w:rPr>
        <w:t>3</w:t>
      </w:r>
      <w:r>
        <w:rPr>
          <w:lang w:val="fr-FR"/>
        </w:rPr>
        <w:t xml:space="preserve"> juin </w:t>
      </w:r>
      <w:r w:rsidR="00A03C71" w:rsidRPr="005137A7">
        <w:rPr>
          <w:lang w:val="fr-FR"/>
        </w:rPr>
        <w:t>2015.</w:t>
      </w:r>
    </w:p>
    <w:p w14:paraId="63FDA9D4" w14:textId="154FA474" w:rsidR="00A03C71" w:rsidRPr="00FE2DC0" w:rsidRDefault="00505276" w:rsidP="00A03C71">
      <w:pPr>
        <w:pStyle w:val="COMPara"/>
        <w:numPr>
          <w:ilvl w:val="0"/>
          <w:numId w:val="9"/>
        </w:numPr>
        <w:ind w:left="567" w:hanging="567"/>
        <w:jc w:val="both"/>
        <w:rPr>
          <w:lang w:val="fr-FR"/>
        </w:rPr>
      </w:pPr>
      <w:r>
        <w:rPr>
          <w:lang w:val="fr-FR"/>
        </w:rPr>
        <w:t>L</w:t>
      </w:r>
      <w:r w:rsidR="003D379F">
        <w:rPr>
          <w:lang w:val="fr-FR"/>
        </w:rPr>
        <w:t>a cinquième session de l’</w:t>
      </w:r>
      <w:r>
        <w:rPr>
          <w:lang w:val="fr-FR"/>
        </w:rPr>
        <w:t>Assemblée générale, à laquelle p</w:t>
      </w:r>
      <w:r w:rsidR="00FE2DC0">
        <w:rPr>
          <w:lang w:val="fr-FR"/>
        </w:rPr>
        <w:t xml:space="preserve">lus de 600 délégués et </w:t>
      </w:r>
      <w:r w:rsidR="007D1753">
        <w:rPr>
          <w:lang w:val="fr-FR"/>
        </w:rPr>
        <w:t>d’</w:t>
      </w:r>
      <w:r w:rsidR="00FE2DC0">
        <w:rPr>
          <w:lang w:val="fr-FR"/>
        </w:rPr>
        <w:t xml:space="preserve">observateurs ont </w:t>
      </w:r>
      <w:r w:rsidR="009C5529">
        <w:rPr>
          <w:lang w:val="fr-FR"/>
        </w:rPr>
        <w:t>participé</w:t>
      </w:r>
      <w:r w:rsidR="003B2F98">
        <w:rPr>
          <w:lang w:val="fr-FR"/>
        </w:rPr>
        <w:t xml:space="preserve">, </w:t>
      </w:r>
      <w:r w:rsidR="009C5529">
        <w:rPr>
          <w:lang w:val="fr-FR"/>
        </w:rPr>
        <w:t xml:space="preserve">a </w:t>
      </w:r>
      <w:r w:rsidR="00FE2DC0">
        <w:rPr>
          <w:lang w:val="fr-FR"/>
        </w:rPr>
        <w:t xml:space="preserve">débattu </w:t>
      </w:r>
      <w:r>
        <w:rPr>
          <w:lang w:val="fr-FR"/>
        </w:rPr>
        <w:t xml:space="preserve">en juin 2014 </w:t>
      </w:r>
      <w:r w:rsidR="009C5529">
        <w:rPr>
          <w:lang w:val="fr-FR"/>
        </w:rPr>
        <w:t xml:space="preserve">des </w:t>
      </w:r>
      <w:r w:rsidR="00FE2DC0">
        <w:rPr>
          <w:lang w:val="fr-FR"/>
        </w:rPr>
        <w:t xml:space="preserve">15 points et sous-points </w:t>
      </w:r>
      <w:r w:rsidR="009C5529">
        <w:rPr>
          <w:lang w:val="fr-FR"/>
        </w:rPr>
        <w:t xml:space="preserve">inscrits à l’ordre du jour </w:t>
      </w:r>
      <w:r w:rsidR="00FE2DC0">
        <w:rPr>
          <w:lang w:val="fr-FR"/>
        </w:rPr>
        <w:t xml:space="preserve">pendant </w:t>
      </w:r>
      <w:r w:rsidR="00F07384">
        <w:rPr>
          <w:lang w:val="fr-FR"/>
        </w:rPr>
        <w:t xml:space="preserve">quatre </w:t>
      </w:r>
      <w:r w:rsidR="00FE2DC0">
        <w:rPr>
          <w:lang w:val="fr-FR"/>
        </w:rPr>
        <w:t>jours</w:t>
      </w:r>
      <w:r w:rsidR="003B2F98">
        <w:rPr>
          <w:lang w:val="fr-FR"/>
        </w:rPr>
        <w:t xml:space="preserve">, </w:t>
      </w:r>
      <w:r w:rsidR="009C5529">
        <w:rPr>
          <w:lang w:val="fr-FR"/>
        </w:rPr>
        <w:t>a</w:t>
      </w:r>
      <w:r w:rsidR="00FE2DC0">
        <w:rPr>
          <w:lang w:val="fr-FR"/>
        </w:rPr>
        <w:t xml:space="preserve"> élu </w:t>
      </w:r>
      <w:r w:rsidR="00A03C71" w:rsidRPr="00FE2DC0">
        <w:rPr>
          <w:lang w:val="fr-FR"/>
        </w:rPr>
        <w:t>12</w:t>
      </w:r>
      <w:r w:rsidR="00FE2DC0">
        <w:rPr>
          <w:lang w:val="fr-FR"/>
        </w:rPr>
        <w:t> </w:t>
      </w:r>
      <w:r w:rsidR="00A03C71" w:rsidRPr="00FE2DC0">
        <w:rPr>
          <w:lang w:val="fr-FR"/>
        </w:rPr>
        <w:t>n</w:t>
      </w:r>
      <w:r w:rsidR="00FE2DC0">
        <w:rPr>
          <w:lang w:val="fr-FR"/>
        </w:rPr>
        <w:t xml:space="preserve">ouveaux membres du Comité intergouvernemental pour la </w:t>
      </w:r>
      <w:r w:rsidR="00F07384">
        <w:rPr>
          <w:lang w:val="fr-FR"/>
        </w:rPr>
        <w:t>s</w:t>
      </w:r>
      <w:r w:rsidR="00FE2DC0">
        <w:rPr>
          <w:lang w:val="fr-FR"/>
        </w:rPr>
        <w:t xml:space="preserve">auvegarde du </w:t>
      </w:r>
      <w:r w:rsidR="00F07384">
        <w:rPr>
          <w:lang w:val="fr-FR"/>
        </w:rPr>
        <w:t>p</w:t>
      </w:r>
      <w:r w:rsidR="00FE2DC0">
        <w:rPr>
          <w:lang w:val="fr-FR"/>
        </w:rPr>
        <w:t xml:space="preserve">atrimoine culturel immatériel et </w:t>
      </w:r>
      <w:r w:rsidR="009C5529">
        <w:rPr>
          <w:lang w:val="fr-FR"/>
        </w:rPr>
        <w:t xml:space="preserve">a </w:t>
      </w:r>
      <w:r w:rsidR="00FE2DC0">
        <w:rPr>
          <w:lang w:val="fr-FR"/>
        </w:rPr>
        <w:t xml:space="preserve">adopté des révisions </w:t>
      </w:r>
      <w:r w:rsidR="00A03C71" w:rsidRPr="00FE2DC0">
        <w:rPr>
          <w:lang w:val="fr-FR"/>
        </w:rPr>
        <w:t>important</w:t>
      </w:r>
      <w:r w:rsidR="00FE2DC0">
        <w:rPr>
          <w:lang w:val="fr-FR"/>
        </w:rPr>
        <w:t xml:space="preserve">es des Directives </w:t>
      </w:r>
      <w:r w:rsidR="00B83A4D" w:rsidRPr="00FE2DC0">
        <w:rPr>
          <w:lang w:val="fr-FR"/>
        </w:rPr>
        <w:t>opération</w:t>
      </w:r>
      <w:r w:rsidR="00B83A4D">
        <w:rPr>
          <w:lang w:val="fr-FR"/>
        </w:rPr>
        <w:t>nelles</w:t>
      </w:r>
      <w:r w:rsidR="00FE2DC0">
        <w:rPr>
          <w:lang w:val="fr-FR"/>
        </w:rPr>
        <w:t xml:space="preserve"> </w:t>
      </w:r>
      <w:r w:rsidR="00B83A4D">
        <w:rPr>
          <w:lang w:val="fr-FR"/>
        </w:rPr>
        <w:t xml:space="preserve">pour la mise en œuvre de la </w:t>
      </w:r>
      <w:r w:rsidR="009C5529" w:rsidRPr="00FE2DC0">
        <w:rPr>
          <w:lang w:val="fr-FR"/>
        </w:rPr>
        <w:t>Convention</w:t>
      </w:r>
      <w:r w:rsidR="009C5529">
        <w:rPr>
          <w:lang w:val="fr-FR"/>
        </w:rPr>
        <w:t xml:space="preserve"> </w:t>
      </w:r>
      <w:r w:rsidR="009C5529" w:rsidRPr="00FE2DC0">
        <w:rPr>
          <w:lang w:val="fr-FR"/>
        </w:rPr>
        <w:t>–</w:t>
      </w:r>
      <w:r w:rsidR="009C5529">
        <w:rPr>
          <w:lang w:val="fr-FR"/>
        </w:rPr>
        <w:t xml:space="preserve"> </w:t>
      </w:r>
      <w:r w:rsidR="00A03C71" w:rsidRPr="00FE2DC0">
        <w:rPr>
          <w:lang w:val="fr-FR"/>
        </w:rPr>
        <w:t>nota</w:t>
      </w:r>
      <w:r w:rsidR="00B83A4D">
        <w:rPr>
          <w:lang w:val="fr-FR"/>
        </w:rPr>
        <w:t xml:space="preserve">mment la </w:t>
      </w:r>
      <w:r w:rsidR="00A03C71" w:rsidRPr="00FE2DC0">
        <w:rPr>
          <w:lang w:val="fr-FR"/>
        </w:rPr>
        <w:t>cr</w:t>
      </w:r>
      <w:r w:rsidR="00B83A4D">
        <w:rPr>
          <w:lang w:val="fr-FR"/>
        </w:rPr>
        <w:t>é</w:t>
      </w:r>
      <w:r w:rsidR="00A03C71" w:rsidRPr="00FE2DC0">
        <w:rPr>
          <w:lang w:val="fr-FR"/>
        </w:rPr>
        <w:t xml:space="preserve">ation </w:t>
      </w:r>
      <w:r w:rsidR="00B83A4D">
        <w:rPr>
          <w:lang w:val="fr-FR"/>
        </w:rPr>
        <w:t xml:space="preserve">d’un </w:t>
      </w:r>
      <w:r w:rsidR="00C0253A">
        <w:rPr>
          <w:lang w:val="fr-FR"/>
        </w:rPr>
        <w:t>« </w:t>
      </w:r>
      <w:r w:rsidR="00B83A4D">
        <w:rPr>
          <w:lang w:val="fr-FR"/>
        </w:rPr>
        <w:t>Organe d’é</w:t>
      </w:r>
      <w:r w:rsidR="00A03C71" w:rsidRPr="00FE2DC0">
        <w:rPr>
          <w:lang w:val="fr-FR"/>
        </w:rPr>
        <w:t>valuation</w:t>
      </w:r>
      <w:r w:rsidR="00C0253A">
        <w:rPr>
          <w:lang w:val="fr-FR"/>
        </w:rPr>
        <w:t> »</w:t>
      </w:r>
      <w:r w:rsidR="00B83A4D">
        <w:rPr>
          <w:lang w:val="fr-FR"/>
        </w:rPr>
        <w:t xml:space="preserve"> unique comprenant </w:t>
      </w:r>
      <w:r w:rsidR="00F07384">
        <w:rPr>
          <w:lang w:val="fr-FR"/>
        </w:rPr>
        <w:t xml:space="preserve">six </w:t>
      </w:r>
      <w:r w:rsidR="00A03C71" w:rsidRPr="00FE2DC0">
        <w:rPr>
          <w:lang w:val="fr-FR"/>
        </w:rPr>
        <w:t>experts</w:t>
      </w:r>
      <w:r w:rsidR="00B83A4D">
        <w:rPr>
          <w:lang w:val="fr-FR"/>
        </w:rPr>
        <w:t xml:space="preserve"> </w:t>
      </w:r>
      <w:r w:rsidR="009C5529" w:rsidRPr="00FE2DC0">
        <w:rPr>
          <w:lang w:val="fr-FR"/>
        </w:rPr>
        <w:t>repr</w:t>
      </w:r>
      <w:r w:rsidR="009C5529">
        <w:rPr>
          <w:lang w:val="fr-FR"/>
        </w:rPr>
        <w:t>é</w:t>
      </w:r>
      <w:r w:rsidR="009C5529" w:rsidRPr="00FE2DC0">
        <w:rPr>
          <w:lang w:val="fr-FR"/>
        </w:rPr>
        <w:t>sent</w:t>
      </w:r>
      <w:r w:rsidR="009C5529">
        <w:rPr>
          <w:lang w:val="fr-FR"/>
        </w:rPr>
        <w:t>ant</w:t>
      </w:r>
      <w:r w:rsidR="007D1753">
        <w:rPr>
          <w:lang w:val="fr-FR"/>
        </w:rPr>
        <w:t>s</w:t>
      </w:r>
      <w:r w:rsidR="009C5529">
        <w:rPr>
          <w:lang w:val="fr-FR"/>
        </w:rPr>
        <w:t xml:space="preserve"> d’</w:t>
      </w:r>
      <w:r w:rsidR="00B83A4D">
        <w:rPr>
          <w:lang w:val="fr-FR"/>
        </w:rPr>
        <w:t xml:space="preserve">États parties à la </w:t>
      </w:r>
      <w:r w:rsidR="00A03C71" w:rsidRPr="00FE2DC0">
        <w:rPr>
          <w:lang w:val="fr-FR"/>
        </w:rPr>
        <w:t>Convention non</w:t>
      </w:r>
      <w:r w:rsidR="009C5529">
        <w:rPr>
          <w:lang w:val="fr-FR"/>
        </w:rPr>
        <w:t xml:space="preserve"> </w:t>
      </w:r>
      <w:r w:rsidR="00A03C71" w:rsidRPr="00FE2DC0">
        <w:rPr>
          <w:lang w:val="fr-FR"/>
        </w:rPr>
        <w:t>memb</w:t>
      </w:r>
      <w:r w:rsidR="00B83A4D">
        <w:rPr>
          <w:lang w:val="fr-FR"/>
        </w:rPr>
        <w:t xml:space="preserve">res du Comité et </w:t>
      </w:r>
      <w:r w:rsidR="00F07384">
        <w:rPr>
          <w:lang w:val="fr-FR"/>
        </w:rPr>
        <w:t xml:space="preserve">six </w:t>
      </w:r>
      <w:r w:rsidR="00B83A4D">
        <w:rPr>
          <w:lang w:val="fr-FR"/>
        </w:rPr>
        <w:t>organisations non gouvernementales accré</w:t>
      </w:r>
      <w:r w:rsidR="00A03C71" w:rsidRPr="00FE2DC0">
        <w:rPr>
          <w:lang w:val="fr-FR"/>
        </w:rPr>
        <w:t>dit</w:t>
      </w:r>
      <w:r w:rsidR="00B83A4D">
        <w:rPr>
          <w:lang w:val="fr-FR"/>
        </w:rPr>
        <w:t xml:space="preserve">ées, </w:t>
      </w:r>
      <w:r w:rsidR="009C5529">
        <w:rPr>
          <w:lang w:val="fr-FR"/>
        </w:rPr>
        <w:t>avec pour</w:t>
      </w:r>
      <w:r w:rsidR="00B83A4D">
        <w:rPr>
          <w:lang w:val="fr-FR"/>
        </w:rPr>
        <w:t xml:space="preserve"> mission d’é</w:t>
      </w:r>
      <w:r w:rsidR="00A03C71" w:rsidRPr="00FE2DC0">
        <w:rPr>
          <w:lang w:val="fr-FR"/>
        </w:rPr>
        <w:t>valu</w:t>
      </w:r>
      <w:r w:rsidR="00B83A4D">
        <w:rPr>
          <w:lang w:val="fr-FR"/>
        </w:rPr>
        <w:t>er toutes les candidatures</w:t>
      </w:r>
      <w:r w:rsidR="00A03C71" w:rsidRPr="00FE2DC0">
        <w:rPr>
          <w:lang w:val="fr-FR"/>
        </w:rPr>
        <w:t>, propos</w:t>
      </w:r>
      <w:r w:rsidR="00B83A4D">
        <w:rPr>
          <w:lang w:val="fr-FR"/>
        </w:rPr>
        <w:t xml:space="preserve">itions et demandes </w:t>
      </w:r>
      <w:r w:rsidR="009C5529">
        <w:rPr>
          <w:lang w:val="fr-FR"/>
        </w:rPr>
        <w:t>relatifs aux</w:t>
      </w:r>
      <w:r w:rsidR="00B83A4D">
        <w:rPr>
          <w:lang w:val="fr-FR"/>
        </w:rPr>
        <w:t xml:space="preserve"> mécanismes </w:t>
      </w:r>
      <w:r w:rsidR="009C5529">
        <w:rPr>
          <w:lang w:val="fr-FR"/>
        </w:rPr>
        <w:t xml:space="preserve">de </w:t>
      </w:r>
      <w:r w:rsidR="009C5529" w:rsidRPr="00FE2DC0">
        <w:rPr>
          <w:lang w:val="fr-FR"/>
        </w:rPr>
        <w:t>coopération</w:t>
      </w:r>
      <w:r w:rsidR="009C5529">
        <w:rPr>
          <w:lang w:val="fr-FR"/>
        </w:rPr>
        <w:t xml:space="preserve"> </w:t>
      </w:r>
      <w:r w:rsidR="009C5529" w:rsidRPr="00FE2DC0">
        <w:rPr>
          <w:lang w:val="fr-FR"/>
        </w:rPr>
        <w:t>international</w:t>
      </w:r>
      <w:r w:rsidR="009C5529">
        <w:rPr>
          <w:lang w:val="fr-FR"/>
        </w:rPr>
        <w:t xml:space="preserve">e prévus par </w:t>
      </w:r>
      <w:r w:rsidR="00B83A4D">
        <w:rPr>
          <w:lang w:val="fr-FR"/>
        </w:rPr>
        <w:t xml:space="preserve">la </w:t>
      </w:r>
      <w:r w:rsidR="00A03C71" w:rsidRPr="00FE2DC0">
        <w:rPr>
          <w:lang w:val="fr-FR"/>
        </w:rPr>
        <w:t>Convention.</w:t>
      </w:r>
    </w:p>
    <w:p w14:paraId="15691564" w14:textId="54BEFB09" w:rsidR="00A03C71" w:rsidRPr="00FE2DC0" w:rsidRDefault="00B83A4D" w:rsidP="000A66B6">
      <w:pPr>
        <w:pStyle w:val="COMPara"/>
        <w:numPr>
          <w:ilvl w:val="0"/>
          <w:numId w:val="9"/>
        </w:numPr>
        <w:ind w:hanging="501"/>
        <w:jc w:val="both"/>
        <w:rPr>
          <w:lang w:val="fr-FR"/>
        </w:rPr>
      </w:pPr>
      <w:r>
        <w:rPr>
          <w:lang w:val="fr-FR"/>
        </w:rPr>
        <w:t xml:space="preserve">La neuvième </w:t>
      </w:r>
      <w:r w:rsidR="00A03C71" w:rsidRPr="00FE2DC0">
        <w:rPr>
          <w:lang w:val="fr-FR"/>
        </w:rPr>
        <w:t xml:space="preserve">session </w:t>
      </w:r>
      <w:r>
        <w:rPr>
          <w:lang w:val="fr-FR"/>
        </w:rPr>
        <w:t xml:space="preserve">du Comité </w:t>
      </w:r>
      <w:r w:rsidR="000414AE">
        <w:rPr>
          <w:lang w:val="fr-FR"/>
        </w:rPr>
        <w:t xml:space="preserve">qui s’est tenue au Siège de l’UNESCO </w:t>
      </w:r>
      <w:r w:rsidR="00C0253A">
        <w:rPr>
          <w:lang w:val="fr-FR"/>
        </w:rPr>
        <w:t xml:space="preserve">en novembre 2014 </w:t>
      </w:r>
      <w:r>
        <w:rPr>
          <w:lang w:val="fr-FR"/>
        </w:rPr>
        <w:t xml:space="preserve">fut la plus imposante </w:t>
      </w:r>
      <w:r w:rsidR="000414AE">
        <w:rPr>
          <w:lang w:val="fr-FR"/>
        </w:rPr>
        <w:t>de toutes les sessions</w:t>
      </w:r>
      <w:r w:rsidR="00A03C71" w:rsidRPr="00FE2DC0">
        <w:rPr>
          <w:lang w:val="fr-FR"/>
        </w:rPr>
        <w:t xml:space="preserve">, </w:t>
      </w:r>
      <w:r>
        <w:rPr>
          <w:lang w:val="fr-FR"/>
        </w:rPr>
        <w:t xml:space="preserve">avec plus de </w:t>
      </w:r>
      <w:r w:rsidR="00A03C71" w:rsidRPr="00FE2DC0">
        <w:rPr>
          <w:lang w:val="fr-FR"/>
        </w:rPr>
        <w:t>1</w:t>
      </w:r>
      <w:r>
        <w:rPr>
          <w:lang w:val="fr-FR"/>
        </w:rPr>
        <w:t> </w:t>
      </w:r>
      <w:r w:rsidR="00A03C71" w:rsidRPr="00FE2DC0">
        <w:rPr>
          <w:lang w:val="fr-FR"/>
        </w:rPr>
        <w:t>070</w:t>
      </w:r>
      <w:r>
        <w:rPr>
          <w:lang w:val="fr-FR"/>
        </w:rPr>
        <w:t> </w:t>
      </w:r>
      <w:r w:rsidR="00A03C71" w:rsidRPr="00FE2DC0">
        <w:rPr>
          <w:lang w:val="fr-FR"/>
        </w:rPr>
        <w:t>d</w:t>
      </w:r>
      <w:r>
        <w:rPr>
          <w:lang w:val="fr-FR"/>
        </w:rPr>
        <w:t>é</w:t>
      </w:r>
      <w:r w:rsidR="00A03C71" w:rsidRPr="00FE2DC0">
        <w:rPr>
          <w:lang w:val="fr-FR"/>
        </w:rPr>
        <w:t>l</w:t>
      </w:r>
      <w:r>
        <w:rPr>
          <w:lang w:val="fr-FR"/>
        </w:rPr>
        <w:t>é</w:t>
      </w:r>
      <w:r w:rsidR="00A03C71" w:rsidRPr="00FE2DC0">
        <w:rPr>
          <w:lang w:val="fr-FR"/>
        </w:rPr>
        <w:t>g</w:t>
      </w:r>
      <w:r>
        <w:rPr>
          <w:lang w:val="fr-FR"/>
        </w:rPr>
        <w:t xml:space="preserve">ués venus de </w:t>
      </w:r>
      <w:r w:rsidR="00A03C71" w:rsidRPr="00FE2DC0">
        <w:rPr>
          <w:lang w:val="fr-FR"/>
        </w:rPr>
        <w:t>138</w:t>
      </w:r>
      <w:r>
        <w:rPr>
          <w:lang w:val="fr-FR"/>
        </w:rPr>
        <w:t> pays</w:t>
      </w:r>
      <w:r w:rsidR="00A03C71" w:rsidRPr="00FE2DC0">
        <w:rPr>
          <w:lang w:val="fr-FR"/>
        </w:rPr>
        <w:t xml:space="preserve">. </w:t>
      </w:r>
      <w:r w:rsidR="0078225E">
        <w:rPr>
          <w:lang w:val="fr-FR"/>
        </w:rPr>
        <w:t>Examinant 29 points et sous-points inscrits à l’ordre du jour pendant cinq jours, l</w:t>
      </w:r>
      <w:r>
        <w:rPr>
          <w:lang w:val="fr-FR"/>
        </w:rPr>
        <w:t xml:space="preserve">e Comité </w:t>
      </w:r>
      <w:r w:rsidR="004D2274">
        <w:rPr>
          <w:lang w:val="fr-FR"/>
        </w:rPr>
        <w:t xml:space="preserve">a accueilli avec satisfaction les progrès importants effectués dans la mise en œuvre de la </w:t>
      </w:r>
      <w:r w:rsidR="00A03C71" w:rsidRPr="00FE2DC0">
        <w:rPr>
          <w:lang w:val="fr-FR"/>
        </w:rPr>
        <w:t xml:space="preserve">Convention </w:t>
      </w:r>
      <w:r w:rsidR="004D2274">
        <w:rPr>
          <w:lang w:val="fr-FR"/>
        </w:rPr>
        <w:t xml:space="preserve">et a </w:t>
      </w:r>
      <w:r w:rsidR="00A03C71" w:rsidRPr="00FE2DC0">
        <w:rPr>
          <w:lang w:val="fr-FR"/>
        </w:rPr>
        <w:t>expr</w:t>
      </w:r>
      <w:r w:rsidR="004D2274">
        <w:rPr>
          <w:lang w:val="fr-FR"/>
        </w:rPr>
        <w:t xml:space="preserve">imé son </w:t>
      </w:r>
      <w:r w:rsidR="00A03C71" w:rsidRPr="00FE2DC0">
        <w:rPr>
          <w:lang w:val="fr-FR"/>
        </w:rPr>
        <w:t>appr</w:t>
      </w:r>
      <w:r w:rsidR="004D2274">
        <w:rPr>
          <w:lang w:val="fr-FR"/>
        </w:rPr>
        <w:t>é</w:t>
      </w:r>
      <w:r w:rsidR="00A03C71" w:rsidRPr="00FE2DC0">
        <w:rPr>
          <w:lang w:val="fr-FR"/>
        </w:rPr>
        <w:t xml:space="preserve">ciation </w:t>
      </w:r>
      <w:r w:rsidR="004D2274">
        <w:rPr>
          <w:lang w:val="fr-FR"/>
        </w:rPr>
        <w:t>de la stratégie d’ensemble de renforcement des capacités définie par l’</w:t>
      </w:r>
      <w:r w:rsidR="00A03C71" w:rsidRPr="00FE2DC0">
        <w:rPr>
          <w:lang w:val="fr-FR"/>
        </w:rPr>
        <w:t xml:space="preserve">UNESCO </w:t>
      </w:r>
      <w:r w:rsidR="004D2274">
        <w:rPr>
          <w:lang w:val="fr-FR"/>
        </w:rPr>
        <w:t xml:space="preserve">pour soutenir les États et les </w:t>
      </w:r>
      <w:r w:rsidR="00A03C71" w:rsidRPr="00FE2DC0">
        <w:rPr>
          <w:lang w:val="fr-FR"/>
        </w:rPr>
        <w:t>commun</w:t>
      </w:r>
      <w:r w:rsidR="004D2274">
        <w:rPr>
          <w:lang w:val="fr-FR"/>
        </w:rPr>
        <w:t>au</w:t>
      </w:r>
      <w:r w:rsidR="00A03C71" w:rsidRPr="00FE2DC0">
        <w:rPr>
          <w:lang w:val="fr-FR"/>
        </w:rPr>
        <w:t>t</w:t>
      </w:r>
      <w:r w:rsidR="004D2274">
        <w:rPr>
          <w:lang w:val="fr-FR"/>
        </w:rPr>
        <w:t>é</w:t>
      </w:r>
      <w:r w:rsidR="00A03C71" w:rsidRPr="00FE2DC0">
        <w:rPr>
          <w:lang w:val="fr-FR"/>
        </w:rPr>
        <w:t xml:space="preserve">s </w:t>
      </w:r>
      <w:r w:rsidR="004D2274">
        <w:rPr>
          <w:lang w:val="fr-FR"/>
        </w:rPr>
        <w:t>dans leurs efforts de sauvegarde</w:t>
      </w:r>
      <w:r w:rsidR="00A03C71" w:rsidRPr="00FE2DC0">
        <w:rPr>
          <w:lang w:val="fr-FR"/>
        </w:rPr>
        <w:t xml:space="preserve">. </w:t>
      </w:r>
      <w:r w:rsidR="0078225E">
        <w:rPr>
          <w:lang w:val="fr-FR"/>
        </w:rPr>
        <w:t>Bien que l</w:t>
      </w:r>
      <w:r w:rsidR="00AF5CD5">
        <w:rPr>
          <w:lang w:val="fr-FR"/>
        </w:rPr>
        <w:t xml:space="preserve">a </w:t>
      </w:r>
      <w:r w:rsidR="009C5529">
        <w:rPr>
          <w:lang w:val="fr-FR"/>
        </w:rPr>
        <w:t>dixième</w:t>
      </w:r>
      <w:r w:rsidR="00AF5CD5">
        <w:rPr>
          <w:lang w:val="fr-FR"/>
        </w:rPr>
        <w:t xml:space="preserve"> session du Comité en novembre-décembre 2015 </w:t>
      </w:r>
      <w:r w:rsidR="0078225E">
        <w:rPr>
          <w:lang w:val="fr-FR"/>
        </w:rPr>
        <w:t>coïncidait avec la C</w:t>
      </w:r>
      <w:r w:rsidR="0078225E" w:rsidRPr="0078225E">
        <w:rPr>
          <w:lang w:val="fr-FR"/>
        </w:rPr>
        <w:t>onférence des Nations-Unies sur le changement climatique</w:t>
      </w:r>
      <w:r w:rsidR="0078225E">
        <w:rPr>
          <w:lang w:val="fr-FR"/>
        </w:rPr>
        <w:t xml:space="preserve"> </w:t>
      </w:r>
      <w:r w:rsidR="000414AE">
        <w:rPr>
          <w:lang w:val="fr-FR"/>
        </w:rPr>
        <w:t xml:space="preserve">de 2015 </w:t>
      </w:r>
      <w:r w:rsidR="0078225E">
        <w:rPr>
          <w:lang w:val="fr-FR"/>
        </w:rPr>
        <w:t>(COP21) qui s’est tenue à Paris, elle a tout de même rassemblé 476 délégués de 109 pays. Elle a examiné</w:t>
      </w:r>
      <w:r w:rsidR="00AF5CD5">
        <w:rPr>
          <w:lang w:val="fr-FR"/>
        </w:rPr>
        <w:t xml:space="preserve"> pendant cinq jours </w:t>
      </w:r>
      <w:r w:rsidR="009C5529">
        <w:rPr>
          <w:lang w:val="fr-FR"/>
        </w:rPr>
        <w:t xml:space="preserve">les </w:t>
      </w:r>
      <w:r w:rsidR="00AF5CD5">
        <w:rPr>
          <w:lang w:val="fr-FR"/>
        </w:rPr>
        <w:t xml:space="preserve">30 points </w:t>
      </w:r>
      <w:r w:rsidR="009C5529">
        <w:rPr>
          <w:lang w:val="fr-FR"/>
        </w:rPr>
        <w:t>et sous-points inscrits à</w:t>
      </w:r>
      <w:r w:rsidR="00AF5CD5">
        <w:rPr>
          <w:lang w:val="fr-FR"/>
        </w:rPr>
        <w:t xml:space="preserve"> l’ordre du jour</w:t>
      </w:r>
      <w:r w:rsidR="0078225E">
        <w:rPr>
          <w:lang w:val="fr-FR"/>
        </w:rPr>
        <w:t xml:space="preserve">, </w:t>
      </w:r>
      <w:r w:rsidR="009E630B">
        <w:rPr>
          <w:lang w:val="fr-FR"/>
        </w:rPr>
        <w:t>adopté douze</w:t>
      </w:r>
      <w:r w:rsidR="0078225E">
        <w:rPr>
          <w:lang w:val="fr-FR"/>
        </w:rPr>
        <w:t xml:space="preserve"> principes éthiques </w:t>
      </w:r>
      <w:r w:rsidR="009E630B">
        <w:rPr>
          <w:lang w:val="fr-FR"/>
        </w:rPr>
        <w:t>de</w:t>
      </w:r>
      <w:r w:rsidR="0078225E">
        <w:rPr>
          <w:lang w:val="fr-FR"/>
        </w:rPr>
        <w:t xml:space="preserve"> sauvegarde du </w:t>
      </w:r>
      <w:r w:rsidR="009E630B">
        <w:rPr>
          <w:lang w:val="fr-FR"/>
        </w:rPr>
        <w:t>patrimoine culturel immatériel et approuvé pour soumission à l’Assemblée générale un projet des Directives opérationnelles concernant la sauvegarde du patrimoine culturel immatériel et le développement durable à l’échelle nationale</w:t>
      </w:r>
      <w:r w:rsidR="00AF5CD5">
        <w:rPr>
          <w:lang w:val="fr-FR"/>
        </w:rPr>
        <w:t xml:space="preserve">. </w:t>
      </w:r>
      <w:r w:rsidR="009C5529">
        <w:rPr>
          <w:lang w:val="fr-FR"/>
        </w:rPr>
        <w:t>En vue</w:t>
      </w:r>
      <w:r w:rsidR="004D2274">
        <w:rPr>
          <w:lang w:val="fr-FR"/>
        </w:rPr>
        <w:t xml:space="preserve"> </w:t>
      </w:r>
      <w:r w:rsidR="009C5529">
        <w:rPr>
          <w:lang w:val="fr-FR"/>
        </w:rPr>
        <w:t xml:space="preserve">des </w:t>
      </w:r>
      <w:r w:rsidR="004D2274">
        <w:rPr>
          <w:lang w:val="fr-FR"/>
        </w:rPr>
        <w:t xml:space="preserve">neuvième et dixième </w:t>
      </w:r>
      <w:r w:rsidR="00A03C71" w:rsidRPr="00FE2DC0">
        <w:rPr>
          <w:lang w:val="fr-FR"/>
        </w:rPr>
        <w:t xml:space="preserve">sessions </w:t>
      </w:r>
      <w:r w:rsidR="004D2274">
        <w:rPr>
          <w:lang w:val="fr-FR"/>
        </w:rPr>
        <w:t>du Comité</w:t>
      </w:r>
      <w:r w:rsidR="00A03C71" w:rsidRPr="00FE2DC0">
        <w:rPr>
          <w:lang w:val="fr-FR"/>
        </w:rPr>
        <w:t xml:space="preserve">, </w:t>
      </w:r>
      <w:r w:rsidR="004D2274">
        <w:rPr>
          <w:lang w:val="fr-FR"/>
        </w:rPr>
        <w:t>des réunions d’</w:t>
      </w:r>
      <w:r w:rsidR="00A03C71" w:rsidRPr="00FE2DC0">
        <w:rPr>
          <w:lang w:val="fr-FR"/>
        </w:rPr>
        <w:t xml:space="preserve">information </w:t>
      </w:r>
      <w:r w:rsidR="004D2274">
        <w:rPr>
          <w:lang w:val="fr-FR"/>
        </w:rPr>
        <w:t>et d’é</w:t>
      </w:r>
      <w:r w:rsidR="00A03C71" w:rsidRPr="00FE2DC0">
        <w:rPr>
          <w:lang w:val="fr-FR"/>
        </w:rPr>
        <w:t xml:space="preserve">change </w:t>
      </w:r>
      <w:r w:rsidR="004D2274">
        <w:rPr>
          <w:lang w:val="fr-FR"/>
        </w:rPr>
        <w:t xml:space="preserve">ont été </w:t>
      </w:r>
      <w:r w:rsidR="00A03C71" w:rsidRPr="00FE2DC0">
        <w:rPr>
          <w:lang w:val="fr-FR"/>
        </w:rPr>
        <w:t>organi</w:t>
      </w:r>
      <w:r w:rsidR="004D2274">
        <w:rPr>
          <w:lang w:val="fr-FR"/>
        </w:rPr>
        <w:t xml:space="preserve">sées </w:t>
      </w:r>
      <w:r w:rsidR="00A03C71" w:rsidRPr="00FE2DC0">
        <w:rPr>
          <w:lang w:val="fr-FR"/>
        </w:rPr>
        <w:t>respective</w:t>
      </w:r>
      <w:r w:rsidR="004D2274">
        <w:rPr>
          <w:lang w:val="fr-FR"/>
        </w:rPr>
        <w:t xml:space="preserve">ment les </w:t>
      </w:r>
      <w:r w:rsidR="00A03C71" w:rsidRPr="00FE2DC0">
        <w:rPr>
          <w:lang w:val="fr-FR"/>
        </w:rPr>
        <w:t>3</w:t>
      </w:r>
      <w:r w:rsidR="004D2274">
        <w:rPr>
          <w:lang w:val="fr-FR"/>
        </w:rPr>
        <w:t xml:space="preserve"> novembre </w:t>
      </w:r>
      <w:r w:rsidR="00A03C71" w:rsidRPr="00FE2DC0">
        <w:rPr>
          <w:lang w:val="fr-FR"/>
        </w:rPr>
        <w:t xml:space="preserve">2014 </w:t>
      </w:r>
      <w:r w:rsidR="004D2274">
        <w:rPr>
          <w:lang w:val="fr-FR"/>
        </w:rPr>
        <w:t xml:space="preserve">et </w:t>
      </w:r>
      <w:r w:rsidR="00A03C71" w:rsidRPr="00FE2DC0">
        <w:rPr>
          <w:lang w:val="fr-FR"/>
        </w:rPr>
        <w:t>6</w:t>
      </w:r>
      <w:r w:rsidR="004D2274">
        <w:rPr>
          <w:lang w:val="fr-FR"/>
        </w:rPr>
        <w:t xml:space="preserve"> octobre </w:t>
      </w:r>
      <w:r w:rsidR="00A03C71" w:rsidRPr="00FE2DC0">
        <w:rPr>
          <w:lang w:val="fr-FR"/>
        </w:rPr>
        <w:t xml:space="preserve">2015 </w:t>
      </w:r>
      <w:r w:rsidR="004D2274">
        <w:rPr>
          <w:lang w:val="fr-FR"/>
        </w:rPr>
        <w:t xml:space="preserve">pour </w:t>
      </w:r>
      <w:r w:rsidR="00A03C71" w:rsidRPr="00FE2DC0">
        <w:rPr>
          <w:lang w:val="fr-FR"/>
        </w:rPr>
        <w:t>pr</w:t>
      </w:r>
      <w:r w:rsidR="004D2274">
        <w:rPr>
          <w:lang w:val="fr-FR"/>
        </w:rPr>
        <w:t>é</w:t>
      </w:r>
      <w:r w:rsidR="00A03C71" w:rsidRPr="00FE2DC0">
        <w:rPr>
          <w:lang w:val="fr-FR"/>
        </w:rPr>
        <w:t>sent</w:t>
      </w:r>
      <w:r w:rsidR="004D2274">
        <w:rPr>
          <w:lang w:val="fr-FR"/>
        </w:rPr>
        <w:t>er</w:t>
      </w:r>
      <w:r w:rsidR="00A03C71" w:rsidRPr="00FE2DC0">
        <w:rPr>
          <w:lang w:val="fr-FR"/>
        </w:rPr>
        <w:t xml:space="preserve"> </w:t>
      </w:r>
      <w:r w:rsidR="004D2274">
        <w:rPr>
          <w:lang w:val="fr-FR"/>
        </w:rPr>
        <w:t xml:space="preserve">l’ordre du jour et le calendrier </w:t>
      </w:r>
      <w:r w:rsidR="00A03C71" w:rsidRPr="00FE2DC0">
        <w:rPr>
          <w:lang w:val="fr-FR"/>
        </w:rPr>
        <w:t>provis</w:t>
      </w:r>
      <w:r w:rsidR="004D2274">
        <w:rPr>
          <w:lang w:val="fr-FR"/>
        </w:rPr>
        <w:t>oires</w:t>
      </w:r>
      <w:r w:rsidR="00A03C71" w:rsidRPr="00FE2DC0">
        <w:rPr>
          <w:lang w:val="fr-FR"/>
        </w:rPr>
        <w:t xml:space="preserve">, </w:t>
      </w:r>
      <w:r w:rsidR="004D2274">
        <w:rPr>
          <w:lang w:val="fr-FR"/>
        </w:rPr>
        <w:t xml:space="preserve">ainsi que les </w:t>
      </w:r>
      <w:r w:rsidR="00A03C71" w:rsidRPr="00FE2DC0">
        <w:rPr>
          <w:lang w:val="fr-FR"/>
        </w:rPr>
        <w:t>information</w:t>
      </w:r>
      <w:r w:rsidR="004D2274">
        <w:rPr>
          <w:lang w:val="fr-FR"/>
        </w:rPr>
        <w:t>s pratiques</w:t>
      </w:r>
      <w:r w:rsidR="00A03C71" w:rsidRPr="00FE2DC0">
        <w:rPr>
          <w:lang w:val="fr-FR"/>
        </w:rPr>
        <w:t xml:space="preserve"> facilita</w:t>
      </w:r>
      <w:r w:rsidR="004D2274">
        <w:rPr>
          <w:lang w:val="fr-FR"/>
        </w:rPr>
        <w:t xml:space="preserve">nt la </w:t>
      </w:r>
      <w:r w:rsidR="00A03C71" w:rsidRPr="00FE2DC0">
        <w:rPr>
          <w:lang w:val="fr-FR"/>
        </w:rPr>
        <w:t xml:space="preserve">participation </w:t>
      </w:r>
      <w:r w:rsidR="004D2274">
        <w:rPr>
          <w:lang w:val="fr-FR"/>
        </w:rPr>
        <w:t xml:space="preserve">des États membres aux </w:t>
      </w:r>
      <w:r w:rsidR="00A03C71" w:rsidRPr="00FE2DC0">
        <w:rPr>
          <w:lang w:val="fr-FR"/>
        </w:rPr>
        <w:t xml:space="preserve">sessions </w:t>
      </w:r>
      <w:r w:rsidR="004D2274">
        <w:rPr>
          <w:lang w:val="fr-FR"/>
        </w:rPr>
        <w:t>du Comité</w:t>
      </w:r>
      <w:r w:rsidR="00A03C71" w:rsidRPr="00FE2DC0">
        <w:rPr>
          <w:lang w:val="fr-FR"/>
        </w:rPr>
        <w:t>.</w:t>
      </w:r>
    </w:p>
    <w:p w14:paraId="7B665BF7" w14:textId="22DCFE7F" w:rsidR="00A03C71" w:rsidRPr="00FE2DC0" w:rsidRDefault="009C6881" w:rsidP="00A03C71">
      <w:pPr>
        <w:pStyle w:val="COMPara"/>
        <w:numPr>
          <w:ilvl w:val="0"/>
          <w:numId w:val="9"/>
        </w:numPr>
        <w:ind w:left="567" w:hanging="567"/>
        <w:jc w:val="both"/>
        <w:rPr>
          <w:lang w:val="fr-FR"/>
        </w:rPr>
      </w:pPr>
      <w:r>
        <w:rPr>
          <w:lang w:val="fr-FR"/>
        </w:rPr>
        <w:t xml:space="preserve">En mars </w:t>
      </w:r>
      <w:r w:rsidR="009E630B">
        <w:rPr>
          <w:lang w:val="fr-FR"/>
        </w:rPr>
        <w:t>2015</w:t>
      </w:r>
      <w:r w:rsidR="00A03C71" w:rsidRPr="00FE2DC0">
        <w:rPr>
          <w:lang w:val="fr-FR"/>
        </w:rPr>
        <w:t xml:space="preserve"> </w:t>
      </w:r>
      <w:r>
        <w:rPr>
          <w:lang w:val="fr-FR"/>
        </w:rPr>
        <w:t xml:space="preserve">et </w:t>
      </w:r>
      <w:r w:rsidR="009E630B">
        <w:rPr>
          <w:lang w:val="fr-FR"/>
        </w:rPr>
        <w:t>2016</w:t>
      </w:r>
      <w:r w:rsidR="00A03C71" w:rsidRPr="00FE2DC0">
        <w:rPr>
          <w:lang w:val="fr-FR"/>
        </w:rPr>
        <w:t xml:space="preserve">, </w:t>
      </w:r>
      <w:r>
        <w:rPr>
          <w:lang w:val="fr-FR"/>
        </w:rPr>
        <w:t xml:space="preserve">le </w:t>
      </w:r>
      <w:r w:rsidRPr="00FE2DC0">
        <w:rPr>
          <w:lang w:val="fr-FR"/>
        </w:rPr>
        <w:t>Secrétariat</w:t>
      </w:r>
      <w:r w:rsidR="00A03C71" w:rsidRPr="00FE2DC0">
        <w:rPr>
          <w:lang w:val="fr-FR"/>
        </w:rPr>
        <w:t xml:space="preserve"> </w:t>
      </w:r>
      <w:r>
        <w:rPr>
          <w:lang w:val="fr-FR"/>
        </w:rPr>
        <w:t xml:space="preserve">a </w:t>
      </w:r>
      <w:r w:rsidR="00A03C71" w:rsidRPr="00FE2DC0">
        <w:rPr>
          <w:lang w:val="fr-FR"/>
        </w:rPr>
        <w:t>organi</w:t>
      </w:r>
      <w:r>
        <w:rPr>
          <w:lang w:val="fr-FR"/>
        </w:rPr>
        <w:t>sé deux réunions d’</w:t>
      </w:r>
      <w:r w:rsidR="00A03C71" w:rsidRPr="00FE2DC0">
        <w:rPr>
          <w:lang w:val="fr-FR"/>
        </w:rPr>
        <w:t>orientation</w:t>
      </w:r>
      <w:r>
        <w:rPr>
          <w:lang w:val="fr-FR"/>
        </w:rPr>
        <w:t xml:space="preserve"> pour les organes d’é</w:t>
      </w:r>
      <w:r w:rsidR="00A03C71" w:rsidRPr="00FE2DC0">
        <w:rPr>
          <w:lang w:val="fr-FR"/>
        </w:rPr>
        <w:t xml:space="preserve">valuation, </w:t>
      </w:r>
      <w:r>
        <w:rPr>
          <w:lang w:val="fr-FR"/>
        </w:rPr>
        <w:t xml:space="preserve">qui visaient à </w:t>
      </w:r>
      <w:r w:rsidR="00A03C71" w:rsidRPr="00FE2DC0">
        <w:rPr>
          <w:lang w:val="fr-FR"/>
        </w:rPr>
        <w:t>pr</w:t>
      </w:r>
      <w:r>
        <w:rPr>
          <w:lang w:val="fr-FR"/>
        </w:rPr>
        <w:t>é</w:t>
      </w:r>
      <w:r w:rsidR="00A03C71" w:rsidRPr="00FE2DC0">
        <w:rPr>
          <w:lang w:val="fr-FR"/>
        </w:rPr>
        <w:t>sent</w:t>
      </w:r>
      <w:r>
        <w:rPr>
          <w:lang w:val="fr-FR"/>
        </w:rPr>
        <w:t>er</w:t>
      </w:r>
      <w:r w:rsidR="00A03C71" w:rsidRPr="00FE2DC0">
        <w:rPr>
          <w:lang w:val="fr-FR"/>
        </w:rPr>
        <w:t xml:space="preserve"> </w:t>
      </w:r>
      <w:r>
        <w:rPr>
          <w:lang w:val="fr-FR"/>
        </w:rPr>
        <w:t xml:space="preserve">la </w:t>
      </w:r>
      <w:r w:rsidR="00A03C71" w:rsidRPr="00FE2DC0">
        <w:rPr>
          <w:lang w:val="fr-FR"/>
        </w:rPr>
        <w:t xml:space="preserve">nature </w:t>
      </w:r>
      <w:r>
        <w:rPr>
          <w:lang w:val="fr-FR"/>
        </w:rPr>
        <w:t xml:space="preserve">et les </w:t>
      </w:r>
      <w:r w:rsidR="00A03C71" w:rsidRPr="00FE2DC0">
        <w:rPr>
          <w:lang w:val="fr-FR"/>
        </w:rPr>
        <w:t>proc</w:t>
      </w:r>
      <w:r>
        <w:rPr>
          <w:lang w:val="fr-FR"/>
        </w:rPr>
        <w:t>é</w:t>
      </w:r>
      <w:r w:rsidR="00A03C71" w:rsidRPr="00FE2DC0">
        <w:rPr>
          <w:lang w:val="fr-FR"/>
        </w:rPr>
        <w:t xml:space="preserve">dures </w:t>
      </w:r>
      <w:r>
        <w:rPr>
          <w:lang w:val="fr-FR"/>
        </w:rPr>
        <w:t>des tâches à réaliser et fournir une vue d’ensemble des dossiers à examiner pendant les mois suivant</w:t>
      </w:r>
      <w:r w:rsidR="00DA7FDC">
        <w:rPr>
          <w:lang w:val="fr-FR"/>
        </w:rPr>
        <w:t>s</w:t>
      </w:r>
      <w:r w:rsidR="00A03C71" w:rsidRPr="00FE2DC0">
        <w:rPr>
          <w:lang w:val="fr-FR"/>
        </w:rPr>
        <w:t xml:space="preserve">. </w:t>
      </w:r>
      <w:r>
        <w:rPr>
          <w:lang w:val="fr-FR"/>
        </w:rPr>
        <w:t xml:space="preserve">Ces réunions ont </w:t>
      </w:r>
      <w:r w:rsidR="00DA7FDC">
        <w:rPr>
          <w:lang w:val="fr-FR"/>
        </w:rPr>
        <w:t xml:space="preserve">par ailleurs permis de </w:t>
      </w:r>
      <w:r>
        <w:rPr>
          <w:lang w:val="fr-FR"/>
        </w:rPr>
        <w:t>détermin</w:t>
      </w:r>
      <w:r w:rsidR="00AD4F99">
        <w:rPr>
          <w:lang w:val="fr-FR"/>
        </w:rPr>
        <w:t>er</w:t>
      </w:r>
      <w:r>
        <w:rPr>
          <w:lang w:val="fr-FR"/>
        </w:rPr>
        <w:t xml:space="preserve"> les méthodes et calendrier de travail en vue de préparer les réunions d’é</w:t>
      </w:r>
      <w:r w:rsidR="00A03C71" w:rsidRPr="00FE2DC0">
        <w:rPr>
          <w:lang w:val="fr-FR"/>
        </w:rPr>
        <w:t xml:space="preserve">valuation </w:t>
      </w:r>
      <w:r w:rsidR="00725E1A">
        <w:rPr>
          <w:lang w:val="fr-FR"/>
        </w:rPr>
        <w:t>qui se sont tenues en</w:t>
      </w:r>
      <w:r w:rsidR="00A03C71" w:rsidRPr="00FE2DC0">
        <w:rPr>
          <w:lang w:val="fr-FR"/>
        </w:rPr>
        <w:t xml:space="preserve"> </w:t>
      </w:r>
      <w:r w:rsidR="003239A2">
        <w:rPr>
          <w:lang w:val="fr-FR"/>
        </w:rPr>
        <w:t xml:space="preserve">juin et septembre </w:t>
      </w:r>
      <w:r w:rsidR="00A03C71" w:rsidRPr="00FE2DC0">
        <w:rPr>
          <w:lang w:val="fr-FR"/>
        </w:rPr>
        <w:t>2015</w:t>
      </w:r>
      <w:r w:rsidR="00725E1A">
        <w:rPr>
          <w:lang w:val="fr-FR"/>
        </w:rPr>
        <w:t xml:space="preserve"> pour le cycle de 2015, et </w:t>
      </w:r>
      <w:r w:rsidR="002A09AF">
        <w:rPr>
          <w:lang w:val="fr-FR"/>
        </w:rPr>
        <w:t xml:space="preserve">qui se tiendront </w:t>
      </w:r>
      <w:r w:rsidR="00725E1A" w:rsidRPr="000414AE">
        <w:rPr>
          <w:lang w:val="fr-FR"/>
        </w:rPr>
        <w:t>en juin et septembre 2016 pour le cycle de 2016</w:t>
      </w:r>
      <w:r w:rsidR="00A03C71" w:rsidRPr="000414AE">
        <w:rPr>
          <w:lang w:val="fr-FR"/>
        </w:rPr>
        <w:t>.</w:t>
      </w:r>
      <w:r w:rsidR="00A03C71" w:rsidRPr="00FE2DC0">
        <w:rPr>
          <w:lang w:val="fr-FR"/>
        </w:rPr>
        <w:t xml:space="preserve"> </w:t>
      </w:r>
      <w:r w:rsidR="003239A2">
        <w:rPr>
          <w:lang w:val="fr-FR"/>
        </w:rPr>
        <w:t xml:space="preserve">Afin de </w:t>
      </w:r>
      <w:r w:rsidR="00A03C71" w:rsidRPr="00FE2DC0">
        <w:rPr>
          <w:lang w:val="fr-FR"/>
        </w:rPr>
        <w:t>pr</w:t>
      </w:r>
      <w:r w:rsidR="003239A2">
        <w:rPr>
          <w:lang w:val="fr-FR"/>
        </w:rPr>
        <w:t>é</w:t>
      </w:r>
      <w:r w:rsidR="00A03C71" w:rsidRPr="00FE2DC0">
        <w:rPr>
          <w:lang w:val="fr-FR"/>
        </w:rPr>
        <w:t>par</w:t>
      </w:r>
      <w:r w:rsidR="003239A2">
        <w:rPr>
          <w:lang w:val="fr-FR"/>
        </w:rPr>
        <w:t>er ces réunions d’é</w:t>
      </w:r>
      <w:r w:rsidR="00A03C71" w:rsidRPr="00FE2DC0">
        <w:rPr>
          <w:lang w:val="fr-FR"/>
        </w:rPr>
        <w:t xml:space="preserve">valuation </w:t>
      </w:r>
      <w:r w:rsidR="003239A2">
        <w:rPr>
          <w:lang w:val="fr-FR"/>
        </w:rPr>
        <w:t xml:space="preserve">de </w:t>
      </w:r>
      <w:r w:rsidR="003239A2" w:rsidRPr="005137A7">
        <w:rPr>
          <w:lang w:val="fr-FR"/>
        </w:rPr>
        <w:t>services</w:t>
      </w:r>
      <w:r w:rsidR="003239A2">
        <w:rPr>
          <w:lang w:val="fr-FR"/>
        </w:rPr>
        <w:t xml:space="preserve"> consultatifs</w:t>
      </w:r>
      <w:r w:rsidR="00A03C71" w:rsidRPr="00FE2DC0">
        <w:rPr>
          <w:lang w:val="fr-FR"/>
        </w:rPr>
        <w:t xml:space="preserve">, </w:t>
      </w:r>
      <w:r w:rsidR="003239A2">
        <w:rPr>
          <w:lang w:val="fr-FR"/>
        </w:rPr>
        <w:t xml:space="preserve">le </w:t>
      </w:r>
      <w:r w:rsidR="003239A2" w:rsidRPr="00FE2DC0">
        <w:rPr>
          <w:lang w:val="fr-FR"/>
        </w:rPr>
        <w:t>Secrétariat</w:t>
      </w:r>
      <w:r w:rsidR="00A03C71" w:rsidRPr="00FE2DC0">
        <w:rPr>
          <w:lang w:val="fr-FR"/>
        </w:rPr>
        <w:t xml:space="preserve"> </w:t>
      </w:r>
      <w:r w:rsidR="003239A2">
        <w:rPr>
          <w:lang w:val="fr-FR"/>
        </w:rPr>
        <w:t xml:space="preserve">a </w:t>
      </w:r>
      <w:r w:rsidR="00A03C71" w:rsidRPr="00FE2DC0">
        <w:rPr>
          <w:lang w:val="fr-FR"/>
        </w:rPr>
        <w:t>tr</w:t>
      </w:r>
      <w:r w:rsidR="003239A2">
        <w:rPr>
          <w:lang w:val="fr-FR"/>
        </w:rPr>
        <w:t xml:space="preserve">aité tous les </w:t>
      </w:r>
      <w:r w:rsidR="00A03C71" w:rsidRPr="00FE2DC0">
        <w:rPr>
          <w:lang w:val="fr-FR"/>
        </w:rPr>
        <w:t>documents re</w:t>
      </w:r>
      <w:r w:rsidR="003239A2">
        <w:rPr>
          <w:lang w:val="fr-FR"/>
        </w:rPr>
        <w:t xml:space="preserve">çus des États parties </w:t>
      </w:r>
      <w:r w:rsidR="00A03C71" w:rsidRPr="00FE2DC0">
        <w:rPr>
          <w:lang w:val="fr-FR"/>
        </w:rPr>
        <w:t>concern</w:t>
      </w:r>
      <w:r w:rsidR="003239A2">
        <w:rPr>
          <w:lang w:val="fr-FR"/>
        </w:rPr>
        <w:t xml:space="preserve">ant </w:t>
      </w:r>
      <w:r w:rsidR="00DA7FDC">
        <w:rPr>
          <w:lang w:val="fr-FR"/>
        </w:rPr>
        <w:t>l</w:t>
      </w:r>
      <w:r w:rsidR="003239A2">
        <w:rPr>
          <w:lang w:val="fr-FR"/>
        </w:rPr>
        <w:t>es candidatures</w:t>
      </w:r>
      <w:r w:rsidR="00A03C71" w:rsidRPr="00FE2DC0">
        <w:rPr>
          <w:lang w:val="fr-FR"/>
        </w:rPr>
        <w:t xml:space="preserve"> </w:t>
      </w:r>
      <w:r w:rsidR="003239A2">
        <w:rPr>
          <w:lang w:val="fr-FR"/>
        </w:rPr>
        <w:t xml:space="preserve">et </w:t>
      </w:r>
      <w:r w:rsidR="00DA7FDC">
        <w:rPr>
          <w:lang w:val="fr-FR"/>
        </w:rPr>
        <w:t>l</w:t>
      </w:r>
      <w:r w:rsidR="003239A2">
        <w:rPr>
          <w:lang w:val="fr-FR"/>
        </w:rPr>
        <w:t>es demandes</w:t>
      </w:r>
      <w:r w:rsidR="00DA7FDC">
        <w:rPr>
          <w:lang w:val="fr-FR"/>
        </w:rPr>
        <w:t>,</w:t>
      </w:r>
      <w:r w:rsidR="003239A2">
        <w:rPr>
          <w:lang w:val="fr-FR"/>
        </w:rPr>
        <w:t xml:space="preserve"> et les a mis à disposition des membres des organes d’évaluation grâce à une interface dédiée en ligne</w:t>
      </w:r>
      <w:r w:rsidR="00A03C71" w:rsidRPr="00FE2DC0">
        <w:rPr>
          <w:lang w:val="fr-FR"/>
        </w:rPr>
        <w:t>.</w:t>
      </w:r>
    </w:p>
    <w:p w14:paraId="20E30D3E" w14:textId="12D8067C" w:rsidR="00A03C71" w:rsidRPr="00FE2DC0" w:rsidRDefault="006844EB" w:rsidP="00A03C71">
      <w:pPr>
        <w:pStyle w:val="COMPara"/>
        <w:numPr>
          <w:ilvl w:val="0"/>
          <w:numId w:val="9"/>
        </w:numPr>
        <w:ind w:left="567" w:hanging="567"/>
        <w:jc w:val="both"/>
        <w:rPr>
          <w:lang w:val="fr-FR"/>
        </w:rPr>
      </w:pPr>
      <w:r>
        <w:rPr>
          <w:lang w:val="fr-FR"/>
        </w:rPr>
        <w:t xml:space="preserve">L’assistance fournie par le </w:t>
      </w:r>
      <w:r w:rsidR="00A03C71" w:rsidRPr="00FE2DC0">
        <w:rPr>
          <w:lang w:val="fr-FR"/>
        </w:rPr>
        <w:t>Secr</w:t>
      </w:r>
      <w:r>
        <w:rPr>
          <w:lang w:val="fr-FR"/>
        </w:rPr>
        <w:t>é</w:t>
      </w:r>
      <w:r w:rsidR="00A03C71" w:rsidRPr="00FE2DC0">
        <w:rPr>
          <w:lang w:val="fr-FR"/>
        </w:rPr>
        <w:t>tariat</w:t>
      </w:r>
      <w:r>
        <w:rPr>
          <w:lang w:val="fr-FR"/>
        </w:rPr>
        <w:t xml:space="preserve"> à </w:t>
      </w:r>
      <w:r w:rsidRPr="006844EB">
        <w:rPr>
          <w:lang w:val="fr-FR"/>
        </w:rPr>
        <w:t>l’Assemblée générale</w:t>
      </w:r>
      <w:r w:rsidR="00A03C71" w:rsidRPr="00FE2DC0">
        <w:rPr>
          <w:lang w:val="fr-FR"/>
        </w:rPr>
        <w:t xml:space="preserve">, </w:t>
      </w:r>
      <w:r>
        <w:rPr>
          <w:lang w:val="fr-FR"/>
        </w:rPr>
        <w:t xml:space="preserve">au Comité et aux organes consultatifs comprend l’organisation logistique qui permet à ces organes de travailler dans les </w:t>
      </w:r>
      <w:r w:rsidR="00A03C71" w:rsidRPr="00FE2DC0">
        <w:rPr>
          <w:lang w:val="fr-FR"/>
        </w:rPr>
        <w:t xml:space="preserve">conditions </w:t>
      </w:r>
      <w:r>
        <w:rPr>
          <w:lang w:val="fr-FR"/>
        </w:rPr>
        <w:t>les plus propices à un débat fructueux</w:t>
      </w:r>
      <w:r w:rsidR="00A03C71" w:rsidRPr="00FE2DC0">
        <w:rPr>
          <w:lang w:val="fr-FR"/>
        </w:rPr>
        <w:t xml:space="preserve">. </w:t>
      </w:r>
      <w:r>
        <w:rPr>
          <w:lang w:val="fr-FR"/>
        </w:rPr>
        <w:t xml:space="preserve">On notera entre autres l’organisation des voyages des </w:t>
      </w:r>
      <w:r w:rsidR="00A03C71" w:rsidRPr="00FE2DC0">
        <w:rPr>
          <w:lang w:val="fr-FR"/>
        </w:rPr>
        <w:t>experts repr</w:t>
      </w:r>
      <w:r>
        <w:rPr>
          <w:lang w:val="fr-FR"/>
        </w:rPr>
        <w:t>é</w:t>
      </w:r>
      <w:r w:rsidR="00A03C71" w:rsidRPr="00FE2DC0">
        <w:rPr>
          <w:lang w:val="fr-FR"/>
        </w:rPr>
        <w:t>sent</w:t>
      </w:r>
      <w:r w:rsidR="005D6827">
        <w:rPr>
          <w:lang w:val="fr-FR"/>
        </w:rPr>
        <w:t>a</w:t>
      </w:r>
      <w:r>
        <w:rPr>
          <w:lang w:val="fr-FR"/>
        </w:rPr>
        <w:t xml:space="preserve">nt les États parties ou des </w:t>
      </w:r>
      <w:r w:rsidR="005D6827">
        <w:rPr>
          <w:lang w:val="fr-FR"/>
        </w:rPr>
        <w:t xml:space="preserve">organisations non gouvernementales </w:t>
      </w:r>
      <w:r w:rsidR="00A03C71" w:rsidRPr="00FE2DC0">
        <w:rPr>
          <w:lang w:val="fr-FR"/>
        </w:rPr>
        <w:t>accr</w:t>
      </w:r>
      <w:r>
        <w:rPr>
          <w:lang w:val="fr-FR"/>
        </w:rPr>
        <w:t>é</w:t>
      </w:r>
      <w:r w:rsidR="00A03C71" w:rsidRPr="00FE2DC0">
        <w:rPr>
          <w:lang w:val="fr-FR"/>
        </w:rPr>
        <w:t>dit</w:t>
      </w:r>
      <w:r>
        <w:rPr>
          <w:lang w:val="fr-FR"/>
        </w:rPr>
        <w:t xml:space="preserve">ées </w:t>
      </w:r>
      <w:r w:rsidR="005D6827">
        <w:rPr>
          <w:lang w:val="fr-FR"/>
        </w:rPr>
        <w:t>provenant de</w:t>
      </w:r>
      <w:r>
        <w:rPr>
          <w:lang w:val="fr-FR"/>
        </w:rPr>
        <w:t xml:space="preserve"> pays </w:t>
      </w:r>
      <w:r w:rsidR="005D6827">
        <w:rPr>
          <w:lang w:val="fr-FR"/>
        </w:rPr>
        <w:t xml:space="preserve">en développement </w:t>
      </w:r>
      <w:r>
        <w:rPr>
          <w:lang w:val="fr-FR"/>
        </w:rPr>
        <w:t xml:space="preserve">et qui participent aux </w:t>
      </w:r>
      <w:r w:rsidR="00A03C71" w:rsidRPr="00FE2DC0">
        <w:rPr>
          <w:lang w:val="fr-FR"/>
        </w:rPr>
        <w:t xml:space="preserve">sessions </w:t>
      </w:r>
      <w:r>
        <w:rPr>
          <w:lang w:val="fr-FR"/>
        </w:rPr>
        <w:t xml:space="preserve">du Comité et de ses organes consultatifs </w:t>
      </w:r>
      <w:r w:rsidR="00A03C71" w:rsidRPr="00FE2DC0">
        <w:rPr>
          <w:lang w:val="fr-FR"/>
        </w:rPr>
        <w:t>(</w:t>
      </w:r>
      <w:r w:rsidR="00725E1A">
        <w:rPr>
          <w:lang w:val="fr-FR"/>
        </w:rPr>
        <w:t>plus de 200</w:t>
      </w:r>
      <w:r>
        <w:rPr>
          <w:lang w:val="fr-FR"/>
        </w:rPr>
        <w:t xml:space="preserve"> voyages pendant la période </w:t>
      </w:r>
      <w:r w:rsidR="00C36368">
        <w:rPr>
          <w:lang w:val="fr-FR"/>
        </w:rPr>
        <w:t>considérée</w:t>
      </w:r>
      <w:r w:rsidR="00A03C71" w:rsidRPr="00FE2DC0">
        <w:rPr>
          <w:lang w:val="fr-FR"/>
        </w:rPr>
        <w:t>).</w:t>
      </w:r>
    </w:p>
    <w:p w14:paraId="417FB666" w14:textId="1846E4D0" w:rsidR="00A03C71" w:rsidRPr="00FE2DC0" w:rsidRDefault="00D80477" w:rsidP="00A03C71">
      <w:pPr>
        <w:pStyle w:val="COMPara"/>
        <w:numPr>
          <w:ilvl w:val="0"/>
          <w:numId w:val="9"/>
        </w:numPr>
        <w:ind w:left="567" w:hanging="567"/>
        <w:jc w:val="both"/>
        <w:rPr>
          <w:lang w:val="fr-FR"/>
        </w:rPr>
      </w:pPr>
      <w:r>
        <w:rPr>
          <w:lang w:val="fr-FR"/>
        </w:rPr>
        <w:t xml:space="preserve">Le </w:t>
      </w:r>
      <w:r w:rsidRPr="00FE2DC0">
        <w:rPr>
          <w:lang w:val="fr-FR"/>
        </w:rPr>
        <w:t>Secrétariat</w:t>
      </w:r>
      <w:r w:rsidR="00A03C71" w:rsidRPr="00FE2DC0">
        <w:rPr>
          <w:lang w:val="fr-FR"/>
        </w:rPr>
        <w:t xml:space="preserve"> </w:t>
      </w:r>
      <w:r>
        <w:rPr>
          <w:lang w:val="fr-FR"/>
        </w:rPr>
        <w:t xml:space="preserve">doit </w:t>
      </w:r>
      <w:r w:rsidR="00622E69">
        <w:rPr>
          <w:lang w:val="fr-FR"/>
        </w:rPr>
        <w:t>également</w:t>
      </w:r>
      <w:r w:rsidR="00AF5CD5">
        <w:rPr>
          <w:lang w:val="fr-FR"/>
        </w:rPr>
        <w:t xml:space="preserve"> </w:t>
      </w:r>
      <w:r>
        <w:rPr>
          <w:lang w:val="fr-FR"/>
        </w:rPr>
        <w:t>fournir les documents de travail des organes statutaires en anglais et en français</w:t>
      </w:r>
      <w:r w:rsidR="00C6688A" w:rsidRPr="00C6688A">
        <w:rPr>
          <w:lang w:val="fr-FR"/>
        </w:rPr>
        <w:t xml:space="preserve"> </w:t>
      </w:r>
      <w:r w:rsidR="00C6688A">
        <w:rPr>
          <w:lang w:val="fr-FR"/>
        </w:rPr>
        <w:t>pour le Comité</w:t>
      </w:r>
      <w:r w:rsidR="00A03C71" w:rsidRPr="00FE2DC0">
        <w:rPr>
          <w:lang w:val="fr-FR"/>
        </w:rPr>
        <w:t xml:space="preserve">, </w:t>
      </w:r>
      <w:r>
        <w:rPr>
          <w:lang w:val="fr-FR"/>
        </w:rPr>
        <w:t xml:space="preserve">et en </w:t>
      </w:r>
      <w:r w:rsidR="00A03C71" w:rsidRPr="00FE2DC0">
        <w:rPr>
          <w:lang w:val="fr-FR"/>
        </w:rPr>
        <w:t>six langues (</w:t>
      </w:r>
      <w:r>
        <w:rPr>
          <w:lang w:val="fr-FR"/>
        </w:rPr>
        <w:t>anglais, français, arabe, chinois, russe et espagnol</w:t>
      </w:r>
      <w:r w:rsidR="00A03C71" w:rsidRPr="00FE2DC0">
        <w:rPr>
          <w:lang w:val="fr-FR"/>
        </w:rPr>
        <w:t xml:space="preserve">) </w:t>
      </w:r>
      <w:r>
        <w:rPr>
          <w:lang w:val="fr-FR"/>
        </w:rPr>
        <w:t xml:space="preserve">pour </w:t>
      </w:r>
      <w:r w:rsidRPr="00D80477">
        <w:rPr>
          <w:lang w:val="fr-FR"/>
        </w:rPr>
        <w:t>l’Assemblée générale</w:t>
      </w:r>
      <w:r w:rsidR="00A03C71" w:rsidRPr="00FE2DC0">
        <w:rPr>
          <w:lang w:val="fr-FR"/>
        </w:rPr>
        <w:t xml:space="preserve">, </w:t>
      </w:r>
      <w:r>
        <w:rPr>
          <w:lang w:val="fr-FR"/>
        </w:rPr>
        <w:t>ainsi que l’</w:t>
      </w:r>
      <w:r w:rsidR="00A03C71" w:rsidRPr="00FE2DC0">
        <w:rPr>
          <w:lang w:val="fr-FR"/>
        </w:rPr>
        <w:t>interpr</w:t>
      </w:r>
      <w:r>
        <w:rPr>
          <w:lang w:val="fr-FR"/>
        </w:rPr>
        <w:t>é</w:t>
      </w:r>
      <w:r w:rsidR="00A03C71" w:rsidRPr="00FE2DC0">
        <w:rPr>
          <w:lang w:val="fr-FR"/>
        </w:rPr>
        <w:t xml:space="preserve">tation </w:t>
      </w:r>
      <w:r>
        <w:rPr>
          <w:lang w:val="fr-FR"/>
        </w:rPr>
        <w:t xml:space="preserve">simultanée dans ces mêmes langues pendant les </w:t>
      </w:r>
      <w:r w:rsidR="00A03C71" w:rsidRPr="00FE2DC0">
        <w:rPr>
          <w:lang w:val="fr-FR"/>
        </w:rPr>
        <w:t xml:space="preserve">sessions. </w:t>
      </w:r>
      <w:r>
        <w:rPr>
          <w:lang w:val="fr-FR"/>
        </w:rPr>
        <w:t>Un soutien e</w:t>
      </w:r>
      <w:r w:rsidR="00A03C71" w:rsidRPr="00FE2DC0">
        <w:rPr>
          <w:lang w:val="fr-FR"/>
        </w:rPr>
        <w:t>xtrabudg</w:t>
      </w:r>
      <w:r>
        <w:rPr>
          <w:lang w:val="fr-FR"/>
        </w:rPr>
        <w:t xml:space="preserve">étaire </w:t>
      </w:r>
      <w:r w:rsidR="003B2F98">
        <w:rPr>
          <w:lang w:val="fr-FR"/>
        </w:rPr>
        <w:t xml:space="preserve">doit être </w:t>
      </w:r>
      <w:r w:rsidR="00A03C71" w:rsidRPr="00FE2DC0">
        <w:rPr>
          <w:lang w:val="fr-FR"/>
        </w:rPr>
        <w:t>mobili</w:t>
      </w:r>
      <w:r>
        <w:rPr>
          <w:lang w:val="fr-FR"/>
        </w:rPr>
        <w:t xml:space="preserve">sé afin de fournir une </w:t>
      </w:r>
      <w:r w:rsidR="00A03C71" w:rsidRPr="00FE2DC0">
        <w:rPr>
          <w:lang w:val="fr-FR"/>
        </w:rPr>
        <w:t>interpr</w:t>
      </w:r>
      <w:r>
        <w:rPr>
          <w:lang w:val="fr-FR"/>
        </w:rPr>
        <w:t>é</w:t>
      </w:r>
      <w:r w:rsidR="00A03C71" w:rsidRPr="00FE2DC0">
        <w:rPr>
          <w:lang w:val="fr-FR"/>
        </w:rPr>
        <w:t xml:space="preserve">tation </w:t>
      </w:r>
      <w:r>
        <w:rPr>
          <w:lang w:val="fr-FR"/>
        </w:rPr>
        <w:t>dans des langues autre</w:t>
      </w:r>
      <w:r w:rsidR="00B66CA3">
        <w:rPr>
          <w:lang w:val="fr-FR"/>
        </w:rPr>
        <w:t>s</w:t>
      </w:r>
      <w:r>
        <w:rPr>
          <w:lang w:val="fr-FR"/>
        </w:rPr>
        <w:t xml:space="preserve"> que l’anglais et le français</w:t>
      </w:r>
      <w:r w:rsidR="003556F5">
        <w:rPr>
          <w:lang w:val="fr-FR"/>
        </w:rPr>
        <w:t xml:space="preserve"> lors des </w:t>
      </w:r>
      <w:r w:rsidR="003556F5" w:rsidRPr="00FE2DC0">
        <w:rPr>
          <w:lang w:val="fr-FR"/>
        </w:rPr>
        <w:t xml:space="preserve">sessions </w:t>
      </w:r>
      <w:r w:rsidR="003556F5">
        <w:rPr>
          <w:lang w:val="fr-FR"/>
        </w:rPr>
        <w:t>du Comité</w:t>
      </w:r>
      <w:r w:rsidR="003B2F98">
        <w:rPr>
          <w:lang w:val="fr-FR"/>
        </w:rPr>
        <w:t xml:space="preserve">. </w:t>
      </w:r>
      <w:r w:rsidR="003556F5">
        <w:rPr>
          <w:lang w:val="fr-FR"/>
        </w:rPr>
        <w:t xml:space="preserve">Au cours de la période </w:t>
      </w:r>
      <w:r w:rsidR="00C36368">
        <w:rPr>
          <w:lang w:val="fr-FR"/>
        </w:rPr>
        <w:t>considérée</w:t>
      </w:r>
      <w:r w:rsidR="003B2F98">
        <w:rPr>
          <w:lang w:val="fr-FR"/>
        </w:rPr>
        <w:t xml:space="preserve">, contrairement </w:t>
      </w:r>
      <w:r w:rsidR="00C6688A">
        <w:rPr>
          <w:lang w:val="fr-FR"/>
        </w:rPr>
        <w:t>aux années précédentes</w:t>
      </w:r>
      <w:r w:rsidR="00A03C71" w:rsidRPr="00FE2DC0">
        <w:rPr>
          <w:lang w:val="fr-FR"/>
        </w:rPr>
        <w:t xml:space="preserve">, </w:t>
      </w:r>
      <w:r w:rsidR="003B2F98">
        <w:rPr>
          <w:lang w:val="fr-FR"/>
        </w:rPr>
        <w:t xml:space="preserve">un tel soutien n’a été obtenu que pour l’interprétation en </w:t>
      </w:r>
      <w:r>
        <w:rPr>
          <w:lang w:val="fr-FR"/>
        </w:rPr>
        <w:t xml:space="preserve">arabe lors de la neuvième </w:t>
      </w:r>
      <w:r w:rsidR="00A03C71" w:rsidRPr="00FE2DC0">
        <w:rPr>
          <w:lang w:val="fr-FR"/>
        </w:rPr>
        <w:t xml:space="preserve">session </w:t>
      </w:r>
      <w:r>
        <w:rPr>
          <w:lang w:val="fr-FR"/>
        </w:rPr>
        <w:t xml:space="preserve">du Comité intergouvernemental </w:t>
      </w:r>
      <w:r w:rsidR="00C6688A">
        <w:rPr>
          <w:lang w:val="fr-FR"/>
        </w:rPr>
        <w:t>de</w:t>
      </w:r>
      <w:r>
        <w:rPr>
          <w:lang w:val="fr-FR"/>
        </w:rPr>
        <w:t xml:space="preserve"> </w:t>
      </w:r>
      <w:r w:rsidR="00C6688A">
        <w:rPr>
          <w:lang w:val="fr-FR"/>
        </w:rPr>
        <w:t xml:space="preserve">sauvegarde </w:t>
      </w:r>
      <w:r>
        <w:rPr>
          <w:lang w:val="fr-FR"/>
        </w:rPr>
        <w:t xml:space="preserve">du </w:t>
      </w:r>
      <w:r w:rsidR="00C6688A">
        <w:rPr>
          <w:lang w:val="fr-FR"/>
        </w:rPr>
        <w:t xml:space="preserve">patrimoine </w:t>
      </w:r>
      <w:r>
        <w:rPr>
          <w:lang w:val="fr-FR"/>
        </w:rPr>
        <w:t>culturel immatériel</w:t>
      </w:r>
      <w:r w:rsidR="00A03C71" w:rsidRPr="00FE2DC0">
        <w:rPr>
          <w:lang w:val="fr-FR"/>
        </w:rPr>
        <w:t>.</w:t>
      </w:r>
    </w:p>
    <w:p w14:paraId="5B854DB5" w14:textId="3EB964B1" w:rsidR="00A03C71" w:rsidRPr="00FE2DC0" w:rsidRDefault="00AE317A" w:rsidP="00A03C71">
      <w:pPr>
        <w:pStyle w:val="COMPara"/>
        <w:numPr>
          <w:ilvl w:val="0"/>
          <w:numId w:val="9"/>
        </w:numPr>
        <w:ind w:left="567" w:hanging="567"/>
        <w:jc w:val="both"/>
        <w:rPr>
          <w:lang w:val="fr-FR"/>
        </w:rPr>
      </w:pPr>
      <w:r w:rsidRPr="00AE317A">
        <w:rPr>
          <w:lang w:val="fr-FR"/>
        </w:rPr>
        <w:t>Une partie importante du travail du Secrétariat dans le cadre de la préparation de la documentation des organes statutaires est liée au traitement des candidatures pour la Liste du patrimoine culturel immatériel nécessitant une sauvegarde urgente et pour la Liste représentative du patrimoine culturel immatériel de l’humanité, aux propositions au Registre des meilleures pratiques de sauvegarde, aux demandes d’assistance internationale et aux rapports périodiques des États parties</w:t>
      </w:r>
      <w:r w:rsidR="00A03C71" w:rsidRPr="00AE317A">
        <w:rPr>
          <w:lang w:val="fr-FR"/>
        </w:rPr>
        <w:t>.</w:t>
      </w:r>
      <w:r>
        <w:rPr>
          <w:lang w:val="fr-FR"/>
        </w:rPr>
        <w:t xml:space="preserve"> Le </w:t>
      </w:r>
      <w:r w:rsidRPr="00FE2DC0">
        <w:rPr>
          <w:lang w:val="fr-FR"/>
        </w:rPr>
        <w:t>Secrétariat</w:t>
      </w:r>
      <w:r w:rsidR="00A03C71" w:rsidRPr="00FE2DC0">
        <w:rPr>
          <w:lang w:val="fr-FR"/>
        </w:rPr>
        <w:t xml:space="preserve"> </w:t>
      </w:r>
      <w:r>
        <w:rPr>
          <w:lang w:val="fr-FR"/>
        </w:rPr>
        <w:t xml:space="preserve">n’a pas été en mesure de respecter les dates </w:t>
      </w:r>
      <w:r w:rsidR="00B66CA3">
        <w:rPr>
          <w:lang w:val="fr-FR"/>
        </w:rPr>
        <w:t>limites</w:t>
      </w:r>
      <w:r>
        <w:rPr>
          <w:lang w:val="fr-FR"/>
        </w:rPr>
        <w:t xml:space="preserve"> définies dans les </w:t>
      </w:r>
      <w:r w:rsidR="00A03C71" w:rsidRPr="00FE2DC0">
        <w:rPr>
          <w:lang w:val="fr-FR"/>
        </w:rPr>
        <w:t xml:space="preserve">Directives </w:t>
      </w:r>
      <w:r>
        <w:rPr>
          <w:lang w:val="fr-FR"/>
        </w:rPr>
        <w:t>opérationnelles pour le traitement des dossiers jusqu’au cycle </w:t>
      </w:r>
      <w:r w:rsidR="00A03C71" w:rsidRPr="00FE2DC0">
        <w:rPr>
          <w:lang w:val="fr-FR"/>
        </w:rPr>
        <w:t xml:space="preserve">2015. </w:t>
      </w:r>
      <w:r>
        <w:rPr>
          <w:lang w:val="fr-FR"/>
        </w:rPr>
        <w:t xml:space="preserve">Néanmoins, le </w:t>
      </w:r>
      <w:r w:rsidR="00A03C71" w:rsidRPr="00FE2DC0">
        <w:rPr>
          <w:lang w:val="fr-FR"/>
        </w:rPr>
        <w:t>tr</w:t>
      </w:r>
      <w:r>
        <w:rPr>
          <w:lang w:val="fr-FR"/>
        </w:rPr>
        <w:t>aitement des candidatures pour le cycle</w:t>
      </w:r>
      <w:r w:rsidR="000C316C">
        <w:rPr>
          <w:lang w:val="fr-FR"/>
        </w:rPr>
        <w:t xml:space="preserve"> </w:t>
      </w:r>
      <w:r w:rsidR="00A03C71" w:rsidRPr="00FE2DC0">
        <w:rPr>
          <w:lang w:val="fr-FR"/>
        </w:rPr>
        <w:t>2016</w:t>
      </w:r>
      <w:r>
        <w:rPr>
          <w:lang w:val="fr-FR"/>
        </w:rPr>
        <w:t xml:space="preserve"> est actuellement </w:t>
      </w:r>
      <w:r w:rsidR="00490A8E">
        <w:rPr>
          <w:lang w:val="fr-FR"/>
        </w:rPr>
        <w:t>conforme</w:t>
      </w:r>
      <w:r w:rsidR="000C316C">
        <w:rPr>
          <w:lang w:val="fr-FR"/>
        </w:rPr>
        <w:t xml:space="preserve"> aux délais prévus</w:t>
      </w:r>
      <w:r>
        <w:rPr>
          <w:lang w:val="fr-FR"/>
        </w:rPr>
        <w:t xml:space="preserve">, le </w:t>
      </w:r>
      <w:r w:rsidRPr="00FE2DC0">
        <w:rPr>
          <w:lang w:val="fr-FR"/>
        </w:rPr>
        <w:t>Secrétariat</w:t>
      </w:r>
      <w:r w:rsidR="00A03C71" w:rsidRPr="00FE2DC0">
        <w:rPr>
          <w:lang w:val="fr-FR"/>
        </w:rPr>
        <w:t xml:space="preserve"> </w:t>
      </w:r>
      <w:r w:rsidR="00B85607">
        <w:rPr>
          <w:lang w:val="fr-FR"/>
        </w:rPr>
        <w:t xml:space="preserve">ayant réussi pour la première fois à envoyer avant la date limite du </w:t>
      </w:r>
      <w:r w:rsidR="00A03C71" w:rsidRPr="00FE2DC0">
        <w:rPr>
          <w:lang w:val="fr-FR"/>
        </w:rPr>
        <w:t>30</w:t>
      </w:r>
      <w:r w:rsidR="00B85607">
        <w:rPr>
          <w:lang w:val="fr-FR"/>
        </w:rPr>
        <w:t xml:space="preserve"> juin les lettres aux États soumissionnaires sur les </w:t>
      </w:r>
      <w:r w:rsidR="00A03C71" w:rsidRPr="00FE2DC0">
        <w:rPr>
          <w:lang w:val="fr-FR"/>
        </w:rPr>
        <w:t>information</w:t>
      </w:r>
      <w:r w:rsidR="00B85607">
        <w:rPr>
          <w:lang w:val="fr-FR"/>
        </w:rPr>
        <w:t>s</w:t>
      </w:r>
      <w:r w:rsidR="00A03C71" w:rsidRPr="00FE2DC0">
        <w:rPr>
          <w:lang w:val="fr-FR"/>
        </w:rPr>
        <w:t xml:space="preserve"> </w:t>
      </w:r>
      <w:r w:rsidR="00B85607">
        <w:rPr>
          <w:lang w:val="fr-FR"/>
        </w:rPr>
        <w:t>nécessaires à la finalisation de leur dossier</w:t>
      </w:r>
      <w:r w:rsidR="00A03C71" w:rsidRPr="00FE2DC0">
        <w:rPr>
          <w:lang w:val="fr-FR"/>
        </w:rPr>
        <w:t>.</w:t>
      </w:r>
      <w:r w:rsidR="00370D9F">
        <w:rPr>
          <w:lang w:val="fr-FR"/>
        </w:rPr>
        <w:t xml:space="preserve"> Le traitement des candidatures pour le cycle de 2017 est en cours au moment de la rédaction de ce rapport. </w:t>
      </w:r>
    </w:p>
    <w:p w14:paraId="2402ECC0" w14:textId="2044A418" w:rsidR="00A03C71" w:rsidRPr="00846DED" w:rsidRDefault="00846DED" w:rsidP="00A03C71">
      <w:pPr>
        <w:pStyle w:val="COMPara"/>
        <w:numPr>
          <w:ilvl w:val="0"/>
          <w:numId w:val="9"/>
        </w:numPr>
        <w:ind w:left="567" w:hanging="567"/>
        <w:jc w:val="both"/>
        <w:rPr>
          <w:lang w:val="fr-FR"/>
        </w:rPr>
      </w:pPr>
      <w:r w:rsidRPr="00846DED">
        <w:rPr>
          <w:lang w:val="fr-FR"/>
        </w:rPr>
        <w:t xml:space="preserve">Les réunions d’experts de catégorie VI sont organisées à la demande du Comité pour formuler des recommandations concernant </w:t>
      </w:r>
      <w:r w:rsidR="002248C6">
        <w:rPr>
          <w:lang w:val="fr-FR"/>
        </w:rPr>
        <w:t>des</w:t>
      </w:r>
      <w:r w:rsidRPr="00846DED">
        <w:rPr>
          <w:lang w:val="fr-FR"/>
        </w:rPr>
        <w:t xml:space="preserve"> questions et thèmes spécifiques</w:t>
      </w:r>
      <w:r>
        <w:rPr>
          <w:lang w:val="fr-FR"/>
        </w:rPr>
        <w:t>, recommandations qui peuvent aussi fournir des orientations et soutenir les États parties en matière de mesures et plans de sauvegarde</w:t>
      </w:r>
      <w:r w:rsidRPr="00846DED">
        <w:rPr>
          <w:lang w:val="fr-FR"/>
        </w:rPr>
        <w:t>. À la demande du Comité, l’UNESCO a organisé une réunion d’experts sur la sauvegarde du patrimoine culturel immatériel et le développement durable au niveau national à Istanbul</w:t>
      </w:r>
      <w:r w:rsidR="00201100">
        <w:rPr>
          <w:lang w:val="fr-FR"/>
        </w:rPr>
        <w:t xml:space="preserve"> (</w:t>
      </w:r>
      <w:r w:rsidRPr="00846DED">
        <w:rPr>
          <w:lang w:val="fr-FR"/>
        </w:rPr>
        <w:t>Turquie</w:t>
      </w:r>
      <w:r w:rsidR="00201100">
        <w:rPr>
          <w:lang w:val="fr-FR"/>
        </w:rPr>
        <w:t xml:space="preserve">) </w:t>
      </w:r>
      <w:r w:rsidRPr="00846DED">
        <w:rPr>
          <w:lang w:val="fr-FR"/>
        </w:rPr>
        <w:t>du 29</w:t>
      </w:r>
      <w:r>
        <w:rPr>
          <w:lang w:val="fr-FR"/>
        </w:rPr>
        <w:t> </w:t>
      </w:r>
      <w:r w:rsidRPr="00846DED">
        <w:rPr>
          <w:lang w:val="fr-FR"/>
        </w:rPr>
        <w:t>septembre au 1</w:t>
      </w:r>
      <w:r w:rsidRPr="00EE55A0">
        <w:rPr>
          <w:vertAlign w:val="superscript"/>
          <w:lang w:val="fr-FR"/>
        </w:rPr>
        <w:t>er</w:t>
      </w:r>
      <w:r>
        <w:rPr>
          <w:lang w:val="fr-FR"/>
        </w:rPr>
        <w:t> </w:t>
      </w:r>
      <w:r w:rsidRPr="00846DED">
        <w:rPr>
          <w:lang w:val="fr-FR"/>
        </w:rPr>
        <w:t>octobre 2014, généreusement financée et accueillie par la Commission nationale de la Turquie pour l’UNESCO</w:t>
      </w:r>
      <w:r w:rsidR="000C316C">
        <w:rPr>
          <w:lang w:val="fr-FR"/>
        </w:rPr>
        <w:t xml:space="preserve"> </w:t>
      </w:r>
      <w:r w:rsidR="004C2FF2" w:rsidRPr="00EE55A0">
        <w:rPr>
          <w:lang w:val="fr-FR"/>
        </w:rPr>
        <w:t>(</w:t>
      </w:r>
      <w:hyperlink r:id="rId17" w:history="1">
        <w:r w:rsidR="004C2FF2" w:rsidRPr="00EE55A0">
          <w:rPr>
            <w:rStyle w:val="Hyperlink"/>
            <w:lang w:val="fr-FR"/>
          </w:rPr>
          <w:t>http://www.unesco.org/culture/ich/index.php?meeting_id=00454</w:t>
        </w:r>
      </w:hyperlink>
      <w:r w:rsidR="004C2FF2" w:rsidRPr="00EE55A0">
        <w:rPr>
          <w:lang w:val="fr-FR"/>
        </w:rPr>
        <w:t>)</w:t>
      </w:r>
      <w:r w:rsidRPr="00846DED">
        <w:rPr>
          <w:lang w:val="fr-FR"/>
        </w:rPr>
        <w:t>. La réunion a permis d</w:t>
      </w:r>
      <w:r w:rsidR="000C316C">
        <w:rPr>
          <w:lang w:val="fr-FR"/>
        </w:rPr>
        <w:t>’</w:t>
      </w:r>
      <w:r w:rsidRPr="00846DED">
        <w:rPr>
          <w:lang w:val="fr-FR"/>
        </w:rPr>
        <w:t>élaborer des recommandations préliminaires pour un possible nouveau chapitre des Directives opérationnelles</w:t>
      </w:r>
      <w:r w:rsidR="004C2FF2">
        <w:rPr>
          <w:lang w:val="fr-FR"/>
        </w:rPr>
        <w:t>, qui ont été discutées par le Comité lors de sa neuvième session</w:t>
      </w:r>
      <w:r>
        <w:rPr>
          <w:lang w:val="fr-FR"/>
        </w:rPr>
        <w:t xml:space="preserve"> </w:t>
      </w:r>
      <w:r w:rsidR="00A03C71" w:rsidRPr="00846DED">
        <w:rPr>
          <w:lang w:val="fr-FR"/>
        </w:rPr>
        <w:t>(</w:t>
      </w:r>
      <w:hyperlink r:id="rId18" w:history="1">
        <w:r>
          <w:rPr>
            <w:rStyle w:val="Hyperlink"/>
            <w:lang w:val="fr-FR"/>
          </w:rPr>
          <w:t>d</w:t>
        </w:r>
        <w:r w:rsidR="00A03C71" w:rsidRPr="00846DED">
          <w:rPr>
            <w:rStyle w:val="Hyperlink"/>
            <w:lang w:val="fr-FR"/>
          </w:rPr>
          <w:t>ocument</w:t>
        </w:r>
        <w:r w:rsidR="009C0BDE">
          <w:rPr>
            <w:rStyle w:val="Hyperlink"/>
            <w:lang w:val="fr-FR"/>
          </w:rPr>
          <w:t> </w:t>
        </w:r>
        <w:r w:rsidR="00A03C71" w:rsidRPr="00846DED">
          <w:rPr>
            <w:rStyle w:val="Hyperlink"/>
            <w:lang w:val="fr-FR"/>
          </w:rPr>
          <w:t>ITH/14/9.COM/14.b</w:t>
        </w:r>
      </w:hyperlink>
      <w:r w:rsidR="00A03C71" w:rsidRPr="00846DED">
        <w:rPr>
          <w:lang w:val="fr-FR"/>
        </w:rPr>
        <w:t xml:space="preserve">), </w:t>
      </w:r>
      <w:r w:rsidR="00C44EFC">
        <w:rPr>
          <w:lang w:val="fr-FR"/>
        </w:rPr>
        <w:t xml:space="preserve">la dixième session du </w:t>
      </w:r>
      <w:r>
        <w:rPr>
          <w:lang w:val="fr-FR"/>
        </w:rPr>
        <w:t xml:space="preserve">Comité </w:t>
      </w:r>
      <w:r w:rsidR="00C44EFC">
        <w:rPr>
          <w:lang w:val="fr-FR"/>
        </w:rPr>
        <w:t xml:space="preserve">les a approuvées pour soumission à la présente </w:t>
      </w:r>
      <w:r w:rsidR="00F815A5">
        <w:rPr>
          <w:lang w:val="fr-FR"/>
        </w:rPr>
        <w:t xml:space="preserve">session </w:t>
      </w:r>
      <w:r w:rsidR="00C44EFC">
        <w:rPr>
          <w:lang w:val="fr-FR"/>
        </w:rPr>
        <w:t xml:space="preserve">de l’Assemblée générale </w:t>
      </w:r>
      <w:r w:rsidR="00C44EFC" w:rsidRPr="00C44EFC">
        <w:rPr>
          <w:lang w:val="fr-FR"/>
        </w:rPr>
        <w:t>(</w:t>
      </w:r>
      <w:hyperlink r:id="rId19" w:history="1">
        <w:r w:rsidR="00C44EFC" w:rsidRPr="00CA1B8E">
          <w:rPr>
            <w:rStyle w:val="Hyperlink"/>
            <w:lang w:val="fr-FR"/>
          </w:rPr>
          <w:t>décision 10.COM 14.a</w:t>
        </w:r>
      </w:hyperlink>
      <w:r w:rsidR="00C44EFC" w:rsidRPr="00CA1B8E">
        <w:rPr>
          <w:lang w:val="fr-FR"/>
        </w:rPr>
        <w:t>).</w:t>
      </w:r>
      <w:r w:rsidR="00A03C71" w:rsidRPr="00541CBF">
        <w:rPr>
          <w:lang w:val="fr-FR"/>
        </w:rPr>
        <w:t xml:space="preserve"> </w:t>
      </w:r>
      <w:r w:rsidR="004E35A2" w:rsidRPr="002222A7">
        <w:rPr>
          <w:lang w:val="fr-FR"/>
        </w:rPr>
        <w:t>Par</w:t>
      </w:r>
      <w:r w:rsidR="004E35A2">
        <w:rPr>
          <w:lang w:val="fr-FR"/>
        </w:rPr>
        <w:t xml:space="preserve"> ailleurs</w:t>
      </w:r>
      <w:r w:rsidR="00A03C71" w:rsidRPr="00846DED">
        <w:rPr>
          <w:lang w:val="fr-FR"/>
        </w:rPr>
        <w:t>, r</w:t>
      </w:r>
      <w:r w:rsidR="004E35A2">
        <w:rPr>
          <w:lang w:val="fr-FR"/>
        </w:rPr>
        <w:t xml:space="preserve">épondant à la demande du Comité dans la </w:t>
      </w:r>
      <w:hyperlink r:id="rId20" w:history="1">
        <w:r w:rsidR="00643F91" w:rsidRPr="00CA1B8E">
          <w:rPr>
            <w:rStyle w:val="Hyperlink"/>
            <w:lang w:val="fr-FR"/>
          </w:rPr>
          <w:t>décision 7.COM 6</w:t>
        </w:r>
      </w:hyperlink>
      <w:r w:rsidR="00A03C71" w:rsidRPr="00846DED">
        <w:rPr>
          <w:lang w:val="fr-FR"/>
        </w:rPr>
        <w:t xml:space="preserve"> </w:t>
      </w:r>
      <w:r w:rsidR="004E35A2">
        <w:rPr>
          <w:lang w:val="fr-FR"/>
        </w:rPr>
        <w:t xml:space="preserve">et à l’invitation </w:t>
      </w:r>
      <w:r w:rsidR="00A03C71" w:rsidRPr="00846DED">
        <w:rPr>
          <w:lang w:val="fr-FR"/>
        </w:rPr>
        <w:t>g</w:t>
      </w:r>
      <w:r w:rsidR="004E35A2">
        <w:rPr>
          <w:lang w:val="fr-FR"/>
        </w:rPr>
        <w:t>é</w:t>
      </w:r>
      <w:r w:rsidR="00A03C71" w:rsidRPr="00846DED">
        <w:rPr>
          <w:lang w:val="fr-FR"/>
        </w:rPr>
        <w:t>n</w:t>
      </w:r>
      <w:r w:rsidR="004E35A2">
        <w:rPr>
          <w:lang w:val="fr-FR"/>
        </w:rPr>
        <w:t>é</w:t>
      </w:r>
      <w:r w:rsidR="00A03C71" w:rsidRPr="00846DED">
        <w:rPr>
          <w:lang w:val="fr-FR"/>
        </w:rPr>
        <w:t>r</w:t>
      </w:r>
      <w:r w:rsidR="004E35A2">
        <w:rPr>
          <w:lang w:val="fr-FR"/>
        </w:rPr>
        <w:t>euse de l’Espagne</w:t>
      </w:r>
      <w:r w:rsidR="00A03C71" w:rsidRPr="00846DED">
        <w:rPr>
          <w:lang w:val="fr-FR"/>
        </w:rPr>
        <w:t xml:space="preserve">, </w:t>
      </w:r>
      <w:r w:rsidR="004E35A2">
        <w:rPr>
          <w:lang w:val="fr-FR"/>
        </w:rPr>
        <w:t xml:space="preserve">le </w:t>
      </w:r>
      <w:r w:rsidR="004E35A2" w:rsidRPr="00846DED">
        <w:rPr>
          <w:lang w:val="fr-FR"/>
        </w:rPr>
        <w:t>Secrétariat</w:t>
      </w:r>
      <w:r w:rsidR="00A03C71" w:rsidRPr="00846DED">
        <w:rPr>
          <w:lang w:val="fr-FR"/>
        </w:rPr>
        <w:t xml:space="preserve"> </w:t>
      </w:r>
      <w:r w:rsidR="004E35A2">
        <w:rPr>
          <w:lang w:val="fr-FR"/>
        </w:rPr>
        <w:t xml:space="preserve">a </w:t>
      </w:r>
      <w:r w:rsidR="00A03C71" w:rsidRPr="00846DED">
        <w:rPr>
          <w:lang w:val="fr-FR"/>
        </w:rPr>
        <w:t>organi</w:t>
      </w:r>
      <w:r w:rsidR="004E35A2">
        <w:rPr>
          <w:lang w:val="fr-FR"/>
        </w:rPr>
        <w:t>sé une réunion d’</w:t>
      </w:r>
      <w:r w:rsidR="00A03C71" w:rsidRPr="00846DED">
        <w:rPr>
          <w:lang w:val="fr-FR"/>
        </w:rPr>
        <w:t>expert</w:t>
      </w:r>
      <w:r w:rsidR="004E35A2">
        <w:rPr>
          <w:lang w:val="fr-FR"/>
        </w:rPr>
        <w:t xml:space="preserve">s à </w:t>
      </w:r>
      <w:r w:rsidR="00A03C71" w:rsidRPr="00846DED">
        <w:rPr>
          <w:lang w:val="fr-FR"/>
        </w:rPr>
        <w:t>Valenc</w:t>
      </w:r>
      <w:r w:rsidR="004E35A2">
        <w:rPr>
          <w:lang w:val="fr-FR"/>
        </w:rPr>
        <w:t>e</w:t>
      </w:r>
      <w:r w:rsidR="00201100">
        <w:rPr>
          <w:lang w:val="fr-FR"/>
        </w:rPr>
        <w:t xml:space="preserve"> (Espagne), </w:t>
      </w:r>
      <w:r w:rsidR="004E35A2">
        <w:rPr>
          <w:lang w:val="fr-FR"/>
        </w:rPr>
        <w:t xml:space="preserve">du </w:t>
      </w:r>
      <w:r w:rsidR="00A03C71" w:rsidRPr="00846DED">
        <w:rPr>
          <w:lang w:val="fr-FR"/>
        </w:rPr>
        <w:t>30</w:t>
      </w:r>
      <w:r w:rsidR="004E35A2">
        <w:rPr>
          <w:lang w:val="fr-FR"/>
        </w:rPr>
        <w:t xml:space="preserve"> mars au </w:t>
      </w:r>
      <w:r w:rsidR="00A03C71" w:rsidRPr="00846DED">
        <w:rPr>
          <w:lang w:val="fr-FR"/>
        </w:rPr>
        <w:t>2</w:t>
      </w:r>
      <w:r w:rsidR="004E35A2">
        <w:rPr>
          <w:lang w:val="fr-FR"/>
        </w:rPr>
        <w:t xml:space="preserve"> avril </w:t>
      </w:r>
      <w:r w:rsidR="00A03C71" w:rsidRPr="00846DED">
        <w:rPr>
          <w:lang w:val="fr-FR"/>
        </w:rPr>
        <w:t>2015</w:t>
      </w:r>
      <w:r w:rsidR="004E35A2">
        <w:rPr>
          <w:lang w:val="fr-FR"/>
        </w:rPr>
        <w:t xml:space="preserve">, pour lancer les travaux sur un modèle de code d’éthique </w:t>
      </w:r>
      <w:r w:rsidR="00F35769">
        <w:rPr>
          <w:lang w:val="fr-FR"/>
        </w:rPr>
        <w:t>afin</w:t>
      </w:r>
      <w:r w:rsidR="00101752">
        <w:rPr>
          <w:lang w:val="fr-FR"/>
        </w:rPr>
        <w:t xml:space="preserve"> d’améliorer la </w:t>
      </w:r>
      <w:r w:rsidR="00A03C71" w:rsidRPr="00846DED">
        <w:rPr>
          <w:lang w:val="fr-FR"/>
        </w:rPr>
        <w:t>qualit</w:t>
      </w:r>
      <w:r w:rsidR="00101752">
        <w:rPr>
          <w:lang w:val="fr-FR"/>
        </w:rPr>
        <w:t xml:space="preserve">é des </w:t>
      </w:r>
      <w:r w:rsidR="00A03C71" w:rsidRPr="00846DED">
        <w:rPr>
          <w:lang w:val="fr-FR"/>
        </w:rPr>
        <w:t xml:space="preserve">efforts </w:t>
      </w:r>
      <w:r w:rsidR="00101752">
        <w:rPr>
          <w:lang w:val="fr-FR"/>
        </w:rPr>
        <w:t xml:space="preserve">de </w:t>
      </w:r>
      <w:r w:rsidR="000C316C">
        <w:rPr>
          <w:lang w:val="fr-FR"/>
        </w:rPr>
        <w:t>sauvegarde</w:t>
      </w:r>
      <w:r w:rsidR="002222A7">
        <w:rPr>
          <w:lang w:val="fr-FR"/>
        </w:rPr>
        <w:t xml:space="preserve"> </w:t>
      </w:r>
      <w:r w:rsidR="00F35769">
        <w:rPr>
          <w:lang w:val="fr-FR"/>
        </w:rPr>
        <w:t>au</w:t>
      </w:r>
      <w:r w:rsidR="002222A7">
        <w:rPr>
          <w:lang w:val="fr-FR"/>
        </w:rPr>
        <w:t xml:space="preserve"> </w:t>
      </w:r>
      <w:r w:rsidR="00F35769">
        <w:rPr>
          <w:lang w:val="fr-FR"/>
        </w:rPr>
        <w:t>niveau</w:t>
      </w:r>
      <w:r w:rsidR="002222A7">
        <w:rPr>
          <w:lang w:val="fr-FR"/>
        </w:rPr>
        <w:t xml:space="preserve"> </w:t>
      </w:r>
      <w:r w:rsidR="00F35769">
        <w:rPr>
          <w:lang w:val="fr-FR"/>
        </w:rPr>
        <w:t>mondial</w:t>
      </w:r>
      <w:r w:rsidR="002222A7">
        <w:rPr>
          <w:lang w:val="fr-FR"/>
        </w:rPr>
        <w:t xml:space="preserve"> </w:t>
      </w:r>
      <w:r w:rsidR="004C2FF2" w:rsidRPr="00EE55A0">
        <w:rPr>
          <w:lang w:val="fr-FR"/>
        </w:rPr>
        <w:t>(</w:t>
      </w:r>
      <w:hyperlink r:id="rId21" w:history="1">
        <w:r w:rsidR="004C2FF2" w:rsidRPr="00EE55A0">
          <w:rPr>
            <w:rStyle w:val="Hyperlink"/>
            <w:lang w:val="fr-FR"/>
          </w:rPr>
          <w:t>http://www.unesco.org/culture/ich/index.php?meeting_id=00463</w:t>
        </w:r>
      </w:hyperlink>
      <w:r w:rsidR="004C2FF2" w:rsidRPr="00EE55A0">
        <w:rPr>
          <w:lang w:val="fr-FR"/>
        </w:rPr>
        <w:t>)</w:t>
      </w:r>
      <w:r w:rsidR="00A03C71" w:rsidRPr="00846DED">
        <w:rPr>
          <w:lang w:val="fr-FR"/>
        </w:rPr>
        <w:t xml:space="preserve">. </w:t>
      </w:r>
      <w:r w:rsidR="00101752">
        <w:rPr>
          <w:lang w:val="fr-FR"/>
        </w:rPr>
        <w:t>S’appuyant sur les conclusions de la réunion d’</w:t>
      </w:r>
      <w:r w:rsidR="00A03C71" w:rsidRPr="00846DED">
        <w:rPr>
          <w:lang w:val="fr-FR"/>
        </w:rPr>
        <w:t>expert</w:t>
      </w:r>
      <w:r w:rsidR="00101752">
        <w:rPr>
          <w:lang w:val="fr-FR"/>
        </w:rPr>
        <w:t xml:space="preserve">s, un ensemble de </w:t>
      </w:r>
      <w:r w:rsidR="008C55C3">
        <w:rPr>
          <w:lang w:val="fr-FR"/>
        </w:rPr>
        <w:t>douze</w:t>
      </w:r>
      <w:r w:rsidR="00101752">
        <w:rPr>
          <w:lang w:val="fr-FR"/>
        </w:rPr>
        <w:t> princip</w:t>
      </w:r>
      <w:r w:rsidR="00A03C71" w:rsidRPr="00846DED">
        <w:rPr>
          <w:lang w:val="fr-FR"/>
        </w:rPr>
        <w:t xml:space="preserve">es </w:t>
      </w:r>
      <w:r w:rsidR="00101752">
        <w:rPr>
          <w:lang w:val="fr-FR"/>
        </w:rPr>
        <w:t xml:space="preserve">a été </w:t>
      </w:r>
      <w:r w:rsidR="00101752" w:rsidRPr="00846DED">
        <w:rPr>
          <w:lang w:val="fr-FR"/>
        </w:rPr>
        <w:t>élabor</w:t>
      </w:r>
      <w:r w:rsidR="00101752">
        <w:rPr>
          <w:lang w:val="fr-FR"/>
        </w:rPr>
        <w:t xml:space="preserve">é pour </w:t>
      </w:r>
      <w:r w:rsidR="00A03C71" w:rsidRPr="00846DED">
        <w:rPr>
          <w:lang w:val="fr-FR"/>
        </w:rPr>
        <w:t>guide</w:t>
      </w:r>
      <w:r w:rsidR="00101752">
        <w:rPr>
          <w:lang w:val="fr-FR"/>
        </w:rPr>
        <w:t>r</w:t>
      </w:r>
      <w:r w:rsidR="00A03C71" w:rsidRPr="00846DED">
        <w:rPr>
          <w:lang w:val="fr-FR"/>
        </w:rPr>
        <w:t xml:space="preserve"> </w:t>
      </w:r>
      <w:r w:rsidR="00F35769">
        <w:rPr>
          <w:lang w:val="fr-FR"/>
        </w:rPr>
        <w:t>l</w:t>
      </w:r>
      <w:r w:rsidR="00101752">
        <w:rPr>
          <w:lang w:val="fr-FR"/>
        </w:rPr>
        <w:t xml:space="preserve">es États parties dans </w:t>
      </w:r>
      <w:r w:rsidR="00F35769">
        <w:rPr>
          <w:lang w:val="fr-FR"/>
        </w:rPr>
        <w:t>leurs efforts d’</w:t>
      </w:r>
      <w:r w:rsidR="00F35769" w:rsidRPr="00846DED">
        <w:rPr>
          <w:lang w:val="fr-FR"/>
        </w:rPr>
        <w:t>int</w:t>
      </w:r>
      <w:r w:rsidR="00F35769">
        <w:rPr>
          <w:lang w:val="fr-FR"/>
        </w:rPr>
        <w:t>é</w:t>
      </w:r>
      <w:r w:rsidR="00F35769" w:rsidRPr="00846DED">
        <w:rPr>
          <w:lang w:val="fr-FR"/>
        </w:rPr>
        <w:t>grat</w:t>
      </w:r>
      <w:r w:rsidR="00F35769">
        <w:rPr>
          <w:lang w:val="fr-FR"/>
        </w:rPr>
        <w:t xml:space="preserve">ion </w:t>
      </w:r>
      <w:r w:rsidR="00101752">
        <w:rPr>
          <w:lang w:val="fr-FR"/>
        </w:rPr>
        <w:t xml:space="preserve">de </w:t>
      </w:r>
      <w:r w:rsidR="00101752" w:rsidRPr="00846DED">
        <w:rPr>
          <w:lang w:val="fr-FR"/>
        </w:rPr>
        <w:t>considérations</w:t>
      </w:r>
      <w:r w:rsidR="00A03C71" w:rsidRPr="00846DED">
        <w:rPr>
          <w:lang w:val="fr-FR"/>
        </w:rPr>
        <w:t xml:space="preserve"> </w:t>
      </w:r>
      <w:r w:rsidR="00101752">
        <w:rPr>
          <w:lang w:val="fr-FR"/>
        </w:rPr>
        <w:t>é</w:t>
      </w:r>
      <w:r w:rsidR="00101752" w:rsidRPr="00846DED">
        <w:rPr>
          <w:lang w:val="fr-FR"/>
        </w:rPr>
        <w:t>thi</w:t>
      </w:r>
      <w:r w:rsidR="00101752">
        <w:rPr>
          <w:lang w:val="fr-FR"/>
        </w:rPr>
        <w:t>ques à la sauvegarde du</w:t>
      </w:r>
      <w:r w:rsidR="008C55C3">
        <w:rPr>
          <w:lang w:val="fr-FR"/>
        </w:rPr>
        <w:t xml:space="preserve"> patrimoine culturel immatériel</w:t>
      </w:r>
      <w:r w:rsidR="00A03C71" w:rsidRPr="00846DED">
        <w:rPr>
          <w:lang w:val="fr-FR"/>
        </w:rPr>
        <w:t xml:space="preserve">. </w:t>
      </w:r>
      <w:r w:rsidR="008C55C3">
        <w:rPr>
          <w:lang w:val="fr-FR"/>
        </w:rPr>
        <w:t xml:space="preserve">Ces douze principes éthiques ont été approuvés par le Comité à sa dixième session et le Secrétariat a été prié </w:t>
      </w:r>
      <w:r w:rsidR="008C55C3" w:rsidRPr="008C55C3">
        <w:rPr>
          <w:lang w:val="fr-FR"/>
        </w:rPr>
        <w:t>d’élaborer une plateforme en ligne avec un ensemble d’outils basés sur les principes éthiques</w:t>
      </w:r>
      <w:r w:rsidR="008C55C3">
        <w:rPr>
          <w:lang w:val="fr-FR"/>
        </w:rPr>
        <w:t xml:space="preserve">, </w:t>
      </w:r>
      <w:r w:rsidR="008C55C3" w:rsidRPr="008C55C3">
        <w:rPr>
          <w:lang w:val="fr-FR"/>
        </w:rPr>
        <w:t>comprenant des orientations pratiques et des exemples de codes d’éthique existants pour faciliter l’élaboration de codes spécifiques par les entités nationales et locales</w:t>
      </w:r>
      <w:r w:rsidR="000325DF">
        <w:rPr>
          <w:lang w:val="fr-FR"/>
        </w:rPr>
        <w:t xml:space="preserve"> </w:t>
      </w:r>
      <w:r w:rsidR="000325DF" w:rsidRPr="000325DF">
        <w:rPr>
          <w:lang w:val="fr-FR"/>
        </w:rPr>
        <w:t>(</w:t>
      </w:r>
      <w:hyperlink r:id="rId22" w:history="1">
        <w:r w:rsidR="000325DF" w:rsidRPr="00CA1B8E">
          <w:rPr>
            <w:rStyle w:val="Hyperlink"/>
            <w:lang w:val="fr-FR"/>
          </w:rPr>
          <w:t>décision 10.COM 15.a</w:t>
        </w:r>
      </w:hyperlink>
      <w:r w:rsidR="000325DF" w:rsidRPr="00CA1B8E">
        <w:rPr>
          <w:lang w:val="fr-FR"/>
        </w:rPr>
        <w:t>).</w:t>
      </w:r>
      <w:r w:rsidR="008C55C3">
        <w:rPr>
          <w:lang w:val="fr-FR"/>
        </w:rPr>
        <w:t xml:space="preserve"> </w:t>
      </w:r>
      <w:r w:rsidR="00101752">
        <w:rPr>
          <w:lang w:val="fr-FR"/>
        </w:rPr>
        <w:t xml:space="preserve">De plus, une réunion d’experts à </w:t>
      </w:r>
      <w:r w:rsidR="00A03C71" w:rsidRPr="00846DED">
        <w:rPr>
          <w:lang w:val="fr-FR"/>
        </w:rPr>
        <w:t xml:space="preserve">Paris </w:t>
      </w:r>
      <w:r w:rsidR="000325DF">
        <w:rPr>
          <w:lang w:val="fr-FR"/>
        </w:rPr>
        <w:t xml:space="preserve">qui s’est tenue </w:t>
      </w:r>
      <w:r w:rsidR="00101752">
        <w:rPr>
          <w:lang w:val="fr-FR"/>
        </w:rPr>
        <w:t xml:space="preserve">du </w:t>
      </w:r>
      <w:r w:rsidR="00A03C71" w:rsidRPr="00846DED">
        <w:rPr>
          <w:lang w:val="fr-FR"/>
        </w:rPr>
        <w:t>1</w:t>
      </w:r>
      <w:r w:rsidR="00101752" w:rsidRPr="00EE55A0">
        <w:rPr>
          <w:vertAlign w:val="superscript"/>
          <w:lang w:val="fr-FR"/>
        </w:rPr>
        <w:t>er</w:t>
      </w:r>
      <w:r w:rsidR="00101752">
        <w:rPr>
          <w:lang w:val="fr-FR"/>
        </w:rPr>
        <w:t xml:space="preserve"> au </w:t>
      </w:r>
      <w:r w:rsidR="00A03C71" w:rsidRPr="00846DED">
        <w:rPr>
          <w:lang w:val="fr-FR"/>
        </w:rPr>
        <w:t>3</w:t>
      </w:r>
      <w:r w:rsidR="00101752">
        <w:rPr>
          <w:lang w:val="fr-FR"/>
        </w:rPr>
        <w:t xml:space="preserve"> juin </w:t>
      </w:r>
      <w:r w:rsidR="00A03C71" w:rsidRPr="00846DED">
        <w:rPr>
          <w:lang w:val="fr-FR"/>
        </w:rPr>
        <w:t>2015</w:t>
      </w:r>
      <w:r w:rsidR="00101752">
        <w:rPr>
          <w:lang w:val="fr-FR"/>
        </w:rPr>
        <w:t xml:space="preserve"> a </w:t>
      </w:r>
      <w:r w:rsidR="00F35769">
        <w:rPr>
          <w:lang w:val="fr-FR"/>
        </w:rPr>
        <w:t xml:space="preserve">eu pour objectif </w:t>
      </w:r>
      <w:r w:rsidR="00101752">
        <w:rPr>
          <w:lang w:val="fr-FR"/>
        </w:rPr>
        <w:t>de suivre l’</w:t>
      </w:r>
      <w:r w:rsidR="00A03C71" w:rsidRPr="00846DED">
        <w:rPr>
          <w:lang w:val="fr-FR"/>
        </w:rPr>
        <w:t xml:space="preserve">impact </w:t>
      </w:r>
      <w:r w:rsidR="00101752">
        <w:rPr>
          <w:lang w:val="fr-FR"/>
        </w:rPr>
        <w:t xml:space="preserve">du programme de renforcement des capacités de la </w:t>
      </w:r>
      <w:r w:rsidR="00A03C71" w:rsidRPr="00846DED">
        <w:rPr>
          <w:lang w:val="fr-FR"/>
        </w:rPr>
        <w:t xml:space="preserve">Convention </w:t>
      </w:r>
      <w:r w:rsidR="00E50F61">
        <w:rPr>
          <w:lang w:val="fr-FR"/>
        </w:rPr>
        <w:t>(voir paragraphe 29)</w:t>
      </w:r>
      <w:r w:rsidR="000325DF">
        <w:rPr>
          <w:lang w:val="fr-FR"/>
        </w:rPr>
        <w:t>.</w:t>
      </w:r>
      <w:r w:rsidR="00E50F61">
        <w:rPr>
          <w:lang w:val="fr-FR"/>
        </w:rPr>
        <w:t xml:space="preserve"> </w:t>
      </w:r>
      <w:r w:rsidR="000325DF">
        <w:rPr>
          <w:lang w:val="fr-FR"/>
        </w:rPr>
        <w:t xml:space="preserve">Suite à la décision de la dixième session du Comité </w:t>
      </w:r>
      <w:r w:rsidR="000325DF" w:rsidRPr="00CA1B8E">
        <w:rPr>
          <w:lang w:val="fr-FR"/>
        </w:rPr>
        <w:t>(</w:t>
      </w:r>
      <w:hyperlink r:id="rId23" w:history="1">
        <w:r w:rsidR="000325DF" w:rsidRPr="00CA1B8E">
          <w:rPr>
            <w:rStyle w:val="Hyperlink"/>
            <w:lang w:val="fr-FR"/>
          </w:rPr>
          <w:t>décision 10.COM 9</w:t>
        </w:r>
      </w:hyperlink>
      <w:r w:rsidR="000325DF" w:rsidRPr="000325DF">
        <w:rPr>
          <w:lang w:val="fr-FR"/>
        </w:rPr>
        <w:t>), le Secrétariat a commencé</w:t>
      </w:r>
      <w:r w:rsidR="000325DF">
        <w:rPr>
          <w:lang w:val="fr-FR"/>
        </w:rPr>
        <w:t xml:space="preserve"> à préparer </w:t>
      </w:r>
      <w:r w:rsidR="00E50F61">
        <w:rPr>
          <w:lang w:val="fr-FR"/>
        </w:rPr>
        <w:t>une réunion d’experts pour discuter de l’élaboration d’</w:t>
      </w:r>
      <w:r w:rsidR="00E50F61" w:rsidRPr="00E50F61">
        <w:rPr>
          <w:lang w:val="fr-FR"/>
        </w:rPr>
        <w:t>un cadre global de résultats pour la Convention</w:t>
      </w:r>
      <w:r w:rsidR="00E50F61">
        <w:rPr>
          <w:lang w:val="fr-FR"/>
        </w:rPr>
        <w:t xml:space="preserve">, qui devrait avoir lieu </w:t>
      </w:r>
      <w:r w:rsidR="004675ED">
        <w:rPr>
          <w:lang w:val="fr-FR"/>
        </w:rPr>
        <w:t>au second semestre</w:t>
      </w:r>
      <w:r w:rsidR="00E50F61">
        <w:rPr>
          <w:lang w:val="fr-FR"/>
        </w:rPr>
        <w:t xml:space="preserve"> 2016 avec le généreux soutien financier de la Chine. Cette réunion devrait poser les bases pour élaborer un cadre avec des objectifs clairs, des échéanciers, des indicateurs et des </w:t>
      </w:r>
      <w:r w:rsidR="004F7EEC">
        <w:rPr>
          <w:lang w:val="fr-FR"/>
        </w:rPr>
        <w:t>indicateurs de référence</w:t>
      </w:r>
      <w:r w:rsidR="004675ED">
        <w:rPr>
          <w:lang w:val="fr-FR"/>
        </w:rPr>
        <w:t xml:space="preserve">. </w:t>
      </w:r>
      <w:r w:rsidR="00101752">
        <w:rPr>
          <w:lang w:val="fr-FR"/>
        </w:rPr>
        <w:t>Enfin, la réunion d’</w:t>
      </w:r>
      <w:r w:rsidR="00A03C71" w:rsidRPr="00846DED">
        <w:rPr>
          <w:lang w:val="fr-FR"/>
        </w:rPr>
        <w:t>expert</w:t>
      </w:r>
      <w:r w:rsidR="00101752">
        <w:rPr>
          <w:lang w:val="fr-FR"/>
        </w:rPr>
        <w:t xml:space="preserve">s sur le patrimoine culturel immatériel et le </w:t>
      </w:r>
      <w:r w:rsidR="00A03C71" w:rsidRPr="00846DED">
        <w:rPr>
          <w:lang w:val="fr-FR"/>
        </w:rPr>
        <w:t>change</w:t>
      </w:r>
      <w:r w:rsidR="00101752">
        <w:rPr>
          <w:lang w:val="fr-FR"/>
        </w:rPr>
        <w:t xml:space="preserve">ment </w:t>
      </w:r>
      <w:r w:rsidR="00101752" w:rsidRPr="00846DED">
        <w:rPr>
          <w:lang w:val="fr-FR"/>
        </w:rPr>
        <w:t>climat</w:t>
      </w:r>
      <w:r w:rsidR="00101752">
        <w:rPr>
          <w:lang w:val="fr-FR"/>
        </w:rPr>
        <w:t xml:space="preserve">ique </w:t>
      </w:r>
      <w:r w:rsidR="00A03C71" w:rsidRPr="00846DED">
        <w:rPr>
          <w:lang w:val="fr-FR"/>
        </w:rPr>
        <w:t>(</w:t>
      </w:r>
      <w:hyperlink r:id="rId24" w:history="1">
        <w:r w:rsidR="00541CBF" w:rsidRPr="00CA1B8E">
          <w:rPr>
            <w:rStyle w:val="Hyperlink"/>
            <w:lang w:val="fr-FR"/>
          </w:rPr>
          <w:t>décision 8.COM 12</w:t>
        </w:r>
      </w:hyperlink>
      <w:r w:rsidR="00A03C71" w:rsidRPr="00CA1B8E">
        <w:rPr>
          <w:lang w:val="fr-FR"/>
        </w:rPr>
        <w:t>)</w:t>
      </w:r>
      <w:r w:rsidR="00A03C71" w:rsidRPr="00846DED">
        <w:rPr>
          <w:lang w:val="fr-FR"/>
        </w:rPr>
        <w:t xml:space="preserve">, </w:t>
      </w:r>
      <w:r w:rsidR="000A309D">
        <w:rPr>
          <w:lang w:val="fr-FR"/>
        </w:rPr>
        <w:t xml:space="preserve">initialement prévue au cours du premier semestre de </w:t>
      </w:r>
      <w:r w:rsidR="00A03C71" w:rsidRPr="00846DED">
        <w:rPr>
          <w:lang w:val="fr-FR"/>
        </w:rPr>
        <w:t>2015</w:t>
      </w:r>
      <w:r w:rsidR="000A309D">
        <w:rPr>
          <w:lang w:val="fr-FR"/>
        </w:rPr>
        <w:t xml:space="preserve">, n’a pas </w:t>
      </w:r>
      <w:r w:rsidR="00F35769">
        <w:rPr>
          <w:lang w:val="fr-FR"/>
        </w:rPr>
        <w:t xml:space="preserve">pu se tenir </w:t>
      </w:r>
      <w:r w:rsidR="000A309D">
        <w:rPr>
          <w:lang w:val="fr-FR"/>
        </w:rPr>
        <w:t xml:space="preserve">car le financement </w:t>
      </w:r>
      <w:r w:rsidR="004C2FF2">
        <w:rPr>
          <w:lang w:val="fr-FR"/>
        </w:rPr>
        <w:t>prévu par le Viet Nam n’</w:t>
      </w:r>
      <w:r w:rsidR="00F35769">
        <w:rPr>
          <w:lang w:val="fr-FR"/>
        </w:rPr>
        <w:t>a</w:t>
      </w:r>
      <w:r w:rsidR="004C2FF2">
        <w:rPr>
          <w:lang w:val="fr-FR"/>
        </w:rPr>
        <w:t xml:space="preserve"> pas encore</w:t>
      </w:r>
      <w:r w:rsidR="000A309D">
        <w:rPr>
          <w:lang w:val="fr-FR"/>
        </w:rPr>
        <w:t xml:space="preserve"> </w:t>
      </w:r>
      <w:r w:rsidR="00F35769">
        <w:rPr>
          <w:lang w:val="fr-FR"/>
        </w:rPr>
        <w:t xml:space="preserve">été rendu </w:t>
      </w:r>
      <w:r w:rsidR="000A309D">
        <w:rPr>
          <w:lang w:val="fr-FR"/>
        </w:rPr>
        <w:t>disponible</w:t>
      </w:r>
      <w:r w:rsidR="00A03C71" w:rsidRPr="00846DED">
        <w:rPr>
          <w:lang w:val="fr-FR"/>
        </w:rPr>
        <w:t>.</w:t>
      </w:r>
    </w:p>
    <w:p w14:paraId="1F414CFB" w14:textId="3309AE71" w:rsidR="00A03C71" w:rsidRPr="00EE55A0" w:rsidRDefault="00F65E68" w:rsidP="00A03C71">
      <w:pPr>
        <w:pStyle w:val="COMPara"/>
        <w:numPr>
          <w:ilvl w:val="0"/>
          <w:numId w:val="9"/>
        </w:numPr>
        <w:ind w:left="567" w:hanging="567"/>
        <w:jc w:val="both"/>
        <w:rPr>
          <w:lang w:val="fr-FR"/>
        </w:rPr>
      </w:pPr>
      <w:r>
        <w:rPr>
          <w:shd w:val="clear" w:color="auto" w:fill="FFFFFF"/>
          <w:lang w:val="fr-FR"/>
        </w:rPr>
        <w:t xml:space="preserve">Le </w:t>
      </w:r>
      <w:r w:rsidR="00CA079E">
        <w:rPr>
          <w:shd w:val="clear" w:color="auto" w:fill="FFFFFF"/>
          <w:lang w:val="fr-FR"/>
        </w:rPr>
        <w:t xml:space="preserve">Groupe de liaison des </w:t>
      </w:r>
      <w:r w:rsidR="00A03C71" w:rsidRPr="00FE2DC0">
        <w:rPr>
          <w:lang w:val="fr-FR"/>
        </w:rPr>
        <w:t>Convention</w:t>
      </w:r>
      <w:r w:rsidR="00CA079E">
        <w:rPr>
          <w:lang w:val="fr-FR"/>
        </w:rPr>
        <w:t>s</w:t>
      </w:r>
      <w:r w:rsidR="00A03C71" w:rsidRPr="00FE2DC0">
        <w:rPr>
          <w:lang w:val="fr-FR"/>
        </w:rPr>
        <w:t xml:space="preserve"> </w:t>
      </w:r>
      <w:r w:rsidR="00CA079E">
        <w:rPr>
          <w:lang w:val="fr-FR"/>
        </w:rPr>
        <w:t xml:space="preserve">culturelles </w:t>
      </w:r>
      <w:r w:rsidR="00A03C71" w:rsidRPr="00FE2DC0">
        <w:rPr>
          <w:lang w:val="fr-FR"/>
        </w:rPr>
        <w:t>(</w:t>
      </w:r>
      <w:r w:rsidR="00CA079E">
        <w:rPr>
          <w:lang w:val="fr-FR"/>
        </w:rPr>
        <w:t>GLCC</w:t>
      </w:r>
      <w:r w:rsidR="00A03C71" w:rsidRPr="00FE2DC0">
        <w:rPr>
          <w:lang w:val="fr-FR"/>
        </w:rPr>
        <w:t>)</w:t>
      </w:r>
      <w:r w:rsidR="00CA079E">
        <w:rPr>
          <w:lang w:val="fr-FR"/>
        </w:rPr>
        <w:t>, composé des chefs du Secrétariat de</w:t>
      </w:r>
      <w:r w:rsidR="00954249">
        <w:rPr>
          <w:lang w:val="fr-FR"/>
        </w:rPr>
        <w:t>s</w:t>
      </w:r>
      <w:r w:rsidR="00CA079E">
        <w:rPr>
          <w:lang w:val="fr-FR"/>
        </w:rPr>
        <w:t xml:space="preserve"> Convention</w:t>
      </w:r>
      <w:r w:rsidR="00954249">
        <w:rPr>
          <w:lang w:val="fr-FR"/>
        </w:rPr>
        <w:t>s</w:t>
      </w:r>
      <w:r w:rsidR="00CA079E">
        <w:rPr>
          <w:lang w:val="fr-FR"/>
        </w:rPr>
        <w:t xml:space="preserve"> et mis en place en </w:t>
      </w:r>
      <w:r w:rsidR="00A03C71" w:rsidRPr="00FE2DC0">
        <w:rPr>
          <w:lang w:val="fr-FR"/>
        </w:rPr>
        <w:t xml:space="preserve">2012 </w:t>
      </w:r>
      <w:r w:rsidR="00CA079E">
        <w:rPr>
          <w:lang w:val="fr-FR"/>
        </w:rPr>
        <w:t xml:space="preserve">pour améliorer la </w:t>
      </w:r>
      <w:r w:rsidR="00A03C71" w:rsidRPr="00FE2DC0">
        <w:rPr>
          <w:lang w:val="fr-FR"/>
        </w:rPr>
        <w:t xml:space="preserve">coordination </w:t>
      </w:r>
      <w:r w:rsidR="00CA079E">
        <w:rPr>
          <w:lang w:val="fr-FR"/>
        </w:rPr>
        <w:t xml:space="preserve">entre les </w:t>
      </w:r>
      <w:r w:rsidR="00A03C71" w:rsidRPr="00FE2DC0">
        <w:rPr>
          <w:lang w:val="fr-FR"/>
        </w:rPr>
        <w:t>conventions, continu</w:t>
      </w:r>
      <w:r w:rsidR="00CA079E">
        <w:rPr>
          <w:lang w:val="fr-FR"/>
        </w:rPr>
        <w:t xml:space="preserve">e de se réunir régulièrement pour </w:t>
      </w:r>
      <w:r w:rsidR="00A03C71" w:rsidRPr="00FE2DC0">
        <w:rPr>
          <w:lang w:val="fr-FR"/>
        </w:rPr>
        <w:t>identif</w:t>
      </w:r>
      <w:r w:rsidR="00CA079E">
        <w:rPr>
          <w:lang w:val="fr-FR"/>
        </w:rPr>
        <w:t xml:space="preserve">ier les </w:t>
      </w:r>
      <w:r w:rsidR="00A03C71" w:rsidRPr="00FE2DC0">
        <w:rPr>
          <w:lang w:val="fr-FR"/>
        </w:rPr>
        <w:t>synergies</w:t>
      </w:r>
      <w:r w:rsidR="00CA079E">
        <w:rPr>
          <w:lang w:val="fr-FR"/>
        </w:rPr>
        <w:t xml:space="preserve"> </w:t>
      </w:r>
      <w:r w:rsidR="00CA079E" w:rsidRPr="00FE2DC0">
        <w:rPr>
          <w:lang w:val="fr-FR"/>
        </w:rPr>
        <w:t>potenti</w:t>
      </w:r>
      <w:r w:rsidR="00CA079E">
        <w:rPr>
          <w:lang w:val="fr-FR"/>
        </w:rPr>
        <w:t>elles</w:t>
      </w:r>
      <w:r w:rsidR="00A03C71" w:rsidRPr="00FE2DC0">
        <w:rPr>
          <w:lang w:val="fr-FR"/>
        </w:rPr>
        <w:t xml:space="preserve">. </w:t>
      </w:r>
      <w:r w:rsidR="00CA079E">
        <w:rPr>
          <w:lang w:val="fr-FR"/>
        </w:rPr>
        <w:t>Par ailleurs</w:t>
      </w:r>
      <w:r w:rsidR="00A03C71" w:rsidRPr="00FE2DC0">
        <w:rPr>
          <w:lang w:val="fr-FR"/>
        </w:rPr>
        <w:t xml:space="preserve">, </w:t>
      </w:r>
      <w:r w:rsidR="00CA079E">
        <w:rPr>
          <w:lang w:val="fr-FR"/>
        </w:rPr>
        <w:t xml:space="preserve">pendant la </w:t>
      </w:r>
      <w:r w:rsidR="00A03C71" w:rsidRPr="00FE2DC0">
        <w:rPr>
          <w:lang w:val="fr-FR"/>
        </w:rPr>
        <w:t>39</w:t>
      </w:r>
      <w:r w:rsidR="00CA079E" w:rsidRPr="00EE55A0">
        <w:rPr>
          <w:vertAlign w:val="superscript"/>
          <w:lang w:val="fr-FR"/>
        </w:rPr>
        <w:t>e</w:t>
      </w:r>
      <w:r w:rsidR="00CA079E">
        <w:rPr>
          <w:lang w:val="fr-FR"/>
        </w:rPr>
        <w:t> </w:t>
      </w:r>
      <w:r w:rsidR="00A03C71" w:rsidRPr="00FE2DC0">
        <w:rPr>
          <w:lang w:val="fr-FR"/>
        </w:rPr>
        <w:t xml:space="preserve">session </w:t>
      </w:r>
      <w:r w:rsidR="00CA079E">
        <w:rPr>
          <w:lang w:val="fr-FR"/>
        </w:rPr>
        <w:t xml:space="preserve">du Comité du patrimoine mondial à </w:t>
      </w:r>
      <w:r w:rsidR="00A03C71" w:rsidRPr="00FE2DC0">
        <w:rPr>
          <w:lang w:val="fr-FR"/>
        </w:rPr>
        <w:t>Bonn</w:t>
      </w:r>
      <w:r w:rsidR="00201100">
        <w:rPr>
          <w:lang w:val="fr-FR"/>
        </w:rPr>
        <w:t xml:space="preserve"> (Allemagne)</w:t>
      </w:r>
      <w:r w:rsidR="00A03C71" w:rsidRPr="00FE2DC0">
        <w:rPr>
          <w:lang w:val="fr-FR"/>
        </w:rPr>
        <w:t xml:space="preserve">, </w:t>
      </w:r>
      <w:r w:rsidR="000C2EDB">
        <w:rPr>
          <w:lang w:val="fr-FR"/>
        </w:rPr>
        <w:t>les</w:t>
      </w:r>
      <w:r w:rsidR="00CA079E">
        <w:rPr>
          <w:lang w:val="fr-FR"/>
        </w:rPr>
        <w:t xml:space="preserve"> </w:t>
      </w:r>
      <w:r w:rsidR="000C2EDB">
        <w:rPr>
          <w:lang w:val="fr-FR"/>
        </w:rPr>
        <w:t xml:space="preserve">Présidents </w:t>
      </w:r>
      <w:r w:rsidR="00CA079E">
        <w:rPr>
          <w:lang w:val="fr-FR"/>
        </w:rPr>
        <w:t xml:space="preserve">des </w:t>
      </w:r>
      <w:r w:rsidR="00A03C71" w:rsidRPr="00FE2DC0">
        <w:rPr>
          <w:lang w:val="fr-FR"/>
        </w:rPr>
        <w:t xml:space="preserve">six </w:t>
      </w:r>
      <w:r w:rsidR="00CA079E">
        <w:rPr>
          <w:lang w:val="fr-FR"/>
        </w:rPr>
        <w:t>conventions culturelles de l’</w:t>
      </w:r>
      <w:r w:rsidR="00A03C71" w:rsidRPr="00FE2DC0">
        <w:rPr>
          <w:lang w:val="fr-FR"/>
        </w:rPr>
        <w:t xml:space="preserve">UNESCO </w:t>
      </w:r>
      <w:r w:rsidR="000C2EDB">
        <w:rPr>
          <w:lang w:val="fr-FR"/>
        </w:rPr>
        <w:t xml:space="preserve">(ou leur représentants) </w:t>
      </w:r>
      <w:r w:rsidR="00CA079E">
        <w:rPr>
          <w:lang w:val="fr-FR"/>
        </w:rPr>
        <w:t xml:space="preserve">se sont rencontrés pour la première fois le </w:t>
      </w:r>
      <w:r w:rsidR="00A03C71" w:rsidRPr="00FE2DC0">
        <w:rPr>
          <w:lang w:val="fr-FR"/>
        </w:rPr>
        <w:t>29</w:t>
      </w:r>
      <w:r w:rsidR="00CA079E">
        <w:rPr>
          <w:lang w:val="fr-FR"/>
        </w:rPr>
        <w:t xml:space="preserve"> juin </w:t>
      </w:r>
      <w:r w:rsidR="00A03C71" w:rsidRPr="00FE2DC0">
        <w:rPr>
          <w:lang w:val="fr-FR"/>
        </w:rPr>
        <w:t xml:space="preserve">2015 </w:t>
      </w:r>
      <w:r w:rsidR="00CA079E">
        <w:rPr>
          <w:lang w:val="fr-FR"/>
        </w:rPr>
        <w:t>pour étudier de</w:t>
      </w:r>
      <w:r w:rsidR="00D85066">
        <w:rPr>
          <w:lang w:val="fr-FR"/>
        </w:rPr>
        <w:t>s</w:t>
      </w:r>
      <w:r w:rsidR="00CA079E">
        <w:rPr>
          <w:lang w:val="fr-FR"/>
        </w:rPr>
        <w:t xml:space="preserve"> </w:t>
      </w:r>
      <w:r w:rsidR="00954249">
        <w:rPr>
          <w:lang w:val="fr-FR"/>
        </w:rPr>
        <w:t xml:space="preserve">modalités </w:t>
      </w:r>
      <w:r w:rsidR="00992303">
        <w:rPr>
          <w:lang w:val="fr-FR"/>
        </w:rPr>
        <w:t xml:space="preserve">de </w:t>
      </w:r>
      <w:r w:rsidR="00D85066">
        <w:rPr>
          <w:lang w:val="fr-FR"/>
        </w:rPr>
        <w:t>coopération</w:t>
      </w:r>
      <w:r w:rsidR="00954249">
        <w:rPr>
          <w:lang w:val="fr-FR"/>
        </w:rPr>
        <w:t xml:space="preserve"> </w:t>
      </w:r>
      <w:r w:rsidR="00CA079E">
        <w:rPr>
          <w:lang w:val="fr-FR"/>
        </w:rPr>
        <w:t>plus efficaces</w:t>
      </w:r>
      <w:r w:rsidR="00A03C71" w:rsidRPr="00FE2DC0">
        <w:rPr>
          <w:lang w:val="fr-FR"/>
        </w:rPr>
        <w:t xml:space="preserve">. </w:t>
      </w:r>
      <w:r w:rsidR="00CA079E">
        <w:rPr>
          <w:lang w:val="fr-FR"/>
        </w:rPr>
        <w:t xml:space="preserve">Dans le </w:t>
      </w:r>
      <w:r w:rsidR="00A03C71" w:rsidRPr="00FE2DC0">
        <w:rPr>
          <w:lang w:val="fr-FR"/>
        </w:rPr>
        <w:t>context</w:t>
      </w:r>
      <w:r w:rsidR="00CA079E">
        <w:rPr>
          <w:lang w:val="fr-FR"/>
        </w:rPr>
        <w:t>e</w:t>
      </w:r>
      <w:r w:rsidR="00A03C71" w:rsidRPr="00FE2DC0">
        <w:rPr>
          <w:lang w:val="fr-FR"/>
        </w:rPr>
        <w:t xml:space="preserve"> </w:t>
      </w:r>
      <w:r w:rsidR="00CA079E">
        <w:rPr>
          <w:lang w:val="fr-FR"/>
        </w:rPr>
        <w:t xml:space="preserve">du </w:t>
      </w:r>
      <w:r w:rsidR="00A03C71" w:rsidRPr="00FE2DC0">
        <w:rPr>
          <w:lang w:val="fr-FR"/>
        </w:rPr>
        <w:t>70</w:t>
      </w:r>
      <w:r w:rsidR="00CA079E" w:rsidRPr="00EE55A0">
        <w:rPr>
          <w:vertAlign w:val="superscript"/>
          <w:lang w:val="fr-FR"/>
        </w:rPr>
        <w:t>e</w:t>
      </w:r>
      <w:r w:rsidR="00CA079E">
        <w:rPr>
          <w:lang w:val="fr-FR"/>
        </w:rPr>
        <w:t> </w:t>
      </w:r>
      <w:r w:rsidR="00A03C71" w:rsidRPr="00FE2DC0">
        <w:rPr>
          <w:lang w:val="fr-FR"/>
        </w:rPr>
        <w:t>anniversa</w:t>
      </w:r>
      <w:r w:rsidR="00CA079E">
        <w:rPr>
          <w:lang w:val="fr-FR"/>
        </w:rPr>
        <w:t>ire de l’</w:t>
      </w:r>
      <w:r w:rsidR="00A03C71" w:rsidRPr="00FE2DC0">
        <w:rPr>
          <w:lang w:val="fr-FR"/>
        </w:rPr>
        <w:t xml:space="preserve">UNESCO, </w:t>
      </w:r>
      <w:r w:rsidR="00CA079E">
        <w:rPr>
          <w:lang w:val="fr-FR"/>
        </w:rPr>
        <w:t>cette réunion a fourni une occasion unique de réflexion sur l’avenir des actions normatives de l’</w:t>
      </w:r>
      <w:r w:rsidR="00A03C71" w:rsidRPr="00FE2DC0">
        <w:rPr>
          <w:lang w:val="fr-FR"/>
        </w:rPr>
        <w:t>Organi</w:t>
      </w:r>
      <w:r w:rsidR="00CA079E">
        <w:rPr>
          <w:lang w:val="fr-FR"/>
        </w:rPr>
        <w:t>s</w:t>
      </w:r>
      <w:r w:rsidR="00A03C71" w:rsidRPr="00FE2DC0">
        <w:rPr>
          <w:lang w:val="fr-FR"/>
        </w:rPr>
        <w:t>ation</w:t>
      </w:r>
      <w:r w:rsidR="00CA079E">
        <w:rPr>
          <w:lang w:val="fr-FR"/>
        </w:rPr>
        <w:t xml:space="preserve"> au regard des difficultés actuelles et des besoins émergents</w:t>
      </w:r>
      <w:r w:rsidR="00A03C71" w:rsidRPr="00FE2DC0">
        <w:rPr>
          <w:lang w:val="fr-FR"/>
        </w:rPr>
        <w:t xml:space="preserve">. </w:t>
      </w:r>
      <w:r w:rsidR="00992303">
        <w:rPr>
          <w:lang w:val="fr-FR"/>
        </w:rPr>
        <w:t xml:space="preserve">Cela est </w:t>
      </w:r>
      <w:r w:rsidR="00A03C71" w:rsidRPr="00FE2DC0">
        <w:rPr>
          <w:lang w:val="fr-FR"/>
        </w:rPr>
        <w:t>particul</w:t>
      </w:r>
      <w:r w:rsidR="00992303">
        <w:rPr>
          <w:lang w:val="fr-FR"/>
        </w:rPr>
        <w:t xml:space="preserve">ièrement </w:t>
      </w:r>
      <w:r w:rsidR="00A03C71" w:rsidRPr="00FE2DC0">
        <w:rPr>
          <w:lang w:val="fr-FR"/>
        </w:rPr>
        <w:t xml:space="preserve">important </w:t>
      </w:r>
      <w:r w:rsidR="00992303">
        <w:rPr>
          <w:lang w:val="fr-FR"/>
        </w:rPr>
        <w:t xml:space="preserve">alors que la communauté </w:t>
      </w:r>
      <w:r w:rsidR="00992303" w:rsidRPr="00FE2DC0">
        <w:rPr>
          <w:lang w:val="fr-FR"/>
        </w:rPr>
        <w:t>international</w:t>
      </w:r>
      <w:r w:rsidR="00992303">
        <w:rPr>
          <w:lang w:val="fr-FR"/>
        </w:rPr>
        <w:t>e</w:t>
      </w:r>
      <w:r w:rsidR="00992303" w:rsidRPr="00FE2DC0">
        <w:rPr>
          <w:lang w:val="fr-FR"/>
        </w:rPr>
        <w:t xml:space="preserve"> </w:t>
      </w:r>
      <w:r w:rsidR="00992303">
        <w:rPr>
          <w:lang w:val="fr-FR"/>
        </w:rPr>
        <w:t xml:space="preserve">a </w:t>
      </w:r>
      <w:r w:rsidR="00A03C71" w:rsidRPr="00FE2DC0">
        <w:rPr>
          <w:lang w:val="fr-FR"/>
        </w:rPr>
        <w:t>adopt</w:t>
      </w:r>
      <w:r w:rsidR="00992303">
        <w:rPr>
          <w:lang w:val="fr-FR"/>
        </w:rPr>
        <w:t xml:space="preserve">é </w:t>
      </w:r>
      <w:r w:rsidR="000C2EDB">
        <w:rPr>
          <w:lang w:val="fr-FR"/>
        </w:rPr>
        <w:t>l’Agenda 2030 pour le développement durable</w:t>
      </w:r>
      <w:r w:rsidR="00A03C71" w:rsidRPr="00FE2DC0">
        <w:rPr>
          <w:lang w:val="fr-FR"/>
        </w:rPr>
        <w:t xml:space="preserve"> </w:t>
      </w:r>
      <w:r w:rsidR="00992303">
        <w:rPr>
          <w:lang w:val="fr-FR"/>
        </w:rPr>
        <w:t xml:space="preserve">des Nations </w:t>
      </w:r>
      <w:r w:rsidR="00954249">
        <w:rPr>
          <w:lang w:val="fr-FR"/>
        </w:rPr>
        <w:t>U</w:t>
      </w:r>
      <w:r w:rsidR="00992303">
        <w:rPr>
          <w:lang w:val="fr-FR"/>
        </w:rPr>
        <w:t>nies</w:t>
      </w:r>
      <w:r w:rsidR="00A03C71" w:rsidRPr="00FE2DC0">
        <w:rPr>
          <w:lang w:val="fr-FR"/>
        </w:rPr>
        <w:t xml:space="preserve">, </w:t>
      </w:r>
      <w:r w:rsidR="00992303">
        <w:rPr>
          <w:lang w:val="fr-FR"/>
        </w:rPr>
        <w:t xml:space="preserve">dans lequel les liens entre la </w:t>
      </w:r>
      <w:r w:rsidR="00A03C71" w:rsidRPr="00FE2DC0">
        <w:rPr>
          <w:lang w:val="fr-FR"/>
        </w:rPr>
        <w:t xml:space="preserve">culture, </w:t>
      </w:r>
      <w:r w:rsidR="00992303">
        <w:rPr>
          <w:lang w:val="fr-FR"/>
        </w:rPr>
        <w:t xml:space="preserve">le développement et la </w:t>
      </w:r>
      <w:r w:rsidR="00A03C71" w:rsidRPr="00FE2DC0">
        <w:rPr>
          <w:lang w:val="fr-FR"/>
        </w:rPr>
        <w:t>p</w:t>
      </w:r>
      <w:r w:rsidR="00992303">
        <w:rPr>
          <w:lang w:val="fr-FR"/>
        </w:rPr>
        <w:t xml:space="preserve">aix sont davantage reconnus et mis en </w:t>
      </w:r>
      <w:r w:rsidR="00992303" w:rsidRPr="00992303">
        <w:rPr>
          <w:lang w:val="fr-FR"/>
        </w:rPr>
        <w:t>avant</w:t>
      </w:r>
      <w:r w:rsidR="00A03C71" w:rsidRPr="00FE2DC0">
        <w:rPr>
          <w:lang w:val="fr-FR"/>
        </w:rPr>
        <w:t xml:space="preserve">. </w:t>
      </w:r>
      <w:r w:rsidR="00992303">
        <w:rPr>
          <w:lang w:val="fr-FR"/>
        </w:rPr>
        <w:t xml:space="preserve">À la fin de la réunion, les </w:t>
      </w:r>
      <w:r w:rsidR="000C2EDB">
        <w:rPr>
          <w:lang w:val="fr-FR"/>
        </w:rPr>
        <w:t xml:space="preserve">Présidents </w:t>
      </w:r>
      <w:r w:rsidR="00992303">
        <w:rPr>
          <w:lang w:val="fr-FR"/>
        </w:rPr>
        <w:t xml:space="preserve">ont soumis une </w:t>
      </w:r>
      <w:hyperlink r:id="rId25" w:history="1">
        <w:r w:rsidR="00992303" w:rsidRPr="002222A7">
          <w:rPr>
            <w:rStyle w:val="Hyperlink"/>
            <w:lang w:val="fr-FR"/>
          </w:rPr>
          <w:t>déclaration</w:t>
        </w:r>
      </w:hyperlink>
      <w:r w:rsidR="00992303">
        <w:rPr>
          <w:lang w:val="fr-FR"/>
        </w:rPr>
        <w:t xml:space="preserve"> soulignant leurs préoccupations et mettant l’accent sur </w:t>
      </w:r>
      <w:r w:rsidR="00954249">
        <w:rPr>
          <w:lang w:val="fr-FR"/>
        </w:rPr>
        <w:t>la nécessité d’une</w:t>
      </w:r>
      <w:r w:rsidR="00992303">
        <w:rPr>
          <w:lang w:val="fr-FR"/>
        </w:rPr>
        <w:t xml:space="preserve"> volonté politique renouvelée pour soutenir les conventions culturelles de l’</w:t>
      </w:r>
      <w:r w:rsidR="00A03C71" w:rsidRPr="00FE2DC0">
        <w:rPr>
          <w:lang w:val="fr-FR"/>
        </w:rPr>
        <w:t>UNESCO</w:t>
      </w:r>
      <w:r w:rsidR="00992303">
        <w:rPr>
          <w:lang w:val="fr-FR"/>
        </w:rPr>
        <w:t xml:space="preserve"> et </w:t>
      </w:r>
      <w:r w:rsidR="00A03C71" w:rsidRPr="00FE2DC0">
        <w:rPr>
          <w:lang w:val="fr-FR"/>
        </w:rPr>
        <w:t>encourag</w:t>
      </w:r>
      <w:r w:rsidR="00992303">
        <w:rPr>
          <w:lang w:val="fr-FR"/>
        </w:rPr>
        <w:t xml:space="preserve">er les Nations </w:t>
      </w:r>
      <w:r w:rsidR="00954249">
        <w:rPr>
          <w:lang w:val="fr-FR"/>
        </w:rPr>
        <w:t xml:space="preserve">Unies </w:t>
      </w:r>
      <w:r w:rsidR="00992303">
        <w:rPr>
          <w:lang w:val="fr-FR"/>
        </w:rPr>
        <w:t xml:space="preserve">à garantir le fait que la </w:t>
      </w:r>
      <w:r w:rsidR="00A03C71" w:rsidRPr="00FE2DC0">
        <w:rPr>
          <w:lang w:val="fr-FR"/>
        </w:rPr>
        <w:t xml:space="preserve">protection, </w:t>
      </w:r>
      <w:r w:rsidR="00992303">
        <w:rPr>
          <w:lang w:val="fr-FR"/>
        </w:rPr>
        <w:t>la sauvegarde et la compréhension du patrimoine culturel et naturel</w:t>
      </w:r>
      <w:r w:rsidR="00A03C71" w:rsidRPr="00FE2DC0">
        <w:rPr>
          <w:lang w:val="fr-FR"/>
        </w:rPr>
        <w:t xml:space="preserve">, </w:t>
      </w:r>
      <w:r w:rsidR="00992303">
        <w:rPr>
          <w:lang w:val="fr-FR"/>
        </w:rPr>
        <w:t xml:space="preserve">de la diversité </w:t>
      </w:r>
      <w:r w:rsidR="00A03C71" w:rsidRPr="00FE2DC0">
        <w:rPr>
          <w:lang w:val="fr-FR"/>
        </w:rPr>
        <w:t>cultur</w:t>
      </w:r>
      <w:r w:rsidR="00992303">
        <w:rPr>
          <w:lang w:val="fr-FR"/>
        </w:rPr>
        <w:t xml:space="preserve">elle et des </w:t>
      </w:r>
      <w:r w:rsidR="00A03C71" w:rsidRPr="00FE2DC0">
        <w:rPr>
          <w:lang w:val="fr-FR"/>
        </w:rPr>
        <w:t xml:space="preserve">expressions </w:t>
      </w:r>
      <w:r w:rsidR="00992303">
        <w:rPr>
          <w:lang w:val="fr-FR"/>
        </w:rPr>
        <w:t>cré</w:t>
      </w:r>
      <w:r w:rsidR="00992303" w:rsidRPr="00FE2DC0">
        <w:rPr>
          <w:lang w:val="fr-FR"/>
        </w:rPr>
        <w:t>ative</w:t>
      </w:r>
      <w:r w:rsidR="00992303">
        <w:rPr>
          <w:lang w:val="fr-FR"/>
        </w:rPr>
        <w:t>s</w:t>
      </w:r>
      <w:r w:rsidR="00992303" w:rsidRPr="00FE2DC0">
        <w:rPr>
          <w:lang w:val="fr-FR"/>
        </w:rPr>
        <w:t xml:space="preserve"> </w:t>
      </w:r>
      <w:r w:rsidR="00992303">
        <w:rPr>
          <w:lang w:val="fr-FR"/>
        </w:rPr>
        <w:t xml:space="preserve">dans le monde </w:t>
      </w:r>
      <w:r w:rsidR="001D470B">
        <w:rPr>
          <w:lang w:val="fr-FR"/>
        </w:rPr>
        <w:t xml:space="preserve">soient </w:t>
      </w:r>
      <w:r w:rsidR="00A03C71" w:rsidRPr="00FE2DC0">
        <w:rPr>
          <w:lang w:val="fr-FR"/>
        </w:rPr>
        <w:t>reco</w:t>
      </w:r>
      <w:r w:rsidR="001D470B">
        <w:rPr>
          <w:lang w:val="fr-FR"/>
        </w:rPr>
        <w:t xml:space="preserve">nnues comme des thèmes </w:t>
      </w:r>
      <w:r w:rsidR="00992303">
        <w:rPr>
          <w:lang w:val="fr-FR"/>
        </w:rPr>
        <w:t>transvers</w:t>
      </w:r>
      <w:r w:rsidR="001D470B">
        <w:rPr>
          <w:lang w:val="fr-FR"/>
        </w:rPr>
        <w:t xml:space="preserve">es dans la mise en œuvre du Programme d’action en faveur du développement </w:t>
      </w:r>
      <w:r>
        <w:rPr>
          <w:lang w:val="fr-FR"/>
        </w:rPr>
        <w:t>2030</w:t>
      </w:r>
      <w:r w:rsidR="00A03C71" w:rsidRPr="00FE2DC0">
        <w:rPr>
          <w:lang w:val="fr-FR"/>
        </w:rPr>
        <w:t>.</w:t>
      </w:r>
    </w:p>
    <w:p w14:paraId="2732FABF" w14:textId="26F65B8A" w:rsidR="00A03C71" w:rsidRPr="00EE55A0" w:rsidRDefault="001D470B" w:rsidP="00EE55A0">
      <w:pPr>
        <w:pStyle w:val="COMPara"/>
        <w:spacing w:before="360"/>
        <w:ind w:left="0" w:firstLine="0"/>
        <w:rPr>
          <w:b/>
          <w:lang w:val="fr-FR"/>
        </w:rPr>
      </w:pPr>
      <w:r w:rsidRPr="001D470B">
        <w:rPr>
          <w:b/>
          <w:lang w:val="fr-FR"/>
        </w:rPr>
        <w:t>Indicateur de performance </w:t>
      </w:r>
      <w:r w:rsidR="00A03C71" w:rsidRPr="001D470B">
        <w:rPr>
          <w:b/>
          <w:lang w:val="fr-FR"/>
        </w:rPr>
        <w:t>2</w:t>
      </w:r>
      <w:r w:rsidRPr="001D470B">
        <w:rPr>
          <w:b/>
          <w:lang w:val="fr-FR"/>
        </w:rPr>
        <w:t> </w:t>
      </w:r>
      <w:r w:rsidR="00A03C71" w:rsidRPr="001D470B">
        <w:rPr>
          <w:b/>
          <w:lang w:val="fr-FR"/>
        </w:rPr>
        <w:t xml:space="preserve">: </w:t>
      </w:r>
      <w:r w:rsidRPr="001D470B">
        <w:rPr>
          <w:b/>
          <w:lang w:val="fr-FR"/>
        </w:rPr>
        <w:t xml:space="preserve">Nombre d’États membres soutenus utilisant des ressources humaines et </w:t>
      </w:r>
      <w:r w:rsidRPr="00EE55A0">
        <w:rPr>
          <w:b/>
          <w:lang w:val="fr-FR"/>
        </w:rPr>
        <w:t>institutionnelles</w:t>
      </w:r>
      <w:r w:rsidRPr="001D470B">
        <w:rPr>
          <w:b/>
          <w:lang w:val="fr-FR"/>
        </w:rPr>
        <w:t xml:space="preserve"> pour le patrimoine culturel immatériel renforcées et intégrant le </w:t>
      </w:r>
      <w:r w:rsidR="0059480D">
        <w:rPr>
          <w:b/>
          <w:lang w:val="fr-FR"/>
        </w:rPr>
        <w:t>patrimoine culturel immatériel</w:t>
      </w:r>
      <w:r w:rsidR="0059480D" w:rsidRPr="001D470B">
        <w:rPr>
          <w:b/>
          <w:lang w:val="fr-FR"/>
        </w:rPr>
        <w:t xml:space="preserve"> </w:t>
      </w:r>
      <w:r w:rsidRPr="001D470B">
        <w:rPr>
          <w:b/>
          <w:lang w:val="fr-FR"/>
        </w:rPr>
        <w:t>dans les politiques nationales</w:t>
      </w:r>
      <w:r w:rsidR="00A03C71">
        <w:rPr>
          <w:rStyle w:val="FootnoteReference"/>
          <w:b/>
        </w:rPr>
        <w:footnoteReference w:id="2"/>
      </w:r>
    </w:p>
    <w:p w14:paraId="69CA48C0" w14:textId="4CD32B0B" w:rsidR="00A03C71" w:rsidRPr="000B38DD" w:rsidRDefault="007E3595" w:rsidP="00A03C71">
      <w:pPr>
        <w:pStyle w:val="COMPara"/>
        <w:numPr>
          <w:ilvl w:val="0"/>
          <w:numId w:val="9"/>
        </w:numPr>
        <w:ind w:left="567" w:hanging="567"/>
        <w:jc w:val="both"/>
        <w:rPr>
          <w:lang w:val="fr-FR"/>
        </w:rPr>
      </w:pPr>
      <w:r>
        <w:rPr>
          <w:lang w:val="fr-FR"/>
        </w:rPr>
        <w:t>Le</w:t>
      </w:r>
      <w:r w:rsidR="000B38DD">
        <w:rPr>
          <w:lang w:val="fr-FR"/>
        </w:rPr>
        <w:t xml:space="preserve"> programme global de renforcement des capacités de la Convention </w:t>
      </w:r>
      <w:r>
        <w:rPr>
          <w:lang w:val="fr-FR"/>
        </w:rPr>
        <w:t>continue à</w:t>
      </w:r>
      <w:r w:rsidR="000B38DD">
        <w:rPr>
          <w:lang w:val="fr-FR"/>
        </w:rPr>
        <w:t xml:space="preserve"> soutenir les pays dans la mise en place de leur politique nationale et des ressources </w:t>
      </w:r>
      <w:r w:rsidR="00A03C71" w:rsidRPr="000B38DD">
        <w:rPr>
          <w:lang w:val="fr-FR"/>
        </w:rPr>
        <w:t>huma</w:t>
      </w:r>
      <w:r w:rsidR="000B38DD">
        <w:rPr>
          <w:lang w:val="fr-FR"/>
        </w:rPr>
        <w:t>i</w:t>
      </w:r>
      <w:r w:rsidR="00A03C71" w:rsidRPr="000B38DD">
        <w:rPr>
          <w:lang w:val="fr-FR"/>
        </w:rPr>
        <w:t>n</w:t>
      </w:r>
      <w:r w:rsidR="000B38DD">
        <w:rPr>
          <w:lang w:val="fr-FR"/>
        </w:rPr>
        <w:t>es</w:t>
      </w:r>
      <w:r w:rsidR="00A03C71" w:rsidRPr="000B38DD">
        <w:rPr>
          <w:lang w:val="fr-FR"/>
        </w:rPr>
        <w:t xml:space="preserve"> </w:t>
      </w:r>
      <w:r w:rsidR="000B38DD">
        <w:rPr>
          <w:lang w:val="fr-FR"/>
        </w:rPr>
        <w:t xml:space="preserve">et </w:t>
      </w:r>
      <w:r w:rsidR="00A03C71" w:rsidRPr="000B38DD">
        <w:rPr>
          <w:lang w:val="fr-FR"/>
        </w:rPr>
        <w:t>institution</w:t>
      </w:r>
      <w:r w:rsidR="000B38DD">
        <w:rPr>
          <w:lang w:val="fr-FR"/>
        </w:rPr>
        <w:t>nelles en vue de la sauvegarde du patrimoine culturel immatériel</w:t>
      </w:r>
      <w:r w:rsidR="00A03C71" w:rsidRPr="000B38DD">
        <w:rPr>
          <w:lang w:val="fr-FR"/>
        </w:rPr>
        <w:t>. R</w:t>
      </w:r>
      <w:r w:rsidR="000B38DD">
        <w:rPr>
          <w:lang w:val="fr-FR"/>
        </w:rPr>
        <w:t xml:space="preserve">épondant aux </w:t>
      </w:r>
      <w:r w:rsidR="000B38DD" w:rsidRPr="000B38DD">
        <w:rPr>
          <w:lang w:val="fr-FR"/>
        </w:rPr>
        <w:t>recommandations</w:t>
      </w:r>
      <w:r w:rsidR="00A03C71" w:rsidRPr="000B38DD">
        <w:rPr>
          <w:lang w:val="fr-FR"/>
        </w:rPr>
        <w:t xml:space="preserve"> </w:t>
      </w:r>
      <w:r w:rsidR="000B38DD">
        <w:rPr>
          <w:lang w:val="fr-FR"/>
        </w:rPr>
        <w:t xml:space="preserve">de l’évaluation </w:t>
      </w:r>
      <w:r w:rsidR="00C77767">
        <w:rPr>
          <w:lang w:val="fr-FR"/>
        </w:rPr>
        <w:t xml:space="preserve">approfondie </w:t>
      </w:r>
      <w:r w:rsidR="00E561E1">
        <w:rPr>
          <w:lang w:val="fr-FR"/>
        </w:rPr>
        <w:t xml:space="preserve">effectuée par le </w:t>
      </w:r>
      <w:r w:rsidR="000B38DD">
        <w:rPr>
          <w:lang w:val="fr-FR"/>
        </w:rPr>
        <w:t xml:space="preserve">Service d’évaluation et d’audit </w:t>
      </w:r>
      <w:r w:rsidR="00E561E1">
        <w:rPr>
          <w:lang w:val="fr-FR"/>
        </w:rPr>
        <w:t xml:space="preserve">en 2013 </w:t>
      </w:r>
      <w:r w:rsidR="00C77767">
        <w:rPr>
          <w:lang w:val="fr-FR"/>
        </w:rPr>
        <w:t>sur l’</w:t>
      </w:r>
      <w:r w:rsidR="00A03C71" w:rsidRPr="000B38DD">
        <w:rPr>
          <w:lang w:val="fr-FR"/>
        </w:rPr>
        <w:t xml:space="preserve">impact </w:t>
      </w:r>
      <w:r w:rsidR="00C77767">
        <w:rPr>
          <w:lang w:val="fr-FR"/>
        </w:rPr>
        <w:t>et l’</w:t>
      </w:r>
      <w:r w:rsidR="00A03C71" w:rsidRPr="000B38DD">
        <w:rPr>
          <w:lang w:val="fr-FR"/>
        </w:rPr>
        <w:t>eff</w:t>
      </w:r>
      <w:r w:rsidR="00C77767">
        <w:rPr>
          <w:lang w:val="fr-FR"/>
        </w:rPr>
        <w:t xml:space="preserve">icacité de la </w:t>
      </w:r>
      <w:r w:rsidR="00A03C71" w:rsidRPr="000B38DD">
        <w:rPr>
          <w:lang w:val="fr-FR"/>
        </w:rPr>
        <w:t xml:space="preserve">Convention </w:t>
      </w:r>
      <w:r w:rsidR="00C77767">
        <w:rPr>
          <w:lang w:val="fr-FR"/>
        </w:rPr>
        <w:t xml:space="preserve">de </w:t>
      </w:r>
      <w:r w:rsidR="00C77767" w:rsidRPr="000B38DD">
        <w:rPr>
          <w:lang w:val="fr-FR"/>
        </w:rPr>
        <w:t xml:space="preserve">2003 </w:t>
      </w:r>
      <w:r w:rsidR="00A03C71" w:rsidRPr="000B38DD">
        <w:rPr>
          <w:lang w:val="fr-FR"/>
        </w:rPr>
        <w:t>(</w:t>
      </w:r>
      <w:hyperlink r:id="rId26" w:history="1">
        <w:r w:rsidR="00C77767">
          <w:rPr>
            <w:rStyle w:val="Hyperlink"/>
            <w:lang w:val="fr-FR"/>
          </w:rPr>
          <w:t>d</w:t>
        </w:r>
        <w:r w:rsidR="00A03C71" w:rsidRPr="000B38DD">
          <w:rPr>
            <w:rStyle w:val="Hyperlink"/>
            <w:lang w:val="fr-FR"/>
          </w:rPr>
          <w:t>ocument</w:t>
        </w:r>
        <w:r w:rsidR="00541CBF">
          <w:rPr>
            <w:rStyle w:val="Hyperlink"/>
            <w:lang w:val="fr-FR"/>
          </w:rPr>
          <w:t> </w:t>
        </w:r>
        <w:r w:rsidR="00A03C71" w:rsidRPr="000B38DD">
          <w:rPr>
            <w:rStyle w:val="Hyperlink"/>
            <w:lang w:val="fr-FR"/>
          </w:rPr>
          <w:t>ITH/13/8.COM/INF.5.c</w:t>
        </w:r>
      </w:hyperlink>
      <w:r w:rsidR="00A03C71" w:rsidRPr="000B38DD">
        <w:rPr>
          <w:lang w:val="fr-FR"/>
        </w:rPr>
        <w:t xml:space="preserve">), </w:t>
      </w:r>
      <w:r w:rsidR="00C77767">
        <w:rPr>
          <w:lang w:val="fr-FR"/>
        </w:rPr>
        <w:t xml:space="preserve">le Comité a </w:t>
      </w:r>
      <w:r w:rsidR="00A03C71" w:rsidRPr="000B38DD">
        <w:rPr>
          <w:lang w:val="fr-FR"/>
        </w:rPr>
        <w:t>sp</w:t>
      </w:r>
      <w:r w:rsidR="00C77767">
        <w:rPr>
          <w:lang w:val="fr-FR"/>
        </w:rPr>
        <w:t>é</w:t>
      </w:r>
      <w:r w:rsidR="00A03C71" w:rsidRPr="000B38DD">
        <w:rPr>
          <w:lang w:val="fr-FR"/>
        </w:rPr>
        <w:t>cifi</w:t>
      </w:r>
      <w:r w:rsidR="00C77767">
        <w:rPr>
          <w:lang w:val="fr-FR"/>
        </w:rPr>
        <w:t>quement demandé au Secrétariat</w:t>
      </w:r>
      <w:r w:rsidR="00A03C71" w:rsidRPr="000B38DD">
        <w:rPr>
          <w:lang w:val="fr-FR"/>
        </w:rPr>
        <w:t xml:space="preserve"> </w:t>
      </w:r>
      <w:r w:rsidR="00C77767">
        <w:rPr>
          <w:lang w:val="fr-FR"/>
        </w:rPr>
        <w:t xml:space="preserve">de </w:t>
      </w:r>
      <w:r w:rsidR="00A03C71" w:rsidRPr="000B38DD">
        <w:rPr>
          <w:lang w:val="fr-FR"/>
        </w:rPr>
        <w:t>(</w:t>
      </w:r>
      <w:hyperlink r:id="rId27" w:history="1">
        <w:r w:rsidR="00541CBF" w:rsidRPr="0018348B">
          <w:rPr>
            <w:rStyle w:val="Hyperlink"/>
            <w:lang w:val="fr-FR"/>
          </w:rPr>
          <w:t>dé</w:t>
        </w:r>
        <w:r w:rsidR="00490A8E" w:rsidRPr="0018348B">
          <w:rPr>
            <w:rStyle w:val="Hyperlink"/>
            <w:lang w:val="fr-FR"/>
          </w:rPr>
          <w:t>cision 8.COM </w:t>
        </w:r>
        <w:r w:rsidR="00541CBF" w:rsidRPr="0018348B">
          <w:rPr>
            <w:rStyle w:val="Hyperlink"/>
            <w:lang w:val="fr-FR"/>
          </w:rPr>
          <w:t>5.c.1</w:t>
        </w:r>
      </w:hyperlink>
      <w:r w:rsidR="00A03C71" w:rsidRPr="000B38DD">
        <w:rPr>
          <w:lang w:val="fr-FR"/>
        </w:rPr>
        <w:t>)</w:t>
      </w:r>
      <w:r w:rsidR="00C77767">
        <w:rPr>
          <w:lang w:val="fr-FR"/>
        </w:rPr>
        <w:t> </w:t>
      </w:r>
      <w:r w:rsidR="00A03C71" w:rsidRPr="000B38DD">
        <w:rPr>
          <w:lang w:val="fr-FR"/>
        </w:rPr>
        <w:t>:</w:t>
      </w:r>
    </w:p>
    <w:p w14:paraId="1055E603" w14:textId="0897D0C0" w:rsidR="00A03C71" w:rsidRPr="000B38DD" w:rsidRDefault="00A03C71" w:rsidP="006A095C">
      <w:pPr>
        <w:pStyle w:val="COMPara"/>
        <w:ind w:left="851" w:hanging="284"/>
        <w:jc w:val="both"/>
        <w:rPr>
          <w:lang w:val="fr-FR"/>
        </w:rPr>
      </w:pPr>
      <w:r w:rsidRPr="000B38DD">
        <w:rPr>
          <w:lang w:val="fr-FR"/>
        </w:rPr>
        <w:t>-</w:t>
      </w:r>
      <w:r w:rsidRPr="000B38DD">
        <w:rPr>
          <w:lang w:val="fr-FR"/>
        </w:rPr>
        <w:tab/>
      </w:r>
      <w:r w:rsidR="006A3456">
        <w:rPr>
          <w:lang w:val="fr-FR"/>
        </w:rPr>
        <w:t xml:space="preserve">renforcer le soutien aux pays en matière de </w:t>
      </w:r>
      <w:r w:rsidR="00E561E1">
        <w:rPr>
          <w:lang w:val="fr-FR"/>
        </w:rPr>
        <w:t>développement</w:t>
      </w:r>
      <w:r w:rsidR="006A3456">
        <w:rPr>
          <w:lang w:val="fr-FR"/>
        </w:rPr>
        <w:t xml:space="preserve"> de politiques et de </w:t>
      </w:r>
      <w:r w:rsidRPr="000B38DD">
        <w:rPr>
          <w:lang w:val="fr-FR"/>
        </w:rPr>
        <w:t>l</w:t>
      </w:r>
      <w:r w:rsidR="006A3456">
        <w:rPr>
          <w:lang w:val="fr-FR"/>
        </w:rPr>
        <w:t>é</w:t>
      </w:r>
      <w:r w:rsidRPr="000B38DD">
        <w:rPr>
          <w:lang w:val="fr-FR"/>
        </w:rPr>
        <w:t xml:space="preserve">gislation </w:t>
      </w:r>
      <w:r w:rsidR="006A3456">
        <w:rPr>
          <w:lang w:val="fr-FR"/>
        </w:rPr>
        <w:t>pour le patrimoine culturel immatériel </w:t>
      </w:r>
      <w:r w:rsidRPr="000B38DD">
        <w:rPr>
          <w:lang w:val="fr-FR"/>
        </w:rPr>
        <w:t>;</w:t>
      </w:r>
    </w:p>
    <w:p w14:paraId="4A65C905" w14:textId="77777777" w:rsidR="00A03C71" w:rsidRPr="000B38DD" w:rsidRDefault="00A03C71" w:rsidP="006A095C">
      <w:pPr>
        <w:pStyle w:val="COMPara"/>
        <w:ind w:left="851" w:hanging="284"/>
        <w:jc w:val="both"/>
        <w:rPr>
          <w:lang w:val="fr-FR"/>
        </w:rPr>
      </w:pPr>
      <w:r w:rsidRPr="000B38DD">
        <w:rPr>
          <w:lang w:val="fr-FR"/>
        </w:rPr>
        <w:t>-</w:t>
      </w:r>
      <w:r w:rsidRPr="000B38DD">
        <w:rPr>
          <w:lang w:val="fr-FR"/>
        </w:rPr>
        <w:tab/>
      </w:r>
      <w:r w:rsidR="006A3456">
        <w:rPr>
          <w:lang w:val="fr-FR"/>
        </w:rPr>
        <w:t>établir un mécanisme de suivi et d’é</w:t>
      </w:r>
      <w:r w:rsidRPr="000B38DD">
        <w:rPr>
          <w:lang w:val="fr-FR"/>
        </w:rPr>
        <w:t xml:space="preserve">valuation </w:t>
      </w:r>
      <w:r w:rsidR="006A3456">
        <w:rPr>
          <w:lang w:val="fr-FR"/>
        </w:rPr>
        <w:t xml:space="preserve">des activités de renforcement des capacités pour collecter </w:t>
      </w:r>
      <w:r w:rsidR="003432C8">
        <w:rPr>
          <w:lang w:val="fr-FR"/>
        </w:rPr>
        <w:t xml:space="preserve">des </w:t>
      </w:r>
      <w:r w:rsidR="006A3456">
        <w:rPr>
          <w:lang w:val="fr-FR"/>
        </w:rPr>
        <w:t>données relatives à leur efficacité </w:t>
      </w:r>
      <w:r w:rsidRPr="000B38DD">
        <w:rPr>
          <w:lang w:val="fr-FR"/>
        </w:rPr>
        <w:t>;</w:t>
      </w:r>
    </w:p>
    <w:p w14:paraId="3DDDAD0B" w14:textId="77777777" w:rsidR="00A03C71" w:rsidRPr="000B38DD" w:rsidRDefault="00A03C71" w:rsidP="006A095C">
      <w:pPr>
        <w:pStyle w:val="COMPara"/>
        <w:ind w:left="851" w:hanging="284"/>
        <w:jc w:val="both"/>
        <w:rPr>
          <w:lang w:val="fr-FR"/>
        </w:rPr>
      </w:pPr>
      <w:r w:rsidRPr="000B38DD">
        <w:rPr>
          <w:lang w:val="fr-FR"/>
        </w:rPr>
        <w:t>-</w:t>
      </w:r>
      <w:r w:rsidRPr="000B38DD">
        <w:rPr>
          <w:lang w:val="fr-FR"/>
        </w:rPr>
        <w:tab/>
      </w:r>
      <w:r w:rsidR="006A3456">
        <w:rPr>
          <w:lang w:val="fr-FR"/>
        </w:rPr>
        <w:t xml:space="preserve">adapter constamment les contenus et </w:t>
      </w:r>
      <w:r w:rsidRPr="000B38DD">
        <w:rPr>
          <w:lang w:val="fr-FR"/>
        </w:rPr>
        <w:t>format</w:t>
      </w:r>
      <w:r w:rsidR="006A3456">
        <w:rPr>
          <w:lang w:val="fr-FR"/>
        </w:rPr>
        <w:t>s</w:t>
      </w:r>
      <w:r w:rsidRPr="000B38DD">
        <w:rPr>
          <w:lang w:val="fr-FR"/>
        </w:rPr>
        <w:t xml:space="preserve"> </w:t>
      </w:r>
      <w:r w:rsidR="006A3456">
        <w:rPr>
          <w:lang w:val="fr-FR"/>
        </w:rPr>
        <w:t xml:space="preserve">du programme de renforcement des capacités de la Convention pour </w:t>
      </w:r>
      <w:r w:rsidRPr="000B38DD">
        <w:rPr>
          <w:lang w:val="fr-FR"/>
        </w:rPr>
        <w:t>r</w:t>
      </w:r>
      <w:r w:rsidR="006A3456">
        <w:rPr>
          <w:lang w:val="fr-FR"/>
        </w:rPr>
        <w:t xml:space="preserve">épondre aux principaux défis liés </w:t>
      </w:r>
      <w:r w:rsidR="003432C8">
        <w:rPr>
          <w:lang w:val="fr-FR"/>
        </w:rPr>
        <w:t xml:space="preserve">à </w:t>
      </w:r>
      <w:r w:rsidR="006A3456">
        <w:rPr>
          <w:lang w:val="fr-FR"/>
        </w:rPr>
        <w:t xml:space="preserve">une mise en œuvre au niveau </w:t>
      </w:r>
      <w:r w:rsidRPr="000B38DD">
        <w:rPr>
          <w:lang w:val="fr-FR"/>
        </w:rPr>
        <w:t>national.</w:t>
      </w:r>
    </w:p>
    <w:p w14:paraId="7C444BDF" w14:textId="77777777" w:rsidR="00A03C71" w:rsidRPr="006A3456" w:rsidRDefault="006A3456" w:rsidP="00EE55A0">
      <w:pPr>
        <w:pStyle w:val="COMPara"/>
        <w:keepNext/>
        <w:numPr>
          <w:ilvl w:val="0"/>
          <w:numId w:val="16"/>
        </w:numPr>
        <w:spacing w:before="240"/>
        <w:ind w:left="1276"/>
        <w:rPr>
          <w:b/>
          <w:lang w:val="fr-FR"/>
        </w:rPr>
      </w:pPr>
      <w:r w:rsidRPr="006A3456">
        <w:rPr>
          <w:b/>
          <w:lang w:val="fr-FR"/>
        </w:rPr>
        <w:t xml:space="preserve">Services de </w:t>
      </w:r>
      <w:r w:rsidRPr="00EE55A0">
        <w:rPr>
          <w:b/>
          <w:lang w:val="fr-FR"/>
        </w:rPr>
        <w:t>renforcement</w:t>
      </w:r>
      <w:r w:rsidRPr="006A3456">
        <w:rPr>
          <w:b/>
          <w:lang w:val="fr-FR"/>
        </w:rPr>
        <w:t xml:space="preserve"> des capacités effectivement fournis aux pays bénéficiaires</w:t>
      </w:r>
    </w:p>
    <w:p w14:paraId="631F91C9" w14:textId="3DC22E84" w:rsidR="00A03C71" w:rsidRPr="000B38DD" w:rsidRDefault="006A3456" w:rsidP="00A03C71">
      <w:pPr>
        <w:pStyle w:val="COMPara"/>
        <w:numPr>
          <w:ilvl w:val="0"/>
          <w:numId w:val="9"/>
        </w:numPr>
        <w:ind w:left="567" w:hanging="567"/>
        <w:jc w:val="both"/>
        <w:rPr>
          <w:lang w:val="fr-FR"/>
        </w:rPr>
      </w:pPr>
      <w:r w:rsidRPr="006A3456">
        <w:rPr>
          <w:lang w:val="fr-FR"/>
        </w:rPr>
        <w:t xml:space="preserve">Comme expliqué </w:t>
      </w:r>
      <w:r w:rsidR="006333EC">
        <w:rPr>
          <w:lang w:val="fr-FR"/>
        </w:rPr>
        <w:t xml:space="preserve">en détails </w:t>
      </w:r>
      <w:r w:rsidRPr="006A3456">
        <w:rPr>
          <w:lang w:val="fr-FR"/>
        </w:rPr>
        <w:t xml:space="preserve">dans les rapports précédents au Comité et à l’Assemblée générale, la prestation de service de renforcement des capacités aux pays est au cœur de la stratégie de renforcement des capacités, en regroupant souvent plusieurs programmes nationaux complémentaires au sein d’un projet plus large mis en œuvre par un ou plusieurs bureaux hors Siège. Ce type de projet couvre généralement une période de </w:t>
      </w:r>
      <w:r w:rsidR="00D85066">
        <w:rPr>
          <w:lang w:val="fr-FR"/>
        </w:rPr>
        <w:t>24</w:t>
      </w:r>
      <w:r w:rsidRPr="006A3456">
        <w:rPr>
          <w:lang w:val="fr-FR"/>
        </w:rPr>
        <w:t xml:space="preserve"> à 36 mois et vise à répondre aux besoins les plus urgents</w:t>
      </w:r>
      <w:r w:rsidR="0031750B">
        <w:rPr>
          <w:lang w:val="fr-FR"/>
        </w:rPr>
        <w:t xml:space="preserve"> dans un pays</w:t>
      </w:r>
      <w:r w:rsidR="00D714E4">
        <w:rPr>
          <w:lang w:val="fr-FR"/>
        </w:rPr>
        <w:t xml:space="preserve"> particulier</w:t>
      </w:r>
      <w:r w:rsidRPr="006A3456">
        <w:rPr>
          <w:lang w:val="fr-FR"/>
        </w:rPr>
        <w:t> </w:t>
      </w:r>
      <w:r w:rsidRPr="00EE55A0">
        <w:rPr>
          <w:lang w:val="fr-FR"/>
        </w:rPr>
        <w:t>:</w:t>
      </w:r>
    </w:p>
    <w:p w14:paraId="4D28BBE3" w14:textId="77777777" w:rsidR="006A3456" w:rsidRPr="006A3456" w:rsidRDefault="006A3456" w:rsidP="00EE55A0">
      <w:pPr>
        <w:pStyle w:val="COMPara"/>
        <w:numPr>
          <w:ilvl w:val="0"/>
          <w:numId w:val="28"/>
        </w:numPr>
        <w:ind w:left="851" w:hanging="284"/>
        <w:jc w:val="both"/>
        <w:rPr>
          <w:lang w:val="fr-FR"/>
        </w:rPr>
      </w:pPr>
      <w:r w:rsidRPr="006A3456">
        <w:rPr>
          <w:lang w:val="fr-FR"/>
        </w:rPr>
        <w:t xml:space="preserve">révision des politiques et de la législation ; </w:t>
      </w:r>
    </w:p>
    <w:p w14:paraId="2EBCD493" w14:textId="77777777" w:rsidR="006A3456" w:rsidRPr="006A3456" w:rsidRDefault="006A3456" w:rsidP="00EE55A0">
      <w:pPr>
        <w:pStyle w:val="COMPara"/>
        <w:numPr>
          <w:ilvl w:val="0"/>
          <w:numId w:val="28"/>
        </w:numPr>
        <w:ind w:left="851" w:hanging="284"/>
        <w:jc w:val="both"/>
        <w:rPr>
          <w:lang w:val="fr-FR"/>
        </w:rPr>
      </w:pPr>
      <w:r w:rsidRPr="006A3456">
        <w:rPr>
          <w:lang w:val="fr-FR"/>
        </w:rPr>
        <w:t xml:space="preserve">refonte des infrastructures institutionnelles ; </w:t>
      </w:r>
    </w:p>
    <w:p w14:paraId="1D33CE77" w14:textId="77777777" w:rsidR="006A3456" w:rsidRPr="006A3456" w:rsidRDefault="006A3456" w:rsidP="00EE55A0">
      <w:pPr>
        <w:pStyle w:val="COMPara"/>
        <w:numPr>
          <w:ilvl w:val="0"/>
          <w:numId w:val="28"/>
        </w:numPr>
        <w:ind w:left="851" w:hanging="284"/>
        <w:jc w:val="both"/>
        <w:rPr>
          <w:lang w:val="fr-FR"/>
        </w:rPr>
      </w:pPr>
      <w:r w:rsidRPr="006A3456">
        <w:rPr>
          <w:lang w:val="fr-FR"/>
        </w:rPr>
        <w:t xml:space="preserve">développement de méthodes d’inventaire ; </w:t>
      </w:r>
    </w:p>
    <w:p w14:paraId="67847482" w14:textId="77777777" w:rsidR="006A3456" w:rsidRPr="006A3456" w:rsidRDefault="006A3456" w:rsidP="00EE55A0">
      <w:pPr>
        <w:pStyle w:val="COMPara"/>
        <w:numPr>
          <w:ilvl w:val="0"/>
          <w:numId w:val="28"/>
        </w:numPr>
        <w:ind w:left="851" w:hanging="284"/>
        <w:jc w:val="both"/>
        <w:rPr>
          <w:lang w:val="fr-FR"/>
        </w:rPr>
      </w:pPr>
      <w:r w:rsidRPr="006A3456">
        <w:rPr>
          <w:lang w:val="fr-FR"/>
        </w:rPr>
        <w:t xml:space="preserve">développement de plans et de mesures de sauvegarde ; </w:t>
      </w:r>
    </w:p>
    <w:p w14:paraId="5F7691CA" w14:textId="77777777" w:rsidR="006A3456" w:rsidRPr="006A3456" w:rsidRDefault="006A3456" w:rsidP="00EE55A0">
      <w:pPr>
        <w:pStyle w:val="COMPara"/>
        <w:numPr>
          <w:ilvl w:val="0"/>
          <w:numId w:val="28"/>
        </w:numPr>
        <w:ind w:left="851" w:hanging="284"/>
        <w:jc w:val="both"/>
        <w:rPr>
          <w:lang w:val="fr-FR"/>
        </w:rPr>
      </w:pPr>
      <w:r w:rsidRPr="006A3456">
        <w:rPr>
          <w:lang w:val="fr-FR"/>
        </w:rPr>
        <w:t>participation effective aux mécanismes de coopération de la Convention.</w:t>
      </w:r>
    </w:p>
    <w:p w14:paraId="62C3E82B" w14:textId="77777777" w:rsidR="00A03C71" w:rsidRPr="006A3456" w:rsidRDefault="006A3456" w:rsidP="006A3456">
      <w:pPr>
        <w:pStyle w:val="COMPara"/>
        <w:ind w:left="567" w:firstLine="0"/>
        <w:jc w:val="both"/>
        <w:rPr>
          <w:lang w:val="fr-FR"/>
        </w:rPr>
      </w:pPr>
      <w:r w:rsidRPr="006A3456">
        <w:rPr>
          <w:lang w:val="fr-FR"/>
        </w:rPr>
        <w:t>Toutes les activités mises en place dans le cadre de la stratégie visent à mobiliser pleinement l’ensemble des parties prenantes (gouvernement, société civile et communautés) pour la prise de décision, l’administration et les aspects pratiques de la sauvegarde du patrimoine culturel immatériel, en veillant particulièrement à l’égalité des genres en ce qui concerne les différents besoins, aspirations, capacités et contributions.</w:t>
      </w:r>
    </w:p>
    <w:p w14:paraId="1F5D30F9" w14:textId="4684FF7F" w:rsidR="00A03C71" w:rsidRPr="00EE55A0" w:rsidRDefault="00D714E4" w:rsidP="00EE55A0">
      <w:pPr>
        <w:pStyle w:val="COMPara"/>
        <w:numPr>
          <w:ilvl w:val="0"/>
          <w:numId w:val="9"/>
        </w:numPr>
        <w:ind w:left="567" w:hanging="567"/>
        <w:jc w:val="both"/>
        <w:rPr>
          <w:lang w:val="fr-FR"/>
        </w:rPr>
      </w:pPr>
      <w:r w:rsidRPr="00EE55A0">
        <w:rPr>
          <w:lang w:val="fr-FR"/>
        </w:rPr>
        <w:t>D</w:t>
      </w:r>
      <w:r w:rsidR="006333EC" w:rsidRPr="00EE55A0">
        <w:rPr>
          <w:lang w:val="fr-FR"/>
        </w:rPr>
        <w:t>es activités de renforcement des capacités ont</w:t>
      </w:r>
      <w:r w:rsidR="00CA5610" w:rsidRPr="007D3945">
        <w:rPr>
          <w:lang w:val="fr-FR"/>
        </w:rPr>
        <w:t xml:space="preserve"> </w:t>
      </w:r>
      <w:r w:rsidR="00C40D88" w:rsidRPr="00EE55A0">
        <w:rPr>
          <w:lang w:val="fr-FR"/>
        </w:rPr>
        <w:t xml:space="preserve">été </w:t>
      </w:r>
      <w:r w:rsidR="00BB28DC">
        <w:rPr>
          <w:lang w:val="fr-FR"/>
        </w:rPr>
        <w:t xml:space="preserve">lancées ou </w:t>
      </w:r>
      <w:r w:rsidR="00C40D88" w:rsidRPr="00EE55A0">
        <w:rPr>
          <w:lang w:val="fr-FR"/>
        </w:rPr>
        <w:t>mise</w:t>
      </w:r>
      <w:r w:rsidR="00BB28DC">
        <w:rPr>
          <w:lang w:val="fr-FR"/>
        </w:rPr>
        <w:t>s</w:t>
      </w:r>
      <w:r w:rsidR="00C40D88" w:rsidRPr="00EE55A0">
        <w:rPr>
          <w:lang w:val="fr-FR"/>
        </w:rPr>
        <w:t xml:space="preserve"> en œuvre dans </w:t>
      </w:r>
      <w:r w:rsidR="00CA5610" w:rsidRPr="00EE55A0">
        <w:rPr>
          <w:lang w:val="fr-FR"/>
        </w:rPr>
        <w:t xml:space="preserve">plus de </w:t>
      </w:r>
      <w:r w:rsidR="00A03C71" w:rsidRPr="00EE55A0">
        <w:rPr>
          <w:lang w:val="fr-FR"/>
        </w:rPr>
        <w:t>7</w:t>
      </w:r>
      <w:r w:rsidR="00CA5610" w:rsidRPr="00EE55A0">
        <w:rPr>
          <w:lang w:val="fr-FR"/>
        </w:rPr>
        <w:t>0</w:t>
      </w:r>
      <w:r w:rsidR="00C40D88" w:rsidRPr="00EE55A0">
        <w:rPr>
          <w:lang w:val="fr-FR"/>
        </w:rPr>
        <w:t xml:space="preserve"> pays au cours des </w:t>
      </w:r>
      <w:r w:rsidR="00CA5610" w:rsidRPr="00EE55A0">
        <w:rPr>
          <w:lang w:val="fr-FR"/>
        </w:rPr>
        <w:t>deux</w:t>
      </w:r>
      <w:r>
        <w:rPr>
          <w:lang w:val="fr-FR"/>
        </w:rPr>
        <w:t xml:space="preserve"> d</w:t>
      </w:r>
      <w:r w:rsidR="00C40D88" w:rsidRPr="00EE55A0">
        <w:rPr>
          <w:lang w:val="fr-FR"/>
        </w:rPr>
        <w:t>ernières années</w:t>
      </w:r>
      <w:r w:rsidR="00CA5610" w:rsidRPr="00EE55A0">
        <w:rPr>
          <w:lang w:val="fr-FR"/>
        </w:rPr>
        <w:t xml:space="preserve">, </w:t>
      </w:r>
      <w:r>
        <w:rPr>
          <w:lang w:val="fr-FR"/>
        </w:rPr>
        <w:t>dans</w:t>
      </w:r>
      <w:r w:rsidR="00CA5610" w:rsidRPr="00EE55A0">
        <w:rPr>
          <w:lang w:val="fr-FR"/>
        </w:rPr>
        <w:t xml:space="preserve"> toutes les régions du monde. L’Afrique a reçu une attention particulière à cet égard, avec 26 pays bénéficiaires</w:t>
      </w:r>
      <w:r>
        <w:rPr>
          <w:lang w:val="fr-FR"/>
        </w:rPr>
        <w:t>.</w:t>
      </w:r>
      <w:r w:rsidR="00A03C71" w:rsidRPr="00EE55A0">
        <w:rPr>
          <w:lang w:val="fr-FR"/>
        </w:rPr>
        <w:t xml:space="preserve"> </w:t>
      </w:r>
      <w:r w:rsidR="0004354E" w:rsidRPr="00EE55A0">
        <w:rPr>
          <w:lang w:val="fr-FR"/>
        </w:rPr>
        <w:t xml:space="preserve">Le soutien au renforcement des capacités </w:t>
      </w:r>
      <w:r w:rsidR="00CA5610" w:rsidRPr="00EE55A0">
        <w:rPr>
          <w:lang w:val="fr-FR"/>
        </w:rPr>
        <w:t xml:space="preserve">a pris </w:t>
      </w:r>
      <w:r w:rsidR="0004354E" w:rsidRPr="00EE55A0">
        <w:rPr>
          <w:lang w:val="fr-FR"/>
        </w:rPr>
        <w:t xml:space="preserve">différentes </w:t>
      </w:r>
      <w:r w:rsidR="00A03C71" w:rsidRPr="00EE55A0">
        <w:rPr>
          <w:lang w:val="fr-FR"/>
        </w:rPr>
        <w:t>form</w:t>
      </w:r>
      <w:r w:rsidR="0004354E" w:rsidRPr="00EE55A0">
        <w:rPr>
          <w:lang w:val="fr-FR"/>
        </w:rPr>
        <w:t>es </w:t>
      </w:r>
      <w:r w:rsidR="00A03C71" w:rsidRPr="00EE55A0">
        <w:rPr>
          <w:lang w:val="fr-FR"/>
        </w:rPr>
        <w:t xml:space="preserve">; </w:t>
      </w:r>
      <w:r w:rsidR="0004354E" w:rsidRPr="00EE55A0">
        <w:rPr>
          <w:lang w:val="fr-FR"/>
        </w:rPr>
        <w:t xml:space="preserve">il </w:t>
      </w:r>
      <w:r>
        <w:rPr>
          <w:lang w:val="fr-FR"/>
        </w:rPr>
        <w:t xml:space="preserve">a </w:t>
      </w:r>
      <w:r w:rsidR="00CA5610" w:rsidRPr="007D3945">
        <w:rPr>
          <w:lang w:val="fr-FR"/>
        </w:rPr>
        <w:t>p</w:t>
      </w:r>
      <w:r>
        <w:rPr>
          <w:lang w:val="fr-FR"/>
        </w:rPr>
        <w:t>u</w:t>
      </w:r>
      <w:r w:rsidR="0004354E" w:rsidRPr="00EE55A0">
        <w:rPr>
          <w:lang w:val="fr-FR"/>
        </w:rPr>
        <w:t xml:space="preserve"> s’agir par </w:t>
      </w:r>
      <w:r w:rsidR="00A03C71" w:rsidRPr="00EE55A0">
        <w:rPr>
          <w:lang w:val="fr-FR"/>
        </w:rPr>
        <w:t>ex</w:t>
      </w:r>
      <w:r w:rsidR="0004354E" w:rsidRPr="00EE55A0">
        <w:rPr>
          <w:lang w:val="fr-FR"/>
        </w:rPr>
        <w:t>e</w:t>
      </w:r>
      <w:r w:rsidR="00A03C71" w:rsidRPr="00EE55A0">
        <w:rPr>
          <w:lang w:val="fr-FR"/>
        </w:rPr>
        <w:t>mple</w:t>
      </w:r>
      <w:r w:rsidR="0004354E" w:rsidRPr="00EE55A0">
        <w:rPr>
          <w:lang w:val="fr-FR"/>
        </w:rPr>
        <w:t xml:space="preserve"> de projets à court terme </w:t>
      </w:r>
      <w:r w:rsidR="00545E2F" w:rsidRPr="007D3945">
        <w:rPr>
          <w:lang w:val="fr-FR"/>
        </w:rPr>
        <w:t xml:space="preserve">avec </w:t>
      </w:r>
      <w:r w:rsidR="001A53B3">
        <w:rPr>
          <w:lang w:val="fr-FR"/>
        </w:rPr>
        <w:t xml:space="preserve">seulement </w:t>
      </w:r>
      <w:r w:rsidR="00545E2F" w:rsidRPr="007D3945">
        <w:rPr>
          <w:lang w:val="fr-FR"/>
        </w:rPr>
        <w:t xml:space="preserve">une </w:t>
      </w:r>
      <w:r w:rsidR="001A53B3">
        <w:rPr>
          <w:lang w:val="fr-FR"/>
        </w:rPr>
        <w:t>évaluation des besoins</w:t>
      </w:r>
      <w:r w:rsidR="0004354E" w:rsidRPr="00EE55A0">
        <w:rPr>
          <w:lang w:val="fr-FR"/>
        </w:rPr>
        <w:t xml:space="preserve"> dans un premier temps ou </w:t>
      </w:r>
      <w:r w:rsidR="00A03C71" w:rsidRPr="00EE55A0">
        <w:rPr>
          <w:lang w:val="fr-FR"/>
        </w:rPr>
        <w:t>co</w:t>
      </w:r>
      <w:r w:rsidR="0004354E" w:rsidRPr="00EE55A0">
        <w:rPr>
          <w:lang w:val="fr-FR"/>
        </w:rPr>
        <w:t xml:space="preserve">uvrant un </w:t>
      </w:r>
      <w:r w:rsidR="00A03C71" w:rsidRPr="00EE55A0">
        <w:rPr>
          <w:lang w:val="fr-FR"/>
        </w:rPr>
        <w:t>th</w:t>
      </w:r>
      <w:r w:rsidR="0004354E" w:rsidRPr="00EE55A0">
        <w:rPr>
          <w:lang w:val="fr-FR"/>
        </w:rPr>
        <w:t>è</w:t>
      </w:r>
      <w:r w:rsidR="00A03C71" w:rsidRPr="00EE55A0">
        <w:rPr>
          <w:lang w:val="fr-FR"/>
        </w:rPr>
        <w:t>me</w:t>
      </w:r>
      <w:r w:rsidR="00CA5610" w:rsidRPr="007D3945">
        <w:rPr>
          <w:lang w:val="fr-FR"/>
        </w:rPr>
        <w:t xml:space="preserve"> unique,</w:t>
      </w:r>
      <w:r w:rsidR="0004354E" w:rsidRPr="00EE55A0">
        <w:rPr>
          <w:lang w:val="fr-FR"/>
        </w:rPr>
        <w:t xml:space="preserve"> alors que d’autre</w:t>
      </w:r>
      <w:r w:rsidR="003432C8" w:rsidRPr="00EE55A0">
        <w:rPr>
          <w:lang w:val="fr-FR"/>
        </w:rPr>
        <w:t>s</w:t>
      </w:r>
      <w:r w:rsidR="0004354E" w:rsidRPr="00EE55A0">
        <w:rPr>
          <w:lang w:val="fr-FR"/>
        </w:rPr>
        <w:t xml:space="preserve"> projets </w:t>
      </w:r>
      <w:r>
        <w:rPr>
          <w:lang w:val="fr-FR"/>
        </w:rPr>
        <w:t>o</w:t>
      </w:r>
      <w:r w:rsidR="00545E2F" w:rsidRPr="007D3945">
        <w:rPr>
          <w:lang w:val="fr-FR"/>
        </w:rPr>
        <w:t xml:space="preserve">nt </w:t>
      </w:r>
      <w:r>
        <w:rPr>
          <w:lang w:val="fr-FR"/>
        </w:rPr>
        <w:t xml:space="preserve">été </w:t>
      </w:r>
      <w:r w:rsidR="0004354E" w:rsidRPr="00EE55A0">
        <w:rPr>
          <w:lang w:val="fr-FR"/>
        </w:rPr>
        <w:t xml:space="preserve">pluriannuels et </w:t>
      </w:r>
      <w:r>
        <w:rPr>
          <w:lang w:val="fr-FR"/>
        </w:rPr>
        <w:t xml:space="preserve">ont </w:t>
      </w:r>
      <w:r w:rsidR="0004354E" w:rsidRPr="00EE55A0">
        <w:rPr>
          <w:lang w:val="fr-FR"/>
        </w:rPr>
        <w:t>comport</w:t>
      </w:r>
      <w:r>
        <w:rPr>
          <w:lang w:val="fr-FR"/>
        </w:rPr>
        <w:t>é</w:t>
      </w:r>
      <w:r w:rsidR="0004354E" w:rsidRPr="00EE55A0">
        <w:rPr>
          <w:lang w:val="fr-FR"/>
        </w:rPr>
        <w:t xml:space="preserve"> plusieurs </w:t>
      </w:r>
      <w:r>
        <w:rPr>
          <w:lang w:val="fr-FR"/>
        </w:rPr>
        <w:t>composantes</w:t>
      </w:r>
      <w:r w:rsidRPr="00EE55A0">
        <w:rPr>
          <w:lang w:val="fr-FR"/>
        </w:rPr>
        <w:t xml:space="preserve"> </w:t>
      </w:r>
      <w:r w:rsidR="0004354E" w:rsidRPr="00EE55A0">
        <w:rPr>
          <w:lang w:val="fr-FR"/>
        </w:rPr>
        <w:t>de formation </w:t>
      </w:r>
      <w:r w:rsidR="00A03C71" w:rsidRPr="00EE55A0">
        <w:rPr>
          <w:lang w:val="fr-FR"/>
        </w:rPr>
        <w:t xml:space="preserve">; </w:t>
      </w:r>
      <w:r w:rsidR="0004354E" w:rsidRPr="00EE55A0">
        <w:rPr>
          <w:lang w:val="fr-FR"/>
        </w:rPr>
        <w:t xml:space="preserve">les </w:t>
      </w:r>
      <w:r w:rsidR="00C40D88" w:rsidRPr="00EE55A0">
        <w:rPr>
          <w:lang w:val="fr-FR"/>
        </w:rPr>
        <w:t>projets</w:t>
      </w:r>
      <w:r w:rsidR="00A03C71" w:rsidRPr="00EE55A0">
        <w:rPr>
          <w:lang w:val="fr-FR"/>
        </w:rPr>
        <w:t xml:space="preserve"> </w:t>
      </w:r>
      <w:r>
        <w:rPr>
          <w:lang w:val="fr-FR"/>
        </w:rPr>
        <w:t>o</w:t>
      </w:r>
      <w:r w:rsidR="00545E2F" w:rsidRPr="007D3945">
        <w:rPr>
          <w:lang w:val="fr-FR"/>
        </w:rPr>
        <w:t>nt</w:t>
      </w:r>
      <w:r w:rsidR="0004354E" w:rsidRPr="00EE55A0">
        <w:rPr>
          <w:lang w:val="fr-FR"/>
        </w:rPr>
        <w:t xml:space="preserve"> </w:t>
      </w:r>
      <w:r>
        <w:rPr>
          <w:lang w:val="fr-FR"/>
        </w:rPr>
        <w:t xml:space="preserve">été </w:t>
      </w:r>
      <w:r w:rsidR="00A03C71" w:rsidRPr="00EE55A0">
        <w:rPr>
          <w:lang w:val="fr-FR"/>
        </w:rPr>
        <w:t>f</w:t>
      </w:r>
      <w:r w:rsidR="0004354E" w:rsidRPr="00EE55A0">
        <w:rPr>
          <w:lang w:val="fr-FR"/>
        </w:rPr>
        <w:t>inancés par des ressources extrabudgétaires</w:t>
      </w:r>
      <w:r w:rsidR="00071D4B">
        <w:rPr>
          <w:lang w:val="fr-FR"/>
        </w:rPr>
        <w:t xml:space="preserve"> et </w:t>
      </w:r>
      <w:r w:rsidR="00545E2F" w:rsidRPr="007D3945">
        <w:rPr>
          <w:lang w:val="fr-FR"/>
        </w:rPr>
        <w:t>le</w:t>
      </w:r>
      <w:r w:rsidR="00545E2F" w:rsidRPr="00EE55A0">
        <w:rPr>
          <w:lang w:val="fr-FR"/>
        </w:rPr>
        <w:t xml:space="preserve"> </w:t>
      </w:r>
      <w:r w:rsidR="0004354E" w:rsidRPr="00EE55A0">
        <w:rPr>
          <w:lang w:val="fr-FR"/>
        </w:rPr>
        <w:t>programme ordinaire de l’</w:t>
      </w:r>
      <w:r w:rsidR="00A03C71" w:rsidRPr="00EE55A0">
        <w:rPr>
          <w:lang w:val="fr-FR"/>
        </w:rPr>
        <w:t>UNESCO</w:t>
      </w:r>
      <w:r w:rsidR="00545E2F" w:rsidRPr="007D3945">
        <w:rPr>
          <w:lang w:val="fr-FR"/>
        </w:rPr>
        <w:t>, avec des fonds de contrepartie</w:t>
      </w:r>
      <w:r w:rsidR="007D3945" w:rsidRPr="007D3945">
        <w:rPr>
          <w:lang w:val="fr-FR"/>
        </w:rPr>
        <w:t xml:space="preserve"> </w:t>
      </w:r>
      <w:r w:rsidR="00071D4B" w:rsidRPr="007D3945">
        <w:rPr>
          <w:lang w:val="fr-FR"/>
        </w:rPr>
        <w:t xml:space="preserve">nationaux </w:t>
      </w:r>
      <w:r w:rsidR="007D3945" w:rsidRPr="007D3945">
        <w:rPr>
          <w:lang w:val="fr-FR"/>
        </w:rPr>
        <w:t xml:space="preserve">dans certains cas ; </w:t>
      </w:r>
      <w:r w:rsidR="007D3945">
        <w:rPr>
          <w:lang w:val="fr-FR"/>
        </w:rPr>
        <w:t>des projets</w:t>
      </w:r>
      <w:r w:rsidR="00071D4B">
        <w:rPr>
          <w:lang w:val="fr-FR"/>
        </w:rPr>
        <w:t xml:space="preserve"> financés par </w:t>
      </w:r>
      <w:r w:rsidR="00071D4B" w:rsidRPr="00071D4B">
        <w:rPr>
          <w:lang w:val="fr-FR"/>
        </w:rPr>
        <w:t>des</w:t>
      </w:r>
      <w:r w:rsidR="007D3945" w:rsidRPr="00071D4B">
        <w:rPr>
          <w:lang w:val="fr-FR"/>
        </w:rPr>
        <w:t xml:space="preserve"> </w:t>
      </w:r>
      <w:r w:rsidR="00071D4B" w:rsidRPr="00EE55A0">
        <w:rPr>
          <w:lang w:val="fr-FR"/>
        </w:rPr>
        <w:t>fonds constitués au profit du donateur</w:t>
      </w:r>
      <w:r w:rsidR="00071D4B" w:rsidRPr="00071D4B">
        <w:rPr>
          <w:lang w:val="fr-FR"/>
        </w:rPr>
        <w:t xml:space="preserve"> ont également été mis en œuvre.</w:t>
      </w:r>
    </w:p>
    <w:p w14:paraId="552C8E4E" w14:textId="5F906CAC" w:rsidR="00A03C71" w:rsidRPr="000B38DD" w:rsidRDefault="006B3BE3" w:rsidP="00A03C71">
      <w:pPr>
        <w:pStyle w:val="COMPara"/>
        <w:numPr>
          <w:ilvl w:val="0"/>
          <w:numId w:val="9"/>
        </w:numPr>
        <w:ind w:left="567" w:hanging="567"/>
        <w:jc w:val="both"/>
        <w:rPr>
          <w:lang w:val="fr-FR"/>
        </w:rPr>
      </w:pPr>
      <w:r>
        <w:rPr>
          <w:lang w:val="fr-FR"/>
        </w:rPr>
        <w:t xml:space="preserve">Une amélioration </w:t>
      </w:r>
      <w:r w:rsidR="00A03C71" w:rsidRPr="000B38DD">
        <w:rPr>
          <w:lang w:val="fr-FR"/>
        </w:rPr>
        <w:t>important</w:t>
      </w:r>
      <w:r>
        <w:rPr>
          <w:lang w:val="fr-FR"/>
        </w:rPr>
        <w:t>e</w:t>
      </w:r>
      <w:r w:rsidR="00A03C71" w:rsidRPr="000B38DD">
        <w:rPr>
          <w:lang w:val="fr-FR"/>
        </w:rPr>
        <w:t xml:space="preserve"> </w:t>
      </w:r>
      <w:r>
        <w:rPr>
          <w:lang w:val="fr-FR"/>
        </w:rPr>
        <w:t>au cours de l’</w:t>
      </w:r>
      <w:r w:rsidR="00FE2DC0" w:rsidRPr="000B38DD">
        <w:rPr>
          <w:lang w:val="fr-FR"/>
        </w:rPr>
        <w:t>exercice biennal</w:t>
      </w:r>
      <w:r w:rsidR="00A03C71" w:rsidRPr="000B38DD">
        <w:rPr>
          <w:lang w:val="fr-FR"/>
        </w:rPr>
        <w:t xml:space="preserve"> concern</w:t>
      </w:r>
      <w:r>
        <w:rPr>
          <w:lang w:val="fr-FR"/>
        </w:rPr>
        <w:t>e</w:t>
      </w:r>
      <w:r w:rsidR="00A03C71" w:rsidRPr="000B38DD">
        <w:rPr>
          <w:lang w:val="fr-FR"/>
        </w:rPr>
        <w:t xml:space="preserve"> </w:t>
      </w:r>
      <w:r>
        <w:rPr>
          <w:lang w:val="fr-FR"/>
        </w:rPr>
        <w:t>l’</w:t>
      </w:r>
      <w:r w:rsidR="00A03C71" w:rsidRPr="000B38DD">
        <w:rPr>
          <w:lang w:val="fr-FR"/>
        </w:rPr>
        <w:t xml:space="preserve">introduction </w:t>
      </w:r>
      <w:r>
        <w:rPr>
          <w:lang w:val="fr-FR"/>
        </w:rPr>
        <w:t xml:space="preserve">d’évaluations approfondies des besoins lors de la phase d’élaboration du </w:t>
      </w:r>
      <w:r w:rsidR="004D5A54">
        <w:rPr>
          <w:lang w:val="fr-FR"/>
        </w:rPr>
        <w:t>projet. Cette</w:t>
      </w:r>
      <w:r w:rsidR="00615BC4" w:rsidRPr="00615BC4">
        <w:rPr>
          <w:lang w:val="fr-FR"/>
        </w:rPr>
        <w:t xml:space="preserve"> nouvelle approche facilite la planification collaborative avec les homologues nationaux en début de projet, libère du temps pour clarifier à l’avance la portée et les possibilités de soutien dans le cadre de la stratégie globale, renforce la coopération entre partenaires nationaux et locaux et garantit que les </w:t>
      </w:r>
      <w:r w:rsidR="004D5A54">
        <w:rPr>
          <w:lang w:val="fr-FR"/>
        </w:rPr>
        <w:t xml:space="preserve">futurs </w:t>
      </w:r>
      <w:r w:rsidR="00615BC4" w:rsidRPr="00615BC4">
        <w:rPr>
          <w:lang w:val="fr-FR"/>
        </w:rPr>
        <w:t xml:space="preserve">projets reflètent les besoins et les </w:t>
      </w:r>
      <w:r w:rsidR="004D5A54">
        <w:rPr>
          <w:lang w:val="fr-FR"/>
        </w:rPr>
        <w:t>priorités</w:t>
      </w:r>
      <w:r w:rsidR="004D5A54" w:rsidRPr="00615BC4">
        <w:rPr>
          <w:lang w:val="fr-FR"/>
        </w:rPr>
        <w:t xml:space="preserve"> </w:t>
      </w:r>
      <w:r w:rsidR="00615BC4" w:rsidRPr="00615BC4">
        <w:rPr>
          <w:lang w:val="fr-FR"/>
        </w:rPr>
        <w:t>des bénéficiaires</w:t>
      </w:r>
      <w:r w:rsidR="00A03C71" w:rsidRPr="000B38DD">
        <w:rPr>
          <w:lang w:val="fr-FR"/>
        </w:rPr>
        <w:t xml:space="preserve">. </w:t>
      </w:r>
      <w:r w:rsidR="00615BC4">
        <w:rPr>
          <w:lang w:val="fr-FR"/>
        </w:rPr>
        <w:t xml:space="preserve">De telles évaluations des besoins ont été finalisées dans </w:t>
      </w:r>
      <w:r w:rsidR="00A03C71" w:rsidRPr="000B38DD">
        <w:rPr>
          <w:lang w:val="fr-FR"/>
        </w:rPr>
        <w:t>10</w:t>
      </w:r>
      <w:r w:rsidR="00615BC4">
        <w:rPr>
          <w:lang w:val="fr-FR"/>
        </w:rPr>
        <w:t> pays</w:t>
      </w:r>
      <w:r w:rsidR="00A03C71" w:rsidRPr="000B38DD">
        <w:rPr>
          <w:lang w:val="fr-FR"/>
        </w:rPr>
        <w:t xml:space="preserve">. </w:t>
      </w:r>
      <w:r w:rsidR="00264687">
        <w:rPr>
          <w:lang w:val="fr-FR"/>
        </w:rPr>
        <w:t>À cet égard, le projet dédié et pluriannuel d’évaluation approfondie des besoins mis en œuvre dans sept pays d’Afrique et dans la région arabe</w:t>
      </w:r>
      <w:r w:rsidR="0066656C">
        <w:rPr>
          <w:lang w:val="fr-FR"/>
        </w:rPr>
        <w:t xml:space="preserve"> </w:t>
      </w:r>
      <w:r w:rsidR="0066656C" w:rsidRPr="000B38DD">
        <w:rPr>
          <w:lang w:val="fr-FR"/>
        </w:rPr>
        <w:t>(Comor</w:t>
      </w:r>
      <w:r w:rsidR="0066656C">
        <w:rPr>
          <w:lang w:val="fr-FR"/>
        </w:rPr>
        <w:t>es</w:t>
      </w:r>
      <w:r w:rsidR="0066656C" w:rsidRPr="000B38DD">
        <w:rPr>
          <w:lang w:val="fr-FR"/>
        </w:rPr>
        <w:t xml:space="preserve">, Djibouti, </w:t>
      </w:r>
      <w:r w:rsidR="0066656C">
        <w:rPr>
          <w:lang w:val="fr-FR"/>
        </w:rPr>
        <w:t>Égypte</w:t>
      </w:r>
      <w:r w:rsidR="0066656C" w:rsidRPr="000B38DD">
        <w:rPr>
          <w:lang w:val="fr-FR"/>
        </w:rPr>
        <w:t>, Madagascar, Palestine, S</w:t>
      </w:r>
      <w:r w:rsidR="0066656C">
        <w:rPr>
          <w:lang w:val="fr-FR"/>
        </w:rPr>
        <w:t>o</w:t>
      </w:r>
      <w:r w:rsidR="0066656C" w:rsidRPr="000B38DD">
        <w:rPr>
          <w:lang w:val="fr-FR"/>
        </w:rPr>
        <w:t>udan</w:t>
      </w:r>
      <w:r w:rsidR="0066656C">
        <w:rPr>
          <w:lang w:val="fr-FR"/>
        </w:rPr>
        <w:t xml:space="preserve"> du Sud et </w:t>
      </w:r>
      <w:r w:rsidR="0066656C" w:rsidRPr="000B38DD">
        <w:rPr>
          <w:lang w:val="fr-FR"/>
        </w:rPr>
        <w:t>S</w:t>
      </w:r>
      <w:r w:rsidR="0066656C">
        <w:rPr>
          <w:lang w:val="fr-FR"/>
        </w:rPr>
        <w:t>o</w:t>
      </w:r>
      <w:r w:rsidR="0066656C" w:rsidRPr="000B38DD">
        <w:rPr>
          <w:lang w:val="fr-FR"/>
        </w:rPr>
        <w:t>udan)</w:t>
      </w:r>
      <w:r w:rsidR="006B4D73">
        <w:rPr>
          <w:lang w:val="fr-FR"/>
        </w:rPr>
        <w:t>,</w:t>
      </w:r>
      <w:r w:rsidR="00264687">
        <w:rPr>
          <w:lang w:val="fr-FR"/>
        </w:rPr>
        <w:t xml:space="preserve"> </w:t>
      </w:r>
      <w:r w:rsidR="006B4D73">
        <w:rPr>
          <w:lang w:val="fr-FR"/>
        </w:rPr>
        <w:t xml:space="preserve">financé par </w:t>
      </w:r>
      <w:r w:rsidR="00615BC4">
        <w:rPr>
          <w:lang w:val="fr-FR"/>
        </w:rPr>
        <w:t>l</w:t>
      </w:r>
      <w:r w:rsidR="002E58FB">
        <w:rPr>
          <w:lang w:val="fr-FR"/>
        </w:rPr>
        <w:t>e Fonds-en-dépôt UNESCO/</w:t>
      </w:r>
      <w:r w:rsidR="00615BC4">
        <w:rPr>
          <w:lang w:val="fr-FR"/>
        </w:rPr>
        <w:t>Autorité d’Abu Dhabi pour le tourisme et la culture</w:t>
      </w:r>
      <w:r w:rsidR="0066656C">
        <w:rPr>
          <w:lang w:val="fr-FR"/>
        </w:rPr>
        <w:t>,</w:t>
      </w:r>
      <w:r w:rsidR="00615BC4">
        <w:rPr>
          <w:lang w:val="fr-FR"/>
        </w:rPr>
        <w:t xml:space="preserve"> </w:t>
      </w:r>
      <w:r w:rsidR="006B4D73">
        <w:rPr>
          <w:lang w:val="fr-FR"/>
        </w:rPr>
        <w:t>est novateur et exemplaire</w:t>
      </w:r>
      <w:r w:rsidR="00A03C71" w:rsidRPr="000B38DD">
        <w:rPr>
          <w:lang w:val="fr-FR"/>
        </w:rPr>
        <w:t>.</w:t>
      </w:r>
    </w:p>
    <w:p w14:paraId="7F0F35C7" w14:textId="6AC16FAD" w:rsidR="007E7AAC" w:rsidRPr="007E7AAC" w:rsidRDefault="000C694D" w:rsidP="000A66B6">
      <w:pPr>
        <w:pStyle w:val="COMPara"/>
        <w:keepNext/>
        <w:numPr>
          <w:ilvl w:val="0"/>
          <w:numId w:val="9"/>
        </w:numPr>
        <w:spacing w:before="240"/>
        <w:ind w:left="567" w:hanging="567"/>
        <w:jc w:val="both"/>
        <w:rPr>
          <w:b/>
          <w:lang w:val="fr-FR"/>
        </w:rPr>
      </w:pPr>
      <w:r w:rsidRPr="007E7AAC">
        <w:rPr>
          <w:lang w:val="fr-FR"/>
        </w:rPr>
        <w:t xml:space="preserve">Les ateliers de formation constituent le mode d’action le plus visible du programme </w:t>
      </w:r>
      <w:r w:rsidR="00A03C71" w:rsidRPr="007E7AAC">
        <w:rPr>
          <w:lang w:val="fr-FR"/>
        </w:rPr>
        <w:t xml:space="preserve">global. </w:t>
      </w:r>
      <w:r w:rsidR="00465E1F" w:rsidRPr="007E7AAC">
        <w:rPr>
          <w:lang w:val="fr-FR"/>
        </w:rPr>
        <w:t xml:space="preserve">Cependant, d’autres modes d’intervention sont mobilisés, comme les services de conseil pour le développement des politiques et législations. </w:t>
      </w:r>
      <w:r w:rsidRPr="007E7AAC">
        <w:rPr>
          <w:lang w:val="fr-FR"/>
        </w:rPr>
        <w:t xml:space="preserve">Parmi les ateliers de formation menés pendant la période </w:t>
      </w:r>
      <w:r w:rsidR="00C30076">
        <w:rPr>
          <w:lang w:val="fr-FR"/>
        </w:rPr>
        <w:t>considérée</w:t>
      </w:r>
      <w:r w:rsidR="00A03C71" w:rsidRPr="007E7AAC">
        <w:rPr>
          <w:lang w:val="fr-FR"/>
        </w:rPr>
        <w:t xml:space="preserve">, </w:t>
      </w:r>
      <w:r w:rsidRPr="007E7AAC">
        <w:rPr>
          <w:lang w:val="fr-FR"/>
        </w:rPr>
        <w:t xml:space="preserve">les ateliers sur la réalisation d’inventaires avec </w:t>
      </w:r>
      <w:r w:rsidR="0066656C" w:rsidRPr="007E7AAC">
        <w:rPr>
          <w:lang w:val="fr-FR"/>
        </w:rPr>
        <w:t xml:space="preserve">la participation </w:t>
      </w:r>
      <w:r w:rsidRPr="007E7AAC">
        <w:rPr>
          <w:lang w:val="fr-FR"/>
        </w:rPr>
        <w:t xml:space="preserve">des communautés </w:t>
      </w:r>
      <w:r w:rsidR="0066656C" w:rsidRPr="007E7AAC">
        <w:rPr>
          <w:lang w:val="fr-FR"/>
        </w:rPr>
        <w:t xml:space="preserve">ont été </w:t>
      </w:r>
      <w:r w:rsidRPr="007E7AAC">
        <w:rPr>
          <w:lang w:val="fr-FR"/>
        </w:rPr>
        <w:t>les plus fréquents</w:t>
      </w:r>
      <w:r w:rsidR="00A03C71" w:rsidRPr="007E7AAC">
        <w:rPr>
          <w:lang w:val="fr-FR"/>
        </w:rPr>
        <w:t xml:space="preserve">. </w:t>
      </w:r>
      <w:r w:rsidR="007F5AFA" w:rsidRPr="007E7AAC">
        <w:rPr>
          <w:lang w:val="fr-FR"/>
        </w:rPr>
        <w:t xml:space="preserve">Les </w:t>
      </w:r>
      <w:r w:rsidR="00274DD3" w:rsidRPr="007E7AAC">
        <w:rPr>
          <w:lang w:val="fr-FR"/>
        </w:rPr>
        <w:t xml:space="preserve">rapports analytiques </w:t>
      </w:r>
      <w:r w:rsidR="007F5AFA" w:rsidRPr="007E7AAC">
        <w:rPr>
          <w:lang w:val="fr-FR"/>
        </w:rPr>
        <w:t xml:space="preserve">des facilitateurs ont permis d’expliquer en quoi cette composante joue un rôle essentiel pour aider les pays à établir ou à réviser le cadre et la méthodologie de réalisation des inventaires du patrimoine culturel immatériel avec la participation des communautés, groupes et </w:t>
      </w:r>
      <w:r w:rsidR="0066656C" w:rsidRPr="007E7AAC">
        <w:rPr>
          <w:lang w:val="fr-FR"/>
        </w:rPr>
        <w:t xml:space="preserve">organisations non gouvernementales </w:t>
      </w:r>
      <w:r w:rsidR="007F5AFA" w:rsidRPr="007E7AAC">
        <w:rPr>
          <w:lang w:val="fr-FR"/>
        </w:rPr>
        <w:t xml:space="preserve">concernées. Les formations et activités pilotes se cantonnent habituellement à une région précise du pays, car la méthodologie nécessite la participation de communautés au niveau local. Les pays bénéficiaires utilisent ensuite les connaissances acquises pour </w:t>
      </w:r>
      <w:r w:rsidR="00A51DFF" w:rsidRPr="007E7AAC">
        <w:rPr>
          <w:lang w:val="fr-FR"/>
        </w:rPr>
        <w:t xml:space="preserve">reproduire un processus similaire dans d’autres régions dans le cadre de leurs </w:t>
      </w:r>
      <w:r w:rsidR="007F5AFA" w:rsidRPr="007E7AAC">
        <w:rPr>
          <w:lang w:val="fr-FR"/>
        </w:rPr>
        <w:t xml:space="preserve">stratégies de sauvegarde. </w:t>
      </w:r>
    </w:p>
    <w:p w14:paraId="05897EA5" w14:textId="058F0F74" w:rsidR="00A03C71" w:rsidRPr="007E7AAC" w:rsidRDefault="002D6C28" w:rsidP="00C3325D">
      <w:pPr>
        <w:pStyle w:val="COMPara"/>
        <w:keepNext/>
        <w:numPr>
          <w:ilvl w:val="0"/>
          <w:numId w:val="16"/>
        </w:numPr>
        <w:spacing w:before="240"/>
        <w:ind w:left="1276"/>
        <w:jc w:val="both"/>
        <w:rPr>
          <w:b/>
          <w:lang w:val="fr-FR"/>
        </w:rPr>
      </w:pPr>
      <w:r w:rsidRPr="007E7AAC">
        <w:rPr>
          <w:b/>
          <w:lang w:val="fr-FR"/>
        </w:rPr>
        <w:t xml:space="preserve">Mécanismes de suivi et d’évaluation </w:t>
      </w:r>
      <w:r w:rsidR="0066656C" w:rsidRPr="007E7AAC">
        <w:rPr>
          <w:b/>
          <w:lang w:val="fr-FR"/>
        </w:rPr>
        <w:t>établis et mis en œuvre</w:t>
      </w:r>
      <w:r w:rsidRPr="007E7AAC">
        <w:rPr>
          <w:b/>
          <w:lang w:val="fr-FR"/>
        </w:rPr>
        <w:t xml:space="preserve"> pour les activités de renforcement des capacités pour collecter des données sur leur efficacité</w:t>
      </w:r>
    </w:p>
    <w:p w14:paraId="06CC3FB6" w14:textId="7A11855F" w:rsidR="00A03C71" w:rsidRPr="000B38DD" w:rsidRDefault="002D6C28" w:rsidP="00A03C71">
      <w:pPr>
        <w:pStyle w:val="COMPara"/>
        <w:numPr>
          <w:ilvl w:val="0"/>
          <w:numId w:val="9"/>
        </w:numPr>
        <w:ind w:left="567" w:hanging="567"/>
        <w:jc w:val="both"/>
        <w:rPr>
          <w:lang w:val="fr-FR"/>
        </w:rPr>
      </w:pPr>
      <w:r>
        <w:rPr>
          <w:lang w:val="fr-FR"/>
        </w:rPr>
        <w:t xml:space="preserve">Le </w:t>
      </w:r>
      <w:r w:rsidR="00C77767">
        <w:rPr>
          <w:lang w:val="fr-FR"/>
        </w:rPr>
        <w:t>Secrétariat</w:t>
      </w:r>
      <w:r w:rsidR="00A03C71" w:rsidRPr="000B38DD">
        <w:rPr>
          <w:lang w:val="fr-FR"/>
        </w:rPr>
        <w:t xml:space="preserve"> </w:t>
      </w:r>
      <w:r w:rsidR="003E2D6C">
        <w:rPr>
          <w:lang w:val="fr-FR"/>
        </w:rPr>
        <w:t xml:space="preserve">a </w:t>
      </w:r>
      <w:r w:rsidR="0066656C">
        <w:rPr>
          <w:lang w:val="fr-FR"/>
        </w:rPr>
        <w:t xml:space="preserve">accompli des progrès dans </w:t>
      </w:r>
      <w:r w:rsidR="003E2D6C">
        <w:rPr>
          <w:lang w:val="fr-FR"/>
        </w:rPr>
        <w:t>l’é</w:t>
      </w:r>
      <w:r w:rsidR="00A03C71" w:rsidRPr="000B38DD">
        <w:rPr>
          <w:lang w:val="fr-FR"/>
        </w:rPr>
        <w:t>tablis</w:t>
      </w:r>
      <w:r w:rsidR="003E2D6C">
        <w:rPr>
          <w:lang w:val="fr-FR"/>
        </w:rPr>
        <w:t>se</w:t>
      </w:r>
      <w:r w:rsidR="00A03C71" w:rsidRPr="000B38DD">
        <w:rPr>
          <w:lang w:val="fr-FR"/>
        </w:rPr>
        <w:t xml:space="preserve">ment </w:t>
      </w:r>
      <w:r w:rsidR="003E2D6C">
        <w:rPr>
          <w:lang w:val="fr-FR"/>
        </w:rPr>
        <w:t>d’un mécanisme de suivi et d’</w:t>
      </w:r>
      <w:r w:rsidR="003E2D6C" w:rsidRPr="000B38DD">
        <w:rPr>
          <w:lang w:val="fr-FR"/>
        </w:rPr>
        <w:t>évaluation</w:t>
      </w:r>
      <w:r w:rsidR="00A03C71" w:rsidRPr="000B38DD">
        <w:rPr>
          <w:lang w:val="fr-FR"/>
        </w:rPr>
        <w:t xml:space="preserve"> </w:t>
      </w:r>
      <w:r w:rsidR="003E2D6C">
        <w:rPr>
          <w:lang w:val="fr-FR"/>
        </w:rPr>
        <w:t xml:space="preserve">des activités de renforcement des capacités afin de collecter des données sur leur efficacité </w:t>
      </w:r>
      <w:r w:rsidR="00A03C71" w:rsidRPr="000B38DD">
        <w:rPr>
          <w:lang w:val="fr-FR"/>
        </w:rPr>
        <w:t>(</w:t>
      </w:r>
      <w:hyperlink r:id="rId28" w:history="1">
        <w:r w:rsidR="00541CBF" w:rsidRPr="00B52B06">
          <w:rPr>
            <w:rStyle w:val="Hyperlink"/>
            <w:lang w:val="fr-FR"/>
          </w:rPr>
          <w:t>dé</w:t>
        </w:r>
        <w:r w:rsidR="009C0BDE" w:rsidRPr="00B52B06">
          <w:rPr>
            <w:rStyle w:val="Hyperlink"/>
            <w:lang w:val="fr-FR"/>
          </w:rPr>
          <w:t>cision </w:t>
        </w:r>
        <w:r w:rsidR="00541CBF" w:rsidRPr="00B52B06">
          <w:rPr>
            <w:rStyle w:val="Hyperlink"/>
            <w:lang w:val="fr-FR"/>
          </w:rPr>
          <w:t>8.</w:t>
        </w:r>
        <w:r w:rsidR="009C0BDE" w:rsidRPr="00B52B06">
          <w:rPr>
            <w:rStyle w:val="Hyperlink"/>
            <w:lang w:val="fr-FR"/>
          </w:rPr>
          <w:t>COM </w:t>
        </w:r>
        <w:r w:rsidR="00541CBF" w:rsidRPr="00B52B06">
          <w:rPr>
            <w:rStyle w:val="Hyperlink"/>
            <w:lang w:val="fr-FR"/>
          </w:rPr>
          <w:t>5.c.1</w:t>
        </w:r>
      </w:hyperlink>
      <w:r w:rsidR="00A03C71" w:rsidRPr="00B52B06">
        <w:rPr>
          <w:rStyle w:val="Hyperlink"/>
          <w:color w:val="auto"/>
          <w:u w:val="none"/>
          <w:lang w:val="fr-FR"/>
        </w:rPr>
        <w:t>)</w:t>
      </w:r>
      <w:r w:rsidR="00A03C71" w:rsidRPr="002222A7">
        <w:rPr>
          <w:lang w:val="fr-FR"/>
        </w:rPr>
        <w:t xml:space="preserve"> </w:t>
      </w:r>
      <w:r w:rsidR="003E2D6C">
        <w:rPr>
          <w:lang w:val="fr-FR"/>
        </w:rPr>
        <w:t xml:space="preserve">en </w:t>
      </w:r>
      <w:r w:rsidR="00A03C71" w:rsidRPr="000B38DD">
        <w:rPr>
          <w:lang w:val="fr-FR"/>
        </w:rPr>
        <w:t>organi</w:t>
      </w:r>
      <w:r w:rsidR="003E2D6C">
        <w:rPr>
          <w:lang w:val="fr-FR"/>
        </w:rPr>
        <w:t xml:space="preserve">sant un atelier </w:t>
      </w:r>
      <w:r w:rsidR="003A7F72">
        <w:rPr>
          <w:lang w:val="fr-FR"/>
        </w:rPr>
        <w:t xml:space="preserve">qui a rassemblé </w:t>
      </w:r>
      <w:r w:rsidR="003E2D6C">
        <w:rPr>
          <w:lang w:val="fr-FR"/>
        </w:rPr>
        <w:t>en juin </w:t>
      </w:r>
      <w:r w:rsidR="00A03C71" w:rsidRPr="000B38DD">
        <w:rPr>
          <w:lang w:val="fr-FR"/>
        </w:rPr>
        <w:t xml:space="preserve">2015 </w:t>
      </w:r>
      <w:r w:rsidR="003A7F72">
        <w:rPr>
          <w:lang w:val="fr-FR"/>
        </w:rPr>
        <w:t>des partenaires nationaux (</w:t>
      </w:r>
      <w:r w:rsidR="00EC2B99">
        <w:rPr>
          <w:lang w:val="fr-FR"/>
        </w:rPr>
        <w:t>y compris d</w:t>
      </w:r>
      <w:r w:rsidR="003A7F72">
        <w:rPr>
          <w:lang w:val="fr-FR"/>
        </w:rPr>
        <w:t xml:space="preserve">es Commissions nationales pour l’UNESCO), des </w:t>
      </w:r>
      <w:r w:rsidR="00274DD3">
        <w:rPr>
          <w:lang w:val="fr-FR"/>
        </w:rPr>
        <w:t>experts-</w:t>
      </w:r>
      <w:r w:rsidR="003A7F72">
        <w:rPr>
          <w:lang w:val="fr-FR"/>
        </w:rPr>
        <w:t xml:space="preserve">facilitateurs et des collègues de l’UNESCO </w:t>
      </w:r>
      <w:r w:rsidR="00EC2B99" w:rsidRPr="00465E1F">
        <w:rPr>
          <w:lang w:val="fr-FR"/>
        </w:rPr>
        <w:t>basés dans</w:t>
      </w:r>
      <w:r w:rsidR="003A7F72">
        <w:rPr>
          <w:lang w:val="fr-FR"/>
        </w:rPr>
        <w:t xml:space="preserve"> </w:t>
      </w:r>
      <w:r w:rsidR="00465E1F">
        <w:rPr>
          <w:lang w:val="fr-FR"/>
        </w:rPr>
        <w:t>les</w:t>
      </w:r>
      <w:r w:rsidR="003A7F72">
        <w:rPr>
          <w:lang w:val="fr-FR"/>
        </w:rPr>
        <w:t xml:space="preserve"> </w:t>
      </w:r>
      <w:r w:rsidR="00465E1F">
        <w:rPr>
          <w:lang w:val="fr-FR"/>
        </w:rPr>
        <w:t xml:space="preserve">différentes </w:t>
      </w:r>
      <w:r w:rsidR="003A7F72">
        <w:rPr>
          <w:lang w:val="fr-FR"/>
        </w:rPr>
        <w:t>régions du monde, afin d’</w:t>
      </w:r>
      <w:r w:rsidR="003E2D6C">
        <w:rPr>
          <w:lang w:val="fr-FR"/>
        </w:rPr>
        <w:t>en élaborer le cadre conceptue</w:t>
      </w:r>
      <w:r w:rsidR="00A03C71" w:rsidRPr="000B38DD">
        <w:rPr>
          <w:lang w:val="fr-FR"/>
        </w:rPr>
        <w:t xml:space="preserve">l </w:t>
      </w:r>
      <w:r w:rsidR="003E2D6C">
        <w:rPr>
          <w:lang w:val="fr-FR"/>
        </w:rPr>
        <w:t xml:space="preserve">et les </w:t>
      </w:r>
      <w:r w:rsidR="00A03C71" w:rsidRPr="000B38DD">
        <w:rPr>
          <w:lang w:val="fr-FR"/>
        </w:rPr>
        <w:t>indicat</w:t>
      </w:r>
      <w:r w:rsidR="003E2D6C">
        <w:rPr>
          <w:lang w:val="fr-FR"/>
        </w:rPr>
        <w:t>eu</w:t>
      </w:r>
      <w:r w:rsidR="00A03C71" w:rsidRPr="000B38DD">
        <w:rPr>
          <w:lang w:val="fr-FR"/>
        </w:rPr>
        <w:t xml:space="preserve">rs. </w:t>
      </w:r>
      <w:r w:rsidR="007E7AAC">
        <w:rPr>
          <w:lang w:val="fr-FR"/>
        </w:rPr>
        <w:t xml:space="preserve">Cette initiative devrait se poursuivre dans le cadre d’un exercice plus large qui est prévu pour le second semestre 2016 et vise à construire un </w:t>
      </w:r>
      <w:r w:rsidR="00BB403F" w:rsidRPr="00BB403F">
        <w:rPr>
          <w:lang w:val="fr-FR"/>
        </w:rPr>
        <w:t xml:space="preserve">cadre global de résultats pour la Convention </w:t>
      </w:r>
      <w:r w:rsidR="007E7AAC">
        <w:rPr>
          <w:lang w:val="fr-FR"/>
        </w:rPr>
        <w:t xml:space="preserve">afin d’assurer </w:t>
      </w:r>
      <w:r w:rsidR="00BB403F">
        <w:rPr>
          <w:lang w:val="fr-FR"/>
        </w:rPr>
        <w:t xml:space="preserve">une approche plus cohérente à l’égard des objectifs, échéanciers, indicateurs, et indicateurs de référence. </w:t>
      </w:r>
      <w:r w:rsidR="006501D3">
        <w:rPr>
          <w:lang w:val="fr-FR"/>
        </w:rPr>
        <w:t xml:space="preserve">Entretemps, le Secrétariat a l’intention de piloter </w:t>
      </w:r>
      <w:r w:rsidR="00E83F2D">
        <w:rPr>
          <w:lang w:val="fr-FR"/>
        </w:rPr>
        <w:t xml:space="preserve">des enquêtes rétrospectives </w:t>
      </w:r>
      <w:r w:rsidR="00E95CEA">
        <w:rPr>
          <w:lang w:val="fr-FR"/>
        </w:rPr>
        <w:t xml:space="preserve">dans un </w:t>
      </w:r>
      <w:r w:rsidR="001119CC">
        <w:rPr>
          <w:lang w:val="fr-FR"/>
        </w:rPr>
        <w:t>certain nombre</w:t>
      </w:r>
      <w:r w:rsidR="00CF2577">
        <w:rPr>
          <w:lang w:val="fr-FR"/>
        </w:rPr>
        <w:t xml:space="preserve"> de pays qui ont bénéficié d’</w:t>
      </w:r>
      <w:r w:rsidR="00E95CEA">
        <w:rPr>
          <w:lang w:val="fr-FR"/>
        </w:rPr>
        <w:t xml:space="preserve">activités de renforcement des capacités. </w:t>
      </w:r>
    </w:p>
    <w:p w14:paraId="64B4CC55" w14:textId="77777777" w:rsidR="00A03C71" w:rsidRPr="003E2D6C" w:rsidRDefault="003E2D6C" w:rsidP="00EE55A0">
      <w:pPr>
        <w:pStyle w:val="COMPara"/>
        <w:keepNext/>
        <w:numPr>
          <w:ilvl w:val="0"/>
          <w:numId w:val="16"/>
        </w:numPr>
        <w:spacing w:before="240"/>
        <w:ind w:left="1276"/>
        <w:rPr>
          <w:b/>
          <w:lang w:val="fr-FR"/>
        </w:rPr>
      </w:pPr>
      <w:r w:rsidRPr="003E2D6C">
        <w:rPr>
          <w:b/>
          <w:lang w:val="fr-FR"/>
        </w:rPr>
        <w:t>Réseau de facilitateurs et établissements d’enseignement concernés renforcés</w:t>
      </w:r>
    </w:p>
    <w:p w14:paraId="070FC0F5" w14:textId="6E31D8A2" w:rsidR="00A03C71" w:rsidRPr="000B38DD" w:rsidRDefault="003E2D6C" w:rsidP="00EE55A0">
      <w:pPr>
        <w:pStyle w:val="COMPara"/>
        <w:numPr>
          <w:ilvl w:val="0"/>
          <w:numId w:val="9"/>
        </w:numPr>
        <w:ind w:left="567" w:hanging="567"/>
        <w:jc w:val="both"/>
        <w:rPr>
          <w:lang w:val="fr-FR"/>
        </w:rPr>
      </w:pPr>
      <w:r w:rsidRPr="003E2D6C">
        <w:rPr>
          <w:lang w:val="fr-FR"/>
        </w:rPr>
        <w:t xml:space="preserve">Avec un groupe de </w:t>
      </w:r>
      <w:r w:rsidR="00E87735">
        <w:rPr>
          <w:lang w:val="fr-FR"/>
        </w:rPr>
        <w:t xml:space="preserve">plus de </w:t>
      </w:r>
      <w:r w:rsidRPr="003E2D6C">
        <w:rPr>
          <w:lang w:val="fr-FR"/>
        </w:rPr>
        <w:t xml:space="preserve">80 </w:t>
      </w:r>
      <w:r w:rsidR="00EC2B99">
        <w:rPr>
          <w:lang w:val="fr-FR"/>
        </w:rPr>
        <w:t>experts-</w:t>
      </w:r>
      <w:r w:rsidR="00274DD3">
        <w:rPr>
          <w:lang w:val="fr-FR"/>
        </w:rPr>
        <w:t>facilitateurs</w:t>
      </w:r>
      <w:r w:rsidR="00274DD3" w:rsidRPr="003E2D6C">
        <w:rPr>
          <w:lang w:val="fr-FR"/>
        </w:rPr>
        <w:t xml:space="preserve"> </w:t>
      </w:r>
      <w:r w:rsidRPr="003E2D6C">
        <w:rPr>
          <w:lang w:val="fr-FR"/>
        </w:rPr>
        <w:t xml:space="preserve">provenant de toutes les régions du monde, le Secrétariat s’appuie sur un vaste éventail d’expertise lors de la conception et de la </w:t>
      </w:r>
      <w:r w:rsidR="0051530D">
        <w:rPr>
          <w:lang w:val="fr-FR"/>
        </w:rPr>
        <w:t xml:space="preserve">mise en </w:t>
      </w:r>
      <w:r w:rsidR="00B239C1">
        <w:rPr>
          <w:lang w:val="fr-FR"/>
        </w:rPr>
        <w:t>œuvre</w:t>
      </w:r>
      <w:r w:rsidR="0051530D" w:rsidRPr="003E2D6C">
        <w:rPr>
          <w:lang w:val="fr-FR"/>
        </w:rPr>
        <w:t xml:space="preserve"> </w:t>
      </w:r>
      <w:r w:rsidRPr="003E2D6C">
        <w:rPr>
          <w:lang w:val="fr-FR"/>
        </w:rPr>
        <w:t>d’activités de renforcement des capacités. Leurs rapports analytiques</w:t>
      </w:r>
      <w:r>
        <w:rPr>
          <w:lang w:val="fr-FR"/>
        </w:rPr>
        <w:t xml:space="preserve">, qui portent souvent sur les activités de formation, mais aussi sur l’évaluation des besoins, </w:t>
      </w:r>
      <w:r w:rsidRPr="003E2D6C">
        <w:rPr>
          <w:lang w:val="fr-FR"/>
        </w:rPr>
        <w:t>sont des ressources précieuses pour le suivi et l’adaptation du programme.</w:t>
      </w:r>
    </w:p>
    <w:p w14:paraId="18D0B88A" w14:textId="6B298AE6" w:rsidR="00DB6B03" w:rsidRDefault="003955E0" w:rsidP="00EE55A0">
      <w:pPr>
        <w:pStyle w:val="COMPara"/>
        <w:numPr>
          <w:ilvl w:val="0"/>
          <w:numId w:val="9"/>
        </w:numPr>
        <w:ind w:left="567" w:hanging="567"/>
        <w:jc w:val="both"/>
        <w:rPr>
          <w:lang w:val="fr-FR"/>
        </w:rPr>
      </w:pPr>
      <w:r>
        <w:rPr>
          <w:lang w:val="fr-FR"/>
        </w:rPr>
        <w:t xml:space="preserve">Les </w:t>
      </w:r>
      <w:r w:rsidR="009B3596">
        <w:rPr>
          <w:lang w:val="fr-FR"/>
        </w:rPr>
        <w:t>experts-</w:t>
      </w:r>
      <w:r>
        <w:rPr>
          <w:lang w:val="fr-FR"/>
        </w:rPr>
        <w:t xml:space="preserve">facilitateurs </w:t>
      </w:r>
      <w:r w:rsidR="0099126A">
        <w:rPr>
          <w:lang w:val="fr-FR"/>
        </w:rPr>
        <w:t xml:space="preserve">de </w:t>
      </w:r>
      <w:r w:rsidR="00890E71">
        <w:rPr>
          <w:lang w:val="fr-FR"/>
        </w:rPr>
        <w:t>trois</w:t>
      </w:r>
      <w:r w:rsidR="0099126A">
        <w:rPr>
          <w:lang w:val="fr-FR"/>
        </w:rPr>
        <w:t xml:space="preserve"> régions ont bénéficié d’ateliers </w:t>
      </w:r>
      <w:r w:rsidR="00DB0DCA">
        <w:rPr>
          <w:lang w:val="fr-FR"/>
        </w:rPr>
        <w:t>qui leur ont permis d’</w:t>
      </w:r>
      <w:r w:rsidR="0099126A">
        <w:rPr>
          <w:lang w:val="fr-FR"/>
        </w:rPr>
        <w:t xml:space="preserve">évaluer les leçons apprises </w:t>
      </w:r>
      <w:r w:rsidR="0048777E">
        <w:rPr>
          <w:lang w:val="fr-FR"/>
        </w:rPr>
        <w:t>au cours de leur</w:t>
      </w:r>
      <w:r w:rsidR="007E259D">
        <w:rPr>
          <w:lang w:val="fr-FR"/>
        </w:rPr>
        <w:t xml:space="preserve">s expériences </w:t>
      </w:r>
      <w:r w:rsidR="0099126A">
        <w:rPr>
          <w:lang w:val="fr-FR"/>
        </w:rPr>
        <w:t xml:space="preserve">de renforcement des capacités, </w:t>
      </w:r>
      <w:r w:rsidR="00DB0DCA">
        <w:rPr>
          <w:lang w:val="fr-FR"/>
        </w:rPr>
        <w:t>d’</w:t>
      </w:r>
      <w:r w:rsidR="0099126A">
        <w:rPr>
          <w:lang w:val="fr-FR"/>
        </w:rPr>
        <w:t xml:space="preserve">actualiser leurs connaissances sur les récents développements dans la mise en œuvre de la Convention, et </w:t>
      </w:r>
      <w:r w:rsidR="00622E69">
        <w:rPr>
          <w:lang w:val="fr-FR"/>
        </w:rPr>
        <w:t>d’être formés</w:t>
      </w:r>
      <w:r w:rsidR="0099126A">
        <w:rPr>
          <w:lang w:val="fr-FR"/>
        </w:rPr>
        <w:t xml:space="preserve"> aux nouveaux supports de formation </w:t>
      </w:r>
      <w:r w:rsidR="007E259D">
        <w:rPr>
          <w:lang w:val="fr-FR"/>
        </w:rPr>
        <w:t xml:space="preserve">concernant les </w:t>
      </w:r>
      <w:r w:rsidR="0099126A">
        <w:rPr>
          <w:lang w:val="fr-FR"/>
        </w:rPr>
        <w:t xml:space="preserve">plans de sauvegarde, l’égalité des genres et </w:t>
      </w:r>
      <w:r w:rsidR="007E259D">
        <w:rPr>
          <w:lang w:val="fr-FR"/>
        </w:rPr>
        <w:t>l</w:t>
      </w:r>
      <w:r w:rsidR="00DB0DCA">
        <w:rPr>
          <w:lang w:val="fr-FR"/>
        </w:rPr>
        <w:t xml:space="preserve">es </w:t>
      </w:r>
      <w:r w:rsidR="0099126A">
        <w:rPr>
          <w:lang w:val="fr-FR"/>
        </w:rPr>
        <w:t xml:space="preserve">conseils </w:t>
      </w:r>
      <w:r w:rsidR="00DB0DCA">
        <w:rPr>
          <w:lang w:val="fr-FR"/>
        </w:rPr>
        <w:t xml:space="preserve">en matière d’élaboration de </w:t>
      </w:r>
      <w:r w:rsidR="0099126A">
        <w:rPr>
          <w:lang w:val="fr-FR"/>
        </w:rPr>
        <w:t xml:space="preserve">politiques. </w:t>
      </w:r>
      <w:r w:rsidR="00DB0DCA">
        <w:rPr>
          <w:lang w:val="fr-FR"/>
        </w:rPr>
        <w:t xml:space="preserve">L’apprentissage est mutuel. Alors que les </w:t>
      </w:r>
      <w:r w:rsidR="009B3596">
        <w:rPr>
          <w:lang w:val="fr-FR"/>
        </w:rPr>
        <w:t>experts-</w:t>
      </w:r>
      <w:r w:rsidR="00DB0DCA">
        <w:rPr>
          <w:lang w:val="fr-FR"/>
        </w:rPr>
        <w:t xml:space="preserve">facilitateurs renforcent leur savoir sur </w:t>
      </w:r>
      <w:r w:rsidR="007E259D">
        <w:rPr>
          <w:lang w:val="fr-FR"/>
        </w:rPr>
        <w:t>certains</w:t>
      </w:r>
      <w:r w:rsidR="00DB0DCA">
        <w:rPr>
          <w:lang w:val="fr-FR"/>
        </w:rPr>
        <w:t xml:space="preserve"> sujet</w:t>
      </w:r>
      <w:r w:rsidR="007E259D">
        <w:rPr>
          <w:lang w:val="fr-FR"/>
        </w:rPr>
        <w:t>s</w:t>
      </w:r>
      <w:r w:rsidR="00DB0DCA">
        <w:rPr>
          <w:lang w:val="fr-FR"/>
        </w:rPr>
        <w:t xml:space="preserve">, ils </w:t>
      </w:r>
      <w:r w:rsidR="007E259D">
        <w:rPr>
          <w:lang w:val="fr-FR"/>
        </w:rPr>
        <w:t xml:space="preserve">offrent </w:t>
      </w:r>
      <w:r w:rsidR="00DB0DCA">
        <w:rPr>
          <w:lang w:val="fr-FR"/>
        </w:rPr>
        <w:t>en même temps de précieux conseils aux collègues de l’UNESCO du Siège et des Bureaux hors-Siège sur la façon de continuer à améliorer les supports et le contenu de la stratégie d</w:t>
      </w:r>
      <w:r w:rsidR="007E259D">
        <w:rPr>
          <w:lang w:val="fr-FR"/>
        </w:rPr>
        <w:t>e</w:t>
      </w:r>
      <w:r w:rsidR="00DB0DCA">
        <w:rPr>
          <w:lang w:val="fr-FR"/>
        </w:rPr>
        <w:t xml:space="preserve"> renforcement des capacités. </w:t>
      </w:r>
      <w:r>
        <w:rPr>
          <w:lang w:val="fr-FR"/>
        </w:rPr>
        <w:t>L</w:t>
      </w:r>
      <w:r w:rsidR="00AE597B" w:rsidRPr="00EE55A0">
        <w:rPr>
          <w:lang w:val="fr-FR"/>
        </w:rPr>
        <w:t xml:space="preserve">e </w:t>
      </w:r>
      <w:r w:rsidR="00C77767" w:rsidRPr="00EE55A0">
        <w:rPr>
          <w:lang w:val="fr-FR"/>
        </w:rPr>
        <w:t>Secrétariat</w:t>
      </w:r>
      <w:r w:rsidR="00A03C71" w:rsidRPr="00EE55A0">
        <w:rPr>
          <w:lang w:val="fr-FR"/>
        </w:rPr>
        <w:t xml:space="preserve"> </w:t>
      </w:r>
      <w:r w:rsidR="00AE597B" w:rsidRPr="00EE55A0">
        <w:rPr>
          <w:lang w:val="fr-FR"/>
        </w:rPr>
        <w:t xml:space="preserve">a </w:t>
      </w:r>
      <w:r w:rsidR="00A03C71" w:rsidRPr="00EE55A0">
        <w:rPr>
          <w:lang w:val="fr-FR"/>
        </w:rPr>
        <w:t>organi</w:t>
      </w:r>
      <w:r w:rsidR="00AE597B" w:rsidRPr="00EE55A0">
        <w:rPr>
          <w:lang w:val="fr-FR"/>
        </w:rPr>
        <w:t xml:space="preserve">sé </w:t>
      </w:r>
      <w:r w:rsidR="00890E71">
        <w:rPr>
          <w:lang w:val="fr-FR"/>
        </w:rPr>
        <w:t>trois</w:t>
      </w:r>
      <w:r w:rsidRPr="00EE55A0">
        <w:rPr>
          <w:lang w:val="fr-FR"/>
        </w:rPr>
        <w:t xml:space="preserve"> </w:t>
      </w:r>
      <w:r>
        <w:rPr>
          <w:lang w:val="fr-FR"/>
        </w:rPr>
        <w:t>ateliers</w:t>
      </w:r>
      <w:r w:rsidRPr="00EE55A0">
        <w:rPr>
          <w:lang w:val="fr-FR"/>
        </w:rPr>
        <w:t xml:space="preserve"> </w:t>
      </w:r>
      <w:r w:rsidR="00AE597B" w:rsidRPr="00EE55A0">
        <w:rPr>
          <w:lang w:val="fr-FR"/>
        </w:rPr>
        <w:t>régiona</w:t>
      </w:r>
      <w:r>
        <w:rPr>
          <w:lang w:val="fr-FR"/>
        </w:rPr>
        <w:t xml:space="preserve">ux lors de la période </w:t>
      </w:r>
      <w:r w:rsidR="00C30076">
        <w:rPr>
          <w:lang w:val="fr-FR"/>
        </w:rPr>
        <w:t>considérée</w:t>
      </w:r>
      <w:r>
        <w:rPr>
          <w:lang w:val="fr-FR"/>
        </w:rPr>
        <w:t xml:space="preserve"> grâce au soutien généreux de différentes institutions hôtes :</w:t>
      </w:r>
    </w:p>
    <w:p w14:paraId="451D08F2" w14:textId="2158706C" w:rsidR="00706672" w:rsidRDefault="00706672" w:rsidP="00EE55A0">
      <w:pPr>
        <w:pStyle w:val="COMParabodytext"/>
        <w:numPr>
          <w:ilvl w:val="1"/>
          <w:numId w:val="9"/>
        </w:numPr>
        <w:tabs>
          <w:tab w:val="clear" w:pos="567"/>
        </w:tabs>
        <w:ind w:left="851" w:hanging="284"/>
        <w:rPr>
          <w:lang w:val="fr-FR"/>
        </w:rPr>
      </w:pPr>
      <w:r w:rsidRPr="00890E71">
        <w:rPr>
          <w:lang w:val="fr-FR"/>
        </w:rPr>
        <w:t xml:space="preserve">Une réunion d’examen avec des </w:t>
      </w:r>
      <w:r w:rsidR="00A816D5" w:rsidRPr="00890E71">
        <w:rPr>
          <w:lang w:val="fr-FR"/>
        </w:rPr>
        <w:t xml:space="preserve">experts </w:t>
      </w:r>
      <w:r w:rsidRPr="00890E71">
        <w:rPr>
          <w:lang w:val="fr-FR"/>
        </w:rPr>
        <w:t>facilitateurs mettant en œuvre des service</w:t>
      </w:r>
      <w:r w:rsidR="00622E69" w:rsidRPr="00890E71">
        <w:rPr>
          <w:lang w:val="fr-FR"/>
        </w:rPr>
        <w:t>s</w:t>
      </w:r>
      <w:r w:rsidRPr="00890E71">
        <w:rPr>
          <w:lang w:val="fr-FR"/>
        </w:rPr>
        <w:t xml:space="preserve"> de renforcement des capacités en Europe et Asie centrale</w:t>
      </w:r>
      <w:r>
        <w:rPr>
          <w:lang w:val="fr-FR"/>
        </w:rPr>
        <w:t xml:space="preserve">, </w:t>
      </w:r>
      <w:r w:rsidR="007E259D">
        <w:rPr>
          <w:lang w:val="fr-FR"/>
        </w:rPr>
        <w:t xml:space="preserve">accueillie </w:t>
      </w:r>
      <w:r>
        <w:rPr>
          <w:lang w:val="fr-FR"/>
        </w:rPr>
        <w:t xml:space="preserve">par </w:t>
      </w:r>
      <w:r w:rsidR="0069494C">
        <w:rPr>
          <w:lang w:val="fr-FR"/>
        </w:rPr>
        <w:t xml:space="preserve">le Centre </w:t>
      </w:r>
      <w:r w:rsidR="0069494C" w:rsidRPr="00AE597B">
        <w:rPr>
          <w:lang w:val="fr-FR"/>
        </w:rPr>
        <w:t>r</w:t>
      </w:r>
      <w:r w:rsidR="0069494C">
        <w:rPr>
          <w:lang w:val="fr-FR"/>
        </w:rPr>
        <w:t>é</w:t>
      </w:r>
      <w:r w:rsidR="0069494C" w:rsidRPr="00AE597B">
        <w:rPr>
          <w:lang w:val="fr-FR"/>
        </w:rPr>
        <w:t xml:space="preserve">gional </w:t>
      </w:r>
      <w:r w:rsidR="0069494C">
        <w:rPr>
          <w:lang w:val="fr-FR"/>
        </w:rPr>
        <w:t xml:space="preserve">pour la </w:t>
      </w:r>
      <w:r w:rsidR="00A51DFF">
        <w:rPr>
          <w:lang w:val="fr-FR"/>
        </w:rPr>
        <w:t>s</w:t>
      </w:r>
      <w:r w:rsidR="0069494C">
        <w:rPr>
          <w:lang w:val="fr-FR"/>
        </w:rPr>
        <w:t xml:space="preserve">auvegarde du </w:t>
      </w:r>
      <w:r w:rsidR="00A51DFF">
        <w:rPr>
          <w:lang w:val="fr-FR"/>
        </w:rPr>
        <w:t>p</w:t>
      </w:r>
      <w:r w:rsidR="0069494C">
        <w:rPr>
          <w:lang w:val="fr-FR"/>
        </w:rPr>
        <w:t xml:space="preserve">atrimoine culturel immatériel en </w:t>
      </w:r>
      <w:r w:rsidR="00A03C71" w:rsidRPr="00AE597B">
        <w:rPr>
          <w:lang w:val="fr-FR"/>
        </w:rPr>
        <w:t xml:space="preserve">Europe </w:t>
      </w:r>
      <w:r w:rsidR="0069494C" w:rsidRPr="0069494C">
        <w:rPr>
          <w:lang w:val="fr-FR"/>
        </w:rPr>
        <w:t xml:space="preserve">du Sud-Est </w:t>
      </w:r>
      <w:r w:rsidR="0069494C">
        <w:rPr>
          <w:lang w:val="fr-FR"/>
        </w:rPr>
        <w:t xml:space="preserve">à </w:t>
      </w:r>
      <w:r w:rsidR="00890E71">
        <w:rPr>
          <w:lang w:val="fr-FR"/>
        </w:rPr>
        <w:t xml:space="preserve">Sofia, </w:t>
      </w:r>
      <w:r w:rsidR="00A03C71" w:rsidRPr="00AE597B">
        <w:rPr>
          <w:lang w:val="fr-FR"/>
        </w:rPr>
        <w:t>Bulgari</w:t>
      </w:r>
      <w:r w:rsidR="0069494C">
        <w:rPr>
          <w:lang w:val="fr-FR"/>
        </w:rPr>
        <w:t>e</w:t>
      </w:r>
      <w:r w:rsidR="00890E71">
        <w:rPr>
          <w:lang w:val="fr-FR"/>
        </w:rPr>
        <w:t xml:space="preserve">, </w:t>
      </w:r>
      <w:r w:rsidR="0069494C">
        <w:rPr>
          <w:lang w:val="fr-FR"/>
        </w:rPr>
        <w:t xml:space="preserve">en septembre </w:t>
      </w:r>
      <w:r w:rsidR="00A03C71" w:rsidRPr="00AE597B">
        <w:rPr>
          <w:lang w:val="fr-FR"/>
        </w:rPr>
        <w:t>2014.</w:t>
      </w:r>
    </w:p>
    <w:p w14:paraId="721CB50E" w14:textId="056DC73C" w:rsidR="007E259D" w:rsidRDefault="007E259D" w:rsidP="007E259D">
      <w:pPr>
        <w:pStyle w:val="COMParabodytext"/>
        <w:numPr>
          <w:ilvl w:val="1"/>
          <w:numId w:val="9"/>
        </w:numPr>
        <w:tabs>
          <w:tab w:val="clear" w:pos="567"/>
        </w:tabs>
        <w:ind w:left="851" w:hanging="284"/>
        <w:rPr>
          <w:lang w:val="fr-FR"/>
        </w:rPr>
      </w:pPr>
      <w:r w:rsidRPr="00890E71">
        <w:rPr>
          <w:lang w:val="fr-FR"/>
        </w:rPr>
        <w:t xml:space="preserve">Un atelier sur les plans de sauvegarde et le soutien en politiques pour le patrimoine culturel immatériel pour les </w:t>
      </w:r>
      <w:r w:rsidR="009B3596">
        <w:rPr>
          <w:lang w:val="fr-FR"/>
        </w:rPr>
        <w:t>experts-</w:t>
      </w:r>
      <w:r w:rsidRPr="00890E71">
        <w:rPr>
          <w:lang w:val="fr-FR"/>
        </w:rPr>
        <w:t>facilitateurs de la région Asie-Pacifique,</w:t>
      </w:r>
      <w:r>
        <w:rPr>
          <w:lang w:val="fr-FR"/>
        </w:rPr>
        <w:t xml:space="preserve"> accueilli par le Centre i</w:t>
      </w:r>
      <w:r w:rsidRPr="000B38DD">
        <w:rPr>
          <w:lang w:val="fr-FR"/>
        </w:rPr>
        <w:t xml:space="preserve">nternational </w:t>
      </w:r>
      <w:r>
        <w:rPr>
          <w:lang w:val="fr-FR"/>
        </w:rPr>
        <w:t xml:space="preserve">de formation pour le patrimoine culturel immatériel en Asie et Pacifique </w:t>
      </w:r>
      <w:r w:rsidRPr="000B38DD">
        <w:rPr>
          <w:lang w:val="fr-FR"/>
        </w:rPr>
        <w:t xml:space="preserve">(CRIHAP) </w:t>
      </w:r>
      <w:r>
        <w:rPr>
          <w:lang w:val="fr-FR"/>
        </w:rPr>
        <w:t xml:space="preserve">à </w:t>
      </w:r>
      <w:r w:rsidRPr="000B38DD">
        <w:rPr>
          <w:lang w:val="fr-FR"/>
        </w:rPr>
        <w:t>Shenzhen</w:t>
      </w:r>
      <w:r>
        <w:rPr>
          <w:lang w:val="fr-FR"/>
        </w:rPr>
        <w:t>, Chine</w:t>
      </w:r>
      <w:r w:rsidRPr="000B38DD">
        <w:rPr>
          <w:lang w:val="fr-FR"/>
        </w:rPr>
        <w:t xml:space="preserve">, </w:t>
      </w:r>
      <w:r>
        <w:rPr>
          <w:lang w:val="fr-FR"/>
        </w:rPr>
        <w:t xml:space="preserve">du </w:t>
      </w:r>
      <w:r w:rsidRPr="000B38DD">
        <w:rPr>
          <w:lang w:val="fr-FR"/>
        </w:rPr>
        <w:t xml:space="preserve">19 </w:t>
      </w:r>
      <w:r>
        <w:rPr>
          <w:lang w:val="fr-FR"/>
        </w:rPr>
        <w:t xml:space="preserve">au </w:t>
      </w:r>
      <w:r w:rsidRPr="000B38DD">
        <w:rPr>
          <w:lang w:val="fr-FR"/>
        </w:rPr>
        <w:t>23</w:t>
      </w:r>
      <w:r>
        <w:rPr>
          <w:lang w:val="fr-FR"/>
        </w:rPr>
        <w:t xml:space="preserve"> janvier </w:t>
      </w:r>
      <w:r w:rsidRPr="000B38DD">
        <w:rPr>
          <w:lang w:val="fr-FR"/>
        </w:rPr>
        <w:t>2015</w:t>
      </w:r>
      <w:r>
        <w:rPr>
          <w:lang w:val="fr-FR"/>
        </w:rPr>
        <w:t>.</w:t>
      </w:r>
    </w:p>
    <w:p w14:paraId="56CE86A3" w14:textId="5A4BC3B5" w:rsidR="007E259D" w:rsidRDefault="007E259D" w:rsidP="007E259D">
      <w:pPr>
        <w:pStyle w:val="COMParabodytext"/>
        <w:numPr>
          <w:ilvl w:val="1"/>
          <w:numId w:val="9"/>
        </w:numPr>
        <w:tabs>
          <w:tab w:val="clear" w:pos="567"/>
        </w:tabs>
        <w:ind w:left="851" w:hanging="284"/>
        <w:rPr>
          <w:lang w:val="fr-FR"/>
        </w:rPr>
      </w:pPr>
      <w:r w:rsidRPr="003247BD">
        <w:rPr>
          <w:lang w:val="fr-FR"/>
        </w:rPr>
        <w:t xml:space="preserve">Un atelier sur le soutien au développement de politiques dans le domaine du patrimoine culturel immatériel </w:t>
      </w:r>
      <w:r w:rsidR="00A816D5" w:rsidRPr="003247BD">
        <w:rPr>
          <w:lang w:val="fr-FR"/>
        </w:rPr>
        <w:t>avec d</w:t>
      </w:r>
      <w:r w:rsidRPr="003247BD">
        <w:rPr>
          <w:lang w:val="fr-FR"/>
        </w:rPr>
        <w:t xml:space="preserve">es </w:t>
      </w:r>
      <w:r w:rsidR="00A816D5" w:rsidRPr="003247BD">
        <w:rPr>
          <w:lang w:val="fr-FR"/>
        </w:rPr>
        <w:t>experts-</w:t>
      </w:r>
      <w:r w:rsidRPr="003247BD">
        <w:rPr>
          <w:lang w:val="fr-FR"/>
        </w:rPr>
        <w:t xml:space="preserve">facilitateurs de la région </w:t>
      </w:r>
      <w:r w:rsidR="00663A3B" w:rsidRPr="003247BD">
        <w:rPr>
          <w:lang w:val="fr-FR"/>
        </w:rPr>
        <w:t>Afrique</w:t>
      </w:r>
      <w:r w:rsidR="00A816D5">
        <w:rPr>
          <w:b/>
          <w:lang w:val="fr-FR"/>
        </w:rPr>
        <w:t>,</w:t>
      </w:r>
      <w:r>
        <w:rPr>
          <w:lang w:val="fr-FR"/>
        </w:rPr>
        <w:t xml:space="preserve"> accueilli par le Centre </w:t>
      </w:r>
      <w:r w:rsidRPr="000B38DD">
        <w:rPr>
          <w:lang w:val="fr-FR"/>
        </w:rPr>
        <w:t xml:space="preserve">national </w:t>
      </w:r>
      <w:r>
        <w:rPr>
          <w:lang w:val="fr-FR"/>
        </w:rPr>
        <w:t>de recherches préhistoriques</w:t>
      </w:r>
      <w:r w:rsidRPr="000B38DD">
        <w:rPr>
          <w:lang w:val="fr-FR"/>
        </w:rPr>
        <w:t xml:space="preserve">, </w:t>
      </w:r>
      <w:r>
        <w:rPr>
          <w:lang w:val="fr-FR"/>
        </w:rPr>
        <w:t>an</w:t>
      </w:r>
      <w:r w:rsidRPr="000B38DD">
        <w:rPr>
          <w:lang w:val="fr-FR"/>
        </w:rPr>
        <w:t>thropolog</w:t>
      </w:r>
      <w:r>
        <w:rPr>
          <w:lang w:val="fr-FR"/>
        </w:rPr>
        <w:t>iques et h</w:t>
      </w:r>
      <w:r w:rsidRPr="000B38DD">
        <w:rPr>
          <w:lang w:val="fr-FR"/>
        </w:rPr>
        <w:t>istor</w:t>
      </w:r>
      <w:r>
        <w:rPr>
          <w:lang w:val="fr-FR"/>
        </w:rPr>
        <w:t xml:space="preserve">iques </w:t>
      </w:r>
      <w:r w:rsidRPr="000B38DD">
        <w:rPr>
          <w:lang w:val="fr-FR"/>
        </w:rPr>
        <w:t>(</w:t>
      </w:r>
      <w:r w:rsidR="00A816D5">
        <w:rPr>
          <w:lang w:val="fr-FR"/>
        </w:rPr>
        <w:t>CNRPAH</w:t>
      </w:r>
      <w:r w:rsidRPr="000B38DD">
        <w:rPr>
          <w:lang w:val="fr-FR"/>
        </w:rPr>
        <w:t xml:space="preserve">) </w:t>
      </w:r>
      <w:r>
        <w:rPr>
          <w:lang w:val="fr-FR"/>
        </w:rPr>
        <w:t xml:space="preserve">en Algérie et la </w:t>
      </w:r>
      <w:r w:rsidR="00A816D5" w:rsidRPr="00EE55A0">
        <w:rPr>
          <w:i/>
          <w:lang w:val="fr-FR"/>
        </w:rPr>
        <w:t>M</w:t>
      </w:r>
      <w:r w:rsidRPr="00EE55A0">
        <w:rPr>
          <w:i/>
          <w:lang w:val="fr-FR"/>
        </w:rPr>
        <w:t>anifestation Constantine, capitale de la culture arabe 2015</w:t>
      </w:r>
      <w:r>
        <w:rPr>
          <w:lang w:val="fr-FR"/>
        </w:rPr>
        <w:t xml:space="preserve">, à Constantine, </w:t>
      </w:r>
      <w:r w:rsidRPr="00B23BBD">
        <w:rPr>
          <w:lang w:val="fr-FR"/>
        </w:rPr>
        <w:t>capitale de la culture arabe 2015</w:t>
      </w:r>
      <w:r>
        <w:rPr>
          <w:lang w:val="fr-FR"/>
        </w:rPr>
        <w:t>.</w:t>
      </w:r>
    </w:p>
    <w:p w14:paraId="260AA9A0" w14:textId="1A338F3D" w:rsidR="003E3EEE" w:rsidRPr="003E3EEE" w:rsidRDefault="003E3EEE" w:rsidP="00EE55A0">
      <w:pPr>
        <w:pStyle w:val="COMParabodytext"/>
        <w:numPr>
          <w:ilvl w:val="1"/>
          <w:numId w:val="9"/>
        </w:numPr>
        <w:tabs>
          <w:tab w:val="clear" w:pos="567"/>
        </w:tabs>
        <w:ind w:left="851" w:hanging="284"/>
        <w:rPr>
          <w:lang w:val="fr-FR"/>
        </w:rPr>
      </w:pPr>
      <w:r>
        <w:rPr>
          <w:lang w:val="fr-FR"/>
        </w:rPr>
        <w:t xml:space="preserve">Dans les régions où la demande </w:t>
      </w:r>
      <w:r w:rsidR="00E30D3D">
        <w:rPr>
          <w:lang w:val="fr-FR"/>
        </w:rPr>
        <w:t>d</w:t>
      </w:r>
      <w:r>
        <w:rPr>
          <w:lang w:val="fr-FR"/>
        </w:rPr>
        <w:t xml:space="preserve">e renforcement des capacités excédait la disponibilité des </w:t>
      </w:r>
      <w:r w:rsidR="009B3596">
        <w:rPr>
          <w:lang w:val="fr-FR"/>
        </w:rPr>
        <w:t>experts-</w:t>
      </w:r>
      <w:r>
        <w:rPr>
          <w:lang w:val="fr-FR"/>
        </w:rPr>
        <w:t>facilitateurs, le Secrétariat a élargi son réseau, ce qui a été le cas pour l’</w:t>
      </w:r>
      <w:r w:rsidR="00340E6F">
        <w:rPr>
          <w:lang w:val="fr-FR"/>
        </w:rPr>
        <w:t xml:space="preserve">Asie et le Pacifique, où </w:t>
      </w:r>
      <w:r w:rsidR="00E70A64">
        <w:rPr>
          <w:lang w:val="fr-FR"/>
        </w:rPr>
        <w:t>quatre</w:t>
      </w:r>
      <w:r>
        <w:rPr>
          <w:lang w:val="fr-FR"/>
        </w:rPr>
        <w:t xml:space="preserve"> nouveaux venus</w:t>
      </w:r>
      <w:r w:rsidR="003F64A6">
        <w:rPr>
          <w:lang w:val="fr-FR"/>
        </w:rPr>
        <w:t xml:space="preserve"> ont été intégrés </w:t>
      </w:r>
      <w:r w:rsidR="00622E69">
        <w:rPr>
          <w:lang w:val="fr-FR"/>
        </w:rPr>
        <w:t>en participant à</w:t>
      </w:r>
      <w:r w:rsidR="003F64A6">
        <w:rPr>
          <w:lang w:val="fr-FR"/>
        </w:rPr>
        <w:t xml:space="preserve"> l’atelier ci-dessus mentionné à Shenzhen. Dans les Caraïbes, le mentorat a été utilisé pour élargir le réseau en faisant appel à trois experts au cours de la période </w:t>
      </w:r>
      <w:r w:rsidR="00C30076">
        <w:rPr>
          <w:lang w:val="fr-FR"/>
        </w:rPr>
        <w:t>considérée</w:t>
      </w:r>
      <w:r w:rsidR="003F64A6">
        <w:rPr>
          <w:lang w:val="fr-FR"/>
        </w:rPr>
        <w:t> :</w:t>
      </w:r>
      <w:r w:rsidR="00A9002C">
        <w:rPr>
          <w:lang w:val="fr-FR"/>
        </w:rPr>
        <w:t xml:space="preserve"> un participant actif dans un</w:t>
      </w:r>
      <w:r w:rsidR="003F64A6">
        <w:rPr>
          <w:lang w:val="fr-FR"/>
        </w:rPr>
        <w:t xml:space="preserve"> programme </w:t>
      </w:r>
      <w:r w:rsidR="00A9002C">
        <w:rPr>
          <w:lang w:val="fr-FR"/>
        </w:rPr>
        <w:t xml:space="preserve">a accompagné un facilitateur expérimenté dans les activités de formation d’un autre pays, lui permettant d’acquérir les compétences requises pour devenir à son tour facilitateur. Les Bureaux de l’UNESCO de Harare et </w:t>
      </w:r>
      <w:r w:rsidR="009B3596">
        <w:rPr>
          <w:lang w:val="fr-FR"/>
        </w:rPr>
        <w:t xml:space="preserve">de </w:t>
      </w:r>
      <w:r w:rsidR="00A9002C">
        <w:rPr>
          <w:lang w:val="fr-FR"/>
        </w:rPr>
        <w:t>Windhoek, financé</w:t>
      </w:r>
      <w:r w:rsidR="00340E6F">
        <w:rPr>
          <w:lang w:val="fr-FR"/>
        </w:rPr>
        <w:t>s</w:t>
      </w:r>
      <w:r w:rsidR="00A9002C">
        <w:rPr>
          <w:lang w:val="fr-FR"/>
        </w:rPr>
        <w:t xml:space="preserve"> par la </w:t>
      </w:r>
      <w:r w:rsidR="00E30D3D">
        <w:rPr>
          <w:lang w:val="fr-FR"/>
        </w:rPr>
        <w:t>Flandres (Belgique)</w:t>
      </w:r>
      <w:r w:rsidR="00A9002C">
        <w:rPr>
          <w:lang w:val="fr-FR"/>
        </w:rPr>
        <w:t>, ont adopté une autre approche. Ils ont identifié des participants très actifs dans le cadre d’activités de renforcement des capacités mises en œuvre dans un certain nombre de pays en Afrique australe, afin de les former à être de futurs formateurs dans leur pays respectif.</w:t>
      </w:r>
    </w:p>
    <w:p w14:paraId="3FA44E92" w14:textId="501330B8" w:rsidR="00A03C71" w:rsidRPr="000B38DD" w:rsidRDefault="00157225" w:rsidP="00A03C71">
      <w:pPr>
        <w:pStyle w:val="COMPara"/>
        <w:numPr>
          <w:ilvl w:val="0"/>
          <w:numId w:val="9"/>
        </w:numPr>
        <w:ind w:left="567" w:hanging="567"/>
        <w:jc w:val="both"/>
        <w:rPr>
          <w:lang w:val="fr-FR"/>
        </w:rPr>
      </w:pPr>
      <w:r>
        <w:rPr>
          <w:lang w:val="fr-FR"/>
        </w:rPr>
        <w:t xml:space="preserve">Le </w:t>
      </w:r>
      <w:r w:rsidR="00C77767">
        <w:rPr>
          <w:lang w:val="fr-FR"/>
        </w:rPr>
        <w:t>Secrétariat</w:t>
      </w:r>
      <w:r w:rsidR="00A03C71" w:rsidRPr="000B38DD">
        <w:rPr>
          <w:lang w:val="fr-FR"/>
        </w:rPr>
        <w:t xml:space="preserve"> </w:t>
      </w:r>
      <w:r w:rsidR="00340E6F">
        <w:rPr>
          <w:lang w:val="fr-FR"/>
        </w:rPr>
        <w:t xml:space="preserve">reconnaît le rôle crucial des universités et </w:t>
      </w:r>
      <w:r w:rsidR="00F41260">
        <w:rPr>
          <w:lang w:val="fr-FR"/>
        </w:rPr>
        <w:t xml:space="preserve">des </w:t>
      </w:r>
      <w:r w:rsidR="00340E6F">
        <w:rPr>
          <w:lang w:val="fr-FR"/>
        </w:rPr>
        <w:t>autres institutions concernées dans la formation des futurs décideurs, administrateurs et acteurs dans le domaine du patrimoine culturel immatériel</w:t>
      </w:r>
      <w:r w:rsidR="00622E69">
        <w:rPr>
          <w:lang w:val="fr-FR"/>
        </w:rPr>
        <w:t xml:space="preserve">, </w:t>
      </w:r>
      <w:r w:rsidR="005064E1">
        <w:rPr>
          <w:lang w:val="fr-FR"/>
        </w:rPr>
        <w:t xml:space="preserve">ce </w:t>
      </w:r>
      <w:r w:rsidR="00622E69">
        <w:rPr>
          <w:lang w:val="fr-FR"/>
        </w:rPr>
        <w:t>qui représente</w:t>
      </w:r>
      <w:r w:rsidR="00340E6F">
        <w:rPr>
          <w:lang w:val="fr-FR"/>
        </w:rPr>
        <w:t xml:space="preserve"> un complément important aux efforts de renforcement des capacités de l’UNESCO dans ce domaine. </w:t>
      </w:r>
      <w:r w:rsidR="00F41260">
        <w:rPr>
          <w:lang w:val="fr-FR"/>
        </w:rPr>
        <w:t xml:space="preserve">Par conséquent, le Secrétariat, par le biais du Bureau de l’UNESCO de Bangkok, a organisé un </w:t>
      </w:r>
      <w:r w:rsidR="00F41260" w:rsidRPr="007A5E80">
        <w:rPr>
          <w:lang w:val="fr-FR"/>
        </w:rPr>
        <w:t>symposium régional pour les institutions d’éducation tertiaire en Asie et Pacifique</w:t>
      </w:r>
      <w:r w:rsidR="00F41260">
        <w:rPr>
          <w:lang w:val="fr-FR"/>
        </w:rPr>
        <w:t xml:space="preserve"> (</w:t>
      </w:r>
      <w:r w:rsidR="005064E1">
        <w:rPr>
          <w:lang w:val="fr-FR"/>
        </w:rPr>
        <w:t xml:space="preserve">du </w:t>
      </w:r>
      <w:r w:rsidR="00F41260">
        <w:rPr>
          <w:lang w:val="fr-FR"/>
        </w:rPr>
        <w:t>2 au 3 novembre 2015)</w:t>
      </w:r>
      <w:r w:rsidR="00967755">
        <w:rPr>
          <w:lang w:val="fr-FR"/>
        </w:rPr>
        <w:t xml:space="preserve"> </w:t>
      </w:r>
      <w:r w:rsidR="00F41260">
        <w:rPr>
          <w:lang w:val="fr-FR"/>
        </w:rPr>
        <w:t xml:space="preserve">afin d’encourager le développement de programmes de patrimoine culturel immatériel </w:t>
      </w:r>
      <w:r w:rsidR="00622E69">
        <w:rPr>
          <w:lang w:val="fr-FR"/>
        </w:rPr>
        <w:t xml:space="preserve">de troisième cycle </w:t>
      </w:r>
      <w:r w:rsidR="00F41260">
        <w:rPr>
          <w:lang w:val="fr-FR"/>
        </w:rPr>
        <w:t>dans les universités de la région.</w:t>
      </w:r>
    </w:p>
    <w:p w14:paraId="2C445557" w14:textId="2046AD01" w:rsidR="00967755" w:rsidRDefault="00367A9F" w:rsidP="00EE55A0">
      <w:pPr>
        <w:pStyle w:val="COMPara"/>
        <w:numPr>
          <w:ilvl w:val="0"/>
          <w:numId w:val="9"/>
        </w:numPr>
        <w:ind w:left="567" w:hanging="567"/>
        <w:jc w:val="both"/>
        <w:rPr>
          <w:lang w:val="fr-FR"/>
        </w:rPr>
      </w:pPr>
      <w:r w:rsidRPr="00201100">
        <w:rPr>
          <w:lang w:val="fr-FR"/>
        </w:rPr>
        <w:t xml:space="preserve">Le soutien de l’UNESCO au renforcement des capacités de sauvegarde ne se limite pas aux activités qu’elle </w:t>
      </w:r>
      <w:r w:rsidR="005064E1">
        <w:rPr>
          <w:lang w:val="fr-FR"/>
        </w:rPr>
        <w:t>met en œuvre directement</w:t>
      </w:r>
      <w:r w:rsidRPr="00201100">
        <w:rPr>
          <w:lang w:val="fr-FR"/>
        </w:rPr>
        <w:t>. Dans de nombreux pays, les universités et organisations établies peuvent intégrer effectivement le patrimoine culturel immatériel à des programmes plus larges sur le patrimoine.</w:t>
      </w:r>
      <w:r w:rsidR="00967755">
        <w:rPr>
          <w:lang w:val="fr-FR"/>
        </w:rPr>
        <w:t xml:space="preserve"> A cet égard, l’UNESCO a fourni </w:t>
      </w:r>
      <w:r w:rsidR="00AD3DA7">
        <w:rPr>
          <w:lang w:val="fr-FR"/>
        </w:rPr>
        <w:t xml:space="preserve">des conseils </w:t>
      </w:r>
      <w:r w:rsidR="00967755">
        <w:rPr>
          <w:lang w:val="fr-FR"/>
        </w:rPr>
        <w:t xml:space="preserve">et </w:t>
      </w:r>
      <w:r w:rsidR="00AD3DA7">
        <w:rPr>
          <w:lang w:val="fr-FR"/>
        </w:rPr>
        <w:t xml:space="preserve">un support </w:t>
      </w:r>
      <w:r w:rsidR="00967755">
        <w:rPr>
          <w:lang w:val="fr-FR"/>
        </w:rPr>
        <w:t xml:space="preserve">technique pour les activités de renforcement des capacités suivantes au cours de la période </w:t>
      </w:r>
      <w:r w:rsidR="00C30076">
        <w:rPr>
          <w:lang w:val="fr-FR"/>
        </w:rPr>
        <w:t>considérée</w:t>
      </w:r>
      <w:r w:rsidR="00967755">
        <w:rPr>
          <w:lang w:val="fr-FR"/>
        </w:rPr>
        <w:t xml:space="preserve"> : </w:t>
      </w:r>
    </w:p>
    <w:p w14:paraId="004C4BA5" w14:textId="2F87350A" w:rsidR="00DD0B05" w:rsidRDefault="00741DE5" w:rsidP="00EE55A0">
      <w:pPr>
        <w:pStyle w:val="COMParabodytext"/>
        <w:numPr>
          <w:ilvl w:val="1"/>
          <w:numId w:val="9"/>
        </w:numPr>
        <w:tabs>
          <w:tab w:val="clear" w:pos="567"/>
        </w:tabs>
        <w:ind w:left="851" w:hanging="284"/>
        <w:rPr>
          <w:lang w:val="fr-FR"/>
        </w:rPr>
      </w:pPr>
      <w:r>
        <w:rPr>
          <w:lang w:val="fr-FR"/>
        </w:rPr>
        <w:t>Une formation</w:t>
      </w:r>
      <w:r w:rsidR="00DD0B05">
        <w:rPr>
          <w:lang w:val="fr-FR"/>
        </w:rPr>
        <w:t xml:space="preserve"> pour les professeurs et instructeurs d’universités et </w:t>
      </w:r>
      <w:r w:rsidR="00D8171F">
        <w:rPr>
          <w:lang w:val="fr-FR"/>
        </w:rPr>
        <w:t>organisations non gouvernementales</w:t>
      </w:r>
      <w:r w:rsidR="00DD0B05">
        <w:rPr>
          <w:lang w:val="fr-FR"/>
        </w:rPr>
        <w:t xml:space="preserve"> spéciali</w:t>
      </w:r>
      <w:r>
        <w:rPr>
          <w:lang w:val="fr-FR"/>
        </w:rPr>
        <w:t>sées, accueillie</w:t>
      </w:r>
      <w:r w:rsidR="00DD0B05">
        <w:rPr>
          <w:lang w:val="fr-FR"/>
        </w:rPr>
        <w:t xml:space="preserve"> par le </w:t>
      </w:r>
      <w:r w:rsidR="00DD0B05" w:rsidRPr="00741DE5">
        <w:rPr>
          <w:lang w:val="fr-FR"/>
        </w:rPr>
        <w:t>Centre norvégien pour la dan</w:t>
      </w:r>
      <w:r w:rsidR="00D8171F" w:rsidRPr="00741DE5">
        <w:rPr>
          <w:lang w:val="fr-FR"/>
        </w:rPr>
        <w:t>s</w:t>
      </w:r>
      <w:r w:rsidR="00DD0B05" w:rsidRPr="00741DE5">
        <w:rPr>
          <w:lang w:val="fr-FR"/>
        </w:rPr>
        <w:t>e et la musique traditionnelles en Norvège</w:t>
      </w:r>
      <w:r>
        <w:rPr>
          <w:lang w:val="fr-FR"/>
        </w:rPr>
        <w:t>, sur</w:t>
      </w:r>
      <w:r w:rsidR="00DD0B05">
        <w:rPr>
          <w:lang w:val="fr-FR"/>
        </w:rPr>
        <w:t xml:space="preserve"> </w:t>
      </w:r>
      <w:r w:rsidR="00AD3DA7">
        <w:rPr>
          <w:lang w:val="fr-FR"/>
        </w:rPr>
        <w:t>l’élaboration</w:t>
      </w:r>
      <w:r w:rsidR="00DD0B05" w:rsidRPr="00201100">
        <w:rPr>
          <w:lang w:val="fr-FR"/>
        </w:rPr>
        <w:t xml:space="preserve"> d’inventaires avec l</w:t>
      </w:r>
      <w:r w:rsidR="00D8171F">
        <w:rPr>
          <w:lang w:val="fr-FR"/>
        </w:rPr>
        <w:t>a participation</w:t>
      </w:r>
      <w:r w:rsidR="00DD0B05" w:rsidRPr="00201100">
        <w:rPr>
          <w:lang w:val="fr-FR"/>
        </w:rPr>
        <w:t xml:space="preserve"> des communautés</w:t>
      </w:r>
      <w:r w:rsidR="00DD0B05">
        <w:rPr>
          <w:lang w:val="fr-FR"/>
        </w:rPr>
        <w:t xml:space="preserve"> à Trondheim, Norvège</w:t>
      </w:r>
      <w:r>
        <w:rPr>
          <w:lang w:val="fr-FR"/>
        </w:rPr>
        <w:t xml:space="preserve"> (octobre 2015)</w:t>
      </w:r>
      <w:r w:rsidR="00DD0B05">
        <w:rPr>
          <w:lang w:val="fr-FR"/>
        </w:rPr>
        <w:t xml:space="preserve">. </w:t>
      </w:r>
    </w:p>
    <w:p w14:paraId="40766DFC" w14:textId="0E8AEAD7" w:rsidR="00DD0B05" w:rsidRDefault="00DD0B05" w:rsidP="00EE55A0">
      <w:pPr>
        <w:pStyle w:val="COMParabodytext"/>
        <w:numPr>
          <w:ilvl w:val="1"/>
          <w:numId w:val="9"/>
        </w:numPr>
        <w:tabs>
          <w:tab w:val="clear" w:pos="567"/>
        </w:tabs>
        <w:ind w:left="851" w:hanging="284"/>
        <w:rPr>
          <w:lang w:val="fr-FR"/>
        </w:rPr>
      </w:pPr>
      <w:r>
        <w:rPr>
          <w:lang w:val="fr-FR"/>
        </w:rPr>
        <w:t xml:space="preserve">Un atelier de renforcement des capacités accueilli par la </w:t>
      </w:r>
      <w:r w:rsidR="00D8171F" w:rsidRPr="004C57C6">
        <w:rPr>
          <w:lang w:val="fr-FR"/>
        </w:rPr>
        <w:t>R</w:t>
      </w:r>
      <w:r w:rsidRPr="004C57C6">
        <w:rPr>
          <w:lang w:val="fr-FR"/>
        </w:rPr>
        <w:t>égion de Lombardie en Italie et le canton de</w:t>
      </w:r>
      <w:r w:rsidR="00B239C1" w:rsidRPr="004C57C6">
        <w:rPr>
          <w:lang w:val="fr-FR"/>
        </w:rPr>
        <w:t>s</w:t>
      </w:r>
      <w:r w:rsidRPr="004C57C6">
        <w:rPr>
          <w:lang w:val="fr-FR"/>
        </w:rPr>
        <w:t xml:space="preserve"> Gr</w:t>
      </w:r>
      <w:r w:rsidR="00B239C1" w:rsidRPr="004C57C6">
        <w:rPr>
          <w:lang w:val="fr-FR"/>
        </w:rPr>
        <w:t>isons</w:t>
      </w:r>
      <w:r w:rsidRPr="004C57C6">
        <w:rPr>
          <w:lang w:val="fr-FR"/>
        </w:rPr>
        <w:t xml:space="preserve"> en Suisse sur la mise en œuvre de la Convention à Tirano (province de Sondrio, Italie) et Valposch</w:t>
      </w:r>
      <w:r w:rsidRPr="00EE55A0">
        <w:rPr>
          <w:lang w:val="fr-FR"/>
        </w:rPr>
        <w:t>iavo</w:t>
      </w:r>
      <w:r>
        <w:rPr>
          <w:lang w:val="fr-FR"/>
        </w:rPr>
        <w:t>, Suisse (juin 2015).</w:t>
      </w:r>
    </w:p>
    <w:p w14:paraId="4112768A" w14:textId="5E15248F" w:rsidR="00AD25D4" w:rsidRDefault="00DD0B05" w:rsidP="00EE55A0">
      <w:pPr>
        <w:pStyle w:val="COMParabodytext"/>
        <w:numPr>
          <w:ilvl w:val="1"/>
          <w:numId w:val="9"/>
        </w:numPr>
        <w:tabs>
          <w:tab w:val="clear" w:pos="567"/>
        </w:tabs>
        <w:ind w:left="851" w:hanging="284"/>
        <w:rPr>
          <w:lang w:val="fr-FR"/>
        </w:rPr>
      </w:pPr>
      <w:r>
        <w:rPr>
          <w:lang w:val="fr-FR"/>
        </w:rPr>
        <w:t xml:space="preserve">Une formation sur l’élaboration d’inventaires </w:t>
      </w:r>
      <w:r w:rsidR="00D8171F">
        <w:rPr>
          <w:lang w:val="fr-FR"/>
        </w:rPr>
        <w:t>avec la participation des</w:t>
      </w:r>
      <w:r>
        <w:rPr>
          <w:lang w:val="fr-FR"/>
        </w:rPr>
        <w:t xml:space="preserve"> communautés pour les parties prenantes</w:t>
      </w:r>
      <w:r w:rsidR="00AD25D4">
        <w:rPr>
          <w:lang w:val="fr-FR"/>
        </w:rPr>
        <w:t xml:space="preserve"> nationales</w:t>
      </w:r>
      <w:r>
        <w:rPr>
          <w:lang w:val="fr-FR"/>
        </w:rPr>
        <w:t xml:space="preserve">, </w:t>
      </w:r>
      <w:r w:rsidRPr="00B239C1">
        <w:rPr>
          <w:lang w:val="fr-FR"/>
        </w:rPr>
        <w:t>accueilli</w:t>
      </w:r>
      <w:r w:rsidR="00AD25D4" w:rsidRPr="00B239C1">
        <w:rPr>
          <w:lang w:val="fr-FR"/>
        </w:rPr>
        <w:t>e</w:t>
      </w:r>
      <w:r w:rsidRPr="00B239C1">
        <w:rPr>
          <w:lang w:val="fr-FR"/>
        </w:rPr>
        <w:t xml:space="preserve"> par</w:t>
      </w:r>
      <w:r w:rsidRPr="00EE55A0">
        <w:rPr>
          <w:b/>
          <w:lang w:val="fr-FR"/>
        </w:rPr>
        <w:t xml:space="preserve"> </w:t>
      </w:r>
      <w:r w:rsidRPr="004C57C6">
        <w:rPr>
          <w:lang w:val="fr-FR"/>
        </w:rPr>
        <w:t>Monaco</w:t>
      </w:r>
      <w:r>
        <w:rPr>
          <w:lang w:val="fr-FR"/>
        </w:rPr>
        <w:t xml:space="preserve"> (octobre 2015).</w:t>
      </w:r>
    </w:p>
    <w:p w14:paraId="1D66FFB9" w14:textId="0ACA63B9" w:rsidR="00A03C71" w:rsidRPr="00201100" w:rsidRDefault="00AD25D4" w:rsidP="00EE55A0">
      <w:pPr>
        <w:pStyle w:val="COMParabodytext"/>
        <w:numPr>
          <w:ilvl w:val="1"/>
          <w:numId w:val="9"/>
        </w:numPr>
        <w:tabs>
          <w:tab w:val="clear" w:pos="567"/>
        </w:tabs>
        <w:ind w:left="851" w:hanging="284"/>
        <w:rPr>
          <w:lang w:val="fr-FR"/>
        </w:rPr>
      </w:pPr>
      <w:r>
        <w:rPr>
          <w:lang w:val="fr-FR"/>
        </w:rPr>
        <w:t xml:space="preserve">Le premier d’une série de trois ateliers de renforcement des capacités pour le personnel du </w:t>
      </w:r>
      <w:r w:rsidRPr="004C57C6">
        <w:rPr>
          <w:lang w:val="fr-FR"/>
        </w:rPr>
        <w:t>Centre du patrimoine Hamdan Bin Mohammed</w:t>
      </w:r>
      <w:r>
        <w:rPr>
          <w:lang w:val="fr-FR"/>
        </w:rPr>
        <w:t xml:space="preserve"> à Dubaï, Émirats unis arabes</w:t>
      </w:r>
      <w:r w:rsidR="004C57C6">
        <w:rPr>
          <w:lang w:val="fr-FR"/>
        </w:rPr>
        <w:t>,</w:t>
      </w:r>
      <w:r w:rsidR="00D8171F">
        <w:rPr>
          <w:lang w:val="fr-FR"/>
        </w:rPr>
        <w:t xml:space="preserve"> </w:t>
      </w:r>
      <w:r>
        <w:rPr>
          <w:lang w:val="fr-FR"/>
        </w:rPr>
        <w:t>sur la mise en œuvre de la Convention</w:t>
      </w:r>
      <w:r w:rsidR="00D8171F">
        <w:rPr>
          <w:lang w:val="fr-FR"/>
        </w:rPr>
        <w:t xml:space="preserve"> (octobre 2015)</w:t>
      </w:r>
      <w:r>
        <w:rPr>
          <w:lang w:val="fr-FR"/>
        </w:rPr>
        <w:t>.</w:t>
      </w:r>
    </w:p>
    <w:p w14:paraId="136D2E08" w14:textId="6E036A7F" w:rsidR="00A03C71" w:rsidRPr="006F02BF" w:rsidRDefault="006F02BF" w:rsidP="00EE55A0">
      <w:pPr>
        <w:pStyle w:val="COMPara"/>
        <w:keepNext/>
        <w:numPr>
          <w:ilvl w:val="0"/>
          <w:numId w:val="16"/>
        </w:numPr>
        <w:spacing w:before="240"/>
        <w:ind w:left="1276"/>
        <w:rPr>
          <w:b/>
          <w:lang w:val="fr-FR"/>
        </w:rPr>
      </w:pPr>
      <w:r w:rsidRPr="006F02BF">
        <w:rPr>
          <w:b/>
          <w:lang w:val="fr-FR"/>
        </w:rPr>
        <w:t>Révision et adaptation d</w:t>
      </w:r>
      <w:r w:rsidR="00D8171F">
        <w:rPr>
          <w:b/>
          <w:lang w:val="fr-FR"/>
        </w:rPr>
        <w:t>es</w:t>
      </w:r>
      <w:r w:rsidRPr="006F02BF">
        <w:rPr>
          <w:b/>
          <w:lang w:val="fr-FR"/>
        </w:rPr>
        <w:t xml:space="preserve"> contenu</w:t>
      </w:r>
      <w:r w:rsidR="00D8171F">
        <w:rPr>
          <w:b/>
          <w:lang w:val="fr-FR"/>
        </w:rPr>
        <w:t>s</w:t>
      </w:r>
      <w:r w:rsidRPr="006F02BF">
        <w:rPr>
          <w:b/>
          <w:lang w:val="fr-FR"/>
        </w:rPr>
        <w:t xml:space="preserve"> et format</w:t>
      </w:r>
      <w:r w:rsidR="00D8171F">
        <w:rPr>
          <w:b/>
          <w:lang w:val="fr-FR"/>
        </w:rPr>
        <w:t>s</w:t>
      </w:r>
      <w:r w:rsidRPr="006F02BF">
        <w:rPr>
          <w:b/>
          <w:lang w:val="fr-FR"/>
        </w:rPr>
        <w:t xml:space="preserve"> du programme de renforcement des capacités</w:t>
      </w:r>
    </w:p>
    <w:p w14:paraId="5E8BA9DE" w14:textId="7AB3372C" w:rsidR="00A03C71" w:rsidRPr="001B48C3" w:rsidRDefault="006F02BF" w:rsidP="001B48C3">
      <w:pPr>
        <w:pStyle w:val="COMPara"/>
        <w:numPr>
          <w:ilvl w:val="0"/>
          <w:numId w:val="9"/>
        </w:numPr>
        <w:ind w:left="567" w:hanging="567"/>
        <w:jc w:val="both"/>
        <w:rPr>
          <w:lang w:val="fr-FR"/>
        </w:rPr>
      </w:pPr>
      <w:r w:rsidRPr="006F02BF">
        <w:rPr>
          <w:lang w:val="fr-FR"/>
        </w:rPr>
        <w:t>Le programme de renforcement des capacités est continuellement révisé et adapté pour «</w:t>
      </w:r>
      <w:r>
        <w:rPr>
          <w:lang w:val="fr-FR"/>
        </w:rPr>
        <w:t> </w:t>
      </w:r>
      <w:r w:rsidRPr="006F02BF">
        <w:rPr>
          <w:lang w:val="fr-FR"/>
        </w:rPr>
        <w:t>garantir qu’il réponde aux principales difficultés de mise en œuvre au niveau national</w:t>
      </w:r>
      <w:r>
        <w:rPr>
          <w:lang w:val="fr-FR"/>
        </w:rPr>
        <w:t> </w:t>
      </w:r>
      <w:r w:rsidRPr="006F02BF">
        <w:rPr>
          <w:lang w:val="fr-FR"/>
        </w:rPr>
        <w:t>» (</w:t>
      </w:r>
      <w:hyperlink r:id="rId29" w:history="1">
        <w:r w:rsidRPr="00B52B06">
          <w:rPr>
            <w:rStyle w:val="Hyperlink"/>
            <w:lang w:val="fr-FR"/>
          </w:rPr>
          <w:t>décision 8.COM 5.c.1</w:t>
        </w:r>
      </w:hyperlink>
      <w:r w:rsidRPr="00B52B06">
        <w:rPr>
          <w:lang w:val="fr-FR"/>
        </w:rPr>
        <w:t>).</w:t>
      </w:r>
      <w:r w:rsidRPr="006F02BF">
        <w:rPr>
          <w:lang w:val="fr-FR"/>
        </w:rPr>
        <w:t xml:space="preserve"> Cela implique par exemple de mettre à jour tous les supports pédagogiques pour refléter les décisions du Comité et de l’Assemblée générale. Les programmes doivent également être étoffés pour couvrir des thèmes très importants pour les États parties</w:t>
      </w:r>
      <w:r>
        <w:rPr>
          <w:lang w:val="fr-FR"/>
        </w:rPr>
        <w:t xml:space="preserve">. De nouveaux supports pédagogiques sur le genre </w:t>
      </w:r>
      <w:r w:rsidR="001B48C3">
        <w:rPr>
          <w:lang w:val="fr-FR"/>
        </w:rPr>
        <w:t xml:space="preserve">et sur le développement de politiques </w:t>
      </w:r>
      <w:r>
        <w:rPr>
          <w:lang w:val="fr-FR"/>
        </w:rPr>
        <w:t>sont maintenant disponibles</w:t>
      </w:r>
      <w:r w:rsidR="00A03B61">
        <w:rPr>
          <w:lang w:val="fr-FR"/>
        </w:rPr>
        <w:t xml:space="preserve"> et les matériaux sur le développement durable sont mis à jour pour refléter les références à l’Agenda 2030 pour le développement durable adopté récemment</w:t>
      </w:r>
      <w:r w:rsidR="00A03C71" w:rsidRPr="000B38DD">
        <w:rPr>
          <w:lang w:val="fr-FR"/>
        </w:rPr>
        <w:t xml:space="preserve">. </w:t>
      </w:r>
      <w:r w:rsidR="001B48C3">
        <w:rPr>
          <w:lang w:val="fr-FR"/>
        </w:rPr>
        <w:t>Au moment de la rédaction de ce rapport, l</w:t>
      </w:r>
      <w:r w:rsidR="001B48C3" w:rsidRPr="001B48C3">
        <w:rPr>
          <w:lang w:val="fr-FR"/>
        </w:rPr>
        <w:t>es supports existants</w:t>
      </w:r>
      <w:r w:rsidRPr="001B48C3">
        <w:rPr>
          <w:lang w:val="fr-FR"/>
        </w:rPr>
        <w:t xml:space="preserve"> </w:t>
      </w:r>
      <w:r w:rsidR="007C2886" w:rsidRPr="001B48C3">
        <w:rPr>
          <w:lang w:val="fr-FR"/>
        </w:rPr>
        <w:t>concernant</w:t>
      </w:r>
      <w:r w:rsidR="00212B54" w:rsidRPr="001B48C3">
        <w:rPr>
          <w:lang w:val="fr-FR"/>
        </w:rPr>
        <w:t xml:space="preserve"> l’é</w:t>
      </w:r>
      <w:r w:rsidR="00A03C71" w:rsidRPr="001B48C3">
        <w:rPr>
          <w:lang w:val="fr-FR"/>
        </w:rPr>
        <w:t>laborati</w:t>
      </w:r>
      <w:r w:rsidR="00212B54" w:rsidRPr="001B48C3">
        <w:rPr>
          <w:lang w:val="fr-FR"/>
        </w:rPr>
        <w:t>on des candidatures</w:t>
      </w:r>
      <w:r w:rsidR="001B48C3" w:rsidRPr="001B48C3">
        <w:rPr>
          <w:lang w:val="fr-FR"/>
        </w:rPr>
        <w:t xml:space="preserve"> sont en cours de révision afin d’y intégrer des </w:t>
      </w:r>
      <w:r w:rsidR="00026C63" w:rsidRPr="001B48C3">
        <w:rPr>
          <w:lang w:val="fr-FR"/>
        </w:rPr>
        <w:t>unité</w:t>
      </w:r>
      <w:r w:rsidR="00A03B61" w:rsidRPr="001B48C3">
        <w:rPr>
          <w:lang w:val="fr-FR"/>
        </w:rPr>
        <w:t>s</w:t>
      </w:r>
      <w:r w:rsidR="00026C63" w:rsidRPr="001B48C3">
        <w:rPr>
          <w:lang w:val="fr-FR"/>
        </w:rPr>
        <w:t xml:space="preserve"> </w:t>
      </w:r>
      <w:r w:rsidR="00A03C71" w:rsidRPr="001B48C3">
        <w:rPr>
          <w:lang w:val="fr-FR"/>
        </w:rPr>
        <w:t>th</w:t>
      </w:r>
      <w:r w:rsidR="00212B54" w:rsidRPr="001B48C3">
        <w:rPr>
          <w:lang w:val="fr-FR"/>
        </w:rPr>
        <w:t>é</w:t>
      </w:r>
      <w:r w:rsidR="00A03C71" w:rsidRPr="001B48C3">
        <w:rPr>
          <w:lang w:val="fr-FR"/>
        </w:rPr>
        <w:t>mati</w:t>
      </w:r>
      <w:r w:rsidR="00212B54" w:rsidRPr="001B48C3">
        <w:rPr>
          <w:lang w:val="fr-FR"/>
        </w:rPr>
        <w:t>que</w:t>
      </w:r>
      <w:r w:rsidR="00A03B61" w:rsidRPr="001B48C3">
        <w:rPr>
          <w:lang w:val="fr-FR"/>
        </w:rPr>
        <w:t>s</w:t>
      </w:r>
      <w:r w:rsidR="00212B54" w:rsidRPr="001B48C3">
        <w:rPr>
          <w:lang w:val="fr-FR"/>
        </w:rPr>
        <w:t xml:space="preserve"> </w:t>
      </w:r>
      <w:r w:rsidR="00A03B61" w:rsidRPr="001B48C3">
        <w:rPr>
          <w:lang w:val="fr-FR"/>
        </w:rPr>
        <w:t>sur les effets d’une inscription et sur le</w:t>
      </w:r>
      <w:r w:rsidR="00212B54" w:rsidRPr="001B48C3">
        <w:rPr>
          <w:lang w:val="fr-FR"/>
        </w:rPr>
        <w:t xml:space="preserve">s rapports périodiques </w:t>
      </w:r>
      <w:r w:rsidR="007C2886" w:rsidRPr="001B48C3">
        <w:rPr>
          <w:lang w:val="fr-FR"/>
        </w:rPr>
        <w:t>concernant l</w:t>
      </w:r>
      <w:r w:rsidR="00212B54" w:rsidRPr="001B48C3">
        <w:rPr>
          <w:lang w:val="fr-FR"/>
        </w:rPr>
        <w:t>es éléments inscrits</w:t>
      </w:r>
      <w:r w:rsidR="00A03C71" w:rsidRPr="001B48C3">
        <w:rPr>
          <w:lang w:val="fr-FR"/>
        </w:rPr>
        <w:t>.</w:t>
      </w:r>
      <w:r w:rsidR="00E70A64">
        <w:rPr>
          <w:lang w:val="fr-FR"/>
        </w:rPr>
        <w:t xml:space="preserve"> De plus, de nouveaux supports pédagogiques sur demandes d’assistance internationale sont en cours de préparation. </w:t>
      </w:r>
      <w:r w:rsidR="00212B54" w:rsidRPr="001B48C3">
        <w:rPr>
          <w:lang w:val="fr-FR"/>
        </w:rPr>
        <w:t xml:space="preserve">Par ailleurs, le </w:t>
      </w:r>
      <w:r w:rsidR="00C77767" w:rsidRPr="001B48C3">
        <w:rPr>
          <w:lang w:val="fr-FR"/>
        </w:rPr>
        <w:t>Secrétariat</w:t>
      </w:r>
      <w:r w:rsidR="00A03C71" w:rsidRPr="001B48C3">
        <w:rPr>
          <w:lang w:val="fr-FR"/>
        </w:rPr>
        <w:t xml:space="preserve"> </w:t>
      </w:r>
      <w:r w:rsidR="00212B54" w:rsidRPr="001B48C3">
        <w:rPr>
          <w:lang w:val="fr-FR"/>
        </w:rPr>
        <w:t xml:space="preserve">a conçu, testé, et fait tester par des pairs </w:t>
      </w:r>
      <w:r w:rsidR="001B48C3">
        <w:rPr>
          <w:lang w:val="fr-FR"/>
        </w:rPr>
        <w:t xml:space="preserve">des </w:t>
      </w:r>
      <w:r w:rsidR="00212B54" w:rsidRPr="001B48C3">
        <w:rPr>
          <w:lang w:val="fr-FR"/>
        </w:rPr>
        <w:t>documents pédagogiques</w:t>
      </w:r>
      <w:r w:rsidR="001B48C3">
        <w:rPr>
          <w:lang w:val="fr-FR"/>
        </w:rPr>
        <w:t xml:space="preserve"> complets sur l’élaboration de plans de sauvegarde pour le patrimoine culturel immatériel </w:t>
      </w:r>
      <w:r w:rsidR="001B2CE7">
        <w:rPr>
          <w:lang w:val="fr-FR"/>
        </w:rPr>
        <w:t>destinés à</w:t>
      </w:r>
      <w:r w:rsidR="001B48C3">
        <w:rPr>
          <w:lang w:val="fr-FR"/>
        </w:rPr>
        <w:t xml:space="preserve"> un</w:t>
      </w:r>
      <w:r w:rsidR="00212B54" w:rsidRPr="001B48C3">
        <w:rPr>
          <w:lang w:val="fr-FR"/>
        </w:rPr>
        <w:t xml:space="preserve"> atelier de cinq jours</w:t>
      </w:r>
      <w:r w:rsidR="001B2CE7">
        <w:rPr>
          <w:lang w:val="fr-FR"/>
        </w:rPr>
        <w:t xml:space="preserve"> pendant la période </w:t>
      </w:r>
      <w:r w:rsidR="00C30076">
        <w:rPr>
          <w:lang w:val="fr-FR"/>
        </w:rPr>
        <w:t>considérée</w:t>
      </w:r>
      <w:r w:rsidR="001B2CE7">
        <w:rPr>
          <w:lang w:val="fr-FR"/>
        </w:rPr>
        <w:t xml:space="preserve">, et a organisé </w:t>
      </w:r>
      <w:r w:rsidR="00026C63" w:rsidRPr="001B48C3">
        <w:rPr>
          <w:lang w:val="fr-FR"/>
        </w:rPr>
        <w:t>un premier atelier de formation de formateurs à leur utilisation en janvier </w:t>
      </w:r>
      <w:r w:rsidR="006A2EDE">
        <w:rPr>
          <w:lang w:val="fr-FR"/>
        </w:rPr>
        <w:t xml:space="preserve">2015 à Shenzhen, </w:t>
      </w:r>
      <w:r w:rsidR="00AE22E4">
        <w:rPr>
          <w:lang w:val="fr-FR"/>
        </w:rPr>
        <w:t>Chine. Afin d’aider les experts-</w:t>
      </w:r>
      <w:r w:rsidR="006A2EDE">
        <w:rPr>
          <w:lang w:val="fr-FR"/>
        </w:rPr>
        <w:t xml:space="preserve">facilitateurs à se familiariser avec ces nouveaux supports pédagogiques, le Secrétariat a adopté une approche sur mesure en offrant des sessions de formation en petit nombre plutôt qu’en organisant des ateliers régionaux de formation des formateurs. </w:t>
      </w:r>
    </w:p>
    <w:p w14:paraId="2F0095FF" w14:textId="126FE413" w:rsidR="00A03C71" w:rsidRPr="00EE55A0" w:rsidRDefault="00026C63" w:rsidP="00EE55A0">
      <w:pPr>
        <w:pStyle w:val="COMPara"/>
        <w:numPr>
          <w:ilvl w:val="0"/>
          <w:numId w:val="9"/>
        </w:numPr>
        <w:ind w:left="567" w:hanging="567"/>
        <w:jc w:val="both"/>
        <w:rPr>
          <w:lang w:val="fr-FR"/>
        </w:rPr>
      </w:pPr>
      <w:r w:rsidRPr="00EE55A0">
        <w:rPr>
          <w:lang w:val="fr-FR"/>
        </w:rPr>
        <w:t xml:space="preserve">Le </w:t>
      </w:r>
      <w:r w:rsidR="00A03C71" w:rsidRPr="00EE55A0">
        <w:rPr>
          <w:lang w:val="fr-FR"/>
        </w:rPr>
        <w:t>format</w:t>
      </w:r>
      <w:r w:rsidRPr="00EE55A0">
        <w:rPr>
          <w:lang w:val="fr-FR"/>
        </w:rPr>
        <w:t xml:space="preserve"> et la présentation des supports pédagogiques </w:t>
      </w:r>
      <w:r w:rsidR="007C2886">
        <w:rPr>
          <w:lang w:val="fr-FR"/>
        </w:rPr>
        <w:t>font aussi l’objet d’une amélioration continue</w:t>
      </w:r>
      <w:r w:rsidR="00A03C71" w:rsidRPr="00EE55A0">
        <w:rPr>
          <w:lang w:val="fr-FR"/>
        </w:rPr>
        <w:t xml:space="preserve">. </w:t>
      </w:r>
      <w:r w:rsidRPr="00EE55A0">
        <w:rPr>
          <w:lang w:val="fr-FR"/>
        </w:rPr>
        <w:t xml:space="preserve">Une restructuration </w:t>
      </w:r>
      <w:r w:rsidR="00A03C71" w:rsidRPr="00EE55A0">
        <w:rPr>
          <w:lang w:val="fr-FR"/>
        </w:rPr>
        <w:t>maj</w:t>
      </w:r>
      <w:r w:rsidRPr="00EE55A0">
        <w:rPr>
          <w:lang w:val="fr-FR"/>
        </w:rPr>
        <w:t xml:space="preserve">eure des supports a commencé fin </w:t>
      </w:r>
      <w:r w:rsidR="00A03C71" w:rsidRPr="00EE55A0">
        <w:rPr>
          <w:lang w:val="fr-FR"/>
        </w:rPr>
        <w:t xml:space="preserve">2013 </w:t>
      </w:r>
      <w:r w:rsidRPr="00EE55A0">
        <w:rPr>
          <w:lang w:val="fr-FR"/>
        </w:rPr>
        <w:t xml:space="preserve">et s’est achevée en </w:t>
      </w:r>
      <w:r w:rsidR="00A03C71" w:rsidRPr="00EE55A0">
        <w:rPr>
          <w:lang w:val="fr-FR"/>
        </w:rPr>
        <w:t>2015</w:t>
      </w:r>
      <w:r w:rsidRPr="00EE55A0">
        <w:rPr>
          <w:lang w:val="fr-FR"/>
        </w:rPr>
        <w:t xml:space="preserve"> par la </w:t>
      </w:r>
      <w:r w:rsidR="00A03C71" w:rsidRPr="00EE55A0">
        <w:rPr>
          <w:lang w:val="fr-FR"/>
        </w:rPr>
        <w:t>conver</w:t>
      </w:r>
      <w:r w:rsidRPr="00EE55A0">
        <w:rPr>
          <w:lang w:val="fr-FR"/>
        </w:rPr>
        <w:t xml:space="preserve">sion de quatre cours séparés en un ensemble </w:t>
      </w:r>
      <w:r w:rsidR="007C2886">
        <w:rPr>
          <w:lang w:val="fr-FR"/>
        </w:rPr>
        <w:t>d’une cinquantaine d’</w:t>
      </w:r>
      <w:r w:rsidRPr="00EE55A0">
        <w:rPr>
          <w:lang w:val="fr-FR"/>
        </w:rPr>
        <w:t>unités distinctes</w:t>
      </w:r>
      <w:r w:rsidR="00A03C71" w:rsidRPr="00EE55A0">
        <w:rPr>
          <w:lang w:val="fr-FR"/>
        </w:rPr>
        <w:t xml:space="preserve">. </w:t>
      </w:r>
      <w:r w:rsidRPr="00026C63">
        <w:rPr>
          <w:lang w:val="fr-FR"/>
        </w:rPr>
        <w:t xml:space="preserve">De cette manière, les </w:t>
      </w:r>
      <w:r w:rsidR="00281176">
        <w:rPr>
          <w:lang w:val="fr-FR"/>
        </w:rPr>
        <w:t>experts-</w:t>
      </w:r>
      <w:r w:rsidRPr="00026C63">
        <w:rPr>
          <w:lang w:val="fr-FR"/>
        </w:rPr>
        <w:t xml:space="preserve">facilitateurs </w:t>
      </w:r>
      <w:r w:rsidR="007C2886">
        <w:rPr>
          <w:lang w:val="fr-FR"/>
        </w:rPr>
        <w:t xml:space="preserve">peuvent désormais </w:t>
      </w:r>
      <w:r w:rsidRPr="00026C63">
        <w:rPr>
          <w:lang w:val="fr-FR"/>
        </w:rPr>
        <w:t xml:space="preserve">sélectionner </w:t>
      </w:r>
      <w:r w:rsidR="007C2886">
        <w:rPr>
          <w:lang w:val="fr-FR"/>
        </w:rPr>
        <w:t>la séquence d</w:t>
      </w:r>
      <w:r w:rsidRPr="00026C63">
        <w:rPr>
          <w:lang w:val="fr-FR"/>
        </w:rPr>
        <w:t>es unités les plus adaptées aux besoins spécifiques des participants</w:t>
      </w:r>
      <w:r>
        <w:rPr>
          <w:lang w:val="fr-FR"/>
        </w:rPr>
        <w:t xml:space="preserve"> </w:t>
      </w:r>
      <w:r w:rsidRPr="00026C63">
        <w:rPr>
          <w:lang w:val="fr-FR"/>
        </w:rPr>
        <w:t>et composer des ateliers à partir de ces blocs pour qu’ils correspondent à la situation de chaque pays bénéficiaire.</w:t>
      </w:r>
      <w:r>
        <w:rPr>
          <w:lang w:val="fr-FR"/>
        </w:rPr>
        <w:t xml:space="preserve"> </w:t>
      </w:r>
      <w:r w:rsidR="004C3895">
        <w:rPr>
          <w:lang w:val="fr-FR"/>
        </w:rPr>
        <w:t xml:space="preserve">Tous les documents ont été finalisés </w:t>
      </w:r>
      <w:r w:rsidR="00456023">
        <w:rPr>
          <w:lang w:val="fr-FR"/>
        </w:rPr>
        <w:t xml:space="preserve">en anglais </w:t>
      </w:r>
      <w:r w:rsidR="004C3895">
        <w:rPr>
          <w:lang w:val="fr-FR"/>
        </w:rPr>
        <w:t xml:space="preserve">et en français </w:t>
      </w:r>
      <w:r w:rsidR="00456023">
        <w:rPr>
          <w:lang w:val="fr-FR"/>
        </w:rPr>
        <w:t xml:space="preserve">pendant la </w:t>
      </w:r>
      <w:r w:rsidR="000C694D" w:rsidRPr="00456023">
        <w:rPr>
          <w:lang w:val="fr-FR"/>
        </w:rPr>
        <w:t xml:space="preserve">période </w:t>
      </w:r>
      <w:r w:rsidR="00C30076">
        <w:rPr>
          <w:lang w:val="fr-FR"/>
        </w:rPr>
        <w:t>considérée</w:t>
      </w:r>
      <w:r w:rsidR="00A03C71" w:rsidRPr="00456023">
        <w:rPr>
          <w:lang w:val="fr-FR"/>
        </w:rPr>
        <w:t xml:space="preserve"> </w:t>
      </w:r>
      <w:r w:rsidR="004C3895">
        <w:rPr>
          <w:lang w:val="fr-FR"/>
        </w:rPr>
        <w:t>et la majorité d’entre eux est égale</w:t>
      </w:r>
      <w:r w:rsidR="002B1249">
        <w:rPr>
          <w:lang w:val="fr-FR"/>
        </w:rPr>
        <w:t>ment disponible</w:t>
      </w:r>
      <w:r w:rsidR="004C3895">
        <w:rPr>
          <w:lang w:val="fr-FR"/>
        </w:rPr>
        <w:t xml:space="preserve"> en arabe, russe et espagnol.</w:t>
      </w:r>
    </w:p>
    <w:p w14:paraId="44872423" w14:textId="77777777" w:rsidR="00A03C71" w:rsidRPr="00EE55A0" w:rsidRDefault="00456023" w:rsidP="00EE55A0">
      <w:pPr>
        <w:pStyle w:val="COMPara"/>
        <w:keepNext/>
        <w:numPr>
          <w:ilvl w:val="0"/>
          <w:numId w:val="16"/>
        </w:numPr>
        <w:spacing w:before="240"/>
        <w:ind w:left="1276"/>
        <w:rPr>
          <w:b/>
          <w:lang w:val="fr-FR"/>
        </w:rPr>
      </w:pPr>
      <w:r w:rsidRPr="00456023">
        <w:rPr>
          <w:b/>
          <w:lang w:val="fr-FR"/>
        </w:rPr>
        <w:t>Formats et approches de renforcement des capacités appropriés, élaborés et mis à l’essai pour aider les pays à établir une législation et des politiques</w:t>
      </w:r>
      <w:r w:rsidR="00A51DFF">
        <w:rPr>
          <w:b/>
          <w:lang w:val="fr-FR"/>
        </w:rPr>
        <w:t xml:space="preserve"> </w:t>
      </w:r>
    </w:p>
    <w:p w14:paraId="0F823E04" w14:textId="5D579371" w:rsidR="00A03C71" w:rsidRPr="00201100" w:rsidRDefault="0036557D" w:rsidP="00EE55A0">
      <w:pPr>
        <w:pStyle w:val="COMPara"/>
        <w:numPr>
          <w:ilvl w:val="0"/>
          <w:numId w:val="9"/>
        </w:numPr>
        <w:ind w:left="567" w:hanging="567"/>
        <w:jc w:val="both"/>
        <w:rPr>
          <w:lang w:val="fr-FR"/>
        </w:rPr>
      </w:pPr>
      <w:r w:rsidRPr="00201100">
        <w:rPr>
          <w:lang w:val="fr-FR"/>
        </w:rPr>
        <w:t xml:space="preserve">L’une des </w:t>
      </w:r>
      <w:r w:rsidR="00A03C71" w:rsidRPr="00201100">
        <w:rPr>
          <w:lang w:val="fr-FR"/>
        </w:rPr>
        <w:t>priorit</w:t>
      </w:r>
      <w:r w:rsidRPr="00201100">
        <w:rPr>
          <w:lang w:val="fr-FR"/>
        </w:rPr>
        <w:t>és a été l’</w:t>
      </w:r>
      <w:r w:rsidR="00A03C71" w:rsidRPr="00201100">
        <w:rPr>
          <w:lang w:val="fr-FR"/>
        </w:rPr>
        <w:t xml:space="preserve">identification </w:t>
      </w:r>
      <w:r w:rsidRPr="00201100">
        <w:rPr>
          <w:lang w:val="fr-FR"/>
        </w:rPr>
        <w:t xml:space="preserve">des formats et approches de renforcement des capacités appropriés pour aider les pays </w:t>
      </w:r>
      <w:r w:rsidR="00A03C71" w:rsidRPr="00201100">
        <w:rPr>
          <w:lang w:val="fr-FR"/>
        </w:rPr>
        <w:t>b</w:t>
      </w:r>
      <w:r w:rsidRPr="00201100">
        <w:rPr>
          <w:lang w:val="fr-FR"/>
        </w:rPr>
        <w:t xml:space="preserve">énéficiaires à établir une </w:t>
      </w:r>
      <w:r w:rsidR="00A03C71" w:rsidRPr="00201100">
        <w:rPr>
          <w:lang w:val="fr-FR"/>
        </w:rPr>
        <w:t>l</w:t>
      </w:r>
      <w:r w:rsidRPr="00201100">
        <w:rPr>
          <w:lang w:val="fr-FR"/>
        </w:rPr>
        <w:t>é</w:t>
      </w:r>
      <w:r w:rsidR="00A03C71" w:rsidRPr="00201100">
        <w:rPr>
          <w:lang w:val="fr-FR"/>
        </w:rPr>
        <w:t xml:space="preserve">gislation </w:t>
      </w:r>
      <w:r w:rsidRPr="00201100">
        <w:rPr>
          <w:lang w:val="fr-FR"/>
        </w:rPr>
        <w:t xml:space="preserve">et des </w:t>
      </w:r>
      <w:r w:rsidR="00A03C71" w:rsidRPr="00201100">
        <w:rPr>
          <w:lang w:val="fr-FR"/>
        </w:rPr>
        <w:t>poli</w:t>
      </w:r>
      <w:r w:rsidRPr="00201100">
        <w:rPr>
          <w:lang w:val="fr-FR"/>
        </w:rPr>
        <w:t xml:space="preserve">tiques en matière de patrimoine culturel </w:t>
      </w:r>
      <w:r w:rsidRPr="002222A7">
        <w:rPr>
          <w:lang w:val="fr-FR"/>
        </w:rPr>
        <w:t xml:space="preserve">immatériel </w:t>
      </w:r>
      <w:r w:rsidR="00A03C71" w:rsidRPr="002222A7">
        <w:rPr>
          <w:lang w:val="fr-FR"/>
        </w:rPr>
        <w:t>(</w:t>
      </w:r>
      <w:hyperlink r:id="rId30" w:history="1">
        <w:r w:rsidR="00541CBF" w:rsidRPr="00B52B06">
          <w:rPr>
            <w:rStyle w:val="Hyperlink"/>
            <w:lang w:val="fr-FR"/>
          </w:rPr>
          <w:t>décision 8.COM 5.c.1</w:t>
        </w:r>
      </w:hyperlink>
      <w:r w:rsidR="00A03C71" w:rsidRPr="00B52B06">
        <w:rPr>
          <w:rStyle w:val="Hyperlink"/>
          <w:color w:val="auto"/>
          <w:u w:val="none"/>
          <w:lang w:val="fr-FR"/>
        </w:rPr>
        <w:t>)</w:t>
      </w:r>
      <w:r w:rsidR="00A03C71" w:rsidRPr="00B52B06">
        <w:rPr>
          <w:lang w:val="fr-FR"/>
        </w:rPr>
        <w:t>.</w:t>
      </w:r>
      <w:r w:rsidR="00A03C71" w:rsidRPr="002222A7">
        <w:rPr>
          <w:lang w:val="fr-FR"/>
        </w:rPr>
        <w:t xml:space="preserve"> </w:t>
      </w:r>
      <w:r w:rsidR="00AB1CE6" w:rsidRPr="00201100">
        <w:rPr>
          <w:lang w:val="fr-FR"/>
        </w:rPr>
        <w:t>L</w:t>
      </w:r>
      <w:r w:rsidRPr="00201100">
        <w:rPr>
          <w:lang w:val="fr-FR"/>
        </w:rPr>
        <w:t xml:space="preserve">e </w:t>
      </w:r>
      <w:r w:rsidR="00C77767" w:rsidRPr="00201100">
        <w:rPr>
          <w:lang w:val="fr-FR"/>
        </w:rPr>
        <w:t>Secrétariat</w:t>
      </w:r>
      <w:r w:rsidR="00A03C71" w:rsidRPr="00201100">
        <w:rPr>
          <w:lang w:val="fr-FR"/>
        </w:rPr>
        <w:t xml:space="preserve"> </w:t>
      </w:r>
      <w:r w:rsidRPr="00201100">
        <w:rPr>
          <w:lang w:val="fr-FR"/>
        </w:rPr>
        <w:t xml:space="preserve">a </w:t>
      </w:r>
      <w:r w:rsidR="00A03C71" w:rsidRPr="00201100">
        <w:rPr>
          <w:lang w:val="fr-FR"/>
        </w:rPr>
        <w:t>analys</w:t>
      </w:r>
      <w:r w:rsidRPr="00201100">
        <w:rPr>
          <w:lang w:val="fr-FR"/>
        </w:rPr>
        <w:t xml:space="preserve">é les approches en conseil </w:t>
      </w:r>
      <w:r w:rsidR="00264F8D">
        <w:rPr>
          <w:lang w:val="fr-FR"/>
        </w:rPr>
        <w:t>en politiques</w:t>
      </w:r>
      <w:r w:rsidR="00264F8D" w:rsidRPr="00201100">
        <w:rPr>
          <w:lang w:val="fr-FR"/>
        </w:rPr>
        <w:t xml:space="preserve"> </w:t>
      </w:r>
      <w:r w:rsidRPr="00201100">
        <w:rPr>
          <w:lang w:val="fr-FR"/>
        </w:rPr>
        <w:t>utilisées par ailleurs à l’</w:t>
      </w:r>
      <w:r w:rsidR="00A03C71" w:rsidRPr="00201100">
        <w:rPr>
          <w:lang w:val="fr-FR"/>
        </w:rPr>
        <w:t xml:space="preserve">UNESCO </w:t>
      </w:r>
      <w:r w:rsidRPr="00201100">
        <w:rPr>
          <w:lang w:val="fr-FR"/>
        </w:rPr>
        <w:t>et dans d’autres agenc</w:t>
      </w:r>
      <w:r w:rsidR="00A03C71" w:rsidRPr="00201100">
        <w:rPr>
          <w:lang w:val="fr-FR"/>
        </w:rPr>
        <w:t xml:space="preserve">es </w:t>
      </w:r>
      <w:r w:rsidRPr="00201100">
        <w:rPr>
          <w:lang w:val="fr-FR"/>
        </w:rPr>
        <w:t>pour en tirer des enseignements</w:t>
      </w:r>
      <w:r w:rsidR="00A03C71" w:rsidRPr="00201100">
        <w:rPr>
          <w:lang w:val="fr-FR"/>
        </w:rPr>
        <w:t xml:space="preserve">. </w:t>
      </w:r>
      <w:r w:rsidRPr="00201100">
        <w:rPr>
          <w:lang w:val="fr-FR"/>
        </w:rPr>
        <w:t xml:space="preserve">Il a </w:t>
      </w:r>
      <w:r w:rsidR="00A03C71" w:rsidRPr="00201100">
        <w:rPr>
          <w:lang w:val="fr-FR"/>
        </w:rPr>
        <w:t>organi</w:t>
      </w:r>
      <w:r w:rsidRPr="00201100">
        <w:rPr>
          <w:lang w:val="fr-FR"/>
        </w:rPr>
        <w:t xml:space="preserve">sé un atelier le </w:t>
      </w:r>
      <w:r w:rsidR="00A03C71" w:rsidRPr="00201100">
        <w:rPr>
          <w:lang w:val="fr-FR"/>
        </w:rPr>
        <w:t>25</w:t>
      </w:r>
      <w:r w:rsidRPr="00201100">
        <w:rPr>
          <w:lang w:val="fr-FR"/>
        </w:rPr>
        <w:t> juin</w:t>
      </w:r>
      <w:r w:rsidR="00AB1CE6" w:rsidRPr="00201100">
        <w:rPr>
          <w:lang w:val="fr-FR"/>
        </w:rPr>
        <w:t> </w:t>
      </w:r>
      <w:r w:rsidR="00A03C71" w:rsidRPr="00201100">
        <w:rPr>
          <w:lang w:val="fr-FR"/>
        </w:rPr>
        <w:t>2014</w:t>
      </w:r>
      <w:r w:rsidRPr="00201100">
        <w:rPr>
          <w:lang w:val="fr-FR"/>
        </w:rPr>
        <w:t xml:space="preserve"> au Siège, auquel ont participé des </w:t>
      </w:r>
      <w:r w:rsidR="00A03C71" w:rsidRPr="00201100">
        <w:rPr>
          <w:lang w:val="fr-FR"/>
        </w:rPr>
        <w:t>coll</w:t>
      </w:r>
      <w:r w:rsidRPr="00201100">
        <w:rPr>
          <w:lang w:val="fr-FR"/>
        </w:rPr>
        <w:t>è</w:t>
      </w:r>
      <w:r w:rsidR="00A03C71" w:rsidRPr="00201100">
        <w:rPr>
          <w:lang w:val="fr-FR"/>
        </w:rPr>
        <w:t xml:space="preserve">gues </w:t>
      </w:r>
      <w:r w:rsidRPr="00201100">
        <w:rPr>
          <w:lang w:val="fr-FR"/>
        </w:rPr>
        <w:t xml:space="preserve">du </w:t>
      </w:r>
      <w:r w:rsidR="00C77767" w:rsidRPr="00201100">
        <w:rPr>
          <w:lang w:val="fr-FR"/>
        </w:rPr>
        <w:t>Secrétariat</w:t>
      </w:r>
      <w:r w:rsidR="00A03C71" w:rsidRPr="00201100">
        <w:rPr>
          <w:lang w:val="fr-FR"/>
        </w:rPr>
        <w:t xml:space="preserve"> </w:t>
      </w:r>
      <w:r w:rsidRPr="00201100">
        <w:rPr>
          <w:lang w:val="fr-FR"/>
        </w:rPr>
        <w:t xml:space="preserve">de la </w:t>
      </w:r>
      <w:r w:rsidR="00A03C71" w:rsidRPr="00201100">
        <w:rPr>
          <w:lang w:val="fr-FR"/>
        </w:rPr>
        <w:t xml:space="preserve">Convention </w:t>
      </w:r>
      <w:r w:rsidRPr="00201100">
        <w:rPr>
          <w:lang w:val="fr-FR"/>
        </w:rPr>
        <w:t xml:space="preserve">de 2003 et de la </w:t>
      </w:r>
      <w:r w:rsidR="00A03C71" w:rsidRPr="00201100">
        <w:rPr>
          <w:lang w:val="fr-FR"/>
        </w:rPr>
        <w:t xml:space="preserve">Convention </w:t>
      </w:r>
      <w:r w:rsidRPr="00201100">
        <w:rPr>
          <w:lang w:val="fr-FR"/>
        </w:rPr>
        <w:t xml:space="preserve">de 2005 sur la protection et la promotion de la diversité des expressions culturelles ainsi que des intervenants invités </w:t>
      </w:r>
      <w:r w:rsidR="00F65E68" w:rsidRPr="00201100">
        <w:rPr>
          <w:lang w:val="fr-FR"/>
        </w:rPr>
        <w:t>d</w:t>
      </w:r>
      <w:r w:rsidR="00F65E68">
        <w:rPr>
          <w:lang w:val="fr-FR"/>
        </w:rPr>
        <w:t>u Programme de</w:t>
      </w:r>
      <w:r w:rsidR="008E2E3B">
        <w:rPr>
          <w:lang w:val="fr-FR"/>
        </w:rPr>
        <w:t>s</w:t>
      </w:r>
      <w:r w:rsidR="00F65E68">
        <w:rPr>
          <w:lang w:val="fr-FR"/>
        </w:rPr>
        <w:t xml:space="preserve"> Nations Unies pour l’environnement (</w:t>
      </w:r>
      <w:r w:rsidR="00A03C71" w:rsidRPr="00201100">
        <w:rPr>
          <w:lang w:val="fr-FR"/>
        </w:rPr>
        <w:t>UNEP</w:t>
      </w:r>
      <w:r w:rsidR="00F65E68">
        <w:rPr>
          <w:lang w:val="fr-FR"/>
        </w:rPr>
        <w:t>)</w:t>
      </w:r>
      <w:r w:rsidR="00A03C71" w:rsidRPr="00201100">
        <w:rPr>
          <w:lang w:val="fr-FR"/>
        </w:rPr>
        <w:t xml:space="preserve">, </w:t>
      </w:r>
      <w:r w:rsidRPr="00201100">
        <w:rPr>
          <w:lang w:val="fr-FR"/>
        </w:rPr>
        <w:t>du secteur de l’éducation de l’</w:t>
      </w:r>
      <w:r w:rsidR="00A03C71" w:rsidRPr="00201100">
        <w:rPr>
          <w:lang w:val="fr-FR"/>
        </w:rPr>
        <w:t>UNESCO</w:t>
      </w:r>
      <w:r w:rsidRPr="00201100">
        <w:rPr>
          <w:lang w:val="fr-FR"/>
        </w:rPr>
        <w:t xml:space="preserve"> et de </w:t>
      </w:r>
      <w:r w:rsidR="00BC4CEA" w:rsidRPr="00201100">
        <w:rPr>
          <w:lang w:val="fr-FR"/>
        </w:rPr>
        <w:t>l’</w:t>
      </w:r>
      <w:r w:rsidR="00A03C71" w:rsidRPr="00201100">
        <w:rPr>
          <w:lang w:val="fr-FR"/>
        </w:rPr>
        <w:t>Institut</w:t>
      </w:r>
      <w:r w:rsidR="00BC4CEA" w:rsidRPr="00201100">
        <w:rPr>
          <w:lang w:val="fr-FR"/>
        </w:rPr>
        <w:t xml:space="preserve"> international de planification de l’éducation </w:t>
      </w:r>
      <w:r w:rsidR="00A03C71" w:rsidRPr="00201100">
        <w:rPr>
          <w:lang w:val="fr-FR"/>
        </w:rPr>
        <w:t>(II</w:t>
      </w:r>
      <w:r w:rsidR="00BC4CEA" w:rsidRPr="00201100">
        <w:rPr>
          <w:lang w:val="fr-FR"/>
        </w:rPr>
        <w:t>PE</w:t>
      </w:r>
      <w:r w:rsidR="00A03C71" w:rsidRPr="00201100">
        <w:rPr>
          <w:lang w:val="fr-FR"/>
        </w:rPr>
        <w:t>).</w:t>
      </w:r>
    </w:p>
    <w:p w14:paraId="1291D721" w14:textId="062664B2" w:rsidR="00A03C71" w:rsidRPr="0036557D" w:rsidRDefault="0004198A" w:rsidP="00A03C71">
      <w:pPr>
        <w:pStyle w:val="COMPara"/>
        <w:numPr>
          <w:ilvl w:val="0"/>
          <w:numId w:val="9"/>
        </w:numPr>
        <w:ind w:left="567" w:hanging="567"/>
        <w:jc w:val="both"/>
        <w:rPr>
          <w:lang w:val="fr-FR"/>
        </w:rPr>
      </w:pPr>
      <w:r>
        <w:rPr>
          <w:lang w:val="fr-FR"/>
        </w:rPr>
        <w:t xml:space="preserve">Les réflexions ont abouti à la rédaction d’une </w:t>
      </w:r>
      <w:hyperlink r:id="rId31" w:history="1">
        <w:r w:rsidRPr="008038C6">
          <w:rPr>
            <w:rStyle w:val="Hyperlink"/>
            <w:lang w:val="fr-FR"/>
          </w:rPr>
          <w:t>Note d’orientation de l’UNESCO</w:t>
        </w:r>
      </w:hyperlink>
      <w:r>
        <w:rPr>
          <w:lang w:val="fr-FR"/>
        </w:rPr>
        <w:t xml:space="preserve"> complète adressée aux experts engagés par l’UNESCO pour fournir des services de conseil pour le</w:t>
      </w:r>
      <w:r w:rsidR="00264F8D">
        <w:rPr>
          <w:lang w:val="fr-FR"/>
        </w:rPr>
        <w:t xml:space="preserve"> développement de</w:t>
      </w:r>
      <w:r>
        <w:rPr>
          <w:lang w:val="fr-FR"/>
        </w:rPr>
        <w:t xml:space="preserve"> politiques dans le domaine du patrimoine culturel immatériel. </w:t>
      </w:r>
      <w:r w:rsidR="00264F8D">
        <w:rPr>
          <w:lang w:val="fr-FR"/>
        </w:rPr>
        <w:t>D</w:t>
      </w:r>
      <w:r w:rsidR="00BC4CEA">
        <w:rPr>
          <w:lang w:val="fr-FR"/>
        </w:rPr>
        <w:t xml:space="preserve">es budgets consacrés aux services de conseil en matière d’élaboration de politiques et de cadres juridiques ont </w:t>
      </w:r>
      <w:r w:rsidR="00264F8D">
        <w:rPr>
          <w:lang w:val="fr-FR"/>
        </w:rPr>
        <w:t xml:space="preserve">par ailleurs </w:t>
      </w:r>
      <w:r w:rsidR="00BC4CEA">
        <w:rPr>
          <w:lang w:val="fr-FR"/>
        </w:rPr>
        <w:t xml:space="preserve">été intégrés </w:t>
      </w:r>
      <w:r w:rsidR="00264F8D">
        <w:rPr>
          <w:lang w:val="fr-FR"/>
        </w:rPr>
        <w:t>aux</w:t>
      </w:r>
      <w:r w:rsidR="00BC4CEA">
        <w:rPr>
          <w:lang w:val="fr-FR"/>
        </w:rPr>
        <w:t xml:space="preserve"> nouveaux </w:t>
      </w:r>
      <w:r w:rsidR="00C40D88" w:rsidRPr="0036557D">
        <w:rPr>
          <w:lang w:val="fr-FR"/>
        </w:rPr>
        <w:t>projets</w:t>
      </w:r>
      <w:r w:rsidR="00A03C71" w:rsidRPr="0036557D">
        <w:rPr>
          <w:lang w:val="fr-FR"/>
        </w:rPr>
        <w:t xml:space="preserve"> </w:t>
      </w:r>
      <w:r w:rsidR="00BC4CEA">
        <w:rPr>
          <w:lang w:val="fr-FR"/>
        </w:rPr>
        <w:t xml:space="preserve">pluriannuels mis </w:t>
      </w:r>
      <w:r w:rsidR="00091CB0">
        <w:rPr>
          <w:lang w:val="fr-FR"/>
        </w:rPr>
        <w:t>en place</w:t>
      </w:r>
      <w:r w:rsidR="00BC4CEA">
        <w:rPr>
          <w:lang w:val="fr-FR"/>
        </w:rPr>
        <w:t xml:space="preserve"> dans </w:t>
      </w:r>
      <w:r w:rsidR="00A03C71" w:rsidRPr="0036557D">
        <w:rPr>
          <w:lang w:val="fr-FR"/>
        </w:rPr>
        <w:t>13</w:t>
      </w:r>
      <w:r w:rsidR="00BC4CEA">
        <w:rPr>
          <w:lang w:val="fr-FR"/>
        </w:rPr>
        <w:t xml:space="preserve"> pays pendant la </w:t>
      </w:r>
      <w:r w:rsidR="000C694D" w:rsidRPr="0036557D">
        <w:rPr>
          <w:lang w:val="fr-FR"/>
        </w:rPr>
        <w:t xml:space="preserve">période </w:t>
      </w:r>
      <w:r w:rsidR="00C30076">
        <w:rPr>
          <w:lang w:val="fr-FR"/>
        </w:rPr>
        <w:t>considérée</w:t>
      </w:r>
      <w:r w:rsidR="00A03C71" w:rsidRPr="0036557D">
        <w:rPr>
          <w:lang w:val="fr-FR"/>
        </w:rPr>
        <w:t xml:space="preserve"> </w:t>
      </w:r>
      <w:r w:rsidR="00BC4CEA">
        <w:rPr>
          <w:lang w:val="fr-FR"/>
        </w:rPr>
        <w:t xml:space="preserve">et les besoins en élaboration des politiques ont été évalués dans </w:t>
      </w:r>
      <w:r w:rsidR="00F37573">
        <w:rPr>
          <w:lang w:val="fr-FR"/>
        </w:rPr>
        <w:t>15</w:t>
      </w:r>
      <w:r w:rsidR="00BC4CEA">
        <w:rPr>
          <w:lang w:val="fr-FR"/>
        </w:rPr>
        <w:t> autres pays</w:t>
      </w:r>
      <w:r w:rsidR="00A03C71" w:rsidRPr="0036557D">
        <w:rPr>
          <w:lang w:val="fr-FR"/>
        </w:rPr>
        <w:t xml:space="preserve">. </w:t>
      </w:r>
      <w:r w:rsidR="00BC4CEA">
        <w:rPr>
          <w:lang w:val="fr-FR"/>
        </w:rPr>
        <w:t xml:space="preserve">Un soutien actif en matière d’élaboration de politiques et de cadres juridiques est en cours dans </w:t>
      </w:r>
      <w:r w:rsidR="00F37573">
        <w:rPr>
          <w:lang w:val="fr-FR"/>
        </w:rPr>
        <w:t>24</w:t>
      </w:r>
      <w:r w:rsidR="00BC4CEA">
        <w:rPr>
          <w:lang w:val="fr-FR"/>
        </w:rPr>
        <w:t xml:space="preserve"> pays au </w:t>
      </w:r>
      <w:r w:rsidR="00A03C71" w:rsidRPr="0036557D">
        <w:rPr>
          <w:lang w:val="fr-FR"/>
        </w:rPr>
        <w:t>total.</w:t>
      </w:r>
    </w:p>
    <w:p w14:paraId="7FF6BEE3" w14:textId="04851952" w:rsidR="00A03C71" w:rsidRPr="0036557D" w:rsidRDefault="00BC4CEA" w:rsidP="00A03C71">
      <w:pPr>
        <w:pStyle w:val="COMPara"/>
        <w:numPr>
          <w:ilvl w:val="0"/>
          <w:numId w:val="9"/>
        </w:numPr>
        <w:ind w:left="567" w:hanging="567"/>
        <w:jc w:val="both"/>
        <w:rPr>
          <w:lang w:val="fr-FR"/>
        </w:rPr>
      </w:pPr>
      <w:r>
        <w:rPr>
          <w:lang w:val="fr-FR"/>
        </w:rPr>
        <w:t xml:space="preserve">Le </w:t>
      </w:r>
      <w:r w:rsidR="00C77767" w:rsidRPr="0036557D">
        <w:rPr>
          <w:lang w:val="fr-FR"/>
        </w:rPr>
        <w:t>Secrétariat</w:t>
      </w:r>
      <w:r w:rsidR="00A03C71" w:rsidRPr="0036557D">
        <w:rPr>
          <w:lang w:val="fr-FR"/>
        </w:rPr>
        <w:t xml:space="preserve"> </w:t>
      </w:r>
      <w:r w:rsidR="006D0663">
        <w:rPr>
          <w:lang w:val="fr-FR"/>
        </w:rPr>
        <w:t>a finalisé en 2016</w:t>
      </w:r>
      <w:r>
        <w:rPr>
          <w:lang w:val="fr-FR"/>
        </w:rPr>
        <w:t xml:space="preserve"> une unité de formation </w:t>
      </w:r>
      <w:r w:rsidRPr="0036557D">
        <w:rPr>
          <w:lang w:val="fr-FR"/>
        </w:rPr>
        <w:t>thématique</w:t>
      </w:r>
      <w:r>
        <w:rPr>
          <w:lang w:val="fr-FR"/>
        </w:rPr>
        <w:t xml:space="preserve"> sur l’élaboration de politiques en faveur du patrimoine culturel immatériel. Cette unité </w:t>
      </w:r>
      <w:r w:rsidR="00944184">
        <w:rPr>
          <w:lang w:val="fr-FR"/>
        </w:rPr>
        <w:t xml:space="preserve">est destinée aux ateliers </w:t>
      </w:r>
      <w:r w:rsidR="00355061">
        <w:rPr>
          <w:lang w:val="fr-FR"/>
        </w:rPr>
        <w:t xml:space="preserve">menés </w:t>
      </w:r>
      <w:r w:rsidR="00944184">
        <w:rPr>
          <w:lang w:val="fr-FR"/>
        </w:rPr>
        <w:t xml:space="preserve">avec les homologues </w:t>
      </w:r>
      <w:r w:rsidR="00A03C71" w:rsidRPr="0036557D">
        <w:rPr>
          <w:lang w:val="fr-FR"/>
        </w:rPr>
        <w:t>nationa</w:t>
      </w:r>
      <w:r w:rsidR="00944184">
        <w:rPr>
          <w:lang w:val="fr-FR"/>
        </w:rPr>
        <w:t>ux engagés dans l’élaboration des politiques</w:t>
      </w:r>
      <w:r w:rsidR="00A03C71" w:rsidRPr="0036557D">
        <w:rPr>
          <w:lang w:val="fr-FR"/>
        </w:rPr>
        <w:t xml:space="preserve">, </w:t>
      </w:r>
      <w:r w:rsidR="00944184">
        <w:rPr>
          <w:lang w:val="fr-FR"/>
        </w:rPr>
        <w:t xml:space="preserve">notamment les responsables des ministères </w:t>
      </w:r>
      <w:r w:rsidR="00AB1CE6">
        <w:rPr>
          <w:lang w:val="fr-FR"/>
        </w:rPr>
        <w:t>chargés</w:t>
      </w:r>
      <w:r w:rsidR="00A03C71" w:rsidRPr="0036557D">
        <w:rPr>
          <w:lang w:val="fr-FR"/>
        </w:rPr>
        <w:t xml:space="preserve"> </w:t>
      </w:r>
      <w:r w:rsidR="00944184">
        <w:rPr>
          <w:lang w:val="fr-FR"/>
        </w:rPr>
        <w:t>des décisions politiques qui touchent la sauvegarde du patrimoine culturel immatériel</w:t>
      </w:r>
      <w:r w:rsidR="00355061">
        <w:rPr>
          <w:lang w:val="fr-FR"/>
        </w:rPr>
        <w:t>,</w:t>
      </w:r>
      <w:r w:rsidR="00944184">
        <w:rPr>
          <w:lang w:val="fr-FR"/>
        </w:rPr>
        <w:t xml:space="preserve"> et d’autres parties prenantes importantes</w:t>
      </w:r>
      <w:r w:rsidR="00A03C71" w:rsidRPr="0036557D">
        <w:rPr>
          <w:lang w:val="fr-FR"/>
        </w:rPr>
        <w:t xml:space="preserve">. </w:t>
      </w:r>
      <w:r w:rsidR="004E3A62">
        <w:rPr>
          <w:lang w:val="fr-FR"/>
        </w:rPr>
        <w:t xml:space="preserve">Elle mettra à profit les </w:t>
      </w:r>
      <w:r w:rsidR="00A03C71" w:rsidRPr="0036557D">
        <w:rPr>
          <w:lang w:val="fr-FR"/>
        </w:rPr>
        <w:t>diff</w:t>
      </w:r>
      <w:r w:rsidR="004E3A62">
        <w:rPr>
          <w:lang w:val="fr-FR"/>
        </w:rPr>
        <w:t>é</w:t>
      </w:r>
      <w:r w:rsidR="00A03C71" w:rsidRPr="0036557D">
        <w:rPr>
          <w:lang w:val="fr-FR"/>
        </w:rPr>
        <w:t>rent</w:t>
      </w:r>
      <w:r w:rsidR="004E3A62">
        <w:rPr>
          <w:lang w:val="fr-FR"/>
        </w:rPr>
        <w:t>es</w:t>
      </w:r>
      <w:r w:rsidR="00A03C71" w:rsidRPr="0036557D">
        <w:rPr>
          <w:lang w:val="fr-FR"/>
        </w:rPr>
        <w:t xml:space="preserve"> </w:t>
      </w:r>
      <w:r w:rsidR="004E3A62">
        <w:rPr>
          <w:lang w:val="fr-FR"/>
        </w:rPr>
        <w:t xml:space="preserve">études commandées par la </w:t>
      </w:r>
      <w:r w:rsidR="00A03C71" w:rsidRPr="0036557D">
        <w:rPr>
          <w:lang w:val="fr-FR"/>
        </w:rPr>
        <w:t xml:space="preserve">Section </w:t>
      </w:r>
      <w:r w:rsidR="004E3A62">
        <w:rPr>
          <w:lang w:val="fr-FR"/>
        </w:rPr>
        <w:t xml:space="preserve">sur des sujets comme les avantages </w:t>
      </w:r>
      <w:r w:rsidR="00A03C71" w:rsidRPr="0036557D">
        <w:rPr>
          <w:lang w:val="fr-FR"/>
        </w:rPr>
        <w:t>compar</w:t>
      </w:r>
      <w:r w:rsidR="004E3A62">
        <w:rPr>
          <w:lang w:val="fr-FR"/>
        </w:rPr>
        <w:t>és d’une politique autonome et complète en matière de patrimoine culturel immatériel et de l’</w:t>
      </w:r>
      <w:r w:rsidR="00A03C71" w:rsidRPr="0036557D">
        <w:rPr>
          <w:lang w:val="fr-FR"/>
        </w:rPr>
        <w:t>int</w:t>
      </w:r>
      <w:r w:rsidR="004E3A62">
        <w:rPr>
          <w:lang w:val="fr-FR"/>
        </w:rPr>
        <w:t>é</w:t>
      </w:r>
      <w:r w:rsidR="00A03C71" w:rsidRPr="0036557D">
        <w:rPr>
          <w:lang w:val="fr-FR"/>
        </w:rPr>
        <w:t xml:space="preserve">gration </w:t>
      </w:r>
      <w:r w:rsidR="004E3A62">
        <w:rPr>
          <w:lang w:val="fr-FR"/>
        </w:rPr>
        <w:t xml:space="preserve">du patrimoine culturel immatériel dans d’autres </w:t>
      </w:r>
      <w:r w:rsidR="00A03C71" w:rsidRPr="0036557D">
        <w:rPr>
          <w:lang w:val="fr-FR"/>
        </w:rPr>
        <w:t>poli</w:t>
      </w:r>
      <w:r w:rsidR="004E3A62">
        <w:rPr>
          <w:lang w:val="fr-FR"/>
        </w:rPr>
        <w:t>tiques</w:t>
      </w:r>
      <w:r w:rsidR="006D0663">
        <w:rPr>
          <w:lang w:val="fr-FR"/>
        </w:rPr>
        <w:t>, dans le domaine de la culture ou en dehors de celui-ci,</w:t>
      </w:r>
      <w:r w:rsidR="00006888">
        <w:rPr>
          <w:lang w:val="fr-FR"/>
        </w:rPr>
        <w:t xml:space="preserve"> ainsi que l</w:t>
      </w:r>
      <w:r w:rsidR="00A42A81">
        <w:rPr>
          <w:lang w:val="fr-FR"/>
        </w:rPr>
        <w:t>es résultats des discussions tenues avec les experts-facilitateurs et les collègues des bureaux hors-Siège de l’UNESCO lors de l’atelier sur le soutien à l’élaboration de politiques dans le domaine du patrimoine culturel immatériel</w:t>
      </w:r>
      <w:r w:rsidR="006D0663">
        <w:rPr>
          <w:lang w:val="fr-FR"/>
        </w:rPr>
        <w:t xml:space="preserve"> en Afrique</w:t>
      </w:r>
      <w:r w:rsidR="00A42A81">
        <w:rPr>
          <w:lang w:val="fr-FR"/>
        </w:rPr>
        <w:t>, organisé à Constantine, Algérie, en septembre-octobre 2015.</w:t>
      </w:r>
    </w:p>
    <w:p w14:paraId="3806099E" w14:textId="77777777" w:rsidR="00A03C71" w:rsidRPr="004E3A62" w:rsidRDefault="004E3A62" w:rsidP="00EE55A0">
      <w:pPr>
        <w:pStyle w:val="COMPara"/>
        <w:keepNext/>
        <w:numPr>
          <w:ilvl w:val="0"/>
          <w:numId w:val="16"/>
        </w:numPr>
        <w:spacing w:before="240"/>
        <w:ind w:left="1276"/>
        <w:rPr>
          <w:b/>
          <w:lang w:val="fr-FR"/>
        </w:rPr>
      </w:pPr>
      <w:r w:rsidRPr="004E3A62">
        <w:rPr>
          <w:b/>
          <w:lang w:val="fr-FR"/>
        </w:rPr>
        <w:t>Planification, mise en œuvre et suivi du programme de renforcement des capacités renforcés grâce à l’amélioration des systèmes d’information</w:t>
      </w:r>
    </w:p>
    <w:p w14:paraId="5AABD5AD" w14:textId="698D6A0B" w:rsidR="00A03C71" w:rsidRPr="00864578" w:rsidRDefault="004E3A62" w:rsidP="00EE55A0">
      <w:pPr>
        <w:pStyle w:val="COMPara"/>
        <w:numPr>
          <w:ilvl w:val="0"/>
          <w:numId w:val="9"/>
        </w:numPr>
        <w:ind w:left="567" w:hanging="567"/>
        <w:jc w:val="both"/>
        <w:rPr>
          <w:lang w:val="fr-FR"/>
        </w:rPr>
      </w:pPr>
      <w:r w:rsidRPr="00864578">
        <w:rPr>
          <w:lang w:val="fr-FR"/>
        </w:rPr>
        <w:t>L’organis</w:t>
      </w:r>
      <w:r w:rsidR="00A03C71" w:rsidRPr="00864578">
        <w:rPr>
          <w:lang w:val="fr-FR"/>
        </w:rPr>
        <w:t xml:space="preserve">ation, </w:t>
      </w:r>
      <w:r w:rsidRPr="00864578">
        <w:rPr>
          <w:lang w:val="fr-FR"/>
        </w:rPr>
        <w:t xml:space="preserve">la gestion et la mise en œuvre </w:t>
      </w:r>
      <w:r w:rsidR="00AB1CE6">
        <w:rPr>
          <w:lang w:val="fr-FR"/>
        </w:rPr>
        <w:t xml:space="preserve">du </w:t>
      </w:r>
      <w:r w:rsidRPr="00864578">
        <w:rPr>
          <w:lang w:val="fr-FR"/>
        </w:rPr>
        <w:t>programme de renforcement des capacités nécessite</w:t>
      </w:r>
      <w:r w:rsidR="00AB1CE6">
        <w:rPr>
          <w:lang w:val="fr-FR"/>
        </w:rPr>
        <w:t xml:space="preserve">nt </w:t>
      </w:r>
      <w:r w:rsidRPr="00864578">
        <w:rPr>
          <w:lang w:val="fr-FR"/>
        </w:rPr>
        <w:t xml:space="preserve">l’utilisation </w:t>
      </w:r>
      <w:r w:rsidR="00E557BD">
        <w:rPr>
          <w:lang w:val="fr-FR"/>
        </w:rPr>
        <w:t xml:space="preserve">efficace </w:t>
      </w:r>
      <w:r w:rsidRPr="00864578">
        <w:rPr>
          <w:lang w:val="fr-FR"/>
        </w:rPr>
        <w:t>des systèmes d’information</w:t>
      </w:r>
      <w:r w:rsidR="00A03C71" w:rsidRPr="00864578">
        <w:rPr>
          <w:lang w:val="fr-FR"/>
        </w:rPr>
        <w:t xml:space="preserve">. </w:t>
      </w:r>
      <w:r w:rsidR="00864578" w:rsidRPr="00864578">
        <w:rPr>
          <w:lang w:val="fr-FR"/>
        </w:rPr>
        <w:t xml:space="preserve">Le Secrétariat développe donc de nouvelles fonctionnalités en matière de technologies de l’information pour le suivi et l’évaluation des projets de renforcement des capacités, pour la gestion du </w:t>
      </w:r>
      <w:r w:rsidR="00E557BD">
        <w:rPr>
          <w:lang w:val="fr-FR"/>
        </w:rPr>
        <w:t>matériel</w:t>
      </w:r>
      <w:r w:rsidR="00E557BD" w:rsidRPr="00864578">
        <w:rPr>
          <w:lang w:val="fr-FR"/>
        </w:rPr>
        <w:t xml:space="preserve"> </w:t>
      </w:r>
      <w:r w:rsidR="00864578" w:rsidRPr="00864578">
        <w:rPr>
          <w:lang w:val="fr-FR"/>
        </w:rPr>
        <w:t xml:space="preserve">de formation et l’échange d’informations entre les </w:t>
      </w:r>
      <w:r w:rsidR="00674D2E">
        <w:rPr>
          <w:lang w:val="fr-FR"/>
        </w:rPr>
        <w:t>experts-</w:t>
      </w:r>
      <w:r w:rsidR="00864578" w:rsidRPr="00864578">
        <w:rPr>
          <w:lang w:val="fr-FR"/>
        </w:rPr>
        <w:t xml:space="preserve">facilitateurs. L’interface web dédiée au renforcement des capacités </w:t>
      </w:r>
      <w:r w:rsidR="00864578">
        <w:rPr>
          <w:lang w:val="fr-FR"/>
        </w:rPr>
        <w:t xml:space="preserve">a été revue, et les informations sur la </w:t>
      </w:r>
      <w:r w:rsidR="00A03C71" w:rsidRPr="00864578">
        <w:rPr>
          <w:lang w:val="fr-FR"/>
        </w:rPr>
        <w:t>strat</w:t>
      </w:r>
      <w:r w:rsidR="00864578">
        <w:rPr>
          <w:lang w:val="fr-FR"/>
        </w:rPr>
        <w:t>é</w:t>
      </w:r>
      <w:r w:rsidR="00A03C71" w:rsidRPr="00864578">
        <w:rPr>
          <w:lang w:val="fr-FR"/>
        </w:rPr>
        <w:t>g</w:t>
      </w:r>
      <w:r w:rsidR="00864578">
        <w:rPr>
          <w:lang w:val="fr-FR"/>
        </w:rPr>
        <w:t xml:space="preserve">ie et le réseau de </w:t>
      </w:r>
      <w:r w:rsidR="00A03C71" w:rsidRPr="00864578">
        <w:rPr>
          <w:lang w:val="fr-FR"/>
        </w:rPr>
        <w:t>facilitat</w:t>
      </w:r>
      <w:r w:rsidR="00864578">
        <w:rPr>
          <w:lang w:val="fr-FR"/>
        </w:rPr>
        <w:t>eu</w:t>
      </w:r>
      <w:r w:rsidR="00A03C71" w:rsidRPr="00864578">
        <w:rPr>
          <w:lang w:val="fr-FR"/>
        </w:rPr>
        <w:t>rs</w:t>
      </w:r>
      <w:r w:rsidR="00864578">
        <w:rPr>
          <w:lang w:val="fr-FR"/>
        </w:rPr>
        <w:t xml:space="preserve"> ont été mises à jour</w:t>
      </w:r>
      <w:r w:rsidR="00A03C71" w:rsidRPr="00864578">
        <w:rPr>
          <w:lang w:val="fr-FR"/>
        </w:rPr>
        <w:t xml:space="preserve">, </w:t>
      </w:r>
      <w:r w:rsidR="00864578">
        <w:rPr>
          <w:lang w:val="fr-FR"/>
        </w:rPr>
        <w:t xml:space="preserve">avec une </w:t>
      </w:r>
      <w:r w:rsidR="00A03C71" w:rsidRPr="00864578">
        <w:rPr>
          <w:lang w:val="fr-FR"/>
        </w:rPr>
        <w:t>pr</w:t>
      </w:r>
      <w:r w:rsidR="00864578">
        <w:rPr>
          <w:lang w:val="fr-FR"/>
        </w:rPr>
        <w:t>é</w:t>
      </w:r>
      <w:r w:rsidR="00A03C71" w:rsidRPr="00864578">
        <w:rPr>
          <w:lang w:val="fr-FR"/>
        </w:rPr>
        <w:t xml:space="preserve">sentation </w:t>
      </w:r>
      <w:r w:rsidR="00864578">
        <w:rPr>
          <w:lang w:val="fr-FR"/>
        </w:rPr>
        <w:t>plus condensée et plus conviviale</w:t>
      </w:r>
      <w:r w:rsidR="00A03C71" w:rsidRPr="00864578">
        <w:rPr>
          <w:lang w:val="fr-FR"/>
        </w:rPr>
        <w:t xml:space="preserve">. </w:t>
      </w:r>
      <w:r w:rsidR="00864578">
        <w:rPr>
          <w:lang w:val="fr-FR"/>
        </w:rPr>
        <w:t xml:space="preserve">Les nouvelles pages </w:t>
      </w:r>
      <w:r w:rsidR="00A03C71" w:rsidRPr="00864578">
        <w:rPr>
          <w:lang w:val="fr-FR"/>
        </w:rPr>
        <w:t xml:space="preserve">web </w:t>
      </w:r>
      <w:r w:rsidR="00864578">
        <w:rPr>
          <w:lang w:val="fr-FR"/>
        </w:rPr>
        <w:t xml:space="preserve">donnent maintenant des informations </w:t>
      </w:r>
      <w:r w:rsidR="00A03C71" w:rsidRPr="00864578">
        <w:rPr>
          <w:lang w:val="fr-FR"/>
        </w:rPr>
        <w:t>consolid</w:t>
      </w:r>
      <w:r w:rsidR="00864578">
        <w:rPr>
          <w:lang w:val="fr-FR"/>
        </w:rPr>
        <w:t xml:space="preserve">ées sur les </w:t>
      </w:r>
      <w:r w:rsidR="00C40D88" w:rsidRPr="00864578">
        <w:rPr>
          <w:lang w:val="fr-FR"/>
        </w:rPr>
        <w:t>projets</w:t>
      </w:r>
      <w:r w:rsidR="00A03C71" w:rsidRPr="00864578">
        <w:rPr>
          <w:lang w:val="fr-FR"/>
        </w:rPr>
        <w:t xml:space="preserve"> </w:t>
      </w:r>
      <w:r w:rsidR="00864578">
        <w:rPr>
          <w:lang w:val="fr-FR"/>
        </w:rPr>
        <w:t xml:space="preserve">mis en œuvre en </w:t>
      </w:r>
      <w:r w:rsidR="00864578" w:rsidRPr="00864578">
        <w:rPr>
          <w:lang w:val="fr-FR"/>
        </w:rPr>
        <w:t>coopération</w:t>
      </w:r>
      <w:r w:rsidR="00A03C71" w:rsidRPr="00864578">
        <w:rPr>
          <w:lang w:val="fr-FR"/>
        </w:rPr>
        <w:t xml:space="preserve"> </w:t>
      </w:r>
      <w:r w:rsidR="00864578">
        <w:rPr>
          <w:lang w:val="fr-FR"/>
        </w:rPr>
        <w:t>avec l’</w:t>
      </w:r>
      <w:r w:rsidR="00A03C71" w:rsidRPr="00864578">
        <w:rPr>
          <w:lang w:val="fr-FR"/>
        </w:rPr>
        <w:t xml:space="preserve">UNESCO. </w:t>
      </w:r>
      <w:r w:rsidR="00864578">
        <w:rPr>
          <w:lang w:val="fr-FR"/>
        </w:rPr>
        <w:t xml:space="preserve">Le </w:t>
      </w:r>
      <w:r w:rsidR="00A03C71" w:rsidRPr="00864578">
        <w:rPr>
          <w:lang w:val="fr-FR"/>
        </w:rPr>
        <w:t xml:space="preserve">budget </w:t>
      </w:r>
      <w:r w:rsidR="00864578">
        <w:rPr>
          <w:lang w:val="fr-FR"/>
        </w:rPr>
        <w:t xml:space="preserve">et le calendrier de tous les projets de renforcement des capacités gérés par le </w:t>
      </w:r>
      <w:r w:rsidR="00C77767" w:rsidRPr="00864578">
        <w:rPr>
          <w:lang w:val="fr-FR"/>
        </w:rPr>
        <w:t>Secrétariat</w:t>
      </w:r>
      <w:r w:rsidR="00A03C71" w:rsidRPr="00864578">
        <w:rPr>
          <w:lang w:val="fr-FR"/>
        </w:rPr>
        <w:t xml:space="preserve"> </w:t>
      </w:r>
      <w:r w:rsidR="00864578">
        <w:rPr>
          <w:lang w:val="fr-FR"/>
        </w:rPr>
        <w:t>sont en particulier présentés, ainsi que les informations et les réunions s’y rapportant</w:t>
      </w:r>
      <w:r w:rsidR="00A03C71" w:rsidRPr="00864578">
        <w:rPr>
          <w:lang w:val="fr-FR"/>
        </w:rPr>
        <w:t xml:space="preserve">. </w:t>
      </w:r>
      <w:r w:rsidR="00864578">
        <w:rPr>
          <w:lang w:val="fr-FR"/>
        </w:rPr>
        <w:t xml:space="preserve">Une nouvelle fonctionnalité donne aux </w:t>
      </w:r>
      <w:r w:rsidR="00091CB0">
        <w:rPr>
          <w:lang w:val="fr-FR"/>
        </w:rPr>
        <w:t>experts-</w:t>
      </w:r>
      <w:r w:rsidR="00281176">
        <w:rPr>
          <w:lang w:val="fr-FR"/>
        </w:rPr>
        <w:t>experts-</w:t>
      </w:r>
      <w:r w:rsidR="00A03C71" w:rsidRPr="00864578">
        <w:rPr>
          <w:lang w:val="fr-FR"/>
        </w:rPr>
        <w:t>facilitat</w:t>
      </w:r>
      <w:r w:rsidR="00864578">
        <w:rPr>
          <w:lang w:val="fr-FR"/>
        </w:rPr>
        <w:t>eu</w:t>
      </w:r>
      <w:r w:rsidR="00A03C71" w:rsidRPr="00864578">
        <w:rPr>
          <w:lang w:val="fr-FR"/>
        </w:rPr>
        <w:t xml:space="preserve">rs </w:t>
      </w:r>
      <w:r w:rsidR="00864578">
        <w:rPr>
          <w:lang w:val="fr-FR"/>
        </w:rPr>
        <w:t xml:space="preserve">un meilleur accès aux </w:t>
      </w:r>
      <w:r w:rsidR="00E557BD">
        <w:rPr>
          <w:lang w:val="fr-FR"/>
        </w:rPr>
        <w:t xml:space="preserve">matériels </w:t>
      </w:r>
      <w:r w:rsidR="00864578">
        <w:rPr>
          <w:lang w:val="fr-FR"/>
        </w:rPr>
        <w:t xml:space="preserve">de renforcement des capacités et un outil supplémentaire est en cours de développement pour </w:t>
      </w:r>
      <w:r w:rsidR="00091CB0">
        <w:rPr>
          <w:lang w:val="fr-FR"/>
        </w:rPr>
        <w:t xml:space="preserve">les </w:t>
      </w:r>
      <w:r w:rsidR="00864578">
        <w:rPr>
          <w:lang w:val="fr-FR"/>
        </w:rPr>
        <w:t xml:space="preserve">aider à </w:t>
      </w:r>
      <w:r w:rsidR="00A03C71" w:rsidRPr="00864578">
        <w:rPr>
          <w:lang w:val="fr-FR"/>
        </w:rPr>
        <w:t>compose</w:t>
      </w:r>
      <w:r w:rsidR="00864578">
        <w:rPr>
          <w:lang w:val="fr-FR"/>
        </w:rPr>
        <w:t>r</w:t>
      </w:r>
      <w:r w:rsidR="00A03C71" w:rsidRPr="00864578">
        <w:rPr>
          <w:lang w:val="fr-FR"/>
        </w:rPr>
        <w:t xml:space="preserve"> </w:t>
      </w:r>
      <w:r w:rsidR="00864578">
        <w:rPr>
          <w:lang w:val="fr-FR"/>
        </w:rPr>
        <w:t xml:space="preserve">leurs ateliers et à télécharger tous les </w:t>
      </w:r>
      <w:r w:rsidR="00E557BD">
        <w:rPr>
          <w:lang w:val="fr-FR"/>
        </w:rPr>
        <w:t xml:space="preserve">matériels </w:t>
      </w:r>
      <w:r w:rsidR="00864578">
        <w:rPr>
          <w:lang w:val="fr-FR"/>
        </w:rPr>
        <w:t>s’y rapportant</w:t>
      </w:r>
      <w:r w:rsidR="00A03C71" w:rsidRPr="00864578">
        <w:rPr>
          <w:lang w:val="fr-FR"/>
        </w:rPr>
        <w:t xml:space="preserve">. </w:t>
      </w:r>
      <w:r w:rsidR="00864578">
        <w:rPr>
          <w:lang w:val="fr-FR"/>
        </w:rPr>
        <w:t xml:space="preserve">De nouveaux </w:t>
      </w:r>
      <w:r w:rsidR="00A03C71" w:rsidRPr="00864578">
        <w:rPr>
          <w:lang w:val="fr-FR"/>
        </w:rPr>
        <w:t>utilit</w:t>
      </w:r>
      <w:r w:rsidR="00864578">
        <w:rPr>
          <w:lang w:val="fr-FR"/>
        </w:rPr>
        <w:t xml:space="preserve">aires </w:t>
      </w:r>
      <w:r w:rsidR="00426698">
        <w:rPr>
          <w:lang w:val="fr-FR"/>
        </w:rPr>
        <w:t xml:space="preserve">de suivi et d’évaluation des activités de </w:t>
      </w:r>
      <w:r w:rsidR="00C40D88" w:rsidRPr="00864578">
        <w:rPr>
          <w:lang w:val="fr-FR"/>
        </w:rPr>
        <w:t>projet</w:t>
      </w:r>
      <w:r w:rsidR="00A03C71" w:rsidRPr="00864578">
        <w:rPr>
          <w:lang w:val="fr-FR"/>
        </w:rPr>
        <w:t xml:space="preserve"> </w:t>
      </w:r>
      <w:r w:rsidR="00426698">
        <w:rPr>
          <w:lang w:val="fr-FR"/>
        </w:rPr>
        <w:t xml:space="preserve">permettant aux </w:t>
      </w:r>
      <w:r w:rsidR="00115CB7">
        <w:rPr>
          <w:lang w:val="fr-FR"/>
        </w:rPr>
        <w:t>experts-</w:t>
      </w:r>
      <w:r w:rsidR="00A03C71" w:rsidRPr="00864578">
        <w:rPr>
          <w:lang w:val="fr-FR"/>
        </w:rPr>
        <w:t>facilitat</w:t>
      </w:r>
      <w:r w:rsidR="00426698">
        <w:rPr>
          <w:lang w:val="fr-FR"/>
        </w:rPr>
        <w:t>eu</w:t>
      </w:r>
      <w:r w:rsidR="00A03C71" w:rsidRPr="00864578">
        <w:rPr>
          <w:lang w:val="fr-FR"/>
        </w:rPr>
        <w:t xml:space="preserve">rs </w:t>
      </w:r>
      <w:r w:rsidR="00426698">
        <w:rPr>
          <w:lang w:val="fr-FR"/>
        </w:rPr>
        <w:t xml:space="preserve">de produire des </w:t>
      </w:r>
      <w:r w:rsidR="00A03C71" w:rsidRPr="00864578">
        <w:rPr>
          <w:lang w:val="fr-FR"/>
        </w:rPr>
        <w:t>r</w:t>
      </w:r>
      <w:r w:rsidR="00426698">
        <w:rPr>
          <w:lang w:val="fr-FR"/>
        </w:rPr>
        <w:t>ap</w:t>
      </w:r>
      <w:r w:rsidR="00A03C71" w:rsidRPr="00864578">
        <w:rPr>
          <w:lang w:val="fr-FR"/>
        </w:rPr>
        <w:t>port</w:t>
      </w:r>
      <w:r w:rsidR="00426698">
        <w:rPr>
          <w:lang w:val="fr-FR"/>
        </w:rPr>
        <w:t>s</w:t>
      </w:r>
      <w:r w:rsidR="00A03C71" w:rsidRPr="00864578">
        <w:rPr>
          <w:lang w:val="fr-FR"/>
        </w:rPr>
        <w:t xml:space="preserve"> </w:t>
      </w:r>
      <w:r w:rsidR="00426698">
        <w:rPr>
          <w:lang w:val="fr-FR"/>
        </w:rPr>
        <w:t xml:space="preserve">et de fournir des </w:t>
      </w:r>
      <w:r w:rsidR="00A03C71" w:rsidRPr="00864578">
        <w:rPr>
          <w:lang w:val="fr-FR"/>
        </w:rPr>
        <w:t>information</w:t>
      </w:r>
      <w:r w:rsidR="00426698">
        <w:rPr>
          <w:lang w:val="fr-FR"/>
        </w:rPr>
        <w:t>s</w:t>
      </w:r>
      <w:r w:rsidR="00A03C71" w:rsidRPr="00864578">
        <w:rPr>
          <w:lang w:val="fr-FR"/>
        </w:rPr>
        <w:t xml:space="preserve"> direct</w:t>
      </w:r>
      <w:r w:rsidR="00426698">
        <w:rPr>
          <w:lang w:val="fr-FR"/>
        </w:rPr>
        <w:t>ement grâce à des outils en ligne sont en cours d’élaboration</w:t>
      </w:r>
      <w:r w:rsidR="00A03C71" w:rsidRPr="00864578">
        <w:rPr>
          <w:lang w:val="fr-FR"/>
        </w:rPr>
        <w:t>.</w:t>
      </w:r>
    </w:p>
    <w:p w14:paraId="0D31418A" w14:textId="77777777" w:rsidR="00A03C71" w:rsidRPr="004D31F2" w:rsidRDefault="004D31F2" w:rsidP="00EE55A0">
      <w:pPr>
        <w:pStyle w:val="COMPara"/>
        <w:keepNext/>
        <w:numPr>
          <w:ilvl w:val="0"/>
          <w:numId w:val="16"/>
        </w:numPr>
        <w:spacing w:before="240"/>
        <w:ind w:left="1276"/>
        <w:rPr>
          <w:b/>
          <w:lang w:val="fr-FR"/>
        </w:rPr>
      </w:pPr>
      <w:r w:rsidRPr="004D31F2">
        <w:rPr>
          <w:b/>
          <w:lang w:val="fr-FR"/>
        </w:rPr>
        <w:t>Mobilisation des ressources pour la mise en œuvre de la stratégie de renforcement des capacités</w:t>
      </w:r>
    </w:p>
    <w:p w14:paraId="35AC0FFE" w14:textId="455F2073" w:rsidR="00A03C71" w:rsidRPr="004D31F2" w:rsidRDefault="004D31F2" w:rsidP="00EE55A0">
      <w:pPr>
        <w:pStyle w:val="COMPara"/>
        <w:numPr>
          <w:ilvl w:val="0"/>
          <w:numId w:val="9"/>
        </w:numPr>
        <w:ind w:left="567" w:hanging="567"/>
        <w:jc w:val="both"/>
        <w:rPr>
          <w:lang w:val="fr-FR"/>
        </w:rPr>
      </w:pPr>
      <w:r w:rsidRPr="00EE55A0">
        <w:rPr>
          <w:lang w:val="fr-FR"/>
        </w:rPr>
        <w:t>Conformément à la politique de l’Organisation consistant à aligner strictement le Programme ordinaire et le Programme additionnel complémentaire, les efforts du Secrétariat pour la mobilisation des ressources visent essentiellement à étendre la portée et améliorer l’efficacité de la stratégie globale.</w:t>
      </w:r>
      <w:r w:rsidR="00A03C71" w:rsidRPr="00EE55A0">
        <w:rPr>
          <w:lang w:val="fr-FR"/>
        </w:rPr>
        <w:t xml:space="preserve"> </w:t>
      </w:r>
      <w:r w:rsidRPr="004D31F2">
        <w:rPr>
          <w:lang w:val="fr-FR"/>
        </w:rPr>
        <w:t>En plus du soutien du Fonds du patrimoine culturel immatériel, à travers la ligne budgétaire «</w:t>
      </w:r>
      <w:r w:rsidR="00AB1CE6">
        <w:rPr>
          <w:lang w:val="fr-FR"/>
        </w:rPr>
        <w:t> </w:t>
      </w:r>
      <w:r w:rsidR="00F8335F">
        <w:rPr>
          <w:lang w:val="fr-FR"/>
        </w:rPr>
        <w:t>A</w:t>
      </w:r>
      <w:r w:rsidRPr="004D31F2">
        <w:rPr>
          <w:lang w:val="fr-FR"/>
        </w:rPr>
        <w:t>utres fonctions du Comité</w:t>
      </w:r>
      <w:r w:rsidR="00AB1CE6">
        <w:rPr>
          <w:lang w:val="fr-FR"/>
        </w:rPr>
        <w:t> </w:t>
      </w:r>
      <w:r w:rsidRPr="004D31F2">
        <w:rPr>
          <w:lang w:val="fr-FR"/>
        </w:rPr>
        <w:t>», comme décrit ci-dessus, les contributions volontaires supplémentaires au Fonds du patrimoine culturel immatériel et au</w:t>
      </w:r>
      <w:r w:rsidR="00F8335F">
        <w:rPr>
          <w:lang w:val="fr-FR"/>
        </w:rPr>
        <w:t>x</w:t>
      </w:r>
      <w:r w:rsidRPr="004D31F2">
        <w:rPr>
          <w:lang w:val="fr-FR"/>
        </w:rPr>
        <w:t xml:space="preserve"> Fonds-en-dépôt sont essentielles pour assurer la réussite des efforts de renforcement des capacités.</w:t>
      </w:r>
      <w:r w:rsidR="00A03C71" w:rsidRPr="00EE55A0">
        <w:rPr>
          <w:lang w:val="fr-FR"/>
        </w:rPr>
        <w:t xml:space="preserve"> </w:t>
      </w:r>
      <w:r w:rsidRPr="004D31F2">
        <w:rPr>
          <w:lang w:val="fr-FR"/>
        </w:rPr>
        <w:t xml:space="preserve">Pendant la </w:t>
      </w:r>
      <w:r w:rsidR="000C694D" w:rsidRPr="004D31F2">
        <w:rPr>
          <w:lang w:val="fr-FR"/>
        </w:rPr>
        <w:t xml:space="preserve">période </w:t>
      </w:r>
      <w:r w:rsidR="00C30076">
        <w:rPr>
          <w:lang w:val="fr-FR"/>
        </w:rPr>
        <w:t>considérée</w:t>
      </w:r>
      <w:r w:rsidR="00A03C71" w:rsidRPr="004D31F2">
        <w:rPr>
          <w:lang w:val="fr-FR"/>
        </w:rPr>
        <w:t xml:space="preserve">, </w:t>
      </w:r>
      <w:r w:rsidR="004A26A2">
        <w:rPr>
          <w:lang w:val="fr-FR"/>
        </w:rPr>
        <w:t>huit</w:t>
      </w:r>
      <w:r w:rsidR="00667280">
        <w:rPr>
          <w:lang w:val="fr-FR"/>
        </w:rPr>
        <w:t xml:space="preserve"> </w:t>
      </w:r>
      <w:r>
        <w:rPr>
          <w:lang w:val="fr-FR"/>
        </w:rPr>
        <w:t xml:space="preserve">donateurs ont contribué à la mise en œuvre de la stratégie de renforcement des capacités </w:t>
      </w:r>
      <w:r w:rsidR="00A03C71" w:rsidRPr="004D31F2">
        <w:rPr>
          <w:lang w:val="fr-FR"/>
        </w:rPr>
        <w:t>(</w:t>
      </w:r>
      <w:r w:rsidR="004A26A2">
        <w:rPr>
          <w:lang w:val="fr-FR"/>
        </w:rPr>
        <w:t xml:space="preserve">Autorité d’Abu Dhabi pour le tourisme et la culture, </w:t>
      </w:r>
      <w:r w:rsidRPr="004D31F2">
        <w:rPr>
          <w:lang w:val="fr-FR"/>
        </w:rPr>
        <w:t>Azerbaïdjan</w:t>
      </w:r>
      <w:r w:rsidR="00A03C71" w:rsidRPr="004D31F2">
        <w:rPr>
          <w:lang w:val="fr-FR"/>
        </w:rPr>
        <w:t xml:space="preserve">, </w:t>
      </w:r>
      <w:r>
        <w:rPr>
          <w:lang w:val="fr-FR"/>
        </w:rPr>
        <w:t xml:space="preserve">Belgique </w:t>
      </w:r>
      <w:r w:rsidR="00AB1CE6">
        <w:rPr>
          <w:lang w:val="fr-FR"/>
        </w:rPr>
        <w:t>[</w:t>
      </w:r>
      <w:r w:rsidR="00A03C71" w:rsidRPr="004D31F2">
        <w:rPr>
          <w:lang w:val="fr-FR"/>
        </w:rPr>
        <w:t>Fland</w:t>
      </w:r>
      <w:r>
        <w:rPr>
          <w:lang w:val="fr-FR"/>
        </w:rPr>
        <w:t>re</w:t>
      </w:r>
      <w:r w:rsidR="00AB1CE6">
        <w:rPr>
          <w:lang w:val="fr-FR"/>
        </w:rPr>
        <w:t>s]</w:t>
      </w:r>
      <w:r w:rsidR="00A51AFA">
        <w:rPr>
          <w:lang w:val="fr-FR"/>
        </w:rPr>
        <w:t>,</w:t>
      </w:r>
      <w:r w:rsidR="00A03C71" w:rsidRPr="004D31F2">
        <w:rPr>
          <w:lang w:val="fr-FR"/>
        </w:rPr>
        <w:t xml:space="preserve"> Jap</w:t>
      </w:r>
      <w:r>
        <w:rPr>
          <w:lang w:val="fr-FR"/>
        </w:rPr>
        <w:t>o</w:t>
      </w:r>
      <w:r w:rsidR="00A03C71" w:rsidRPr="004D31F2">
        <w:rPr>
          <w:lang w:val="fr-FR"/>
        </w:rPr>
        <w:t xml:space="preserve">n, </w:t>
      </w:r>
      <w:r>
        <w:rPr>
          <w:lang w:val="fr-FR"/>
        </w:rPr>
        <w:t>Pays-Bas</w:t>
      </w:r>
      <w:r w:rsidR="00A03C71" w:rsidRPr="004D31F2">
        <w:rPr>
          <w:lang w:val="fr-FR"/>
        </w:rPr>
        <w:t>, Nor</w:t>
      </w:r>
      <w:r>
        <w:rPr>
          <w:lang w:val="fr-FR"/>
        </w:rPr>
        <w:t>vège</w:t>
      </w:r>
      <w:r w:rsidR="00A03C71" w:rsidRPr="004D31F2">
        <w:rPr>
          <w:lang w:val="fr-FR"/>
        </w:rPr>
        <w:t xml:space="preserve">, </w:t>
      </w:r>
      <w:r w:rsidRPr="004D31F2">
        <w:rPr>
          <w:lang w:val="fr-FR"/>
        </w:rPr>
        <w:t>République</w:t>
      </w:r>
      <w:r w:rsidR="00A03C71" w:rsidRPr="004D31F2">
        <w:rPr>
          <w:lang w:val="fr-FR"/>
        </w:rPr>
        <w:t xml:space="preserve"> </w:t>
      </w:r>
      <w:r>
        <w:rPr>
          <w:lang w:val="fr-FR"/>
        </w:rPr>
        <w:t>de C</w:t>
      </w:r>
      <w:r w:rsidRPr="004D31F2">
        <w:rPr>
          <w:lang w:val="fr-FR"/>
        </w:rPr>
        <w:t>or</w:t>
      </w:r>
      <w:r>
        <w:rPr>
          <w:lang w:val="fr-FR"/>
        </w:rPr>
        <w:t>ée et Espagne</w:t>
      </w:r>
      <w:r w:rsidR="00A03C71" w:rsidRPr="004D31F2">
        <w:rPr>
          <w:lang w:val="fr-FR"/>
        </w:rPr>
        <w:t>).</w:t>
      </w:r>
    </w:p>
    <w:p w14:paraId="24EE5A58" w14:textId="51299290" w:rsidR="00A03C71" w:rsidRPr="0036557D" w:rsidRDefault="00A7771F" w:rsidP="00A03C71">
      <w:pPr>
        <w:pStyle w:val="COMPara"/>
        <w:numPr>
          <w:ilvl w:val="0"/>
          <w:numId w:val="9"/>
        </w:numPr>
        <w:ind w:left="567" w:hanging="567"/>
        <w:jc w:val="both"/>
        <w:rPr>
          <w:lang w:val="fr-FR"/>
        </w:rPr>
      </w:pPr>
      <w:r w:rsidRPr="00CD2F58">
        <w:rPr>
          <w:lang w:val="fr-FR"/>
        </w:rPr>
        <w:t xml:space="preserve">Afin d’informer les donateurs des besoins en financement du programme global de renforcement des capacités, le Secrétariat a élaboré une </w:t>
      </w:r>
      <w:hyperlink r:id="rId32" w:history="1">
        <w:r w:rsidR="00F9218E" w:rsidRPr="00DF3503">
          <w:rPr>
            <w:rStyle w:val="Hyperlink"/>
            <w:lang w:val="fr-FR"/>
          </w:rPr>
          <w:t>Note conceptuelle</w:t>
        </w:r>
      </w:hyperlink>
      <w:r w:rsidR="00F9218E">
        <w:rPr>
          <w:rStyle w:val="Hyperlink"/>
          <w:lang w:val="fr-FR"/>
        </w:rPr>
        <w:t xml:space="preserve"> pour le Programme additionnel complémentaire 2014-2017</w:t>
      </w:r>
      <w:r w:rsidRPr="00CD2F58">
        <w:rPr>
          <w:lang w:val="fr-FR"/>
        </w:rPr>
        <w:t xml:space="preserve"> intitulé</w:t>
      </w:r>
      <w:r>
        <w:rPr>
          <w:lang w:val="fr-FR"/>
        </w:rPr>
        <w:t>e</w:t>
      </w:r>
      <w:r w:rsidRPr="00CD2F58">
        <w:rPr>
          <w:lang w:val="fr-FR"/>
        </w:rPr>
        <w:t xml:space="preserve"> « Renforcement des capacités nationales en vue de la sauvegarde du patrimoine culturel immatériel », consultable sur </w:t>
      </w:r>
      <w:r>
        <w:rPr>
          <w:lang w:val="fr-FR"/>
        </w:rPr>
        <w:t xml:space="preserve">la page web des partenariats </w:t>
      </w:r>
      <w:r w:rsidRPr="00CD2F58">
        <w:rPr>
          <w:lang w:val="fr-FR"/>
        </w:rPr>
        <w:t>de l’</w:t>
      </w:r>
      <w:r>
        <w:rPr>
          <w:lang w:val="fr-FR"/>
        </w:rPr>
        <w:t>UNESCO</w:t>
      </w:r>
      <w:r w:rsidR="00A03C71" w:rsidRPr="0036557D">
        <w:rPr>
          <w:lang w:val="fr-FR"/>
        </w:rPr>
        <w:t>.</w:t>
      </w:r>
      <w:r w:rsidR="00667280">
        <w:rPr>
          <w:lang w:val="fr-FR"/>
        </w:rPr>
        <w:t xml:space="preserve"> La </w:t>
      </w:r>
      <w:r w:rsidR="00667280" w:rsidRPr="00F9218E">
        <w:rPr>
          <w:lang w:val="fr-FR"/>
        </w:rPr>
        <w:t>Note conceptuelle</w:t>
      </w:r>
      <w:r w:rsidR="00667280" w:rsidRPr="00DF3503">
        <w:rPr>
          <w:lang w:val="fr-FR"/>
        </w:rPr>
        <w:t xml:space="preserve"> a</w:t>
      </w:r>
      <w:r w:rsidR="00667280">
        <w:rPr>
          <w:lang w:val="fr-FR"/>
        </w:rPr>
        <w:t xml:space="preserve"> été approuvée par le Comité lors de sa neuvième session en novembre 2014 (</w:t>
      </w:r>
      <w:hyperlink r:id="rId33" w:history="1">
        <w:r w:rsidR="00667280" w:rsidRPr="00B52B06">
          <w:rPr>
            <w:rStyle w:val="Hyperlink"/>
            <w:lang w:val="fr-FR"/>
          </w:rPr>
          <w:t>décision 9.COM 7</w:t>
        </w:r>
      </w:hyperlink>
      <w:r w:rsidR="00667280">
        <w:rPr>
          <w:lang w:val="fr-FR"/>
        </w:rPr>
        <w:t>).</w:t>
      </w:r>
    </w:p>
    <w:p w14:paraId="670C97FD" w14:textId="77777777" w:rsidR="00A03C71" w:rsidRPr="0036557D" w:rsidRDefault="00A7771F" w:rsidP="00EE55A0">
      <w:pPr>
        <w:pStyle w:val="COMPara"/>
        <w:keepNext/>
        <w:keepLines/>
        <w:spacing w:before="360"/>
        <w:ind w:left="0" w:firstLine="0"/>
        <w:rPr>
          <w:b/>
          <w:lang w:val="fr-FR"/>
        </w:rPr>
      </w:pPr>
      <w:r w:rsidRPr="00EE55A0">
        <w:rPr>
          <w:b/>
          <w:lang w:val="fr-FR"/>
        </w:rPr>
        <w:t>Indicateur</w:t>
      </w:r>
      <w:r>
        <w:rPr>
          <w:b/>
          <w:lang w:val="fr-FR"/>
        </w:rPr>
        <w:t xml:space="preserve"> de </w:t>
      </w:r>
      <w:r w:rsidRPr="0036557D">
        <w:rPr>
          <w:b/>
          <w:lang w:val="fr-FR"/>
        </w:rPr>
        <w:t>performance</w:t>
      </w:r>
      <w:r>
        <w:rPr>
          <w:b/>
          <w:lang w:val="fr-FR"/>
        </w:rPr>
        <w:t> </w:t>
      </w:r>
      <w:r w:rsidR="00A03C71" w:rsidRPr="0036557D">
        <w:rPr>
          <w:b/>
          <w:lang w:val="fr-FR"/>
        </w:rPr>
        <w:t>3</w:t>
      </w:r>
      <w:r w:rsidR="00AB1CE6">
        <w:rPr>
          <w:b/>
          <w:lang w:val="fr-FR"/>
        </w:rPr>
        <w:t> </w:t>
      </w:r>
      <w:r w:rsidR="00A03C71" w:rsidRPr="0036557D">
        <w:rPr>
          <w:b/>
          <w:lang w:val="fr-FR"/>
        </w:rPr>
        <w:t xml:space="preserve">: </w:t>
      </w:r>
      <w:r w:rsidRPr="00A7771F">
        <w:rPr>
          <w:b/>
          <w:lang w:val="fr-FR"/>
        </w:rPr>
        <w:t>Nombre de plans de sauvegarde, y compris les langues autochtones et les langues en danger, développés et/ou mis en œuvre par les États membres</w:t>
      </w:r>
      <w:r w:rsidR="00A03C71" w:rsidRPr="0036557D">
        <w:rPr>
          <w:rStyle w:val="FootnoteReference"/>
          <w:b/>
          <w:lang w:val="fr-FR"/>
        </w:rPr>
        <w:footnoteReference w:id="3"/>
      </w:r>
    </w:p>
    <w:p w14:paraId="692FC3B0" w14:textId="2B74361E" w:rsidR="00A03C71" w:rsidRDefault="00667280" w:rsidP="00EE55A0">
      <w:pPr>
        <w:pStyle w:val="COMPara"/>
        <w:numPr>
          <w:ilvl w:val="0"/>
          <w:numId w:val="9"/>
        </w:numPr>
        <w:ind w:left="567" w:hanging="567"/>
        <w:jc w:val="both"/>
        <w:rPr>
          <w:lang w:val="fr-FR"/>
        </w:rPr>
      </w:pPr>
      <w:r w:rsidRPr="004F4C1D">
        <w:rPr>
          <w:lang w:val="fr-FR"/>
        </w:rPr>
        <w:t xml:space="preserve">Plus de </w:t>
      </w:r>
      <w:r w:rsidR="004F4C1D" w:rsidRPr="004F4C1D">
        <w:rPr>
          <w:lang w:val="fr-FR"/>
        </w:rPr>
        <w:t>9</w:t>
      </w:r>
      <w:r w:rsidR="00281176" w:rsidRPr="004F4C1D">
        <w:rPr>
          <w:lang w:val="fr-FR"/>
        </w:rPr>
        <w:t>0</w:t>
      </w:r>
      <w:r w:rsidR="00A7771F" w:rsidRPr="004F4C1D">
        <w:rPr>
          <w:lang w:val="fr-FR"/>
        </w:rPr>
        <w:t> plans de sauvegarde</w:t>
      </w:r>
      <w:r w:rsidR="00A7771F" w:rsidRPr="009C0A2B">
        <w:rPr>
          <w:lang w:val="fr-FR"/>
        </w:rPr>
        <w:t xml:space="preserve"> ont été élaborés et </w:t>
      </w:r>
      <w:r w:rsidR="00A03C71" w:rsidRPr="009C0A2B">
        <w:rPr>
          <w:lang w:val="fr-FR"/>
        </w:rPr>
        <w:t>s</w:t>
      </w:r>
      <w:r w:rsidR="00A7771F" w:rsidRPr="009C0A2B">
        <w:rPr>
          <w:lang w:val="fr-FR"/>
        </w:rPr>
        <w:t xml:space="preserve">oumis par les États membres pendant la </w:t>
      </w:r>
      <w:r w:rsidR="000C694D" w:rsidRPr="009C0A2B">
        <w:rPr>
          <w:lang w:val="fr-FR"/>
        </w:rPr>
        <w:t xml:space="preserve">période </w:t>
      </w:r>
      <w:r w:rsidR="00C30076">
        <w:rPr>
          <w:lang w:val="fr-FR"/>
        </w:rPr>
        <w:t>considérée</w:t>
      </w:r>
      <w:r w:rsidR="00A03C71" w:rsidRPr="009C0A2B">
        <w:rPr>
          <w:lang w:val="fr-FR"/>
        </w:rPr>
        <w:t xml:space="preserve">, </w:t>
      </w:r>
      <w:r w:rsidR="00A7771F" w:rsidRPr="009C0A2B">
        <w:rPr>
          <w:lang w:val="fr-FR"/>
        </w:rPr>
        <w:t xml:space="preserve">y compris des plans de sauvegarde faisant partie de demandes d’assistance internationale, de candidatures à la </w:t>
      </w:r>
      <w:r w:rsidR="00A03C71" w:rsidRPr="009C0A2B">
        <w:rPr>
          <w:lang w:val="fr-FR"/>
        </w:rPr>
        <w:t>List</w:t>
      </w:r>
      <w:r w:rsidR="00A7771F" w:rsidRPr="009C0A2B">
        <w:rPr>
          <w:lang w:val="fr-FR"/>
        </w:rPr>
        <w:t>e</w:t>
      </w:r>
      <w:r w:rsidR="00A03C71" w:rsidRPr="009C0A2B">
        <w:rPr>
          <w:lang w:val="fr-FR"/>
        </w:rPr>
        <w:t xml:space="preserve"> </w:t>
      </w:r>
      <w:r w:rsidR="00A7771F" w:rsidRPr="009C0A2B">
        <w:rPr>
          <w:lang w:val="fr-FR"/>
        </w:rPr>
        <w:t xml:space="preserve">du </w:t>
      </w:r>
      <w:r w:rsidR="009C0A2B" w:rsidRPr="009C0A2B">
        <w:rPr>
          <w:lang w:val="fr-FR"/>
        </w:rPr>
        <w:t xml:space="preserve">patrimoine </w:t>
      </w:r>
      <w:r w:rsidR="00A7771F" w:rsidRPr="009C0A2B">
        <w:rPr>
          <w:lang w:val="fr-FR"/>
        </w:rPr>
        <w:t xml:space="preserve">culturel immatériel </w:t>
      </w:r>
      <w:r w:rsidR="009C0A2B" w:rsidRPr="009C0A2B">
        <w:rPr>
          <w:lang w:val="fr-FR"/>
        </w:rPr>
        <w:t>nécessitant une sauvegarde urgente et à la Liste représentative du patrimoine culturel immatériel de l’humanité</w:t>
      </w:r>
      <w:r w:rsidR="00A03C71" w:rsidRPr="009C0A2B">
        <w:rPr>
          <w:lang w:val="fr-FR"/>
        </w:rPr>
        <w:t>.</w:t>
      </w:r>
    </w:p>
    <w:p w14:paraId="127F2790" w14:textId="3023F57E" w:rsidR="002321E8" w:rsidRDefault="002321E8" w:rsidP="00EE55A0">
      <w:pPr>
        <w:pStyle w:val="COMPara"/>
        <w:numPr>
          <w:ilvl w:val="0"/>
          <w:numId w:val="9"/>
        </w:numPr>
        <w:ind w:left="567" w:hanging="567"/>
        <w:jc w:val="both"/>
        <w:rPr>
          <w:lang w:val="fr-FR"/>
        </w:rPr>
      </w:pPr>
      <w:r>
        <w:rPr>
          <w:lang w:val="fr-FR"/>
        </w:rPr>
        <w:t xml:space="preserve">Il convient de noter </w:t>
      </w:r>
      <w:r w:rsidR="00476890">
        <w:rPr>
          <w:lang w:val="fr-FR"/>
        </w:rPr>
        <w:t>qu’un total de 81</w:t>
      </w:r>
      <w:r w:rsidR="00B14CDB">
        <w:rPr>
          <w:lang w:val="fr-FR"/>
        </w:rPr>
        <w:t xml:space="preserve"> éléments inscrits depuis 2008 sur les Listes établies dans le cadre de la Convention appartient au domaine des traditions et expressions orales </w:t>
      </w:r>
      <w:r w:rsidR="00B14CDB" w:rsidRPr="00EE55A0">
        <w:rPr>
          <w:lang w:val="fr-FR"/>
        </w:rPr>
        <w:t>–</w:t>
      </w:r>
      <w:r w:rsidR="00B14CDB">
        <w:rPr>
          <w:lang w:val="fr-FR"/>
        </w:rPr>
        <w:t xml:space="preserve"> </w:t>
      </w:r>
      <w:r w:rsidR="005B6056">
        <w:rPr>
          <w:lang w:val="fr-FR"/>
        </w:rPr>
        <w:t xml:space="preserve">pour lesquelles les langues autochtones </w:t>
      </w:r>
      <w:r w:rsidR="00B14CDB">
        <w:rPr>
          <w:lang w:val="fr-FR"/>
        </w:rPr>
        <w:t xml:space="preserve">et en danger sont le principal vecteur. </w:t>
      </w:r>
      <w:r w:rsidR="00D810B5">
        <w:rPr>
          <w:lang w:val="fr-FR"/>
        </w:rPr>
        <w:t>D</w:t>
      </w:r>
      <w:r w:rsidR="00B14CDB">
        <w:rPr>
          <w:lang w:val="fr-FR"/>
        </w:rPr>
        <w:t xml:space="preserve">es plans de sauvegarde ou des séries de mesures </w:t>
      </w:r>
      <w:r w:rsidR="00006888">
        <w:rPr>
          <w:lang w:val="fr-FR"/>
        </w:rPr>
        <w:t>ont été développé</w:t>
      </w:r>
      <w:r w:rsidR="00D810B5">
        <w:rPr>
          <w:lang w:val="fr-FR"/>
        </w:rPr>
        <w:t>s par les États parties et soumis au Comité dans le cadre du processus d’inscription pour tous ces éléments.</w:t>
      </w:r>
    </w:p>
    <w:p w14:paraId="66873797" w14:textId="3CCAAC49" w:rsidR="00667280" w:rsidRDefault="00667280" w:rsidP="00EE55A0">
      <w:pPr>
        <w:pStyle w:val="COMPara"/>
        <w:numPr>
          <w:ilvl w:val="0"/>
          <w:numId w:val="9"/>
        </w:numPr>
        <w:ind w:left="567" w:hanging="567"/>
        <w:jc w:val="both"/>
        <w:rPr>
          <w:lang w:val="fr-FR"/>
        </w:rPr>
      </w:pPr>
      <w:r>
        <w:rPr>
          <w:lang w:val="fr-FR"/>
        </w:rPr>
        <w:t>Le Comité lors de sa huitième session en 2013 a demandé aux États parties et à l’Assemblée générale, ainsi qu’au Secrétariat, aux centres de catégorie 2, aux organisations non</w:t>
      </w:r>
      <w:r w:rsidR="008E5C2D">
        <w:rPr>
          <w:lang w:val="fr-FR"/>
        </w:rPr>
        <w:t xml:space="preserve"> </w:t>
      </w:r>
      <w:r>
        <w:rPr>
          <w:lang w:val="fr-FR"/>
        </w:rPr>
        <w:t xml:space="preserve">gouvernementales et à toutes les parties prenantes de </w:t>
      </w:r>
      <w:r w:rsidR="002C6A2F" w:rsidRPr="00EE55A0">
        <w:rPr>
          <w:lang w:val="fr-FR"/>
        </w:rPr>
        <w:t>« compléter le Registre des meilleures pratiques de sauvegarde en développant d’autres moyens plus légers pour partager les expériences de sauvegarde comme des sites web dédiés, des bulletins d’information électroniques, des forums en ligne, etc.</w:t>
      </w:r>
      <w:r w:rsidR="00AB1CE6" w:rsidRPr="00EE55A0">
        <w:rPr>
          <w:lang w:val="fr-FR"/>
        </w:rPr>
        <w:t> </w:t>
      </w:r>
      <w:r w:rsidR="002C6A2F" w:rsidRPr="00EE55A0">
        <w:rPr>
          <w:lang w:val="fr-FR"/>
        </w:rPr>
        <w:t>» et à «</w:t>
      </w:r>
      <w:r w:rsidR="00AB1CE6" w:rsidRPr="00EE55A0">
        <w:rPr>
          <w:lang w:val="fr-FR"/>
        </w:rPr>
        <w:t> </w:t>
      </w:r>
      <w:r w:rsidR="002C6A2F" w:rsidRPr="00EE55A0">
        <w:rPr>
          <w:lang w:val="fr-FR"/>
        </w:rPr>
        <w:t xml:space="preserve">renforcer le partage informel d’exemples intéressants et novateurs sur le travail avec la Convention, notamment sur la sauvegarde du patrimoine culturel immatériel, le développement de politiques et de la législation, le patrimoine culturel immatériel et le développement durable, les partenariats novateurs et autres » </w:t>
      </w:r>
      <w:r w:rsidR="00A03C71" w:rsidRPr="00EE55A0">
        <w:rPr>
          <w:lang w:val="fr-FR"/>
        </w:rPr>
        <w:t>(</w:t>
      </w:r>
      <w:hyperlink r:id="rId34" w:history="1">
        <w:r w:rsidR="002C6A2F" w:rsidRPr="00B52B06">
          <w:rPr>
            <w:lang w:val="fr-FR"/>
          </w:rPr>
          <w:t>dé</w:t>
        </w:r>
        <w:r w:rsidR="00A03C71" w:rsidRPr="00B52B06">
          <w:rPr>
            <w:lang w:val="fr-FR"/>
          </w:rPr>
          <w:t>cision 8.COM 5.c.1</w:t>
        </w:r>
      </w:hyperlink>
      <w:r w:rsidR="00A03C71" w:rsidRPr="00B52B06">
        <w:rPr>
          <w:lang w:val="fr-FR"/>
        </w:rPr>
        <w:t>)</w:t>
      </w:r>
      <w:r w:rsidRPr="00B52B06">
        <w:rPr>
          <w:lang w:val="fr-FR"/>
        </w:rPr>
        <w:t>.</w:t>
      </w:r>
    </w:p>
    <w:p w14:paraId="68731DA9" w14:textId="728E55AF" w:rsidR="00A03C71" w:rsidRPr="00EE55A0" w:rsidRDefault="002321E8" w:rsidP="00EE55A0">
      <w:pPr>
        <w:pStyle w:val="COMPara"/>
        <w:numPr>
          <w:ilvl w:val="0"/>
          <w:numId w:val="9"/>
        </w:numPr>
        <w:ind w:left="567" w:hanging="567"/>
        <w:jc w:val="both"/>
        <w:rPr>
          <w:b/>
          <w:lang w:val="fr-FR"/>
        </w:rPr>
      </w:pPr>
      <w:r>
        <w:rPr>
          <w:lang w:val="fr-FR"/>
        </w:rPr>
        <w:t>En raison d’un</w:t>
      </w:r>
      <w:r w:rsidR="00667280">
        <w:rPr>
          <w:lang w:val="fr-FR"/>
        </w:rPr>
        <w:t xml:space="preserve"> manque de temps et de ressources humaines, le Secrétariat </w:t>
      </w:r>
      <w:r>
        <w:rPr>
          <w:lang w:val="fr-FR"/>
        </w:rPr>
        <w:t xml:space="preserve">a été à ce jour seulement en mesure de </w:t>
      </w:r>
      <w:r w:rsidR="002C6A2F" w:rsidRPr="00EE55A0">
        <w:rPr>
          <w:lang w:val="fr-FR"/>
        </w:rPr>
        <w:t xml:space="preserve">se </w:t>
      </w:r>
      <w:r>
        <w:rPr>
          <w:lang w:val="fr-FR"/>
        </w:rPr>
        <w:t>concentrer</w:t>
      </w:r>
      <w:r w:rsidR="002C6A2F" w:rsidRPr="00EE55A0">
        <w:rPr>
          <w:lang w:val="fr-FR"/>
        </w:rPr>
        <w:t xml:space="preserve"> sur le Registre des meilleures pratiques de sauvegarde et sur la </w:t>
      </w:r>
      <w:r w:rsidR="00A03C71" w:rsidRPr="00EE55A0">
        <w:rPr>
          <w:lang w:val="fr-FR"/>
        </w:rPr>
        <w:t>publi</w:t>
      </w:r>
      <w:r w:rsidR="002C6A2F" w:rsidRPr="00EE55A0">
        <w:rPr>
          <w:lang w:val="fr-FR"/>
        </w:rPr>
        <w:t xml:space="preserve">cation des </w:t>
      </w:r>
      <w:r w:rsidR="00A03C71" w:rsidRPr="00EE55A0">
        <w:rPr>
          <w:lang w:val="fr-FR"/>
        </w:rPr>
        <w:t>exp</w:t>
      </w:r>
      <w:r w:rsidR="002C6A2F" w:rsidRPr="00EE55A0">
        <w:rPr>
          <w:lang w:val="fr-FR"/>
        </w:rPr>
        <w:t>é</w:t>
      </w:r>
      <w:r w:rsidR="00A03C71" w:rsidRPr="00EE55A0">
        <w:rPr>
          <w:lang w:val="fr-FR"/>
        </w:rPr>
        <w:t xml:space="preserve">riences </w:t>
      </w:r>
      <w:r w:rsidR="002C6A2F" w:rsidRPr="00EE55A0">
        <w:rPr>
          <w:lang w:val="fr-FR"/>
        </w:rPr>
        <w:t xml:space="preserve">liées </w:t>
      </w:r>
      <w:r w:rsidR="008E5C2D">
        <w:rPr>
          <w:lang w:val="fr-FR"/>
        </w:rPr>
        <w:t>à quelques</w:t>
      </w:r>
      <w:r w:rsidR="008E5C2D" w:rsidRPr="00EE55A0">
        <w:rPr>
          <w:lang w:val="fr-FR"/>
        </w:rPr>
        <w:t xml:space="preserve"> </w:t>
      </w:r>
      <w:r w:rsidR="002C6A2F" w:rsidRPr="00EE55A0">
        <w:rPr>
          <w:lang w:val="fr-FR"/>
        </w:rPr>
        <w:t>projets</w:t>
      </w:r>
      <w:r w:rsidR="00A03C71" w:rsidRPr="00EE55A0">
        <w:rPr>
          <w:lang w:val="fr-FR"/>
        </w:rPr>
        <w:t xml:space="preserve">. </w:t>
      </w:r>
      <w:r>
        <w:rPr>
          <w:lang w:val="fr-FR"/>
        </w:rPr>
        <w:t>Cela correspond à la compilation</w:t>
      </w:r>
      <w:r w:rsidR="002C6A2F" w:rsidRPr="00EE55A0">
        <w:rPr>
          <w:lang w:val="fr-FR"/>
        </w:rPr>
        <w:t xml:space="preserve"> de supports </w:t>
      </w:r>
      <w:r w:rsidR="00A03C71" w:rsidRPr="00EE55A0">
        <w:rPr>
          <w:lang w:val="fr-FR"/>
        </w:rPr>
        <w:t>p</w:t>
      </w:r>
      <w:r w:rsidR="002C6A2F" w:rsidRPr="00EE55A0">
        <w:rPr>
          <w:lang w:val="fr-FR"/>
        </w:rPr>
        <w:t>é</w:t>
      </w:r>
      <w:r w:rsidR="00A03C71" w:rsidRPr="00EE55A0">
        <w:rPr>
          <w:lang w:val="fr-FR"/>
        </w:rPr>
        <w:t>dagogi</w:t>
      </w:r>
      <w:r w:rsidR="002C6A2F" w:rsidRPr="00EE55A0">
        <w:rPr>
          <w:lang w:val="fr-FR"/>
        </w:rPr>
        <w:t xml:space="preserve">ques sur les </w:t>
      </w:r>
      <w:r w:rsidR="00A03C71" w:rsidRPr="00EE55A0">
        <w:rPr>
          <w:lang w:val="fr-FR"/>
        </w:rPr>
        <w:t>m</w:t>
      </w:r>
      <w:r w:rsidR="002C6A2F" w:rsidRPr="00EE55A0">
        <w:rPr>
          <w:lang w:val="fr-FR"/>
        </w:rPr>
        <w:t>é</w:t>
      </w:r>
      <w:r w:rsidR="00A03C71" w:rsidRPr="00EE55A0">
        <w:rPr>
          <w:lang w:val="fr-FR"/>
        </w:rPr>
        <w:t xml:space="preserve">thodologies </w:t>
      </w:r>
      <w:r w:rsidR="002C6A2F" w:rsidRPr="00EE55A0">
        <w:rPr>
          <w:lang w:val="fr-FR"/>
        </w:rPr>
        <w:t xml:space="preserve">et </w:t>
      </w:r>
      <w:r w:rsidR="00A03C71" w:rsidRPr="00EE55A0">
        <w:rPr>
          <w:lang w:val="fr-FR"/>
        </w:rPr>
        <w:t>exp</w:t>
      </w:r>
      <w:r w:rsidR="002C6A2F" w:rsidRPr="00EE55A0">
        <w:rPr>
          <w:lang w:val="fr-FR"/>
        </w:rPr>
        <w:t>é</w:t>
      </w:r>
      <w:r w:rsidR="00A03C71" w:rsidRPr="00EE55A0">
        <w:rPr>
          <w:lang w:val="fr-FR"/>
        </w:rPr>
        <w:t xml:space="preserve">riences </w:t>
      </w:r>
      <w:r w:rsidR="002C6A2F" w:rsidRPr="00EE55A0">
        <w:rPr>
          <w:lang w:val="fr-FR"/>
        </w:rPr>
        <w:t>de deux pratiques de sauvegarde </w:t>
      </w:r>
      <w:r w:rsidR="00A03C71" w:rsidRPr="00EE55A0">
        <w:rPr>
          <w:lang w:val="fr-FR"/>
        </w:rPr>
        <w:t xml:space="preserve">: </w:t>
      </w:r>
      <w:r w:rsidR="002C6A2F" w:rsidRPr="00EE55A0">
        <w:rPr>
          <w:lang w:val="fr-FR"/>
        </w:rPr>
        <w:t xml:space="preserve">« Éducation et formation au patrimoine culturel immatériel du batik indonésien à Pekalongan, Indonésie » et « Le musée vivant du Fandango ». Chaque pratique fait l’objet d’une </w:t>
      </w:r>
      <w:r w:rsidR="00A03C71" w:rsidRPr="00EE55A0">
        <w:rPr>
          <w:lang w:val="fr-FR"/>
        </w:rPr>
        <w:t xml:space="preserve">brochure </w:t>
      </w:r>
      <w:r w:rsidR="002C6A2F" w:rsidRPr="00EE55A0">
        <w:rPr>
          <w:lang w:val="fr-FR"/>
        </w:rPr>
        <w:t xml:space="preserve">de </w:t>
      </w:r>
      <w:r w:rsidR="00A03C71" w:rsidRPr="00EE55A0">
        <w:rPr>
          <w:lang w:val="fr-FR"/>
        </w:rPr>
        <w:t>30</w:t>
      </w:r>
      <w:r w:rsidR="002C6A2F" w:rsidRPr="00EE55A0">
        <w:rPr>
          <w:lang w:val="fr-FR"/>
        </w:rPr>
        <w:t> </w:t>
      </w:r>
      <w:r w:rsidR="00A03C71" w:rsidRPr="00EE55A0">
        <w:rPr>
          <w:lang w:val="fr-FR"/>
        </w:rPr>
        <w:t xml:space="preserve">pages </w:t>
      </w:r>
      <w:r w:rsidR="002C6A2F" w:rsidRPr="00EE55A0">
        <w:rPr>
          <w:lang w:val="fr-FR"/>
        </w:rPr>
        <w:t>environ qui est disponible</w:t>
      </w:r>
      <w:r>
        <w:rPr>
          <w:lang w:val="fr-FR"/>
        </w:rPr>
        <w:t xml:space="preserve"> en anglais et en français</w:t>
      </w:r>
      <w:r w:rsidR="002C6A2F" w:rsidRPr="00EE55A0">
        <w:rPr>
          <w:lang w:val="fr-FR"/>
        </w:rPr>
        <w:t xml:space="preserve">, ainsi que de deux vidéos de </w:t>
      </w:r>
      <w:r w:rsidR="00A03C71" w:rsidRPr="00EE55A0">
        <w:rPr>
          <w:lang w:val="fr-FR"/>
        </w:rPr>
        <w:t>15</w:t>
      </w:r>
      <w:r w:rsidR="002C6A2F" w:rsidRPr="00EE55A0">
        <w:rPr>
          <w:lang w:val="fr-FR"/>
        </w:rPr>
        <w:t xml:space="preserve"> et 3 minutes sur le site web de la </w:t>
      </w:r>
      <w:r w:rsidR="00A03C71" w:rsidRPr="00EE55A0">
        <w:rPr>
          <w:lang w:val="fr-FR"/>
        </w:rPr>
        <w:t>Convention</w:t>
      </w:r>
      <w:r w:rsidR="002C6A2F" w:rsidRPr="00EE55A0">
        <w:rPr>
          <w:lang w:val="fr-FR"/>
        </w:rPr>
        <w:t xml:space="preserve"> </w:t>
      </w:r>
      <w:r w:rsidR="00A03C71" w:rsidRPr="002222A7">
        <w:rPr>
          <w:lang w:val="fr-FR"/>
        </w:rPr>
        <w:t>(</w:t>
      </w:r>
      <w:hyperlink r:id="rId35" w:history="1">
        <w:r w:rsidR="0022382B">
          <w:rPr>
            <w:rStyle w:val="Hyperlink"/>
            <w:lang w:val="fr-FR"/>
          </w:rPr>
          <w:t>http://www.unesco.org/culture/ich/fr/Registre</w:t>
        </w:r>
      </w:hyperlink>
      <w:r w:rsidR="00A03C71" w:rsidRPr="002222A7">
        <w:rPr>
          <w:lang w:val="fr-FR"/>
        </w:rPr>
        <w:t>).</w:t>
      </w:r>
    </w:p>
    <w:p w14:paraId="2345DDB9" w14:textId="48F44AD9" w:rsidR="00A03C71" w:rsidRPr="004E717F" w:rsidRDefault="00950FCC" w:rsidP="00EE55A0">
      <w:pPr>
        <w:pStyle w:val="COMPara"/>
        <w:numPr>
          <w:ilvl w:val="0"/>
          <w:numId w:val="9"/>
        </w:numPr>
        <w:ind w:left="567" w:hanging="567"/>
        <w:jc w:val="both"/>
        <w:rPr>
          <w:lang w:val="fr-FR"/>
        </w:rPr>
      </w:pPr>
      <w:r>
        <w:rPr>
          <w:lang w:val="fr-FR"/>
        </w:rPr>
        <w:t>De plus, l</w:t>
      </w:r>
      <w:r w:rsidR="002C6A2F" w:rsidRPr="00EE55A0">
        <w:rPr>
          <w:lang w:val="fr-FR"/>
        </w:rPr>
        <w:t xml:space="preserve">es rapports périodiques des États parties sur leur mise en œuvre de la Convention au niveau national </w:t>
      </w:r>
      <w:r w:rsidR="00461830">
        <w:rPr>
          <w:lang w:val="fr-FR"/>
        </w:rPr>
        <w:t xml:space="preserve">ainsi que sur </w:t>
      </w:r>
      <w:r w:rsidR="00F9218E">
        <w:rPr>
          <w:lang w:val="fr-FR"/>
        </w:rPr>
        <w:t xml:space="preserve">le statut des éléments inscrits sur </w:t>
      </w:r>
      <w:r w:rsidR="00BA1439">
        <w:rPr>
          <w:lang w:val="fr-FR"/>
        </w:rPr>
        <w:t xml:space="preserve">la Liste </w:t>
      </w:r>
      <w:r w:rsidR="00BA1439" w:rsidRPr="009C0A2B">
        <w:rPr>
          <w:lang w:val="fr-FR"/>
        </w:rPr>
        <w:t>du patrimoine culturel immatériel nécessitant une sauvegarde urgente</w:t>
      </w:r>
      <w:r w:rsidR="00BA1439">
        <w:rPr>
          <w:lang w:val="fr-FR"/>
        </w:rPr>
        <w:t xml:space="preserve"> </w:t>
      </w:r>
      <w:r w:rsidR="002C6A2F" w:rsidRPr="00EE55A0">
        <w:rPr>
          <w:lang w:val="fr-FR"/>
        </w:rPr>
        <w:t>constituent une ressource croissante et riche d’enseignements au sujet des pratiques et mesures de sauvegarde efficaces (d</w:t>
      </w:r>
      <w:r w:rsidR="00A03C71" w:rsidRPr="00EE55A0">
        <w:rPr>
          <w:lang w:val="fr-FR"/>
        </w:rPr>
        <w:t xml:space="preserve">ocuments </w:t>
      </w:r>
      <w:hyperlink r:id="rId36" w:history="1">
        <w:r w:rsidR="00A03C71" w:rsidRPr="002222A7">
          <w:rPr>
            <w:rStyle w:val="Hyperlink"/>
            <w:lang w:val="fr-FR"/>
          </w:rPr>
          <w:t>ITH/14/9.COM/5.a</w:t>
        </w:r>
      </w:hyperlink>
      <w:r w:rsidR="008E5C2D" w:rsidRPr="00EE55A0">
        <w:rPr>
          <w:lang w:val="fr-FR"/>
        </w:rPr>
        <w:t xml:space="preserve">, </w:t>
      </w:r>
      <w:hyperlink r:id="rId37" w:history="1">
        <w:r w:rsidR="008E5C2D" w:rsidRPr="002222A7">
          <w:rPr>
            <w:rStyle w:val="Hyperlink"/>
            <w:lang w:val="fr-FR"/>
          </w:rPr>
          <w:t>ITH/14/9.COM/5.b</w:t>
        </w:r>
      </w:hyperlink>
      <w:r w:rsidR="008E5C2D" w:rsidRPr="00EE55A0">
        <w:rPr>
          <w:lang w:val="fr-FR"/>
        </w:rPr>
        <w:t>,</w:t>
      </w:r>
      <w:r w:rsidR="00A03C71" w:rsidRPr="00EE55A0">
        <w:rPr>
          <w:lang w:val="fr-FR"/>
        </w:rPr>
        <w:t xml:space="preserve"> </w:t>
      </w:r>
      <w:hyperlink r:id="rId38" w:history="1">
        <w:r w:rsidR="00A03C71" w:rsidRPr="0022382B">
          <w:rPr>
            <w:rStyle w:val="Hyperlink"/>
            <w:lang w:val="fr-FR"/>
          </w:rPr>
          <w:t>ITH/10.COM/6.a</w:t>
        </w:r>
      </w:hyperlink>
      <w:r w:rsidR="008E5C2D">
        <w:rPr>
          <w:lang w:val="fr-FR"/>
        </w:rPr>
        <w:t xml:space="preserve"> et </w:t>
      </w:r>
      <w:hyperlink r:id="rId39" w:history="1">
        <w:r w:rsidR="008E5C2D" w:rsidRPr="0022382B">
          <w:rPr>
            <w:rStyle w:val="Hyperlink"/>
            <w:lang w:val="fr-FR"/>
          </w:rPr>
          <w:t>ITH/10.COM/6.b</w:t>
        </w:r>
      </w:hyperlink>
      <w:r w:rsidR="00A03C71" w:rsidRPr="00EE55A0">
        <w:rPr>
          <w:lang w:val="fr-FR"/>
        </w:rPr>
        <w:t xml:space="preserve">). </w:t>
      </w:r>
      <w:r w:rsidR="004E717F" w:rsidRPr="004E717F">
        <w:rPr>
          <w:lang w:val="fr-FR"/>
        </w:rPr>
        <w:t xml:space="preserve">Ces rapports donnent un large aperçu des </w:t>
      </w:r>
      <w:r w:rsidR="008E5C2D">
        <w:rPr>
          <w:lang w:val="fr-FR"/>
        </w:rPr>
        <w:t>mesures</w:t>
      </w:r>
      <w:r w:rsidR="008E5C2D" w:rsidRPr="004E717F">
        <w:rPr>
          <w:lang w:val="fr-FR"/>
        </w:rPr>
        <w:t xml:space="preserve"> </w:t>
      </w:r>
      <w:r w:rsidR="004E717F" w:rsidRPr="004E717F">
        <w:rPr>
          <w:lang w:val="fr-FR"/>
        </w:rPr>
        <w:t xml:space="preserve">de sauvegarde </w:t>
      </w:r>
      <w:r w:rsidR="008E5C2D">
        <w:rPr>
          <w:lang w:val="fr-FR"/>
        </w:rPr>
        <w:t xml:space="preserve">mises en place </w:t>
      </w:r>
      <w:r w:rsidR="004E717F" w:rsidRPr="004E717F">
        <w:rPr>
          <w:lang w:val="fr-FR"/>
        </w:rPr>
        <w:t>par les États parties</w:t>
      </w:r>
      <w:r w:rsidR="008E5C2D">
        <w:rPr>
          <w:lang w:val="fr-FR"/>
        </w:rPr>
        <w:t xml:space="preserve"> et </w:t>
      </w:r>
      <w:r w:rsidR="004E717F" w:rsidRPr="004E717F">
        <w:rPr>
          <w:lang w:val="fr-FR"/>
        </w:rPr>
        <w:t>constitue</w:t>
      </w:r>
      <w:r w:rsidR="008E5C2D">
        <w:rPr>
          <w:lang w:val="fr-FR"/>
        </w:rPr>
        <w:t>nt</w:t>
      </w:r>
      <w:r w:rsidR="004E717F" w:rsidRPr="004E717F">
        <w:rPr>
          <w:lang w:val="fr-FR"/>
        </w:rPr>
        <w:t xml:space="preserve"> une masse crit</w:t>
      </w:r>
      <w:r w:rsidR="004E717F">
        <w:rPr>
          <w:lang w:val="fr-FR"/>
        </w:rPr>
        <w:t xml:space="preserve">ique d’expérience. </w:t>
      </w:r>
      <w:r w:rsidR="004E717F" w:rsidRPr="004E717F">
        <w:rPr>
          <w:lang w:val="fr-FR"/>
        </w:rPr>
        <w:t>S’agissant du cycle </w:t>
      </w:r>
      <w:r w:rsidR="00A03C71" w:rsidRPr="004E717F">
        <w:rPr>
          <w:lang w:val="fr-FR"/>
        </w:rPr>
        <w:t xml:space="preserve">2015, </w:t>
      </w:r>
      <w:r w:rsidR="004E717F">
        <w:rPr>
          <w:lang w:val="fr-FR"/>
        </w:rPr>
        <w:t xml:space="preserve">le </w:t>
      </w:r>
      <w:r w:rsidR="00C77767" w:rsidRPr="004E717F">
        <w:rPr>
          <w:lang w:val="fr-FR"/>
        </w:rPr>
        <w:t>Secrétariat</w:t>
      </w:r>
      <w:r w:rsidR="00A03C71" w:rsidRPr="004E717F">
        <w:rPr>
          <w:lang w:val="fr-FR"/>
        </w:rPr>
        <w:t xml:space="preserve"> </w:t>
      </w:r>
      <w:r w:rsidR="004E717F">
        <w:rPr>
          <w:lang w:val="fr-FR"/>
        </w:rPr>
        <w:t>a pris l’</w:t>
      </w:r>
      <w:r w:rsidR="00A03C71" w:rsidRPr="004E717F">
        <w:rPr>
          <w:lang w:val="fr-FR"/>
        </w:rPr>
        <w:t xml:space="preserve">initiative </w:t>
      </w:r>
      <w:r w:rsidR="004E717F">
        <w:rPr>
          <w:lang w:val="fr-FR"/>
        </w:rPr>
        <w:t xml:space="preserve">de fournir un résumé de chaque </w:t>
      </w:r>
      <w:r w:rsidR="00A03C71" w:rsidRPr="004E717F">
        <w:rPr>
          <w:lang w:val="fr-FR"/>
        </w:rPr>
        <w:t>r</w:t>
      </w:r>
      <w:r w:rsidR="004E717F">
        <w:rPr>
          <w:lang w:val="fr-FR"/>
        </w:rPr>
        <w:t>ap</w:t>
      </w:r>
      <w:r w:rsidR="00A03C71" w:rsidRPr="004E717F">
        <w:rPr>
          <w:lang w:val="fr-FR"/>
        </w:rPr>
        <w:t xml:space="preserve">port </w:t>
      </w:r>
      <w:r w:rsidR="004E717F">
        <w:rPr>
          <w:lang w:val="fr-FR"/>
        </w:rPr>
        <w:t xml:space="preserve">soumis </w:t>
      </w:r>
      <w:r w:rsidR="008E5C2D">
        <w:rPr>
          <w:lang w:val="fr-FR"/>
        </w:rPr>
        <w:t xml:space="preserve">sur la mise en œuvre de la Convention </w:t>
      </w:r>
      <w:r w:rsidR="004E717F">
        <w:rPr>
          <w:lang w:val="fr-FR"/>
        </w:rPr>
        <w:t>afin de faciliter l’accès à l’</w:t>
      </w:r>
      <w:r w:rsidR="00A03C71" w:rsidRPr="004E717F">
        <w:rPr>
          <w:lang w:val="fr-FR"/>
        </w:rPr>
        <w:t>information.</w:t>
      </w:r>
      <w:r w:rsidR="008479CF">
        <w:rPr>
          <w:lang w:val="fr-FR"/>
        </w:rPr>
        <w:t xml:space="preserve"> Cependant, en raison du faible nombre de rapports soumis par les États parties</w:t>
      </w:r>
      <w:r w:rsidR="008479CF" w:rsidRPr="008479CF">
        <w:rPr>
          <w:lang w:val="fr-FR"/>
        </w:rPr>
        <w:t xml:space="preserve"> –</w:t>
      </w:r>
      <w:r w:rsidR="008479CF">
        <w:rPr>
          <w:lang w:val="fr-FR"/>
        </w:rPr>
        <w:t xml:space="preserve"> par exemple, seulement six des 37 rapports pour le cycle de 2016 ont été soumis </w:t>
      </w:r>
      <w:r w:rsidR="008479CF" w:rsidRPr="008479CF">
        <w:rPr>
          <w:lang w:val="fr-FR"/>
        </w:rPr>
        <w:t>–</w:t>
      </w:r>
      <w:r w:rsidR="00D62C6A">
        <w:rPr>
          <w:lang w:val="fr-FR"/>
        </w:rPr>
        <w:t xml:space="preserve"> le potentiel du mécanisme des </w:t>
      </w:r>
      <w:r w:rsidR="008479CF">
        <w:rPr>
          <w:lang w:val="fr-FR"/>
        </w:rPr>
        <w:t xml:space="preserve">rapports périodiques comme ressource de bonnes pratiques n’a pas été entièrement exploré. </w:t>
      </w:r>
    </w:p>
    <w:p w14:paraId="4A57C950" w14:textId="77777777" w:rsidR="00A03C71" w:rsidRPr="0036557D" w:rsidRDefault="004E717F" w:rsidP="00EE55A0">
      <w:pPr>
        <w:pStyle w:val="COMPara"/>
        <w:keepNext/>
        <w:keepLines/>
        <w:spacing w:before="360"/>
        <w:ind w:left="0" w:firstLine="0"/>
        <w:rPr>
          <w:b/>
          <w:lang w:val="fr-FR"/>
        </w:rPr>
      </w:pPr>
      <w:r>
        <w:rPr>
          <w:b/>
          <w:lang w:val="fr-FR"/>
        </w:rPr>
        <w:t xml:space="preserve">Indicateur de </w:t>
      </w:r>
      <w:r w:rsidRPr="0036557D">
        <w:rPr>
          <w:b/>
          <w:lang w:val="fr-FR"/>
        </w:rPr>
        <w:t>performance</w:t>
      </w:r>
      <w:r>
        <w:rPr>
          <w:b/>
          <w:lang w:val="fr-FR"/>
        </w:rPr>
        <w:t> </w:t>
      </w:r>
      <w:r w:rsidR="00A03C71" w:rsidRPr="0036557D">
        <w:rPr>
          <w:b/>
          <w:lang w:val="fr-FR"/>
        </w:rPr>
        <w:t>4</w:t>
      </w:r>
      <w:r>
        <w:rPr>
          <w:b/>
          <w:lang w:val="fr-FR"/>
        </w:rPr>
        <w:t> </w:t>
      </w:r>
      <w:r w:rsidR="00A03C71" w:rsidRPr="0036557D">
        <w:rPr>
          <w:b/>
          <w:lang w:val="fr-FR"/>
        </w:rPr>
        <w:t xml:space="preserve">: </w:t>
      </w:r>
      <w:r w:rsidRPr="004E717F">
        <w:rPr>
          <w:b/>
          <w:lang w:val="fr-FR"/>
        </w:rPr>
        <w:t>Nombre de demandes d’assistance internationale soumises et mises en œuvre de façon effective par les États membres, de candidatures soumises par les États membres et de meilleures pratiques soumises par les États membres et diffusées par eux et les autres parties prenantes</w:t>
      </w:r>
    </w:p>
    <w:p w14:paraId="24D2EA5D" w14:textId="467F1AC5" w:rsidR="00A03C71" w:rsidRPr="0036557D" w:rsidRDefault="00B00F3A" w:rsidP="00A03C71">
      <w:pPr>
        <w:pStyle w:val="COMPara"/>
        <w:numPr>
          <w:ilvl w:val="0"/>
          <w:numId w:val="9"/>
        </w:numPr>
        <w:ind w:left="567" w:hanging="567"/>
        <w:jc w:val="both"/>
        <w:rPr>
          <w:lang w:val="fr-FR"/>
        </w:rPr>
      </w:pPr>
      <w:r>
        <w:rPr>
          <w:lang w:val="fr-FR"/>
        </w:rPr>
        <w:t xml:space="preserve">Pendant la </w:t>
      </w:r>
      <w:r w:rsidR="000C694D" w:rsidRPr="0036557D">
        <w:rPr>
          <w:lang w:val="fr-FR"/>
        </w:rPr>
        <w:t xml:space="preserve">période </w:t>
      </w:r>
      <w:r w:rsidR="00C30076">
        <w:rPr>
          <w:lang w:val="fr-FR"/>
        </w:rPr>
        <w:t>considérée</w:t>
      </w:r>
      <w:r w:rsidR="00A03C71" w:rsidRPr="0036557D">
        <w:rPr>
          <w:lang w:val="fr-FR"/>
        </w:rPr>
        <w:t xml:space="preserve">, </w:t>
      </w:r>
      <w:r w:rsidR="004F4C1D" w:rsidRPr="004F4C1D">
        <w:rPr>
          <w:lang w:val="fr-FR"/>
        </w:rPr>
        <w:t>124</w:t>
      </w:r>
      <w:r w:rsidR="00F2064E" w:rsidRPr="004F4C1D">
        <w:rPr>
          <w:lang w:val="fr-FR"/>
        </w:rPr>
        <w:t> dossiers</w:t>
      </w:r>
      <w:r w:rsidR="00A03C71" w:rsidRPr="004F4C1D">
        <w:rPr>
          <w:lang w:val="fr-FR"/>
        </w:rPr>
        <w:t>,</w:t>
      </w:r>
      <w:r w:rsidR="00A03C71" w:rsidRPr="0036557D">
        <w:rPr>
          <w:lang w:val="fr-FR"/>
        </w:rPr>
        <w:t xml:space="preserve"> </w:t>
      </w:r>
      <w:r w:rsidR="00F2064E">
        <w:rPr>
          <w:lang w:val="fr-FR"/>
        </w:rPr>
        <w:t xml:space="preserve">y compris les candidatures à la </w:t>
      </w:r>
      <w:r w:rsidR="00A03C71" w:rsidRPr="0036557D">
        <w:rPr>
          <w:lang w:val="fr-FR"/>
        </w:rPr>
        <w:t>List</w:t>
      </w:r>
      <w:r w:rsidR="00F2064E">
        <w:rPr>
          <w:lang w:val="fr-FR"/>
        </w:rPr>
        <w:t>e</w:t>
      </w:r>
      <w:r w:rsidR="00A03C71" w:rsidRPr="0036557D">
        <w:rPr>
          <w:lang w:val="fr-FR"/>
        </w:rPr>
        <w:t xml:space="preserve"> </w:t>
      </w:r>
      <w:r w:rsidR="00AB2E81">
        <w:rPr>
          <w:lang w:val="fr-FR"/>
        </w:rPr>
        <w:t>du p</w:t>
      </w:r>
      <w:r w:rsidR="00F2064E">
        <w:rPr>
          <w:lang w:val="fr-FR"/>
        </w:rPr>
        <w:t xml:space="preserve">atrimoine culturel immatériel </w:t>
      </w:r>
      <w:r w:rsidR="00F2064E" w:rsidRPr="009C0A2B">
        <w:rPr>
          <w:lang w:val="fr-FR"/>
        </w:rPr>
        <w:t>nécessitant une sauvegarde urgente et à la Liste représentative du patrimoine culturel immatériel de l’humanité</w:t>
      </w:r>
      <w:r w:rsidR="00A03C71" w:rsidRPr="0036557D">
        <w:rPr>
          <w:lang w:val="fr-FR"/>
        </w:rPr>
        <w:t xml:space="preserve">, </w:t>
      </w:r>
      <w:r w:rsidR="00F2064E">
        <w:rPr>
          <w:lang w:val="fr-FR"/>
        </w:rPr>
        <w:t xml:space="preserve">les propositions au </w:t>
      </w:r>
      <w:r w:rsidR="00A03C71" w:rsidRPr="0036557D">
        <w:rPr>
          <w:lang w:val="fr-FR"/>
        </w:rPr>
        <w:t>Regist</w:t>
      </w:r>
      <w:r w:rsidR="00F2064E">
        <w:rPr>
          <w:lang w:val="fr-FR"/>
        </w:rPr>
        <w:t>re des meilleur</w:t>
      </w:r>
      <w:r w:rsidR="00AB1CE6">
        <w:rPr>
          <w:lang w:val="fr-FR"/>
        </w:rPr>
        <w:t>e</w:t>
      </w:r>
      <w:r w:rsidR="00F2064E">
        <w:rPr>
          <w:lang w:val="fr-FR"/>
        </w:rPr>
        <w:t>s pratiques de sauvegarde et les demandes d’a</w:t>
      </w:r>
      <w:r w:rsidR="00A03C71" w:rsidRPr="0036557D">
        <w:rPr>
          <w:lang w:val="fr-FR"/>
        </w:rPr>
        <w:t xml:space="preserve">ssistance </w:t>
      </w:r>
      <w:r w:rsidR="00F2064E" w:rsidRPr="0036557D">
        <w:rPr>
          <w:lang w:val="fr-FR"/>
        </w:rPr>
        <w:t>international</w:t>
      </w:r>
      <w:r w:rsidR="00F2064E">
        <w:rPr>
          <w:lang w:val="fr-FR"/>
        </w:rPr>
        <w:t xml:space="preserve">e ont été soumis par les États parties au </w:t>
      </w:r>
      <w:r w:rsidR="00C77767" w:rsidRPr="0036557D">
        <w:rPr>
          <w:lang w:val="fr-FR"/>
        </w:rPr>
        <w:t>Secrétariat</w:t>
      </w:r>
      <w:r w:rsidR="00F2064E">
        <w:rPr>
          <w:lang w:val="fr-FR"/>
        </w:rPr>
        <w:t xml:space="preserve"> comme suit </w:t>
      </w:r>
      <w:r w:rsidR="00A03C71" w:rsidRPr="0036557D">
        <w:rPr>
          <w:lang w:val="fr-FR"/>
        </w:rPr>
        <w:t>:</w:t>
      </w:r>
    </w:p>
    <w:tbl>
      <w:tblPr>
        <w:tblW w:w="4489" w:type="pct"/>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531"/>
        <w:gridCol w:w="1132"/>
        <w:gridCol w:w="849"/>
        <w:gridCol w:w="1132"/>
      </w:tblGrid>
      <w:tr w:rsidR="00142C90" w:rsidRPr="00695ABD" w14:paraId="1E962582" w14:textId="77777777" w:rsidTr="000A66B6">
        <w:trPr>
          <w:cantSplit/>
          <w:tblHeader/>
        </w:trPr>
        <w:tc>
          <w:tcPr>
            <w:tcW w:w="3199" w:type="pct"/>
            <w:shd w:val="clear" w:color="auto" w:fill="BFBFBF"/>
            <w:noWrap/>
            <w:vAlign w:val="center"/>
          </w:tcPr>
          <w:p w14:paraId="4A75C5A1" w14:textId="1AFC3FF6" w:rsidR="00142C90" w:rsidRPr="00695ABD" w:rsidRDefault="00142C90" w:rsidP="00EE55A0">
            <w:pPr>
              <w:keepNext/>
              <w:spacing w:before="60" w:after="60"/>
              <w:jc w:val="center"/>
              <w:rPr>
                <w:rFonts w:ascii="Arial" w:hAnsi="Arial" w:cs="Arial"/>
                <w:b/>
                <w:bCs/>
                <w:sz w:val="20"/>
                <w:szCs w:val="18"/>
                <w:lang w:eastAsia="en-US" w:bidi="th-TH"/>
              </w:rPr>
            </w:pPr>
          </w:p>
        </w:tc>
        <w:tc>
          <w:tcPr>
            <w:tcW w:w="655" w:type="pct"/>
            <w:shd w:val="clear" w:color="auto" w:fill="BFBFBF"/>
          </w:tcPr>
          <w:p w14:paraId="1C4589AB" w14:textId="7E90F686" w:rsidR="00142C90" w:rsidRPr="00695ABD" w:rsidRDefault="00142C90" w:rsidP="000A66B6">
            <w:pPr>
              <w:keepNext/>
              <w:spacing w:before="60" w:after="60"/>
              <w:jc w:val="center"/>
              <w:rPr>
                <w:rFonts w:ascii="Arial" w:hAnsi="Arial" w:cs="Arial"/>
                <w:b/>
                <w:bCs/>
                <w:sz w:val="20"/>
                <w:szCs w:val="18"/>
                <w:lang w:eastAsia="en-US" w:bidi="th-TH"/>
              </w:rPr>
            </w:pPr>
            <w:r w:rsidRPr="00695ABD">
              <w:rPr>
                <w:rFonts w:ascii="Arial" w:hAnsi="Arial" w:cs="Arial"/>
                <w:b/>
                <w:bCs/>
                <w:sz w:val="20"/>
                <w:szCs w:val="18"/>
                <w:lang w:eastAsia="en-US" w:bidi="th-TH"/>
              </w:rPr>
              <w:t>2014 (à partir de juin 2014</w:t>
            </w:r>
            <w:r w:rsidR="00896BDE" w:rsidRPr="00695ABD">
              <w:rPr>
                <w:rFonts w:ascii="Arial" w:hAnsi="Arial" w:cs="Arial"/>
                <w:b/>
                <w:bCs/>
                <w:sz w:val="20"/>
                <w:szCs w:val="18"/>
                <w:lang w:eastAsia="en-US" w:bidi="th-TH"/>
              </w:rPr>
              <w:t>)</w:t>
            </w:r>
          </w:p>
        </w:tc>
        <w:tc>
          <w:tcPr>
            <w:tcW w:w="491" w:type="pct"/>
            <w:shd w:val="clear" w:color="auto" w:fill="BFBFBF"/>
            <w:noWrap/>
            <w:vAlign w:val="center"/>
          </w:tcPr>
          <w:p w14:paraId="232B9525" w14:textId="6D060D9F" w:rsidR="00142C90" w:rsidRPr="00695ABD" w:rsidRDefault="00142C90" w:rsidP="000A66B6">
            <w:pPr>
              <w:keepNext/>
              <w:spacing w:before="60" w:after="60"/>
              <w:jc w:val="center"/>
              <w:rPr>
                <w:rFonts w:ascii="Arial" w:hAnsi="Arial" w:cs="Arial"/>
                <w:b/>
                <w:bCs/>
                <w:sz w:val="20"/>
                <w:szCs w:val="18"/>
                <w:lang w:eastAsia="en-US" w:bidi="th-TH"/>
              </w:rPr>
            </w:pPr>
            <w:r w:rsidRPr="00695ABD">
              <w:rPr>
                <w:rFonts w:ascii="Arial" w:hAnsi="Arial" w:cs="Arial"/>
                <w:b/>
                <w:bCs/>
                <w:sz w:val="20"/>
                <w:szCs w:val="18"/>
                <w:lang w:eastAsia="en-US" w:bidi="th-TH"/>
              </w:rPr>
              <w:t>2015</w:t>
            </w:r>
          </w:p>
        </w:tc>
        <w:tc>
          <w:tcPr>
            <w:tcW w:w="655" w:type="pct"/>
            <w:shd w:val="clear" w:color="auto" w:fill="auto"/>
            <w:vAlign w:val="center"/>
          </w:tcPr>
          <w:p w14:paraId="5A05763F" w14:textId="0D0932B5" w:rsidR="00142C90" w:rsidRPr="00695ABD" w:rsidRDefault="00142C90" w:rsidP="00EE55A0">
            <w:pPr>
              <w:keepNext/>
              <w:spacing w:before="60" w:after="60"/>
              <w:jc w:val="center"/>
              <w:rPr>
                <w:rFonts w:ascii="Arial" w:hAnsi="Arial" w:cs="Arial"/>
                <w:b/>
                <w:bCs/>
                <w:sz w:val="20"/>
                <w:szCs w:val="18"/>
                <w:lang w:eastAsia="en-US" w:bidi="th-TH"/>
              </w:rPr>
            </w:pPr>
            <w:r w:rsidRPr="00695ABD">
              <w:rPr>
                <w:rFonts w:ascii="Arial" w:hAnsi="Arial" w:cs="Arial"/>
                <w:b/>
                <w:bCs/>
                <w:sz w:val="20"/>
                <w:szCs w:val="18"/>
                <w:lang w:eastAsia="en-US" w:bidi="th-TH"/>
              </w:rPr>
              <w:t>2016</w:t>
            </w:r>
          </w:p>
        </w:tc>
      </w:tr>
      <w:tr w:rsidR="00142C90" w:rsidRPr="00695ABD" w14:paraId="4A8A432F" w14:textId="77777777" w:rsidTr="00695ABD">
        <w:trPr>
          <w:cantSplit/>
        </w:trPr>
        <w:tc>
          <w:tcPr>
            <w:tcW w:w="3199" w:type="pct"/>
            <w:shd w:val="clear" w:color="auto" w:fill="auto"/>
            <w:noWrap/>
            <w:vAlign w:val="center"/>
          </w:tcPr>
          <w:p w14:paraId="01299ECF" w14:textId="77777777" w:rsidR="00142C90" w:rsidRPr="00695ABD" w:rsidRDefault="00142C90" w:rsidP="00EE55A0">
            <w:pPr>
              <w:spacing w:before="60" w:after="60"/>
              <w:rPr>
                <w:rFonts w:ascii="Arial" w:hAnsi="Arial" w:cs="Arial"/>
                <w:sz w:val="20"/>
                <w:szCs w:val="22"/>
                <w:lang w:eastAsia="en-US" w:bidi="th-TH"/>
              </w:rPr>
            </w:pPr>
            <w:r w:rsidRPr="00695ABD">
              <w:rPr>
                <w:rFonts w:ascii="Arial" w:hAnsi="Arial" w:cs="Arial"/>
                <w:sz w:val="20"/>
                <w:szCs w:val="22"/>
                <w:lang w:eastAsia="en-US" w:bidi="th-TH"/>
              </w:rPr>
              <w:t>Liste représentative du patrimoine culturel immatériel de l’humanité</w:t>
            </w:r>
          </w:p>
        </w:tc>
        <w:tc>
          <w:tcPr>
            <w:tcW w:w="655" w:type="pct"/>
            <w:vAlign w:val="center"/>
          </w:tcPr>
          <w:p w14:paraId="6CB4427D" w14:textId="59CEF1FF" w:rsidR="00142C90" w:rsidRPr="00695ABD" w:rsidRDefault="004F4C1D" w:rsidP="00695ABD">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1</w:t>
            </w:r>
          </w:p>
        </w:tc>
        <w:tc>
          <w:tcPr>
            <w:tcW w:w="491" w:type="pct"/>
            <w:shd w:val="clear" w:color="auto" w:fill="auto"/>
            <w:noWrap/>
            <w:vAlign w:val="center"/>
          </w:tcPr>
          <w:p w14:paraId="34BE0F9E" w14:textId="2B26867C"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40</w:t>
            </w:r>
          </w:p>
        </w:tc>
        <w:tc>
          <w:tcPr>
            <w:tcW w:w="655" w:type="pct"/>
            <w:shd w:val="clear" w:color="auto" w:fill="auto"/>
            <w:vAlign w:val="center"/>
          </w:tcPr>
          <w:p w14:paraId="7A69DE83" w14:textId="6B7A0960"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37</w:t>
            </w:r>
          </w:p>
        </w:tc>
      </w:tr>
      <w:tr w:rsidR="00142C90" w:rsidRPr="00695ABD" w14:paraId="2EFE036A" w14:textId="77777777" w:rsidTr="00695ABD">
        <w:trPr>
          <w:cantSplit/>
        </w:trPr>
        <w:tc>
          <w:tcPr>
            <w:tcW w:w="3199" w:type="pct"/>
            <w:shd w:val="clear" w:color="auto" w:fill="auto"/>
            <w:noWrap/>
            <w:vAlign w:val="center"/>
          </w:tcPr>
          <w:p w14:paraId="35404069" w14:textId="53E5C827" w:rsidR="00142C90" w:rsidRPr="00695ABD" w:rsidRDefault="0000013C" w:rsidP="00EE55A0">
            <w:pPr>
              <w:spacing w:before="60" w:after="60"/>
              <w:rPr>
                <w:rFonts w:ascii="Arial" w:hAnsi="Arial" w:cs="Arial"/>
                <w:sz w:val="20"/>
                <w:szCs w:val="22"/>
                <w:lang w:eastAsia="en-US" w:bidi="th-TH"/>
              </w:rPr>
            </w:pPr>
            <w:r w:rsidRPr="00695ABD">
              <w:rPr>
                <w:rFonts w:ascii="Arial" w:hAnsi="Arial" w:cs="Arial"/>
                <w:sz w:val="20"/>
                <w:szCs w:val="22"/>
                <w:lang w:eastAsia="en-US" w:bidi="th-TH"/>
              </w:rPr>
              <w:t>Liste du p</w:t>
            </w:r>
            <w:r w:rsidR="00142C90" w:rsidRPr="00695ABD">
              <w:rPr>
                <w:rFonts w:ascii="Arial" w:hAnsi="Arial" w:cs="Arial"/>
                <w:sz w:val="20"/>
                <w:szCs w:val="22"/>
                <w:lang w:eastAsia="en-US" w:bidi="th-TH"/>
              </w:rPr>
              <w:t>atrimoine culturel immatériel nécessitant une sauvegarde urgente</w:t>
            </w:r>
          </w:p>
        </w:tc>
        <w:tc>
          <w:tcPr>
            <w:tcW w:w="655" w:type="pct"/>
            <w:vAlign w:val="center"/>
          </w:tcPr>
          <w:p w14:paraId="52DB1164" w14:textId="3333EA8F" w:rsidR="008F09BC" w:rsidRPr="00695ABD" w:rsidRDefault="00142C90" w:rsidP="008F09BC">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c>
          <w:tcPr>
            <w:tcW w:w="491" w:type="pct"/>
            <w:shd w:val="clear" w:color="auto" w:fill="auto"/>
            <w:noWrap/>
            <w:vAlign w:val="center"/>
          </w:tcPr>
          <w:p w14:paraId="7CF3C9EB" w14:textId="73B4F8F3"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7</w:t>
            </w:r>
          </w:p>
        </w:tc>
        <w:tc>
          <w:tcPr>
            <w:tcW w:w="655" w:type="pct"/>
            <w:vAlign w:val="center"/>
          </w:tcPr>
          <w:p w14:paraId="2F962B0B" w14:textId="3730A68B"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5</w:t>
            </w:r>
          </w:p>
        </w:tc>
      </w:tr>
      <w:tr w:rsidR="00142C90" w:rsidRPr="00695ABD" w14:paraId="7B9042CD" w14:textId="77777777" w:rsidTr="00695ABD">
        <w:trPr>
          <w:cantSplit/>
        </w:trPr>
        <w:tc>
          <w:tcPr>
            <w:tcW w:w="3199" w:type="pct"/>
            <w:shd w:val="clear" w:color="auto" w:fill="auto"/>
            <w:noWrap/>
            <w:vAlign w:val="center"/>
          </w:tcPr>
          <w:p w14:paraId="28624EAF" w14:textId="5975351E" w:rsidR="00142C90" w:rsidRPr="00695ABD" w:rsidRDefault="00142C90" w:rsidP="00EE55A0">
            <w:pPr>
              <w:spacing w:before="60" w:after="60"/>
              <w:rPr>
                <w:rFonts w:ascii="Arial" w:hAnsi="Arial" w:cs="Arial"/>
                <w:sz w:val="20"/>
                <w:szCs w:val="20"/>
                <w:lang w:eastAsia="en-US" w:bidi="th-TH"/>
              </w:rPr>
            </w:pPr>
            <w:r w:rsidRPr="00695ABD">
              <w:rPr>
                <w:rFonts w:ascii="Arial" w:hAnsi="Arial" w:cs="Arial"/>
                <w:sz w:val="20"/>
                <w:szCs w:val="20"/>
                <w:lang w:eastAsia="en-US" w:bidi="th-TH"/>
              </w:rPr>
              <w:t xml:space="preserve">Demande d’assistance préparatoire pour élaborer une candidature pour inscription sur le </w:t>
            </w:r>
            <w:r w:rsidRPr="00695ABD">
              <w:rPr>
                <w:rFonts w:ascii="Arial" w:hAnsi="Arial" w:cs="Arial"/>
                <w:sz w:val="20"/>
                <w:szCs w:val="20"/>
              </w:rPr>
              <w:t xml:space="preserve">Liste de sauvegarde urgente </w:t>
            </w:r>
          </w:p>
        </w:tc>
        <w:tc>
          <w:tcPr>
            <w:tcW w:w="655" w:type="pct"/>
            <w:vAlign w:val="center"/>
          </w:tcPr>
          <w:p w14:paraId="1095225F" w14:textId="36D02DD8"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c>
          <w:tcPr>
            <w:tcW w:w="491" w:type="pct"/>
            <w:shd w:val="clear" w:color="auto" w:fill="auto"/>
            <w:noWrap/>
            <w:vAlign w:val="center"/>
          </w:tcPr>
          <w:p w14:paraId="5E716AFC" w14:textId="39371108"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1</w:t>
            </w:r>
          </w:p>
        </w:tc>
        <w:tc>
          <w:tcPr>
            <w:tcW w:w="655" w:type="pct"/>
            <w:vAlign w:val="center"/>
          </w:tcPr>
          <w:p w14:paraId="40223677" w14:textId="712A6C01"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r>
      <w:tr w:rsidR="00142C90" w:rsidRPr="00695ABD" w14:paraId="17FFAC5C" w14:textId="77777777" w:rsidTr="00695ABD">
        <w:trPr>
          <w:cantSplit/>
        </w:trPr>
        <w:tc>
          <w:tcPr>
            <w:tcW w:w="3199" w:type="pct"/>
            <w:shd w:val="clear" w:color="auto" w:fill="auto"/>
            <w:noWrap/>
            <w:vAlign w:val="center"/>
          </w:tcPr>
          <w:p w14:paraId="61D5B8BF" w14:textId="30034D26" w:rsidR="00142C90" w:rsidRPr="00695ABD" w:rsidRDefault="00142C90" w:rsidP="00EE55A0">
            <w:pPr>
              <w:spacing w:before="60" w:after="60"/>
              <w:rPr>
                <w:rFonts w:ascii="Arial" w:hAnsi="Arial" w:cs="Arial"/>
                <w:sz w:val="20"/>
                <w:szCs w:val="22"/>
                <w:lang w:eastAsia="en-US" w:bidi="th-TH"/>
              </w:rPr>
            </w:pPr>
            <w:r w:rsidRPr="00695ABD">
              <w:rPr>
                <w:rFonts w:ascii="Arial" w:hAnsi="Arial" w:cs="Arial"/>
                <w:sz w:val="20"/>
                <w:szCs w:val="22"/>
                <w:lang w:eastAsia="en-US" w:bidi="th-TH"/>
              </w:rPr>
              <w:t>Candidature sur la Liste du patrimoine culturel immatériel nécessitant une sauvegarde urgente associée à une demande d’assistance internationale</w:t>
            </w:r>
          </w:p>
        </w:tc>
        <w:tc>
          <w:tcPr>
            <w:tcW w:w="655" w:type="pct"/>
            <w:vAlign w:val="center"/>
          </w:tcPr>
          <w:p w14:paraId="7150D8F3" w14:textId="6B7B85FE"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c>
          <w:tcPr>
            <w:tcW w:w="491" w:type="pct"/>
            <w:shd w:val="clear" w:color="auto" w:fill="auto"/>
            <w:noWrap/>
            <w:vAlign w:val="center"/>
          </w:tcPr>
          <w:p w14:paraId="5F1D5CEA" w14:textId="4A1AE72D"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1</w:t>
            </w:r>
          </w:p>
        </w:tc>
        <w:tc>
          <w:tcPr>
            <w:tcW w:w="655" w:type="pct"/>
            <w:vAlign w:val="center"/>
          </w:tcPr>
          <w:p w14:paraId="04825B92" w14:textId="037E4A71"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r>
      <w:tr w:rsidR="00142C90" w:rsidRPr="00695ABD" w14:paraId="33762F02" w14:textId="77777777" w:rsidTr="00695ABD">
        <w:trPr>
          <w:cantSplit/>
        </w:trPr>
        <w:tc>
          <w:tcPr>
            <w:tcW w:w="3199" w:type="pct"/>
            <w:shd w:val="clear" w:color="auto" w:fill="auto"/>
            <w:noWrap/>
            <w:vAlign w:val="center"/>
          </w:tcPr>
          <w:p w14:paraId="4684015D" w14:textId="77777777" w:rsidR="00142C90" w:rsidRPr="00695ABD" w:rsidRDefault="00142C90" w:rsidP="00EE55A0">
            <w:pPr>
              <w:spacing w:before="60" w:after="60"/>
              <w:rPr>
                <w:rFonts w:ascii="Arial" w:hAnsi="Arial" w:cs="Arial"/>
                <w:sz w:val="20"/>
                <w:szCs w:val="22"/>
                <w:lang w:eastAsia="en-US" w:bidi="th-TH"/>
              </w:rPr>
            </w:pPr>
            <w:r w:rsidRPr="00695ABD">
              <w:rPr>
                <w:rFonts w:ascii="Arial" w:hAnsi="Arial" w:cs="Arial"/>
                <w:sz w:val="20"/>
                <w:szCs w:val="22"/>
                <w:lang w:eastAsia="en-US" w:bidi="th-TH"/>
              </w:rPr>
              <w:t>Registre des meilleures pratiques de sauvegarde</w:t>
            </w:r>
          </w:p>
        </w:tc>
        <w:tc>
          <w:tcPr>
            <w:tcW w:w="655" w:type="pct"/>
            <w:vAlign w:val="center"/>
          </w:tcPr>
          <w:p w14:paraId="1FBDD182" w14:textId="7CD048E5"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c>
          <w:tcPr>
            <w:tcW w:w="491" w:type="pct"/>
            <w:shd w:val="clear" w:color="auto" w:fill="auto"/>
            <w:noWrap/>
            <w:vAlign w:val="center"/>
          </w:tcPr>
          <w:p w14:paraId="5135329D" w14:textId="405DEF33"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6</w:t>
            </w:r>
          </w:p>
        </w:tc>
        <w:tc>
          <w:tcPr>
            <w:tcW w:w="655" w:type="pct"/>
            <w:vAlign w:val="center"/>
          </w:tcPr>
          <w:p w14:paraId="00E3851C" w14:textId="0C554A2C"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1</w:t>
            </w:r>
          </w:p>
        </w:tc>
      </w:tr>
      <w:tr w:rsidR="00142C90" w:rsidRPr="00695ABD" w14:paraId="66B7D4BC" w14:textId="77777777" w:rsidTr="00695ABD">
        <w:trPr>
          <w:cantSplit/>
        </w:trPr>
        <w:tc>
          <w:tcPr>
            <w:tcW w:w="3199" w:type="pct"/>
            <w:shd w:val="clear" w:color="auto" w:fill="auto"/>
            <w:noWrap/>
            <w:vAlign w:val="center"/>
          </w:tcPr>
          <w:p w14:paraId="57F61D2B" w14:textId="781AC803" w:rsidR="00142C90" w:rsidRPr="00695ABD" w:rsidRDefault="00142C90" w:rsidP="00EE55A0">
            <w:pPr>
              <w:spacing w:before="60" w:after="60"/>
              <w:rPr>
                <w:rFonts w:ascii="Arial" w:hAnsi="Arial" w:cs="Arial"/>
                <w:sz w:val="20"/>
                <w:szCs w:val="22"/>
                <w:lang w:eastAsia="en-US" w:bidi="th-TH"/>
              </w:rPr>
            </w:pPr>
            <w:r w:rsidRPr="00695ABD">
              <w:rPr>
                <w:rFonts w:ascii="Arial" w:hAnsi="Arial" w:cs="Arial"/>
                <w:sz w:val="20"/>
                <w:szCs w:val="22"/>
                <w:lang w:eastAsia="en-US" w:bidi="th-TH"/>
              </w:rPr>
              <w:t xml:space="preserve">Assistance internationale </w:t>
            </w:r>
            <w:r w:rsidRPr="00695ABD">
              <w:rPr>
                <w:rFonts w:ascii="Arial" w:hAnsi="Arial" w:cs="Arial"/>
                <w:sz w:val="20"/>
                <w:szCs w:val="22"/>
                <w:lang w:eastAsia="en-US" w:bidi="th-TH"/>
              </w:rPr>
              <w:br/>
              <w:t>(demandes supérieures à 25 000 dollars des États-Unis)</w:t>
            </w:r>
          </w:p>
        </w:tc>
        <w:tc>
          <w:tcPr>
            <w:tcW w:w="655" w:type="pct"/>
            <w:vAlign w:val="center"/>
          </w:tcPr>
          <w:p w14:paraId="3C41ABB5" w14:textId="5D89817C"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c>
          <w:tcPr>
            <w:tcW w:w="491" w:type="pct"/>
            <w:shd w:val="clear" w:color="auto" w:fill="auto"/>
            <w:noWrap/>
            <w:vAlign w:val="center"/>
          </w:tcPr>
          <w:p w14:paraId="17C9DDDE" w14:textId="43AAF2D4"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3</w:t>
            </w:r>
          </w:p>
        </w:tc>
        <w:tc>
          <w:tcPr>
            <w:tcW w:w="655" w:type="pct"/>
            <w:vAlign w:val="center"/>
          </w:tcPr>
          <w:p w14:paraId="36514459" w14:textId="7FA1B53E"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2</w:t>
            </w:r>
          </w:p>
        </w:tc>
      </w:tr>
      <w:tr w:rsidR="00142C90" w:rsidRPr="00695ABD" w14:paraId="5F55FC9B" w14:textId="77777777" w:rsidTr="00695ABD">
        <w:trPr>
          <w:cantSplit/>
        </w:trPr>
        <w:tc>
          <w:tcPr>
            <w:tcW w:w="3199" w:type="pct"/>
            <w:shd w:val="clear" w:color="auto" w:fill="auto"/>
            <w:noWrap/>
            <w:vAlign w:val="center"/>
          </w:tcPr>
          <w:p w14:paraId="3569184C" w14:textId="77777777" w:rsidR="00142C90" w:rsidRPr="00695ABD" w:rsidRDefault="00142C90" w:rsidP="00EE55A0">
            <w:pPr>
              <w:spacing w:before="60" w:after="60"/>
              <w:rPr>
                <w:rFonts w:ascii="Arial" w:hAnsi="Arial" w:cs="Arial"/>
                <w:sz w:val="20"/>
                <w:szCs w:val="22"/>
                <w:lang w:eastAsia="en-US" w:bidi="th-TH"/>
              </w:rPr>
            </w:pPr>
            <w:r w:rsidRPr="00695ABD">
              <w:rPr>
                <w:rFonts w:ascii="Arial" w:hAnsi="Arial" w:cs="Arial"/>
                <w:sz w:val="20"/>
                <w:szCs w:val="22"/>
                <w:lang w:eastAsia="en-US" w:bidi="th-TH"/>
              </w:rPr>
              <w:t>Assistance internationale (demandes jusqu’à 25 000 dollars des États-Unis)</w:t>
            </w:r>
          </w:p>
        </w:tc>
        <w:tc>
          <w:tcPr>
            <w:tcW w:w="655" w:type="pct"/>
            <w:vAlign w:val="center"/>
          </w:tcPr>
          <w:p w14:paraId="47CC2C9F" w14:textId="1B15A9FC"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-3</w:t>
            </w:r>
          </w:p>
        </w:tc>
        <w:tc>
          <w:tcPr>
            <w:tcW w:w="491" w:type="pct"/>
            <w:shd w:val="clear" w:color="auto" w:fill="auto"/>
            <w:noWrap/>
            <w:vAlign w:val="center"/>
          </w:tcPr>
          <w:p w14:paraId="1BD5F9F2" w14:textId="6343426C"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14</w:t>
            </w:r>
          </w:p>
        </w:tc>
        <w:tc>
          <w:tcPr>
            <w:tcW w:w="655" w:type="pct"/>
            <w:vAlign w:val="center"/>
          </w:tcPr>
          <w:p w14:paraId="7AE286B0" w14:textId="1AB1339C" w:rsidR="00142C90" w:rsidRPr="00695ABD" w:rsidRDefault="004F4C1D"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2</w:t>
            </w:r>
          </w:p>
        </w:tc>
      </w:tr>
      <w:tr w:rsidR="00142C90" w:rsidRPr="0036557D" w14:paraId="400DD573" w14:textId="77777777" w:rsidTr="00695ABD">
        <w:trPr>
          <w:cantSplit/>
        </w:trPr>
        <w:tc>
          <w:tcPr>
            <w:tcW w:w="3199" w:type="pct"/>
            <w:shd w:val="clear" w:color="auto" w:fill="auto"/>
            <w:noWrap/>
            <w:vAlign w:val="center"/>
          </w:tcPr>
          <w:p w14:paraId="00C8AB17" w14:textId="77777777" w:rsidR="00142C90" w:rsidRPr="00695ABD" w:rsidRDefault="00142C90" w:rsidP="00EE55A0">
            <w:pPr>
              <w:spacing w:before="60" w:after="60"/>
              <w:rPr>
                <w:rFonts w:ascii="Arial" w:hAnsi="Arial" w:cs="Arial"/>
                <w:sz w:val="20"/>
                <w:szCs w:val="22"/>
                <w:lang w:eastAsia="en-US" w:bidi="th-TH"/>
              </w:rPr>
            </w:pPr>
            <w:r w:rsidRPr="00695ABD">
              <w:rPr>
                <w:rFonts w:ascii="Arial" w:hAnsi="Arial" w:cs="Arial"/>
                <w:sz w:val="20"/>
                <w:szCs w:val="22"/>
                <w:lang w:eastAsia="en-US" w:bidi="th-TH"/>
              </w:rPr>
              <w:t>Demandes urgentes</w:t>
            </w:r>
          </w:p>
        </w:tc>
        <w:tc>
          <w:tcPr>
            <w:tcW w:w="655" w:type="pct"/>
            <w:vAlign w:val="center"/>
          </w:tcPr>
          <w:p w14:paraId="5B7BCD42" w14:textId="5676FA3C"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c>
          <w:tcPr>
            <w:tcW w:w="491" w:type="pct"/>
            <w:shd w:val="clear" w:color="auto" w:fill="auto"/>
            <w:noWrap/>
            <w:vAlign w:val="center"/>
          </w:tcPr>
          <w:p w14:paraId="2D585099" w14:textId="7ED8BA9B"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1</w:t>
            </w:r>
          </w:p>
        </w:tc>
        <w:tc>
          <w:tcPr>
            <w:tcW w:w="655" w:type="pct"/>
            <w:vAlign w:val="center"/>
          </w:tcPr>
          <w:p w14:paraId="3018BCC0" w14:textId="33C88977" w:rsidR="00142C90" w:rsidRPr="00695ABD" w:rsidRDefault="00142C90" w:rsidP="00EE55A0">
            <w:pPr>
              <w:spacing w:before="60" w:after="60"/>
              <w:jc w:val="center"/>
              <w:rPr>
                <w:rFonts w:ascii="Arial" w:hAnsi="Arial" w:cs="Arial"/>
                <w:sz w:val="20"/>
                <w:szCs w:val="22"/>
                <w:lang w:eastAsia="en-US" w:bidi="th-TH"/>
              </w:rPr>
            </w:pPr>
            <w:r w:rsidRPr="00695ABD">
              <w:rPr>
                <w:rFonts w:ascii="Arial" w:hAnsi="Arial" w:cs="Arial"/>
                <w:sz w:val="20"/>
                <w:szCs w:val="22"/>
                <w:lang w:eastAsia="en-US" w:bidi="th-TH"/>
              </w:rPr>
              <w:t>-</w:t>
            </w:r>
          </w:p>
        </w:tc>
      </w:tr>
    </w:tbl>
    <w:p w14:paraId="5612C6C7" w14:textId="1C64A793" w:rsidR="00A03C71" w:rsidRPr="0036557D" w:rsidRDefault="00343B22" w:rsidP="00EE55A0">
      <w:pPr>
        <w:pStyle w:val="COMPara"/>
        <w:spacing w:before="240"/>
        <w:ind w:left="567" w:firstLine="0"/>
        <w:jc w:val="both"/>
        <w:rPr>
          <w:lang w:val="fr-FR"/>
        </w:rPr>
      </w:pPr>
      <w:r>
        <w:rPr>
          <w:lang w:val="fr-FR"/>
        </w:rPr>
        <w:t>Tous ces dossiers ont été ou sont traité</w:t>
      </w:r>
      <w:r w:rsidR="00AB1CE6">
        <w:rPr>
          <w:lang w:val="fr-FR"/>
        </w:rPr>
        <w:t>s</w:t>
      </w:r>
      <w:r>
        <w:rPr>
          <w:lang w:val="fr-FR"/>
        </w:rPr>
        <w:t xml:space="preserve"> par le </w:t>
      </w:r>
      <w:r w:rsidR="00C77767" w:rsidRPr="0036557D">
        <w:rPr>
          <w:lang w:val="fr-FR"/>
        </w:rPr>
        <w:t>Secrétariat</w:t>
      </w:r>
      <w:r w:rsidR="002243E8">
        <w:rPr>
          <w:lang w:val="fr-FR"/>
        </w:rPr>
        <w:t>.</w:t>
      </w:r>
    </w:p>
    <w:p w14:paraId="2960A9B8" w14:textId="62FCCA30" w:rsidR="00A03C71" w:rsidRDefault="00343B22" w:rsidP="00A03C71">
      <w:pPr>
        <w:pStyle w:val="COMPara"/>
        <w:numPr>
          <w:ilvl w:val="0"/>
          <w:numId w:val="9"/>
        </w:numPr>
        <w:ind w:left="567" w:hanging="567"/>
        <w:jc w:val="both"/>
        <w:rPr>
          <w:lang w:val="fr-FR"/>
        </w:rPr>
      </w:pPr>
      <w:r>
        <w:rPr>
          <w:lang w:val="fr-FR"/>
        </w:rPr>
        <w:t xml:space="preserve">La répartition </w:t>
      </w:r>
      <w:r w:rsidRPr="0036557D">
        <w:rPr>
          <w:lang w:val="fr-FR"/>
        </w:rPr>
        <w:t>géographique</w:t>
      </w:r>
      <w:r w:rsidR="00A03C71" w:rsidRPr="0036557D">
        <w:rPr>
          <w:lang w:val="fr-FR"/>
        </w:rPr>
        <w:t xml:space="preserve"> </w:t>
      </w:r>
      <w:r>
        <w:rPr>
          <w:lang w:val="fr-FR"/>
        </w:rPr>
        <w:t xml:space="preserve">des </w:t>
      </w:r>
      <w:r w:rsidR="0026168A">
        <w:rPr>
          <w:lang w:val="fr-FR"/>
        </w:rPr>
        <w:t>124</w:t>
      </w:r>
      <w:r>
        <w:rPr>
          <w:lang w:val="fr-FR"/>
        </w:rPr>
        <w:t> dossiers soumis</w:t>
      </w:r>
      <w:r w:rsidR="00535B30">
        <w:rPr>
          <w:rStyle w:val="FootnoteReference"/>
          <w:lang w:val="fr-FR"/>
        </w:rPr>
        <w:footnoteReference w:id="4"/>
      </w:r>
      <w:r>
        <w:rPr>
          <w:lang w:val="fr-FR"/>
        </w:rPr>
        <w:t xml:space="preserve"> au </w:t>
      </w:r>
      <w:r w:rsidR="00C77767" w:rsidRPr="0036557D">
        <w:rPr>
          <w:lang w:val="fr-FR"/>
        </w:rPr>
        <w:t>Secrétariat</w:t>
      </w:r>
      <w:r w:rsidR="00A03C71" w:rsidRPr="0036557D">
        <w:rPr>
          <w:lang w:val="fr-FR"/>
        </w:rPr>
        <w:t xml:space="preserve"> </w:t>
      </w:r>
      <w:r>
        <w:rPr>
          <w:lang w:val="fr-FR"/>
        </w:rPr>
        <w:t xml:space="preserve">pendant la </w:t>
      </w:r>
      <w:r w:rsidR="000C694D" w:rsidRPr="0036557D">
        <w:rPr>
          <w:lang w:val="fr-FR"/>
        </w:rPr>
        <w:t xml:space="preserve">période </w:t>
      </w:r>
      <w:r w:rsidR="00C30076">
        <w:rPr>
          <w:lang w:val="fr-FR"/>
        </w:rPr>
        <w:t xml:space="preserve">considérée </w:t>
      </w:r>
      <w:r>
        <w:rPr>
          <w:lang w:val="fr-FR"/>
        </w:rPr>
        <w:t xml:space="preserve">témoigne de la </w:t>
      </w:r>
      <w:r w:rsidR="00A03C71" w:rsidRPr="0036557D">
        <w:rPr>
          <w:lang w:val="fr-FR"/>
        </w:rPr>
        <w:t xml:space="preserve">participation </w:t>
      </w:r>
      <w:r>
        <w:rPr>
          <w:lang w:val="fr-FR"/>
        </w:rPr>
        <w:t xml:space="preserve">des </w:t>
      </w:r>
      <w:r w:rsidR="00A03C71" w:rsidRPr="0036557D">
        <w:rPr>
          <w:lang w:val="fr-FR"/>
        </w:rPr>
        <w:t xml:space="preserve">six </w:t>
      </w:r>
      <w:r>
        <w:rPr>
          <w:lang w:val="fr-FR"/>
        </w:rPr>
        <w:t xml:space="preserve">groupes </w:t>
      </w:r>
      <w:r w:rsidR="00A03C71" w:rsidRPr="0036557D">
        <w:rPr>
          <w:lang w:val="fr-FR"/>
        </w:rPr>
        <w:t>r</w:t>
      </w:r>
      <w:r>
        <w:rPr>
          <w:lang w:val="fr-FR"/>
        </w:rPr>
        <w:t>é</w:t>
      </w:r>
      <w:r w:rsidR="00A03C71" w:rsidRPr="0036557D">
        <w:rPr>
          <w:lang w:val="fr-FR"/>
        </w:rPr>
        <w:t>giona</w:t>
      </w:r>
      <w:r>
        <w:rPr>
          <w:lang w:val="fr-FR"/>
        </w:rPr>
        <w:t xml:space="preserve">ux aux mécanismes </w:t>
      </w:r>
      <w:r w:rsidR="00A03C71" w:rsidRPr="0036557D">
        <w:rPr>
          <w:lang w:val="fr-FR"/>
        </w:rPr>
        <w:t>internationa</w:t>
      </w:r>
      <w:r>
        <w:rPr>
          <w:lang w:val="fr-FR"/>
        </w:rPr>
        <w:t xml:space="preserve">ux établis par la </w:t>
      </w:r>
      <w:r w:rsidR="00A03C71" w:rsidRPr="0036557D">
        <w:rPr>
          <w:lang w:val="fr-FR"/>
        </w:rPr>
        <w:t>Convention</w:t>
      </w:r>
      <w:r>
        <w:rPr>
          <w:lang w:val="fr-FR"/>
        </w:rPr>
        <w:t xml:space="preserve"> comme suit </w:t>
      </w:r>
      <w:r w:rsidR="00A03C71" w:rsidRPr="0036557D">
        <w:rPr>
          <w:lang w:val="fr-FR"/>
        </w:rPr>
        <w:t>:</w:t>
      </w:r>
    </w:p>
    <w:p w14:paraId="3C17FBF4" w14:textId="77777777" w:rsidR="002243E8" w:rsidRPr="0036557D" w:rsidRDefault="002243E8" w:rsidP="002243E8">
      <w:pPr>
        <w:pStyle w:val="COMPara"/>
        <w:jc w:val="both"/>
        <w:rPr>
          <w:lang w:val="fr-FR"/>
        </w:rPr>
      </w:pPr>
    </w:p>
    <w:p w14:paraId="7C5BC11F" w14:textId="027F0007" w:rsidR="00A03C71" w:rsidRPr="0036557D" w:rsidRDefault="002243E8" w:rsidP="00ED79A6">
      <w:pPr>
        <w:pStyle w:val="COMPara"/>
        <w:ind w:left="709" w:firstLine="0"/>
        <w:jc w:val="both"/>
        <w:rPr>
          <w:lang w:val="fr-FR"/>
        </w:rPr>
      </w:pPr>
      <w:r w:rsidRPr="007C6F2C">
        <w:rPr>
          <w:noProof/>
          <w:snapToGrid/>
          <w:lang w:val="fr-FR" w:eastAsia="fr-FR"/>
        </w:rPr>
        <w:drawing>
          <wp:inline distT="0" distB="0" distL="0" distR="0" wp14:anchorId="7911F6D0" wp14:editId="7601F9B9">
            <wp:extent cx="5791200" cy="28575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E39829E" w14:textId="6C4BFF1A" w:rsidR="00535B30" w:rsidRDefault="00535B30" w:rsidP="00A03C71">
      <w:pPr>
        <w:pStyle w:val="COMPara"/>
        <w:numPr>
          <w:ilvl w:val="0"/>
          <w:numId w:val="9"/>
        </w:numPr>
        <w:ind w:left="567" w:hanging="567"/>
        <w:jc w:val="both"/>
        <w:rPr>
          <w:lang w:val="fr-FR"/>
        </w:rPr>
      </w:pPr>
      <w:r>
        <w:rPr>
          <w:lang w:val="fr-FR"/>
        </w:rPr>
        <w:t>Pend</w:t>
      </w:r>
      <w:r w:rsidR="00006888">
        <w:rPr>
          <w:lang w:val="fr-FR"/>
        </w:rPr>
        <w:t xml:space="preserve">ant la période </w:t>
      </w:r>
      <w:r w:rsidR="00C30076">
        <w:rPr>
          <w:lang w:val="fr-FR"/>
        </w:rPr>
        <w:t>considérée</w:t>
      </w:r>
      <w:r>
        <w:rPr>
          <w:lang w:val="fr-FR"/>
        </w:rPr>
        <w:t xml:space="preserve">, un total de </w:t>
      </w:r>
      <w:r w:rsidR="0088309F">
        <w:rPr>
          <w:lang w:val="fr-FR"/>
        </w:rPr>
        <w:t>20</w:t>
      </w:r>
      <w:r>
        <w:rPr>
          <w:lang w:val="fr-FR"/>
        </w:rPr>
        <w:t xml:space="preserve"> demandes d’assistance internationale a été examiné par le Comité intergouvernemental et</w:t>
      </w:r>
      <w:r w:rsidR="0088309F">
        <w:rPr>
          <w:lang w:val="fr-FR"/>
        </w:rPr>
        <w:t xml:space="preserve"> le Bureau lors des huitième, </w:t>
      </w:r>
      <w:r>
        <w:rPr>
          <w:lang w:val="fr-FR"/>
        </w:rPr>
        <w:t xml:space="preserve">neuvième </w:t>
      </w:r>
      <w:r w:rsidR="0088309F">
        <w:rPr>
          <w:lang w:val="fr-FR"/>
        </w:rPr>
        <w:t xml:space="preserve">et dixième </w:t>
      </w:r>
      <w:r>
        <w:rPr>
          <w:lang w:val="fr-FR"/>
        </w:rPr>
        <w:t xml:space="preserve">sessions du Comité. Comme demandé précédemment par le Bureau, le Secrétariat a évalué chacune de ces demandes devant être examinée par le Bureau et préparé une recommandation qui a été alors soumise au Bureau pour examen. </w:t>
      </w:r>
      <w:r w:rsidR="000A66B6">
        <w:rPr>
          <w:lang w:val="fr-FR"/>
        </w:rPr>
        <w:t>Quinze</w:t>
      </w:r>
      <w:r>
        <w:rPr>
          <w:lang w:val="fr-FR"/>
        </w:rPr>
        <w:t xml:space="preserve"> de ces demandes ont été approuvées comme suit :</w:t>
      </w:r>
    </w:p>
    <w:tbl>
      <w:tblPr>
        <w:tblW w:w="4796"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18"/>
        <w:gridCol w:w="1559"/>
        <w:gridCol w:w="1561"/>
        <w:gridCol w:w="1697"/>
      </w:tblGrid>
      <w:tr w:rsidR="006C78EF" w:rsidRPr="002355E1" w14:paraId="21753082" w14:textId="367D70A3" w:rsidTr="006C78EF">
        <w:trPr>
          <w:cantSplit/>
          <w:tblHeader/>
        </w:trPr>
        <w:tc>
          <w:tcPr>
            <w:tcW w:w="2392" w:type="pct"/>
            <w:shd w:val="clear" w:color="auto" w:fill="BFBFBF"/>
            <w:noWrap/>
            <w:vAlign w:val="center"/>
          </w:tcPr>
          <w:p w14:paraId="531C5C67" w14:textId="77777777" w:rsidR="006C78EF" w:rsidRPr="00F41D50" w:rsidRDefault="006C78EF" w:rsidP="00EE55A0">
            <w:pPr>
              <w:keepNext/>
              <w:spacing w:before="60" w:after="60"/>
              <w:rPr>
                <w:rFonts w:ascii="Arial" w:hAnsi="Arial" w:cs="Arial"/>
                <w:b/>
                <w:bCs/>
                <w:sz w:val="20"/>
                <w:szCs w:val="18"/>
                <w:highlight w:val="yellow"/>
                <w:lang w:val="en-GB" w:eastAsia="en-US" w:bidi="th-TH"/>
              </w:rPr>
            </w:pPr>
          </w:p>
        </w:tc>
        <w:tc>
          <w:tcPr>
            <w:tcW w:w="844" w:type="pct"/>
            <w:shd w:val="clear" w:color="auto" w:fill="BFBFBF"/>
            <w:noWrap/>
            <w:vAlign w:val="center"/>
          </w:tcPr>
          <w:p w14:paraId="0211CAD8" w14:textId="211DFF7C" w:rsidR="006C78EF" w:rsidRPr="00F41D50" w:rsidRDefault="006C78EF" w:rsidP="00EE55A0">
            <w:pPr>
              <w:keepNext/>
              <w:spacing w:before="60" w:after="60"/>
              <w:jc w:val="center"/>
              <w:rPr>
                <w:rFonts w:ascii="Arial" w:hAnsi="Arial" w:cs="Arial"/>
                <w:b/>
                <w:bCs/>
                <w:sz w:val="20"/>
                <w:szCs w:val="18"/>
                <w:highlight w:val="yellow"/>
                <w:lang w:val="en-GB" w:eastAsia="en-US" w:bidi="th-TH"/>
              </w:rPr>
            </w:pPr>
            <w:r>
              <w:rPr>
                <w:rFonts w:ascii="Arial" w:hAnsi="Arial" w:cs="Arial"/>
                <w:b/>
                <w:bCs/>
                <w:sz w:val="20"/>
                <w:szCs w:val="18"/>
                <w:lang w:val="en-GB" w:eastAsia="en-US" w:bidi="th-TH"/>
              </w:rPr>
              <w:t>2014</w:t>
            </w:r>
          </w:p>
        </w:tc>
        <w:tc>
          <w:tcPr>
            <w:tcW w:w="845" w:type="pct"/>
            <w:shd w:val="clear" w:color="auto" w:fill="BFBFBF"/>
            <w:vAlign w:val="center"/>
          </w:tcPr>
          <w:p w14:paraId="7F9F6867" w14:textId="16DEF9FD" w:rsidR="006C78EF" w:rsidRPr="00F41D50" w:rsidRDefault="006C78EF" w:rsidP="00EE55A0">
            <w:pPr>
              <w:keepNext/>
              <w:spacing w:before="60" w:after="60"/>
              <w:jc w:val="center"/>
              <w:rPr>
                <w:rFonts w:ascii="Arial" w:hAnsi="Arial" w:cs="Arial"/>
                <w:b/>
                <w:bCs/>
                <w:sz w:val="20"/>
                <w:szCs w:val="18"/>
                <w:highlight w:val="yellow"/>
                <w:lang w:val="en-GB" w:eastAsia="en-US" w:bidi="th-TH"/>
              </w:rPr>
            </w:pPr>
            <w:r>
              <w:rPr>
                <w:rFonts w:ascii="Arial" w:hAnsi="Arial" w:cs="Arial"/>
                <w:b/>
                <w:bCs/>
                <w:sz w:val="20"/>
                <w:szCs w:val="18"/>
                <w:lang w:val="en-GB" w:eastAsia="en-US" w:bidi="th-TH"/>
              </w:rPr>
              <w:t>2015</w:t>
            </w:r>
          </w:p>
        </w:tc>
        <w:tc>
          <w:tcPr>
            <w:tcW w:w="920" w:type="pct"/>
            <w:shd w:val="clear" w:color="auto" w:fill="BFBFBF"/>
          </w:tcPr>
          <w:p w14:paraId="0556FC61" w14:textId="6457DC22" w:rsidR="006C78EF" w:rsidRDefault="006C78EF" w:rsidP="00EE55A0">
            <w:pPr>
              <w:keepNext/>
              <w:spacing w:before="60" w:after="60"/>
              <w:jc w:val="center"/>
              <w:rPr>
                <w:rFonts w:ascii="Arial" w:hAnsi="Arial" w:cs="Arial"/>
                <w:b/>
                <w:bCs/>
                <w:sz w:val="20"/>
                <w:szCs w:val="18"/>
                <w:lang w:val="en-GB" w:eastAsia="en-US" w:bidi="th-TH"/>
              </w:rPr>
            </w:pPr>
            <w:r>
              <w:rPr>
                <w:rFonts w:ascii="Arial" w:hAnsi="Arial" w:cs="Arial"/>
                <w:b/>
                <w:bCs/>
                <w:sz w:val="20"/>
                <w:szCs w:val="18"/>
                <w:lang w:val="en-GB" w:eastAsia="en-US" w:bidi="th-TH"/>
              </w:rPr>
              <w:t>2016</w:t>
            </w:r>
          </w:p>
        </w:tc>
      </w:tr>
      <w:tr w:rsidR="006C78EF" w:rsidRPr="00BC7703" w14:paraId="47E842E7" w14:textId="751CBC93" w:rsidTr="00C357B0">
        <w:trPr>
          <w:cantSplit/>
        </w:trPr>
        <w:tc>
          <w:tcPr>
            <w:tcW w:w="2392" w:type="pct"/>
            <w:shd w:val="clear" w:color="auto" w:fill="auto"/>
            <w:noWrap/>
            <w:vAlign w:val="center"/>
          </w:tcPr>
          <w:p w14:paraId="27D2A3CD" w14:textId="1FE6D1BA" w:rsidR="006C78EF" w:rsidRPr="00EE55A0" w:rsidRDefault="006C78EF" w:rsidP="00EE55A0">
            <w:pPr>
              <w:spacing w:before="60" w:after="60"/>
              <w:rPr>
                <w:rFonts w:ascii="Arial" w:hAnsi="Arial" w:cs="Arial"/>
                <w:sz w:val="20"/>
                <w:szCs w:val="22"/>
                <w:lang w:eastAsia="en-US" w:bidi="th-TH"/>
              </w:rPr>
            </w:pPr>
            <w:r>
              <w:rPr>
                <w:rFonts w:ascii="Arial" w:hAnsi="Arial" w:cs="Arial"/>
                <w:sz w:val="20"/>
                <w:szCs w:val="20"/>
                <w:lang w:eastAsia="en-US" w:bidi="th-TH"/>
              </w:rPr>
              <w:t>A</w:t>
            </w:r>
            <w:r w:rsidRPr="00950FCC">
              <w:rPr>
                <w:rFonts w:ascii="Arial" w:hAnsi="Arial" w:cs="Arial"/>
                <w:sz w:val="20"/>
                <w:szCs w:val="20"/>
                <w:lang w:eastAsia="en-US" w:bidi="th-TH"/>
              </w:rPr>
              <w:t xml:space="preserve">ssistance préparatoire pour </w:t>
            </w:r>
            <w:r>
              <w:rPr>
                <w:rFonts w:ascii="Arial" w:hAnsi="Arial" w:cs="Arial"/>
                <w:sz w:val="20"/>
                <w:szCs w:val="20"/>
                <w:lang w:eastAsia="en-US" w:bidi="th-TH"/>
              </w:rPr>
              <w:t xml:space="preserve">élaborer </w:t>
            </w:r>
            <w:r w:rsidRPr="00950FCC">
              <w:rPr>
                <w:rFonts w:ascii="Arial" w:hAnsi="Arial" w:cs="Arial"/>
                <w:sz w:val="20"/>
                <w:szCs w:val="20"/>
                <w:lang w:eastAsia="en-US" w:bidi="th-TH"/>
              </w:rPr>
              <w:t>une can</w:t>
            </w:r>
            <w:r>
              <w:rPr>
                <w:rFonts w:ascii="Arial" w:hAnsi="Arial" w:cs="Arial"/>
                <w:sz w:val="20"/>
                <w:szCs w:val="20"/>
                <w:lang w:eastAsia="en-US" w:bidi="th-TH"/>
              </w:rPr>
              <w:t>didature pour inscription sur la</w:t>
            </w:r>
            <w:r w:rsidRPr="00950FCC">
              <w:rPr>
                <w:rFonts w:ascii="Arial" w:hAnsi="Arial" w:cs="Arial"/>
                <w:sz w:val="20"/>
                <w:szCs w:val="20"/>
                <w:lang w:eastAsia="en-US" w:bidi="th-TH"/>
              </w:rPr>
              <w:t xml:space="preserve"> </w:t>
            </w:r>
            <w:r w:rsidRPr="00AA131B">
              <w:rPr>
                <w:rFonts w:ascii="Arial" w:hAnsi="Arial" w:cs="Arial"/>
                <w:sz w:val="20"/>
                <w:szCs w:val="20"/>
              </w:rPr>
              <w:t>Liste de sauvegarde urgente</w:t>
            </w:r>
          </w:p>
        </w:tc>
        <w:tc>
          <w:tcPr>
            <w:tcW w:w="844" w:type="pct"/>
            <w:shd w:val="clear" w:color="auto" w:fill="auto"/>
            <w:noWrap/>
            <w:vAlign w:val="center"/>
          </w:tcPr>
          <w:p w14:paraId="56E2A844" w14:textId="155D0DE2" w:rsidR="006C78EF" w:rsidRDefault="006C78EF" w:rsidP="006C78EF">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r>
              <w:rPr>
                <w:rStyle w:val="FootnoteReference"/>
                <w:rFonts w:ascii="Arial" w:hAnsi="Arial" w:cs="Arial"/>
                <w:sz w:val="20"/>
                <w:szCs w:val="22"/>
                <w:lang w:val="en-GB" w:eastAsia="en-US" w:bidi="th-TH"/>
              </w:rPr>
              <w:footnoteReference w:id="5"/>
            </w:r>
          </w:p>
        </w:tc>
        <w:tc>
          <w:tcPr>
            <w:tcW w:w="845" w:type="pct"/>
            <w:vAlign w:val="center"/>
          </w:tcPr>
          <w:p w14:paraId="505E2CC4" w14:textId="44010D31" w:rsidR="006C78EF" w:rsidRDefault="006C78EF"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1</w:t>
            </w:r>
            <w:r>
              <w:rPr>
                <w:rStyle w:val="FootnoteReference"/>
                <w:rFonts w:ascii="Arial" w:hAnsi="Arial" w:cs="Arial"/>
                <w:sz w:val="20"/>
                <w:szCs w:val="22"/>
                <w:lang w:val="en-GB" w:eastAsia="en-US" w:bidi="th-TH"/>
              </w:rPr>
              <w:footnoteReference w:id="6"/>
            </w:r>
          </w:p>
        </w:tc>
        <w:tc>
          <w:tcPr>
            <w:tcW w:w="920" w:type="pct"/>
            <w:vAlign w:val="center"/>
          </w:tcPr>
          <w:p w14:paraId="6A7B3B1A" w14:textId="19A502E9" w:rsidR="006C78EF" w:rsidRDefault="006C78EF"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w:t>
            </w:r>
          </w:p>
        </w:tc>
      </w:tr>
      <w:tr w:rsidR="006C78EF" w:rsidRPr="00A85438" w14:paraId="3B5AACF1" w14:textId="14973D46" w:rsidTr="00C357B0">
        <w:trPr>
          <w:cantSplit/>
        </w:trPr>
        <w:tc>
          <w:tcPr>
            <w:tcW w:w="2392" w:type="pct"/>
            <w:shd w:val="clear" w:color="auto" w:fill="auto"/>
            <w:noWrap/>
            <w:vAlign w:val="center"/>
          </w:tcPr>
          <w:p w14:paraId="345B80BE" w14:textId="51EC0CDD" w:rsidR="006C78EF" w:rsidRPr="00EE55A0" w:rsidRDefault="006C78EF" w:rsidP="00EE55A0">
            <w:pPr>
              <w:spacing w:before="60" w:after="60"/>
              <w:rPr>
                <w:rFonts w:ascii="Arial" w:hAnsi="Arial" w:cs="Arial"/>
                <w:sz w:val="20"/>
                <w:szCs w:val="22"/>
                <w:lang w:eastAsia="en-US" w:bidi="th-TH"/>
              </w:rPr>
            </w:pPr>
            <w:r w:rsidRPr="00EE55A0">
              <w:rPr>
                <w:rFonts w:ascii="Arial" w:hAnsi="Arial" w:cs="Arial"/>
                <w:sz w:val="20"/>
                <w:szCs w:val="22"/>
                <w:lang w:eastAsia="en-US" w:bidi="th-TH"/>
              </w:rPr>
              <w:t xml:space="preserve">Assistance internationale </w:t>
            </w:r>
            <w:r>
              <w:rPr>
                <w:rFonts w:ascii="Arial" w:hAnsi="Arial" w:cs="Arial"/>
                <w:sz w:val="20"/>
                <w:szCs w:val="22"/>
                <w:lang w:eastAsia="en-US" w:bidi="th-TH"/>
              </w:rPr>
              <w:br/>
            </w:r>
            <w:r w:rsidRPr="0036557D">
              <w:rPr>
                <w:rFonts w:ascii="Arial" w:hAnsi="Arial" w:cs="Arial"/>
                <w:sz w:val="20"/>
                <w:szCs w:val="22"/>
                <w:lang w:eastAsia="en-US" w:bidi="th-TH"/>
              </w:rPr>
              <w:t>(</w:t>
            </w:r>
            <w:r>
              <w:rPr>
                <w:rFonts w:ascii="Arial" w:hAnsi="Arial" w:cs="Arial"/>
                <w:sz w:val="20"/>
                <w:szCs w:val="22"/>
                <w:lang w:eastAsia="en-US" w:bidi="th-TH"/>
              </w:rPr>
              <w:t xml:space="preserve">demandes supérieures à </w:t>
            </w:r>
            <w:r w:rsidRPr="0036557D">
              <w:rPr>
                <w:rFonts w:ascii="Arial" w:hAnsi="Arial" w:cs="Arial"/>
                <w:sz w:val="20"/>
                <w:szCs w:val="22"/>
                <w:lang w:eastAsia="en-US" w:bidi="th-TH"/>
              </w:rPr>
              <w:t>25</w:t>
            </w:r>
            <w:r>
              <w:rPr>
                <w:rFonts w:ascii="Arial" w:hAnsi="Arial" w:cs="Arial"/>
                <w:sz w:val="20"/>
                <w:szCs w:val="22"/>
                <w:lang w:eastAsia="en-US" w:bidi="th-TH"/>
              </w:rPr>
              <w:t> </w:t>
            </w:r>
            <w:r w:rsidRPr="0036557D">
              <w:rPr>
                <w:rFonts w:ascii="Arial" w:hAnsi="Arial" w:cs="Arial"/>
                <w:sz w:val="20"/>
                <w:szCs w:val="22"/>
                <w:lang w:eastAsia="en-US" w:bidi="th-TH"/>
              </w:rPr>
              <w:t>000</w:t>
            </w:r>
            <w:r>
              <w:rPr>
                <w:rFonts w:ascii="Arial" w:hAnsi="Arial" w:cs="Arial"/>
                <w:sz w:val="20"/>
                <w:szCs w:val="22"/>
                <w:lang w:eastAsia="en-US" w:bidi="th-TH"/>
              </w:rPr>
              <w:t> dollars des États-Unis</w:t>
            </w:r>
            <w:r w:rsidRPr="0036557D">
              <w:rPr>
                <w:rFonts w:ascii="Arial" w:hAnsi="Arial" w:cs="Arial"/>
                <w:sz w:val="20"/>
                <w:szCs w:val="22"/>
                <w:lang w:eastAsia="en-US" w:bidi="th-TH"/>
              </w:rPr>
              <w:t>)</w:t>
            </w:r>
          </w:p>
        </w:tc>
        <w:tc>
          <w:tcPr>
            <w:tcW w:w="844" w:type="pct"/>
            <w:shd w:val="clear" w:color="auto" w:fill="auto"/>
            <w:noWrap/>
            <w:vAlign w:val="center"/>
          </w:tcPr>
          <w:p w14:paraId="3566D749" w14:textId="77B403A1" w:rsidR="006C78EF" w:rsidRPr="00F41D50" w:rsidRDefault="006C78EF"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0</w:t>
            </w:r>
          </w:p>
        </w:tc>
        <w:tc>
          <w:tcPr>
            <w:tcW w:w="845" w:type="pct"/>
            <w:vAlign w:val="center"/>
          </w:tcPr>
          <w:p w14:paraId="455DD254" w14:textId="5753F496" w:rsidR="006C78EF" w:rsidRPr="00F41D50" w:rsidRDefault="006C78EF" w:rsidP="006C78EF">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r>
              <w:rPr>
                <w:rStyle w:val="FootnoteReference"/>
                <w:rFonts w:ascii="Arial" w:hAnsi="Arial" w:cs="Arial"/>
                <w:sz w:val="20"/>
                <w:szCs w:val="22"/>
                <w:lang w:val="en-GB" w:eastAsia="en-US" w:bidi="th-TH"/>
              </w:rPr>
              <w:footnoteReference w:id="7"/>
            </w:r>
          </w:p>
        </w:tc>
        <w:tc>
          <w:tcPr>
            <w:tcW w:w="920" w:type="pct"/>
            <w:vAlign w:val="center"/>
          </w:tcPr>
          <w:p w14:paraId="09165E54" w14:textId="6A6D671B" w:rsidR="006C78EF" w:rsidRDefault="006C78EF" w:rsidP="006C78EF">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N/A</w:t>
            </w:r>
          </w:p>
        </w:tc>
      </w:tr>
      <w:tr w:rsidR="006C78EF" w:rsidRPr="00BC7703" w14:paraId="74CA78F0" w14:textId="3A2D8353" w:rsidTr="00C357B0">
        <w:trPr>
          <w:cantSplit/>
        </w:trPr>
        <w:tc>
          <w:tcPr>
            <w:tcW w:w="2392" w:type="pct"/>
            <w:shd w:val="clear" w:color="auto" w:fill="auto"/>
            <w:noWrap/>
            <w:vAlign w:val="center"/>
          </w:tcPr>
          <w:p w14:paraId="20A97DE2" w14:textId="67B64CA1" w:rsidR="006C78EF" w:rsidRPr="00EE55A0" w:rsidRDefault="006C78EF" w:rsidP="00EE55A0">
            <w:pPr>
              <w:spacing w:before="60" w:after="60"/>
              <w:rPr>
                <w:rFonts w:ascii="Arial" w:hAnsi="Arial" w:cs="Arial"/>
                <w:sz w:val="20"/>
                <w:szCs w:val="22"/>
                <w:lang w:eastAsia="en-US" w:bidi="th-TH"/>
              </w:rPr>
            </w:pPr>
            <w:r>
              <w:rPr>
                <w:rFonts w:ascii="Arial" w:hAnsi="Arial" w:cs="Arial"/>
                <w:sz w:val="20"/>
                <w:szCs w:val="22"/>
                <w:lang w:eastAsia="en-US" w:bidi="th-TH"/>
              </w:rPr>
              <w:t>Assistance internationale</w:t>
            </w:r>
            <w:r w:rsidRPr="0036557D">
              <w:rPr>
                <w:rFonts w:ascii="Arial" w:hAnsi="Arial" w:cs="Arial"/>
                <w:sz w:val="20"/>
                <w:szCs w:val="22"/>
                <w:lang w:eastAsia="en-US" w:bidi="th-TH"/>
              </w:rPr>
              <w:t xml:space="preserve"> </w:t>
            </w:r>
            <w:r>
              <w:rPr>
                <w:rFonts w:ascii="Arial" w:hAnsi="Arial" w:cs="Arial"/>
                <w:sz w:val="20"/>
                <w:szCs w:val="22"/>
                <w:lang w:eastAsia="en-US" w:bidi="th-TH"/>
              </w:rPr>
              <w:br/>
            </w:r>
            <w:r w:rsidRPr="0036557D">
              <w:rPr>
                <w:rFonts w:ascii="Arial" w:hAnsi="Arial" w:cs="Arial"/>
                <w:sz w:val="20"/>
                <w:szCs w:val="22"/>
                <w:lang w:eastAsia="en-US" w:bidi="th-TH"/>
              </w:rPr>
              <w:t>(</w:t>
            </w:r>
            <w:r>
              <w:rPr>
                <w:rFonts w:ascii="Arial" w:hAnsi="Arial" w:cs="Arial"/>
                <w:sz w:val="20"/>
                <w:szCs w:val="22"/>
                <w:lang w:eastAsia="en-US" w:bidi="th-TH"/>
              </w:rPr>
              <w:t xml:space="preserve">demandes jusqu’à </w:t>
            </w:r>
            <w:r w:rsidRPr="0036557D">
              <w:rPr>
                <w:rFonts w:ascii="Arial" w:hAnsi="Arial" w:cs="Arial"/>
                <w:sz w:val="20"/>
                <w:szCs w:val="22"/>
                <w:lang w:eastAsia="en-US" w:bidi="th-TH"/>
              </w:rPr>
              <w:t>25</w:t>
            </w:r>
            <w:r>
              <w:rPr>
                <w:rFonts w:ascii="Arial" w:hAnsi="Arial" w:cs="Arial"/>
                <w:sz w:val="20"/>
                <w:szCs w:val="22"/>
                <w:lang w:eastAsia="en-US" w:bidi="th-TH"/>
              </w:rPr>
              <w:t> </w:t>
            </w:r>
            <w:r w:rsidRPr="0036557D">
              <w:rPr>
                <w:rFonts w:ascii="Arial" w:hAnsi="Arial" w:cs="Arial"/>
                <w:sz w:val="20"/>
                <w:szCs w:val="22"/>
                <w:lang w:eastAsia="en-US" w:bidi="th-TH"/>
              </w:rPr>
              <w:t>000</w:t>
            </w:r>
            <w:r>
              <w:rPr>
                <w:rFonts w:ascii="Arial" w:hAnsi="Arial" w:cs="Arial"/>
                <w:sz w:val="20"/>
                <w:szCs w:val="22"/>
                <w:lang w:eastAsia="en-US" w:bidi="th-TH"/>
              </w:rPr>
              <w:t> dollars des États-Unis</w:t>
            </w:r>
            <w:r w:rsidRPr="0036557D">
              <w:rPr>
                <w:rFonts w:ascii="Arial" w:hAnsi="Arial" w:cs="Arial"/>
                <w:sz w:val="20"/>
                <w:szCs w:val="22"/>
                <w:lang w:eastAsia="en-US" w:bidi="th-TH"/>
              </w:rPr>
              <w:t>)</w:t>
            </w:r>
          </w:p>
        </w:tc>
        <w:tc>
          <w:tcPr>
            <w:tcW w:w="844" w:type="pct"/>
            <w:shd w:val="clear" w:color="auto" w:fill="auto"/>
            <w:noWrap/>
            <w:vAlign w:val="center"/>
          </w:tcPr>
          <w:p w14:paraId="214F02E6" w14:textId="77777777" w:rsidR="006C78EF" w:rsidRDefault="006C78EF"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p>
        </w:tc>
        <w:tc>
          <w:tcPr>
            <w:tcW w:w="845" w:type="pct"/>
            <w:vAlign w:val="center"/>
          </w:tcPr>
          <w:p w14:paraId="6F2EE314" w14:textId="77777777" w:rsidR="006C78EF" w:rsidRDefault="006C78EF"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4</w:t>
            </w:r>
          </w:p>
        </w:tc>
        <w:tc>
          <w:tcPr>
            <w:tcW w:w="920" w:type="pct"/>
            <w:vAlign w:val="center"/>
          </w:tcPr>
          <w:p w14:paraId="7F13D393" w14:textId="21193F7E" w:rsidR="006C78EF" w:rsidRDefault="00C357B0"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3</w:t>
            </w:r>
          </w:p>
        </w:tc>
      </w:tr>
      <w:tr w:rsidR="006C78EF" w:rsidRPr="00BC7703" w14:paraId="034B7BE3" w14:textId="36A8B918" w:rsidTr="006C78EF">
        <w:trPr>
          <w:cantSplit/>
          <w:trHeight w:val="65"/>
        </w:trPr>
        <w:tc>
          <w:tcPr>
            <w:tcW w:w="2392" w:type="pct"/>
            <w:shd w:val="clear" w:color="auto" w:fill="auto"/>
            <w:noWrap/>
            <w:vAlign w:val="center"/>
          </w:tcPr>
          <w:p w14:paraId="168E8700" w14:textId="45BC4623" w:rsidR="006C78EF" w:rsidRDefault="006C78EF" w:rsidP="00EE55A0">
            <w:pPr>
              <w:spacing w:before="60" w:after="60"/>
              <w:rPr>
                <w:rFonts w:ascii="Arial" w:hAnsi="Arial" w:cs="Arial"/>
                <w:sz w:val="20"/>
                <w:szCs w:val="22"/>
                <w:lang w:val="en-GB" w:eastAsia="en-US" w:bidi="th-TH"/>
              </w:rPr>
            </w:pPr>
            <w:r>
              <w:rPr>
                <w:rFonts w:ascii="Arial" w:hAnsi="Arial" w:cs="Arial"/>
                <w:sz w:val="20"/>
                <w:szCs w:val="22"/>
                <w:lang w:eastAsia="en-US" w:bidi="th-TH"/>
              </w:rPr>
              <w:t>Demandes urgentes</w:t>
            </w:r>
          </w:p>
        </w:tc>
        <w:tc>
          <w:tcPr>
            <w:tcW w:w="844" w:type="pct"/>
            <w:shd w:val="clear" w:color="auto" w:fill="auto"/>
            <w:noWrap/>
            <w:vAlign w:val="center"/>
          </w:tcPr>
          <w:p w14:paraId="74DDCF8E" w14:textId="77777777" w:rsidR="006C78EF" w:rsidRDefault="006C78EF"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0</w:t>
            </w:r>
          </w:p>
        </w:tc>
        <w:tc>
          <w:tcPr>
            <w:tcW w:w="845" w:type="pct"/>
            <w:vAlign w:val="center"/>
          </w:tcPr>
          <w:p w14:paraId="7C708281" w14:textId="77777777" w:rsidR="006C78EF" w:rsidRDefault="006C78EF"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2</w:t>
            </w:r>
          </w:p>
        </w:tc>
        <w:tc>
          <w:tcPr>
            <w:tcW w:w="920" w:type="pct"/>
          </w:tcPr>
          <w:p w14:paraId="01D1AFF4" w14:textId="20E15A59" w:rsidR="006C78EF" w:rsidRDefault="006C78EF" w:rsidP="00EE55A0">
            <w:pPr>
              <w:spacing w:before="60" w:after="60"/>
              <w:jc w:val="center"/>
              <w:rPr>
                <w:rFonts w:ascii="Arial" w:hAnsi="Arial" w:cs="Arial"/>
                <w:sz w:val="20"/>
                <w:szCs w:val="22"/>
                <w:lang w:val="en-GB" w:eastAsia="en-US" w:bidi="th-TH"/>
              </w:rPr>
            </w:pPr>
            <w:r>
              <w:rPr>
                <w:rFonts w:ascii="Arial" w:hAnsi="Arial" w:cs="Arial"/>
                <w:sz w:val="20"/>
                <w:szCs w:val="22"/>
                <w:lang w:val="en-GB" w:eastAsia="en-US" w:bidi="th-TH"/>
              </w:rPr>
              <w:t>-</w:t>
            </w:r>
          </w:p>
        </w:tc>
      </w:tr>
    </w:tbl>
    <w:p w14:paraId="6D81F883" w14:textId="78D3A1F5" w:rsidR="00A03C71" w:rsidRPr="0036557D" w:rsidRDefault="00212378" w:rsidP="00D01C74">
      <w:pPr>
        <w:pStyle w:val="COMPara"/>
        <w:numPr>
          <w:ilvl w:val="0"/>
          <w:numId w:val="9"/>
        </w:numPr>
        <w:spacing w:before="240"/>
        <w:ind w:left="709" w:hanging="709"/>
        <w:jc w:val="both"/>
        <w:rPr>
          <w:lang w:val="fr-FR"/>
        </w:rPr>
      </w:pPr>
      <w:r>
        <w:rPr>
          <w:lang w:val="fr-FR"/>
        </w:rPr>
        <w:t xml:space="preserve">À sa neuvième </w:t>
      </w:r>
      <w:r w:rsidR="00A03C71" w:rsidRPr="0036557D">
        <w:rPr>
          <w:lang w:val="fr-FR"/>
        </w:rPr>
        <w:t>session</w:t>
      </w:r>
      <w:r>
        <w:rPr>
          <w:lang w:val="fr-FR"/>
        </w:rPr>
        <w:t xml:space="preserve">, en novembre </w:t>
      </w:r>
      <w:r w:rsidR="00A03C71" w:rsidRPr="0036557D">
        <w:rPr>
          <w:lang w:val="fr-FR"/>
        </w:rPr>
        <w:t xml:space="preserve">2014, </w:t>
      </w:r>
      <w:r>
        <w:rPr>
          <w:lang w:val="fr-FR"/>
        </w:rPr>
        <w:t xml:space="preserve">le Comité </w:t>
      </w:r>
      <w:r w:rsidRPr="0036557D">
        <w:rPr>
          <w:lang w:val="fr-FR"/>
        </w:rPr>
        <w:t xml:space="preserve">intergouvernemental </w:t>
      </w:r>
      <w:r>
        <w:rPr>
          <w:lang w:val="fr-FR"/>
        </w:rPr>
        <w:t xml:space="preserve">a </w:t>
      </w:r>
      <w:r w:rsidR="00C31EFD">
        <w:rPr>
          <w:lang w:val="fr-FR"/>
        </w:rPr>
        <w:t xml:space="preserve">approuvé une </w:t>
      </w:r>
      <w:r>
        <w:rPr>
          <w:lang w:val="fr-FR"/>
        </w:rPr>
        <w:t>demande</w:t>
      </w:r>
      <w:r w:rsidR="00C31EFD">
        <w:rPr>
          <w:lang w:val="fr-FR"/>
        </w:rPr>
        <w:t xml:space="preserve"> internationale à titre</w:t>
      </w:r>
      <w:r>
        <w:rPr>
          <w:lang w:val="fr-FR"/>
        </w:rPr>
        <w:t xml:space="preserve"> </w:t>
      </w:r>
      <w:r w:rsidRPr="0036557D">
        <w:rPr>
          <w:lang w:val="fr-FR"/>
        </w:rPr>
        <w:t>exceptionnel</w:t>
      </w:r>
      <w:r>
        <w:rPr>
          <w:lang w:val="fr-FR"/>
        </w:rPr>
        <w:t xml:space="preserve"> en raison des circonstances </w:t>
      </w:r>
      <w:r w:rsidR="00A03C71" w:rsidRPr="0036557D">
        <w:rPr>
          <w:lang w:val="fr-FR"/>
        </w:rPr>
        <w:t>sp</w:t>
      </w:r>
      <w:r>
        <w:rPr>
          <w:lang w:val="fr-FR"/>
        </w:rPr>
        <w:t>é</w:t>
      </w:r>
      <w:r w:rsidR="00A03C71" w:rsidRPr="0036557D">
        <w:rPr>
          <w:lang w:val="fr-FR"/>
        </w:rPr>
        <w:t>cial</w:t>
      </w:r>
      <w:r>
        <w:rPr>
          <w:lang w:val="fr-FR"/>
        </w:rPr>
        <w:t>es</w:t>
      </w:r>
      <w:r w:rsidR="00A03C71" w:rsidRPr="0036557D">
        <w:rPr>
          <w:lang w:val="fr-FR"/>
        </w:rPr>
        <w:t xml:space="preserve"> </w:t>
      </w:r>
      <w:r>
        <w:rPr>
          <w:lang w:val="fr-FR"/>
        </w:rPr>
        <w:t>que connaissait l’État partie soumissionnaire</w:t>
      </w:r>
      <w:r w:rsidR="00C31EFD">
        <w:rPr>
          <w:lang w:val="fr-FR"/>
        </w:rPr>
        <w:t xml:space="preserve"> (Soudan)</w:t>
      </w:r>
      <w:r w:rsidR="00A03C71" w:rsidRPr="0036557D">
        <w:rPr>
          <w:lang w:val="fr-FR"/>
        </w:rPr>
        <w:t xml:space="preserve">. </w:t>
      </w:r>
      <w:r>
        <w:rPr>
          <w:lang w:val="fr-FR"/>
        </w:rPr>
        <w:t xml:space="preserve">Le Comité a </w:t>
      </w:r>
      <w:r w:rsidR="00A03C71" w:rsidRPr="0036557D">
        <w:rPr>
          <w:lang w:val="fr-FR"/>
        </w:rPr>
        <w:t>consid</w:t>
      </w:r>
      <w:r>
        <w:rPr>
          <w:lang w:val="fr-FR"/>
        </w:rPr>
        <w:t xml:space="preserve">éré que cette demande devait encore être améliorée et a </w:t>
      </w:r>
      <w:r w:rsidR="00A03C71" w:rsidRPr="0036557D">
        <w:rPr>
          <w:lang w:val="fr-FR"/>
        </w:rPr>
        <w:t>d</w:t>
      </w:r>
      <w:r>
        <w:rPr>
          <w:lang w:val="fr-FR"/>
        </w:rPr>
        <w:t xml:space="preserve">élégué son autorité au </w:t>
      </w:r>
      <w:r w:rsidR="00A03C71" w:rsidRPr="0036557D">
        <w:rPr>
          <w:lang w:val="fr-FR"/>
        </w:rPr>
        <w:t xml:space="preserve">Bureau </w:t>
      </w:r>
      <w:r>
        <w:rPr>
          <w:lang w:val="fr-FR"/>
        </w:rPr>
        <w:t xml:space="preserve">pour en </w:t>
      </w:r>
      <w:r w:rsidR="00A03C71" w:rsidRPr="0036557D">
        <w:rPr>
          <w:lang w:val="fr-FR"/>
        </w:rPr>
        <w:t>appro</w:t>
      </w:r>
      <w:r>
        <w:rPr>
          <w:lang w:val="fr-FR"/>
        </w:rPr>
        <w:t xml:space="preserve">uver une version </w:t>
      </w:r>
      <w:r w:rsidR="00A03C71" w:rsidRPr="0036557D">
        <w:rPr>
          <w:lang w:val="fr-FR"/>
        </w:rPr>
        <w:t>r</w:t>
      </w:r>
      <w:r>
        <w:rPr>
          <w:lang w:val="fr-FR"/>
        </w:rPr>
        <w:t xml:space="preserve">évisée </w:t>
      </w:r>
      <w:r w:rsidR="00A03C71" w:rsidRPr="0036557D">
        <w:rPr>
          <w:lang w:val="fr-FR"/>
        </w:rPr>
        <w:t>(</w:t>
      </w:r>
      <w:hyperlink r:id="rId41" w:history="1">
        <w:r w:rsidR="00ED79A6" w:rsidRPr="00B52B06">
          <w:rPr>
            <w:rStyle w:val="Hyperlink"/>
            <w:lang w:val="fr-FR"/>
          </w:rPr>
          <w:t>décision 9.COM 9.c.2</w:t>
        </w:r>
      </w:hyperlink>
      <w:r w:rsidR="00A03C71" w:rsidRPr="0036557D">
        <w:rPr>
          <w:lang w:val="fr-FR"/>
        </w:rPr>
        <w:t xml:space="preserve">). </w:t>
      </w:r>
      <w:r>
        <w:rPr>
          <w:lang w:val="fr-FR"/>
        </w:rPr>
        <w:t>Avec l’</w:t>
      </w:r>
      <w:r w:rsidR="00A03C71" w:rsidRPr="0036557D">
        <w:rPr>
          <w:lang w:val="fr-FR"/>
        </w:rPr>
        <w:t xml:space="preserve">assistance </w:t>
      </w:r>
      <w:r>
        <w:rPr>
          <w:lang w:val="fr-FR"/>
        </w:rPr>
        <w:t xml:space="preserve">du </w:t>
      </w:r>
      <w:r w:rsidR="00C77767" w:rsidRPr="0036557D">
        <w:rPr>
          <w:lang w:val="fr-FR"/>
        </w:rPr>
        <w:t>Secrétariat</w:t>
      </w:r>
      <w:r w:rsidR="00A03C71" w:rsidRPr="0036557D">
        <w:rPr>
          <w:lang w:val="fr-FR"/>
        </w:rPr>
        <w:t xml:space="preserve"> </w:t>
      </w:r>
      <w:r>
        <w:rPr>
          <w:lang w:val="fr-FR"/>
        </w:rPr>
        <w:t>et du bureau hors</w:t>
      </w:r>
      <w:r w:rsidR="003774B7">
        <w:rPr>
          <w:lang w:val="fr-FR"/>
        </w:rPr>
        <w:t>-</w:t>
      </w:r>
      <w:r>
        <w:rPr>
          <w:lang w:val="fr-FR"/>
        </w:rPr>
        <w:t xml:space="preserve">Siège, cette demande révisée a été </w:t>
      </w:r>
      <w:r w:rsidR="003774B7">
        <w:rPr>
          <w:lang w:val="fr-FR"/>
        </w:rPr>
        <w:t xml:space="preserve">dûment </w:t>
      </w:r>
      <w:r>
        <w:rPr>
          <w:lang w:val="fr-FR"/>
        </w:rPr>
        <w:t xml:space="preserve">soumise au </w:t>
      </w:r>
      <w:r w:rsidR="00C77767" w:rsidRPr="00B52B06">
        <w:rPr>
          <w:lang w:val="fr-FR"/>
        </w:rPr>
        <w:t>Secrétariat</w:t>
      </w:r>
      <w:r w:rsidR="00A03C71" w:rsidRPr="00B52B06">
        <w:rPr>
          <w:lang w:val="fr-FR"/>
        </w:rPr>
        <w:t>.</w:t>
      </w:r>
      <w:r w:rsidR="00A03C71" w:rsidRPr="0036557D">
        <w:rPr>
          <w:lang w:val="fr-FR"/>
        </w:rPr>
        <w:t xml:space="preserve"> </w:t>
      </w:r>
      <w:r w:rsidR="00BE4ECE">
        <w:rPr>
          <w:lang w:val="fr-FR"/>
        </w:rPr>
        <w:t xml:space="preserve">Le Bureau de la neuvième session a examiné en octobre 2015 la demande révisée et a considéré qu’elle satisfaisait les préoccupations du Comité. </w:t>
      </w:r>
    </w:p>
    <w:p w14:paraId="3FBF174E" w14:textId="42D54FCC" w:rsidR="008A10F8" w:rsidRPr="001C4BA7" w:rsidRDefault="008A10F8" w:rsidP="004D0BB0">
      <w:pPr>
        <w:pStyle w:val="COMPara"/>
        <w:numPr>
          <w:ilvl w:val="0"/>
          <w:numId w:val="9"/>
        </w:numPr>
        <w:ind w:left="709" w:hanging="709"/>
        <w:jc w:val="both"/>
        <w:rPr>
          <w:lang w:val="fr-FR"/>
        </w:rPr>
      </w:pPr>
      <w:r w:rsidRPr="001C4BA7">
        <w:rPr>
          <w:lang w:val="fr-FR"/>
        </w:rPr>
        <w:t xml:space="preserve">Afin d’améliorer la qualité des </w:t>
      </w:r>
      <w:r w:rsidR="002726FD" w:rsidRPr="001C4BA7">
        <w:rPr>
          <w:lang w:val="fr-FR"/>
        </w:rPr>
        <w:t>demandes d’</w:t>
      </w:r>
      <w:r w:rsidRPr="001C4BA7">
        <w:rPr>
          <w:lang w:val="fr-FR"/>
        </w:rPr>
        <w:t>assistance internationale devant être examinées par le Comité et le Bureau</w:t>
      </w:r>
      <w:r w:rsidR="00A03C71" w:rsidRPr="001C4BA7">
        <w:rPr>
          <w:lang w:val="fr-FR"/>
        </w:rPr>
        <w:t xml:space="preserve">, </w:t>
      </w:r>
      <w:r w:rsidR="00AC0ECC" w:rsidRPr="001C4BA7">
        <w:rPr>
          <w:lang w:val="fr-FR"/>
        </w:rPr>
        <w:t xml:space="preserve">le </w:t>
      </w:r>
      <w:r w:rsidR="00C77767" w:rsidRPr="001C4BA7">
        <w:rPr>
          <w:lang w:val="fr-FR"/>
        </w:rPr>
        <w:t>Secrétariat</w:t>
      </w:r>
      <w:r w:rsidR="00A03C71" w:rsidRPr="001C4BA7">
        <w:rPr>
          <w:lang w:val="fr-FR"/>
        </w:rPr>
        <w:t xml:space="preserve"> </w:t>
      </w:r>
      <w:r w:rsidRPr="001C4BA7">
        <w:rPr>
          <w:lang w:val="fr-FR"/>
        </w:rPr>
        <w:t xml:space="preserve">rédige des lettres détaillées et exhaustives </w:t>
      </w:r>
      <w:r w:rsidR="00AC0ECC" w:rsidRPr="001C4BA7">
        <w:rPr>
          <w:lang w:val="fr-FR"/>
        </w:rPr>
        <w:t>signal</w:t>
      </w:r>
      <w:r w:rsidRPr="001C4BA7">
        <w:rPr>
          <w:lang w:val="fr-FR"/>
        </w:rPr>
        <w:t>ant</w:t>
      </w:r>
      <w:r w:rsidR="00AC0ECC" w:rsidRPr="001C4BA7">
        <w:rPr>
          <w:lang w:val="fr-FR"/>
        </w:rPr>
        <w:t xml:space="preserve"> toute </w:t>
      </w:r>
      <w:r w:rsidR="00A03C71" w:rsidRPr="001C4BA7">
        <w:rPr>
          <w:lang w:val="fr-FR"/>
        </w:rPr>
        <w:t xml:space="preserve">information </w:t>
      </w:r>
      <w:r w:rsidR="00AC0ECC" w:rsidRPr="001C4BA7">
        <w:rPr>
          <w:lang w:val="fr-FR"/>
        </w:rPr>
        <w:t xml:space="preserve">manquante et conseille l’État soumissionnaire pour qu’il améliore sa demande afin qu’elle soit </w:t>
      </w:r>
      <w:r w:rsidR="00A03C71" w:rsidRPr="001C4BA7">
        <w:rPr>
          <w:lang w:val="fr-FR"/>
        </w:rPr>
        <w:t>examin</w:t>
      </w:r>
      <w:r w:rsidR="00AC0ECC" w:rsidRPr="001C4BA7">
        <w:rPr>
          <w:lang w:val="fr-FR"/>
        </w:rPr>
        <w:t xml:space="preserve">ée dans les meilleures </w:t>
      </w:r>
      <w:r w:rsidR="002726FD" w:rsidRPr="001C4BA7">
        <w:rPr>
          <w:lang w:val="fr-FR"/>
        </w:rPr>
        <w:t xml:space="preserve">conditions </w:t>
      </w:r>
      <w:r w:rsidR="00AC0ECC" w:rsidRPr="001C4BA7">
        <w:rPr>
          <w:lang w:val="fr-FR"/>
        </w:rPr>
        <w:t>possibl</w:t>
      </w:r>
      <w:r w:rsidR="00A03C71" w:rsidRPr="001C4BA7">
        <w:rPr>
          <w:lang w:val="fr-FR"/>
        </w:rPr>
        <w:t>e</w:t>
      </w:r>
      <w:r w:rsidR="0088309F" w:rsidRPr="001C4BA7">
        <w:rPr>
          <w:lang w:val="fr-FR"/>
        </w:rPr>
        <w:t>s</w:t>
      </w:r>
      <w:r w:rsidR="00A03C71" w:rsidRPr="001C4BA7">
        <w:rPr>
          <w:lang w:val="fr-FR"/>
        </w:rPr>
        <w:t xml:space="preserve">. </w:t>
      </w:r>
      <w:r w:rsidR="00AC0ECC" w:rsidRPr="001C4BA7">
        <w:rPr>
          <w:lang w:val="fr-FR"/>
        </w:rPr>
        <w:t xml:space="preserve">De plus, </w:t>
      </w:r>
      <w:r w:rsidR="005A346D" w:rsidRPr="001C4BA7">
        <w:rPr>
          <w:lang w:val="fr-FR"/>
        </w:rPr>
        <w:t>e</w:t>
      </w:r>
      <w:r w:rsidR="00AC0ECC" w:rsidRPr="001C4BA7">
        <w:rPr>
          <w:lang w:val="fr-FR"/>
        </w:rPr>
        <w:t xml:space="preserve">n réponse au </w:t>
      </w:r>
      <w:r w:rsidR="002726FD" w:rsidRPr="001C4BA7">
        <w:rPr>
          <w:lang w:val="fr-FR"/>
        </w:rPr>
        <w:t xml:space="preserve">faible nombre </w:t>
      </w:r>
      <w:r w:rsidR="00AC0ECC" w:rsidRPr="001C4BA7">
        <w:rPr>
          <w:lang w:val="fr-FR"/>
        </w:rPr>
        <w:t>de demandes d’assistance internationale et</w:t>
      </w:r>
      <w:r w:rsidR="005A346D" w:rsidRPr="001C4BA7">
        <w:rPr>
          <w:lang w:val="fr-FR"/>
        </w:rPr>
        <w:t xml:space="preserve"> aux </w:t>
      </w:r>
      <w:r w:rsidR="00AC0ECC" w:rsidRPr="001C4BA7">
        <w:rPr>
          <w:lang w:val="fr-FR"/>
        </w:rPr>
        <w:t>difficultés rencontrées par les États parties pour préparer des demandes qui répondent aux critères de sélection et aux règlements administratifs et financiers de l’UNESCO, le Comité a demandé au Secrétariat de fournir, sur une base expérimentale, une assistance technique aux États parties souhaitant élaborer des demandes d’assistance internationale (</w:t>
      </w:r>
      <w:hyperlink r:id="rId42" w:history="1">
        <w:r w:rsidR="00AC0ECC" w:rsidRPr="00B52B06">
          <w:rPr>
            <w:rStyle w:val="Hyperlink"/>
            <w:lang w:val="fr-FR"/>
          </w:rPr>
          <w:t>décision</w:t>
        </w:r>
        <w:r w:rsidR="00ED79A6" w:rsidRPr="00B52B06">
          <w:rPr>
            <w:rStyle w:val="Hyperlink"/>
            <w:lang w:val="fr-FR"/>
          </w:rPr>
          <w:t> </w:t>
        </w:r>
        <w:r w:rsidR="00AC0ECC" w:rsidRPr="00B52B06">
          <w:rPr>
            <w:rStyle w:val="Hyperlink"/>
            <w:lang w:val="fr-FR"/>
          </w:rPr>
          <w:t>8.COM 7.c</w:t>
        </w:r>
      </w:hyperlink>
      <w:r w:rsidR="00AC0ECC" w:rsidRPr="00B52B06">
        <w:rPr>
          <w:lang w:val="fr-FR"/>
        </w:rPr>
        <w:t>).</w:t>
      </w:r>
      <w:r w:rsidR="00B725AB" w:rsidRPr="001C4BA7">
        <w:rPr>
          <w:lang w:val="fr-FR"/>
        </w:rPr>
        <w:t xml:space="preserve"> Le principal mode d’assistance technique proposé a été la consultation d’un expert par </w:t>
      </w:r>
      <w:r w:rsidR="002726FD" w:rsidRPr="001C4BA7">
        <w:rPr>
          <w:lang w:val="fr-FR"/>
        </w:rPr>
        <w:t>courriel</w:t>
      </w:r>
      <w:r w:rsidR="00B725AB" w:rsidRPr="001C4BA7">
        <w:rPr>
          <w:lang w:val="fr-FR"/>
        </w:rPr>
        <w:t>, téléphone et Skype pendant 10 jours-</w:t>
      </w:r>
      <w:r w:rsidR="005A346D" w:rsidRPr="001C4BA7">
        <w:rPr>
          <w:lang w:val="fr-FR"/>
        </w:rPr>
        <w:t>personn</w:t>
      </w:r>
      <w:r w:rsidR="00B725AB" w:rsidRPr="001C4BA7">
        <w:rPr>
          <w:lang w:val="fr-FR"/>
        </w:rPr>
        <w:t>es maximum sur une période de trois mois.</w:t>
      </w:r>
      <w:r w:rsidR="00A03C71" w:rsidRPr="001C4BA7">
        <w:rPr>
          <w:lang w:val="fr-FR"/>
        </w:rPr>
        <w:t xml:space="preserve"> </w:t>
      </w:r>
      <w:r w:rsidR="00B725AB" w:rsidRPr="001C4BA7">
        <w:rPr>
          <w:lang w:val="fr-FR"/>
        </w:rPr>
        <w:t>Une plus longue période d’</w:t>
      </w:r>
      <w:r w:rsidR="00A03C71" w:rsidRPr="001C4BA7">
        <w:rPr>
          <w:lang w:val="fr-FR"/>
        </w:rPr>
        <w:t xml:space="preserve">assistance </w:t>
      </w:r>
      <w:r w:rsidR="002726FD" w:rsidRPr="001C4BA7">
        <w:rPr>
          <w:lang w:val="fr-FR"/>
        </w:rPr>
        <w:t xml:space="preserve">a été </w:t>
      </w:r>
      <w:r w:rsidR="00B725AB" w:rsidRPr="001C4BA7">
        <w:rPr>
          <w:lang w:val="fr-FR"/>
        </w:rPr>
        <w:t xml:space="preserve">offerte </w:t>
      </w:r>
      <w:r w:rsidR="002726FD" w:rsidRPr="001C4BA7">
        <w:rPr>
          <w:lang w:val="fr-FR"/>
        </w:rPr>
        <w:t>le cas échéant</w:t>
      </w:r>
      <w:r w:rsidR="00A03C71" w:rsidRPr="001C4BA7">
        <w:rPr>
          <w:lang w:val="fr-FR"/>
        </w:rPr>
        <w:t xml:space="preserve">, </w:t>
      </w:r>
      <w:r w:rsidR="00B725AB" w:rsidRPr="001C4BA7">
        <w:rPr>
          <w:lang w:val="fr-FR"/>
        </w:rPr>
        <w:t xml:space="preserve">y compris la </w:t>
      </w:r>
      <w:r w:rsidR="00A03C71" w:rsidRPr="001C4BA7">
        <w:rPr>
          <w:lang w:val="fr-FR"/>
        </w:rPr>
        <w:t>possibilit</w:t>
      </w:r>
      <w:r w:rsidR="00B725AB" w:rsidRPr="001C4BA7">
        <w:rPr>
          <w:lang w:val="fr-FR"/>
        </w:rPr>
        <w:t xml:space="preserve">é d’une </w:t>
      </w:r>
      <w:r w:rsidR="00A03C71" w:rsidRPr="001C4BA7">
        <w:rPr>
          <w:lang w:val="fr-FR"/>
        </w:rPr>
        <w:t xml:space="preserve">mission </w:t>
      </w:r>
      <w:r w:rsidR="00B725AB" w:rsidRPr="001C4BA7">
        <w:rPr>
          <w:lang w:val="fr-FR"/>
        </w:rPr>
        <w:t xml:space="preserve">permettant à un </w:t>
      </w:r>
      <w:r w:rsidR="00A03C71" w:rsidRPr="001C4BA7">
        <w:rPr>
          <w:lang w:val="fr-FR"/>
        </w:rPr>
        <w:t xml:space="preserve">expert </w:t>
      </w:r>
      <w:r w:rsidR="00B725AB" w:rsidRPr="001C4BA7">
        <w:rPr>
          <w:lang w:val="fr-FR"/>
        </w:rPr>
        <w:t xml:space="preserve">de travailler de visu avec l’équipe </w:t>
      </w:r>
      <w:r w:rsidR="00A03C71" w:rsidRPr="001C4BA7">
        <w:rPr>
          <w:lang w:val="fr-FR"/>
        </w:rPr>
        <w:t>national</w:t>
      </w:r>
      <w:r w:rsidR="00B725AB" w:rsidRPr="001C4BA7">
        <w:rPr>
          <w:lang w:val="fr-FR"/>
        </w:rPr>
        <w:t>e</w:t>
      </w:r>
      <w:r w:rsidR="00A03C71" w:rsidRPr="001C4BA7">
        <w:rPr>
          <w:lang w:val="fr-FR"/>
        </w:rPr>
        <w:t xml:space="preserve"> </w:t>
      </w:r>
      <w:r w:rsidR="00B725AB" w:rsidRPr="001C4BA7">
        <w:rPr>
          <w:lang w:val="fr-FR"/>
        </w:rPr>
        <w:t>chargée de la préparation de la demande</w:t>
      </w:r>
      <w:r w:rsidR="00A03C71" w:rsidRPr="001C4BA7">
        <w:rPr>
          <w:lang w:val="fr-FR"/>
        </w:rPr>
        <w:t xml:space="preserve">. </w:t>
      </w:r>
      <w:r w:rsidR="00B725AB" w:rsidRPr="001C4BA7">
        <w:rPr>
          <w:lang w:val="fr-FR"/>
        </w:rPr>
        <w:t>À ce jour</w:t>
      </w:r>
      <w:r w:rsidR="00A03C71" w:rsidRPr="001C4BA7">
        <w:rPr>
          <w:lang w:val="fr-FR"/>
        </w:rPr>
        <w:t xml:space="preserve">, </w:t>
      </w:r>
      <w:r w:rsidR="0088309F" w:rsidRPr="001C4BA7">
        <w:rPr>
          <w:lang w:val="fr-FR"/>
        </w:rPr>
        <w:t xml:space="preserve">le Secrétariat a mis en œuvre ce mécanisme dans neuf pays, dont six en Afrique. Ayant reçu une assistance technique, </w:t>
      </w:r>
      <w:r w:rsidR="001C4BA7" w:rsidRPr="001C4BA7">
        <w:rPr>
          <w:lang w:val="fr-FR"/>
        </w:rPr>
        <w:t xml:space="preserve">trois États parties en Afrique ont soumis des </w:t>
      </w:r>
      <w:r w:rsidR="00B725AB" w:rsidRPr="001C4BA7">
        <w:rPr>
          <w:lang w:val="fr-FR"/>
        </w:rPr>
        <w:t xml:space="preserve">demandes </w:t>
      </w:r>
      <w:r w:rsidR="00A03C71" w:rsidRPr="001C4BA7">
        <w:rPr>
          <w:lang w:val="fr-FR"/>
        </w:rPr>
        <w:t>r</w:t>
      </w:r>
      <w:r w:rsidR="00B725AB" w:rsidRPr="001C4BA7">
        <w:rPr>
          <w:lang w:val="fr-FR"/>
        </w:rPr>
        <w:t>évisées</w:t>
      </w:r>
      <w:r w:rsidR="00A03C71" w:rsidRPr="001C4BA7">
        <w:rPr>
          <w:lang w:val="fr-FR"/>
        </w:rPr>
        <w:t xml:space="preserve">, </w:t>
      </w:r>
      <w:r w:rsidR="00B725AB" w:rsidRPr="001C4BA7">
        <w:rPr>
          <w:lang w:val="fr-FR"/>
        </w:rPr>
        <w:t xml:space="preserve">dont une urgente, </w:t>
      </w:r>
      <w:r w:rsidR="001C4BA7">
        <w:rPr>
          <w:lang w:val="fr-FR"/>
        </w:rPr>
        <w:t>et les trois</w:t>
      </w:r>
      <w:r w:rsidR="00B725AB" w:rsidRPr="001C4BA7">
        <w:rPr>
          <w:lang w:val="fr-FR"/>
        </w:rPr>
        <w:t xml:space="preserve"> ont été </w:t>
      </w:r>
      <w:r w:rsidR="00A03C71" w:rsidRPr="001C4BA7">
        <w:rPr>
          <w:lang w:val="fr-FR"/>
        </w:rPr>
        <w:t>appro</w:t>
      </w:r>
      <w:r w:rsidR="00B725AB" w:rsidRPr="001C4BA7">
        <w:rPr>
          <w:lang w:val="fr-FR"/>
        </w:rPr>
        <w:t xml:space="preserve">uvées par le </w:t>
      </w:r>
      <w:r w:rsidR="00A03C71" w:rsidRPr="001C4BA7">
        <w:rPr>
          <w:lang w:val="fr-FR"/>
        </w:rPr>
        <w:t xml:space="preserve">Bureau </w:t>
      </w:r>
      <w:r w:rsidR="00B725AB" w:rsidRPr="001C4BA7">
        <w:rPr>
          <w:lang w:val="fr-FR"/>
        </w:rPr>
        <w:t xml:space="preserve">en juin et en octobre </w:t>
      </w:r>
      <w:r w:rsidR="00A03C71" w:rsidRPr="001C4BA7">
        <w:rPr>
          <w:lang w:val="fr-FR"/>
        </w:rPr>
        <w:t>2015</w:t>
      </w:r>
      <w:r w:rsidR="001C4BA7">
        <w:rPr>
          <w:lang w:val="fr-FR"/>
        </w:rPr>
        <w:t xml:space="preserve">. </w:t>
      </w:r>
      <w:r w:rsidR="001313CC">
        <w:rPr>
          <w:lang w:val="fr-FR"/>
        </w:rPr>
        <w:t xml:space="preserve">À l’exception d’une demande qui a été annulée </w:t>
      </w:r>
      <w:r w:rsidR="00C63E0A">
        <w:rPr>
          <w:lang w:val="fr-FR"/>
        </w:rPr>
        <w:t>par l</w:t>
      </w:r>
      <w:r w:rsidR="001313CC">
        <w:rPr>
          <w:lang w:val="fr-FR"/>
        </w:rPr>
        <w:t>es autorités nationales, et d’une autre demande révisée qu</w:t>
      </w:r>
      <w:r w:rsidR="00C63E0A">
        <w:rPr>
          <w:lang w:val="fr-FR"/>
        </w:rPr>
        <w:t>e le Secrétariat est en train d’examiner, les révisions des</w:t>
      </w:r>
      <w:r w:rsidR="001313CC">
        <w:rPr>
          <w:lang w:val="fr-FR"/>
        </w:rPr>
        <w:t xml:space="preserve"> quatre </w:t>
      </w:r>
      <w:r w:rsidR="00C63E0A">
        <w:rPr>
          <w:lang w:val="fr-FR"/>
        </w:rPr>
        <w:t xml:space="preserve">autres </w:t>
      </w:r>
      <w:r w:rsidR="001313CC">
        <w:rPr>
          <w:lang w:val="fr-FR"/>
        </w:rPr>
        <w:t xml:space="preserve">demandes sont en cours au moment de la rédaction de ce rapport. </w:t>
      </w:r>
      <w:r w:rsidR="001C4BA7">
        <w:rPr>
          <w:lang w:val="fr-FR"/>
        </w:rPr>
        <w:t>Dans l’ensemble, les premiers résultats de l’assistance technique sont positifs et encourageants, et l’approche adoptée semble aboutir à l’amélioration souhaitée en termes de qualité et d’éligibilité</w:t>
      </w:r>
      <w:r w:rsidR="00C34A77">
        <w:rPr>
          <w:lang w:val="fr-FR"/>
        </w:rPr>
        <w:t xml:space="preserve"> des demandes, ainsi qu’augmenter la probabilité d’</w:t>
      </w:r>
      <w:r w:rsidR="004D0BB0">
        <w:rPr>
          <w:lang w:val="fr-FR"/>
        </w:rPr>
        <w:t>une sauvegarde effective.</w:t>
      </w:r>
    </w:p>
    <w:p w14:paraId="635025E5" w14:textId="36BE85CB" w:rsidR="00A03C71" w:rsidRDefault="003844AC" w:rsidP="00A03C71">
      <w:pPr>
        <w:pStyle w:val="COMPara"/>
        <w:numPr>
          <w:ilvl w:val="0"/>
          <w:numId w:val="9"/>
        </w:numPr>
        <w:ind w:left="567" w:hanging="567"/>
        <w:jc w:val="both"/>
        <w:rPr>
          <w:lang w:val="fr-FR"/>
        </w:rPr>
      </w:pPr>
      <w:r>
        <w:rPr>
          <w:lang w:val="fr-FR"/>
        </w:rPr>
        <w:t xml:space="preserve">Afin d’améliorer l’efficacité de ce mécanisme expérimental, </w:t>
      </w:r>
      <w:r w:rsidR="0033051E">
        <w:rPr>
          <w:lang w:val="fr-FR"/>
        </w:rPr>
        <w:t xml:space="preserve">le </w:t>
      </w:r>
      <w:r w:rsidR="00C77767" w:rsidRPr="0033051E">
        <w:rPr>
          <w:lang w:val="fr-FR"/>
        </w:rPr>
        <w:t>Secrétariat</w:t>
      </w:r>
      <w:r w:rsidR="00A03C71" w:rsidRPr="0033051E">
        <w:rPr>
          <w:lang w:val="fr-FR"/>
        </w:rPr>
        <w:t xml:space="preserve"> </w:t>
      </w:r>
      <w:r w:rsidR="0033051E">
        <w:rPr>
          <w:lang w:val="fr-FR"/>
        </w:rPr>
        <w:t>a organisé</w:t>
      </w:r>
      <w:r>
        <w:rPr>
          <w:lang w:val="fr-FR"/>
        </w:rPr>
        <w:t>, d</w:t>
      </w:r>
      <w:r w:rsidRPr="0033051E">
        <w:rPr>
          <w:lang w:val="fr-FR"/>
        </w:rPr>
        <w:t>u 20 au 22</w:t>
      </w:r>
      <w:r>
        <w:rPr>
          <w:lang w:val="fr-FR"/>
        </w:rPr>
        <w:t xml:space="preserve"> juillet </w:t>
      </w:r>
      <w:r w:rsidRPr="0033051E">
        <w:rPr>
          <w:lang w:val="fr-FR"/>
        </w:rPr>
        <w:t>2015</w:t>
      </w:r>
      <w:r>
        <w:rPr>
          <w:lang w:val="fr-FR"/>
        </w:rPr>
        <w:t>,</w:t>
      </w:r>
      <w:r w:rsidR="0033051E">
        <w:rPr>
          <w:lang w:val="fr-FR"/>
        </w:rPr>
        <w:t xml:space="preserve"> un atelier de formation </w:t>
      </w:r>
      <w:r w:rsidR="004D0BB0">
        <w:rPr>
          <w:lang w:val="fr-FR"/>
        </w:rPr>
        <w:t>au S</w:t>
      </w:r>
      <w:r>
        <w:rPr>
          <w:lang w:val="fr-FR"/>
        </w:rPr>
        <w:t xml:space="preserve">iège de l’UNESCO </w:t>
      </w:r>
      <w:r w:rsidR="00201100">
        <w:rPr>
          <w:lang w:val="fr-FR"/>
        </w:rPr>
        <w:t xml:space="preserve">pour </w:t>
      </w:r>
      <w:r w:rsidR="0033051E">
        <w:rPr>
          <w:lang w:val="fr-FR"/>
        </w:rPr>
        <w:t xml:space="preserve">un noyau de </w:t>
      </w:r>
      <w:r w:rsidR="00A03C71" w:rsidRPr="0033051E">
        <w:rPr>
          <w:lang w:val="fr-FR"/>
        </w:rPr>
        <w:t>facilitat</w:t>
      </w:r>
      <w:r w:rsidR="0033051E">
        <w:rPr>
          <w:lang w:val="fr-FR"/>
        </w:rPr>
        <w:t>eu</w:t>
      </w:r>
      <w:r w:rsidR="00A03C71" w:rsidRPr="0033051E">
        <w:rPr>
          <w:lang w:val="fr-FR"/>
        </w:rPr>
        <w:t xml:space="preserve">rs </w:t>
      </w:r>
      <w:r w:rsidR="0033051E">
        <w:rPr>
          <w:lang w:val="fr-FR"/>
        </w:rPr>
        <w:t>et d’</w:t>
      </w:r>
      <w:r w:rsidR="00A03C71" w:rsidRPr="0033051E">
        <w:rPr>
          <w:lang w:val="fr-FR"/>
        </w:rPr>
        <w:t xml:space="preserve">experts </w:t>
      </w:r>
      <w:r w:rsidR="0033051E">
        <w:rPr>
          <w:lang w:val="fr-FR"/>
        </w:rPr>
        <w:t xml:space="preserve">afin que ces derniers puissent fournir une </w:t>
      </w:r>
      <w:r w:rsidR="00A03C71" w:rsidRPr="0033051E">
        <w:rPr>
          <w:lang w:val="fr-FR"/>
        </w:rPr>
        <w:t xml:space="preserve">assistance </w:t>
      </w:r>
      <w:r w:rsidR="0033051E">
        <w:rPr>
          <w:lang w:val="fr-FR"/>
        </w:rPr>
        <w:t>technique efficace aux États parties qui souhaitent é</w:t>
      </w:r>
      <w:r w:rsidR="00A03C71" w:rsidRPr="0033051E">
        <w:rPr>
          <w:lang w:val="fr-FR"/>
        </w:rPr>
        <w:t>labor</w:t>
      </w:r>
      <w:r w:rsidR="0033051E">
        <w:rPr>
          <w:lang w:val="fr-FR"/>
        </w:rPr>
        <w:t>er des demandes d’a</w:t>
      </w:r>
      <w:r w:rsidR="00AC0ECC" w:rsidRPr="0033051E">
        <w:rPr>
          <w:lang w:val="fr-FR"/>
        </w:rPr>
        <w:t>ssistance internationale</w:t>
      </w:r>
      <w:r w:rsidR="00A03C71" w:rsidRPr="0033051E">
        <w:rPr>
          <w:lang w:val="fr-FR"/>
        </w:rPr>
        <w:t xml:space="preserve">, </w:t>
      </w:r>
      <w:r w:rsidR="0033051E">
        <w:rPr>
          <w:lang w:val="fr-FR"/>
        </w:rPr>
        <w:t xml:space="preserve">comme demandé par le </w:t>
      </w:r>
      <w:r w:rsidR="00A03C71" w:rsidRPr="0033051E">
        <w:rPr>
          <w:lang w:val="fr-FR"/>
        </w:rPr>
        <w:t xml:space="preserve">Bureau </w:t>
      </w:r>
      <w:r w:rsidR="0033051E">
        <w:rPr>
          <w:lang w:val="fr-FR"/>
        </w:rPr>
        <w:t xml:space="preserve">dans sa </w:t>
      </w:r>
      <w:r w:rsidR="00ED79A6" w:rsidRPr="002222A7">
        <w:rPr>
          <w:lang w:val="fr-FR"/>
        </w:rPr>
        <w:t>décision </w:t>
      </w:r>
      <w:hyperlink r:id="rId43" w:history="1">
        <w:r w:rsidR="00ED79A6" w:rsidRPr="008038C6">
          <w:rPr>
            <w:rStyle w:val="Hyperlink"/>
            <w:lang w:val="fr-FR"/>
          </w:rPr>
          <w:t>9.COM 2.BUR 1</w:t>
        </w:r>
      </w:hyperlink>
      <w:r w:rsidR="00A03C71" w:rsidRPr="008038C6">
        <w:rPr>
          <w:lang w:val="fr-FR"/>
        </w:rPr>
        <w:t>.</w:t>
      </w:r>
      <w:r w:rsidR="00A03C71" w:rsidRPr="0033051E">
        <w:rPr>
          <w:lang w:val="fr-FR"/>
        </w:rPr>
        <w:t xml:space="preserve"> </w:t>
      </w:r>
      <w:r w:rsidR="0033051E">
        <w:rPr>
          <w:lang w:val="fr-FR"/>
        </w:rPr>
        <w:t>Centré sur le retour d’</w:t>
      </w:r>
      <w:r w:rsidR="00A03C71" w:rsidRPr="0033051E">
        <w:rPr>
          <w:lang w:val="fr-FR"/>
        </w:rPr>
        <w:t>exp</w:t>
      </w:r>
      <w:r w:rsidR="0033051E">
        <w:rPr>
          <w:lang w:val="fr-FR"/>
        </w:rPr>
        <w:t>é</w:t>
      </w:r>
      <w:r w:rsidR="00A03C71" w:rsidRPr="0033051E">
        <w:rPr>
          <w:lang w:val="fr-FR"/>
        </w:rPr>
        <w:t>rience</w:t>
      </w:r>
      <w:r w:rsidR="0033051E">
        <w:rPr>
          <w:lang w:val="fr-FR"/>
        </w:rPr>
        <w:t xml:space="preserve"> actuel s’agissant du mécanisme </w:t>
      </w:r>
      <w:r w:rsidR="00A03C71" w:rsidRPr="0033051E">
        <w:rPr>
          <w:lang w:val="fr-FR"/>
        </w:rPr>
        <w:t>exp</w:t>
      </w:r>
      <w:r w:rsidR="0033051E">
        <w:rPr>
          <w:lang w:val="fr-FR"/>
        </w:rPr>
        <w:t>é</w:t>
      </w:r>
      <w:r w:rsidR="00A03C71" w:rsidRPr="0033051E">
        <w:rPr>
          <w:lang w:val="fr-FR"/>
        </w:rPr>
        <w:t xml:space="preserve">rimental </w:t>
      </w:r>
      <w:r w:rsidR="0033051E">
        <w:rPr>
          <w:lang w:val="fr-FR"/>
        </w:rPr>
        <w:t xml:space="preserve">visant à fournir une assistance technique </w:t>
      </w:r>
      <w:r w:rsidR="00A03C71" w:rsidRPr="0033051E">
        <w:rPr>
          <w:lang w:val="fr-FR"/>
        </w:rPr>
        <w:t>individuali</w:t>
      </w:r>
      <w:r w:rsidR="0033051E">
        <w:rPr>
          <w:lang w:val="fr-FR"/>
        </w:rPr>
        <w:t xml:space="preserve">sée aux États parties qui demandent une </w:t>
      </w:r>
      <w:r w:rsidR="0033051E" w:rsidRPr="0033051E">
        <w:rPr>
          <w:lang w:val="fr-FR"/>
        </w:rPr>
        <w:t xml:space="preserve">assistance </w:t>
      </w:r>
      <w:r w:rsidR="00AC0ECC" w:rsidRPr="0033051E">
        <w:rPr>
          <w:lang w:val="fr-FR"/>
        </w:rPr>
        <w:t xml:space="preserve">internationale </w:t>
      </w:r>
      <w:r w:rsidR="0033051E">
        <w:rPr>
          <w:lang w:val="fr-FR"/>
        </w:rPr>
        <w:t>au Fonds</w:t>
      </w:r>
      <w:r>
        <w:rPr>
          <w:lang w:val="fr-FR"/>
        </w:rPr>
        <w:t xml:space="preserve"> du patrimoine culturel immatériel</w:t>
      </w:r>
      <w:r w:rsidR="00A03C71" w:rsidRPr="0033051E">
        <w:rPr>
          <w:lang w:val="fr-FR"/>
        </w:rPr>
        <w:t xml:space="preserve">, </w:t>
      </w:r>
      <w:r w:rsidR="0033051E">
        <w:rPr>
          <w:lang w:val="fr-FR"/>
        </w:rPr>
        <w:t>l’atelier a également passé en revue d’autres types d’</w:t>
      </w:r>
      <w:r w:rsidR="00A03C71" w:rsidRPr="0033051E">
        <w:rPr>
          <w:lang w:val="fr-FR"/>
        </w:rPr>
        <w:t xml:space="preserve">efforts </w:t>
      </w:r>
      <w:r w:rsidR="0033051E">
        <w:rPr>
          <w:lang w:val="fr-FR"/>
        </w:rPr>
        <w:t xml:space="preserve">en cours ou prévus par le </w:t>
      </w:r>
      <w:r w:rsidR="00C77767" w:rsidRPr="0033051E">
        <w:rPr>
          <w:lang w:val="fr-FR"/>
        </w:rPr>
        <w:t>Secrétariat</w:t>
      </w:r>
      <w:r w:rsidR="00A03C71" w:rsidRPr="0033051E">
        <w:rPr>
          <w:lang w:val="fr-FR"/>
        </w:rPr>
        <w:t xml:space="preserve"> </w:t>
      </w:r>
      <w:r w:rsidR="0033051E">
        <w:rPr>
          <w:lang w:val="fr-FR"/>
        </w:rPr>
        <w:t xml:space="preserve">pour </w:t>
      </w:r>
      <w:r w:rsidR="00A03C71" w:rsidRPr="0033051E">
        <w:rPr>
          <w:lang w:val="fr-FR"/>
        </w:rPr>
        <w:t>(i)</w:t>
      </w:r>
      <w:r w:rsidR="004C05CF">
        <w:rPr>
          <w:lang w:val="fr-FR"/>
        </w:rPr>
        <w:t> </w:t>
      </w:r>
      <w:r w:rsidR="0033051E">
        <w:rPr>
          <w:lang w:val="fr-FR"/>
        </w:rPr>
        <w:t xml:space="preserve">fournir des </w:t>
      </w:r>
      <w:r w:rsidR="00A03C71" w:rsidRPr="0033051E">
        <w:rPr>
          <w:lang w:val="fr-FR"/>
        </w:rPr>
        <w:t>information</w:t>
      </w:r>
      <w:r w:rsidR="0033051E">
        <w:rPr>
          <w:lang w:val="fr-FR"/>
        </w:rPr>
        <w:t>s</w:t>
      </w:r>
      <w:r w:rsidR="00A03C71" w:rsidRPr="0033051E">
        <w:rPr>
          <w:lang w:val="fr-FR"/>
        </w:rPr>
        <w:t xml:space="preserve"> </w:t>
      </w:r>
      <w:r w:rsidR="0033051E">
        <w:rPr>
          <w:lang w:val="fr-FR"/>
        </w:rPr>
        <w:t xml:space="preserve">complètes aux États parties sur les </w:t>
      </w:r>
      <w:r w:rsidR="00A03C71" w:rsidRPr="0033051E">
        <w:rPr>
          <w:lang w:val="fr-FR"/>
        </w:rPr>
        <w:t>crit</w:t>
      </w:r>
      <w:r w:rsidR="0033051E">
        <w:rPr>
          <w:lang w:val="fr-FR"/>
        </w:rPr>
        <w:t xml:space="preserve">ères et </w:t>
      </w:r>
      <w:r w:rsidR="00A03C71" w:rsidRPr="0033051E">
        <w:rPr>
          <w:lang w:val="fr-FR"/>
        </w:rPr>
        <w:t>proc</w:t>
      </w:r>
      <w:r w:rsidR="0033051E">
        <w:rPr>
          <w:lang w:val="fr-FR"/>
        </w:rPr>
        <w:t>é</w:t>
      </w:r>
      <w:r w:rsidR="00A03C71" w:rsidRPr="0033051E">
        <w:rPr>
          <w:lang w:val="fr-FR"/>
        </w:rPr>
        <w:t xml:space="preserve">dures </w:t>
      </w:r>
      <w:r w:rsidR="0033051E">
        <w:rPr>
          <w:lang w:val="fr-FR"/>
        </w:rPr>
        <w:t xml:space="preserve">de demande d’une telle </w:t>
      </w:r>
      <w:r w:rsidR="00A03C71" w:rsidRPr="0033051E">
        <w:rPr>
          <w:lang w:val="fr-FR"/>
        </w:rPr>
        <w:t>assistance</w:t>
      </w:r>
      <w:r w:rsidR="0033051E">
        <w:rPr>
          <w:lang w:val="fr-FR"/>
        </w:rPr>
        <w:t> </w:t>
      </w:r>
      <w:r w:rsidR="00A03C71" w:rsidRPr="0033051E">
        <w:rPr>
          <w:lang w:val="fr-FR"/>
        </w:rPr>
        <w:t>; (ii)</w:t>
      </w:r>
      <w:r w:rsidR="004C05CF">
        <w:rPr>
          <w:lang w:val="fr-FR"/>
        </w:rPr>
        <w:t> </w:t>
      </w:r>
      <w:r w:rsidR="0033051E">
        <w:rPr>
          <w:lang w:val="fr-FR"/>
        </w:rPr>
        <w:t xml:space="preserve">développer des outils </w:t>
      </w:r>
      <w:r w:rsidR="00A03C71" w:rsidRPr="0033051E">
        <w:rPr>
          <w:lang w:val="fr-FR"/>
        </w:rPr>
        <w:t>pra</w:t>
      </w:r>
      <w:r w:rsidR="0033051E">
        <w:rPr>
          <w:lang w:val="fr-FR"/>
        </w:rPr>
        <w:t xml:space="preserve">tiques pour </w:t>
      </w:r>
      <w:r w:rsidR="00A03C71" w:rsidRPr="0033051E">
        <w:rPr>
          <w:lang w:val="fr-FR"/>
        </w:rPr>
        <w:t>facilit</w:t>
      </w:r>
      <w:r w:rsidR="0033051E">
        <w:rPr>
          <w:lang w:val="fr-FR"/>
        </w:rPr>
        <w:t xml:space="preserve">er la </w:t>
      </w:r>
      <w:r w:rsidR="0033051E" w:rsidRPr="0033051E">
        <w:rPr>
          <w:lang w:val="fr-FR"/>
        </w:rPr>
        <w:t>préparation</w:t>
      </w:r>
      <w:r w:rsidR="00A03C71" w:rsidRPr="0033051E">
        <w:rPr>
          <w:lang w:val="fr-FR"/>
        </w:rPr>
        <w:t xml:space="preserve"> </w:t>
      </w:r>
      <w:r w:rsidR="004C05CF">
        <w:rPr>
          <w:lang w:val="fr-FR"/>
        </w:rPr>
        <w:t xml:space="preserve">des calendriers et </w:t>
      </w:r>
      <w:r w:rsidR="00A03C71" w:rsidRPr="0033051E">
        <w:rPr>
          <w:lang w:val="fr-FR"/>
        </w:rPr>
        <w:t xml:space="preserve">budgets </w:t>
      </w:r>
      <w:r w:rsidR="004C05CF">
        <w:rPr>
          <w:lang w:val="fr-FR"/>
        </w:rPr>
        <w:t>des demandes d’a</w:t>
      </w:r>
      <w:r w:rsidR="00AC0ECC" w:rsidRPr="0033051E">
        <w:rPr>
          <w:lang w:val="fr-FR"/>
        </w:rPr>
        <w:t>ssistance internationale</w:t>
      </w:r>
      <w:r w:rsidR="004C05CF">
        <w:rPr>
          <w:lang w:val="fr-FR"/>
        </w:rPr>
        <w:t> </w:t>
      </w:r>
      <w:r w:rsidR="00A03C71" w:rsidRPr="0033051E">
        <w:rPr>
          <w:lang w:val="fr-FR"/>
        </w:rPr>
        <w:t xml:space="preserve">; </w:t>
      </w:r>
      <w:r w:rsidR="004C05CF">
        <w:rPr>
          <w:lang w:val="fr-FR"/>
        </w:rPr>
        <w:t xml:space="preserve">et </w:t>
      </w:r>
      <w:r w:rsidR="00A03C71" w:rsidRPr="0033051E">
        <w:rPr>
          <w:lang w:val="fr-FR"/>
        </w:rPr>
        <w:t>(iii)</w:t>
      </w:r>
      <w:r w:rsidR="004C05CF">
        <w:rPr>
          <w:lang w:val="fr-FR"/>
        </w:rPr>
        <w:t xml:space="preserve"> étendre les supports pédagogiques </w:t>
      </w:r>
      <w:r w:rsidR="00A03C71" w:rsidRPr="0033051E">
        <w:rPr>
          <w:lang w:val="fr-FR"/>
        </w:rPr>
        <w:t>exist</w:t>
      </w:r>
      <w:r w:rsidR="004C05CF">
        <w:rPr>
          <w:lang w:val="fr-FR"/>
        </w:rPr>
        <w:t xml:space="preserve">ants du programme </w:t>
      </w:r>
      <w:r w:rsidR="00A03C71" w:rsidRPr="0033051E">
        <w:rPr>
          <w:lang w:val="fr-FR"/>
        </w:rPr>
        <w:t xml:space="preserve">global </w:t>
      </w:r>
      <w:r w:rsidR="004C05CF">
        <w:rPr>
          <w:lang w:val="fr-FR"/>
        </w:rPr>
        <w:t>de renforcement des capacités pour qu’ils incluent un traitement complet de l’a</w:t>
      </w:r>
      <w:r w:rsidR="00F2064E" w:rsidRPr="0033051E">
        <w:rPr>
          <w:lang w:val="fr-FR"/>
        </w:rPr>
        <w:t>ssistance internationale</w:t>
      </w:r>
      <w:r w:rsidR="00A03C71" w:rsidRPr="0033051E">
        <w:rPr>
          <w:lang w:val="fr-FR"/>
        </w:rPr>
        <w:t>.</w:t>
      </w:r>
    </w:p>
    <w:p w14:paraId="4A53B282" w14:textId="1A7CF212" w:rsidR="004D0BB0" w:rsidRDefault="004D0BB0" w:rsidP="004D0BB0">
      <w:pPr>
        <w:pStyle w:val="COMPara"/>
        <w:numPr>
          <w:ilvl w:val="0"/>
          <w:numId w:val="9"/>
        </w:numPr>
        <w:ind w:left="567" w:hanging="567"/>
        <w:jc w:val="both"/>
        <w:rPr>
          <w:lang w:val="fr-FR"/>
        </w:rPr>
      </w:pPr>
      <w:r>
        <w:rPr>
          <w:lang w:val="fr-FR"/>
        </w:rPr>
        <w:t xml:space="preserve">Afin de fournir des orientations aux États membres sur la façon de préparer une candidature à la Liste </w:t>
      </w:r>
      <w:r w:rsidRPr="009C0A2B">
        <w:rPr>
          <w:lang w:val="fr-FR"/>
        </w:rPr>
        <w:t>du patrimoine culturel immatériel nécessitant une sauvegarde urgente et à la Liste représentative du patrimoine culturel immatériel de l’humanité</w:t>
      </w:r>
      <w:r>
        <w:rPr>
          <w:lang w:val="fr-FR"/>
        </w:rPr>
        <w:t xml:space="preserve">, </w:t>
      </w:r>
      <w:r w:rsidR="004F5FB7">
        <w:rPr>
          <w:lang w:val="fr-FR"/>
        </w:rPr>
        <w:t>comprenant l’élaboration de plans de sauvegarde, et suite à la demande de la huitième session du Comité (Bakou, Azerbaïdjan, décembre 2013), deux aide-mémoires ont été préparés par le Secrétariat et étaient disponible</w:t>
      </w:r>
      <w:r w:rsidR="00C63E0A">
        <w:rPr>
          <w:lang w:val="fr-FR"/>
        </w:rPr>
        <w:t>s</w:t>
      </w:r>
      <w:r w:rsidR="004F5FB7">
        <w:rPr>
          <w:lang w:val="fr-FR"/>
        </w:rPr>
        <w:t xml:space="preserve"> sur le site Internet en 2014. </w:t>
      </w:r>
      <w:r w:rsidR="004F5FB7" w:rsidRPr="00F863D7">
        <w:rPr>
          <w:lang w:val="fr-FR"/>
        </w:rPr>
        <w:t xml:space="preserve">Un </w:t>
      </w:r>
      <w:hyperlink r:id="rId44" w:history="1">
        <w:r w:rsidR="004F5FB7" w:rsidRPr="00F863D7">
          <w:rPr>
            <w:rStyle w:val="Hyperlink"/>
            <w:lang w:val="fr-FR"/>
          </w:rPr>
          <w:t>troisième aide-mémoire</w:t>
        </w:r>
      </w:hyperlink>
      <w:r w:rsidR="004F5FB7">
        <w:rPr>
          <w:lang w:val="fr-FR"/>
        </w:rPr>
        <w:t xml:space="preserve"> fournissant aux États soumissionnaires des informations utiles pour l’élaboration de demandes d’assistance internationale, y compris la conception de plans de sauvegarde, a été également préparé et </w:t>
      </w:r>
      <w:r w:rsidR="00D01C74">
        <w:rPr>
          <w:lang w:val="fr-FR"/>
        </w:rPr>
        <w:t>était</w:t>
      </w:r>
      <w:r w:rsidR="004F5FB7">
        <w:rPr>
          <w:lang w:val="fr-FR"/>
        </w:rPr>
        <w:t xml:space="preserve"> disponible en ligne en anglais et en français en 2015</w:t>
      </w:r>
      <w:r w:rsidR="00C63E0A">
        <w:rPr>
          <w:lang w:val="fr-FR"/>
        </w:rPr>
        <w:t>.</w:t>
      </w:r>
    </w:p>
    <w:p w14:paraId="14CAA793" w14:textId="17D9AE55" w:rsidR="00A03C71" w:rsidRPr="0033051E" w:rsidRDefault="004F23A3" w:rsidP="00A03C71">
      <w:pPr>
        <w:pStyle w:val="COMPara"/>
        <w:numPr>
          <w:ilvl w:val="0"/>
          <w:numId w:val="9"/>
        </w:numPr>
        <w:ind w:left="567" w:hanging="567"/>
        <w:jc w:val="both"/>
        <w:rPr>
          <w:lang w:val="fr-FR"/>
        </w:rPr>
      </w:pPr>
      <w:r>
        <w:rPr>
          <w:lang w:val="fr-FR"/>
        </w:rPr>
        <w:t xml:space="preserve">En </w:t>
      </w:r>
      <w:r w:rsidR="00A03C71" w:rsidRPr="0033051E">
        <w:rPr>
          <w:lang w:val="fr-FR"/>
        </w:rPr>
        <w:t>conj</w:t>
      </w:r>
      <w:r>
        <w:rPr>
          <w:lang w:val="fr-FR"/>
        </w:rPr>
        <w:t>o</w:t>
      </w:r>
      <w:r w:rsidR="00A03C71" w:rsidRPr="0033051E">
        <w:rPr>
          <w:lang w:val="fr-FR"/>
        </w:rPr>
        <w:t xml:space="preserve">nction </w:t>
      </w:r>
      <w:r>
        <w:rPr>
          <w:lang w:val="fr-FR"/>
        </w:rPr>
        <w:t xml:space="preserve">avec sa </w:t>
      </w:r>
      <w:r w:rsidR="00A03C71" w:rsidRPr="0033051E">
        <w:rPr>
          <w:lang w:val="fr-FR"/>
        </w:rPr>
        <w:t>d</w:t>
      </w:r>
      <w:r>
        <w:rPr>
          <w:lang w:val="fr-FR"/>
        </w:rPr>
        <w:t>é</w:t>
      </w:r>
      <w:r w:rsidR="00A03C71" w:rsidRPr="0033051E">
        <w:rPr>
          <w:lang w:val="fr-FR"/>
        </w:rPr>
        <w:t>cision</w:t>
      </w:r>
      <w:r>
        <w:rPr>
          <w:lang w:val="fr-FR"/>
        </w:rPr>
        <w:t xml:space="preserve">, à sa huitième </w:t>
      </w:r>
      <w:r w:rsidR="00A03C71" w:rsidRPr="0033051E">
        <w:rPr>
          <w:lang w:val="fr-FR"/>
        </w:rPr>
        <w:t>session</w:t>
      </w:r>
      <w:r>
        <w:rPr>
          <w:lang w:val="fr-FR"/>
        </w:rPr>
        <w:t xml:space="preserve">, </w:t>
      </w:r>
      <w:r w:rsidR="0096106D">
        <w:rPr>
          <w:lang w:val="fr-FR"/>
        </w:rPr>
        <w:t xml:space="preserve">de </w:t>
      </w:r>
      <w:r>
        <w:rPr>
          <w:lang w:val="fr-FR"/>
        </w:rPr>
        <w:t>créer un mécanisme intégré</w:t>
      </w:r>
      <w:r w:rsidR="0096106D">
        <w:rPr>
          <w:lang w:val="fr-FR"/>
        </w:rPr>
        <w:t xml:space="preserve"> permettant </w:t>
      </w:r>
      <w:r>
        <w:rPr>
          <w:lang w:val="fr-FR"/>
        </w:rPr>
        <w:t xml:space="preserve">aux États parties de proposer </w:t>
      </w:r>
      <w:r w:rsidR="00201100">
        <w:rPr>
          <w:lang w:val="fr-FR"/>
        </w:rPr>
        <w:t xml:space="preserve">simultanément </w:t>
      </w:r>
      <w:r>
        <w:rPr>
          <w:lang w:val="fr-FR"/>
        </w:rPr>
        <w:t xml:space="preserve">l’inscription d’un </w:t>
      </w:r>
      <w:r w:rsidRPr="0033051E">
        <w:rPr>
          <w:lang w:val="fr-FR"/>
        </w:rPr>
        <w:t>élément</w:t>
      </w:r>
      <w:r w:rsidR="00A03C71" w:rsidRPr="0033051E">
        <w:rPr>
          <w:lang w:val="fr-FR"/>
        </w:rPr>
        <w:t xml:space="preserve"> </w:t>
      </w:r>
      <w:r>
        <w:rPr>
          <w:lang w:val="fr-FR"/>
        </w:rPr>
        <w:t xml:space="preserve">sur la Liste de sauvegarde urgente et de </w:t>
      </w:r>
      <w:r w:rsidR="005B7F8C">
        <w:rPr>
          <w:lang w:val="fr-FR"/>
        </w:rPr>
        <w:t xml:space="preserve">formuler </w:t>
      </w:r>
      <w:r w:rsidR="0096106D">
        <w:rPr>
          <w:lang w:val="fr-FR"/>
        </w:rPr>
        <w:t xml:space="preserve">une </w:t>
      </w:r>
      <w:r>
        <w:rPr>
          <w:lang w:val="fr-FR"/>
        </w:rPr>
        <w:t xml:space="preserve">demande </w:t>
      </w:r>
      <w:r w:rsidR="0096106D">
        <w:rPr>
          <w:lang w:val="fr-FR"/>
        </w:rPr>
        <w:t>d’</w:t>
      </w:r>
      <w:r>
        <w:rPr>
          <w:lang w:val="fr-FR"/>
        </w:rPr>
        <w:t>a</w:t>
      </w:r>
      <w:r w:rsidR="00AC0ECC" w:rsidRPr="0033051E">
        <w:rPr>
          <w:lang w:val="fr-FR"/>
        </w:rPr>
        <w:t xml:space="preserve">ssistance internationale </w:t>
      </w:r>
      <w:r w:rsidR="0096106D">
        <w:rPr>
          <w:lang w:val="fr-FR"/>
        </w:rPr>
        <w:t xml:space="preserve">au </w:t>
      </w:r>
      <w:r>
        <w:rPr>
          <w:lang w:val="fr-FR"/>
        </w:rPr>
        <w:t xml:space="preserve">Fonds </w:t>
      </w:r>
      <w:r w:rsidR="005B7F8C">
        <w:rPr>
          <w:lang w:val="fr-FR"/>
        </w:rPr>
        <w:t>du p</w:t>
      </w:r>
      <w:r>
        <w:rPr>
          <w:lang w:val="fr-FR"/>
        </w:rPr>
        <w:t xml:space="preserve">atrimoine culturel immatériel afin de </w:t>
      </w:r>
      <w:r w:rsidR="00A03C71" w:rsidRPr="0033051E">
        <w:rPr>
          <w:lang w:val="fr-FR"/>
        </w:rPr>
        <w:t>finance</w:t>
      </w:r>
      <w:r>
        <w:rPr>
          <w:lang w:val="fr-FR"/>
        </w:rPr>
        <w:t>r</w:t>
      </w:r>
      <w:r w:rsidR="00A03C71" w:rsidRPr="0033051E">
        <w:rPr>
          <w:lang w:val="fr-FR"/>
        </w:rPr>
        <w:t xml:space="preserve"> </w:t>
      </w:r>
      <w:r>
        <w:rPr>
          <w:lang w:val="fr-FR"/>
        </w:rPr>
        <w:t>le plan de sauvegarde proposé</w:t>
      </w:r>
      <w:r w:rsidR="0096106D">
        <w:rPr>
          <w:lang w:val="fr-FR"/>
        </w:rPr>
        <w:t xml:space="preserve">, le </w:t>
      </w:r>
      <w:r w:rsidR="00436FE5">
        <w:rPr>
          <w:lang w:val="fr-FR"/>
        </w:rPr>
        <w:t xml:space="preserve">Comité a </w:t>
      </w:r>
      <w:r>
        <w:rPr>
          <w:lang w:val="fr-FR"/>
        </w:rPr>
        <w:t xml:space="preserve">demandé au </w:t>
      </w:r>
      <w:r w:rsidR="00C77767" w:rsidRPr="0033051E">
        <w:rPr>
          <w:lang w:val="fr-FR"/>
        </w:rPr>
        <w:t>Secrétariat</w:t>
      </w:r>
      <w:r w:rsidR="00A03C71" w:rsidRPr="0033051E">
        <w:rPr>
          <w:lang w:val="fr-FR"/>
        </w:rPr>
        <w:t xml:space="preserve"> </w:t>
      </w:r>
      <w:r>
        <w:rPr>
          <w:lang w:val="fr-FR"/>
        </w:rPr>
        <w:t xml:space="preserve">de </w:t>
      </w:r>
      <w:r w:rsidR="00A03C71" w:rsidRPr="0033051E">
        <w:rPr>
          <w:lang w:val="fr-FR"/>
        </w:rPr>
        <w:t>cr</w:t>
      </w:r>
      <w:r>
        <w:rPr>
          <w:lang w:val="fr-FR"/>
        </w:rPr>
        <w:t xml:space="preserve">éer un formulaire </w:t>
      </w:r>
      <w:r w:rsidR="00A03C71" w:rsidRPr="0033051E">
        <w:rPr>
          <w:lang w:val="fr-FR"/>
        </w:rPr>
        <w:t>combin</w:t>
      </w:r>
      <w:r>
        <w:rPr>
          <w:lang w:val="fr-FR"/>
        </w:rPr>
        <w:t xml:space="preserve">é </w:t>
      </w:r>
      <w:r w:rsidR="00A03C71" w:rsidRPr="0033051E">
        <w:rPr>
          <w:lang w:val="fr-FR"/>
        </w:rPr>
        <w:t xml:space="preserve">ICH-01 </w:t>
      </w:r>
      <w:r>
        <w:rPr>
          <w:lang w:val="fr-FR"/>
        </w:rPr>
        <w:t xml:space="preserve">et </w:t>
      </w:r>
      <w:r w:rsidR="00A03C71" w:rsidRPr="0033051E">
        <w:rPr>
          <w:lang w:val="fr-FR"/>
        </w:rPr>
        <w:t>ICH-04</w:t>
      </w:r>
      <w:r>
        <w:rPr>
          <w:lang w:val="fr-FR"/>
        </w:rPr>
        <w:t xml:space="preserve"> et de </w:t>
      </w:r>
      <w:r w:rsidR="00436FE5">
        <w:rPr>
          <w:lang w:val="fr-FR"/>
        </w:rPr>
        <w:t>soumettre un rapport</w:t>
      </w:r>
      <w:r>
        <w:rPr>
          <w:lang w:val="fr-FR"/>
        </w:rPr>
        <w:t xml:space="preserve"> à sa dixième </w:t>
      </w:r>
      <w:r w:rsidR="00A03C71" w:rsidRPr="0033051E">
        <w:rPr>
          <w:lang w:val="fr-FR"/>
        </w:rPr>
        <w:t xml:space="preserve">session </w:t>
      </w:r>
      <w:r>
        <w:rPr>
          <w:lang w:val="fr-FR"/>
        </w:rPr>
        <w:t xml:space="preserve">sur la mise en œuvre de ce </w:t>
      </w:r>
      <w:r w:rsidR="00A03C71" w:rsidRPr="0033051E">
        <w:rPr>
          <w:lang w:val="fr-FR"/>
        </w:rPr>
        <w:t>m</w:t>
      </w:r>
      <w:r>
        <w:rPr>
          <w:lang w:val="fr-FR"/>
        </w:rPr>
        <w:t xml:space="preserve">écanisme </w:t>
      </w:r>
      <w:r w:rsidR="00A03C71" w:rsidRPr="0033051E">
        <w:rPr>
          <w:lang w:val="fr-FR"/>
        </w:rPr>
        <w:t>(</w:t>
      </w:r>
      <w:hyperlink r:id="rId45" w:history="1">
        <w:r w:rsidR="00B52B06" w:rsidRPr="00B52B06">
          <w:rPr>
            <w:rStyle w:val="Hyperlink"/>
            <w:lang w:val="fr-FR"/>
          </w:rPr>
          <w:t>décision 8.COM 7.c</w:t>
        </w:r>
      </w:hyperlink>
      <w:r w:rsidR="00A03C71" w:rsidRPr="0033051E">
        <w:rPr>
          <w:lang w:val="fr-FR"/>
        </w:rPr>
        <w:t xml:space="preserve">.). </w:t>
      </w:r>
      <w:r>
        <w:rPr>
          <w:lang w:val="fr-FR"/>
        </w:rPr>
        <w:t>Par conséquent</w:t>
      </w:r>
      <w:r w:rsidR="00A03C71" w:rsidRPr="0033051E">
        <w:rPr>
          <w:lang w:val="fr-FR"/>
        </w:rPr>
        <w:t xml:space="preserve">, </w:t>
      </w:r>
      <w:r>
        <w:rPr>
          <w:lang w:val="fr-FR"/>
        </w:rPr>
        <w:t xml:space="preserve">le formulaire </w:t>
      </w:r>
      <w:r w:rsidR="00A03C71" w:rsidRPr="0033051E">
        <w:rPr>
          <w:lang w:val="fr-FR"/>
        </w:rPr>
        <w:t xml:space="preserve">ICH-01bis </w:t>
      </w:r>
      <w:r>
        <w:rPr>
          <w:lang w:val="fr-FR"/>
        </w:rPr>
        <w:t>a été é</w:t>
      </w:r>
      <w:r w:rsidR="00A03C71" w:rsidRPr="0033051E">
        <w:rPr>
          <w:lang w:val="fr-FR"/>
        </w:rPr>
        <w:t>labor</w:t>
      </w:r>
      <w:r>
        <w:rPr>
          <w:lang w:val="fr-FR"/>
        </w:rPr>
        <w:t xml:space="preserve">é par le </w:t>
      </w:r>
      <w:r w:rsidR="00C77767" w:rsidRPr="0033051E">
        <w:rPr>
          <w:lang w:val="fr-FR"/>
        </w:rPr>
        <w:t>Secrétariat</w:t>
      </w:r>
      <w:r w:rsidR="00A03C71" w:rsidRPr="0033051E">
        <w:rPr>
          <w:lang w:val="fr-FR"/>
        </w:rPr>
        <w:t xml:space="preserve"> </w:t>
      </w:r>
      <w:r>
        <w:rPr>
          <w:lang w:val="fr-FR"/>
        </w:rPr>
        <w:t xml:space="preserve">et mis en ligne sur le site </w:t>
      </w:r>
      <w:r w:rsidR="00A03C71" w:rsidRPr="0033051E">
        <w:rPr>
          <w:lang w:val="fr-FR"/>
        </w:rPr>
        <w:t>web</w:t>
      </w:r>
      <w:r>
        <w:rPr>
          <w:lang w:val="fr-FR"/>
        </w:rPr>
        <w:t xml:space="preserve"> en novembre </w:t>
      </w:r>
      <w:r w:rsidR="00A03C71" w:rsidRPr="0033051E">
        <w:rPr>
          <w:lang w:val="fr-FR"/>
        </w:rPr>
        <w:t xml:space="preserve">2014. </w:t>
      </w:r>
      <w:r w:rsidR="00F11433">
        <w:rPr>
          <w:lang w:val="fr-FR"/>
        </w:rPr>
        <w:t xml:space="preserve">Au moment de la rédaction de ce rapport, seule une demande utilisant le formulaire combiné </w:t>
      </w:r>
      <w:r w:rsidR="00F11433" w:rsidRPr="0033051E">
        <w:rPr>
          <w:lang w:val="fr-FR"/>
        </w:rPr>
        <w:t>ICH-01bis</w:t>
      </w:r>
      <w:r w:rsidR="00F11433">
        <w:rPr>
          <w:lang w:val="fr-FR"/>
        </w:rPr>
        <w:t xml:space="preserve"> a été soumise au Secrétariat. </w:t>
      </w:r>
    </w:p>
    <w:p w14:paraId="3D8B5CAA" w14:textId="6CEF6966" w:rsidR="00A03C71" w:rsidRPr="0033051E" w:rsidRDefault="004F23A3" w:rsidP="00A03C71">
      <w:pPr>
        <w:pStyle w:val="COMPara"/>
        <w:numPr>
          <w:ilvl w:val="0"/>
          <w:numId w:val="9"/>
        </w:numPr>
        <w:ind w:left="567" w:hanging="567"/>
        <w:jc w:val="both"/>
        <w:rPr>
          <w:lang w:val="fr-FR"/>
        </w:rPr>
      </w:pPr>
      <w:r>
        <w:rPr>
          <w:lang w:val="fr-FR"/>
        </w:rPr>
        <w:t xml:space="preserve">Pendant la </w:t>
      </w:r>
      <w:r w:rsidR="000C694D" w:rsidRPr="0033051E">
        <w:rPr>
          <w:lang w:val="fr-FR"/>
        </w:rPr>
        <w:t xml:space="preserve">période </w:t>
      </w:r>
      <w:r w:rsidR="005B7F8C">
        <w:rPr>
          <w:lang w:val="fr-FR"/>
        </w:rPr>
        <w:t>considérée</w:t>
      </w:r>
      <w:r w:rsidR="00A03C71" w:rsidRPr="0033051E">
        <w:rPr>
          <w:lang w:val="fr-FR"/>
        </w:rPr>
        <w:t xml:space="preserve">, </w:t>
      </w:r>
      <w:r>
        <w:rPr>
          <w:lang w:val="fr-FR"/>
        </w:rPr>
        <w:t xml:space="preserve">trois </w:t>
      </w:r>
      <w:r w:rsidRPr="0033051E">
        <w:rPr>
          <w:lang w:val="fr-FR"/>
        </w:rPr>
        <w:t>éléments</w:t>
      </w:r>
      <w:r w:rsidR="00A03C71" w:rsidRPr="0033051E">
        <w:rPr>
          <w:lang w:val="fr-FR"/>
        </w:rPr>
        <w:t xml:space="preserve"> </w:t>
      </w:r>
      <w:r>
        <w:rPr>
          <w:lang w:val="fr-FR"/>
        </w:rPr>
        <w:t xml:space="preserve">ont été </w:t>
      </w:r>
      <w:r w:rsidR="00A03C71" w:rsidRPr="0033051E">
        <w:rPr>
          <w:lang w:val="fr-FR"/>
        </w:rPr>
        <w:t>inscri</w:t>
      </w:r>
      <w:r>
        <w:rPr>
          <w:lang w:val="fr-FR"/>
        </w:rPr>
        <w:t xml:space="preserve">ts sur la </w:t>
      </w:r>
      <w:r w:rsidR="00A03C71" w:rsidRPr="0033051E">
        <w:rPr>
          <w:lang w:val="fr-FR"/>
        </w:rPr>
        <w:t>List</w:t>
      </w:r>
      <w:r>
        <w:rPr>
          <w:lang w:val="fr-FR"/>
        </w:rPr>
        <w:t>e</w:t>
      </w:r>
      <w:r w:rsidR="00A03C71" w:rsidRPr="0033051E">
        <w:rPr>
          <w:lang w:val="fr-FR"/>
        </w:rPr>
        <w:t xml:space="preserve"> </w:t>
      </w:r>
      <w:r>
        <w:rPr>
          <w:lang w:val="fr-FR"/>
        </w:rPr>
        <w:t xml:space="preserve">du </w:t>
      </w:r>
      <w:r w:rsidR="0096106D">
        <w:rPr>
          <w:lang w:val="fr-FR"/>
        </w:rPr>
        <w:t>p</w:t>
      </w:r>
      <w:r>
        <w:rPr>
          <w:lang w:val="fr-FR"/>
        </w:rPr>
        <w:t xml:space="preserve">atrimoine culturel immatériel </w:t>
      </w:r>
      <w:r w:rsidR="00462AE2" w:rsidRPr="00AE317A">
        <w:rPr>
          <w:lang w:val="fr-FR"/>
        </w:rPr>
        <w:t>nécessitant une sauvegarde urgente</w:t>
      </w:r>
      <w:r w:rsidR="0096106D">
        <w:rPr>
          <w:lang w:val="fr-FR"/>
        </w:rPr>
        <w:t>,</w:t>
      </w:r>
      <w:r w:rsidR="00462AE2">
        <w:rPr>
          <w:lang w:val="fr-FR"/>
        </w:rPr>
        <w:t xml:space="preserve"> qui compte maintenant </w:t>
      </w:r>
      <w:r w:rsidR="00C62464">
        <w:rPr>
          <w:lang w:val="fr-FR"/>
        </w:rPr>
        <w:t>43</w:t>
      </w:r>
      <w:r w:rsidR="00462AE2">
        <w:rPr>
          <w:lang w:val="fr-FR"/>
        </w:rPr>
        <w:t> éléments</w:t>
      </w:r>
      <w:r w:rsidR="00A03C71" w:rsidRPr="0033051E">
        <w:rPr>
          <w:lang w:val="fr-FR"/>
        </w:rPr>
        <w:t xml:space="preserve">, </w:t>
      </w:r>
      <w:r w:rsidR="00462AE2">
        <w:rPr>
          <w:lang w:val="fr-FR"/>
        </w:rPr>
        <w:t xml:space="preserve">et </w:t>
      </w:r>
      <w:r w:rsidR="00C62464">
        <w:rPr>
          <w:lang w:val="fr-FR"/>
        </w:rPr>
        <w:t>57</w:t>
      </w:r>
      <w:r w:rsidR="00462AE2">
        <w:rPr>
          <w:lang w:val="fr-FR"/>
        </w:rPr>
        <w:t> éléments</w:t>
      </w:r>
      <w:r w:rsidR="00A03C71" w:rsidRPr="0033051E">
        <w:rPr>
          <w:lang w:val="fr-FR"/>
        </w:rPr>
        <w:t xml:space="preserve"> </w:t>
      </w:r>
      <w:r w:rsidR="00462AE2">
        <w:rPr>
          <w:lang w:val="fr-FR"/>
        </w:rPr>
        <w:t xml:space="preserve">sur la Liste </w:t>
      </w:r>
      <w:r w:rsidR="00462AE2" w:rsidRPr="0033051E">
        <w:rPr>
          <w:lang w:val="fr-FR"/>
        </w:rPr>
        <w:t>repr</w:t>
      </w:r>
      <w:r w:rsidR="00462AE2">
        <w:rPr>
          <w:lang w:val="fr-FR"/>
        </w:rPr>
        <w:t>é</w:t>
      </w:r>
      <w:r w:rsidR="00462AE2" w:rsidRPr="0033051E">
        <w:rPr>
          <w:lang w:val="fr-FR"/>
        </w:rPr>
        <w:t xml:space="preserve">sentative </w:t>
      </w:r>
      <w:r w:rsidR="00DF30B0">
        <w:rPr>
          <w:lang w:val="fr-FR"/>
        </w:rPr>
        <w:t>du patrimoine culturel immatériel de l’h</w:t>
      </w:r>
      <w:r w:rsidR="00A03C71" w:rsidRPr="0033051E">
        <w:rPr>
          <w:lang w:val="fr-FR"/>
        </w:rPr>
        <w:t>umanit</w:t>
      </w:r>
      <w:r w:rsidR="00DF30B0">
        <w:rPr>
          <w:lang w:val="fr-FR"/>
        </w:rPr>
        <w:t>é</w:t>
      </w:r>
      <w:r w:rsidR="00A03C71" w:rsidRPr="0033051E">
        <w:rPr>
          <w:lang w:val="fr-FR"/>
        </w:rPr>
        <w:t xml:space="preserve">. </w:t>
      </w:r>
      <w:r w:rsidR="00407232">
        <w:rPr>
          <w:lang w:val="fr-FR"/>
        </w:rPr>
        <w:t xml:space="preserve">Sur les </w:t>
      </w:r>
      <w:r w:rsidR="00C62464">
        <w:rPr>
          <w:lang w:val="fr-FR"/>
        </w:rPr>
        <w:t>167</w:t>
      </w:r>
      <w:r w:rsidR="00407232">
        <w:rPr>
          <w:lang w:val="fr-FR"/>
        </w:rPr>
        <w:t xml:space="preserve"> États parties </w:t>
      </w:r>
      <w:r w:rsidR="00A03C71" w:rsidRPr="0033051E">
        <w:rPr>
          <w:lang w:val="fr-FR"/>
        </w:rPr>
        <w:t>(</w:t>
      </w:r>
      <w:r w:rsidR="00407232">
        <w:rPr>
          <w:lang w:val="fr-FR"/>
        </w:rPr>
        <w:t xml:space="preserve">au </w:t>
      </w:r>
      <w:r w:rsidR="00C62464">
        <w:rPr>
          <w:lang w:val="fr-FR"/>
        </w:rPr>
        <w:t>23 mars 2016</w:t>
      </w:r>
      <w:r w:rsidR="00A03C71" w:rsidRPr="0033051E">
        <w:rPr>
          <w:lang w:val="fr-FR"/>
        </w:rPr>
        <w:t xml:space="preserve">), </w:t>
      </w:r>
      <w:r w:rsidR="00C62464">
        <w:rPr>
          <w:lang w:val="fr-FR"/>
        </w:rPr>
        <w:t>dix</w:t>
      </w:r>
      <w:r w:rsidR="00407232">
        <w:rPr>
          <w:lang w:val="fr-FR"/>
        </w:rPr>
        <w:t xml:space="preserve">, dont </w:t>
      </w:r>
      <w:r w:rsidR="00C62464">
        <w:rPr>
          <w:lang w:val="fr-FR"/>
        </w:rPr>
        <w:t>trois</w:t>
      </w:r>
      <w:r w:rsidR="00407232">
        <w:rPr>
          <w:lang w:val="fr-FR"/>
        </w:rPr>
        <w:t xml:space="preserve"> États africains, ont connu une première inscription sur la Liste représentative du patrimoine culturel immatériel de l’humanité</w:t>
      </w:r>
      <w:r w:rsidR="00A03C71" w:rsidRPr="0033051E">
        <w:rPr>
          <w:lang w:val="fr-FR"/>
        </w:rPr>
        <w:t xml:space="preserve"> </w:t>
      </w:r>
      <w:r w:rsidR="00407232">
        <w:rPr>
          <w:lang w:val="fr-FR"/>
        </w:rPr>
        <w:t xml:space="preserve">en </w:t>
      </w:r>
      <w:r w:rsidR="00A03C71" w:rsidRPr="0033051E">
        <w:rPr>
          <w:lang w:val="fr-FR"/>
        </w:rPr>
        <w:t>2014</w:t>
      </w:r>
      <w:r w:rsidR="00C62464">
        <w:rPr>
          <w:lang w:val="fr-FR"/>
        </w:rPr>
        <w:t xml:space="preserve"> et 2015</w:t>
      </w:r>
      <w:r w:rsidR="00A03C71" w:rsidRPr="0033051E">
        <w:rPr>
          <w:lang w:val="fr-FR"/>
        </w:rPr>
        <w:t xml:space="preserve">, </w:t>
      </w:r>
      <w:r w:rsidR="00407232">
        <w:rPr>
          <w:lang w:val="fr-FR"/>
        </w:rPr>
        <w:t>qui compt</w:t>
      </w:r>
      <w:r w:rsidR="0096106D">
        <w:rPr>
          <w:lang w:val="fr-FR"/>
        </w:rPr>
        <w:t>e</w:t>
      </w:r>
      <w:r w:rsidR="00407232">
        <w:rPr>
          <w:lang w:val="fr-FR"/>
        </w:rPr>
        <w:t xml:space="preserve"> </w:t>
      </w:r>
      <w:r w:rsidR="00C62464">
        <w:rPr>
          <w:lang w:val="fr-FR"/>
        </w:rPr>
        <w:t>désormais</w:t>
      </w:r>
      <w:r w:rsidR="00407232">
        <w:rPr>
          <w:lang w:val="fr-FR"/>
        </w:rPr>
        <w:t xml:space="preserve"> </w:t>
      </w:r>
      <w:r w:rsidR="00C62464">
        <w:rPr>
          <w:lang w:val="fr-FR"/>
        </w:rPr>
        <w:t>336</w:t>
      </w:r>
      <w:r w:rsidR="00407232">
        <w:rPr>
          <w:lang w:val="fr-FR"/>
        </w:rPr>
        <w:t> </w:t>
      </w:r>
      <w:r w:rsidR="00462AE2">
        <w:rPr>
          <w:lang w:val="fr-FR"/>
        </w:rPr>
        <w:t>éléments</w:t>
      </w:r>
      <w:r w:rsidR="00A03C71" w:rsidRPr="0033051E">
        <w:rPr>
          <w:lang w:val="fr-FR"/>
        </w:rPr>
        <w:t>.</w:t>
      </w:r>
      <w:r w:rsidR="00407232">
        <w:rPr>
          <w:lang w:val="fr-FR"/>
        </w:rPr>
        <w:t xml:space="preserve"> À sa septième </w:t>
      </w:r>
      <w:r w:rsidR="00A03C71" w:rsidRPr="0033051E">
        <w:rPr>
          <w:lang w:val="fr-FR"/>
        </w:rPr>
        <w:t xml:space="preserve">session, </w:t>
      </w:r>
      <w:r w:rsidR="00407232">
        <w:rPr>
          <w:lang w:val="fr-FR"/>
        </w:rPr>
        <w:t xml:space="preserve">le Comité a </w:t>
      </w:r>
      <w:r w:rsidR="00A03C71" w:rsidRPr="0033051E">
        <w:rPr>
          <w:lang w:val="fr-FR"/>
        </w:rPr>
        <w:t>d</w:t>
      </w:r>
      <w:r w:rsidR="00407232">
        <w:rPr>
          <w:lang w:val="fr-FR"/>
        </w:rPr>
        <w:t>écidé d’établir une ressource en ligne</w:t>
      </w:r>
      <w:r w:rsidR="00A03C71" w:rsidRPr="0033051E">
        <w:rPr>
          <w:lang w:val="fr-FR"/>
        </w:rPr>
        <w:t xml:space="preserve">, </w:t>
      </w:r>
      <w:r w:rsidR="00407232">
        <w:rPr>
          <w:lang w:val="fr-FR"/>
        </w:rPr>
        <w:t>le mécanisme</w:t>
      </w:r>
      <w:r w:rsidR="005B7F8C">
        <w:rPr>
          <w:lang w:val="fr-FR"/>
        </w:rPr>
        <w:t xml:space="preserve"> de p</w:t>
      </w:r>
      <w:r w:rsidR="00407232">
        <w:rPr>
          <w:lang w:val="fr-FR"/>
        </w:rPr>
        <w:t xml:space="preserve">artage </w:t>
      </w:r>
      <w:r w:rsidR="005B7F8C">
        <w:rPr>
          <w:lang w:val="fr-FR"/>
        </w:rPr>
        <w:t xml:space="preserve">d’information </w:t>
      </w:r>
      <w:r w:rsidR="00407232">
        <w:rPr>
          <w:lang w:val="fr-FR"/>
        </w:rPr>
        <w:t>pour encourager les dossiers m</w:t>
      </w:r>
      <w:r w:rsidR="00A03C71" w:rsidRPr="0033051E">
        <w:rPr>
          <w:lang w:val="fr-FR"/>
        </w:rPr>
        <w:t>ultinationa</w:t>
      </w:r>
      <w:r w:rsidR="00407232">
        <w:rPr>
          <w:lang w:val="fr-FR"/>
        </w:rPr>
        <w:t xml:space="preserve">ux </w:t>
      </w:r>
      <w:r w:rsidR="00A03C71" w:rsidRPr="0033051E">
        <w:rPr>
          <w:lang w:val="fr-FR"/>
        </w:rPr>
        <w:t>(</w:t>
      </w:r>
      <w:hyperlink r:id="rId46" w:history="1">
        <w:r w:rsidR="00407232">
          <w:rPr>
            <w:rStyle w:val="Hyperlink"/>
            <w:lang w:val="fr-FR"/>
          </w:rPr>
          <w:t>do</w:t>
        </w:r>
        <w:r w:rsidR="00A03C71" w:rsidRPr="0033051E">
          <w:rPr>
            <w:rStyle w:val="Hyperlink"/>
            <w:lang w:val="fr-FR"/>
          </w:rPr>
          <w:t>cument ITH/12/7.COM/14</w:t>
        </w:r>
      </w:hyperlink>
      <w:r w:rsidR="00A03C71" w:rsidRPr="0033051E">
        <w:rPr>
          <w:lang w:val="fr-FR"/>
        </w:rPr>
        <w:t xml:space="preserve">), </w:t>
      </w:r>
      <w:r w:rsidR="00407232">
        <w:rPr>
          <w:lang w:val="fr-FR"/>
        </w:rPr>
        <w:t xml:space="preserve">grâce auquel les États parties peuvent, s’ils le souhaitent, </w:t>
      </w:r>
      <w:r w:rsidR="00A03C71" w:rsidRPr="0033051E">
        <w:rPr>
          <w:lang w:val="fr-FR"/>
        </w:rPr>
        <w:t>anno</w:t>
      </w:r>
      <w:r w:rsidR="00407232">
        <w:rPr>
          <w:lang w:val="fr-FR"/>
        </w:rPr>
        <w:t xml:space="preserve">ncer leurs </w:t>
      </w:r>
      <w:r w:rsidR="00A03C71" w:rsidRPr="0033051E">
        <w:rPr>
          <w:lang w:val="fr-FR"/>
        </w:rPr>
        <w:t xml:space="preserve">intentions </w:t>
      </w:r>
      <w:r w:rsidR="00407232">
        <w:rPr>
          <w:lang w:val="fr-FR"/>
        </w:rPr>
        <w:t xml:space="preserve">en matière de soumission de dossiers, les autres États parties pouvant ainsi être informés des occasions de coopération pour élaborer des dossiers </w:t>
      </w:r>
      <w:r w:rsidR="00A03C71" w:rsidRPr="0033051E">
        <w:rPr>
          <w:lang w:val="fr-FR"/>
        </w:rPr>
        <w:t>multinationa</w:t>
      </w:r>
      <w:r w:rsidR="00407232">
        <w:rPr>
          <w:lang w:val="fr-FR"/>
        </w:rPr>
        <w:t>ux</w:t>
      </w:r>
      <w:r w:rsidR="00A03C71" w:rsidRPr="0033051E">
        <w:rPr>
          <w:lang w:val="fr-FR"/>
        </w:rPr>
        <w:t xml:space="preserve">. </w:t>
      </w:r>
      <w:r w:rsidR="00407232">
        <w:rPr>
          <w:lang w:val="fr-FR"/>
        </w:rPr>
        <w:t xml:space="preserve">Le </w:t>
      </w:r>
      <w:r w:rsidR="00C77767" w:rsidRPr="0033051E">
        <w:rPr>
          <w:lang w:val="fr-FR"/>
        </w:rPr>
        <w:t>Secrétariat</w:t>
      </w:r>
      <w:r w:rsidR="00A03C71" w:rsidRPr="0033051E">
        <w:rPr>
          <w:lang w:val="fr-FR"/>
        </w:rPr>
        <w:t xml:space="preserve"> </w:t>
      </w:r>
      <w:r w:rsidR="00407232">
        <w:rPr>
          <w:lang w:val="fr-FR"/>
        </w:rPr>
        <w:t>a pré</w:t>
      </w:r>
      <w:r w:rsidR="00A03C71" w:rsidRPr="0033051E">
        <w:rPr>
          <w:lang w:val="fr-FR"/>
        </w:rPr>
        <w:t>par</w:t>
      </w:r>
      <w:r w:rsidR="00407232">
        <w:rPr>
          <w:lang w:val="fr-FR"/>
        </w:rPr>
        <w:t xml:space="preserve">é cette </w:t>
      </w:r>
      <w:hyperlink r:id="rId47" w:history="1">
        <w:r w:rsidR="00407232">
          <w:rPr>
            <w:rStyle w:val="Hyperlink"/>
            <w:lang w:val="fr-FR"/>
          </w:rPr>
          <w:t>plateforme en ligne</w:t>
        </w:r>
      </w:hyperlink>
      <w:r w:rsidR="00A03C71" w:rsidRPr="0033051E">
        <w:rPr>
          <w:lang w:val="fr-FR"/>
        </w:rPr>
        <w:t xml:space="preserve"> </w:t>
      </w:r>
      <w:r w:rsidR="00407232">
        <w:rPr>
          <w:lang w:val="fr-FR"/>
        </w:rPr>
        <w:t>et l’a inté</w:t>
      </w:r>
      <w:r w:rsidR="00A03C71" w:rsidRPr="0033051E">
        <w:rPr>
          <w:lang w:val="fr-FR"/>
        </w:rPr>
        <w:t>gr</w:t>
      </w:r>
      <w:r w:rsidR="00407232">
        <w:rPr>
          <w:lang w:val="fr-FR"/>
        </w:rPr>
        <w:t xml:space="preserve">ée au </w:t>
      </w:r>
      <w:r w:rsidR="00A03C71" w:rsidRPr="0033051E">
        <w:rPr>
          <w:lang w:val="fr-FR"/>
        </w:rPr>
        <w:t>site</w:t>
      </w:r>
      <w:r w:rsidR="00407232">
        <w:rPr>
          <w:lang w:val="fr-FR"/>
        </w:rPr>
        <w:t xml:space="preserve"> web </w:t>
      </w:r>
      <w:r w:rsidR="00407232" w:rsidRPr="002222A7">
        <w:rPr>
          <w:lang w:val="fr-FR"/>
        </w:rPr>
        <w:t xml:space="preserve">en </w:t>
      </w:r>
      <w:r w:rsidR="00A03C71" w:rsidRPr="002222A7">
        <w:rPr>
          <w:lang w:val="fr-FR"/>
        </w:rPr>
        <w:t>2014</w:t>
      </w:r>
      <w:r w:rsidR="00A03C71" w:rsidRPr="0033051E">
        <w:rPr>
          <w:lang w:val="fr-FR"/>
        </w:rPr>
        <w:t xml:space="preserve">. </w:t>
      </w:r>
      <w:r w:rsidR="00407232">
        <w:rPr>
          <w:lang w:val="fr-FR"/>
        </w:rPr>
        <w:t xml:space="preserve">Trois </w:t>
      </w:r>
      <w:r w:rsidR="00A03C71" w:rsidRPr="0033051E">
        <w:rPr>
          <w:lang w:val="fr-FR"/>
        </w:rPr>
        <w:t xml:space="preserve">intentions </w:t>
      </w:r>
      <w:r w:rsidR="00407232">
        <w:rPr>
          <w:lang w:val="fr-FR"/>
        </w:rPr>
        <w:t xml:space="preserve">de candidature d’un </w:t>
      </w:r>
      <w:r w:rsidR="00462AE2">
        <w:rPr>
          <w:lang w:val="fr-FR"/>
        </w:rPr>
        <w:t>élément</w:t>
      </w:r>
      <w:r w:rsidR="00A03C71" w:rsidRPr="0033051E">
        <w:rPr>
          <w:lang w:val="fr-FR"/>
        </w:rPr>
        <w:t xml:space="preserve"> </w:t>
      </w:r>
      <w:r w:rsidR="00407232">
        <w:rPr>
          <w:lang w:val="fr-FR"/>
        </w:rPr>
        <w:t>ont été incluses dans la plateforme en ligne au moment de la rédaction de ce rapport</w:t>
      </w:r>
      <w:r w:rsidR="00A03C71" w:rsidRPr="0033051E">
        <w:rPr>
          <w:lang w:val="fr-FR"/>
        </w:rPr>
        <w:t xml:space="preserve">. </w:t>
      </w:r>
    </w:p>
    <w:p w14:paraId="266EAA52" w14:textId="0D8D5E4C" w:rsidR="00A03C71" w:rsidRPr="0033051E" w:rsidRDefault="0086220B" w:rsidP="00A03C71">
      <w:pPr>
        <w:pStyle w:val="COMPara"/>
        <w:numPr>
          <w:ilvl w:val="0"/>
          <w:numId w:val="9"/>
        </w:numPr>
        <w:ind w:left="567" w:hanging="567"/>
        <w:jc w:val="both"/>
        <w:rPr>
          <w:lang w:val="fr-FR"/>
        </w:rPr>
      </w:pPr>
      <w:r w:rsidRPr="0086220B">
        <w:rPr>
          <w:lang w:val="fr-FR"/>
        </w:rPr>
        <w:t>Conformément</w:t>
      </w:r>
      <w:r w:rsidR="00A03C71" w:rsidRPr="0086220B">
        <w:rPr>
          <w:lang w:val="fr-FR"/>
        </w:rPr>
        <w:t xml:space="preserve"> </w:t>
      </w:r>
      <w:r w:rsidRPr="0086220B">
        <w:rPr>
          <w:lang w:val="fr-FR"/>
        </w:rPr>
        <w:t>à la demande du Comité pour que les États parties évitent les références inutiles, dans l’intitulé des éléments, à des pays en particulier ou l’emploi d’adjectifs de nationalité pouvant involontairement susciter des sentiments contraires au principe de coopération internationale de la Convention</w:t>
      </w:r>
      <w:r>
        <w:rPr>
          <w:lang w:val="fr-FR"/>
        </w:rPr>
        <w:t xml:space="preserve"> </w:t>
      </w:r>
      <w:r w:rsidR="00A03C71" w:rsidRPr="0033051E">
        <w:rPr>
          <w:lang w:val="fr-FR"/>
        </w:rPr>
        <w:t>(</w:t>
      </w:r>
      <w:hyperlink r:id="rId48" w:history="1">
        <w:r w:rsidR="00E766DA" w:rsidRPr="00B52B06">
          <w:rPr>
            <w:rStyle w:val="Hyperlink"/>
            <w:lang w:val="fr-FR"/>
          </w:rPr>
          <w:t>décision 9.COM 10</w:t>
        </w:r>
      </w:hyperlink>
      <w:r>
        <w:rPr>
          <w:lang w:val="fr-FR"/>
        </w:rPr>
        <w:t xml:space="preserve">), le </w:t>
      </w:r>
      <w:r w:rsidR="00C77767" w:rsidRPr="0033051E">
        <w:rPr>
          <w:lang w:val="fr-FR"/>
        </w:rPr>
        <w:t>Secrétariat</w:t>
      </w:r>
      <w:r w:rsidR="00A03C71" w:rsidRPr="0033051E">
        <w:rPr>
          <w:lang w:val="fr-FR"/>
        </w:rPr>
        <w:t xml:space="preserve"> </w:t>
      </w:r>
      <w:r>
        <w:rPr>
          <w:lang w:val="fr-FR"/>
        </w:rPr>
        <w:t xml:space="preserve">a travaillé avec les États soumissionnaires afin d’aligner les </w:t>
      </w:r>
      <w:r w:rsidR="002260AA">
        <w:rPr>
          <w:lang w:val="fr-FR"/>
        </w:rPr>
        <w:t xml:space="preserve">titres </w:t>
      </w:r>
      <w:r>
        <w:rPr>
          <w:lang w:val="fr-FR"/>
        </w:rPr>
        <w:t xml:space="preserve">des candidatures avec la </w:t>
      </w:r>
      <w:r w:rsidR="00A03C71" w:rsidRPr="0033051E">
        <w:rPr>
          <w:lang w:val="fr-FR"/>
        </w:rPr>
        <w:t>d</w:t>
      </w:r>
      <w:r>
        <w:rPr>
          <w:lang w:val="fr-FR"/>
        </w:rPr>
        <w:t>é</w:t>
      </w:r>
      <w:r w:rsidR="00A03C71" w:rsidRPr="0033051E">
        <w:rPr>
          <w:lang w:val="fr-FR"/>
        </w:rPr>
        <w:t xml:space="preserve">cision </w:t>
      </w:r>
      <w:r>
        <w:rPr>
          <w:lang w:val="fr-FR"/>
        </w:rPr>
        <w:t>du Comité</w:t>
      </w:r>
      <w:r w:rsidR="00A03C71" w:rsidRPr="0033051E">
        <w:rPr>
          <w:lang w:val="fr-FR"/>
        </w:rPr>
        <w:t>.</w:t>
      </w:r>
    </w:p>
    <w:p w14:paraId="7E88C6FB" w14:textId="77777777" w:rsidR="00A03C71" w:rsidRPr="0033051E" w:rsidRDefault="0086220B" w:rsidP="00EE55A0">
      <w:pPr>
        <w:pStyle w:val="COMPara"/>
        <w:keepNext/>
        <w:keepLines/>
        <w:spacing w:before="360"/>
        <w:ind w:left="0" w:firstLine="0"/>
        <w:rPr>
          <w:b/>
          <w:lang w:val="fr-FR"/>
        </w:rPr>
      </w:pPr>
      <w:r>
        <w:rPr>
          <w:b/>
          <w:lang w:val="fr-FR"/>
        </w:rPr>
        <w:t>Indicateur de performance </w:t>
      </w:r>
      <w:r w:rsidR="00A03C71" w:rsidRPr="0033051E">
        <w:rPr>
          <w:b/>
          <w:lang w:val="fr-FR"/>
        </w:rPr>
        <w:t>5</w:t>
      </w:r>
      <w:r>
        <w:rPr>
          <w:b/>
          <w:lang w:val="fr-FR"/>
        </w:rPr>
        <w:t> </w:t>
      </w:r>
      <w:r w:rsidR="00A03C71" w:rsidRPr="0033051E">
        <w:rPr>
          <w:b/>
          <w:lang w:val="fr-FR"/>
        </w:rPr>
        <w:t xml:space="preserve">: </w:t>
      </w:r>
      <w:r w:rsidRPr="0086220B">
        <w:rPr>
          <w:b/>
          <w:lang w:val="fr-FR"/>
        </w:rPr>
        <w:t>Nombre de rapports périodiques sur la mise en œuvre de la Convention au niveau national soumis par les États parties et examinés par le Comité, et nombre de rapports traitant des questions de genre et décrivant des politiques favorisant l’égalité d’accès et la participation à la vie culturelle</w:t>
      </w:r>
    </w:p>
    <w:p w14:paraId="6046780E" w14:textId="38F8097C" w:rsidR="00A03C71" w:rsidRPr="0033051E" w:rsidRDefault="00DA3046" w:rsidP="00A03C71">
      <w:pPr>
        <w:pStyle w:val="COMPara"/>
        <w:numPr>
          <w:ilvl w:val="0"/>
          <w:numId w:val="9"/>
        </w:numPr>
        <w:ind w:left="567" w:hanging="567"/>
        <w:jc w:val="both"/>
        <w:rPr>
          <w:lang w:val="fr-FR"/>
        </w:rPr>
      </w:pPr>
      <w:r>
        <w:rPr>
          <w:lang w:val="fr-FR"/>
        </w:rPr>
        <w:t xml:space="preserve">Conformément aux Directives </w:t>
      </w:r>
      <w:r w:rsidRPr="0033051E">
        <w:rPr>
          <w:lang w:val="fr-FR"/>
        </w:rPr>
        <w:t>opération</w:t>
      </w:r>
      <w:r>
        <w:rPr>
          <w:lang w:val="fr-FR"/>
        </w:rPr>
        <w:t xml:space="preserve">nelles et aux orientations </w:t>
      </w:r>
      <w:r w:rsidR="00A03C71" w:rsidRPr="0033051E">
        <w:rPr>
          <w:lang w:val="fr-FR"/>
        </w:rPr>
        <w:t>adopt</w:t>
      </w:r>
      <w:r>
        <w:rPr>
          <w:lang w:val="fr-FR"/>
        </w:rPr>
        <w:t xml:space="preserve">ées par le Comité </w:t>
      </w:r>
      <w:r w:rsidRPr="0033051E">
        <w:rPr>
          <w:lang w:val="fr-FR"/>
        </w:rPr>
        <w:t>intergouvernemental</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 xml:space="preserve">a </w:t>
      </w:r>
      <w:r w:rsidR="00A03C71" w:rsidRPr="0033051E">
        <w:rPr>
          <w:lang w:val="fr-FR"/>
        </w:rPr>
        <w:t>inform</w:t>
      </w:r>
      <w:r>
        <w:rPr>
          <w:lang w:val="fr-FR"/>
        </w:rPr>
        <w:t xml:space="preserve">é les </w:t>
      </w:r>
      <w:r w:rsidR="00A03C71" w:rsidRPr="0033051E">
        <w:rPr>
          <w:lang w:val="fr-FR"/>
        </w:rPr>
        <w:t>19</w:t>
      </w:r>
      <w:r>
        <w:rPr>
          <w:lang w:val="fr-FR"/>
        </w:rPr>
        <w:t xml:space="preserve"> États parties qui ont ratifié la </w:t>
      </w:r>
      <w:r w:rsidR="00A03C71" w:rsidRPr="0033051E">
        <w:rPr>
          <w:lang w:val="fr-FR"/>
        </w:rPr>
        <w:t xml:space="preserve">Convention </w:t>
      </w:r>
      <w:r>
        <w:rPr>
          <w:lang w:val="fr-FR"/>
        </w:rPr>
        <w:t>e</w:t>
      </w:r>
      <w:r w:rsidR="00A03C71" w:rsidRPr="0033051E">
        <w:rPr>
          <w:lang w:val="fr-FR"/>
        </w:rPr>
        <w:t>n 2007</w:t>
      </w:r>
      <w:r w:rsidR="00D01C74">
        <w:rPr>
          <w:lang w:val="fr-FR"/>
        </w:rPr>
        <w:t>,</w:t>
      </w:r>
      <w:r>
        <w:rPr>
          <w:lang w:val="fr-FR"/>
        </w:rPr>
        <w:t xml:space="preserve"> les </w:t>
      </w:r>
      <w:r w:rsidR="00A03C71" w:rsidRPr="0033051E">
        <w:rPr>
          <w:lang w:val="fr-FR"/>
        </w:rPr>
        <w:t>19</w:t>
      </w:r>
      <w:r>
        <w:rPr>
          <w:lang w:val="fr-FR"/>
        </w:rPr>
        <w:t xml:space="preserve"> États parties qui l’ont </w:t>
      </w:r>
      <w:r w:rsidR="00A03C71" w:rsidRPr="0033051E">
        <w:rPr>
          <w:lang w:val="fr-FR"/>
        </w:rPr>
        <w:t>ratifi</w:t>
      </w:r>
      <w:r>
        <w:rPr>
          <w:lang w:val="fr-FR"/>
        </w:rPr>
        <w:t>é</w:t>
      </w:r>
      <w:r w:rsidR="0096106D">
        <w:rPr>
          <w:lang w:val="fr-FR"/>
        </w:rPr>
        <w:t>e</w:t>
      </w:r>
      <w:r>
        <w:rPr>
          <w:lang w:val="fr-FR"/>
        </w:rPr>
        <w:t xml:space="preserve"> en </w:t>
      </w:r>
      <w:r w:rsidR="00A03C71" w:rsidRPr="0033051E">
        <w:rPr>
          <w:lang w:val="fr-FR"/>
        </w:rPr>
        <w:t xml:space="preserve">2008 </w:t>
      </w:r>
      <w:r w:rsidR="00233033">
        <w:rPr>
          <w:lang w:val="fr-FR"/>
        </w:rPr>
        <w:t xml:space="preserve">et les 13 États parties qui ont ratifié la Convention en 2009 </w:t>
      </w:r>
      <w:r>
        <w:rPr>
          <w:lang w:val="fr-FR"/>
        </w:rPr>
        <w:t>de la date limite de soumission des rapports périodiques</w:t>
      </w:r>
      <w:r w:rsidR="0096106D">
        <w:rPr>
          <w:lang w:val="fr-FR"/>
        </w:rPr>
        <w:t xml:space="preserve"> fixée au </w:t>
      </w:r>
      <w:r w:rsidR="00A03C71" w:rsidRPr="0033051E">
        <w:rPr>
          <w:lang w:val="fr-FR"/>
        </w:rPr>
        <w:t>15</w:t>
      </w:r>
      <w:r>
        <w:rPr>
          <w:lang w:val="fr-FR"/>
        </w:rPr>
        <w:t> décembre, et ce, un an avant cette date limite</w:t>
      </w:r>
      <w:r w:rsidR="00A03C71" w:rsidRPr="0033051E">
        <w:rPr>
          <w:lang w:val="fr-FR"/>
        </w:rPr>
        <w:t xml:space="preserve">. </w:t>
      </w:r>
      <w:r w:rsidR="00690075">
        <w:rPr>
          <w:lang w:val="fr-FR"/>
        </w:rPr>
        <w:t xml:space="preserve">À ces </w:t>
      </w:r>
      <w:r w:rsidR="00233033">
        <w:rPr>
          <w:lang w:val="fr-FR"/>
        </w:rPr>
        <w:t>51</w:t>
      </w:r>
      <w:r w:rsidR="00690075">
        <w:rPr>
          <w:lang w:val="fr-FR"/>
        </w:rPr>
        <w:t xml:space="preserve"> États s’ajoutent </w:t>
      </w:r>
      <w:r w:rsidR="00A03C71" w:rsidRPr="0033051E">
        <w:rPr>
          <w:lang w:val="fr-FR"/>
        </w:rPr>
        <w:t>37</w:t>
      </w:r>
      <w:r w:rsidR="00690075">
        <w:rPr>
          <w:lang w:val="fr-FR"/>
        </w:rPr>
        <w:t> États qui</w:t>
      </w:r>
      <w:r w:rsidR="00A03C71" w:rsidRPr="0033051E">
        <w:rPr>
          <w:lang w:val="fr-FR"/>
        </w:rPr>
        <w:t xml:space="preserve">, </w:t>
      </w:r>
      <w:r w:rsidR="00690075">
        <w:rPr>
          <w:lang w:val="fr-FR"/>
        </w:rPr>
        <w:t xml:space="preserve">pour </w:t>
      </w:r>
      <w:r w:rsidR="00A03C71" w:rsidRPr="0033051E">
        <w:rPr>
          <w:lang w:val="fr-FR"/>
        </w:rPr>
        <w:t>diff</w:t>
      </w:r>
      <w:r w:rsidR="00690075">
        <w:rPr>
          <w:lang w:val="fr-FR"/>
        </w:rPr>
        <w:t>é</w:t>
      </w:r>
      <w:r w:rsidR="00A03C71" w:rsidRPr="0033051E">
        <w:rPr>
          <w:lang w:val="fr-FR"/>
        </w:rPr>
        <w:t>rent</w:t>
      </w:r>
      <w:r w:rsidR="00690075">
        <w:rPr>
          <w:lang w:val="fr-FR"/>
        </w:rPr>
        <w:t>es</w:t>
      </w:r>
      <w:r w:rsidR="00A03C71" w:rsidRPr="0033051E">
        <w:rPr>
          <w:lang w:val="fr-FR"/>
        </w:rPr>
        <w:t xml:space="preserve"> r</w:t>
      </w:r>
      <w:r w:rsidR="00690075">
        <w:rPr>
          <w:lang w:val="fr-FR"/>
        </w:rPr>
        <w:t>ai</w:t>
      </w:r>
      <w:r w:rsidR="00A03C71" w:rsidRPr="0033051E">
        <w:rPr>
          <w:lang w:val="fr-FR"/>
        </w:rPr>
        <w:t xml:space="preserve">sons, </w:t>
      </w:r>
      <w:r w:rsidR="00690075">
        <w:rPr>
          <w:lang w:val="fr-FR"/>
        </w:rPr>
        <w:t xml:space="preserve">n’ont pas soumis des rapports complets lors des </w:t>
      </w:r>
      <w:r w:rsidR="00A03C71" w:rsidRPr="0033051E">
        <w:rPr>
          <w:lang w:val="fr-FR"/>
        </w:rPr>
        <w:t>cycles</w:t>
      </w:r>
      <w:r w:rsidR="00690075">
        <w:rPr>
          <w:lang w:val="fr-FR"/>
        </w:rPr>
        <w:t xml:space="preserve"> précédents</w:t>
      </w:r>
      <w:r w:rsidR="00A03C71" w:rsidRPr="0033051E">
        <w:rPr>
          <w:lang w:val="fr-FR"/>
        </w:rPr>
        <w:t xml:space="preserve">. </w:t>
      </w:r>
      <w:r w:rsidR="00690075">
        <w:rPr>
          <w:lang w:val="fr-FR"/>
        </w:rPr>
        <w:t xml:space="preserve">Le </w:t>
      </w:r>
      <w:r w:rsidR="00C77767" w:rsidRPr="0033051E">
        <w:rPr>
          <w:lang w:val="fr-FR"/>
        </w:rPr>
        <w:t>Secrétariat</w:t>
      </w:r>
      <w:r w:rsidR="00A03C71" w:rsidRPr="0033051E">
        <w:rPr>
          <w:lang w:val="fr-FR"/>
        </w:rPr>
        <w:t xml:space="preserve"> </w:t>
      </w:r>
      <w:r w:rsidR="00690075">
        <w:rPr>
          <w:lang w:val="fr-FR"/>
        </w:rPr>
        <w:t xml:space="preserve">a </w:t>
      </w:r>
      <w:r w:rsidR="00A03C71" w:rsidRPr="0033051E">
        <w:rPr>
          <w:lang w:val="fr-FR"/>
        </w:rPr>
        <w:t>pr</w:t>
      </w:r>
      <w:r w:rsidR="00690075">
        <w:rPr>
          <w:lang w:val="fr-FR"/>
        </w:rPr>
        <w:t>é</w:t>
      </w:r>
      <w:r w:rsidR="00A03C71" w:rsidRPr="0033051E">
        <w:rPr>
          <w:lang w:val="fr-FR"/>
        </w:rPr>
        <w:t>par</w:t>
      </w:r>
      <w:r w:rsidR="00690075">
        <w:rPr>
          <w:lang w:val="fr-FR"/>
        </w:rPr>
        <w:t xml:space="preserve">é un </w:t>
      </w:r>
      <w:r w:rsidR="00A03C71" w:rsidRPr="0033051E">
        <w:rPr>
          <w:lang w:val="fr-FR"/>
        </w:rPr>
        <w:t xml:space="preserve">aide-mémoire </w:t>
      </w:r>
      <w:r w:rsidR="00690075">
        <w:rPr>
          <w:lang w:val="fr-FR"/>
        </w:rPr>
        <w:t xml:space="preserve">aidant à la finalisation du formulaire de rapport qui fournit aux États soumissionnaires des </w:t>
      </w:r>
      <w:r w:rsidR="00A03C71" w:rsidRPr="0033051E">
        <w:rPr>
          <w:lang w:val="fr-FR"/>
        </w:rPr>
        <w:t>information</w:t>
      </w:r>
      <w:r w:rsidR="00690075">
        <w:rPr>
          <w:lang w:val="fr-FR"/>
        </w:rPr>
        <w:t>s</w:t>
      </w:r>
      <w:r w:rsidR="00A03C71" w:rsidRPr="0033051E">
        <w:rPr>
          <w:lang w:val="fr-FR"/>
        </w:rPr>
        <w:t xml:space="preserve"> </w:t>
      </w:r>
      <w:r w:rsidR="00690075">
        <w:rPr>
          <w:lang w:val="fr-FR"/>
        </w:rPr>
        <w:t xml:space="preserve">utiles à la préparation de leur </w:t>
      </w:r>
      <w:r w:rsidR="00A03C71" w:rsidRPr="0033051E">
        <w:rPr>
          <w:lang w:val="fr-FR"/>
        </w:rPr>
        <w:t>r</w:t>
      </w:r>
      <w:r w:rsidR="0096106D">
        <w:rPr>
          <w:lang w:val="fr-FR"/>
        </w:rPr>
        <w:t>ap</w:t>
      </w:r>
      <w:r w:rsidR="00A03C71" w:rsidRPr="0033051E">
        <w:rPr>
          <w:lang w:val="fr-FR"/>
        </w:rPr>
        <w:t xml:space="preserve">port. </w:t>
      </w:r>
      <w:r w:rsidR="00690075">
        <w:rPr>
          <w:lang w:val="fr-FR"/>
        </w:rPr>
        <w:t xml:space="preserve">Sur les </w:t>
      </w:r>
      <w:r w:rsidR="00233033">
        <w:rPr>
          <w:lang w:val="fr-FR"/>
        </w:rPr>
        <w:t>88</w:t>
      </w:r>
      <w:r w:rsidR="00690075">
        <w:rPr>
          <w:lang w:val="fr-FR"/>
        </w:rPr>
        <w:t> États parties qui devaient soumettre un rapport pé</w:t>
      </w:r>
      <w:r w:rsidR="00A03C71" w:rsidRPr="0033051E">
        <w:rPr>
          <w:lang w:val="fr-FR"/>
        </w:rPr>
        <w:t>riodi</w:t>
      </w:r>
      <w:r w:rsidR="00690075">
        <w:rPr>
          <w:lang w:val="fr-FR"/>
        </w:rPr>
        <w:t xml:space="preserve">que pour examen pendant les cycles </w:t>
      </w:r>
      <w:r w:rsidR="00233033">
        <w:rPr>
          <w:lang w:val="fr-FR"/>
        </w:rPr>
        <w:t xml:space="preserve">2014, </w:t>
      </w:r>
      <w:r w:rsidR="00A03C71" w:rsidRPr="0033051E">
        <w:rPr>
          <w:lang w:val="fr-FR"/>
        </w:rPr>
        <w:t>2015</w:t>
      </w:r>
      <w:r w:rsidR="00233033">
        <w:rPr>
          <w:lang w:val="fr-FR"/>
        </w:rPr>
        <w:t xml:space="preserve"> et 2016</w:t>
      </w:r>
      <w:r w:rsidR="00690075">
        <w:rPr>
          <w:lang w:val="fr-FR"/>
        </w:rPr>
        <w:t xml:space="preserve">, </w:t>
      </w:r>
      <w:r w:rsidR="00233033">
        <w:rPr>
          <w:lang w:val="fr-FR"/>
        </w:rPr>
        <w:t>57</w:t>
      </w:r>
      <w:r w:rsidR="00690075">
        <w:rPr>
          <w:lang w:val="fr-FR"/>
        </w:rPr>
        <w:t xml:space="preserve"> ont soumis un rapport </w:t>
      </w:r>
      <w:r w:rsidR="00A03C71" w:rsidRPr="0033051E">
        <w:rPr>
          <w:lang w:val="fr-FR"/>
        </w:rPr>
        <w:t>final.</w:t>
      </w:r>
    </w:p>
    <w:p w14:paraId="0A788815" w14:textId="2CC3726B" w:rsidR="00A03C71" w:rsidRPr="0033051E" w:rsidRDefault="00E652C2" w:rsidP="00A03C71">
      <w:pPr>
        <w:pStyle w:val="COMPara"/>
        <w:numPr>
          <w:ilvl w:val="0"/>
          <w:numId w:val="9"/>
        </w:numPr>
        <w:ind w:left="567" w:hanging="567"/>
        <w:jc w:val="both"/>
        <w:rPr>
          <w:lang w:val="fr-FR"/>
        </w:rPr>
      </w:pPr>
      <w:r>
        <w:rPr>
          <w:lang w:val="fr-FR"/>
        </w:rPr>
        <w:t xml:space="preserve">Sur ces </w:t>
      </w:r>
      <w:r w:rsidR="00B54824">
        <w:rPr>
          <w:lang w:val="fr-FR"/>
        </w:rPr>
        <w:t>57</w:t>
      </w:r>
      <w:r>
        <w:rPr>
          <w:lang w:val="fr-FR"/>
        </w:rPr>
        <w:t> </w:t>
      </w:r>
      <w:r w:rsidR="00A03C71" w:rsidRPr="0033051E">
        <w:rPr>
          <w:lang w:val="fr-FR"/>
        </w:rPr>
        <w:t>r</w:t>
      </w:r>
      <w:r>
        <w:rPr>
          <w:lang w:val="fr-FR"/>
        </w:rPr>
        <w:t>ap</w:t>
      </w:r>
      <w:r w:rsidR="00A03C71" w:rsidRPr="0033051E">
        <w:rPr>
          <w:lang w:val="fr-FR"/>
        </w:rPr>
        <w:t xml:space="preserve">ports, 17 </w:t>
      </w:r>
      <w:r>
        <w:rPr>
          <w:lang w:val="fr-FR"/>
        </w:rPr>
        <w:t xml:space="preserve">étaient les rapports </w:t>
      </w:r>
      <w:r w:rsidR="00A03C71" w:rsidRPr="0033051E">
        <w:rPr>
          <w:lang w:val="fr-FR"/>
        </w:rPr>
        <w:t>fina</w:t>
      </w:r>
      <w:r>
        <w:rPr>
          <w:lang w:val="fr-FR"/>
        </w:rPr>
        <w:t xml:space="preserve">ux d’États initialement soumis pendant des cycles antérieurs </w:t>
      </w:r>
      <w:r w:rsidR="00A03C71" w:rsidRPr="0033051E">
        <w:rPr>
          <w:lang w:val="fr-FR"/>
        </w:rPr>
        <w:t xml:space="preserve">(1 </w:t>
      </w:r>
      <w:r>
        <w:rPr>
          <w:lang w:val="fr-FR"/>
        </w:rPr>
        <w:t>pendant le cycle </w:t>
      </w:r>
      <w:r w:rsidR="00A03C71" w:rsidRPr="0033051E">
        <w:rPr>
          <w:lang w:val="fr-FR"/>
        </w:rPr>
        <w:t xml:space="preserve">2012, 15 </w:t>
      </w:r>
      <w:r>
        <w:rPr>
          <w:lang w:val="fr-FR"/>
        </w:rPr>
        <w:t>pendant le cycle </w:t>
      </w:r>
      <w:r w:rsidR="00A03C71" w:rsidRPr="0033051E">
        <w:rPr>
          <w:lang w:val="fr-FR"/>
        </w:rPr>
        <w:t xml:space="preserve">2013, </w:t>
      </w:r>
      <w:r>
        <w:rPr>
          <w:lang w:val="fr-FR"/>
        </w:rPr>
        <w:t xml:space="preserve">et </w:t>
      </w:r>
      <w:r w:rsidR="00A03C71" w:rsidRPr="0033051E">
        <w:rPr>
          <w:lang w:val="fr-FR"/>
        </w:rPr>
        <w:t>1</w:t>
      </w:r>
      <w:r>
        <w:rPr>
          <w:lang w:val="fr-FR"/>
        </w:rPr>
        <w:t xml:space="preserve"> pendant le </w:t>
      </w:r>
      <w:r w:rsidR="00A03C71" w:rsidRPr="0033051E">
        <w:rPr>
          <w:lang w:val="fr-FR"/>
        </w:rPr>
        <w:t>cycle</w:t>
      </w:r>
      <w:r>
        <w:rPr>
          <w:lang w:val="fr-FR"/>
        </w:rPr>
        <w:t> </w:t>
      </w:r>
      <w:r w:rsidRPr="0033051E">
        <w:rPr>
          <w:lang w:val="fr-FR"/>
        </w:rPr>
        <w:t>2014</w:t>
      </w:r>
      <w:r w:rsidR="00A03C71" w:rsidRPr="0033051E">
        <w:rPr>
          <w:lang w:val="fr-FR"/>
        </w:rPr>
        <w:t xml:space="preserve">) </w:t>
      </w:r>
      <w:r>
        <w:rPr>
          <w:lang w:val="fr-FR"/>
        </w:rPr>
        <w:t xml:space="preserve">pour lesquels lesdits États souhaitent prendre un délai supplémentaire afin de fournir des informations manquantes </w:t>
      </w:r>
      <w:r w:rsidR="00A03C71" w:rsidRPr="0033051E">
        <w:rPr>
          <w:lang w:val="fr-FR"/>
        </w:rPr>
        <w:t>identifi</w:t>
      </w:r>
      <w:r>
        <w:rPr>
          <w:lang w:val="fr-FR"/>
        </w:rPr>
        <w:t xml:space="preserve">ées par le </w:t>
      </w:r>
      <w:r w:rsidR="00C77767" w:rsidRPr="0033051E">
        <w:rPr>
          <w:lang w:val="fr-FR"/>
        </w:rPr>
        <w:t>Secrétariat</w:t>
      </w:r>
      <w:r w:rsidR="00A03C71" w:rsidRPr="0033051E">
        <w:rPr>
          <w:lang w:val="fr-FR"/>
        </w:rPr>
        <w:t xml:space="preserve">. </w:t>
      </w:r>
      <w:r>
        <w:rPr>
          <w:lang w:val="fr-FR"/>
        </w:rPr>
        <w:t xml:space="preserve">Les </w:t>
      </w:r>
      <w:r w:rsidR="00B54824">
        <w:rPr>
          <w:lang w:val="fr-FR"/>
        </w:rPr>
        <w:t>40</w:t>
      </w:r>
      <w:r>
        <w:rPr>
          <w:lang w:val="fr-FR"/>
        </w:rPr>
        <w:t> </w:t>
      </w:r>
      <w:r w:rsidR="00A03C71" w:rsidRPr="0033051E">
        <w:rPr>
          <w:lang w:val="fr-FR"/>
        </w:rPr>
        <w:t>r</w:t>
      </w:r>
      <w:r>
        <w:rPr>
          <w:lang w:val="fr-FR"/>
        </w:rPr>
        <w:t>ap</w:t>
      </w:r>
      <w:r w:rsidR="00A03C71" w:rsidRPr="0033051E">
        <w:rPr>
          <w:lang w:val="fr-FR"/>
        </w:rPr>
        <w:t xml:space="preserve">ports </w:t>
      </w:r>
      <w:r>
        <w:rPr>
          <w:lang w:val="fr-FR"/>
        </w:rPr>
        <w:t xml:space="preserve">restants ont été soumis pour la première fois en décembre </w:t>
      </w:r>
      <w:r w:rsidR="00B54824">
        <w:rPr>
          <w:lang w:val="fr-FR"/>
        </w:rPr>
        <w:t xml:space="preserve">2013, </w:t>
      </w:r>
      <w:r>
        <w:rPr>
          <w:lang w:val="fr-FR"/>
        </w:rPr>
        <w:t xml:space="preserve">décembre </w:t>
      </w:r>
      <w:r w:rsidR="00A03C71" w:rsidRPr="0033051E">
        <w:rPr>
          <w:lang w:val="fr-FR"/>
        </w:rPr>
        <w:t>2014</w:t>
      </w:r>
      <w:r w:rsidR="00B54824">
        <w:rPr>
          <w:lang w:val="fr-FR"/>
        </w:rPr>
        <w:t xml:space="preserve"> et décembre 2015</w:t>
      </w:r>
      <w:r>
        <w:rPr>
          <w:lang w:val="fr-FR"/>
        </w:rPr>
        <w:t> </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les a en</w:t>
      </w:r>
      <w:r w:rsidR="00A03C71" w:rsidRPr="0033051E">
        <w:rPr>
          <w:lang w:val="fr-FR"/>
        </w:rPr>
        <w:t>regist</w:t>
      </w:r>
      <w:r>
        <w:rPr>
          <w:lang w:val="fr-FR"/>
        </w:rPr>
        <w:t>rés</w:t>
      </w:r>
      <w:r w:rsidR="00A03C71" w:rsidRPr="0033051E">
        <w:rPr>
          <w:lang w:val="fr-FR"/>
        </w:rPr>
        <w:t xml:space="preserve">, </w:t>
      </w:r>
      <w:r>
        <w:rPr>
          <w:lang w:val="fr-FR"/>
        </w:rPr>
        <w:t xml:space="preserve">a envoyé une </w:t>
      </w:r>
      <w:r w:rsidR="00A03C71" w:rsidRPr="0033051E">
        <w:rPr>
          <w:lang w:val="fr-FR"/>
        </w:rPr>
        <w:t>lett</w:t>
      </w:r>
      <w:r>
        <w:rPr>
          <w:lang w:val="fr-FR"/>
        </w:rPr>
        <w:t>re aux États parties pour en accuser réception</w:t>
      </w:r>
      <w:r w:rsidR="00A03C71" w:rsidRPr="0033051E">
        <w:rPr>
          <w:lang w:val="fr-FR"/>
        </w:rPr>
        <w:t xml:space="preserve">, </w:t>
      </w:r>
      <w:r>
        <w:rPr>
          <w:lang w:val="fr-FR"/>
        </w:rPr>
        <w:t>et a commencé leur examen</w:t>
      </w:r>
      <w:r w:rsidR="00A03C71" w:rsidRPr="0033051E">
        <w:rPr>
          <w:lang w:val="fr-FR"/>
        </w:rPr>
        <w:t xml:space="preserve">. </w:t>
      </w:r>
      <w:r>
        <w:rPr>
          <w:lang w:val="fr-FR"/>
        </w:rPr>
        <w:t xml:space="preserve">Conformément au </w:t>
      </w:r>
      <w:r w:rsidR="00A03C71" w:rsidRPr="0033051E">
        <w:rPr>
          <w:lang w:val="fr-FR"/>
        </w:rPr>
        <w:t>paragraph</w:t>
      </w:r>
      <w:r>
        <w:rPr>
          <w:lang w:val="fr-FR"/>
        </w:rPr>
        <w:t>e </w:t>
      </w:r>
      <w:r w:rsidR="00A03C71" w:rsidRPr="0033051E">
        <w:rPr>
          <w:lang w:val="fr-FR"/>
        </w:rPr>
        <w:t xml:space="preserve">165 </w:t>
      </w:r>
      <w:r>
        <w:rPr>
          <w:lang w:val="fr-FR"/>
        </w:rPr>
        <w:t xml:space="preserve">des </w:t>
      </w:r>
      <w:r w:rsidR="00A03C71" w:rsidRPr="0033051E">
        <w:rPr>
          <w:lang w:val="fr-FR"/>
        </w:rPr>
        <w:t>Directives</w:t>
      </w:r>
      <w:r>
        <w:rPr>
          <w:lang w:val="fr-FR"/>
        </w:rPr>
        <w:t xml:space="preserve"> </w:t>
      </w:r>
      <w:r w:rsidRPr="0033051E">
        <w:rPr>
          <w:lang w:val="fr-FR"/>
        </w:rPr>
        <w:t>opérationnel</w:t>
      </w:r>
      <w:r>
        <w:rPr>
          <w:lang w:val="fr-FR"/>
        </w:rPr>
        <w:t>les</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 xml:space="preserve">a </w:t>
      </w:r>
      <w:r w:rsidR="00A03C71" w:rsidRPr="0033051E">
        <w:rPr>
          <w:lang w:val="fr-FR"/>
        </w:rPr>
        <w:t>contact</w:t>
      </w:r>
      <w:r>
        <w:rPr>
          <w:lang w:val="fr-FR"/>
        </w:rPr>
        <w:t xml:space="preserve">é ces États parties pour les </w:t>
      </w:r>
      <w:r w:rsidR="00A03C71" w:rsidRPr="0033051E">
        <w:rPr>
          <w:lang w:val="fr-FR"/>
        </w:rPr>
        <w:t>inform</w:t>
      </w:r>
      <w:r>
        <w:rPr>
          <w:lang w:val="fr-FR"/>
        </w:rPr>
        <w:t>er</w:t>
      </w:r>
      <w:r w:rsidR="00A03C71" w:rsidRPr="0033051E">
        <w:rPr>
          <w:lang w:val="fr-FR"/>
        </w:rPr>
        <w:t xml:space="preserve"> </w:t>
      </w:r>
      <w:r>
        <w:rPr>
          <w:lang w:val="fr-FR"/>
        </w:rPr>
        <w:t xml:space="preserve">en cas d’informations manquantes et les a conseillés sur la manière de finaliser leur </w:t>
      </w:r>
      <w:r w:rsidR="00A03C71" w:rsidRPr="0033051E">
        <w:rPr>
          <w:lang w:val="fr-FR"/>
        </w:rPr>
        <w:t>r</w:t>
      </w:r>
      <w:r>
        <w:rPr>
          <w:lang w:val="fr-FR"/>
        </w:rPr>
        <w:t>ap</w:t>
      </w:r>
      <w:r w:rsidR="00A03C71" w:rsidRPr="0033051E">
        <w:rPr>
          <w:lang w:val="fr-FR"/>
        </w:rPr>
        <w:t xml:space="preserve">port. </w:t>
      </w:r>
      <w:r>
        <w:rPr>
          <w:lang w:val="fr-FR"/>
        </w:rPr>
        <w:t xml:space="preserve">Les </w:t>
      </w:r>
      <w:r w:rsidR="00A03C71" w:rsidRPr="0033051E">
        <w:rPr>
          <w:lang w:val="fr-FR"/>
        </w:rPr>
        <w:t>34</w:t>
      </w:r>
      <w:r>
        <w:rPr>
          <w:lang w:val="fr-FR"/>
        </w:rPr>
        <w:t> </w:t>
      </w:r>
      <w:r w:rsidR="00A03C71" w:rsidRPr="0033051E">
        <w:rPr>
          <w:lang w:val="fr-FR"/>
        </w:rPr>
        <w:t>r</w:t>
      </w:r>
      <w:r>
        <w:rPr>
          <w:lang w:val="fr-FR"/>
        </w:rPr>
        <w:t>ap</w:t>
      </w:r>
      <w:r w:rsidR="00A03C71" w:rsidRPr="0033051E">
        <w:rPr>
          <w:lang w:val="fr-FR"/>
        </w:rPr>
        <w:t xml:space="preserve">ports </w:t>
      </w:r>
      <w:r>
        <w:rPr>
          <w:lang w:val="fr-FR"/>
        </w:rPr>
        <w:t xml:space="preserve">finaux ont ensuite été soumis et ont fait l’objet d’un examen par le Comité avec les </w:t>
      </w:r>
      <w:r w:rsidR="00A03C71" w:rsidRPr="0033051E">
        <w:rPr>
          <w:lang w:val="fr-FR"/>
        </w:rPr>
        <w:t>17</w:t>
      </w:r>
      <w:r>
        <w:rPr>
          <w:lang w:val="fr-FR"/>
        </w:rPr>
        <w:t xml:space="preserve"> autres rapports </w:t>
      </w:r>
      <w:r w:rsidR="00A03C71" w:rsidRPr="0033051E">
        <w:rPr>
          <w:lang w:val="fr-FR"/>
        </w:rPr>
        <w:t>mention</w:t>
      </w:r>
      <w:r>
        <w:rPr>
          <w:lang w:val="fr-FR"/>
        </w:rPr>
        <w:t>nés ci-dessus</w:t>
      </w:r>
      <w:r w:rsidR="00A03C71" w:rsidRPr="0033051E">
        <w:rPr>
          <w:lang w:val="fr-FR"/>
        </w:rPr>
        <w:t xml:space="preserve">. </w:t>
      </w:r>
      <w:r>
        <w:rPr>
          <w:lang w:val="fr-FR"/>
        </w:rPr>
        <w:t>27 </w:t>
      </w:r>
      <w:r w:rsidR="00A03C71" w:rsidRPr="0033051E">
        <w:rPr>
          <w:lang w:val="fr-FR"/>
        </w:rPr>
        <w:t>r</w:t>
      </w:r>
      <w:r>
        <w:rPr>
          <w:lang w:val="fr-FR"/>
        </w:rPr>
        <w:t>ap</w:t>
      </w:r>
      <w:r w:rsidR="00A03C71" w:rsidRPr="0033051E">
        <w:rPr>
          <w:lang w:val="fr-FR"/>
        </w:rPr>
        <w:t xml:space="preserve">ports </w:t>
      </w:r>
      <w:r>
        <w:rPr>
          <w:lang w:val="fr-FR"/>
        </w:rPr>
        <w:t xml:space="preserve">ont été </w:t>
      </w:r>
      <w:r w:rsidR="00A03C71" w:rsidRPr="0033051E">
        <w:rPr>
          <w:lang w:val="fr-FR"/>
        </w:rPr>
        <w:t>examin</w:t>
      </w:r>
      <w:r>
        <w:rPr>
          <w:lang w:val="fr-FR"/>
        </w:rPr>
        <w:t xml:space="preserve">és par le Comité à sa neuvième </w:t>
      </w:r>
      <w:r w:rsidR="00A03C71" w:rsidRPr="0033051E">
        <w:rPr>
          <w:lang w:val="fr-FR"/>
        </w:rPr>
        <w:t xml:space="preserve">session </w:t>
      </w:r>
      <w:r w:rsidR="00B54824">
        <w:rPr>
          <w:lang w:val="fr-FR"/>
        </w:rPr>
        <w:t xml:space="preserve">en 2014 </w:t>
      </w:r>
      <w:r w:rsidR="0096106D">
        <w:rPr>
          <w:lang w:val="fr-FR"/>
        </w:rPr>
        <w:t>et</w:t>
      </w:r>
      <w:r w:rsidR="00A03C71" w:rsidRPr="0033051E">
        <w:rPr>
          <w:lang w:val="fr-FR"/>
        </w:rPr>
        <w:t xml:space="preserve"> 24</w:t>
      </w:r>
      <w:r>
        <w:rPr>
          <w:lang w:val="fr-FR"/>
        </w:rPr>
        <w:t> </w:t>
      </w:r>
      <w:r w:rsidR="00A03C71" w:rsidRPr="0033051E">
        <w:rPr>
          <w:lang w:val="fr-FR"/>
        </w:rPr>
        <w:t>r</w:t>
      </w:r>
      <w:r>
        <w:rPr>
          <w:lang w:val="fr-FR"/>
        </w:rPr>
        <w:t>ap</w:t>
      </w:r>
      <w:r w:rsidR="00A03C71" w:rsidRPr="0033051E">
        <w:rPr>
          <w:lang w:val="fr-FR"/>
        </w:rPr>
        <w:t xml:space="preserve">ports </w:t>
      </w:r>
      <w:r w:rsidR="00B54824">
        <w:rPr>
          <w:lang w:val="fr-FR"/>
        </w:rPr>
        <w:t>ont été</w:t>
      </w:r>
      <w:r>
        <w:rPr>
          <w:lang w:val="fr-FR"/>
        </w:rPr>
        <w:t xml:space="preserve"> </w:t>
      </w:r>
      <w:r w:rsidR="00A03C71" w:rsidRPr="0033051E">
        <w:rPr>
          <w:lang w:val="fr-FR"/>
        </w:rPr>
        <w:t>examin</w:t>
      </w:r>
      <w:r>
        <w:rPr>
          <w:lang w:val="fr-FR"/>
        </w:rPr>
        <w:t>é</w:t>
      </w:r>
      <w:r w:rsidR="0096106D">
        <w:rPr>
          <w:lang w:val="fr-FR"/>
        </w:rPr>
        <w:t>s</w:t>
      </w:r>
      <w:r>
        <w:rPr>
          <w:lang w:val="fr-FR"/>
        </w:rPr>
        <w:t xml:space="preserve"> par le Comité </w:t>
      </w:r>
      <w:r w:rsidR="00B54824">
        <w:rPr>
          <w:lang w:val="fr-FR"/>
        </w:rPr>
        <w:t>en 2015</w:t>
      </w:r>
      <w:r w:rsidR="00A03C71" w:rsidRPr="0033051E">
        <w:rPr>
          <w:lang w:val="fr-FR"/>
        </w:rPr>
        <w:t>.</w:t>
      </w:r>
      <w:r w:rsidR="00B54824">
        <w:rPr>
          <w:lang w:val="fr-FR"/>
        </w:rPr>
        <w:t xml:space="preserve"> De plus, six rapports (y compris trois rapports qui auraient dû être soumis respectivement en 2010, 2013 et 2014) seront examinés par le Comité à sa onzième session en 2016.</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 xml:space="preserve">travaille actuellement à la production </w:t>
      </w:r>
      <w:r w:rsidR="00A03C71" w:rsidRPr="0033051E">
        <w:rPr>
          <w:lang w:val="fr-FR"/>
        </w:rPr>
        <w:t>syst</w:t>
      </w:r>
      <w:r>
        <w:rPr>
          <w:lang w:val="fr-FR"/>
        </w:rPr>
        <w:t>é</w:t>
      </w:r>
      <w:r w:rsidR="00A03C71" w:rsidRPr="0033051E">
        <w:rPr>
          <w:lang w:val="fr-FR"/>
        </w:rPr>
        <w:t>mati</w:t>
      </w:r>
      <w:r>
        <w:rPr>
          <w:lang w:val="fr-FR"/>
        </w:rPr>
        <w:t>que de résumés des rapports pé</w:t>
      </w:r>
      <w:r w:rsidR="00A03C71" w:rsidRPr="0033051E">
        <w:rPr>
          <w:lang w:val="fr-FR"/>
        </w:rPr>
        <w:t>riodi</w:t>
      </w:r>
      <w:r>
        <w:rPr>
          <w:lang w:val="fr-FR"/>
        </w:rPr>
        <w:t xml:space="preserve">ques afin d’améliorer leur </w:t>
      </w:r>
      <w:r w:rsidRPr="0033051E">
        <w:rPr>
          <w:lang w:val="fr-FR"/>
        </w:rPr>
        <w:t>accessibilité</w:t>
      </w:r>
      <w:r w:rsidR="00A03C71" w:rsidRPr="0033051E">
        <w:rPr>
          <w:lang w:val="fr-FR"/>
        </w:rPr>
        <w:t>.</w:t>
      </w:r>
    </w:p>
    <w:p w14:paraId="4D093CAF" w14:textId="48476F04" w:rsidR="00A03C71" w:rsidRPr="0033051E" w:rsidRDefault="00AF2C78" w:rsidP="00A03C71">
      <w:pPr>
        <w:pStyle w:val="COMPara"/>
        <w:numPr>
          <w:ilvl w:val="0"/>
          <w:numId w:val="9"/>
        </w:numPr>
        <w:ind w:left="567" w:hanging="567"/>
        <w:jc w:val="both"/>
        <w:rPr>
          <w:lang w:val="fr-FR"/>
        </w:rPr>
      </w:pPr>
      <w:r>
        <w:rPr>
          <w:lang w:val="fr-FR"/>
        </w:rPr>
        <w:t xml:space="preserve">Depuis </w:t>
      </w:r>
      <w:r w:rsidR="00966DF5">
        <w:rPr>
          <w:lang w:val="fr-FR"/>
        </w:rPr>
        <w:t>2014</w:t>
      </w:r>
      <w:r w:rsidR="00A40F95">
        <w:rPr>
          <w:lang w:val="fr-FR"/>
        </w:rPr>
        <w:t xml:space="preserve">, le </w:t>
      </w:r>
      <w:r w:rsidR="00C77767" w:rsidRPr="0033051E">
        <w:rPr>
          <w:lang w:val="fr-FR"/>
        </w:rPr>
        <w:t>Secrétariat</w:t>
      </w:r>
      <w:r w:rsidR="00A03C71" w:rsidRPr="0033051E">
        <w:rPr>
          <w:lang w:val="fr-FR"/>
        </w:rPr>
        <w:t xml:space="preserve"> </w:t>
      </w:r>
      <w:r w:rsidR="00A40F95">
        <w:rPr>
          <w:lang w:val="fr-FR"/>
        </w:rPr>
        <w:t>a également inclus</w:t>
      </w:r>
      <w:r w:rsidR="0096106D">
        <w:rPr>
          <w:lang w:val="fr-FR"/>
        </w:rPr>
        <w:t xml:space="preserve"> </w:t>
      </w:r>
      <w:r w:rsidR="00020CA2">
        <w:rPr>
          <w:lang w:val="fr-FR"/>
        </w:rPr>
        <w:t>dans l</w:t>
      </w:r>
      <w:r w:rsidR="002E4C20">
        <w:rPr>
          <w:lang w:val="fr-FR"/>
        </w:rPr>
        <w:t>’ap</w:t>
      </w:r>
      <w:r w:rsidR="00020CA2">
        <w:rPr>
          <w:lang w:val="fr-FR"/>
        </w:rPr>
        <w:t>erçu</w:t>
      </w:r>
      <w:r w:rsidR="0096106D">
        <w:rPr>
          <w:lang w:val="fr-FR"/>
        </w:rPr>
        <w:t xml:space="preserve"> </w:t>
      </w:r>
      <w:r w:rsidR="00A40F95">
        <w:rPr>
          <w:lang w:val="fr-FR"/>
        </w:rPr>
        <w:t xml:space="preserve">des rapports une étude approfondie sur un sujet </w:t>
      </w:r>
      <w:r w:rsidR="00A03C71" w:rsidRPr="0033051E">
        <w:rPr>
          <w:lang w:val="fr-FR"/>
        </w:rPr>
        <w:t>sp</w:t>
      </w:r>
      <w:r w:rsidR="00A40F95">
        <w:rPr>
          <w:lang w:val="fr-FR"/>
        </w:rPr>
        <w:t>é</w:t>
      </w:r>
      <w:r w:rsidR="00A03C71" w:rsidRPr="0033051E">
        <w:rPr>
          <w:lang w:val="fr-FR"/>
        </w:rPr>
        <w:t>cifi</w:t>
      </w:r>
      <w:r w:rsidR="00A40F95">
        <w:rPr>
          <w:lang w:val="fr-FR"/>
        </w:rPr>
        <w:t>que </w:t>
      </w:r>
      <w:r w:rsidR="00A03C71" w:rsidRPr="0033051E">
        <w:rPr>
          <w:lang w:val="fr-FR"/>
        </w:rPr>
        <w:t xml:space="preserve">: </w:t>
      </w:r>
      <w:r w:rsidR="00A40F95">
        <w:rPr>
          <w:lang w:val="fr-FR"/>
        </w:rPr>
        <w:t>les inventaires pour le cycle </w:t>
      </w:r>
      <w:r w:rsidR="00A03C71" w:rsidRPr="0033051E">
        <w:rPr>
          <w:lang w:val="fr-FR"/>
        </w:rPr>
        <w:t xml:space="preserve">2014 </w:t>
      </w:r>
      <w:r w:rsidR="00A40F95">
        <w:rPr>
          <w:lang w:val="fr-FR"/>
        </w:rPr>
        <w:t xml:space="preserve">et les mesures de </w:t>
      </w:r>
      <w:r w:rsidR="00A03C71" w:rsidRPr="0033051E">
        <w:rPr>
          <w:lang w:val="fr-FR"/>
        </w:rPr>
        <w:t xml:space="preserve">transmission </w:t>
      </w:r>
      <w:r w:rsidR="00A40F95">
        <w:rPr>
          <w:lang w:val="fr-FR"/>
        </w:rPr>
        <w:t>et d’é</w:t>
      </w:r>
      <w:r w:rsidR="00A03C71" w:rsidRPr="0033051E">
        <w:rPr>
          <w:lang w:val="fr-FR"/>
        </w:rPr>
        <w:t xml:space="preserve">ducation </w:t>
      </w:r>
      <w:r w:rsidR="00A40F95">
        <w:rPr>
          <w:lang w:val="fr-FR"/>
        </w:rPr>
        <w:t>pour le cycle </w:t>
      </w:r>
      <w:r w:rsidR="00A03C71" w:rsidRPr="0033051E">
        <w:rPr>
          <w:lang w:val="fr-FR"/>
        </w:rPr>
        <w:t xml:space="preserve">2015. </w:t>
      </w:r>
      <w:r w:rsidR="00966DF5">
        <w:rPr>
          <w:lang w:val="fr-FR"/>
        </w:rPr>
        <w:t>Pour 2016, le Com</w:t>
      </w:r>
      <w:r w:rsidR="00C63E0A">
        <w:rPr>
          <w:lang w:val="fr-FR"/>
        </w:rPr>
        <w:t>ité a demandé au Secrétariat de</w:t>
      </w:r>
      <w:r w:rsidR="00966DF5" w:rsidRPr="00966DF5">
        <w:rPr>
          <w:lang w:val="fr-FR"/>
        </w:rPr>
        <w:t xml:space="preserve"> </w:t>
      </w:r>
      <w:r w:rsidR="00966DF5">
        <w:rPr>
          <w:lang w:val="fr-FR"/>
        </w:rPr>
        <w:t>« </w:t>
      </w:r>
      <w:r w:rsidR="00966DF5" w:rsidRPr="00966DF5">
        <w:rPr>
          <w:lang w:val="fr-FR"/>
        </w:rPr>
        <w:t>fournir un aperçu cumulatif spécifique des mesures prises par les États parties en matière d’intégration du patrimoine culturel immatériel et de sa sauvegarde dans les politiques aussi bien dans le secteur culturel qu’en dehors de celui-ci</w:t>
      </w:r>
      <w:r w:rsidR="00966DF5">
        <w:rPr>
          <w:lang w:val="fr-FR"/>
        </w:rPr>
        <w:t xml:space="preserve">. » </w:t>
      </w:r>
      <w:r w:rsidR="00A40F95">
        <w:rPr>
          <w:lang w:val="fr-FR"/>
        </w:rPr>
        <w:t xml:space="preserve">Cela donne au Comité </w:t>
      </w:r>
      <w:r w:rsidR="00966DF5">
        <w:rPr>
          <w:lang w:val="fr-FR"/>
        </w:rPr>
        <w:t>un aperçu cumulatif détaillé</w:t>
      </w:r>
      <w:r w:rsidR="00A40F95">
        <w:rPr>
          <w:lang w:val="fr-FR"/>
        </w:rPr>
        <w:t xml:space="preserve"> de ces points à partir de tous les rapports soumis depuis le premier cycle de </w:t>
      </w:r>
      <w:r w:rsidR="00A03C71" w:rsidRPr="0033051E">
        <w:rPr>
          <w:lang w:val="fr-FR"/>
        </w:rPr>
        <w:t>2011.</w:t>
      </w:r>
    </w:p>
    <w:p w14:paraId="1FFC382E" w14:textId="77777777" w:rsidR="00C3325D" w:rsidRDefault="00700883" w:rsidP="00A03C71">
      <w:pPr>
        <w:pStyle w:val="COMPara"/>
        <w:numPr>
          <w:ilvl w:val="0"/>
          <w:numId w:val="9"/>
        </w:numPr>
        <w:ind w:left="567" w:hanging="567"/>
        <w:jc w:val="both"/>
        <w:rPr>
          <w:lang w:val="fr-FR"/>
        </w:rPr>
      </w:pPr>
      <w:r>
        <w:rPr>
          <w:lang w:val="fr-FR"/>
        </w:rPr>
        <w:t>Outre les rapports</w:t>
      </w:r>
      <w:r w:rsidR="00A03C71" w:rsidRPr="0033051E">
        <w:rPr>
          <w:lang w:val="fr-FR"/>
        </w:rPr>
        <w:t xml:space="preserve"> </w:t>
      </w:r>
      <w:r>
        <w:rPr>
          <w:lang w:val="fr-FR"/>
        </w:rPr>
        <w:t xml:space="preserve">sur la mise en œuvre de la </w:t>
      </w:r>
      <w:r w:rsidR="00A03C71" w:rsidRPr="0033051E">
        <w:rPr>
          <w:lang w:val="fr-FR"/>
        </w:rPr>
        <w:t xml:space="preserve">Convention </w:t>
      </w:r>
      <w:r>
        <w:rPr>
          <w:lang w:val="fr-FR"/>
        </w:rPr>
        <w:t>et conformément aux Directives opérationnelles</w:t>
      </w:r>
      <w:r w:rsidR="00A03C71" w:rsidRPr="0033051E">
        <w:rPr>
          <w:lang w:val="fr-FR"/>
        </w:rPr>
        <w:t xml:space="preserve"> (paragraph</w:t>
      </w:r>
      <w:r>
        <w:rPr>
          <w:lang w:val="fr-FR"/>
        </w:rPr>
        <w:t>e</w:t>
      </w:r>
      <w:r w:rsidR="00A03C71" w:rsidRPr="0033051E">
        <w:rPr>
          <w:lang w:val="fr-FR"/>
        </w:rPr>
        <w:t>s</w:t>
      </w:r>
      <w:r>
        <w:rPr>
          <w:lang w:val="fr-FR"/>
        </w:rPr>
        <w:t> </w:t>
      </w:r>
      <w:r w:rsidR="00A03C71" w:rsidRPr="0033051E">
        <w:rPr>
          <w:lang w:val="fr-FR"/>
        </w:rPr>
        <w:t xml:space="preserve">160 </w:t>
      </w:r>
      <w:r>
        <w:rPr>
          <w:lang w:val="fr-FR"/>
        </w:rPr>
        <w:t xml:space="preserve">à </w:t>
      </w:r>
      <w:r w:rsidR="00A03C71" w:rsidRPr="0033051E">
        <w:rPr>
          <w:lang w:val="fr-FR"/>
        </w:rPr>
        <w:t xml:space="preserve">164), </w:t>
      </w:r>
      <w:r>
        <w:rPr>
          <w:lang w:val="fr-FR"/>
        </w:rPr>
        <w:t xml:space="preserve">le </w:t>
      </w:r>
      <w:r w:rsidR="00C77767" w:rsidRPr="0033051E">
        <w:rPr>
          <w:lang w:val="fr-FR"/>
        </w:rPr>
        <w:t>Secrétariat</w:t>
      </w:r>
      <w:r w:rsidR="00A03C71" w:rsidRPr="0033051E">
        <w:rPr>
          <w:lang w:val="fr-FR"/>
        </w:rPr>
        <w:t xml:space="preserve"> </w:t>
      </w:r>
      <w:r>
        <w:rPr>
          <w:lang w:val="fr-FR"/>
        </w:rPr>
        <w:t xml:space="preserve">a </w:t>
      </w:r>
      <w:r w:rsidR="00A03C71" w:rsidRPr="0033051E">
        <w:rPr>
          <w:lang w:val="fr-FR"/>
        </w:rPr>
        <w:t>re</w:t>
      </w:r>
      <w:r>
        <w:rPr>
          <w:lang w:val="fr-FR"/>
        </w:rPr>
        <w:t xml:space="preserve">çu au </w:t>
      </w:r>
      <w:r w:rsidR="00A03C71" w:rsidRPr="0033051E">
        <w:rPr>
          <w:lang w:val="fr-FR"/>
        </w:rPr>
        <w:t>total</w:t>
      </w:r>
      <w:r w:rsidR="00C3325D">
        <w:rPr>
          <w:lang w:val="fr-FR"/>
        </w:rPr>
        <w:t xml:space="preserve"> 18</w:t>
      </w:r>
      <w:r>
        <w:rPr>
          <w:lang w:val="fr-FR"/>
        </w:rPr>
        <w:t> rapports</w:t>
      </w:r>
      <w:r w:rsidR="00A03C71" w:rsidRPr="0033051E">
        <w:rPr>
          <w:lang w:val="fr-FR"/>
        </w:rPr>
        <w:t xml:space="preserve"> </w:t>
      </w:r>
      <w:r>
        <w:rPr>
          <w:lang w:val="fr-FR"/>
        </w:rPr>
        <w:t xml:space="preserve">sur des </w:t>
      </w:r>
      <w:r w:rsidR="00462AE2">
        <w:rPr>
          <w:lang w:val="fr-FR"/>
        </w:rPr>
        <w:t>éléments</w:t>
      </w:r>
      <w:r w:rsidR="00A03C71" w:rsidRPr="0033051E">
        <w:rPr>
          <w:lang w:val="fr-FR"/>
        </w:rPr>
        <w:t xml:space="preserve"> </w:t>
      </w:r>
      <w:r>
        <w:rPr>
          <w:lang w:val="fr-FR"/>
        </w:rPr>
        <w:t>inscrit</w:t>
      </w:r>
      <w:r w:rsidR="0096106D">
        <w:rPr>
          <w:lang w:val="fr-FR"/>
        </w:rPr>
        <w:t>s</w:t>
      </w:r>
      <w:r>
        <w:rPr>
          <w:lang w:val="fr-FR"/>
        </w:rPr>
        <w:t xml:space="preserve"> sur la </w:t>
      </w:r>
      <w:r w:rsidR="00A03C71" w:rsidRPr="0033051E">
        <w:rPr>
          <w:lang w:val="fr-FR"/>
        </w:rPr>
        <w:t>List</w:t>
      </w:r>
      <w:r>
        <w:rPr>
          <w:lang w:val="fr-FR"/>
        </w:rPr>
        <w:t>e</w:t>
      </w:r>
      <w:r w:rsidR="00A03C71" w:rsidRPr="0033051E">
        <w:rPr>
          <w:lang w:val="fr-FR"/>
        </w:rPr>
        <w:t xml:space="preserve"> </w:t>
      </w:r>
      <w:r>
        <w:rPr>
          <w:lang w:val="fr-FR"/>
        </w:rPr>
        <w:t xml:space="preserve">du </w:t>
      </w:r>
      <w:r w:rsidR="0096106D">
        <w:rPr>
          <w:lang w:val="fr-FR"/>
        </w:rPr>
        <w:t>p</w:t>
      </w:r>
      <w:r>
        <w:rPr>
          <w:lang w:val="fr-FR"/>
        </w:rPr>
        <w:t>atrimoine culturel immatériel nécessitant une sauvegarde urgente</w:t>
      </w:r>
      <w:r w:rsidR="00C3325D">
        <w:rPr>
          <w:lang w:val="fr-FR"/>
        </w:rPr>
        <w:t> :</w:t>
      </w:r>
    </w:p>
    <w:p w14:paraId="39F5D0D8" w14:textId="77777777" w:rsidR="00C3325D" w:rsidRDefault="002C69CA" w:rsidP="00C3325D">
      <w:pPr>
        <w:pStyle w:val="COMPara"/>
        <w:numPr>
          <w:ilvl w:val="0"/>
          <w:numId w:val="30"/>
        </w:numPr>
        <w:jc w:val="both"/>
        <w:rPr>
          <w:lang w:val="fr-FR"/>
        </w:rPr>
      </w:pPr>
      <w:r>
        <w:rPr>
          <w:shd w:val="clear" w:color="auto" w:fill="FFFFFF"/>
          <w:lang w:val="fr-FR"/>
        </w:rPr>
        <w:t xml:space="preserve">Sur les </w:t>
      </w:r>
      <w:r w:rsidR="00A03C71" w:rsidRPr="0033051E">
        <w:rPr>
          <w:lang w:val="fr-FR"/>
        </w:rPr>
        <w:t>12</w:t>
      </w:r>
      <w:r>
        <w:rPr>
          <w:lang w:val="fr-FR"/>
        </w:rPr>
        <w:t> </w:t>
      </w:r>
      <w:r w:rsidR="00700883">
        <w:rPr>
          <w:lang w:val="fr-FR"/>
        </w:rPr>
        <w:t>rapports</w:t>
      </w:r>
      <w:r w:rsidR="00A03C71" w:rsidRPr="0033051E">
        <w:rPr>
          <w:lang w:val="fr-FR"/>
        </w:rPr>
        <w:t xml:space="preserve"> </w:t>
      </w:r>
      <w:r>
        <w:rPr>
          <w:lang w:val="fr-FR"/>
        </w:rPr>
        <w:t xml:space="preserve">escomptés pour des </w:t>
      </w:r>
      <w:r w:rsidR="00462AE2">
        <w:rPr>
          <w:lang w:val="fr-FR"/>
        </w:rPr>
        <w:t>éléments</w:t>
      </w:r>
      <w:r w:rsidR="00A03C71" w:rsidRPr="0033051E">
        <w:rPr>
          <w:lang w:val="fr-FR"/>
        </w:rPr>
        <w:t xml:space="preserve"> </w:t>
      </w:r>
      <w:r>
        <w:rPr>
          <w:lang w:val="fr-FR"/>
        </w:rPr>
        <w:t xml:space="preserve">inscrits en </w:t>
      </w:r>
      <w:r w:rsidR="00A03C71" w:rsidRPr="0033051E">
        <w:rPr>
          <w:lang w:val="fr-FR"/>
        </w:rPr>
        <w:t xml:space="preserve">2009, </w:t>
      </w:r>
      <w:r>
        <w:rPr>
          <w:lang w:val="fr-FR"/>
        </w:rPr>
        <w:t xml:space="preserve">huit ont été soumis à temps et </w:t>
      </w:r>
      <w:r w:rsidR="00A03C71" w:rsidRPr="0033051E">
        <w:rPr>
          <w:lang w:val="fr-FR"/>
        </w:rPr>
        <w:t>examin</w:t>
      </w:r>
      <w:r>
        <w:rPr>
          <w:lang w:val="fr-FR"/>
        </w:rPr>
        <w:t xml:space="preserve">és par le Comité pendant le </w:t>
      </w:r>
      <w:r w:rsidR="00A03C71" w:rsidRPr="0033051E">
        <w:rPr>
          <w:lang w:val="fr-FR"/>
        </w:rPr>
        <w:t>cycle</w:t>
      </w:r>
      <w:r>
        <w:rPr>
          <w:lang w:val="fr-FR"/>
        </w:rPr>
        <w:t> </w:t>
      </w:r>
      <w:r w:rsidRPr="0033051E">
        <w:rPr>
          <w:lang w:val="fr-FR"/>
        </w:rPr>
        <w:t>2014</w:t>
      </w:r>
      <w:r w:rsidR="00A03C71" w:rsidRPr="0033051E">
        <w:rPr>
          <w:lang w:val="fr-FR"/>
        </w:rPr>
        <w:t xml:space="preserve">. </w:t>
      </w:r>
    </w:p>
    <w:p w14:paraId="7669E21C" w14:textId="03711C60" w:rsidR="00A03C71" w:rsidRDefault="002C69CA" w:rsidP="00C3325D">
      <w:pPr>
        <w:pStyle w:val="COMPara"/>
        <w:numPr>
          <w:ilvl w:val="0"/>
          <w:numId w:val="30"/>
        </w:numPr>
        <w:jc w:val="both"/>
        <w:rPr>
          <w:lang w:val="fr-FR"/>
        </w:rPr>
      </w:pPr>
      <w:r>
        <w:rPr>
          <w:lang w:val="fr-FR"/>
        </w:rPr>
        <w:t xml:space="preserve">Sur les quatre </w:t>
      </w:r>
      <w:r w:rsidR="00700883">
        <w:rPr>
          <w:lang w:val="fr-FR"/>
        </w:rPr>
        <w:t>rapports</w:t>
      </w:r>
      <w:r w:rsidR="00A03C71" w:rsidRPr="0033051E">
        <w:rPr>
          <w:lang w:val="fr-FR"/>
        </w:rPr>
        <w:t xml:space="preserve"> </w:t>
      </w:r>
      <w:r>
        <w:rPr>
          <w:lang w:val="fr-FR"/>
        </w:rPr>
        <w:t xml:space="preserve">escomptés pour des </w:t>
      </w:r>
      <w:r w:rsidR="00462AE2">
        <w:rPr>
          <w:lang w:val="fr-FR"/>
        </w:rPr>
        <w:t>éléments</w:t>
      </w:r>
      <w:r w:rsidR="00A03C71" w:rsidRPr="0033051E">
        <w:rPr>
          <w:lang w:val="fr-FR"/>
        </w:rPr>
        <w:t xml:space="preserve"> inscri</w:t>
      </w:r>
      <w:r>
        <w:rPr>
          <w:lang w:val="fr-FR"/>
        </w:rPr>
        <w:t xml:space="preserve">ts en </w:t>
      </w:r>
      <w:r w:rsidR="00A03C71" w:rsidRPr="0033051E">
        <w:rPr>
          <w:lang w:val="fr-FR"/>
        </w:rPr>
        <w:t xml:space="preserve">2010, </w:t>
      </w:r>
      <w:r>
        <w:rPr>
          <w:lang w:val="fr-FR"/>
        </w:rPr>
        <w:t>seul un rapport a été soumis</w:t>
      </w:r>
      <w:r w:rsidR="00A03C71" w:rsidRPr="0033051E">
        <w:rPr>
          <w:lang w:val="fr-FR"/>
        </w:rPr>
        <w:t xml:space="preserve">, </w:t>
      </w:r>
      <w:r>
        <w:rPr>
          <w:lang w:val="fr-FR"/>
        </w:rPr>
        <w:t xml:space="preserve">ainsi que deux </w:t>
      </w:r>
      <w:r w:rsidR="00700883">
        <w:rPr>
          <w:lang w:val="fr-FR"/>
        </w:rPr>
        <w:t>rapports</w:t>
      </w:r>
      <w:r w:rsidR="00A03C71" w:rsidRPr="0033051E">
        <w:rPr>
          <w:lang w:val="fr-FR"/>
        </w:rPr>
        <w:t xml:space="preserve"> </w:t>
      </w:r>
      <w:r w:rsidRPr="0033051E">
        <w:rPr>
          <w:lang w:val="fr-FR"/>
        </w:rPr>
        <w:t>extraordinaire</w:t>
      </w:r>
      <w:r>
        <w:rPr>
          <w:lang w:val="fr-FR"/>
        </w:rPr>
        <w:t>s</w:t>
      </w:r>
      <w:r w:rsidRPr="0033051E">
        <w:rPr>
          <w:lang w:val="fr-FR"/>
        </w:rPr>
        <w:t xml:space="preserve"> </w:t>
      </w:r>
      <w:r>
        <w:rPr>
          <w:lang w:val="fr-FR"/>
        </w:rPr>
        <w:t xml:space="preserve">pour des </w:t>
      </w:r>
      <w:r w:rsidR="00462AE2">
        <w:rPr>
          <w:lang w:val="fr-FR"/>
        </w:rPr>
        <w:t>éléments</w:t>
      </w:r>
      <w:r w:rsidR="00A03C71" w:rsidRPr="0033051E">
        <w:rPr>
          <w:lang w:val="fr-FR"/>
        </w:rPr>
        <w:t xml:space="preserve"> inscri</w:t>
      </w:r>
      <w:r>
        <w:rPr>
          <w:lang w:val="fr-FR"/>
        </w:rPr>
        <w:t xml:space="preserve">ts en </w:t>
      </w:r>
      <w:r w:rsidR="00A03C71" w:rsidRPr="0033051E">
        <w:rPr>
          <w:lang w:val="fr-FR"/>
        </w:rPr>
        <w:t xml:space="preserve">2013. </w:t>
      </w:r>
      <w:r>
        <w:rPr>
          <w:lang w:val="fr-FR"/>
        </w:rPr>
        <w:t xml:space="preserve">Ces trois rapports seront </w:t>
      </w:r>
      <w:r w:rsidRPr="0033051E">
        <w:rPr>
          <w:lang w:val="fr-FR"/>
        </w:rPr>
        <w:t>examiné</w:t>
      </w:r>
      <w:r>
        <w:rPr>
          <w:lang w:val="fr-FR"/>
        </w:rPr>
        <w:t>s</w:t>
      </w:r>
      <w:r w:rsidR="00A03C71" w:rsidRPr="0033051E">
        <w:rPr>
          <w:lang w:val="fr-FR"/>
        </w:rPr>
        <w:t xml:space="preserve"> </w:t>
      </w:r>
      <w:r>
        <w:rPr>
          <w:lang w:val="fr-FR"/>
        </w:rPr>
        <w:t xml:space="preserve">par le Comité </w:t>
      </w:r>
      <w:r w:rsidR="00C3325D">
        <w:rPr>
          <w:lang w:val="fr-FR"/>
        </w:rPr>
        <w:t>en 2015.</w:t>
      </w:r>
    </w:p>
    <w:p w14:paraId="6CDE5FBF" w14:textId="3A7953D8" w:rsidR="00590FCA" w:rsidRPr="0033051E" w:rsidRDefault="00590FCA" w:rsidP="00C3325D">
      <w:pPr>
        <w:pStyle w:val="COMPara"/>
        <w:numPr>
          <w:ilvl w:val="0"/>
          <w:numId w:val="30"/>
        </w:numPr>
        <w:jc w:val="both"/>
        <w:rPr>
          <w:lang w:val="fr-FR"/>
        </w:rPr>
      </w:pPr>
      <w:r>
        <w:rPr>
          <w:lang w:val="fr-FR"/>
        </w:rPr>
        <w:t>Sur les 11 rapports escomptés pour des éléments inscrits en 2011, six rapports qui ont été soumis à temps, ainsi qu’un rapport escompté pour un élément inscrit en 2009, seront examiné</w:t>
      </w:r>
      <w:r w:rsidR="002936A6">
        <w:rPr>
          <w:lang w:val="fr-FR"/>
        </w:rPr>
        <w:t>s</w:t>
      </w:r>
      <w:r>
        <w:rPr>
          <w:lang w:val="fr-FR"/>
        </w:rPr>
        <w:t xml:space="preserve"> par le Comité en 2016.</w:t>
      </w:r>
    </w:p>
    <w:p w14:paraId="57143286" w14:textId="02849A43" w:rsidR="00A03C71" w:rsidRPr="0033051E" w:rsidRDefault="00B32F94" w:rsidP="00A03C71">
      <w:pPr>
        <w:pStyle w:val="COMPara"/>
        <w:numPr>
          <w:ilvl w:val="0"/>
          <w:numId w:val="9"/>
        </w:numPr>
        <w:ind w:left="567" w:hanging="567"/>
        <w:jc w:val="both"/>
        <w:rPr>
          <w:lang w:val="fr-FR"/>
        </w:rPr>
      </w:pPr>
      <w:r>
        <w:rPr>
          <w:lang w:val="fr-FR"/>
        </w:rPr>
        <w:t>À sa dixième session en 2015</w:t>
      </w:r>
      <w:r w:rsidR="00A03C71" w:rsidRPr="0033051E">
        <w:rPr>
          <w:lang w:val="fr-FR"/>
        </w:rPr>
        <w:t xml:space="preserve">, </w:t>
      </w:r>
      <w:r w:rsidR="002C69CA">
        <w:rPr>
          <w:lang w:val="fr-FR"/>
        </w:rPr>
        <w:t xml:space="preserve">conformément aux </w:t>
      </w:r>
      <w:r w:rsidR="00700883">
        <w:rPr>
          <w:lang w:val="fr-FR"/>
        </w:rPr>
        <w:t>Directives opérationnelles</w:t>
      </w:r>
      <w:r w:rsidR="00A03C71" w:rsidRPr="0033051E">
        <w:rPr>
          <w:lang w:val="fr-FR"/>
        </w:rPr>
        <w:t xml:space="preserve"> (paragraph</w:t>
      </w:r>
      <w:r w:rsidR="002C69CA">
        <w:rPr>
          <w:lang w:val="fr-FR"/>
        </w:rPr>
        <w:t>e</w:t>
      </w:r>
      <w:r w:rsidR="00A03C71" w:rsidRPr="0033051E">
        <w:rPr>
          <w:lang w:val="fr-FR"/>
        </w:rPr>
        <w:t>s</w:t>
      </w:r>
      <w:r w:rsidR="002C69CA">
        <w:rPr>
          <w:lang w:val="fr-FR"/>
        </w:rPr>
        <w:t> </w:t>
      </w:r>
      <w:r w:rsidR="00A03C71" w:rsidRPr="0033051E">
        <w:rPr>
          <w:lang w:val="fr-FR"/>
        </w:rPr>
        <w:t xml:space="preserve">168 </w:t>
      </w:r>
      <w:r w:rsidR="002C69CA">
        <w:rPr>
          <w:lang w:val="fr-FR"/>
        </w:rPr>
        <w:t xml:space="preserve">et </w:t>
      </w:r>
      <w:r w:rsidR="00A03C71" w:rsidRPr="0033051E">
        <w:rPr>
          <w:lang w:val="fr-FR"/>
        </w:rPr>
        <w:t xml:space="preserve">169), </w:t>
      </w:r>
      <w:r w:rsidR="002C69CA">
        <w:rPr>
          <w:lang w:val="fr-FR"/>
        </w:rPr>
        <w:t xml:space="preserve">le Comité </w:t>
      </w:r>
      <w:r>
        <w:rPr>
          <w:lang w:val="fr-FR"/>
        </w:rPr>
        <w:t>a examiné</w:t>
      </w:r>
      <w:r w:rsidR="002C69CA">
        <w:rPr>
          <w:lang w:val="fr-FR"/>
        </w:rPr>
        <w:t xml:space="preserve"> le </w:t>
      </w:r>
      <w:r w:rsidR="00700883">
        <w:rPr>
          <w:lang w:val="fr-FR"/>
        </w:rPr>
        <w:t>rapport</w:t>
      </w:r>
      <w:r w:rsidR="00A03C71" w:rsidRPr="0033051E">
        <w:rPr>
          <w:lang w:val="fr-FR"/>
        </w:rPr>
        <w:t xml:space="preserve"> </w:t>
      </w:r>
      <w:r w:rsidR="002C69CA">
        <w:rPr>
          <w:lang w:val="fr-FR"/>
        </w:rPr>
        <w:t xml:space="preserve">soumis par un État </w:t>
      </w:r>
      <w:r w:rsidR="00A03C71" w:rsidRPr="0033051E">
        <w:rPr>
          <w:lang w:val="fr-FR"/>
        </w:rPr>
        <w:t>non-part</w:t>
      </w:r>
      <w:r w:rsidR="002C69CA">
        <w:rPr>
          <w:lang w:val="fr-FR"/>
        </w:rPr>
        <w:t xml:space="preserve">ie à la </w:t>
      </w:r>
      <w:r w:rsidR="00A03C71" w:rsidRPr="0033051E">
        <w:rPr>
          <w:lang w:val="fr-FR"/>
        </w:rPr>
        <w:t xml:space="preserve">Convention </w:t>
      </w:r>
      <w:r w:rsidR="002C69CA">
        <w:rPr>
          <w:lang w:val="fr-FR"/>
        </w:rPr>
        <w:t xml:space="preserve">de </w:t>
      </w:r>
      <w:r w:rsidR="002C69CA" w:rsidRPr="0033051E">
        <w:rPr>
          <w:lang w:val="fr-FR"/>
        </w:rPr>
        <w:t xml:space="preserve">2003 </w:t>
      </w:r>
      <w:r w:rsidR="002C69CA">
        <w:rPr>
          <w:lang w:val="fr-FR"/>
        </w:rPr>
        <w:t xml:space="preserve">sur ses deux </w:t>
      </w:r>
      <w:r w:rsidR="00462AE2">
        <w:rPr>
          <w:lang w:val="fr-FR"/>
        </w:rPr>
        <w:t>éléments</w:t>
      </w:r>
      <w:r w:rsidR="00A03C71" w:rsidRPr="0033051E">
        <w:rPr>
          <w:lang w:val="fr-FR"/>
        </w:rPr>
        <w:t xml:space="preserve"> </w:t>
      </w:r>
      <w:r w:rsidR="002C69CA">
        <w:rPr>
          <w:lang w:val="fr-FR"/>
        </w:rPr>
        <w:t xml:space="preserve">inscrits sur la </w:t>
      </w:r>
      <w:r w:rsidR="00A03C71" w:rsidRPr="0033051E">
        <w:rPr>
          <w:lang w:val="fr-FR"/>
        </w:rPr>
        <w:t>List</w:t>
      </w:r>
      <w:r w:rsidR="002C69CA">
        <w:rPr>
          <w:lang w:val="fr-FR"/>
        </w:rPr>
        <w:t xml:space="preserve">e </w:t>
      </w:r>
      <w:r w:rsidR="002C69CA" w:rsidRPr="0033051E">
        <w:rPr>
          <w:lang w:val="fr-FR"/>
        </w:rPr>
        <w:t>repr</w:t>
      </w:r>
      <w:r w:rsidR="002C69CA">
        <w:rPr>
          <w:lang w:val="fr-FR"/>
        </w:rPr>
        <w:t>é</w:t>
      </w:r>
      <w:r w:rsidR="002C69CA" w:rsidRPr="0033051E">
        <w:rPr>
          <w:lang w:val="fr-FR"/>
        </w:rPr>
        <w:t>sentative</w:t>
      </w:r>
      <w:r w:rsidR="00A03C71" w:rsidRPr="0033051E">
        <w:rPr>
          <w:lang w:val="fr-FR"/>
        </w:rPr>
        <w:t xml:space="preserve">, </w:t>
      </w:r>
      <w:r w:rsidR="002C69CA">
        <w:rPr>
          <w:lang w:val="fr-FR"/>
        </w:rPr>
        <w:t>qui ont été précédemment proclamés chefs d’œuvre</w:t>
      </w:r>
      <w:r w:rsidR="00A03C71" w:rsidRPr="0033051E">
        <w:rPr>
          <w:lang w:val="fr-FR"/>
        </w:rPr>
        <w:t xml:space="preserve">. </w:t>
      </w:r>
      <w:r w:rsidR="002C69CA">
        <w:rPr>
          <w:lang w:val="fr-FR"/>
        </w:rPr>
        <w:t xml:space="preserve">Ce </w:t>
      </w:r>
      <w:r w:rsidR="00700883">
        <w:rPr>
          <w:lang w:val="fr-FR"/>
        </w:rPr>
        <w:t>rapport</w:t>
      </w:r>
      <w:r w:rsidR="00A03C71" w:rsidRPr="0033051E">
        <w:rPr>
          <w:lang w:val="fr-FR"/>
        </w:rPr>
        <w:t xml:space="preserve"> </w:t>
      </w:r>
      <w:r w:rsidR="002C69CA">
        <w:rPr>
          <w:lang w:val="fr-FR"/>
        </w:rPr>
        <w:t xml:space="preserve">a été </w:t>
      </w:r>
      <w:r>
        <w:rPr>
          <w:lang w:val="fr-FR"/>
        </w:rPr>
        <w:t xml:space="preserve">dûment </w:t>
      </w:r>
      <w:r w:rsidR="002C69CA">
        <w:rPr>
          <w:lang w:val="fr-FR"/>
        </w:rPr>
        <w:t xml:space="preserve">soumis par la Fédération de </w:t>
      </w:r>
      <w:r w:rsidR="00A03C71" w:rsidRPr="0033051E">
        <w:rPr>
          <w:lang w:val="fr-FR"/>
        </w:rPr>
        <w:t>Russi</w:t>
      </w:r>
      <w:r w:rsidR="002C69CA">
        <w:rPr>
          <w:lang w:val="fr-FR"/>
        </w:rPr>
        <w:t xml:space="preserve">e en décembre </w:t>
      </w:r>
      <w:r w:rsidR="00A03C71" w:rsidRPr="0033051E">
        <w:rPr>
          <w:lang w:val="fr-FR"/>
        </w:rPr>
        <w:t>2014.</w:t>
      </w:r>
    </w:p>
    <w:p w14:paraId="3CE31D51" w14:textId="028B42BE" w:rsidR="00A03C71" w:rsidRPr="0033051E" w:rsidRDefault="001B2645" w:rsidP="00A03C71">
      <w:pPr>
        <w:pStyle w:val="COMPara"/>
        <w:numPr>
          <w:ilvl w:val="0"/>
          <w:numId w:val="9"/>
        </w:numPr>
        <w:ind w:left="567" w:hanging="567"/>
        <w:jc w:val="both"/>
        <w:rPr>
          <w:lang w:val="fr-FR"/>
        </w:rPr>
      </w:pPr>
      <w:r>
        <w:rPr>
          <w:lang w:val="fr-FR"/>
        </w:rPr>
        <w:t xml:space="preserve">D’après les évaluations internes menées par le </w:t>
      </w:r>
      <w:r w:rsidR="00C77767" w:rsidRPr="0033051E">
        <w:rPr>
          <w:lang w:val="fr-FR"/>
        </w:rPr>
        <w:t>Secrétariat</w:t>
      </w:r>
      <w:r w:rsidR="00A03C71" w:rsidRPr="0033051E">
        <w:rPr>
          <w:lang w:val="fr-FR"/>
        </w:rPr>
        <w:t xml:space="preserve">, </w:t>
      </w:r>
      <w:r w:rsidR="00B32F94">
        <w:rPr>
          <w:lang w:val="fr-FR"/>
        </w:rPr>
        <w:t xml:space="preserve">74% des </w:t>
      </w:r>
      <w:r w:rsidR="00700883">
        <w:rPr>
          <w:lang w:val="fr-FR"/>
        </w:rPr>
        <w:t>rapports</w:t>
      </w:r>
      <w:r w:rsidR="00A03C71" w:rsidRPr="0033051E">
        <w:rPr>
          <w:lang w:val="fr-FR"/>
        </w:rPr>
        <w:t xml:space="preserve"> examin</w:t>
      </w:r>
      <w:r>
        <w:rPr>
          <w:lang w:val="fr-FR"/>
        </w:rPr>
        <w:t>és par le Comité e</w:t>
      </w:r>
      <w:r w:rsidR="00A03C71" w:rsidRPr="0033051E">
        <w:rPr>
          <w:lang w:val="fr-FR"/>
        </w:rPr>
        <w:t xml:space="preserve">n 2014 </w:t>
      </w:r>
      <w:r>
        <w:rPr>
          <w:lang w:val="fr-FR"/>
        </w:rPr>
        <w:t xml:space="preserve">et </w:t>
      </w:r>
      <w:r w:rsidR="00B32F94">
        <w:rPr>
          <w:lang w:val="fr-FR"/>
        </w:rPr>
        <w:t>29% des rapports</w:t>
      </w:r>
      <w:r>
        <w:rPr>
          <w:lang w:val="fr-FR"/>
        </w:rPr>
        <w:t xml:space="preserve"> </w:t>
      </w:r>
      <w:r w:rsidR="00A03C71" w:rsidRPr="0033051E">
        <w:rPr>
          <w:lang w:val="fr-FR"/>
        </w:rPr>
        <w:t>exami</w:t>
      </w:r>
      <w:r>
        <w:rPr>
          <w:lang w:val="fr-FR"/>
        </w:rPr>
        <w:t xml:space="preserve">nés </w:t>
      </w:r>
      <w:r w:rsidR="00B32F94">
        <w:rPr>
          <w:lang w:val="fr-FR"/>
        </w:rPr>
        <w:t>en 2015</w:t>
      </w:r>
      <w:r>
        <w:rPr>
          <w:lang w:val="fr-FR"/>
        </w:rPr>
        <w:t xml:space="preserve"> ont pris en compte des </w:t>
      </w:r>
      <w:r w:rsidR="00AF2C78">
        <w:rPr>
          <w:lang w:val="fr-FR"/>
        </w:rPr>
        <w:t xml:space="preserve">questions </w:t>
      </w:r>
      <w:r>
        <w:rPr>
          <w:lang w:val="fr-FR"/>
        </w:rPr>
        <w:t xml:space="preserve">de </w:t>
      </w:r>
      <w:r w:rsidR="00A03C71" w:rsidRPr="0033051E">
        <w:rPr>
          <w:lang w:val="fr-FR"/>
        </w:rPr>
        <w:t>gen</w:t>
      </w:r>
      <w:r>
        <w:rPr>
          <w:lang w:val="fr-FR"/>
        </w:rPr>
        <w:t xml:space="preserve">re et des politiques décrites promouvant un accès égal et une </w:t>
      </w:r>
      <w:r w:rsidR="00A03C71" w:rsidRPr="0033051E">
        <w:rPr>
          <w:lang w:val="fr-FR"/>
        </w:rPr>
        <w:t xml:space="preserve">participation </w:t>
      </w:r>
      <w:r>
        <w:rPr>
          <w:lang w:val="fr-FR"/>
        </w:rPr>
        <w:t xml:space="preserve">à la vie </w:t>
      </w:r>
      <w:r w:rsidR="00A03C71" w:rsidRPr="0033051E">
        <w:rPr>
          <w:lang w:val="fr-FR"/>
        </w:rPr>
        <w:t>cultur</w:t>
      </w:r>
      <w:r>
        <w:rPr>
          <w:lang w:val="fr-FR"/>
        </w:rPr>
        <w:t>elle</w:t>
      </w:r>
      <w:r w:rsidR="00A03C71" w:rsidRPr="0033051E">
        <w:rPr>
          <w:lang w:val="fr-FR"/>
        </w:rPr>
        <w:t xml:space="preserve">. </w:t>
      </w:r>
      <w:r>
        <w:rPr>
          <w:lang w:val="fr-FR"/>
        </w:rPr>
        <w:t xml:space="preserve">Une analyse plus détaillée de ces </w:t>
      </w:r>
      <w:r w:rsidR="00700883">
        <w:rPr>
          <w:lang w:val="fr-FR"/>
        </w:rPr>
        <w:t>rapports</w:t>
      </w:r>
      <w:r w:rsidR="00A03C71" w:rsidRPr="0033051E">
        <w:rPr>
          <w:lang w:val="fr-FR"/>
        </w:rPr>
        <w:t xml:space="preserve"> </w:t>
      </w:r>
      <w:r>
        <w:rPr>
          <w:lang w:val="fr-FR"/>
        </w:rPr>
        <w:t>est disponible dans les d</w:t>
      </w:r>
      <w:r w:rsidR="00A03C71" w:rsidRPr="0033051E">
        <w:rPr>
          <w:lang w:val="fr-FR"/>
        </w:rPr>
        <w:t xml:space="preserve">ocuments </w:t>
      </w:r>
      <w:hyperlink r:id="rId49" w:history="1">
        <w:r w:rsidR="00A03C71" w:rsidRPr="0033051E">
          <w:rPr>
            <w:rStyle w:val="Hyperlink"/>
            <w:lang w:val="fr-FR"/>
          </w:rPr>
          <w:t>ITH/14/9.COM/5.a</w:t>
        </w:r>
      </w:hyperlink>
      <w:r w:rsidR="00A03C71" w:rsidRPr="0033051E">
        <w:rPr>
          <w:lang w:val="fr-FR"/>
        </w:rPr>
        <w:t xml:space="preserve"> </w:t>
      </w:r>
      <w:r>
        <w:rPr>
          <w:lang w:val="fr-FR"/>
        </w:rPr>
        <w:t xml:space="preserve">et </w:t>
      </w:r>
      <w:hyperlink r:id="rId50" w:history="1">
        <w:r w:rsidR="00A03C71" w:rsidRPr="00E766DA">
          <w:rPr>
            <w:rStyle w:val="Hyperlink"/>
            <w:lang w:val="fr-FR"/>
          </w:rPr>
          <w:t>ITH/15/10.COM/6.a</w:t>
        </w:r>
      </w:hyperlink>
      <w:r w:rsidR="00A03C71" w:rsidRPr="0033051E">
        <w:rPr>
          <w:lang w:val="fr-FR"/>
        </w:rPr>
        <w:t>.</w:t>
      </w:r>
    </w:p>
    <w:p w14:paraId="6FE86FB5" w14:textId="77777777" w:rsidR="00700883" w:rsidRPr="00700883" w:rsidRDefault="00700883" w:rsidP="00EE55A0">
      <w:pPr>
        <w:pStyle w:val="COMPara"/>
        <w:keepNext/>
        <w:keepLines/>
        <w:spacing w:before="360"/>
        <w:ind w:left="0" w:firstLine="0"/>
        <w:rPr>
          <w:b/>
          <w:lang w:val="fr-FR"/>
        </w:rPr>
      </w:pPr>
      <w:r>
        <w:rPr>
          <w:b/>
          <w:lang w:val="fr-FR"/>
        </w:rPr>
        <w:t>I</w:t>
      </w:r>
      <w:r w:rsidR="00A03C71" w:rsidRPr="0033051E">
        <w:rPr>
          <w:b/>
          <w:lang w:val="fr-FR"/>
        </w:rPr>
        <w:t>ndicat</w:t>
      </w:r>
      <w:r>
        <w:rPr>
          <w:b/>
          <w:lang w:val="fr-FR"/>
        </w:rPr>
        <w:t>eu</w:t>
      </w:r>
      <w:r w:rsidR="00A03C71" w:rsidRPr="0033051E">
        <w:rPr>
          <w:b/>
          <w:lang w:val="fr-FR"/>
        </w:rPr>
        <w:t>r</w:t>
      </w:r>
      <w:r>
        <w:rPr>
          <w:b/>
          <w:lang w:val="fr-FR"/>
        </w:rPr>
        <w:t xml:space="preserve"> de performance </w:t>
      </w:r>
      <w:r w:rsidR="00A03C71" w:rsidRPr="0033051E">
        <w:rPr>
          <w:b/>
          <w:lang w:val="fr-FR"/>
        </w:rPr>
        <w:t>6</w:t>
      </w:r>
      <w:r>
        <w:rPr>
          <w:b/>
          <w:lang w:val="fr-FR"/>
        </w:rPr>
        <w:t> </w:t>
      </w:r>
      <w:r w:rsidR="00A03C71" w:rsidRPr="0033051E">
        <w:rPr>
          <w:b/>
          <w:lang w:val="fr-FR"/>
        </w:rPr>
        <w:t xml:space="preserve">: </w:t>
      </w:r>
      <w:r w:rsidR="00384E7D">
        <w:rPr>
          <w:b/>
          <w:lang w:val="fr-FR"/>
        </w:rPr>
        <w:t>h</w:t>
      </w:r>
      <w:r w:rsidRPr="00700883">
        <w:rPr>
          <w:b/>
          <w:lang w:val="fr-FR"/>
        </w:rPr>
        <w:t>ausse du nombre des États parties à la Convention</w:t>
      </w:r>
    </w:p>
    <w:p w14:paraId="4312774D" w14:textId="5ED16B80" w:rsidR="00A03C71" w:rsidRPr="0033051E" w:rsidRDefault="001B2645" w:rsidP="00A03C71">
      <w:pPr>
        <w:pStyle w:val="COMPara"/>
        <w:numPr>
          <w:ilvl w:val="0"/>
          <w:numId w:val="9"/>
        </w:numPr>
        <w:ind w:left="567" w:hanging="567"/>
        <w:jc w:val="both"/>
        <w:rPr>
          <w:lang w:val="fr-FR"/>
        </w:rPr>
      </w:pPr>
      <w:r>
        <w:rPr>
          <w:lang w:val="fr-FR"/>
        </w:rPr>
        <w:t xml:space="preserve">Pendant la </w:t>
      </w:r>
      <w:r w:rsidR="000C694D" w:rsidRPr="0033051E">
        <w:rPr>
          <w:lang w:val="fr-FR"/>
        </w:rPr>
        <w:t xml:space="preserve">période </w:t>
      </w:r>
      <w:r w:rsidR="00C30076">
        <w:rPr>
          <w:lang w:val="fr-FR"/>
        </w:rPr>
        <w:t>considérée</w:t>
      </w:r>
      <w:r w:rsidR="00A03C71" w:rsidRPr="0033051E">
        <w:rPr>
          <w:lang w:val="fr-FR"/>
        </w:rPr>
        <w:t xml:space="preserve">, </w:t>
      </w:r>
      <w:r w:rsidR="000A3F7A" w:rsidRPr="002936A6">
        <w:rPr>
          <w:lang w:val="fr-FR"/>
        </w:rPr>
        <w:t>six</w:t>
      </w:r>
      <w:r>
        <w:rPr>
          <w:lang w:val="fr-FR"/>
        </w:rPr>
        <w:t xml:space="preserve"> pays ont </w:t>
      </w:r>
      <w:r w:rsidR="00A03C71" w:rsidRPr="0033051E">
        <w:rPr>
          <w:lang w:val="fr-FR"/>
        </w:rPr>
        <w:t>ratifi</w:t>
      </w:r>
      <w:r>
        <w:rPr>
          <w:lang w:val="fr-FR"/>
        </w:rPr>
        <w:t xml:space="preserve">é la </w:t>
      </w:r>
      <w:r w:rsidR="00A03C71" w:rsidRPr="0033051E">
        <w:rPr>
          <w:lang w:val="fr-FR"/>
        </w:rPr>
        <w:t>Convention (</w:t>
      </w:r>
      <w:r w:rsidR="000A3F7A">
        <w:rPr>
          <w:lang w:val="fr-FR"/>
        </w:rPr>
        <w:t xml:space="preserve">Cabo Verde, Ghana, Guinée-Bissau, Îles </w:t>
      </w:r>
      <w:r w:rsidR="000A3F7A" w:rsidRPr="0033051E">
        <w:rPr>
          <w:lang w:val="fr-FR"/>
        </w:rPr>
        <w:t>Marshall</w:t>
      </w:r>
      <w:r w:rsidR="000A3F7A">
        <w:rPr>
          <w:lang w:val="fr-FR"/>
        </w:rPr>
        <w:t>, Irlande et Koweït</w:t>
      </w:r>
      <w:r w:rsidR="00A03C71" w:rsidRPr="0033051E">
        <w:rPr>
          <w:lang w:val="fr-FR"/>
        </w:rPr>
        <w:t xml:space="preserve">). </w:t>
      </w:r>
      <w:r w:rsidR="00EF0CD9">
        <w:rPr>
          <w:lang w:val="fr-FR"/>
        </w:rPr>
        <w:t>Au moment de la rédaction de ce rapport</w:t>
      </w:r>
      <w:r w:rsidR="00A03C71" w:rsidRPr="0033051E">
        <w:rPr>
          <w:lang w:val="fr-FR"/>
        </w:rPr>
        <w:t xml:space="preserve">, </w:t>
      </w:r>
      <w:r w:rsidR="00EF0CD9">
        <w:rPr>
          <w:lang w:val="fr-FR"/>
        </w:rPr>
        <w:t xml:space="preserve">le nombre </w:t>
      </w:r>
      <w:r w:rsidR="00A03C71" w:rsidRPr="0033051E">
        <w:rPr>
          <w:lang w:val="fr-FR"/>
        </w:rPr>
        <w:t xml:space="preserve">total </w:t>
      </w:r>
      <w:r w:rsidR="00EF0CD9">
        <w:rPr>
          <w:lang w:val="fr-FR"/>
        </w:rPr>
        <w:t xml:space="preserve">d’États parties s’élève à </w:t>
      </w:r>
      <w:r w:rsidR="00B229A8">
        <w:rPr>
          <w:lang w:val="fr-FR"/>
        </w:rPr>
        <w:t>167</w:t>
      </w:r>
      <w:r w:rsidR="00A03C71" w:rsidRPr="0033051E">
        <w:rPr>
          <w:lang w:val="fr-FR"/>
        </w:rPr>
        <w:t xml:space="preserve">. </w:t>
      </w:r>
      <w:r w:rsidR="00EF0CD9">
        <w:rPr>
          <w:lang w:val="fr-FR"/>
        </w:rPr>
        <w:t>Parallèlement</w:t>
      </w:r>
      <w:r w:rsidR="00A03C71" w:rsidRPr="0033051E">
        <w:rPr>
          <w:lang w:val="fr-FR"/>
        </w:rPr>
        <w:t xml:space="preserve">, </w:t>
      </w:r>
      <w:r w:rsidR="00EF0CD9">
        <w:rPr>
          <w:lang w:val="fr-FR"/>
        </w:rPr>
        <w:t xml:space="preserve">le </w:t>
      </w:r>
      <w:r w:rsidR="00C77767" w:rsidRPr="0033051E">
        <w:rPr>
          <w:lang w:val="fr-FR"/>
        </w:rPr>
        <w:t>Secrétariat</w:t>
      </w:r>
      <w:r w:rsidR="00A03C71" w:rsidRPr="0033051E">
        <w:rPr>
          <w:lang w:val="fr-FR"/>
        </w:rPr>
        <w:t xml:space="preserve"> </w:t>
      </w:r>
      <w:r w:rsidR="00EF0CD9">
        <w:rPr>
          <w:lang w:val="fr-FR"/>
        </w:rPr>
        <w:t xml:space="preserve">poursuit ses </w:t>
      </w:r>
      <w:r w:rsidR="00A03C71" w:rsidRPr="0033051E">
        <w:rPr>
          <w:lang w:val="fr-FR"/>
        </w:rPr>
        <w:t xml:space="preserve">efforts </w:t>
      </w:r>
      <w:r w:rsidR="00EF0CD9">
        <w:rPr>
          <w:lang w:val="fr-FR"/>
        </w:rPr>
        <w:t xml:space="preserve">pour promouvoir plus avant la </w:t>
      </w:r>
      <w:r w:rsidR="00A03C71" w:rsidRPr="0033051E">
        <w:rPr>
          <w:lang w:val="fr-FR"/>
        </w:rPr>
        <w:t xml:space="preserve">ratification </w:t>
      </w:r>
      <w:r w:rsidR="00EF0CD9">
        <w:rPr>
          <w:lang w:val="fr-FR"/>
        </w:rPr>
        <w:t xml:space="preserve">de la </w:t>
      </w:r>
      <w:r w:rsidR="00A03C71" w:rsidRPr="0033051E">
        <w:rPr>
          <w:lang w:val="fr-FR"/>
        </w:rPr>
        <w:t xml:space="preserve">Convention. </w:t>
      </w:r>
      <w:r w:rsidR="00EF0CD9">
        <w:rPr>
          <w:lang w:val="fr-FR"/>
        </w:rPr>
        <w:t>Par exemple</w:t>
      </w:r>
      <w:r w:rsidR="00A03C71" w:rsidRPr="0033051E">
        <w:rPr>
          <w:lang w:val="fr-FR"/>
        </w:rPr>
        <w:t xml:space="preserve">, </w:t>
      </w:r>
      <w:r w:rsidR="00EF0CD9">
        <w:rPr>
          <w:lang w:val="fr-FR"/>
        </w:rPr>
        <w:t xml:space="preserve">le </w:t>
      </w:r>
      <w:r w:rsidR="00C77767" w:rsidRPr="0033051E">
        <w:rPr>
          <w:lang w:val="fr-FR"/>
        </w:rPr>
        <w:t>Secrétariat</w:t>
      </w:r>
      <w:r w:rsidR="00A03C71" w:rsidRPr="0033051E">
        <w:rPr>
          <w:lang w:val="fr-FR"/>
        </w:rPr>
        <w:t xml:space="preserve"> </w:t>
      </w:r>
      <w:r w:rsidR="00B229A8">
        <w:rPr>
          <w:lang w:val="fr-FR"/>
        </w:rPr>
        <w:t>a soutenu</w:t>
      </w:r>
      <w:r w:rsidR="00EF0CD9">
        <w:rPr>
          <w:lang w:val="fr-FR"/>
        </w:rPr>
        <w:t xml:space="preserve"> l’</w:t>
      </w:r>
      <w:r w:rsidR="00EF0CD9" w:rsidRPr="0033051E">
        <w:rPr>
          <w:lang w:val="fr-FR"/>
        </w:rPr>
        <w:t>organisation</w:t>
      </w:r>
      <w:r w:rsidR="00EF0CD9">
        <w:rPr>
          <w:lang w:val="fr-FR"/>
        </w:rPr>
        <w:t xml:space="preserve">, par le Centre international de formation en faveur du </w:t>
      </w:r>
      <w:r w:rsidR="0096106D">
        <w:rPr>
          <w:lang w:val="fr-FR"/>
        </w:rPr>
        <w:t>p</w:t>
      </w:r>
      <w:r w:rsidR="00EF0CD9">
        <w:rPr>
          <w:lang w:val="fr-FR"/>
        </w:rPr>
        <w:t>atrimoine culturel immatériel en Asie et Pacifique (CRIHAP</w:t>
      </w:r>
      <w:r w:rsidR="00B229A8">
        <w:rPr>
          <w:lang w:val="fr-FR"/>
        </w:rPr>
        <w:t>)</w:t>
      </w:r>
      <w:r w:rsidR="00EF0CD9">
        <w:rPr>
          <w:lang w:val="fr-FR"/>
        </w:rPr>
        <w:t xml:space="preserve"> d’un atelier à Sydney</w:t>
      </w:r>
      <w:r w:rsidR="0096106D">
        <w:rPr>
          <w:lang w:val="fr-FR"/>
        </w:rPr>
        <w:t xml:space="preserve"> (</w:t>
      </w:r>
      <w:r w:rsidR="00A03C71" w:rsidRPr="0033051E">
        <w:rPr>
          <w:lang w:val="fr-FR"/>
        </w:rPr>
        <w:t>Australi</w:t>
      </w:r>
      <w:r w:rsidR="00FA7AF0">
        <w:rPr>
          <w:lang w:val="fr-FR"/>
        </w:rPr>
        <w:t>e</w:t>
      </w:r>
      <w:r w:rsidR="0096106D">
        <w:rPr>
          <w:lang w:val="fr-FR"/>
        </w:rPr>
        <w:t>)</w:t>
      </w:r>
      <w:r w:rsidR="00A03C71" w:rsidRPr="0033051E">
        <w:rPr>
          <w:lang w:val="fr-FR"/>
        </w:rPr>
        <w:t xml:space="preserve">, </w:t>
      </w:r>
      <w:r w:rsidR="00FA7AF0">
        <w:rPr>
          <w:lang w:val="fr-FR"/>
        </w:rPr>
        <w:t xml:space="preserve">en novembre </w:t>
      </w:r>
      <w:r w:rsidR="00A03C71" w:rsidRPr="0033051E">
        <w:rPr>
          <w:lang w:val="fr-FR"/>
        </w:rPr>
        <w:t>2015</w:t>
      </w:r>
      <w:r w:rsidR="00FA7AF0">
        <w:rPr>
          <w:lang w:val="fr-FR"/>
        </w:rPr>
        <w:t xml:space="preserve">, pour les États de la région du </w:t>
      </w:r>
      <w:r w:rsidR="00A03C71" w:rsidRPr="0033051E">
        <w:rPr>
          <w:lang w:val="fr-FR"/>
        </w:rPr>
        <w:t>Pacifi</w:t>
      </w:r>
      <w:r w:rsidR="00FA7AF0">
        <w:rPr>
          <w:lang w:val="fr-FR"/>
        </w:rPr>
        <w:t xml:space="preserve">que qui n’ont pas ratifié la </w:t>
      </w:r>
      <w:r w:rsidR="00A03C71" w:rsidRPr="0033051E">
        <w:rPr>
          <w:lang w:val="fr-FR"/>
        </w:rPr>
        <w:t>Convention.</w:t>
      </w:r>
    </w:p>
    <w:p w14:paraId="3677AB40" w14:textId="77777777" w:rsidR="00A03C71" w:rsidRPr="0033051E" w:rsidRDefault="00700883" w:rsidP="00EE55A0">
      <w:pPr>
        <w:pStyle w:val="COMPara"/>
        <w:keepNext/>
        <w:keepLines/>
        <w:spacing w:before="360"/>
        <w:ind w:left="0" w:firstLine="0"/>
        <w:rPr>
          <w:b/>
          <w:lang w:val="fr-FR"/>
        </w:rPr>
      </w:pPr>
      <w:r w:rsidRPr="0033051E">
        <w:rPr>
          <w:b/>
          <w:lang w:val="fr-FR"/>
        </w:rPr>
        <w:t>Indicat</w:t>
      </w:r>
      <w:r>
        <w:rPr>
          <w:b/>
          <w:lang w:val="fr-FR"/>
        </w:rPr>
        <w:t xml:space="preserve">eur de </w:t>
      </w:r>
      <w:r w:rsidRPr="0033051E">
        <w:rPr>
          <w:b/>
          <w:lang w:val="fr-FR"/>
        </w:rPr>
        <w:t>performance</w:t>
      </w:r>
      <w:r>
        <w:rPr>
          <w:b/>
          <w:lang w:val="fr-FR"/>
        </w:rPr>
        <w:t> </w:t>
      </w:r>
      <w:r w:rsidR="00A03C71" w:rsidRPr="0033051E">
        <w:rPr>
          <w:b/>
          <w:lang w:val="fr-FR"/>
        </w:rPr>
        <w:t>7</w:t>
      </w:r>
      <w:r>
        <w:rPr>
          <w:b/>
          <w:lang w:val="fr-FR"/>
        </w:rPr>
        <w:t> </w:t>
      </w:r>
      <w:r w:rsidR="00A03C71" w:rsidRPr="0033051E">
        <w:rPr>
          <w:b/>
          <w:lang w:val="fr-FR"/>
        </w:rPr>
        <w:t xml:space="preserve">: </w:t>
      </w:r>
      <w:r w:rsidR="00384E7D">
        <w:rPr>
          <w:b/>
          <w:lang w:val="fr-FR"/>
        </w:rPr>
        <w:t>n</w:t>
      </w:r>
      <w:r w:rsidRPr="00700883">
        <w:rPr>
          <w:b/>
          <w:lang w:val="fr-FR"/>
        </w:rPr>
        <w:t>ombre d’organisations au sein et à l’extérieur du système des Nations Unies, de la société civile et du secteur privé contribuant à l’exécution du programme</w:t>
      </w:r>
    </w:p>
    <w:p w14:paraId="27F18DC5" w14:textId="77777777" w:rsidR="00A03C71" w:rsidRPr="00216972" w:rsidRDefault="00216972" w:rsidP="00EE55A0">
      <w:pPr>
        <w:pStyle w:val="COMPara"/>
        <w:numPr>
          <w:ilvl w:val="0"/>
          <w:numId w:val="20"/>
        </w:numPr>
        <w:spacing w:before="240"/>
        <w:ind w:left="1134" w:hanging="578"/>
        <w:rPr>
          <w:b/>
          <w:lang w:val="fr-FR"/>
        </w:rPr>
      </w:pPr>
      <w:r w:rsidRPr="00216972">
        <w:rPr>
          <w:b/>
          <w:lang w:val="fr-FR"/>
        </w:rPr>
        <w:t>Centres de catégorie 2 soutenus pour contribuer à la mise en œuvre du programme</w:t>
      </w:r>
    </w:p>
    <w:p w14:paraId="78D87809" w14:textId="47E5DEFA" w:rsidR="00A03C71" w:rsidRPr="0033051E" w:rsidRDefault="00216972" w:rsidP="00A03C71">
      <w:pPr>
        <w:pStyle w:val="COMPara"/>
        <w:numPr>
          <w:ilvl w:val="0"/>
          <w:numId w:val="9"/>
        </w:numPr>
        <w:ind w:left="567" w:hanging="567"/>
        <w:jc w:val="both"/>
        <w:rPr>
          <w:lang w:val="fr-FR"/>
        </w:rPr>
      </w:pPr>
      <w:r w:rsidRPr="00CD2F58">
        <w:rPr>
          <w:lang w:val="fr-FR"/>
        </w:rPr>
        <w:t>Les principaux partenaires externes de la Convention sont les membres de son réseau de centres de catégorie 2 placés sous l’égide de l’UNESCO, établis et financés par les États membres afin de contribuer à la réalisation des objectifs de l’UNESCO par le biais d’activités mondiales, régionales, sous-régionales ou interrégionales. Le Secrétariat maintien</w:t>
      </w:r>
      <w:r>
        <w:rPr>
          <w:lang w:val="fr-FR"/>
        </w:rPr>
        <w:t>t</w:t>
      </w:r>
      <w:r w:rsidRPr="00CD2F58">
        <w:rPr>
          <w:lang w:val="fr-FR"/>
        </w:rPr>
        <w:t xml:space="preserve"> des relations actives avec huit de ces centres : sept sont dédiés exclusivement au patrimoine culturel immatériel et le huitième a un double mandat en patrimoine mondial et en patrimoine immatériel</w:t>
      </w:r>
      <w:r w:rsidR="00CF0658" w:rsidRPr="00CD2F58">
        <w:rPr>
          <w:lang w:val="fr-FR"/>
        </w:rPr>
        <w:t>.</w:t>
      </w:r>
      <w:r w:rsidR="00CF0658">
        <w:rPr>
          <w:lang w:val="fr-FR"/>
        </w:rPr>
        <w:t> </w:t>
      </w:r>
      <w:r w:rsidR="00CF0658" w:rsidRPr="00CD2F58">
        <w:rPr>
          <w:lang w:val="fr-FR"/>
        </w:rPr>
        <w:t>Le</w:t>
      </w:r>
      <w:r w:rsidR="00CF0658">
        <w:rPr>
          <w:lang w:val="fr-FR"/>
        </w:rPr>
        <w:t> </w:t>
      </w:r>
      <w:r w:rsidR="00CF0658" w:rsidRPr="00CD2F58">
        <w:rPr>
          <w:lang w:val="fr-FR"/>
        </w:rPr>
        <w:t>Secrétariat</w:t>
      </w:r>
      <w:r w:rsidR="00CF0658">
        <w:rPr>
          <w:lang w:val="fr-FR"/>
        </w:rPr>
        <w:t> administre </w:t>
      </w:r>
      <w:r w:rsidR="00CF0658" w:rsidRPr="00CD2F58">
        <w:rPr>
          <w:lang w:val="fr-FR"/>
        </w:rPr>
        <w:t>une</w:t>
      </w:r>
      <w:r w:rsidR="00CF0658">
        <w:rPr>
          <w:lang w:val="fr-FR"/>
        </w:rPr>
        <w:t> </w:t>
      </w:r>
      <w:r w:rsidR="00CF0658" w:rsidRPr="00CD2F58">
        <w:rPr>
          <w:lang w:val="fr-FR"/>
        </w:rPr>
        <w:t>page</w:t>
      </w:r>
      <w:r w:rsidR="00CF0658">
        <w:rPr>
          <w:lang w:val="fr-FR"/>
        </w:rPr>
        <w:t> </w:t>
      </w:r>
      <w:r w:rsidR="00CF0658" w:rsidRPr="00CD2F58">
        <w:rPr>
          <w:lang w:val="fr-FR"/>
        </w:rPr>
        <w:t>Internet</w:t>
      </w:r>
      <w:r w:rsidR="00CF0658">
        <w:rPr>
          <w:lang w:val="fr-FR"/>
        </w:rPr>
        <w:t> </w:t>
      </w:r>
      <w:r w:rsidR="00CF0658" w:rsidRPr="00CD2F58">
        <w:rPr>
          <w:lang w:val="fr-FR"/>
        </w:rPr>
        <w:t>dédiée</w:t>
      </w:r>
      <w:r w:rsidR="00CF0658">
        <w:rPr>
          <w:lang w:val="fr-FR"/>
        </w:rPr>
        <w:t> </w:t>
      </w:r>
      <w:r w:rsidR="00A03C71" w:rsidRPr="0033051E">
        <w:rPr>
          <w:lang w:val="fr-FR"/>
        </w:rPr>
        <w:t>(</w:t>
      </w:r>
      <w:hyperlink r:id="rId51" w:history="1">
        <w:r w:rsidR="00E766DA">
          <w:rPr>
            <w:rStyle w:val="Hyperlink"/>
            <w:lang w:val="fr-FR"/>
          </w:rPr>
          <w:t>http://www.unesco.org/culture/ich/fr/Catégorie2/</w:t>
        </w:r>
      </w:hyperlink>
      <w:r w:rsidR="00A03C71" w:rsidRPr="0033051E">
        <w:rPr>
          <w:lang w:val="fr-FR"/>
        </w:rPr>
        <w:t xml:space="preserve">) </w:t>
      </w:r>
      <w:r w:rsidRPr="00CD2F58">
        <w:rPr>
          <w:lang w:val="fr-FR"/>
        </w:rPr>
        <w:t>qui fournit des documents essentiels pour chaque centre, y compris ses plans de travail récents et ses rapports annuels, ainsi que les documents de référence sur le réseau de centres de catégorie 2.</w:t>
      </w:r>
    </w:p>
    <w:p w14:paraId="2381D753" w14:textId="00F68C5D" w:rsidR="00A03C71" w:rsidRPr="0033051E" w:rsidRDefault="00216972" w:rsidP="00A03C71">
      <w:pPr>
        <w:pStyle w:val="COMPara"/>
        <w:numPr>
          <w:ilvl w:val="0"/>
          <w:numId w:val="9"/>
        </w:numPr>
        <w:ind w:left="567" w:hanging="567"/>
        <w:jc w:val="both"/>
        <w:rPr>
          <w:lang w:val="fr-FR"/>
        </w:rPr>
      </w:pPr>
      <w:r>
        <w:rPr>
          <w:lang w:val="fr-FR"/>
        </w:rPr>
        <w:t xml:space="preserve">Pendant la </w:t>
      </w:r>
      <w:r w:rsidR="000C694D" w:rsidRPr="0033051E">
        <w:rPr>
          <w:lang w:val="fr-FR"/>
        </w:rPr>
        <w:t xml:space="preserve">période </w:t>
      </w:r>
      <w:r w:rsidR="00C30076">
        <w:rPr>
          <w:lang w:val="fr-FR"/>
        </w:rPr>
        <w:t>considérée</w:t>
      </w:r>
      <w:r w:rsidR="00A03C71" w:rsidRPr="0033051E">
        <w:rPr>
          <w:lang w:val="fr-FR"/>
        </w:rPr>
        <w:t xml:space="preserve">, </w:t>
      </w:r>
      <w:r>
        <w:rPr>
          <w:lang w:val="fr-FR"/>
        </w:rPr>
        <w:t xml:space="preserve">le </w:t>
      </w:r>
      <w:r w:rsidR="00C77767" w:rsidRPr="0033051E">
        <w:rPr>
          <w:lang w:val="fr-FR"/>
        </w:rPr>
        <w:t>Secrétariat</w:t>
      </w:r>
      <w:r w:rsidR="00A03C71" w:rsidRPr="0033051E">
        <w:rPr>
          <w:lang w:val="fr-FR"/>
        </w:rPr>
        <w:t xml:space="preserve"> </w:t>
      </w:r>
      <w:r>
        <w:rPr>
          <w:lang w:val="fr-FR"/>
        </w:rPr>
        <w:t xml:space="preserve">a </w:t>
      </w:r>
      <w:r w:rsidR="00A03C71" w:rsidRPr="0033051E">
        <w:rPr>
          <w:lang w:val="fr-FR"/>
        </w:rPr>
        <w:t>organi</w:t>
      </w:r>
      <w:r>
        <w:rPr>
          <w:lang w:val="fr-FR"/>
        </w:rPr>
        <w:t xml:space="preserve">sé les deuxième et troisième réunions de </w:t>
      </w:r>
      <w:r w:rsidR="00A03C71" w:rsidRPr="0033051E">
        <w:rPr>
          <w:lang w:val="fr-FR"/>
        </w:rPr>
        <w:t xml:space="preserve">coordination </w:t>
      </w:r>
      <w:r>
        <w:rPr>
          <w:lang w:val="fr-FR"/>
        </w:rPr>
        <w:t xml:space="preserve">annuelles des centres de </w:t>
      </w:r>
      <w:r w:rsidRPr="0033051E">
        <w:rPr>
          <w:lang w:val="fr-FR"/>
        </w:rPr>
        <w:t>catégorie</w:t>
      </w:r>
      <w:r>
        <w:rPr>
          <w:lang w:val="fr-FR"/>
        </w:rPr>
        <w:t> </w:t>
      </w:r>
      <w:r w:rsidR="00A03C71" w:rsidRPr="0033051E">
        <w:rPr>
          <w:lang w:val="fr-FR"/>
        </w:rPr>
        <w:t>2</w:t>
      </w:r>
      <w:r>
        <w:rPr>
          <w:lang w:val="fr-FR"/>
        </w:rPr>
        <w:t xml:space="preserve"> dans le domaine du </w:t>
      </w:r>
      <w:r w:rsidR="00B239C1">
        <w:rPr>
          <w:lang w:val="fr-FR"/>
        </w:rPr>
        <w:t xml:space="preserve">patrimoine </w:t>
      </w:r>
      <w:r w:rsidR="00CF0658">
        <w:rPr>
          <w:lang w:val="fr-FR"/>
        </w:rPr>
        <w:t>culturel </w:t>
      </w:r>
      <w:r>
        <w:rPr>
          <w:lang w:val="fr-FR"/>
        </w:rPr>
        <w:t>immatériel</w:t>
      </w:r>
      <w:r w:rsidR="00CF0658" w:rsidRPr="0033051E">
        <w:rPr>
          <w:lang w:val="fr-FR"/>
        </w:rPr>
        <w:t>,</w:t>
      </w:r>
      <w:r w:rsidR="00CF0658">
        <w:rPr>
          <w:lang w:val="fr-FR"/>
        </w:rPr>
        <w:t> </w:t>
      </w:r>
      <w:r w:rsidR="00CF0658" w:rsidRPr="0033051E">
        <w:rPr>
          <w:lang w:val="fr-FR"/>
        </w:rPr>
        <w:t>respective</w:t>
      </w:r>
      <w:r w:rsidR="00CF0658">
        <w:rPr>
          <w:lang w:val="fr-FR"/>
        </w:rPr>
        <w:t>ment en </w:t>
      </w:r>
      <w:r>
        <w:rPr>
          <w:lang w:val="fr-FR"/>
        </w:rPr>
        <w:t>juin </w:t>
      </w:r>
      <w:r w:rsidR="00A03C71" w:rsidRPr="0033051E">
        <w:rPr>
          <w:lang w:val="fr-FR"/>
        </w:rPr>
        <w:t>2014</w:t>
      </w:r>
      <w:r w:rsidR="00CF0658">
        <w:rPr>
          <w:lang w:val="fr-FR"/>
        </w:rPr>
        <w:t>, à </w:t>
      </w:r>
      <w:r w:rsidR="00A03C71" w:rsidRPr="0033051E">
        <w:rPr>
          <w:lang w:val="fr-FR"/>
        </w:rPr>
        <w:t>Paris</w:t>
      </w:r>
      <w:r w:rsidR="00CF0658">
        <w:rPr>
          <w:lang w:val="fr-FR"/>
        </w:rPr>
        <w:t> </w:t>
      </w:r>
      <w:r w:rsidR="005B6056" w:rsidRPr="00EE55A0">
        <w:rPr>
          <w:lang w:val="fr-FR"/>
        </w:rPr>
        <w:t>(</w:t>
      </w:r>
      <w:hyperlink r:id="rId52" w:history="1">
        <w:r w:rsidR="005B6056" w:rsidRPr="00EE55A0">
          <w:rPr>
            <w:rStyle w:val="Hyperlink"/>
            <w:lang w:val="fr-FR"/>
          </w:rPr>
          <w:t>http://www.unesco.org/culture/ich/index.php?meeting_id=00436</w:t>
        </w:r>
      </w:hyperlink>
      <w:r w:rsidR="005B6056" w:rsidRPr="00EE55A0">
        <w:rPr>
          <w:lang w:val="fr-FR"/>
        </w:rPr>
        <w:t>)</w:t>
      </w:r>
      <w:r>
        <w:rPr>
          <w:lang w:val="fr-FR"/>
        </w:rPr>
        <w:t xml:space="preserve">, et du </w:t>
      </w:r>
      <w:r w:rsidR="00A03C71" w:rsidRPr="0033051E">
        <w:rPr>
          <w:lang w:val="fr-FR"/>
        </w:rPr>
        <w:t xml:space="preserve">6 </w:t>
      </w:r>
      <w:r>
        <w:rPr>
          <w:lang w:val="fr-FR"/>
        </w:rPr>
        <w:t xml:space="preserve">au </w:t>
      </w:r>
      <w:r w:rsidR="00A03C71" w:rsidRPr="0033051E">
        <w:rPr>
          <w:lang w:val="fr-FR"/>
        </w:rPr>
        <w:t>8</w:t>
      </w:r>
      <w:r>
        <w:rPr>
          <w:lang w:val="fr-FR"/>
        </w:rPr>
        <w:t> juillet </w:t>
      </w:r>
      <w:r w:rsidR="00A03C71" w:rsidRPr="0033051E">
        <w:rPr>
          <w:lang w:val="fr-FR"/>
        </w:rPr>
        <w:t xml:space="preserve">2015 </w:t>
      </w:r>
      <w:r>
        <w:rPr>
          <w:lang w:val="fr-FR"/>
        </w:rPr>
        <w:t xml:space="preserve">à </w:t>
      </w:r>
      <w:r w:rsidR="00A03C71" w:rsidRPr="0033051E">
        <w:rPr>
          <w:lang w:val="fr-FR"/>
        </w:rPr>
        <w:t>Guiyang</w:t>
      </w:r>
      <w:r w:rsidR="0096106D">
        <w:rPr>
          <w:lang w:val="fr-FR"/>
        </w:rPr>
        <w:t xml:space="preserve"> (</w:t>
      </w:r>
      <w:r w:rsidR="00A03C71" w:rsidRPr="0033051E">
        <w:rPr>
          <w:lang w:val="fr-FR"/>
        </w:rPr>
        <w:t>Chin</w:t>
      </w:r>
      <w:r>
        <w:rPr>
          <w:lang w:val="fr-FR"/>
        </w:rPr>
        <w:t>e</w:t>
      </w:r>
      <w:r w:rsidR="0096106D">
        <w:rPr>
          <w:lang w:val="fr-FR"/>
        </w:rPr>
        <w:t xml:space="preserve">), </w:t>
      </w:r>
      <w:r>
        <w:rPr>
          <w:lang w:val="fr-FR"/>
        </w:rPr>
        <w:t xml:space="preserve">accueillie par le </w:t>
      </w:r>
      <w:r w:rsidR="00A03C71" w:rsidRPr="0033051E">
        <w:rPr>
          <w:lang w:val="fr-FR"/>
        </w:rPr>
        <w:t>CRIHAP</w:t>
      </w:r>
      <w:r w:rsidR="005B6056">
        <w:rPr>
          <w:lang w:val="fr-FR"/>
        </w:rPr>
        <w:t xml:space="preserve"> (</w:t>
      </w:r>
      <w:hyperlink r:id="rId53" w:history="1">
        <w:r w:rsidR="005B6056" w:rsidRPr="00EE55A0">
          <w:rPr>
            <w:rStyle w:val="Hyperlink"/>
            <w:lang w:val="fr-FR"/>
          </w:rPr>
          <w:t>http://www.unesco.org/culture/ich/index.php?meeting_id=00478</w:t>
        </w:r>
      </w:hyperlink>
      <w:r w:rsidR="005B6056" w:rsidRPr="00EE55A0">
        <w:rPr>
          <w:lang w:val="fr-FR"/>
        </w:rPr>
        <w:t>)</w:t>
      </w:r>
      <w:r w:rsidR="00A03C71" w:rsidRPr="0033051E">
        <w:rPr>
          <w:lang w:val="fr-FR"/>
        </w:rPr>
        <w:t xml:space="preserve">. </w:t>
      </w:r>
      <w:r>
        <w:rPr>
          <w:lang w:val="fr-FR"/>
        </w:rPr>
        <w:t xml:space="preserve">Ces deux réunions de </w:t>
      </w:r>
      <w:r w:rsidR="00A03C71" w:rsidRPr="0033051E">
        <w:rPr>
          <w:lang w:val="fr-FR"/>
        </w:rPr>
        <w:t xml:space="preserve">coordination </w:t>
      </w:r>
      <w:r>
        <w:rPr>
          <w:lang w:val="fr-FR"/>
        </w:rPr>
        <w:t xml:space="preserve">ont constitué des plateformes pour les </w:t>
      </w:r>
      <w:r w:rsidR="00A03C71" w:rsidRPr="0033051E">
        <w:rPr>
          <w:lang w:val="fr-FR"/>
        </w:rPr>
        <w:t xml:space="preserve">participants </w:t>
      </w:r>
      <w:r>
        <w:rPr>
          <w:lang w:val="fr-FR"/>
        </w:rPr>
        <w:t xml:space="preserve">afin de </w:t>
      </w:r>
      <w:r w:rsidRPr="00CD2F58">
        <w:rPr>
          <w:lang w:val="fr-FR"/>
        </w:rPr>
        <w:t xml:space="preserve">dresser le bilan des développements récents de la Convention et </w:t>
      </w:r>
      <w:r>
        <w:rPr>
          <w:lang w:val="fr-FR"/>
        </w:rPr>
        <w:t xml:space="preserve">des tendances plus larges en cours à l’UNESCO s’agissant des centres de catégorie 2, ainsi que de faciliter les efforts communs pour l’intégration de </w:t>
      </w:r>
      <w:r w:rsidRPr="00CD2F58">
        <w:rPr>
          <w:lang w:val="fr-FR"/>
        </w:rPr>
        <w:t>la Stratégie à moyen terme de l’UNESCO (37 C/4) et du Programme et budget (37 C/5)</w:t>
      </w:r>
      <w:r>
        <w:rPr>
          <w:lang w:val="fr-FR"/>
        </w:rPr>
        <w:t xml:space="preserve"> dans les </w:t>
      </w:r>
      <w:r w:rsidR="006B6402">
        <w:rPr>
          <w:lang w:val="fr-FR"/>
        </w:rPr>
        <w:t xml:space="preserve">planifications </w:t>
      </w:r>
      <w:r>
        <w:rPr>
          <w:lang w:val="fr-FR"/>
        </w:rPr>
        <w:t xml:space="preserve">à moyen et court termes des centres </w:t>
      </w:r>
      <w:r w:rsidR="00A03C71" w:rsidRPr="0033051E">
        <w:rPr>
          <w:lang w:val="fr-FR"/>
        </w:rPr>
        <w:t>respecti</w:t>
      </w:r>
      <w:r>
        <w:rPr>
          <w:lang w:val="fr-FR"/>
        </w:rPr>
        <w:t>fs</w:t>
      </w:r>
      <w:r w:rsidR="00A03C71" w:rsidRPr="0033051E">
        <w:rPr>
          <w:lang w:val="fr-FR"/>
        </w:rPr>
        <w:t xml:space="preserve">. </w:t>
      </w:r>
      <w:r w:rsidR="00B13A60">
        <w:rPr>
          <w:lang w:val="fr-FR"/>
        </w:rPr>
        <w:t>Ces réunions ont également été l’</w:t>
      </w:r>
      <w:r w:rsidR="00A03C71" w:rsidRPr="0033051E">
        <w:rPr>
          <w:lang w:val="fr-FR"/>
        </w:rPr>
        <w:t xml:space="preserve">occasion </w:t>
      </w:r>
      <w:r w:rsidR="00B13A60" w:rsidRPr="00CD2F58">
        <w:rPr>
          <w:lang w:val="fr-FR"/>
        </w:rPr>
        <w:t xml:space="preserve">d’exposer </w:t>
      </w:r>
      <w:r w:rsidR="00B13A60">
        <w:rPr>
          <w:lang w:val="fr-FR"/>
        </w:rPr>
        <w:t xml:space="preserve">pleinement </w:t>
      </w:r>
      <w:r w:rsidR="00B13A60" w:rsidRPr="00CD2F58">
        <w:rPr>
          <w:lang w:val="fr-FR"/>
        </w:rPr>
        <w:t xml:space="preserve">aux centres la nouvelle stratégie globale intégrée de l’UNESCO pour les instituts et centres de catégorie 2 adoptée en 2013 lors de la Conférence générale de </w:t>
      </w:r>
      <w:r w:rsidR="00B13A60" w:rsidRPr="008038C6">
        <w:rPr>
          <w:lang w:val="fr-FR"/>
        </w:rPr>
        <w:t>l’UNESCO (</w:t>
      </w:r>
      <w:hyperlink r:id="rId54" w:history="1">
        <w:r w:rsidR="00B13A60" w:rsidRPr="008038C6">
          <w:rPr>
            <w:rStyle w:val="Hyperlink"/>
            <w:lang w:val="fr-FR"/>
          </w:rPr>
          <w:t xml:space="preserve">37/C </w:t>
        </w:r>
        <w:r w:rsidR="0096106D" w:rsidRPr="008038C6">
          <w:rPr>
            <w:rStyle w:val="Hyperlink"/>
            <w:lang w:val="fr-FR"/>
          </w:rPr>
          <w:t>r</w:t>
        </w:r>
        <w:r w:rsidR="00B13A60" w:rsidRPr="008038C6">
          <w:rPr>
            <w:rStyle w:val="Hyperlink"/>
            <w:lang w:val="fr-FR"/>
          </w:rPr>
          <w:t>ésolution 93</w:t>
        </w:r>
      </w:hyperlink>
      <w:r w:rsidR="00B13A60" w:rsidRPr="008038C6">
        <w:rPr>
          <w:lang w:val="fr-FR"/>
        </w:rPr>
        <w:t>),</w:t>
      </w:r>
      <w:r w:rsidR="00B13A60" w:rsidRPr="00CD2F58">
        <w:rPr>
          <w:lang w:val="fr-FR"/>
        </w:rPr>
        <w:t xml:space="preserve"> ainsi que la nécessité pour les centres d’aligner leurs plans de travail sur les résultats escomptés de l’UNESCO dans le domaine du patrimoine culturel immatériel, en coordination étroite avec la Section </w:t>
      </w:r>
      <w:r w:rsidR="006B6402">
        <w:rPr>
          <w:lang w:val="fr-FR"/>
        </w:rPr>
        <w:t>du</w:t>
      </w:r>
      <w:r w:rsidR="00B13A60" w:rsidRPr="00CD2F58">
        <w:rPr>
          <w:lang w:val="fr-FR"/>
        </w:rPr>
        <w:t xml:space="preserve"> patrimoine culturel immatériel.</w:t>
      </w:r>
      <w:r w:rsidR="00A03C71" w:rsidRPr="0033051E">
        <w:rPr>
          <w:lang w:val="fr-FR"/>
        </w:rPr>
        <w:t xml:space="preserve"> </w:t>
      </w:r>
      <w:r w:rsidR="00B13A60">
        <w:rPr>
          <w:lang w:val="fr-FR"/>
        </w:rPr>
        <w:t xml:space="preserve">Tandis que les deux premières réunions en </w:t>
      </w:r>
      <w:r w:rsidR="00A03C71" w:rsidRPr="0033051E">
        <w:rPr>
          <w:lang w:val="fr-FR"/>
        </w:rPr>
        <w:t xml:space="preserve">2013 </w:t>
      </w:r>
      <w:r w:rsidR="00B13A60">
        <w:rPr>
          <w:lang w:val="fr-FR"/>
        </w:rPr>
        <w:t xml:space="preserve">et </w:t>
      </w:r>
      <w:r w:rsidR="00A03C71" w:rsidRPr="0033051E">
        <w:rPr>
          <w:lang w:val="fr-FR"/>
        </w:rPr>
        <w:t xml:space="preserve">2014 </w:t>
      </w:r>
      <w:r w:rsidR="00B13A60">
        <w:rPr>
          <w:lang w:val="fr-FR"/>
        </w:rPr>
        <w:t>visaient à établir une compréhension partagée de la stratégie globale de l’</w:t>
      </w:r>
      <w:r w:rsidR="00A03C71" w:rsidRPr="0033051E">
        <w:rPr>
          <w:lang w:val="fr-FR"/>
        </w:rPr>
        <w:t xml:space="preserve">UNESCO, </w:t>
      </w:r>
      <w:r w:rsidR="00B13A60">
        <w:rPr>
          <w:lang w:val="fr-FR"/>
        </w:rPr>
        <w:t xml:space="preserve">la troisième réunion </w:t>
      </w:r>
      <w:r w:rsidR="00A03C71" w:rsidRPr="0033051E">
        <w:rPr>
          <w:lang w:val="fr-FR"/>
        </w:rPr>
        <w:t>annu</w:t>
      </w:r>
      <w:r w:rsidR="00B13A60">
        <w:rPr>
          <w:lang w:val="fr-FR"/>
        </w:rPr>
        <w:t xml:space="preserve">elle s’est concentrée sur les échanges </w:t>
      </w:r>
      <w:r w:rsidR="00A03C71" w:rsidRPr="0033051E">
        <w:rPr>
          <w:lang w:val="fr-FR"/>
        </w:rPr>
        <w:t>p</w:t>
      </w:r>
      <w:r w:rsidR="00B13A60">
        <w:rPr>
          <w:lang w:val="fr-FR"/>
        </w:rPr>
        <w:t>ai</w:t>
      </w:r>
      <w:r w:rsidR="00A03C71" w:rsidRPr="0033051E">
        <w:rPr>
          <w:lang w:val="fr-FR"/>
        </w:rPr>
        <w:t>r-</w:t>
      </w:r>
      <w:r w:rsidR="00B13A60">
        <w:rPr>
          <w:lang w:val="fr-FR"/>
        </w:rPr>
        <w:t>à</w:t>
      </w:r>
      <w:r w:rsidR="00A03C71" w:rsidRPr="0033051E">
        <w:rPr>
          <w:lang w:val="fr-FR"/>
        </w:rPr>
        <w:t>-p</w:t>
      </w:r>
      <w:r w:rsidR="00B13A60">
        <w:rPr>
          <w:lang w:val="fr-FR"/>
        </w:rPr>
        <w:t>ai</w:t>
      </w:r>
      <w:r w:rsidR="00A03C71" w:rsidRPr="0033051E">
        <w:rPr>
          <w:lang w:val="fr-FR"/>
        </w:rPr>
        <w:t xml:space="preserve">r </w:t>
      </w:r>
      <w:r w:rsidR="00B13A60">
        <w:rPr>
          <w:lang w:val="fr-FR"/>
        </w:rPr>
        <w:t xml:space="preserve">sur les </w:t>
      </w:r>
      <w:r w:rsidR="00A03C71" w:rsidRPr="0033051E">
        <w:rPr>
          <w:lang w:val="fr-FR"/>
        </w:rPr>
        <w:t>th</w:t>
      </w:r>
      <w:r w:rsidR="00B13A60">
        <w:rPr>
          <w:lang w:val="fr-FR"/>
        </w:rPr>
        <w:t>è</w:t>
      </w:r>
      <w:r w:rsidR="00A03C71" w:rsidRPr="0033051E">
        <w:rPr>
          <w:lang w:val="fr-FR"/>
        </w:rPr>
        <w:t>mes</w:t>
      </w:r>
      <w:r w:rsidR="00B13A60">
        <w:rPr>
          <w:lang w:val="fr-FR"/>
        </w:rPr>
        <w:t xml:space="preserve"> suivants : </w:t>
      </w:r>
      <w:r w:rsidR="00A03C71" w:rsidRPr="0033051E">
        <w:rPr>
          <w:lang w:val="fr-FR"/>
        </w:rPr>
        <w:t xml:space="preserve">information </w:t>
      </w:r>
      <w:r w:rsidR="00B13A60">
        <w:rPr>
          <w:lang w:val="fr-FR"/>
        </w:rPr>
        <w:t>et mise en réseau</w:t>
      </w:r>
      <w:r w:rsidR="00A03C71" w:rsidRPr="0033051E">
        <w:rPr>
          <w:lang w:val="fr-FR"/>
        </w:rPr>
        <w:t xml:space="preserve">, collaboration </w:t>
      </w:r>
      <w:r w:rsidR="00B13A60">
        <w:rPr>
          <w:lang w:val="fr-FR"/>
        </w:rPr>
        <w:t>avec l’</w:t>
      </w:r>
      <w:r w:rsidR="00A03C71" w:rsidRPr="0033051E">
        <w:rPr>
          <w:lang w:val="fr-FR"/>
        </w:rPr>
        <w:t xml:space="preserve">UNESCO </w:t>
      </w:r>
      <w:r w:rsidR="00B13A60">
        <w:rPr>
          <w:lang w:val="fr-FR"/>
        </w:rPr>
        <w:t xml:space="preserve">au sein du programme </w:t>
      </w:r>
      <w:r w:rsidR="00A03C71" w:rsidRPr="0033051E">
        <w:rPr>
          <w:lang w:val="fr-FR"/>
        </w:rPr>
        <w:t xml:space="preserve">global </w:t>
      </w:r>
      <w:r w:rsidR="00B13A60">
        <w:rPr>
          <w:lang w:val="fr-FR"/>
        </w:rPr>
        <w:t>de renforcement des capacités</w:t>
      </w:r>
      <w:r w:rsidR="00A03C71" w:rsidRPr="0033051E">
        <w:rPr>
          <w:lang w:val="fr-FR"/>
        </w:rPr>
        <w:t xml:space="preserve">, </w:t>
      </w:r>
      <w:r w:rsidR="00B13A60">
        <w:rPr>
          <w:lang w:val="fr-FR"/>
        </w:rPr>
        <w:t xml:space="preserve">planification et budgétisation des </w:t>
      </w:r>
      <w:r w:rsidR="00A03C71" w:rsidRPr="0033051E">
        <w:rPr>
          <w:lang w:val="fr-FR"/>
        </w:rPr>
        <w:t>programme</w:t>
      </w:r>
      <w:r w:rsidR="00B13A60">
        <w:rPr>
          <w:lang w:val="fr-FR"/>
        </w:rPr>
        <w:t>s</w:t>
      </w:r>
      <w:r w:rsidR="00A03C71" w:rsidRPr="0033051E">
        <w:rPr>
          <w:lang w:val="fr-FR"/>
        </w:rPr>
        <w:t>, go</w:t>
      </w:r>
      <w:r w:rsidR="00B13A60">
        <w:rPr>
          <w:lang w:val="fr-FR"/>
        </w:rPr>
        <w:t>u</w:t>
      </w:r>
      <w:r w:rsidR="00A03C71" w:rsidRPr="0033051E">
        <w:rPr>
          <w:lang w:val="fr-FR"/>
        </w:rPr>
        <w:t xml:space="preserve">vernance, </w:t>
      </w:r>
      <w:r w:rsidR="00B13A60" w:rsidRPr="0033051E">
        <w:rPr>
          <w:lang w:val="fr-FR"/>
        </w:rPr>
        <w:t>coopération</w:t>
      </w:r>
      <w:r w:rsidR="00A03C71" w:rsidRPr="0033051E">
        <w:rPr>
          <w:lang w:val="fr-FR"/>
        </w:rPr>
        <w:t xml:space="preserve"> </w:t>
      </w:r>
      <w:r w:rsidR="00B13A60">
        <w:rPr>
          <w:lang w:val="fr-FR"/>
        </w:rPr>
        <w:t xml:space="preserve">avec les États membres, </w:t>
      </w:r>
      <w:r w:rsidR="00B13A60" w:rsidRPr="0033051E">
        <w:rPr>
          <w:lang w:val="fr-FR"/>
        </w:rPr>
        <w:t>évaluation</w:t>
      </w:r>
      <w:r w:rsidR="00A03C71" w:rsidRPr="0033051E">
        <w:rPr>
          <w:lang w:val="fr-FR"/>
        </w:rPr>
        <w:t xml:space="preserve"> </w:t>
      </w:r>
      <w:r w:rsidR="00B13A60">
        <w:rPr>
          <w:lang w:val="fr-FR"/>
        </w:rPr>
        <w:t xml:space="preserve">et </w:t>
      </w:r>
      <w:r w:rsidR="00A03C71" w:rsidRPr="0033051E">
        <w:rPr>
          <w:lang w:val="fr-FR"/>
        </w:rPr>
        <w:t>ren</w:t>
      </w:r>
      <w:r w:rsidR="00B13A60">
        <w:rPr>
          <w:lang w:val="fr-FR"/>
        </w:rPr>
        <w:t>ouvellement</w:t>
      </w:r>
      <w:r w:rsidR="00D4324F">
        <w:rPr>
          <w:lang w:val="fr-FR"/>
        </w:rPr>
        <w:t xml:space="preserve"> de centres de catégorie 2.</w:t>
      </w:r>
      <w:r w:rsidR="002E4C20">
        <w:rPr>
          <w:lang w:val="fr-FR"/>
        </w:rPr>
        <w:t xml:space="preserve"> La quatrième réunion de coordination annuelle se tiendra juste après la présente session de l’Assemblée générale</w:t>
      </w:r>
      <w:r w:rsidR="00512BCD">
        <w:rPr>
          <w:lang w:val="fr-FR"/>
        </w:rPr>
        <w:t>,</w:t>
      </w:r>
      <w:r w:rsidR="002E4C20">
        <w:rPr>
          <w:lang w:val="fr-FR"/>
        </w:rPr>
        <w:t xml:space="preserve"> le 3 juin 2016 à Paris.</w:t>
      </w:r>
    </w:p>
    <w:p w14:paraId="472E4DEA" w14:textId="03DD30ED" w:rsidR="00A03C71" w:rsidRPr="009175F1" w:rsidRDefault="00B13A60" w:rsidP="00EE55A0">
      <w:pPr>
        <w:pStyle w:val="COMPara"/>
        <w:numPr>
          <w:ilvl w:val="0"/>
          <w:numId w:val="9"/>
        </w:numPr>
        <w:ind w:left="567" w:hanging="567"/>
        <w:jc w:val="both"/>
        <w:rPr>
          <w:lang w:val="fr-FR"/>
        </w:rPr>
      </w:pPr>
      <w:r w:rsidRPr="000D3B7E">
        <w:rPr>
          <w:lang w:val="fr-FR"/>
        </w:rPr>
        <w:t>Le processus d’é</w:t>
      </w:r>
      <w:r w:rsidR="00A03C71" w:rsidRPr="000D3B7E">
        <w:rPr>
          <w:lang w:val="fr-FR"/>
        </w:rPr>
        <w:t xml:space="preserve">valuation </w:t>
      </w:r>
      <w:r w:rsidRPr="000D3B7E">
        <w:rPr>
          <w:lang w:val="fr-FR"/>
        </w:rPr>
        <w:t xml:space="preserve">et de renouvellement du Centre régional pour la sauvegarde du patrimoine culturel immatériel de l’Amérique latine </w:t>
      </w:r>
      <w:r w:rsidR="00A03C71" w:rsidRPr="000D3B7E">
        <w:rPr>
          <w:lang w:val="fr-FR"/>
        </w:rPr>
        <w:t xml:space="preserve">(CRESPIAL) </w:t>
      </w:r>
      <w:r w:rsidR="006B6402" w:rsidRPr="000D3B7E">
        <w:rPr>
          <w:lang w:val="fr-FR"/>
        </w:rPr>
        <w:t xml:space="preserve">à </w:t>
      </w:r>
      <w:r w:rsidR="00A03C71" w:rsidRPr="000D3B7E">
        <w:rPr>
          <w:lang w:val="fr-FR"/>
        </w:rPr>
        <w:t>Cusco</w:t>
      </w:r>
      <w:r w:rsidRPr="000D3B7E">
        <w:rPr>
          <w:lang w:val="fr-FR"/>
        </w:rPr>
        <w:t xml:space="preserve"> (</w:t>
      </w:r>
      <w:r w:rsidR="00A03C71" w:rsidRPr="000D3B7E">
        <w:rPr>
          <w:lang w:val="fr-FR"/>
        </w:rPr>
        <w:t>P</w:t>
      </w:r>
      <w:r w:rsidRPr="000D3B7E">
        <w:rPr>
          <w:lang w:val="fr-FR"/>
        </w:rPr>
        <w:t>é</w:t>
      </w:r>
      <w:r w:rsidR="00A03C71" w:rsidRPr="000D3B7E">
        <w:rPr>
          <w:lang w:val="fr-FR"/>
        </w:rPr>
        <w:t>r</w:t>
      </w:r>
      <w:r w:rsidRPr="000D3B7E">
        <w:rPr>
          <w:lang w:val="fr-FR"/>
        </w:rPr>
        <w:t>o</w:t>
      </w:r>
      <w:r w:rsidR="00A03C71" w:rsidRPr="000D3B7E">
        <w:rPr>
          <w:lang w:val="fr-FR"/>
        </w:rPr>
        <w:t>u</w:t>
      </w:r>
      <w:r w:rsidRPr="000D3B7E">
        <w:rPr>
          <w:lang w:val="fr-FR"/>
        </w:rPr>
        <w:t>)</w:t>
      </w:r>
      <w:r w:rsidR="00A03C71" w:rsidRPr="000D3B7E">
        <w:rPr>
          <w:lang w:val="fr-FR"/>
        </w:rPr>
        <w:t xml:space="preserve"> </w:t>
      </w:r>
      <w:r w:rsidR="00716EEA" w:rsidRPr="000D3B7E">
        <w:rPr>
          <w:lang w:val="fr-FR"/>
        </w:rPr>
        <w:t>est</w:t>
      </w:r>
      <w:r w:rsidRPr="000D3B7E">
        <w:rPr>
          <w:lang w:val="fr-FR"/>
        </w:rPr>
        <w:t xml:space="preserve"> terminé</w:t>
      </w:r>
      <w:r w:rsidR="00A03C71" w:rsidRPr="000D3B7E">
        <w:rPr>
          <w:lang w:val="fr-FR"/>
        </w:rPr>
        <w:t xml:space="preserve">. </w:t>
      </w:r>
      <w:r w:rsidRPr="000D3B7E">
        <w:rPr>
          <w:lang w:val="fr-FR"/>
        </w:rPr>
        <w:t xml:space="preserve">Une procédure </w:t>
      </w:r>
      <w:r w:rsidR="00A03C71" w:rsidRPr="000D3B7E">
        <w:rPr>
          <w:lang w:val="fr-FR"/>
        </w:rPr>
        <w:t>simila</w:t>
      </w:r>
      <w:r w:rsidRPr="000D3B7E">
        <w:rPr>
          <w:lang w:val="fr-FR"/>
        </w:rPr>
        <w:t xml:space="preserve">ire est </w:t>
      </w:r>
      <w:r w:rsidR="00716EEA" w:rsidRPr="000D3B7E">
        <w:rPr>
          <w:lang w:val="fr-FR"/>
        </w:rPr>
        <w:t>en cours</w:t>
      </w:r>
      <w:r w:rsidRPr="000D3B7E">
        <w:rPr>
          <w:lang w:val="fr-FR"/>
        </w:rPr>
        <w:t xml:space="preserve"> pour le Centre international de recherche sur le patrimoine culturel immatériel dans la région Asie-Pacifique (IRCI) </w:t>
      </w:r>
      <w:r w:rsidR="006B6402" w:rsidRPr="000D3B7E">
        <w:rPr>
          <w:lang w:val="fr-FR"/>
        </w:rPr>
        <w:t xml:space="preserve">à </w:t>
      </w:r>
      <w:r w:rsidRPr="000D3B7E">
        <w:rPr>
          <w:lang w:val="fr-FR"/>
        </w:rPr>
        <w:t>Sakai (Japon</w:t>
      </w:r>
      <w:r w:rsidR="000D3B7E" w:rsidRPr="000D3B7E">
        <w:rPr>
          <w:lang w:val="fr-FR"/>
        </w:rPr>
        <w:t xml:space="preserve">), </w:t>
      </w:r>
      <w:r w:rsidR="00716EEA" w:rsidRPr="000D3B7E">
        <w:rPr>
          <w:lang w:val="fr-FR"/>
        </w:rPr>
        <w:t>pour le</w:t>
      </w:r>
      <w:r w:rsidRPr="000D3B7E">
        <w:rPr>
          <w:lang w:val="fr-FR"/>
        </w:rPr>
        <w:t xml:space="preserve"> Centre international d’information et de travail en réseau sur le patrimoine culturel immatériel dans la région Asie-Pacifique (ICHCAP) </w:t>
      </w:r>
      <w:r w:rsidR="006B6402" w:rsidRPr="000D3B7E">
        <w:rPr>
          <w:lang w:val="fr-FR"/>
        </w:rPr>
        <w:t xml:space="preserve">à </w:t>
      </w:r>
      <w:r w:rsidR="00A03C71" w:rsidRPr="000D3B7E">
        <w:rPr>
          <w:lang w:val="fr-FR"/>
        </w:rPr>
        <w:t>Jeonju</w:t>
      </w:r>
      <w:r w:rsidRPr="000D3B7E">
        <w:rPr>
          <w:lang w:val="fr-FR"/>
        </w:rPr>
        <w:t xml:space="preserve"> (</w:t>
      </w:r>
      <w:r w:rsidR="00A03C71" w:rsidRPr="000D3B7E">
        <w:rPr>
          <w:lang w:val="fr-FR"/>
        </w:rPr>
        <w:t>R</w:t>
      </w:r>
      <w:r w:rsidRPr="000D3B7E">
        <w:rPr>
          <w:lang w:val="fr-FR"/>
        </w:rPr>
        <w:t>é</w:t>
      </w:r>
      <w:r w:rsidR="00A03C71" w:rsidRPr="000D3B7E">
        <w:rPr>
          <w:lang w:val="fr-FR"/>
        </w:rPr>
        <w:t>publi</w:t>
      </w:r>
      <w:r w:rsidRPr="000D3B7E">
        <w:rPr>
          <w:lang w:val="fr-FR"/>
        </w:rPr>
        <w:t>que de Corée)</w:t>
      </w:r>
      <w:r w:rsidR="000D3B7E" w:rsidRPr="000D3B7E">
        <w:rPr>
          <w:lang w:val="fr-FR"/>
        </w:rPr>
        <w:t xml:space="preserve">, et pour </w:t>
      </w:r>
      <w:r w:rsidR="009175F1">
        <w:rPr>
          <w:lang w:val="fr-FR"/>
        </w:rPr>
        <w:t xml:space="preserve">le </w:t>
      </w:r>
      <w:r w:rsidR="009175F1" w:rsidRPr="009175F1">
        <w:rPr>
          <w:sz w:val="21"/>
          <w:szCs w:val="21"/>
          <w:lang w:val="fr-FR"/>
        </w:rPr>
        <w:t>Centre régional de formation à la gestion du patrimoine</w:t>
      </w:r>
      <w:r w:rsidR="009175F1">
        <w:rPr>
          <w:sz w:val="21"/>
          <w:szCs w:val="21"/>
          <w:lang w:val="fr-FR"/>
        </w:rPr>
        <w:t xml:space="preserve"> « </w:t>
      </w:r>
      <w:r w:rsidR="009175F1" w:rsidRPr="009175F1">
        <w:rPr>
          <w:sz w:val="21"/>
          <w:szCs w:val="21"/>
          <w:lang w:val="fr-FR"/>
        </w:rPr>
        <w:t>Lucio Costa</w:t>
      </w:r>
      <w:r w:rsidR="009175F1">
        <w:rPr>
          <w:sz w:val="21"/>
          <w:szCs w:val="21"/>
          <w:lang w:val="fr-FR"/>
        </w:rPr>
        <w:t> »</w:t>
      </w:r>
      <w:r w:rsidR="000D3B7E" w:rsidRPr="009175F1">
        <w:rPr>
          <w:lang w:val="fr-FR"/>
        </w:rPr>
        <w:t>, à Rio de Janeiro (Brésil).</w:t>
      </w:r>
    </w:p>
    <w:p w14:paraId="566FDDC7" w14:textId="6C18A46B" w:rsidR="00A03C71" w:rsidRPr="0033051E" w:rsidRDefault="00384E7D" w:rsidP="00EE55A0">
      <w:pPr>
        <w:pStyle w:val="COMPara"/>
        <w:keepNext/>
        <w:numPr>
          <w:ilvl w:val="0"/>
          <w:numId w:val="20"/>
        </w:numPr>
        <w:spacing w:before="240"/>
        <w:ind w:left="1134" w:hanging="578"/>
        <w:rPr>
          <w:b/>
          <w:lang w:val="fr-FR"/>
        </w:rPr>
      </w:pPr>
      <w:r>
        <w:rPr>
          <w:b/>
          <w:lang w:val="fr-FR"/>
        </w:rPr>
        <w:t xml:space="preserve">Renforcement de la </w:t>
      </w:r>
      <w:r w:rsidRPr="0033051E">
        <w:rPr>
          <w:b/>
          <w:lang w:val="fr-FR"/>
        </w:rPr>
        <w:t xml:space="preserve">coopération </w:t>
      </w:r>
      <w:r>
        <w:rPr>
          <w:b/>
          <w:lang w:val="fr-FR"/>
        </w:rPr>
        <w:t xml:space="preserve">avec les </w:t>
      </w:r>
      <w:r w:rsidR="00A03C71" w:rsidRPr="0033051E">
        <w:rPr>
          <w:b/>
          <w:lang w:val="fr-FR"/>
        </w:rPr>
        <w:t>organi</w:t>
      </w:r>
      <w:r>
        <w:rPr>
          <w:b/>
          <w:lang w:val="fr-FR"/>
        </w:rPr>
        <w:t>s</w:t>
      </w:r>
      <w:r w:rsidR="00A03C71" w:rsidRPr="0033051E">
        <w:rPr>
          <w:b/>
          <w:lang w:val="fr-FR"/>
        </w:rPr>
        <w:t xml:space="preserve">ations </w:t>
      </w:r>
      <w:r>
        <w:rPr>
          <w:b/>
          <w:lang w:val="fr-FR"/>
        </w:rPr>
        <w:t xml:space="preserve">au sein du système des Nations </w:t>
      </w:r>
      <w:r w:rsidR="00F46634">
        <w:rPr>
          <w:b/>
          <w:lang w:val="fr-FR"/>
        </w:rPr>
        <w:t>U</w:t>
      </w:r>
      <w:r>
        <w:rPr>
          <w:b/>
          <w:lang w:val="fr-FR"/>
        </w:rPr>
        <w:t>nies</w:t>
      </w:r>
    </w:p>
    <w:p w14:paraId="1C9BF7FB" w14:textId="4557F3B2" w:rsidR="00A03C71" w:rsidRPr="00CD5665" w:rsidRDefault="00384E7D" w:rsidP="00EE55A0">
      <w:pPr>
        <w:pStyle w:val="COMPara"/>
        <w:numPr>
          <w:ilvl w:val="0"/>
          <w:numId w:val="9"/>
        </w:numPr>
        <w:ind w:left="567" w:hanging="567"/>
        <w:jc w:val="both"/>
        <w:rPr>
          <w:lang w:val="fr-FR"/>
        </w:rPr>
      </w:pPr>
      <w:r w:rsidRPr="00CD5665">
        <w:rPr>
          <w:lang w:val="fr-FR"/>
        </w:rPr>
        <w:t xml:space="preserve">S’agissant des </w:t>
      </w:r>
      <w:r w:rsidR="00A03C71" w:rsidRPr="00CD5665">
        <w:rPr>
          <w:lang w:val="fr-FR"/>
        </w:rPr>
        <w:t xml:space="preserve">questions </w:t>
      </w:r>
      <w:r w:rsidRPr="00CD5665">
        <w:rPr>
          <w:lang w:val="fr-FR"/>
        </w:rPr>
        <w:t>de propriété intellectuelle</w:t>
      </w:r>
      <w:r w:rsidR="00A03C71" w:rsidRPr="00CD5665">
        <w:rPr>
          <w:lang w:val="fr-FR"/>
        </w:rPr>
        <w:t xml:space="preserve">, </w:t>
      </w:r>
      <w:r w:rsidRPr="00CD5665">
        <w:rPr>
          <w:lang w:val="fr-FR"/>
        </w:rPr>
        <w:t xml:space="preserve">le </w:t>
      </w:r>
      <w:r w:rsidR="00C77767" w:rsidRPr="00CD5665">
        <w:rPr>
          <w:lang w:val="fr-FR"/>
        </w:rPr>
        <w:t>Secrétariat</w:t>
      </w:r>
      <w:r w:rsidR="00A03C71" w:rsidRPr="00CD5665">
        <w:rPr>
          <w:lang w:val="fr-FR"/>
        </w:rPr>
        <w:t xml:space="preserve"> </w:t>
      </w:r>
      <w:r w:rsidRPr="00CD5665">
        <w:rPr>
          <w:lang w:val="fr-FR"/>
        </w:rPr>
        <w:t xml:space="preserve">a </w:t>
      </w:r>
      <w:r w:rsidR="00A03C71" w:rsidRPr="00CD5665">
        <w:rPr>
          <w:lang w:val="fr-FR"/>
        </w:rPr>
        <w:t>particip</w:t>
      </w:r>
      <w:r w:rsidRPr="00CD5665">
        <w:rPr>
          <w:lang w:val="fr-FR"/>
        </w:rPr>
        <w:t>é à une réunion d’</w:t>
      </w:r>
      <w:r w:rsidR="00A03C71" w:rsidRPr="00CD5665">
        <w:rPr>
          <w:lang w:val="fr-FR"/>
        </w:rPr>
        <w:t>expert</w:t>
      </w:r>
      <w:r w:rsidRPr="00CD5665">
        <w:rPr>
          <w:lang w:val="fr-FR"/>
        </w:rPr>
        <w:t>s</w:t>
      </w:r>
      <w:r w:rsidR="00A03C71" w:rsidRPr="00CD5665">
        <w:rPr>
          <w:lang w:val="fr-FR"/>
        </w:rPr>
        <w:t xml:space="preserve"> </w:t>
      </w:r>
      <w:r w:rsidRPr="00CD5665">
        <w:rPr>
          <w:lang w:val="fr-FR"/>
        </w:rPr>
        <w:t xml:space="preserve">organisée en juin </w:t>
      </w:r>
      <w:r w:rsidR="00A03C71" w:rsidRPr="00CD5665">
        <w:rPr>
          <w:lang w:val="fr-FR"/>
        </w:rPr>
        <w:t xml:space="preserve">2014 </w:t>
      </w:r>
      <w:r w:rsidRPr="00CD5665">
        <w:rPr>
          <w:lang w:val="fr-FR"/>
        </w:rPr>
        <w:t xml:space="preserve">par le Rapporteur spécial des Nations unies dans le domaine des droits culturels et par le Haut-commissariat aux droits de l’homme </w:t>
      </w:r>
      <w:r w:rsidR="00A03C71" w:rsidRPr="00CD5665">
        <w:rPr>
          <w:lang w:val="fr-FR"/>
        </w:rPr>
        <w:t>(HC</w:t>
      </w:r>
      <w:r w:rsidRPr="00CD5665">
        <w:rPr>
          <w:lang w:val="fr-FR"/>
        </w:rPr>
        <w:t>DH</w:t>
      </w:r>
      <w:r w:rsidR="00A03C71" w:rsidRPr="00CD5665">
        <w:rPr>
          <w:lang w:val="fr-FR"/>
        </w:rPr>
        <w:t xml:space="preserve">) </w:t>
      </w:r>
      <w:r w:rsidRPr="00CD5665">
        <w:rPr>
          <w:lang w:val="fr-FR"/>
        </w:rPr>
        <w:t>sur « l</w:t>
      </w:r>
      <w:r w:rsidR="0096106D" w:rsidRPr="00CD5665">
        <w:rPr>
          <w:lang w:val="fr-FR"/>
        </w:rPr>
        <w:t>’</w:t>
      </w:r>
      <w:r w:rsidRPr="00CD5665">
        <w:rPr>
          <w:lang w:val="fr-FR"/>
        </w:rPr>
        <w:t>impact des régimes de propriété intellectuelle sur la jouissance du droit à la science et à la culture</w:t>
      </w:r>
      <w:r w:rsidR="00C62869" w:rsidRPr="00CD5665">
        <w:rPr>
          <w:lang w:val="fr-FR"/>
        </w:rPr>
        <w:t xml:space="preserve"> » dans le cadre du Pacte international relatif aux droits économiques, sociaux et culturels </w:t>
      </w:r>
      <w:r w:rsidR="00A03C71" w:rsidRPr="00CD5665">
        <w:rPr>
          <w:lang w:val="fr-FR"/>
        </w:rPr>
        <w:t xml:space="preserve">(1976). </w:t>
      </w:r>
      <w:r w:rsidR="00C62869" w:rsidRPr="00CD5665">
        <w:rPr>
          <w:lang w:val="fr-FR"/>
        </w:rPr>
        <w:t>Par ailleurs</w:t>
      </w:r>
      <w:r w:rsidR="00A03C71" w:rsidRPr="00CD5665">
        <w:rPr>
          <w:lang w:val="fr-FR"/>
        </w:rPr>
        <w:t xml:space="preserve">, </w:t>
      </w:r>
      <w:r w:rsidR="00C62869" w:rsidRPr="00CD5665">
        <w:rPr>
          <w:lang w:val="fr-FR"/>
        </w:rPr>
        <w:t xml:space="preserve">le </w:t>
      </w:r>
      <w:r w:rsidR="00C77767" w:rsidRPr="00CD5665">
        <w:rPr>
          <w:lang w:val="fr-FR"/>
        </w:rPr>
        <w:t>Secrétariat</w:t>
      </w:r>
      <w:r w:rsidR="00A03C71" w:rsidRPr="00CD5665">
        <w:rPr>
          <w:lang w:val="fr-FR"/>
        </w:rPr>
        <w:t xml:space="preserve"> </w:t>
      </w:r>
      <w:r w:rsidR="00C62869" w:rsidRPr="00CD5665">
        <w:rPr>
          <w:lang w:val="fr-FR"/>
        </w:rPr>
        <w:t xml:space="preserve">a </w:t>
      </w:r>
      <w:r w:rsidR="00A03C71" w:rsidRPr="00CD5665">
        <w:rPr>
          <w:lang w:val="fr-FR"/>
        </w:rPr>
        <w:t>collabor</w:t>
      </w:r>
      <w:r w:rsidR="00C62869" w:rsidRPr="00CD5665">
        <w:rPr>
          <w:lang w:val="fr-FR"/>
        </w:rPr>
        <w:t xml:space="preserve">é avec l’Organisation mondiale de la propriété intellectuelle </w:t>
      </w:r>
      <w:r w:rsidR="00A03C71" w:rsidRPr="00CD5665">
        <w:rPr>
          <w:lang w:val="fr-FR"/>
        </w:rPr>
        <w:t>(</w:t>
      </w:r>
      <w:r w:rsidR="00C62869" w:rsidRPr="00CD5665">
        <w:rPr>
          <w:lang w:val="fr-FR"/>
        </w:rPr>
        <w:t>OMPI</w:t>
      </w:r>
      <w:r w:rsidR="00A03C71" w:rsidRPr="00CD5665">
        <w:rPr>
          <w:lang w:val="fr-FR"/>
        </w:rPr>
        <w:t xml:space="preserve">) </w:t>
      </w:r>
      <w:r w:rsidR="00C62869" w:rsidRPr="00CD5665">
        <w:rPr>
          <w:lang w:val="fr-FR"/>
        </w:rPr>
        <w:t xml:space="preserve">en </w:t>
      </w:r>
      <w:r w:rsidR="00A03C71" w:rsidRPr="00CD5665">
        <w:rPr>
          <w:lang w:val="fr-FR"/>
        </w:rPr>
        <w:t>organi</w:t>
      </w:r>
      <w:r w:rsidR="00C62869" w:rsidRPr="00CD5665">
        <w:rPr>
          <w:lang w:val="fr-FR"/>
        </w:rPr>
        <w:t>sant la conférence « Propriété intellectuelle</w:t>
      </w:r>
      <w:r w:rsidR="00A03C71" w:rsidRPr="00CD5665">
        <w:rPr>
          <w:lang w:val="fr-FR"/>
        </w:rPr>
        <w:t xml:space="preserve">, </w:t>
      </w:r>
      <w:r w:rsidR="00C62869" w:rsidRPr="00CD5665">
        <w:rPr>
          <w:lang w:val="fr-FR"/>
        </w:rPr>
        <w:t xml:space="preserve">patrimoine culturel immatériel et médecine traditionnelle dans le contexte des </w:t>
      </w:r>
      <w:r w:rsidR="00A03C71" w:rsidRPr="00CD5665">
        <w:rPr>
          <w:lang w:val="fr-FR"/>
        </w:rPr>
        <w:t>poli</w:t>
      </w:r>
      <w:r w:rsidR="00C62869" w:rsidRPr="00CD5665">
        <w:rPr>
          <w:lang w:val="fr-FR"/>
        </w:rPr>
        <w:t xml:space="preserve">tiques pour la sauvegarde du patrimoine culturel immatériel dans les pays d’Europe du Sud-Est » accueillie par le Centre régional pour la sauvegarde du patrimoine culturel immatériel en Europe du Sud-Est à </w:t>
      </w:r>
      <w:r w:rsidR="00A03C71" w:rsidRPr="00CD5665">
        <w:rPr>
          <w:lang w:val="fr-FR"/>
        </w:rPr>
        <w:t>Sofia</w:t>
      </w:r>
      <w:r w:rsidR="00C62869" w:rsidRPr="00CD5665">
        <w:rPr>
          <w:lang w:val="fr-FR"/>
        </w:rPr>
        <w:t xml:space="preserve"> (</w:t>
      </w:r>
      <w:r w:rsidR="00A03C71" w:rsidRPr="00CD5665">
        <w:rPr>
          <w:lang w:val="fr-FR"/>
        </w:rPr>
        <w:t>Bulgari</w:t>
      </w:r>
      <w:r w:rsidR="00C62869" w:rsidRPr="00CD5665">
        <w:rPr>
          <w:lang w:val="fr-FR"/>
        </w:rPr>
        <w:t xml:space="preserve">e) du </w:t>
      </w:r>
      <w:r w:rsidR="00A03C71" w:rsidRPr="00CD5665">
        <w:rPr>
          <w:lang w:val="fr-FR"/>
        </w:rPr>
        <w:t xml:space="preserve">23 </w:t>
      </w:r>
      <w:r w:rsidR="00C62869" w:rsidRPr="00CD5665">
        <w:rPr>
          <w:lang w:val="fr-FR"/>
        </w:rPr>
        <w:t xml:space="preserve">au </w:t>
      </w:r>
      <w:r w:rsidR="00A03C71" w:rsidRPr="00CD5665">
        <w:rPr>
          <w:lang w:val="fr-FR"/>
        </w:rPr>
        <w:t>24</w:t>
      </w:r>
      <w:r w:rsidR="00C62869" w:rsidRPr="00CD5665">
        <w:rPr>
          <w:lang w:val="fr-FR"/>
        </w:rPr>
        <w:t xml:space="preserve"> avril </w:t>
      </w:r>
      <w:r w:rsidR="00A03C71" w:rsidRPr="00CD5665">
        <w:rPr>
          <w:lang w:val="fr-FR"/>
        </w:rPr>
        <w:t xml:space="preserve">2015. </w:t>
      </w:r>
      <w:r w:rsidR="00C62869" w:rsidRPr="00CD5665">
        <w:rPr>
          <w:lang w:val="fr-FR"/>
        </w:rPr>
        <w:t>Cet atelier a permis de recenser et d’</w:t>
      </w:r>
      <w:r w:rsidR="00A03C71" w:rsidRPr="00CD5665">
        <w:rPr>
          <w:lang w:val="fr-FR"/>
        </w:rPr>
        <w:t>analys</w:t>
      </w:r>
      <w:r w:rsidR="00C62869" w:rsidRPr="00CD5665">
        <w:rPr>
          <w:lang w:val="fr-FR"/>
        </w:rPr>
        <w:t xml:space="preserve">er quelques préoccupations importantes liées à l’exploitation </w:t>
      </w:r>
      <w:r w:rsidR="00DE60DC" w:rsidRPr="00CD5665">
        <w:rPr>
          <w:lang w:val="fr-FR"/>
        </w:rPr>
        <w:t>des droits de la propriété intellectuelle pour la sauvegarde du patrimoine culturel immatériel</w:t>
      </w:r>
      <w:r w:rsidR="00A03C71" w:rsidRPr="00CD5665">
        <w:rPr>
          <w:lang w:val="fr-FR"/>
        </w:rPr>
        <w:t xml:space="preserve">, </w:t>
      </w:r>
      <w:r w:rsidR="00DE60DC" w:rsidRPr="00CD5665">
        <w:rPr>
          <w:lang w:val="fr-FR"/>
        </w:rPr>
        <w:t xml:space="preserve">et a aussi montré la nécessité d’une réflexion et d’une formation plus importantes des </w:t>
      </w:r>
      <w:r w:rsidR="00A03C71" w:rsidRPr="00CD5665">
        <w:rPr>
          <w:lang w:val="fr-FR"/>
        </w:rPr>
        <w:t>expert</w:t>
      </w:r>
      <w:r w:rsidR="00DE60DC" w:rsidRPr="00CD5665">
        <w:rPr>
          <w:lang w:val="fr-FR"/>
        </w:rPr>
        <w:t>s</w:t>
      </w:r>
      <w:r w:rsidR="00A03C71" w:rsidRPr="00CD5665">
        <w:rPr>
          <w:lang w:val="fr-FR"/>
        </w:rPr>
        <w:t xml:space="preserve"> </w:t>
      </w:r>
      <w:r w:rsidR="00DE60DC" w:rsidRPr="00CD5665">
        <w:rPr>
          <w:lang w:val="fr-FR"/>
        </w:rPr>
        <w:t xml:space="preserve">pour conseiller efficacement les États parties à la </w:t>
      </w:r>
      <w:r w:rsidR="00A03C71" w:rsidRPr="00CD5665">
        <w:rPr>
          <w:lang w:val="fr-FR"/>
        </w:rPr>
        <w:t xml:space="preserve">Convention </w:t>
      </w:r>
      <w:r w:rsidR="00DE60DC" w:rsidRPr="00CD5665">
        <w:rPr>
          <w:lang w:val="fr-FR"/>
        </w:rPr>
        <w:t>de 2003 en ce domaine</w:t>
      </w:r>
      <w:r w:rsidR="00A03C71" w:rsidRPr="00CD5665">
        <w:rPr>
          <w:lang w:val="fr-FR"/>
        </w:rPr>
        <w:t xml:space="preserve">. </w:t>
      </w:r>
      <w:r w:rsidR="00DE60DC" w:rsidRPr="00CD5665">
        <w:rPr>
          <w:lang w:val="fr-FR"/>
        </w:rPr>
        <w:t>Par conséquent</w:t>
      </w:r>
      <w:r w:rsidR="00A03C71" w:rsidRPr="00CD5665">
        <w:rPr>
          <w:lang w:val="fr-FR"/>
        </w:rPr>
        <w:t xml:space="preserve">, </w:t>
      </w:r>
      <w:r w:rsidR="00DE60DC" w:rsidRPr="00CD5665">
        <w:rPr>
          <w:lang w:val="fr-FR"/>
        </w:rPr>
        <w:t xml:space="preserve">il a été convenu avec l’OMPI de </w:t>
      </w:r>
      <w:r w:rsidR="00A03C71" w:rsidRPr="00CD5665">
        <w:rPr>
          <w:lang w:val="fr-FR"/>
        </w:rPr>
        <w:t>collabor</w:t>
      </w:r>
      <w:r w:rsidR="00DE60DC" w:rsidRPr="00CD5665">
        <w:rPr>
          <w:lang w:val="fr-FR"/>
        </w:rPr>
        <w:t>er à l’élaboration con</w:t>
      </w:r>
      <w:r w:rsidR="00A03C71" w:rsidRPr="00CD5665">
        <w:rPr>
          <w:lang w:val="fr-FR"/>
        </w:rPr>
        <w:t>joint</w:t>
      </w:r>
      <w:r w:rsidR="00DE60DC" w:rsidRPr="00CD5665">
        <w:rPr>
          <w:lang w:val="fr-FR"/>
        </w:rPr>
        <w:t xml:space="preserve">e de supports de formation visant un renforcement des capacités sur ce </w:t>
      </w:r>
      <w:r w:rsidR="00A03C71" w:rsidRPr="00CD5665">
        <w:rPr>
          <w:lang w:val="fr-FR"/>
        </w:rPr>
        <w:t>th</w:t>
      </w:r>
      <w:r w:rsidR="00DE60DC" w:rsidRPr="00CD5665">
        <w:rPr>
          <w:lang w:val="fr-FR"/>
        </w:rPr>
        <w:t>è</w:t>
      </w:r>
      <w:r w:rsidR="00A03C71" w:rsidRPr="00CD5665">
        <w:rPr>
          <w:lang w:val="fr-FR"/>
        </w:rPr>
        <w:t xml:space="preserve">me. </w:t>
      </w:r>
      <w:r w:rsidR="00DE60DC" w:rsidRPr="00CD5665">
        <w:rPr>
          <w:lang w:val="fr-FR"/>
        </w:rPr>
        <w:t xml:space="preserve">Le Secrétariat a également </w:t>
      </w:r>
      <w:r w:rsidR="00A03C71" w:rsidRPr="00CD5665">
        <w:rPr>
          <w:lang w:val="fr-FR"/>
        </w:rPr>
        <w:t>particip</w:t>
      </w:r>
      <w:r w:rsidR="00DE60DC" w:rsidRPr="00CD5665">
        <w:rPr>
          <w:lang w:val="fr-FR"/>
        </w:rPr>
        <w:t xml:space="preserve">é à un séminaire de l’OMPI </w:t>
      </w:r>
      <w:r w:rsidR="00A03C71" w:rsidRPr="00CD5665">
        <w:rPr>
          <w:lang w:val="fr-FR"/>
        </w:rPr>
        <w:t>organi</w:t>
      </w:r>
      <w:r w:rsidR="00DE60DC" w:rsidRPr="00CD5665">
        <w:rPr>
          <w:lang w:val="fr-FR"/>
        </w:rPr>
        <w:t xml:space="preserve">sé du </w:t>
      </w:r>
      <w:r w:rsidR="00A03C71" w:rsidRPr="00CD5665">
        <w:rPr>
          <w:lang w:val="fr-FR"/>
        </w:rPr>
        <w:t xml:space="preserve">23 </w:t>
      </w:r>
      <w:r w:rsidR="00DE60DC" w:rsidRPr="00CD5665">
        <w:rPr>
          <w:lang w:val="fr-FR"/>
        </w:rPr>
        <w:t xml:space="preserve">au </w:t>
      </w:r>
      <w:r w:rsidR="00A03C71" w:rsidRPr="00CD5665">
        <w:rPr>
          <w:lang w:val="fr-FR"/>
        </w:rPr>
        <w:t>25</w:t>
      </w:r>
      <w:r w:rsidR="00DE60DC" w:rsidRPr="00CD5665">
        <w:rPr>
          <w:lang w:val="fr-FR"/>
        </w:rPr>
        <w:t xml:space="preserve"> juin </w:t>
      </w:r>
      <w:r w:rsidR="00A03C71" w:rsidRPr="00CD5665">
        <w:rPr>
          <w:lang w:val="fr-FR"/>
        </w:rPr>
        <w:t xml:space="preserve">2015 </w:t>
      </w:r>
      <w:r w:rsidR="00DE60DC" w:rsidRPr="00CD5665">
        <w:rPr>
          <w:lang w:val="fr-FR"/>
        </w:rPr>
        <w:t xml:space="preserve">à </w:t>
      </w:r>
      <w:r w:rsidR="00A03C71" w:rsidRPr="00CD5665">
        <w:rPr>
          <w:lang w:val="fr-FR"/>
        </w:rPr>
        <w:t>Gen</w:t>
      </w:r>
      <w:r w:rsidR="00DE60DC" w:rsidRPr="00CD5665">
        <w:rPr>
          <w:lang w:val="fr-FR"/>
        </w:rPr>
        <w:t>è</w:t>
      </w:r>
      <w:r w:rsidR="00A03C71" w:rsidRPr="00CD5665">
        <w:rPr>
          <w:lang w:val="fr-FR"/>
        </w:rPr>
        <w:t>v</w:t>
      </w:r>
      <w:r w:rsidR="00DE60DC" w:rsidRPr="00CD5665">
        <w:rPr>
          <w:lang w:val="fr-FR"/>
        </w:rPr>
        <w:t xml:space="preserve">e (Suisse) </w:t>
      </w:r>
      <w:r w:rsidR="00775978" w:rsidRPr="00CD5665">
        <w:rPr>
          <w:lang w:val="fr-FR"/>
        </w:rPr>
        <w:t>sur les thèmes propres au travail du Comité intergouvernemental de la propriété intellectuelle relative aux ressources génétiques, aux savoirs traditionnels et au folklore</w:t>
      </w:r>
      <w:r w:rsidR="00A03C71" w:rsidRPr="00CD5665">
        <w:rPr>
          <w:lang w:val="fr-FR"/>
        </w:rPr>
        <w:t xml:space="preserve">. </w:t>
      </w:r>
      <w:r w:rsidR="00775978" w:rsidRPr="00CD5665">
        <w:rPr>
          <w:lang w:val="fr-FR"/>
        </w:rPr>
        <w:t xml:space="preserve">Le </w:t>
      </w:r>
      <w:r w:rsidR="00A03C71" w:rsidRPr="00CD5665">
        <w:rPr>
          <w:lang w:val="fr-FR"/>
        </w:rPr>
        <w:t>s</w:t>
      </w:r>
      <w:r w:rsidR="00775978" w:rsidRPr="00CD5665">
        <w:rPr>
          <w:lang w:val="fr-FR"/>
        </w:rPr>
        <w:t>é</w:t>
      </w:r>
      <w:r w:rsidR="00A03C71" w:rsidRPr="00CD5665">
        <w:rPr>
          <w:lang w:val="fr-FR"/>
        </w:rPr>
        <w:t>mina</w:t>
      </w:r>
      <w:r w:rsidR="00775978" w:rsidRPr="00CD5665">
        <w:rPr>
          <w:lang w:val="fr-FR"/>
        </w:rPr>
        <w:t>i</w:t>
      </w:r>
      <w:r w:rsidR="00A03C71" w:rsidRPr="00CD5665">
        <w:rPr>
          <w:lang w:val="fr-FR"/>
        </w:rPr>
        <w:t>r</w:t>
      </w:r>
      <w:r w:rsidR="00775978" w:rsidRPr="00CD5665">
        <w:rPr>
          <w:lang w:val="fr-FR"/>
        </w:rPr>
        <w:t xml:space="preserve">e a </w:t>
      </w:r>
      <w:r w:rsidR="00A03C71" w:rsidRPr="00CD5665">
        <w:rPr>
          <w:lang w:val="fr-FR"/>
        </w:rPr>
        <w:t>contribu</w:t>
      </w:r>
      <w:r w:rsidR="00775978" w:rsidRPr="00CD5665">
        <w:rPr>
          <w:lang w:val="fr-FR"/>
        </w:rPr>
        <w:t xml:space="preserve">é au débat </w:t>
      </w:r>
      <w:r w:rsidR="00A03C71" w:rsidRPr="00CD5665">
        <w:rPr>
          <w:lang w:val="fr-FR"/>
        </w:rPr>
        <w:t xml:space="preserve">global </w:t>
      </w:r>
      <w:r w:rsidR="00775978" w:rsidRPr="00CD5665">
        <w:rPr>
          <w:lang w:val="fr-FR"/>
        </w:rPr>
        <w:t xml:space="preserve">lancé par l’OMPI sur la protection </w:t>
      </w:r>
      <w:r w:rsidR="00A03C71" w:rsidRPr="00CD5665">
        <w:rPr>
          <w:lang w:val="fr-FR"/>
        </w:rPr>
        <w:t xml:space="preserve">effective </w:t>
      </w:r>
      <w:r w:rsidR="00D1439D" w:rsidRPr="00CD5665">
        <w:rPr>
          <w:lang w:val="fr-FR"/>
        </w:rPr>
        <w:t xml:space="preserve">des savoirs </w:t>
      </w:r>
      <w:r w:rsidR="00A03C71" w:rsidRPr="00CD5665">
        <w:rPr>
          <w:lang w:val="fr-FR"/>
        </w:rPr>
        <w:t>tradition</w:t>
      </w:r>
      <w:r w:rsidR="00D1439D" w:rsidRPr="00CD5665">
        <w:rPr>
          <w:lang w:val="fr-FR"/>
        </w:rPr>
        <w:t>nels</w:t>
      </w:r>
      <w:r w:rsidR="00A03C71" w:rsidRPr="00CD5665">
        <w:rPr>
          <w:lang w:val="fr-FR"/>
        </w:rPr>
        <w:t xml:space="preserve">, </w:t>
      </w:r>
      <w:r w:rsidR="00D1439D" w:rsidRPr="00CD5665">
        <w:rPr>
          <w:lang w:val="fr-FR"/>
        </w:rPr>
        <w:t xml:space="preserve">des expressions culturelles </w:t>
      </w:r>
      <w:r w:rsidR="00A03C71" w:rsidRPr="00CD5665">
        <w:rPr>
          <w:lang w:val="fr-FR"/>
        </w:rPr>
        <w:t>tradition</w:t>
      </w:r>
      <w:r w:rsidR="00D1439D" w:rsidRPr="00CD5665">
        <w:rPr>
          <w:lang w:val="fr-FR"/>
        </w:rPr>
        <w:t>nelles et des ressources génétiques</w:t>
      </w:r>
      <w:r w:rsidR="00A03C71" w:rsidRPr="00CD5665">
        <w:rPr>
          <w:lang w:val="fr-FR"/>
        </w:rPr>
        <w:t>, explor</w:t>
      </w:r>
      <w:r w:rsidR="00D1439D" w:rsidRPr="00CD5665">
        <w:rPr>
          <w:lang w:val="fr-FR"/>
        </w:rPr>
        <w:t xml:space="preserve">ant de premières idées de </w:t>
      </w:r>
      <w:r w:rsidR="00A03C71" w:rsidRPr="00CD5665">
        <w:rPr>
          <w:lang w:val="fr-FR"/>
        </w:rPr>
        <w:t>coop</w:t>
      </w:r>
      <w:r w:rsidR="00D1439D" w:rsidRPr="00CD5665">
        <w:rPr>
          <w:lang w:val="fr-FR"/>
        </w:rPr>
        <w:t>é</w:t>
      </w:r>
      <w:r w:rsidR="00A03C71" w:rsidRPr="00CD5665">
        <w:rPr>
          <w:lang w:val="fr-FR"/>
        </w:rPr>
        <w:t xml:space="preserve">ration </w:t>
      </w:r>
      <w:r w:rsidR="00D1439D" w:rsidRPr="00CD5665">
        <w:rPr>
          <w:lang w:val="fr-FR"/>
        </w:rPr>
        <w:t xml:space="preserve">pour créer des </w:t>
      </w:r>
      <w:r w:rsidR="00A03C71" w:rsidRPr="00CD5665">
        <w:rPr>
          <w:lang w:val="fr-FR"/>
        </w:rPr>
        <w:t xml:space="preserve">synergies </w:t>
      </w:r>
      <w:r w:rsidR="00D1439D" w:rsidRPr="00CD5665">
        <w:rPr>
          <w:lang w:val="fr-FR"/>
        </w:rPr>
        <w:t>avec les instruments normatifs appropriés</w:t>
      </w:r>
      <w:r w:rsidR="00A03C71" w:rsidRPr="00CD5665">
        <w:rPr>
          <w:lang w:val="fr-FR"/>
        </w:rPr>
        <w:t xml:space="preserve">, </w:t>
      </w:r>
      <w:r w:rsidR="00D1439D" w:rsidRPr="00CD5665">
        <w:rPr>
          <w:lang w:val="fr-FR"/>
        </w:rPr>
        <w:t xml:space="preserve">y compris la </w:t>
      </w:r>
      <w:r w:rsidR="00A03C71" w:rsidRPr="00CD5665">
        <w:rPr>
          <w:lang w:val="fr-FR"/>
        </w:rPr>
        <w:t>Convention</w:t>
      </w:r>
      <w:r w:rsidR="00D1439D" w:rsidRPr="00CD5665">
        <w:rPr>
          <w:lang w:val="fr-FR"/>
        </w:rPr>
        <w:t xml:space="preserve"> de 2003</w:t>
      </w:r>
      <w:r w:rsidR="00A03C71" w:rsidRPr="00CD5665">
        <w:rPr>
          <w:lang w:val="fr-FR"/>
        </w:rPr>
        <w:t xml:space="preserve">. </w:t>
      </w:r>
      <w:r w:rsidR="00D1439D" w:rsidRPr="00CD5665">
        <w:rPr>
          <w:lang w:val="fr-FR"/>
        </w:rPr>
        <w:t>L’</w:t>
      </w:r>
      <w:r w:rsidR="00A03C71" w:rsidRPr="00CD5665">
        <w:rPr>
          <w:lang w:val="fr-FR"/>
        </w:rPr>
        <w:t xml:space="preserve">UNESCO </w:t>
      </w:r>
      <w:r w:rsidR="00D1439D" w:rsidRPr="00CD5665">
        <w:rPr>
          <w:lang w:val="fr-FR"/>
        </w:rPr>
        <w:t xml:space="preserve">poursuivra cette </w:t>
      </w:r>
      <w:r w:rsidR="00A03C71" w:rsidRPr="00CD5665">
        <w:rPr>
          <w:lang w:val="fr-FR"/>
        </w:rPr>
        <w:t xml:space="preserve">collaboration </w:t>
      </w:r>
      <w:r w:rsidR="00D1439D" w:rsidRPr="00CD5665">
        <w:rPr>
          <w:lang w:val="fr-FR"/>
        </w:rPr>
        <w:t>dans le cadre de son programme de renforcement des capacités</w:t>
      </w:r>
      <w:r w:rsidR="00A03C71" w:rsidRPr="00CD5665">
        <w:rPr>
          <w:lang w:val="fr-FR"/>
        </w:rPr>
        <w:t xml:space="preserve">. </w:t>
      </w:r>
    </w:p>
    <w:p w14:paraId="2685261C" w14:textId="17E99815" w:rsidR="00A03C71" w:rsidRPr="00775978" w:rsidRDefault="00D1439D" w:rsidP="001E0293">
      <w:pPr>
        <w:pStyle w:val="COMPara"/>
        <w:numPr>
          <w:ilvl w:val="0"/>
          <w:numId w:val="9"/>
        </w:numPr>
        <w:jc w:val="both"/>
        <w:rPr>
          <w:lang w:val="fr-FR"/>
        </w:rPr>
      </w:pPr>
      <w:r>
        <w:rPr>
          <w:lang w:val="fr-FR"/>
        </w:rPr>
        <w:t xml:space="preserve">Le </w:t>
      </w:r>
      <w:r w:rsidR="00C77767" w:rsidRPr="00775978">
        <w:rPr>
          <w:lang w:val="fr-FR"/>
        </w:rPr>
        <w:t>Secrétariat</w:t>
      </w:r>
      <w:r w:rsidR="00A03C71" w:rsidRPr="00775978">
        <w:rPr>
          <w:lang w:val="fr-FR"/>
        </w:rPr>
        <w:t xml:space="preserve"> </w:t>
      </w:r>
      <w:r>
        <w:rPr>
          <w:lang w:val="fr-FR"/>
        </w:rPr>
        <w:t xml:space="preserve">a renforcé sa </w:t>
      </w:r>
      <w:r w:rsidRPr="00775978">
        <w:rPr>
          <w:lang w:val="fr-FR"/>
        </w:rPr>
        <w:t>coopération</w:t>
      </w:r>
      <w:r w:rsidR="00A03C71" w:rsidRPr="00775978">
        <w:rPr>
          <w:lang w:val="fr-FR"/>
        </w:rPr>
        <w:t xml:space="preserve"> </w:t>
      </w:r>
      <w:r>
        <w:rPr>
          <w:lang w:val="fr-FR"/>
        </w:rPr>
        <w:t xml:space="preserve">avec la Banque mondiale s’agissant de la </w:t>
      </w:r>
      <w:r w:rsidR="00A03C71" w:rsidRPr="00775978">
        <w:rPr>
          <w:lang w:val="fr-FR"/>
        </w:rPr>
        <w:t>r</w:t>
      </w:r>
      <w:r>
        <w:rPr>
          <w:lang w:val="fr-FR"/>
        </w:rPr>
        <w:t>é</w:t>
      </w:r>
      <w:r w:rsidR="00A03C71" w:rsidRPr="00775978">
        <w:rPr>
          <w:lang w:val="fr-FR"/>
        </w:rPr>
        <w:t xml:space="preserve">vision </w:t>
      </w:r>
      <w:r>
        <w:rPr>
          <w:lang w:val="fr-FR"/>
        </w:rPr>
        <w:t>des politiques de sauvegarde environnementale et sociale de la Banque mondiale</w:t>
      </w:r>
      <w:r w:rsidR="00A03C71" w:rsidRPr="00775978">
        <w:rPr>
          <w:lang w:val="fr-FR"/>
        </w:rPr>
        <w:t xml:space="preserve">, </w:t>
      </w:r>
      <w:r>
        <w:rPr>
          <w:lang w:val="fr-FR"/>
        </w:rPr>
        <w:t xml:space="preserve">y compris sa </w:t>
      </w:r>
      <w:r w:rsidR="00A03C71" w:rsidRPr="00775978">
        <w:rPr>
          <w:lang w:val="fr-FR"/>
        </w:rPr>
        <w:t>poli</w:t>
      </w:r>
      <w:r>
        <w:rPr>
          <w:lang w:val="fr-FR"/>
        </w:rPr>
        <w:t>tique sur les ressources culturelles physiques</w:t>
      </w:r>
      <w:r w:rsidR="00A03C71" w:rsidRPr="00775978">
        <w:rPr>
          <w:lang w:val="fr-FR"/>
        </w:rPr>
        <w:t xml:space="preserve">. </w:t>
      </w:r>
      <w:r w:rsidR="00A40189">
        <w:rPr>
          <w:lang w:val="fr-FR"/>
        </w:rPr>
        <w:t>À cet égard</w:t>
      </w:r>
      <w:r w:rsidR="00A03C71" w:rsidRPr="00775978">
        <w:rPr>
          <w:lang w:val="fr-FR"/>
        </w:rPr>
        <w:t xml:space="preserve">, </w:t>
      </w:r>
      <w:r w:rsidR="00A40189">
        <w:rPr>
          <w:lang w:val="fr-FR"/>
        </w:rPr>
        <w:t xml:space="preserve">le </w:t>
      </w:r>
      <w:r w:rsidR="00C77767" w:rsidRPr="00775978">
        <w:rPr>
          <w:lang w:val="fr-FR"/>
        </w:rPr>
        <w:t>Secrétariat</w:t>
      </w:r>
      <w:r w:rsidR="00A03C71" w:rsidRPr="00775978">
        <w:rPr>
          <w:lang w:val="fr-FR"/>
        </w:rPr>
        <w:t xml:space="preserve"> </w:t>
      </w:r>
      <w:r w:rsidR="00A40189">
        <w:rPr>
          <w:lang w:val="fr-FR"/>
        </w:rPr>
        <w:t xml:space="preserve">a </w:t>
      </w:r>
      <w:r w:rsidR="00A03C71" w:rsidRPr="00775978">
        <w:rPr>
          <w:lang w:val="fr-FR"/>
        </w:rPr>
        <w:t>particip</w:t>
      </w:r>
      <w:r w:rsidR="00A40189">
        <w:rPr>
          <w:lang w:val="fr-FR"/>
        </w:rPr>
        <w:t xml:space="preserve">é à l’atelier de la Banque mondiale sur l’élaboration d’orientations servant à la mise en œuvre des standards de protection de la Banque mondiale en matière de protection du patrimoine culturel </w:t>
      </w:r>
      <w:r w:rsidR="005D68F1">
        <w:rPr>
          <w:lang w:val="fr-FR"/>
        </w:rPr>
        <w:t xml:space="preserve">dans le cadre </w:t>
      </w:r>
      <w:r w:rsidR="00A40189">
        <w:rPr>
          <w:lang w:val="fr-FR"/>
        </w:rPr>
        <w:t>de projets de développement</w:t>
      </w:r>
      <w:r w:rsidR="00A03C71" w:rsidRPr="00775978">
        <w:rPr>
          <w:lang w:val="fr-FR"/>
        </w:rPr>
        <w:t>, organi</w:t>
      </w:r>
      <w:r w:rsidR="00A40189">
        <w:rPr>
          <w:lang w:val="fr-FR"/>
        </w:rPr>
        <w:t xml:space="preserve">sé du 27 au </w:t>
      </w:r>
      <w:r w:rsidR="00A03C71" w:rsidRPr="00775978">
        <w:rPr>
          <w:lang w:val="fr-FR"/>
        </w:rPr>
        <w:t>28</w:t>
      </w:r>
      <w:r w:rsidR="00A40189">
        <w:rPr>
          <w:lang w:val="fr-FR"/>
        </w:rPr>
        <w:t xml:space="preserve"> avril </w:t>
      </w:r>
      <w:r w:rsidR="00A03C71" w:rsidRPr="00775978">
        <w:rPr>
          <w:lang w:val="fr-FR"/>
        </w:rPr>
        <w:t xml:space="preserve">2015 </w:t>
      </w:r>
      <w:r w:rsidR="00A40189">
        <w:rPr>
          <w:lang w:val="fr-FR"/>
        </w:rPr>
        <w:t xml:space="preserve">à </w:t>
      </w:r>
      <w:r w:rsidR="00A03C71" w:rsidRPr="00775978">
        <w:rPr>
          <w:lang w:val="fr-FR"/>
        </w:rPr>
        <w:t>Paris</w:t>
      </w:r>
      <w:r w:rsidR="00A40189">
        <w:rPr>
          <w:lang w:val="fr-FR"/>
        </w:rPr>
        <w:t xml:space="preserve"> (France)</w:t>
      </w:r>
      <w:r w:rsidR="00A03C71" w:rsidRPr="00775978">
        <w:rPr>
          <w:lang w:val="fr-FR"/>
        </w:rPr>
        <w:t xml:space="preserve">. </w:t>
      </w:r>
      <w:r w:rsidR="00A40189">
        <w:rPr>
          <w:lang w:val="fr-FR"/>
        </w:rPr>
        <w:t xml:space="preserve">Le </w:t>
      </w:r>
      <w:r w:rsidR="00C77767" w:rsidRPr="00775978">
        <w:rPr>
          <w:lang w:val="fr-FR"/>
        </w:rPr>
        <w:t>Secrétariat</w:t>
      </w:r>
      <w:r w:rsidR="00A03C71" w:rsidRPr="00775978">
        <w:rPr>
          <w:lang w:val="fr-FR"/>
        </w:rPr>
        <w:t xml:space="preserve"> </w:t>
      </w:r>
      <w:r w:rsidR="00A40189">
        <w:rPr>
          <w:lang w:val="fr-FR"/>
        </w:rPr>
        <w:t xml:space="preserve">a partagé son </w:t>
      </w:r>
      <w:r w:rsidR="00A03C71" w:rsidRPr="00775978">
        <w:rPr>
          <w:lang w:val="fr-FR"/>
        </w:rPr>
        <w:t xml:space="preserve">expertise </w:t>
      </w:r>
      <w:r w:rsidR="00A40189">
        <w:rPr>
          <w:lang w:val="fr-FR"/>
        </w:rPr>
        <w:t xml:space="preserve">et a </w:t>
      </w:r>
      <w:r w:rsidR="005D68F1">
        <w:rPr>
          <w:lang w:val="fr-FR"/>
        </w:rPr>
        <w:t>avancé</w:t>
      </w:r>
      <w:r w:rsidR="00A40189">
        <w:rPr>
          <w:lang w:val="fr-FR"/>
        </w:rPr>
        <w:t xml:space="preserve"> diverses </w:t>
      </w:r>
      <w:r w:rsidR="00A03C71" w:rsidRPr="00775978">
        <w:rPr>
          <w:lang w:val="fr-FR"/>
        </w:rPr>
        <w:t xml:space="preserve">suggestions </w:t>
      </w:r>
      <w:r w:rsidR="00A40189">
        <w:rPr>
          <w:lang w:val="fr-FR"/>
        </w:rPr>
        <w:t xml:space="preserve">pour garantir le fait que les principes importants de la </w:t>
      </w:r>
      <w:r w:rsidR="00A03C71" w:rsidRPr="00775978">
        <w:rPr>
          <w:lang w:val="fr-FR"/>
        </w:rPr>
        <w:t xml:space="preserve">Convention </w:t>
      </w:r>
      <w:r w:rsidR="005D68F1">
        <w:rPr>
          <w:lang w:val="fr-FR"/>
        </w:rPr>
        <w:t xml:space="preserve">soient </w:t>
      </w:r>
      <w:r w:rsidR="00A40189">
        <w:rPr>
          <w:lang w:val="fr-FR"/>
        </w:rPr>
        <w:t>pris en compte. Le nécessaire consentement libre</w:t>
      </w:r>
      <w:r w:rsidR="00A03C71" w:rsidRPr="00775978">
        <w:rPr>
          <w:lang w:val="fr-FR"/>
        </w:rPr>
        <w:t xml:space="preserve">, </w:t>
      </w:r>
      <w:r w:rsidR="00A40189">
        <w:rPr>
          <w:lang w:val="fr-FR"/>
        </w:rPr>
        <w:t xml:space="preserve">préalable et éclairé des peuples </w:t>
      </w:r>
      <w:r w:rsidR="00BA2026">
        <w:rPr>
          <w:lang w:val="fr-FR"/>
        </w:rPr>
        <w:t xml:space="preserve">autochtones </w:t>
      </w:r>
      <w:r w:rsidR="00A40189">
        <w:rPr>
          <w:lang w:val="fr-FR"/>
        </w:rPr>
        <w:t>et des communautés locales a été particulièrement souligné</w:t>
      </w:r>
      <w:r w:rsidR="001E0293">
        <w:rPr>
          <w:lang w:val="fr-FR"/>
        </w:rPr>
        <w:t xml:space="preserve"> et a été intégré dans le </w:t>
      </w:r>
      <w:r w:rsidR="001E0293" w:rsidRPr="0093145B">
        <w:rPr>
          <w:lang w:val="fr-FR"/>
        </w:rPr>
        <w:t xml:space="preserve">projet </w:t>
      </w:r>
      <w:hyperlink r:id="rId55" w:history="1">
        <w:r w:rsidR="00836545" w:rsidRPr="0093145B">
          <w:rPr>
            <w:rStyle w:val="Hyperlink"/>
            <w:lang w:val="fr-FR"/>
          </w:rPr>
          <w:t>Cadre environnemental et social</w:t>
        </w:r>
      </w:hyperlink>
      <w:r w:rsidR="001E0293" w:rsidRPr="001E0293">
        <w:rPr>
          <w:highlight w:val="yellow"/>
          <w:lang w:val="fr-FR"/>
        </w:rPr>
        <w:t xml:space="preserve"> </w:t>
      </w:r>
      <w:r w:rsidR="001E0293">
        <w:rPr>
          <w:lang w:val="fr-FR"/>
        </w:rPr>
        <w:t xml:space="preserve">élaboré par la Banque mondiale. </w:t>
      </w:r>
    </w:p>
    <w:p w14:paraId="5D13D66A" w14:textId="771ED142" w:rsidR="00A03C71" w:rsidRPr="00E041AF" w:rsidRDefault="00EA2E2A" w:rsidP="00E041AF">
      <w:pPr>
        <w:pStyle w:val="COMPara"/>
        <w:numPr>
          <w:ilvl w:val="0"/>
          <w:numId w:val="9"/>
        </w:numPr>
        <w:ind w:left="567" w:hanging="567"/>
        <w:jc w:val="both"/>
        <w:rPr>
          <w:lang w:val="fr-FR"/>
        </w:rPr>
      </w:pPr>
      <w:r w:rsidRPr="00EA2E2A">
        <w:rPr>
          <w:lang w:val="fr-FR"/>
        </w:rPr>
        <w:t xml:space="preserve">Le </w:t>
      </w:r>
      <w:r>
        <w:rPr>
          <w:lang w:val="fr-FR"/>
        </w:rPr>
        <w:t>patrimoine culturel immatériel est au cœur de l’identité des peuples</w:t>
      </w:r>
      <w:r w:rsidR="00EC6FF1">
        <w:rPr>
          <w:lang w:val="fr-FR"/>
        </w:rPr>
        <w:t xml:space="preserve"> </w:t>
      </w:r>
      <w:r>
        <w:rPr>
          <w:lang w:val="fr-FR"/>
        </w:rPr>
        <w:t xml:space="preserve">et </w:t>
      </w:r>
      <w:r w:rsidR="00EC6FF1">
        <w:rPr>
          <w:lang w:val="fr-FR"/>
        </w:rPr>
        <w:t xml:space="preserve">depuis plusieurs années, </w:t>
      </w:r>
      <w:r>
        <w:rPr>
          <w:lang w:val="fr-FR"/>
        </w:rPr>
        <w:t xml:space="preserve">il est de plus en plus une cible de choix pendant les </w:t>
      </w:r>
      <w:r w:rsidR="00A03C71" w:rsidRPr="00EA2E2A">
        <w:rPr>
          <w:lang w:val="fr-FR"/>
        </w:rPr>
        <w:t xml:space="preserve">conflits </w:t>
      </w:r>
      <w:r>
        <w:rPr>
          <w:lang w:val="fr-FR"/>
        </w:rPr>
        <w:t xml:space="preserve">et les situations de </w:t>
      </w:r>
      <w:r w:rsidR="00A03C71" w:rsidRPr="00EA2E2A">
        <w:rPr>
          <w:lang w:val="fr-FR"/>
        </w:rPr>
        <w:t>cris</w:t>
      </w:r>
      <w:r>
        <w:rPr>
          <w:lang w:val="fr-FR"/>
        </w:rPr>
        <w:t xml:space="preserve">e, ce qui a pour conséquence </w:t>
      </w:r>
      <w:r w:rsidR="00EC6FF1">
        <w:rPr>
          <w:lang w:val="fr-FR"/>
        </w:rPr>
        <w:t xml:space="preserve">d’accroître le </w:t>
      </w:r>
      <w:r>
        <w:rPr>
          <w:lang w:val="fr-FR"/>
        </w:rPr>
        <w:t xml:space="preserve">nombre de demandes au </w:t>
      </w:r>
      <w:r w:rsidR="00C77767" w:rsidRPr="00EA2E2A">
        <w:rPr>
          <w:lang w:val="fr-FR"/>
        </w:rPr>
        <w:t>Secrétariat</w:t>
      </w:r>
      <w:r w:rsidR="00A03C71" w:rsidRPr="00EA2E2A">
        <w:rPr>
          <w:lang w:val="fr-FR"/>
        </w:rPr>
        <w:t xml:space="preserve"> </w:t>
      </w:r>
      <w:r>
        <w:rPr>
          <w:lang w:val="fr-FR"/>
        </w:rPr>
        <w:t xml:space="preserve">pour que ce dernier prenne des mesures de </w:t>
      </w:r>
      <w:r w:rsidR="00A03C71" w:rsidRPr="00EA2E2A">
        <w:rPr>
          <w:lang w:val="fr-FR"/>
        </w:rPr>
        <w:t>s</w:t>
      </w:r>
      <w:r>
        <w:rPr>
          <w:lang w:val="fr-FR"/>
        </w:rPr>
        <w:t>auv</w:t>
      </w:r>
      <w:r w:rsidR="00A03C71" w:rsidRPr="00EA2E2A">
        <w:rPr>
          <w:lang w:val="fr-FR"/>
        </w:rPr>
        <w:t>eg</w:t>
      </w:r>
      <w:r>
        <w:rPr>
          <w:lang w:val="fr-FR"/>
        </w:rPr>
        <w:t xml:space="preserve">arde du patrimoine immatériel dans de tels </w:t>
      </w:r>
      <w:r w:rsidR="00A03C71" w:rsidRPr="00EA2E2A">
        <w:rPr>
          <w:lang w:val="fr-FR"/>
        </w:rPr>
        <w:t>context</w:t>
      </w:r>
      <w:r>
        <w:rPr>
          <w:lang w:val="fr-FR"/>
        </w:rPr>
        <w:t>e</w:t>
      </w:r>
      <w:r w:rsidR="00A03C71" w:rsidRPr="00EA2E2A">
        <w:rPr>
          <w:lang w:val="fr-FR"/>
        </w:rPr>
        <w:t xml:space="preserve">s. </w:t>
      </w:r>
      <w:r>
        <w:rPr>
          <w:lang w:val="fr-FR"/>
        </w:rPr>
        <w:t xml:space="preserve">Le patrimoine culturel immatériel ne peut être </w:t>
      </w:r>
      <w:r w:rsidR="00A03C71" w:rsidRPr="00EA2E2A">
        <w:rPr>
          <w:lang w:val="fr-FR"/>
        </w:rPr>
        <w:t>d</w:t>
      </w:r>
      <w:r>
        <w:rPr>
          <w:lang w:val="fr-FR"/>
        </w:rPr>
        <w:t>é</w:t>
      </w:r>
      <w:r w:rsidR="00A03C71" w:rsidRPr="00EA2E2A">
        <w:rPr>
          <w:lang w:val="fr-FR"/>
        </w:rPr>
        <w:t>connect</w:t>
      </w:r>
      <w:r>
        <w:rPr>
          <w:lang w:val="fr-FR"/>
        </w:rPr>
        <w:t>é des communautés qui en sont détentrices</w:t>
      </w:r>
      <w:r w:rsidR="00A03C71" w:rsidRPr="00EA2E2A">
        <w:rPr>
          <w:lang w:val="fr-FR"/>
        </w:rPr>
        <w:t xml:space="preserve">, </w:t>
      </w:r>
      <w:r>
        <w:rPr>
          <w:lang w:val="fr-FR"/>
        </w:rPr>
        <w:t xml:space="preserve">et la sauvegarde du patrimoine culturel immatériel en </w:t>
      </w:r>
      <w:r w:rsidR="00A03C71" w:rsidRPr="00EA2E2A">
        <w:rPr>
          <w:lang w:val="fr-FR"/>
        </w:rPr>
        <w:t xml:space="preserve">situation </w:t>
      </w:r>
      <w:r>
        <w:rPr>
          <w:lang w:val="fr-FR"/>
        </w:rPr>
        <w:t xml:space="preserve">de crise implique d’abord et avant tout de protéger </w:t>
      </w:r>
      <w:r w:rsidR="00BA2026">
        <w:rPr>
          <w:lang w:val="fr-FR"/>
        </w:rPr>
        <w:t>s</w:t>
      </w:r>
      <w:r>
        <w:rPr>
          <w:lang w:val="fr-FR"/>
        </w:rPr>
        <w:t>es détenteurs</w:t>
      </w:r>
      <w:r w:rsidR="00A03C71" w:rsidRPr="00EA2E2A">
        <w:rPr>
          <w:lang w:val="fr-FR"/>
        </w:rPr>
        <w:t xml:space="preserve">, </w:t>
      </w:r>
      <w:r>
        <w:rPr>
          <w:lang w:val="fr-FR"/>
        </w:rPr>
        <w:t xml:space="preserve">c’est-à-dire les </w:t>
      </w:r>
      <w:r w:rsidR="00A03C71" w:rsidRPr="00EA2E2A">
        <w:rPr>
          <w:lang w:val="fr-FR"/>
        </w:rPr>
        <w:t xml:space="preserve">populations, </w:t>
      </w:r>
      <w:r>
        <w:rPr>
          <w:lang w:val="fr-FR"/>
        </w:rPr>
        <w:t>de</w:t>
      </w:r>
      <w:r w:rsidR="00C35F5D">
        <w:rPr>
          <w:lang w:val="fr-FR"/>
        </w:rPr>
        <w:t>s</w:t>
      </w:r>
      <w:r>
        <w:rPr>
          <w:lang w:val="fr-FR"/>
        </w:rPr>
        <w:t xml:space="preserve"> restrictions </w:t>
      </w:r>
      <w:r w:rsidR="00A03C71" w:rsidRPr="00EA2E2A">
        <w:rPr>
          <w:lang w:val="fr-FR"/>
        </w:rPr>
        <w:t>oppressive</w:t>
      </w:r>
      <w:r>
        <w:rPr>
          <w:lang w:val="fr-FR"/>
        </w:rPr>
        <w:t>s</w:t>
      </w:r>
      <w:r w:rsidR="00A03C71" w:rsidRPr="00EA2E2A">
        <w:rPr>
          <w:lang w:val="fr-FR"/>
        </w:rPr>
        <w:t xml:space="preserve"> </w:t>
      </w:r>
      <w:r w:rsidR="00C35F5D">
        <w:rPr>
          <w:lang w:val="fr-FR"/>
        </w:rPr>
        <w:t xml:space="preserve">les empêchant de s’investir </w:t>
      </w:r>
      <w:r w:rsidR="00BA2026">
        <w:rPr>
          <w:lang w:val="fr-FR"/>
        </w:rPr>
        <w:t xml:space="preserve">dans </w:t>
      </w:r>
      <w:r w:rsidR="00C35F5D">
        <w:rPr>
          <w:lang w:val="fr-FR"/>
        </w:rPr>
        <w:t>leur patrimoine vivant</w:t>
      </w:r>
      <w:r w:rsidR="00A03C71" w:rsidRPr="00EA2E2A">
        <w:rPr>
          <w:lang w:val="fr-FR"/>
        </w:rPr>
        <w:t xml:space="preserve">. </w:t>
      </w:r>
      <w:r w:rsidR="00A03C71" w:rsidRPr="00EA2E2A">
        <w:rPr>
          <w:bCs/>
          <w:lang w:val="fr-FR"/>
        </w:rPr>
        <w:t>Examin</w:t>
      </w:r>
      <w:r w:rsidR="0063622F">
        <w:rPr>
          <w:bCs/>
          <w:lang w:val="fr-FR"/>
        </w:rPr>
        <w:t>ant le rôle et les responsabilités de l’</w:t>
      </w:r>
      <w:r w:rsidR="00A03C71" w:rsidRPr="00EA2E2A">
        <w:rPr>
          <w:bCs/>
          <w:lang w:val="fr-FR"/>
        </w:rPr>
        <w:t>UNESCO</w:t>
      </w:r>
      <w:r w:rsidR="0063622F">
        <w:rPr>
          <w:bCs/>
          <w:lang w:val="fr-FR"/>
        </w:rPr>
        <w:t xml:space="preserve"> pour la </w:t>
      </w:r>
      <w:r w:rsidR="00A03C71" w:rsidRPr="00EA2E2A">
        <w:rPr>
          <w:bCs/>
          <w:lang w:val="fr-FR"/>
        </w:rPr>
        <w:t xml:space="preserve">culture </w:t>
      </w:r>
      <w:r w:rsidR="0063622F">
        <w:rPr>
          <w:bCs/>
          <w:lang w:val="fr-FR"/>
        </w:rPr>
        <w:t>dans les zones de confli</w:t>
      </w:r>
      <w:r w:rsidR="00A03C71" w:rsidRPr="00EA2E2A">
        <w:rPr>
          <w:bCs/>
          <w:lang w:val="fr-FR"/>
        </w:rPr>
        <w:t xml:space="preserve">t </w:t>
      </w:r>
      <w:r w:rsidR="0063622F">
        <w:rPr>
          <w:bCs/>
          <w:lang w:val="fr-FR"/>
        </w:rPr>
        <w:t xml:space="preserve">à sa </w:t>
      </w:r>
      <w:r w:rsidR="00A03C71" w:rsidRPr="00EA2E2A">
        <w:rPr>
          <w:bCs/>
          <w:lang w:val="fr-FR"/>
        </w:rPr>
        <w:t>196</w:t>
      </w:r>
      <w:r w:rsidR="0063622F" w:rsidRPr="00EE55A0">
        <w:rPr>
          <w:bCs/>
          <w:vertAlign w:val="superscript"/>
          <w:lang w:val="fr-FR"/>
        </w:rPr>
        <w:t>e</w:t>
      </w:r>
      <w:r w:rsidR="0063622F">
        <w:rPr>
          <w:bCs/>
          <w:lang w:val="fr-FR"/>
        </w:rPr>
        <w:t> </w:t>
      </w:r>
      <w:r w:rsidR="00A03C71" w:rsidRPr="00EA2E2A">
        <w:rPr>
          <w:bCs/>
          <w:lang w:val="fr-FR"/>
        </w:rPr>
        <w:t xml:space="preserve">session </w:t>
      </w:r>
      <w:r w:rsidR="0063622F">
        <w:rPr>
          <w:bCs/>
          <w:lang w:val="fr-FR"/>
        </w:rPr>
        <w:t xml:space="preserve">en avril </w:t>
      </w:r>
      <w:r w:rsidR="00A03C71" w:rsidRPr="00EA2E2A">
        <w:rPr>
          <w:bCs/>
          <w:lang w:val="fr-FR"/>
        </w:rPr>
        <w:t>2015</w:t>
      </w:r>
      <w:r w:rsidR="005B6056">
        <w:rPr>
          <w:bCs/>
          <w:lang w:val="fr-FR"/>
        </w:rPr>
        <w:t xml:space="preserve"> et à sa 197</w:t>
      </w:r>
      <w:r w:rsidR="005B6056" w:rsidRPr="00EE55A0">
        <w:rPr>
          <w:bCs/>
          <w:vertAlign w:val="superscript"/>
          <w:lang w:val="fr-FR"/>
        </w:rPr>
        <w:t>e</w:t>
      </w:r>
      <w:r w:rsidR="005B6056">
        <w:rPr>
          <w:bCs/>
          <w:lang w:val="fr-FR"/>
        </w:rPr>
        <w:t xml:space="preserve"> session en octobre 2015</w:t>
      </w:r>
      <w:r w:rsidR="00A03C71" w:rsidRPr="00EA2E2A">
        <w:rPr>
          <w:bCs/>
          <w:lang w:val="fr-FR"/>
        </w:rPr>
        <w:t xml:space="preserve">, </w:t>
      </w:r>
      <w:r w:rsidR="0063622F">
        <w:rPr>
          <w:bCs/>
          <w:lang w:val="fr-FR"/>
        </w:rPr>
        <w:t xml:space="preserve">le Conseil exécutif </w:t>
      </w:r>
      <w:r w:rsidR="0063622F">
        <w:rPr>
          <w:lang w:val="fr-FR"/>
        </w:rPr>
        <w:t>de l’</w:t>
      </w:r>
      <w:r w:rsidR="00A03C71" w:rsidRPr="00EA2E2A">
        <w:rPr>
          <w:lang w:val="fr-FR"/>
        </w:rPr>
        <w:t xml:space="preserve">UNESCO </w:t>
      </w:r>
      <w:r w:rsidR="0063622F">
        <w:rPr>
          <w:lang w:val="fr-FR"/>
        </w:rPr>
        <w:t xml:space="preserve">a </w:t>
      </w:r>
      <w:r w:rsidR="00A03C71" w:rsidRPr="00EA2E2A">
        <w:rPr>
          <w:lang w:val="fr-FR"/>
        </w:rPr>
        <w:t>invit</w:t>
      </w:r>
      <w:r w:rsidR="0063622F">
        <w:rPr>
          <w:lang w:val="fr-FR"/>
        </w:rPr>
        <w:t>é la Directrice générale « </w:t>
      </w:r>
      <w:r w:rsidR="0063622F" w:rsidRPr="0063622F">
        <w:rPr>
          <w:lang w:val="fr-FR"/>
        </w:rPr>
        <w:t>à poursuivre et à intensifier les efforts visant à protéger la culture en cas de conflit armé et dans les périodes de transition, notamment en renforçant la capacité de l’UNESCO</w:t>
      </w:r>
      <w:r w:rsidR="0063622F">
        <w:rPr>
          <w:lang w:val="fr-FR"/>
        </w:rPr>
        <w:t xml:space="preserve"> </w:t>
      </w:r>
      <w:r w:rsidR="00A03C71" w:rsidRPr="00EA2E2A">
        <w:rPr>
          <w:lang w:val="fr-FR"/>
        </w:rPr>
        <w:t>[…]</w:t>
      </w:r>
      <w:r w:rsidR="00EC6FF1">
        <w:rPr>
          <w:lang w:val="fr-FR"/>
        </w:rPr>
        <w:t xml:space="preserve"> </w:t>
      </w:r>
      <w:r w:rsidR="0063622F" w:rsidRPr="0063622F">
        <w:rPr>
          <w:lang w:val="fr-FR"/>
        </w:rPr>
        <w:t>par l’application effective des dispositions pertinentes des différentes conventions de l’UNESCO relatives à la culture</w:t>
      </w:r>
      <w:r w:rsidR="0063622F">
        <w:rPr>
          <w:lang w:val="fr-FR"/>
        </w:rPr>
        <w:t> »</w:t>
      </w:r>
      <w:r w:rsidR="00A03C71" w:rsidRPr="00EA2E2A">
        <w:rPr>
          <w:lang w:val="fr-FR"/>
        </w:rPr>
        <w:t xml:space="preserve"> </w:t>
      </w:r>
      <w:r w:rsidR="0063622F">
        <w:rPr>
          <w:lang w:val="fr-FR"/>
        </w:rPr>
        <w:t xml:space="preserve">et </w:t>
      </w:r>
      <w:r w:rsidR="00BF5261">
        <w:rPr>
          <w:lang w:val="fr-FR"/>
        </w:rPr>
        <w:t>« </w:t>
      </w:r>
      <w:r w:rsidR="00BF5261" w:rsidRPr="00BF5261">
        <w:rPr>
          <w:lang w:val="fr-FR"/>
        </w:rPr>
        <w:t>à consolider le rôle joué par l’UNESCO au sein du système des Nations Unies pour que la dimension culturelle soit dûment prise en compte</w:t>
      </w:r>
      <w:r w:rsidR="00BF5261">
        <w:rPr>
          <w:lang w:val="fr-FR"/>
        </w:rPr>
        <w:t> »</w:t>
      </w:r>
      <w:r w:rsidR="00A03C71" w:rsidRPr="00EA2E2A">
        <w:rPr>
          <w:lang w:val="fr-FR"/>
        </w:rPr>
        <w:t xml:space="preserve"> (</w:t>
      </w:r>
      <w:hyperlink r:id="rId56" w:history="1">
        <w:r w:rsidR="0063622F">
          <w:rPr>
            <w:rStyle w:val="Hyperlink"/>
            <w:lang w:val="fr-FR"/>
          </w:rPr>
          <w:t>dé</w:t>
        </w:r>
        <w:r w:rsidR="00A03C71" w:rsidRPr="00EA2E2A">
          <w:rPr>
            <w:rStyle w:val="Hyperlink"/>
            <w:lang w:val="fr-FR"/>
          </w:rPr>
          <w:t>cision</w:t>
        </w:r>
        <w:r w:rsidR="00E766DA">
          <w:rPr>
            <w:rStyle w:val="Hyperlink"/>
            <w:lang w:val="fr-FR"/>
          </w:rPr>
          <w:t> </w:t>
        </w:r>
        <w:r w:rsidR="00A03C71" w:rsidRPr="00EA2E2A">
          <w:rPr>
            <w:rStyle w:val="Hyperlink"/>
            <w:lang w:val="fr-FR"/>
          </w:rPr>
          <w:t>196</w:t>
        </w:r>
        <w:r w:rsidR="00E766DA">
          <w:rPr>
            <w:rStyle w:val="Hyperlink"/>
            <w:lang w:val="fr-FR"/>
          </w:rPr>
          <w:t> </w:t>
        </w:r>
        <w:r w:rsidR="00A03C71" w:rsidRPr="00EA2E2A">
          <w:rPr>
            <w:rStyle w:val="Hyperlink"/>
            <w:lang w:val="fr-FR"/>
          </w:rPr>
          <w:t>EX/29</w:t>
        </w:r>
      </w:hyperlink>
      <w:r w:rsidR="00A03C71" w:rsidRPr="00315247">
        <w:rPr>
          <w:lang w:val="fr-FR"/>
        </w:rPr>
        <w:t>)</w:t>
      </w:r>
      <w:r w:rsidR="005B6056" w:rsidRPr="00E041AF">
        <w:rPr>
          <w:lang w:val="fr-FR"/>
        </w:rPr>
        <w:t xml:space="preserve"> en </w:t>
      </w:r>
      <w:r w:rsidR="00E348E6" w:rsidRPr="00E041AF">
        <w:rPr>
          <w:lang w:val="fr-FR"/>
        </w:rPr>
        <w:t>« </w:t>
      </w:r>
      <w:r w:rsidR="00315247" w:rsidRPr="00EE55A0">
        <w:rPr>
          <w:lang w:val="fr-FR"/>
        </w:rPr>
        <w:t xml:space="preserve">visant à inscrire la protection du patrimoine culturel et de la diversité culturelle dans l’action humanitaire, les </w:t>
      </w:r>
      <w:r w:rsidR="00AF7E1D">
        <w:rPr>
          <w:lang w:val="fr-FR"/>
        </w:rPr>
        <w:t>s</w:t>
      </w:r>
      <w:r w:rsidR="00315247" w:rsidRPr="00EE55A0">
        <w:rPr>
          <w:lang w:val="fr-FR"/>
        </w:rPr>
        <w:t>tratégies globales de sécurité et les processus de consolidation de la paix, au moyen de tous les mécanismes pertinents des Nations Unies et en collaboration avec le départements concernés de l’Organisation des Nations Unies </w:t>
      </w:r>
      <w:r w:rsidR="00E348E6" w:rsidRPr="00E041AF">
        <w:rPr>
          <w:lang w:val="fr-FR"/>
        </w:rPr>
        <w:t>» (décision 197</w:t>
      </w:r>
      <w:r w:rsidR="00E348E6">
        <w:rPr>
          <w:lang w:val="fr-FR"/>
        </w:rPr>
        <w:t xml:space="preserve"> </w:t>
      </w:r>
      <w:r w:rsidR="005B6056">
        <w:rPr>
          <w:lang w:val="fr-FR"/>
        </w:rPr>
        <w:t>EX/10)</w:t>
      </w:r>
      <w:r w:rsidR="00A03C71" w:rsidRPr="00EA2E2A">
        <w:rPr>
          <w:lang w:val="fr-FR"/>
        </w:rPr>
        <w:t xml:space="preserve">. </w:t>
      </w:r>
      <w:r w:rsidR="00BF5261">
        <w:rPr>
          <w:lang w:val="fr-FR"/>
        </w:rPr>
        <w:t>À cette fin</w:t>
      </w:r>
      <w:r w:rsidR="00A03C71" w:rsidRPr="00EA2E2A">
        <w:rPr>
          <w:lang w:val="fr-FR"/>
        </w:rPr>
        <w:t xml:space="preserve">, </w:t>
      </w:r>
      <w:r w:rsidR="00BF5261">
        <w:rPr>
          <w:lang w:val="fr-FR"/>
        </w:rPr>
        <w:t xml:space="preserve">les amendements des </w:t>
      </w:r>
      <w:r w:rsidR="00700883" w:rsidRPr="00EA2E2A">
        <w:rPr>
          <w:lang w:val="fr-FR"/>
        </w:rPr>
        <w:t>Directives opérationnelles</w:t>
      </w:r>
      <w:r w:rsidR="00A03C71" w:rsidRPr="00EA2E2A">
        <w:rPr>
          <w:lang w:val="fr-FR"/>
        </w:rPr>
        <w:t xml:space="preserve"> </w:t>
      </w:r>
      <w:r w:rsidR="00EC6FF1">
        <w:rPr>
          <w:lang w:val="fr-FR"/>
        </w:rPr>
        <w:t xml:space="preserve">proposés </w:t>
      </w:r>
      <w:r w:rsidR="00BF5261">
        <w:rPr>
          <w:lang w:val="fr-FR"/>
        </w:rPr>
        <w:t>sur « </w:t>
      </w:r>
      <w:r w:rsidR="00BF5261" w:rsidRPr="00BF5261">
        <w:rPr>
          <w:lang w:val="fr-FR"/>
        </w:rPr>
        <w:t>la sauvegarde du patrimoine culturel immatériel</w:t>
      </w:r>
      <w:r w:rsidR="00BF5261">
        <w:rPr>
          <w:lang w:val="fr-FR"/>
        </w:rPr>
        <w:t xml:space="preserve"> </w:t>
      </w:r>
      <w:r w:rsidR="00BF5261" w:rsidRPr="00BF5261">
        <w:rPr>
          <w:lang w:val="fr-FR"/>
        </w:rPr>
        <w:t xml:space="preserve">et le développement durable </w:t>
      </w:r>
      <w:r w:rsidR="00DF1CE4">
        <w:rPr>
          <w:lang w:val="fr-FR"/>
        </w:rPr>
        <w:t>à l’échelle nationale</w:t>
      </w:r>
      <w:r w:rsidR="00BF5261">
        <w:rPr>
          <w:szCs w:val="26"/>
          <w:lang w:val="fr-FR"/>
        </w:rPr>
        <w:t> » compren</w:t>
      </w:r>
      <w:r w:rsidR="00EC6FF1">
        <w:rPr>
          <w:szCs w:val="26"/>
          <w:lang w:val="fr-FR"/>
        </w:rPr>
        <w:t>nent</w:t>
      </w:r>
      <w:r w:rsidR="00BF5261">
        <w:rPr>
          <w:szCs w:val="26"/>
          <w:lang w:val="fr-FR"/>
        </w:rPr>
        <w:t xml:space="preserve"> des dispositions </w:t>
      </w:r>
      <w:r w:rsidR="00E041AF">
        <w:rPr>
          <w:szCs w:val="26"/>
          <w:lang w:val="fr-FR"/>
        </w:rPr>
        <w:t xml:space="preserve">dédiées </w:t>
      </w:r>
      <w:r w:rsidR="00BF5261">
        <w:rPr>
          <w:szCs w:val="26"/>
          <w:lang w:val="fr-FR"/>
        </w:rPr>
        <w:t xml:space="preserve">à la paix et à la </w:t>
      </w:r>
      <w:r w:rsidR="00A03C71" w:rsidRPr="00EA2E2A">
        <w:rPr>
          <w:szCs w:val="26"/>
          <w:lang w:val="fr-FR"/>
        </w:rPr>
        <w:t>s</w:t>
      </w:r>
      <w:r w:rsidR="00BF5261">
        <w:rPr>
          <w:szCs w:val="26"/>
          <w:lang w:val="fr-FR"/>
        </w:rPr>
        <w:t>é</w:t>
      </w:r>
      <w:r w:rsidR="00A03C71" w:rsidRPr="00EA2E2A">
        <w:rPr>
          <w:szCs w:val="26"/>
          <w:lang w:val="fr-FR"/>
        </w:rPr>
        <w:t>curit</w:t>
      </w:r>
      <w:r w:rsidR="00BF5261">
        <w:rPr>
          <w:szCs w:val="26"/>
          <w:lang w:val="fr-FR"/>
        </w:rPr>
        <w:t xml:space="preserve">é </w:t>
      </w:r>
      <w:r w:rsidR="00A03C71" w:rsidRPr="00EA2E2A">
        <w:rPr>
          <w:szCs w:val="26"/>
          <w:lang w:val="fr-FR"/>
        </w:rPr>
        <w:t>(</w:t>
      </w:r>
      <w:hyperlink r:id="rId57" w:history="1">
        <w:r w:rsidR="00BF5261" w:rsidRPr="009C0BDE">
          <w:rPr>
            <w:rStyle w:val="Hyperlink"/>
            <w:szCs w:val="26"/>
            <w:lang w:val="fr-FR"/>
          </w:rPr>
          <w:t>d</w:t>
        </w:r>
        <w:r w:rsidR="00A03C71" w:rsidRPr="009C0BDE">
          <w:rPr>
            <w:rStyle w:val="Hyperlink"/>
            <w:szCs w:val="26"/>
            <w:lang w:val="fr-FR"/>
          </w:rPr>
          <w:t>ocument</w:t>
        </w:r>
        <w:r w:rsidR="009C0BDE" w:rsidRPr="009C0BDE">
          <w:rPr>
            <w:rStyle w:val="Hyperlink"/>
            <w:szCs w:val="26"/>
            <w:lang w:val="fr-FR"/>
          </w:rPr>
          <w:t> </w:t>
        </w:r>
        <w:r w:rsidR="00A03C71" w:rsidRPr="009C0BDE">
          <w:rPr>
            <w:rStyle w:val="Hyperlink"/>
            <w:lang w:val="fr-FR"/>
          </w:rPr>
          <w:t xml:space="preserve"> ITH/15/10.COM/14.a</w:t>
        </w:r>
      </w:hyperlink>
      <w:r w:rsidR="00A03C71" w:rsidRPr="00EA2E2A">
        <w:rPr>
          <w:lang w:val="fr-FR"/>
        </w:rPr>
        <w:t>)</w:t>
      </w:r>
      <w:r w:rsidR="00A03C71" w:rsidRPr="00EA2E2A">
        <w:rPr>
          <w:szCs w:val="26"/>
          <w:lang w:val="fr-FR"/>
        </w:rPr>
        <w:t xml:space="preserve">. </w:t>
      </w:r>
      <w:r w:rsidR="00BF5261">
        <w:rPr>
          <w:lang w:val="fr-FR"/>
        </w:rPr>
        <w:t>Au niveau national</w:t>
      </w:r>
      <w:r w:rsidR="00A03C71" w:rsidRPr="00EA2E2A">
        <w:rPr>
          <w:lang w:val="fr-FR"/>
        </w:rPr>
        <w:t xml:space="preserve">, </w:t>
      </w:r>
      <w:r w:rsidR="00405E23">
        <w:rPr>
          <w:lang w:val="fr-FR"/>
        </w:rPr>
        <w:t>eu égard au mandat et aux moyens opérationnels de l’</w:t>
      </w:r>
      <w:r w:rsidR="00A03C71" w:rsidRPr="00EA2E2A">
        <w:rPr>
          <w:lang w:val="fr-FR"/>
        </w:rPr>
        <w:t xml:space="preserve">UNESCO, </w:t>
      </w:r>
      <w:r w:rsidR="00405E23">
        <w:rPr>
          <w:lang w:val="fr-FR"/>
        </w:rPr>
        <w:t xml:space="preserve">le </w:t>
      </w:r>
      <w:r w:rsidR="00C77767" w:rsidRPr="00EA2E2A">
        <w:rPr>
          <w:lang w:val="fr-FR"/>
        </w:rPr>
        <w:t>Secrétariat</w:t>
      </w:r>
      <w:r w:rsidR="00A03C71" w:rsidRPr="00EA2E2A">
        <w:rPr>
          <w:lang w:val="fr-FR"/>
        </w:rPr>
        <w:t xml:space="preserve"> </w:t>
      </w:r>
      <w:r w:rsidR="00405E23">
        <w:rPr>
          <w:lang w:val="fr-FR"/>
        </w:rPr>
        <w:t xml:space="preserve">prend des </w:t>
      </w:r>
      <w:r w:rsidR="00A03C71" w:rsidRPr="00EA2E2A">
        <w:rPr>
          <w:lang w:val="fr-FR"/>
        </w:rPr>
        <w:t xml:space="preserve">initiatives </w:t>
      </w:r>
      <w:r w:rsidR="00405E23">
        <w:rPr>
          <w:lang w:val="fr-FR"/>
        </w:rPr>
        <w:t>pour inté</w:t>
      </w:r>
      <w:r w:rsidR="00A03C71" w:rsidRPr="00EA2E2A">
        <w:rPr>
          <w:lang w:val="fr-FR"/>
        </w:rPr>
        <w:t>gr</w:t>
      </w:r>
      <w:r w:rsidR="00405E23">
        <w:rPr>
          <w:lang w:val="fr-FR"/>
        </w:rPr>
        <w:t xml:space="preserve">er </w:t>
      </w:r>
      <w:r w:rsidR="00E041AF">
        <w:rPr>
          <w:lang w:val="fr-FR"/>
        </w:rPr>
        <w:t xml:space="preserve">aux réponses d’urgence apportées par la communauté </w:t>
      </w:r>
      <w:r w:rsidR="00E041AF" w:rsidRPr="00EA2E2A">
        <w:rPr>
          <w:lang w:val="fr-FR"/>
        </w:rPr>
        <w:t>international</w:t>
      </w:r>
      <w:r w:rsidR="00E041AF">
        <w:rPr>
          <w:lang w:val="fr-FR"/>
        </w:rPr>
        <w:t xml:space="preserve">e </w:t>
      </w:r>
      <w:r w:rsidR="00405E23">
        <w:rPr>
          <w:lang w:val="fr-FR"/>
        </w:rPr>
        <w:t>le renforcement des capacités en vue de la sauvegarde du patrimoine culturel immatériel</w:t>
      </w:r>
      <w:r w:rsidR="00A03C71" w:rsidRPr="00EA2E2A">
        <w:rPr>
          <w:lang w:val="fr-FR"/>
        </w:rPr>
        <w:t xml:space="preserve">. </w:t>
      </w:r>
      <w:r w:rsidR="00405E23">
        <w:rPr>
          <w:lang w:val="fr-FR"/>
        </w:rPr>
        <w:t xml:space="preserve">En </w:t>
      </w:r>
      <w:r w:rsidR="00A03C71" w:rsidRPr="00EA2E2A">
        <w:rPr>
          <w:lang w:val="fr-FR"/>
        </w:rPr>
        <w:t>Syri</w:t>
      </w:r>
      <w:r w:rsidR="00405E23">
        <w:rPr>
          <w:lang w:val="fr-FR"/>
        </w:rPr>
        <w:t>e</w:t>
      </w:r>
      <w:r w:rsidR="00A03C71" w:rsidRPr="00EA2E2A">
        <w:rPr>
          <w:lang w:val="fr-FR"/>
        </w:rPr>
        <w:t xml:space="preserve">, </w:t>
      </w:r>
      <w:r w:rsidR="00405E23">
        <w:rPr>
          <w:lang w:val="fr-FR"/>
        </w:rPr>
        <w:t xml:space="preserve">une </w:t>
      </w:r>
      <w:r w:rsidR="00A03C71" w:rsidRPr="00EA2E2A">
        <w:rPr>
          <w:lang w:val="fr-FR"/>
        </w:rPr>
        <w:t>activit</w:t>
      </w:r>
      <w:r w:rsidR="00405E23">
        <w:rPr>
          <w:lang w:val="fr-FR"/>
        </w:rPr>
        <w:t xml:space="preserve">é </w:t>
      </w:r>
      <w:r w:rsidR="00405E23" w:rsidRPr="00EA2E2A">
        <w:rPr>
          <w:lang w:val="fr-FR"/>
        </w:rPr>
        <w:t>pilot</w:t>
      </w:r>
      <w:r w:rsidR="00405E23">
        <w:rPr>
          <w:lang w:val="fr-FR"/>
        </w:rPr>
        <w:t>e</w:t>
      </w:r>
      <w:r w:rsidR="00405E23" w:rsidRPr="00EA2E2A">
        <w:rPr>
          <w:lang w:val="fr-FR"/>
        </w:rPr>
        <w:t xml:space="preserve"> </w:t>
      </w:r>
      <w:r w:rsidR="00405E23">
        <w:rPr>
          <w:lang w:val="fr-FR"/>
        </w:rPr>
        <w:t xml:space="preserve">de renforcement des capacités est en cours de </w:t>
      </w:r>
      <w:r w:rsidR="00A03C71" w:rsidRPr="00EA2E2A">
        <w:rPr>
          <w:lang w:val="fr-FR"/>
        </w:rPr>
        <w:t>pr</w:t>
      </w:r>
      <w:r w:rsidR="00405E23">
        <w:rPr>
          <w:lang w:val="fr-FR"/>
        </w:rPr>
        <w:t>é</w:t>
      </w:r>
      <w:r w:rsidR="00A03C71" w:rsidRPr="00EA2E2A">
        <w:rPr>
          <w:lang w:val="fr-FR"/>
        </w:rPr>
        <w:t xml:space="preserve">paration </w:t>
      </w:r>
      <w:r w:rsidR="00405E23">
        <w:rPr>
          <w:lang w:val="fr-FR"/>
        </w:rPr>
        <w:t xml:space="preserve">dans le cadre d’un </w:t>
      </w:r>
      <w:r w:rsidR="00C40D88" w:rsidRPr="00EA2E2A">
        <w:rPr>
          <w:lang w:val="fr-FR"/>
        </w:rPr>
        <w:t>projet</w:t>
      </w:r>
      <w:r w:rsidR="00A03C71" w:rsidRPr="00EA2E2A">
        <w:rPr>
          <w:lang w:val="fr-FR"/>
        </w:rPr>
        <w:t xml:space="preserve"> </w:t>
      </w:r>
      <w:r w:rsidR="00405E23">
        <w:rPr>
          <w:lang w:val="fr-FR"/>
        </w:rPr>
        <w:t xml:space="preserve">plus large </w:t>
      </w:r>
      <w:r w:rsidR="005B6056">
        <w:rPr>
          <w:lang w:val="fr-FR"/>
        </w:rPr>
        <w:t xml:space="preserve">financé </w:t>
      </w:r>
      <w:r w:rsidR="00405E23">
        <w:rPr>
          <w:lang w:val="fr-FR"/>
        </w:rPr>
        <w:t>par l’Union européenne</w:t>
      </w:r>
      <w:r w:rsidR="005B6056">
        <w:rPr>
          <w:lang w:val="fr-FR"/>
        </w:rPr>
        <w:t xml:space="preserve"> sur la sauvegarde urgente du patrimoine culturel syrien</w:t>
      </w:r>
      <w:r w:rsidR="00A03C71" w:rsidRPr="00EA2E2A">
        <w:rPr>
          <w:lang w:val="fr-FR"/>
        </w:rPr>
        <w:t xml:space="preserve">. </w:t>
      </w:r>
      <w:r w:rsidR="00AF2379">
        <w:rPr>
          <w:lang w:val="fr-FR"/>
        </w:rPr>
        <w:t xml:space="preserve">Cette activité vise à renforcer les connaissances du personnel des </w:t>
      </w:r>
      <w:r w:rsidR="00AF2379" w:rsidRPr="00EA2E2A">
        <w:rPr>
          <w:lang w:val="fr-FR"/>
        </w:rPr>
        <w:t>organisations</w:t>
      </w:r>
      <w:r w:rsidR="00AF2379">
        <w:rPr>
          <w:lang w:val="fr-FR"/>
        </w:rPr>
        <w:t xml:space="preserve"> </w:t>
      </w:r>
      <w:r w:rsidR="00AF2379" w:rsidRPr="00EA2E2A">
        <w:rPr>
          <w:lang w:val="fr-FR"/>
        </w:rPr>
        <w:t>international</w:t>
      </w:r>
      <w:r w:rsidR="00AF2379">
        <w:rPr>
          <w:lang w:val="fr-FR"/>
        </w:rPr>
        <w:t>es</w:t>
      </w:r>
      <w:r w:rsidR="00A03C71" w:rsidRPr="00EA2E2A">
        <w:rPr>
          <w:lang w:val="fr-FR"/>
        </w:rPr>
        <w:t xml:space="preserve">, </w:t>
      </w:r>
      <w:r w:rsidR="00AF2379">
        <w:rPr>
          <w:lang w:val="fr-FR"/>
        </w:rPr>
        <w:t xml:space="preserve">des ONG </w:t>
      </w:r>
      <w:r w:rsidR="00A03C71" w:rsidRPr="00EA2E2A">
        <w:rPr>
          <w:lang w:val="fr-FR"/>
        </w:rPr>
        <w:t>local</w:t>
      </w:r>
      <w:r w:rsidR="00AF2379">
        <w:rPr>
          <w:lang w:val="fr-FR"/>
        </w:rPr>
        <w:t xml:space="preserve">es et des forces de maintien de la paix qui </w:t>
      </w:r>
      <w:r w:rsidR="00A03C71" w:rsidRPr="00EA2E2A">
        <w:rPr>
          <w:lang w:val="fr-FR"/>
        </w:rPr>
        <w:t>interv</w:t>
      </w:r>
      <w:r w:rsidR="00AF2379">
        <w:rPr>
          <w:lang w:val="fr-FR"/>
        </w:rPr>
        <w:t>iennent dans les zones de confli</w:t>
      </w:r>
      <w:r w:rsidR="00A03C71" w:rsidRPr="00EA2E2A">
        <w:rPr>
          <w:lang w:val="fr-FR"/>
        </w:rPr>
        <w:t>t</w:t>
      </w:r>
      <w:r w:rsidR="00AF2379">
        <w:rPr>
          <w:lang w:val="fr-FR"/>
        </w:rPr>
        <w:t xml:space="preserve"> afin </w:t>
      </w:r>
      <w:r w:rsidR="00EC6FF1">
        <w:rPr>
          <w:lang w:val="fr-FR"/>
        </w:rPr>
        <w:t xml:space="preserve">qu’il </w:t>
      </w:r>
      <w:r w:rsidR="00AF2379">
        <w:rPr>
          <w:lang w:val="fr-FR"/>
        </w:rPr>
        <w:t>compren</w:t>
      </w:r>
      <w:r w:rsidR="00EC6FF1">
        <w:rPr>
          <w:lang w:val="fr-FR"/>
        </w:rPr>
        <w:t xml:space="preserve">ne </w:t>
      </w:r>
      <w:r w:rsidR="00AF2379">
        <w:rPr>
          <w:lang w:val="fr-FR"/>
        </w:rPr>
        <w:t xml:space="preserve">les </w:t>
      </w:r>
      <w:r w:rsidR="00A03C71" w:rsidRPr="00EA2E2A">
        <w:rPr>
          <w:lang w:val="fr-FR"/>
        </w:rPr>
        <w:t xml:space="preserve">concepts </w:t>
      </w:r>
      <w:r w:rsidR="00AF2379">
        <w:rPr>
          <w:lang w:val="fr-FR"/>
        </w:rPr>
        <w:t xml:space="preserve">et dispositions du droit </w:t>
      </w:r>
      <w:r w:rsidR="00A03C71" w:rsidRPr="00EA2E2A">
        <w:rPr>
          <w:lang w:val="fr-FR"/>
        </w:rPr>
        <w:t xml:space="preserve">international </w:t>
      </w:r>
      <w:r w:rsidR="00AF2379">
        <w:rPr>
          <w:lang w:val="fr-FR"/>
        </w:rPr>
        <w:t xml:space="preserve">dans les domaines de la diversité </w:t>
      </w:r>
      <w:r w:rsidR="00A03C71" w:rsidRPr="00EA2E2A">
        <w:rPr>
          <w:lang w:val="fr-FR"/>
        </w:rPr>
        <w:t>cultur</w:t>
      </w:r>
      <w:r w:rsidR="00AF2379">
        <w:rPr>
          <w:lang w:val="fr-FR"/>
        </w:rPr>
        <w:t xml:space="preserve">elle en </w:t>
      </w:r>
      <w:r w:rsidR="00AF2379" w:rsidRPr="00EA2E2A">
        <w:rPr>
          <w:lang w:val="fr-FR"/>
        </w:rPr>
        <w:t>général</w:t>
      </w:r>
      <w:r w:rsidR="00A03C71" w:rsidRPr="00EA2E2A">
        <w:rPr>
          <w:lang w:val="fr-FR"/>
        </w:rPr>
        <w:t xml:space="preserve"> </w:t>
      </w:r>
      <w:r w:rsidR="00AF2379">
        <w:rPr>
          <w:lang w:val="fr-FR"/>
        </w:rPr>
        <w:t xml:space="preserve">et du patrimoine culturel immatériel en </w:t>
      </w:r>
      <w:r w:rsidR="00A03C71" w:rsidRPr="00EA2E2A">
        <w:rPr>
          <w:lang w:val="fr-FR"/>
        </w:rPr>
        <w:t>particul</w:t>
      </w:r>
      <w:r w:rsidR="00AF2379">
        <w:rPr>
          <w:lang w:val="fr-FR"/>
        </w:rPr>
        <w:t>ie</w:t>
      </w:r>
      <w:r w:rsidR="00A03C71" w:rsidRPr="00EA2E2A">
        <w:rPr>
          <w:lang w:val="fr-FR"/>
        </w:rPr>
        <w:t xml:space="preserve">r, </w:t>
      </w:r>
      <w:r w:rsidR="00AF2379">
        <w:rPr>
          <w:lang w:val="fr-FR"/>
        </w:rPr>
        <w:t>et de l</w:t>
      </w:r>
      <w:r w:rsidR="00E041AF">
        <w:rPr>
          <w:lang w:val="fr-FR"/>
        </w:rPr>
        <w:t>ui</w:t>
      </w:r>
      <w:r w:rsidR="00AF2379" w:rsidRPr="00E041AF">
        <w:rPr>
          <w:lang w:val="fr-FR"/>
        </w:rPr>
        <w:t xml:space="preserve"> permettre d’agir </w:t>
      </w:r>
      <w:r w:rsidR="00E041AF">
        <w:rPr>
          <w:lang w:val="fr-FR"/>
        </w:rPr>
        <w:t>pour soutenir</w:t>
      </w:r>
      <w:r w:rsidR="00E041AF" w:rsidRPr="00E041AF">
        <w:rPr>
          <w:lang w:val="fr-FR"/>
        </w:rPr>
        <w:t xml:space="preserve"> </w:t>
      </w:r>
      <w:r w:rsidR="00AF2379" w:rsidRPr="00E041AF">
        <w:rPr>
          <w:lang w:val="fr-FR"/>
        </w:rPr>
        <w:t>sa sauvegarde</w:t>
      </w:r>
      <w:r w:rsidR="00A03C71" w:rsidRPr="00E041AF">
        <w:rPr>
          <w:lang w:val="fr-FR"/>
        </w:rPr>
        <w:t xml:space="preserve">. </w:t>
      </w:r>
      <w:r w:rsidR="002C7544" w:rsidRPr="00E041AF">
        <w:rPr>
          <w:lang w:val="fr-FR"/>
        </w:rPr>
        <w:t xml:space="preserve">Étant donné l’ampleur limitée des ressources humaines et </w:t>
      </w:r>
      <w:r w:rsidR="00A03C71" w:rsidRPr="00E041AF">
        <w:rPr>
          <w:lang w:val="fr-FR"/>
        </w:rPr>
        <w:t>financi</w:t>
      </w:r>
      <w:r w:rsidR="002C7544" w:rsidRPr="00E041AF">
        <w:rPr>
          <w:lang w:val="fr-FR"/>
        </w:rPr>
        <w:t>ères que l’</w:t>
      </w:r>
      <w:r w:rsidR="00A03C71" w:rsidRPr="00E041AF">
        <w:rPr>
          <w:lang w:val="fr-FR"/>
        </w:rPr>
        <w:t xml:space="preserve">UNESCO </w:t>
      </w:r>
      <w:r w:rsidR="002C7544" w:rsidRPr="00E041AF">
        <w:rPr>
          <w:lang w:val="fr-FR"/>
        </w:rPr>
        <w:t>peut objectivement mettre en œuvre, de telles interventions en amont sont les plus susceptibles d’avoir un impact et une efficacité tangibles. En s’appuyant sur les ré</w:t>
      </w:r>
      <w:r w:rsidR="00A03C71" w:rsidRPr="00E041AF">
        <w:rPr>
          <w:lang w:val="fr-FR"/>
        </w:rPr>
        <w:t>sult</w:t>
      </w:r>
      <w:r w:rsidR="002C7544" w:rsidRPr="00E041AF">
        <w:rPr>
          <w:lang w:val="fr-FR"/>
        </w:rPr>
        <w:t>at</w:t>
      </w:r>
      <w:r w:rsidR="00A03C71" w:rsidRPr="00E041AF">
        <w:rPr>
          <w:lang w:val="fr-FR"/>
        </w:rPr>
        <w:t xml:space="preserve">s </w:t>
      </w:r>
      <w:r w:rsidR="002C7544" w:rsidRPr="00E041AF">
        <w:rPr>
          <w:lang w:val="fr-FR"/>
        </w:rPr>
        <w:t xml:space="preserve">de cette activité </w:t>
      </w:r>
      <w:r w:rsidR="00A03C71" w:rsidRPr="00E041AF">
        <w:rPr>
          <w:lang w:val="fr-FR"/>
        </w:rPr>
        <w:t>pilot</w:t>
      </w:r>
      <w:r w:rsidR="002C7544" w:rsidRPr="00E041AF">
        <w:rPr>
          <w:lang w:val="fr-FR"/>
        </w:rPr>
        <w:t>e</w:t>
      </w:r>
      <w:r w:rsidR="00A03C71" w:rsidRPr="00E041AF">
        <w:rPr>
          <w:lang w:val="fr-FR"/>
        </w:rPr>
        <w:t xml:space="preserve">, </w:t>
      </w:r>
      <w:r w:rsidR="002C7544" w:rsidRPr="00E041AF">
        <w:rPr>
          <w:lang w:val="fr-FR"/>
        </w:rPr>
        <w:t xml:space="preserve">le </w:t>
      </w:r>
      <w:r w:rsidR="00A03C71" w:rsidRPr="00E041AF">
        <w:rPr>
          <w:lang w:val="fr-FR"/>
        </w:rPr>
        <w:t xml:space="preserve">programme </w:t>
      </w:r>
      <w:r w:rsidR="002C7544" w:rsidRPr="00E041AF">
        <w:rPr>
          <w:lang w:val="fr-FR"/>
        </w:rPr>
        <w:t xml:space="preserve">pourrait être étendu à d’autres </w:t>
      </w:r>
      <w:r w:rsidR="00A03C71" w:rsidRPr="00E041AF">
        <w:rPr>
          <w:lang w:val="fr-FR"/>
        </w:rPr>
        <w:t>situations</w:t>
      </w:r>
      <w:r w:rsidR="002C7544" w:rsidRPr="00E041AF">
        <w:rPr>
          <w:lang w:val="fr-FR"/>
        </w:rPr>
        <w:t xml:space="preserve"> de crise</w:t>
      </w:r>
      <w:r w:rsidR="00A03C71" w:rsidRPr="00E041AF">
        <w:rPr>
          <w:lang w:val="fr-FR"/>
        </w:rPr>
        <w:t>.</w:t>
      </w:r>
    </w:p>
    <w:p w14:paraId="5D157CF8" w14:textId="77777777" w:rsidR="00A03C71" w:rsidRPr="00EA2E2A" w:rsidRDefault="00C77A5A" w:rsidP="00EE55A0">
      <w:pPr>
        <w:pStyle w:val="COMPara"/>
        <w:keepNext/>
        <w:numPr>
          <w:ilvl w:val="0"/>
          <w:numId w:val="20"/>
        </w:numPr>
        <w:spacing w:before="240"/>
        <w:ind w:left="1134" w:hanging="578"/>
        <w:rPr>
          <w:b/>
          <w:lang w:val="fr-FR"/>
        </w:rPr>
      </w:pPr>
      <w:r>
        <w:rPr>
          <w:b/>
          <w:lang w:val="fr-FR"/>
        </w:rPr>
        <w:t xml:space="preserve">Renforcement de la </w:t>
      </w:r>
      <w:r w:rsidRPr="00EA2E2A">
        <w:rPr>
          <w:b/>
          <w:lang w:val="fr-FR"/>
        </w:rPr>
        <w:t>coop</w:t>
      </w:r>
      <w:r>
        <w:rPr>
          <w:b/>
          <w:lang w:val="fr-FR"/>
        </w:rPr>
        <w:t>é</w:t>
      </w:r>
      <w:r w:rsidRPr="00EA2E2A">
        <w:rPr>
          <w:b/>
          <w:lang w:val="fr-FR"/>
        </w:rPr>
        <w:t xml:space="preserve">ration </w:t>
      </w:r>
      <w:r>
        <w:rPr>
          <w:b/>
          <w:lang w:val="fr-FR"/>
        </w:rPr>
        <w:t xml:space="preserve">avec la société </w:t>
      </w:r>
      <w:r w:rsidR="00A03C71" w:rsidRPr="00EA2E2A">
        <w:rPr>
          <w:b/>
          <w:lang w:val="fr-FR"/>
        </w:rPr>
        <w:t>civil</w:t>
      </w:r>
      <w:r>
        <w:rPr>
          <w:b/>
          <w:lang w:val="fr-FR"/>
        </w:rPr>
        <w:t>e</w:t>
      </w:r>
    </w:p>
    <w:p w14:paraId="1C68157B" w14:textId="5A99D9E0" w:rsidR="00A03C71" w:rsidRPr="00EA2E2A" w:rsidRDefault="00C77A5A" w:rsidP="00A03C71">
      <w:pPr>
        <w:pStyle w:val="COMPara"/>
        <w:numPr>
          <w:ilvl w:val="0"/>
          <w:numId w:val="9"/>
        </w:numPr>
        <w:ind w:left="567" w:hanging="567"/>
        <w:jc w:val="both"/>
        <w:rPr>
          <w:lang w:val="fr-FR"/>
        </w:rPr>
      </w:pPr>
      <w:r>
        <w:rPr>
          <w:lang w:val="fr-FR"/>
        </w:rPr>
        <w:t xml:space="preserve">Conformément aux </w:t>
      </w:r>
      <w:r w:rsidR="00700883" w:rsidRPr="00EA2E2A">
        <w:rPr>
          <w:lang w:val="fr-FR"/>
        </w:rPr>
        <w:t>Directives opérationnelles</w:t>
      </w:r>
      <w:r w:rsidR="00A03C71" w:rsidRPr="00EA2E2A">
        <w:rPr>
          <w:lang w:val="fr-FR"/>
        </w:rPr>
        <w:t xml:space="preserve"> (paragraph</w:t>
      </w:r>
      <w:r>
        <w:rPr>
          <w:lang w:val="fr-FR"/>
        </w:rPr>
        <w:t>e</w:t>
      </w:r>
      <w:r w:rsidR="00A03C71" w:rsidRPr="00EA2E2A">
        <w:rPr>
          <w:lang w:val="fr-FR"/>
        </w:rPr>
        <w:t>s</w:t>
      </w:r>
      <w:r>
        <w:rPr>
          <w:lang w:val="fr-FR"/>
        </w:rPr>
        <w:t> </w:t>
      </w:r>
      <w:r w:rsidR="00A03C71" w:rsidRPr="00EA2E2A">
        <w:rPr>
          <w:lang w:val="fr-FR"/>
        </w:rPr>
        <w:t xml:space="preserve">90 </w:t>
      </w:r>
      <w:r>
        <w:rPr>
          <w:lang w:val="fr-FR"/>
        </w:rPr>
        <w:t xml:space="preserve">et 96), il appartient aux États parties d’impliquer les </w:t>
      </w:r>
      <w:r w:rsidR="00E041AF">
        <w:rPr>
          <w:lang w:val="fr-FR"/>
        </w:rPr>
        <w:t xml:space="preserve">organisations non gouvernementales </w:t>
      </w:r>
      <w:r>
        <w:rPr>
          <w:lang w:val="fr-FR"/>
        </w:rPr>
        <w:t xml:space="preserve">dans la mise en œuvre de la </w:t>
      </w:r>
      <w:r w:rsidR="00A03C71" w:rsidRPr="00EA2E2A">
        <w:rPr>
          <w:lang w:val="fr-FR"/>
        </w:rPr>
        <w:t xml:space="preserve">Convention </w:t>
      </w:r>
      <w:r>
        <w:rPr>
          <w:lang w:val="fr-FR"/>
        </w:rPr>
        <w:t xml:space="preserve">au niveau </w:t>
      </w:r>
      <w:r w:rsidR="00A03C71" w:rsidRPr="00EA2E2A">
        <w:rPr>
          <w:lang w:val="fr-FR"/>
        </w:rPr>
        <w:t xml:space="preserve">national, </w:t>
      </w:r>
      <w:r w:rsidRPr="00C77A5A">
        <w:rPr>
          <w:lang w:val="fr-FR"/>
        </w:rPr>
        <w:t>entre autres</w:t>
      </w:r>
      <w:r>
        <w:rPr>
          <w:i/>
          <w:lang w:val="fr-FR"/>
        </w:rPr>
        <w:t xml:space="preserve"> </w:t>
      </w:r>
      <w:r>
        <w:rPr>
          <w:lang w:val="fr-FR"/>
        </w:rPr>
        <w:t xml:space="preserve">en </w:t>
      </w:r>
      <w:r w:rsidR="00A03C71" w:rsidRPr="00EA2E2A">
        <w:rPr>
          <w:lang w:val="fr-FR"/>
        </w:rPr>
        <w:t>identif</w:t>
      </w:r>
      <w:r>
        <w:rPr>
          <w:lang w:val="fr-FR"/>
        </w:rPr>
        <w:t xml:space="preserve">iant et en </w:t>
      </w:r>
      <w:r w:rsidR="00A03C71" w:rsidRPr="00EA2E2A">
        <w:rPr>
          <w:lang w:val="fr-FR"/>
        </w:rPr>
        <w:t>d</w:t>
      </w:r>
      <w:r>
        <w:rPr>
          <w:lang w:val="fr-FR"/>
        </w:rPr>
        <w:t>é</w:t>
      </w:r>
      <w:r w:rsidR="00A03C71" w:rsidRPr="00EA2E2A">
        <w:rPr>
          <w:lang w:val="fr-FR"/>
        </w:rPr>
        <w:t>fini</w:t>
      </w:r>
      <w:r>
        <w:rPr>
          <w:lang w:val="fr-FR"/>
        </w:rPr>
        <w:t xml:space="preserve">ssant le patrimoine culturel immatériel </w:t>
      </w:r>
      <w:r w:rsidRPr="00C77A5A">
        <w:rPr>
          <w:lang w:val="fr-FR"/>
        </w:rPr>
        <w:t>ainsi que dans d</w:t>
      </w:r>
      <w:r w:rsidR="00E041AF">
        <w:rPr>
          <w:lang w:val="fr-FR"/>
        </w:rPr>
        <w:t>’</w:t>
      </w:r>
      <w:r w:rsidRPr="00C77A5A">
        <w:rPr>
          <w:lang w:val="fr-FR"/>
        </w:rPr>
        <w:t>autres mesures de sauvegarde appropriées</w:t>
      </w:r>
      <w:r w:rsidR="00E041AF">
        <w:rPr>
          <w:lang w:val="fr-FR"/>
        </w:rPr>
        <w:t xml:space="preserve"> ; elles </w:t>
      </w:r>
      <w:r>
        <w:rPr>
          <w:lang w:val="fr-FR"/>
        </w:rPr>
        <w:t xml:space="preserve">peuvent </w:t>
      </w:r>
      <w:r w:rsidR="00E041AF">
        <w:rPr>
          <w:lang w:val="fr-FR"/>
        </w:rPr>
        <w:t xml:space="preserve">également </w:t>
      </w:r>
      <w:r>
        <w:rPr>
          <w:lang w:val="fr-FR"/>
        </w:rPr>
        <w:t xml:space="preserve">être </w:t>
      </w:r>
      <w:r w:rsidR="00A03C71" w:rsidRPr="00EA2E2A">
        <w:rPr>
          <w:lang w:val="fr-FR"/>
        </w:rPr>
        <w:t>invit</w:t>
      </w:r>
      <w:r>
        <w:rPr>
          <w:lang w:val="fr-FR"/>
        </w:rPr>
        <w:t xml:space="preserve">ées à fournir des services </w:t>
      </w:r>
      <w:r w:rsidR="00BE08EE">
        <w:rPr>
          <w:lang w:val="fr-FR"/>
        </w:rPr>
        <w:t xml:space="preserve">consultatifs </w:t>
      </w:r>
      <w:r>
        <w:rPr>
          <w:lang w:val="fr-FR"/>
        </w:rPr>
        <w:t>au Comité</w:t>
      </w:r>
      <w:r w:rsidR="00A03C71" w:rsidRPr="00EA2E2A">
        <w:rPr>
          <w:lang w:val="fr-FR"/>
        </w:rPr>
        <w:t xml:space="preserve">, </w:t>
      </w:r>
      <w:r w:rsidR="00BE08EE">
        <w:rPr>
          <w:lang w:val="fr-FR"/>
        </w:rPr>
        <w:t>tel que le dispose l’a</w:t>
      </w:r>
      <w:r w:rsidR="00A03C71" w:rsidRPr="00EA2E2A">
        <w:rPr>
          <w:lang w:val="fr-FR"/>
        </w:rPr>
        <w:t>rticle</w:t>
      </w:r>
      <w:r w:rsidR="00BE08EE">
        <w:rPr>
          <w:lang w:val="fr-FR"/>
        </w:rPr>
        <w:t> </w:t>
      </w:r>
      <w:r w:rsidR="00A03C71" w:rsidRPr="00EA2E2A">
        <w:rPr>
          <w:lang w:val="fr-FR"/>
        </w:rPr>
        <w:t xml:space="preserve">9 </w:t>
      </w:r>
      <w:r w:rsidR="00BE08EE">
        <w:rPr>
          <w:lang w:val="fr-FR"/>
        </w:rPr>
        <w:t xml:space="preserve">de la </w:t>
      </w:r>
      <w:r w:rsidR="00A03C71" w:rsidRPr="00EA2E2A">
        <w:rPr>
          <w:lang w:val="fr-FR"/>
        </w:rPr>
        <w:t xml:space="preserve">Convention. </w:t>
      </w:r>
      <w:r w:rsidR="00BE08EE">
        <w:rPr>
          <w:lang w:val="fr-FR"/>
        </w:rPr>
        <w:t>À ce jour, l</w:t>
      </w:r>
      <w:r w:rsidR="00BE08EE" w:rsidRPr="00BE08EE">
        <w:rPr>
          <w:lang w:val="fr-FR"/>
        </w:rPr>
        <w:t>’Assemblée générale</w:t>
      </w:r>
      <w:r w:rsidR="00BE08EE">
        <w:rPr>
          <w:lang w:val="fr-FR"/>
        </w:rPr>
        <w:t xml:space="preserve"> a </w:t>
      </w:r>
      <w:r w:rsidR="00A03C71" w:rsidRPr="00EA2E2A">
        <w:rPr>
          <w:lang w:val="fr-FR"/>
        </w:rPr>
        <w:t>accr</w:t>
      </w:r>
      <w:r w:rsidR="00BE08EE">
        <w:rPr>
          <w:lang w:val="fr-FR"/>
        </w:rPr>
        <w:t>é</w:t>
      </w:r>
      <w:r w:rsidR="00A03C71" w:rsidRPr="00EA2E2A">
        <w:rPr>
          <w:lang w:val="fr-FR"/>
        </w:rPr>
        <w:t>dit</w:t>
      </w:r>
      <w:r w:rsidR="00BE08EE">
        <w:rPr>
          <w:lang w:val="fr-FR"/>
        </w:rPr>
        <w:t xml:space="preserve">é </w:t>
      </w:r>
      <w:r w:rsidR="00A03C71" w:rsidRPr="00EA2E2A">
        <w:rPr>
          <w:lang w:val="fr-FR"/>
        </w:rPr>
        <w:t>178</w:t>
      </w:r>
      <w:r w:rsidR="00BE08EE">
        <w:rPr>
          <w:lang w:val="fr-FR"/>
        </w:rPr>
        <w:t> </w:t>
      </w:r>
      <w:r w:rsidR="00E041AF">
        <w:rPr>
          <w:lang w:val="fr-FR"/>
        </w:rPr>
        <w:t>organisations non gouvernementales</w:t>
      </w:r>
      <w:r w:rsidR="00A03C71" w:rsidRPr="00EA2E2A">
        <w:rPr>
          <w:lang w:val="fr-FR"/>
        </w:rPr>
        <w:t xml:space="preserve">, </w:t>
      </w:r>
      <w:r w:rsidR="00BE08EE">
        <w:rPr>
          <w:lang w:val="fr-FR"/>
        </w:rPr>
        <w:t xml:space="preserve">dont </w:t>
      </w:r>
      <w:r w:rsidR="00A03C71" w:rsidRPr="00EA2E2A">
        <w:rPr>
          <w:lang w:val="fr-FR"/>
        </w:rPr>
        <w:t xml:space="preserve">22 </w:t>
      </w:r>
      <w:r w:rsidR="00BE08EE">
        <w:rPr>
          <w:lang w:val="fr-FR"/>
        </w:rPr>
        <w:t xml:space="preserve">pendant la </w:t>
      </w:r>
      <w:r w:rsidR="000C694D" w:rsidRPr="00EA2E2A">
        <w:rPr>
          <w:lang w:val="fr-FR"/>
        </w:rPr>
        <w:t xml:space="preserve">période </w:t>
      </w:r>
      <w:r w:rsidR="00C30076">
        <w:rPr>
          <w:lang w:val="fr-FR"/>
        </w:rPr>
        <w:t>considérée</w:t>
      </w:r>
      <w:r w:rsidR="00A03C71" w:rsidRPr="00EA2E2A">
        <w:rPr>
          <w:lang w:val="fr-FR"/>
        </w:rPr>
        <w:t xml:space="preserve"> (</w:t>
      </w:r>
      <w:hyperlink r:id="rId58" w:history="1">
        <w:r w:rsidR="00E766DA" w:rsidRPr="009E26DD">
          <w:rPr>
            <w:rStyle w:val="Hyperlink"/>
            <w:lang w:val="fr-FR"/>
          </w:rPr>
          <w:t>résolution 5.GA 6</w:t>
        </w:r>
      </w:hyperlink>
      <w:r w:rsidR="00A03C71" w:rsidRPr="009E26DD">
        <w:rPr>
          <w:lang w:val="fr-FR"/>
        </w:rPr>
        <w:t>).</w:t>
      </w:r>
      <w:r w:rsidR="00A03C71" w:rsidRPr="00EA2E2A">
        <w:rPr>
          <w:lang w:val="fr-FR"/>
        </w:rPr>
        <w:t xml:space="preserve"> </w:t>
      </w:r>
      <w:r w:rsidR="00BE08EE">
        <w:rPr>
          <w:lang w:val="fr-FR"/>
        </w:rPr>
        <w:t>De plus</w:t>
      </w:r>
      <w:r w:rsidR="00A03C71" w:rsidRPr="00EA2E2A">
        <w:rPr>
          <w:lang w:val="fr-FR"/>
        </w:rPr>
        <w:t xml:space="preserve">, </w:t>
      </w:r>
      <w:r w:rsidR="0093145B">
        <w:rPr>
          <w:lang w:val="fr-FR"/>
        </w:rPr>
        <w:t>lors de sa dixième session</w:t>
      </w:r>
      <w:r w:rsidR="00A078E5">
        <w:rPr>
          <w:lang w:val="fr-FR"/>
        </w:rPr>
        <w:t xml:space="preserve"> en 2015</w:t>
      </w:r>
      <w:r w:rsidR="0093145B">
        <w:rPr>
          <w:lang w:val="fr-FR"/>
        </w:rPr>
        <w:t xml:space="preserve">, le Comité a recommandé </w:t>
      </w:r>
      <w:r w:rsidR="00A078E5">
        <w:rPr>
          <w:lang w:val="fr-FR"/>
        </w:rPr>
        <w:t>à la présente session de l’</w:t>
      </w:r>
      <w:r w:rsidR="00A078E5" w:rsidRPr="00A078E5">
        <w:rPr>
          <w:lang w:val="fr-FR"/>
        </w:rPr>
        <w:t xml:space="preserve">Assemblée générale </w:t>
      </w:r>
      <w:r w:rsidR="00A078E5">
        <w:rPr>
          <w:lang w:val="fr-FR"/>
        </w:rPr>
        <w:t>d’</w:t>
      </w:r>
      <w:r w:rsidR="00A078E5" w:rsidRPr="00A078E5">
        <w:rPr>
          <w:lang w:val="fr-FR"/>
        </w:rPr>
        <w:t xml:space="preserve">accréditer </w:t>
      </w:r>
      <w:r w:rsidR="00A078E5">
        <w:rPr>
          <w:lang w:val="fr-FR"/>
        </w:rPr>
        <w:t xml:space="preserve">24 organisations non gouvernementales </w:t>
      </w:r>
      <w:r w:rsidR="00A078E5" w:rsidRPr="00A078E5">
        <w:rPr>
          <w:lang w:val="fr-FR"/>
        </w:rPr>
        <w:t>pour exercer des fonctions consultatives auprès du Comité </w:t>
      </w:r>
      <w:r w:rsidR="0093145B">
        <w:rPr>
          <w:lang w:val="fr-FR"/>
        </w:rPr>
        <w:t>(</w:t>
      </w:r>
      <w:hyperlink r:id="rId59" w:history="1">
        <w:r w:rsidR="0093145B" w:rsidRPr="007515B8">
          <w:rPr>
            <w:rStyle w:val="Hyperlink"/>
            <w:lang w:val="fr-FR"/>
          </w:rPr>
          <w:t>décision 10.COM 16</w:t>
        </w:r>
      </w:hyperlink>
      <w:r w:rsidR="0093145B" w:rsidRPr="007515B8">
        <w:rPr>
          <w:lang w:val="fr-FR"/>
        </w:rPr>
        <w:t>)</w:t>
      </w:r>
      <w:r w:rsidR="002936A6" w:rsidRPr="007515B8">
        <w:rPr>
          <w:lang w:val="fr-FR"/>
        </w:rPr>
        <w:t>.</w:t>
      </w:r>
    </w:p>
    <w:p w14:paraId="600CCBED" w14:textId="43D1DF76" w:rsidR="00A03C71" w:rsidRPr="00EA2E2A" w:rsidRDefault="00934A11" w:rsidP="00A03C71">
      <w:pPr>
        <w:pStyle w:val="COMPara"/>
        <w:numPr>
          <w:ilvl w:val="0"/>
          <w:numId w:val="9"/>
        </w:numPr>
        <w:ind w:left="567" w:hanging="567"/>
        <w:jc w:val="both"/>
        <w:rPr>
          <w:lang w:val="fr-FR"/>
        </w:rPr>
      </w:pPr>
      <w:r>
        <w:rPr>
          <w:shd w:val="clear" w:color="auto" w:fill="FFFFFF"/>
          <w:lang w:val="fr-FR"/>
        </w:rPr>
        <w:t xml:space="preserve">Le </w:t>
      </w:r>
      <w:r w:rsidRPr="00EA2E2A">
        <w:rPr>
          <w:lang w:val="fr-FR"/>
        </w:rPr>
        <w:t>paragraph</w:t>
      </w:r>
      <w:r>
        <w:rPr>
          <w:lang w:val="fr-FR"/>
        </w:rPr>
        <w:t>e </w:t>
      </w:r>
      <w:r w:rsidR="00A03C71" w:rsidRPr="00EA2E2A">
        <w:rPr>
          <w:lang w:val="fr-FR"/>
        </w:rPr>
        <w:t xml:space="preserve">94 </w:t>
      </w:r>
      <w:r>
        <w:rPr>
          <w:lang w:val="fr-FR"/>
        </w:rPr>
        <w:t xml:space="preserve">des </w:t>
      </w:r>
      <w:r w:rsidR="00700883" w:rsidRPr="00EA2E2A">
        <w:rPr>
          <w:lang w:val="fr-FR"/>
        </w:rPr>
        <w:t>Directives opérationnelles</w:t>
      </w:r>
      <w:r w:rsidR="00A03C71" w:rsidRPr="00EA2E2A">
        <w:rPr>
          <w:lang w:val="fr-FR"/>
        </w:rPr>
        <w:t xml:space="preserve"> </w:t>
      </w:r>
      <w:r>
        <w:rPr>
          <w:lang w:val="fr-FR"/>
        </w:rPr>
        <w:t xml:space="preserve">prévoit qu’au terme de quatre ans suivant l’accréditation d’une </w:t>
      </w:r>
      <w:r w:rsidR="00E041AF">
        <w:rPr>
          <w:lang w:val="fr-FR"/>
        </w:rPr>
        <w:t xml:space="preserve">organisation non gouvernementale </w:t>
      </w:r>
      <w:r>
        <w:rPr>
          <w:lang w:val="fr-FR"/>
        </w:rPr>
        <w:t>le Comité revoi</w:t>
      </w:r>
      <w:r w:rsidR="00EC6FF1">
        <w:rPr>
          <w:lang w:val="fr-FR"/>
        </w:rPr>
        <w:t>t</w:t>
      </w:r>
      <w:r>
        <w:rPr>
          <w:lang w:val="fr-FR"/>
        </w:rPr>
        <w:t xml:space="preserve"> la </w:t>
      </w:r>
      <w:r w:rsidR="00A03C71" w:rsidRPr="00EA2E2A">
        <w:rPr>
          <w:lang w:val="fr-FR"/>
        </w:rPr>
        <w:t xml:space="preserve">contribution </w:t>
      </w:r>
      <w:r>
        <w:rPr>
          <w:lang w:val="fr-FR"/>
        </w:rPr>
        <w:t xml:space="preserve">et l’implication de l’organisation consultative et ses </w:t>
      </w:r>
      <w:r w:rsidR="00A03C71" w:rsidRPr="00EA2E2A">
        <w:rPr>
          <w:lang w:val="fr-FR"/>
        </w:rPr>
        <w:t xml:space="preserve">relations </w:t>
      </w:r>
      <w:r>
        <w:rPr>
          <w:lang w:val="fr-FR"/>
        </w:rPr>
        <w:t>avec elle</w:t>
      </w:r>
      <w:r w:rsidR="00A03C71" w:rsidRPr="00EA2E2A">
        <w:rPr>
          <w:lang w:val="fr-FR"/>
        </w:rPr>
        <w:t xml:space="preserve">, </w:t>
      </w:r>
      <w:r>
        <w:rPr>
          <w:lang w:val="fr-FR"/>
        </w:rPr>
        <w:t>prenant en compte le point de vue de l’</w:t>
      </w:r>
      <w:r w:rsidR="00E47FE8">
        <w:rPr>
          <w:lang w:val="fr-FR"/>
        </w:rPr>
        <w:t>organisation non gouvernementale</w:t>
      </w:r>
      <w:r>
        <w:rPr>
          <w:lang w:val="fr-FR"/>
        </w:rPr>
        <w:t xml:space="preserve"> </w:t>
      </w:r>
      <w:r w:rsidR="00A03C71" w:rsidRPr="00EA2E2A">
        <w:rPr>
          <w:lang w:val="fr-FR"/>
        </w:rPr>
        <w:t>concern</w:t>
      </w:r>
      <w:r>
        <w:rPr>
          <w:lang w:val="fr-FR"/>
        </w:rPr>
        <w:t>ée</w:t>
      </w:r>
      <w:r w:rsidR="00A03C71" w:rsidRPr="00EA2E2A">
        <w:rPr>
          <w:lang w:val="fr-FR"/>
        </w:rPr>
        <w:t xml:space="preserve">. </w:t>
      </w:r>
      <w:r>
        <w:rPr>
          <w:lang w:val="fr-FR"/>
        </w:rPr>
        <w:t xml:space="preserve">Conformément aux </w:t>
      </w:r>
      <w:r w:rsidR="00700883" w:rsidRPr="00EA2E2A">
        <w:rPr>
          <w:lang w:val="fr-FR"/>
        </w:rPr>
        <w:t>Directives opérationnelles</w:t>
      </w:r>
      <w:r w:rsidR="00A03C71" w:rsidRPr="00EA2E2A">
        <w:rPr>
          <w:lang w:val="fr-FR"/>
        </w:rPr>
        <w:t xml:space="preserve">, </w:t>
      </w:r>
      <w:r>
        <w:rPr>
          <w:lang w:val="fr-FR"/>
        </w:rPr>
        <w:t xml:space="preserve">le processus de </w:t>
      </w:r>
      <w:r w:rsidR="00A03C71" w:rsidRPr="00EA2E2A">
        <w:rPr>
          <w:lang w:val="fr-FR"/>
        </w:rPr>
        <w:t>ren</w:t>
      </w:r>
      <w:r>
        <w:rPr>
          <w:lang w:val="fr-FR"/>
        </w:rPr>
        <w:t xml:space="preserve">ouvellement est en cours pour les </w:t>
      </w:r>
      <w:r w:rsidR="00A03C71" w:rsidRPr="00EA2E2A">
        <w:rPr>
          <w:lang w:val="fr-FR"/>
        </w:rPr>
        <w:t>97</w:t>
      </w:r>
      <w:r>
        <w:rPr>
          <w:lang w:val="fr-FR"/>
        </w:rPr>
        <w:t> </w:t>
      </w:r>
      <w:r w:rsidR="00E47FE8">
        <w:rPr>
          <w:lang w:val="fr-FR"/>
        </w:rPr>
        <w:t>organisations non gouvernementales</w:t>
      </w:r>
      <w:r>
        <w:rPr>
          <w:lang w:val="fr-FR"/>
        </w:rPr>
        <w:t xml:space="preserve"> </w:t>
      </w:r>
      <w:r w:rsidR="00A03C71" w:rsidRPr="00EA2E2A">
        <w:rPr>
          <w:lang w:val="fr-FR"/>
        </w:rPr>
        <w:t>accr</w:t>
      </w:r>
      <w:r>
        <w:rPr>
          <w:lang w:val="fr-FR"/>
        </w:rPr>
        <w:t>é</w:t>
      </w:r>
      <w:r w:rsidR="00A03C71" w:rsidRPr="00EA2E2A">
        <w:rPr>
          <w:lang w:val="fr-FR"/>
        </w:rPr>
        <w:t>dit</w:t>
      </w:r>
      <w:r>
        <w:rPr>
          <w:lang w:val="fr-FR"/>
        </w:rPr>
        <w:t xml:space="preserve">ées par </w:t>
      </w:r>
      <w:r w:rsidRPr="00934A11">
        <w:rPr>
          <w:lang w:val="fr-FR"/>
        </w:rPr>
        <w:t>l’Assemblée générale</w:t>
      </w:r>
      <w:r>
        <w:rPr>
          <w:lang w:val="fr-FR"/>
        </w:rPr>
        <w:t xml:space="preserve"> e</w:t>
      </w:r>
      <w:r w:rsidR="00A03C71" w:rsidRPr="00EA2E2A">
        <w:rPr>
          <w:lang w:val="fr-FR"/>
        </w:rPr>
        <w:t>n 2010 (</w:t>
      </w:r>
      <w:hyperlink r:id="rId60" w:history="1">
        <w:r w:rsidR="00E766DA" w:rsidRPr="008038C6">
          <w:rPr>
            <w:rStyle w:val="Hyperlink"/>
            <w:lang w:val="fr-FR"/>
          </w:rPr>
          <w:t>résolution 3.GA 7</w:t>
        </w:r>
      </w:hyperlink>
      <w:r w:rsidR="00A03C71" w:rsidRPr="00EA2E2A">
        <w:rPr>
          <w:lang w:val="fr-FR"/>
        </w:rPr>
        <w:t xml:space="preserve">). </w:t>
      </w:r>
      <w:r>
        <w:rPr>
          <w:lang w:val="fr-FR"/>
        </w:rPr>
        <w:t xml:space="preserve">Le </w:t>
      </w:r>
      <w:r w:rsidR="00C77767" w:rsidRPr="00EA2E2A">
        <w:rPr>
          <w:lang w:val="fr-FR"/>
        </w:rPr>
        <w:t>Secrétariat</w:t>
      </w:r>
      <w:r w:rsidR="00A03C71" w:rsidRPr="00EA2E2A">
        <w:rPr>
          <w:lang w:val="fr-FR"/>
        </w:rPr>
        <w:t xml:space="preserve"> </w:t>
      </w:r>
      <w:r>
        <w:rPr>
          <w:lang w:val="fr-FR"/>
        </w:rPr>
        <w:t xml:space="preserve">a </w:t>
      </w:r>
      <w:r w:rsidR="00A03C71" w:rsidRPr="00EA2E2A">
        <w:rPr>
          <w:lang w:val="fr-FR"/>
        </w:rPr>
        <w:t>rev</w:t>
      </w:r>
      <w:r>
        <w:rPr>
          <w:lang w:val="fr-FR"/>
        </w:rPr>
        <w:t xml:space="preserve">u </w:t>
      </w:r>
      <w:r w:rsidR="00A03C71" w:rsidRPr="00EA2E2A">
        <w:rPr>
          <w:lang w:val="fr-FR"/>
        </w:rPr>
        <w:t>69</w:t>
      </w:r>
      <w:r>
        <w:rPr>
          <w:lang w:val="fr-FR"/>
        </w:rPr>
        <w:t> </w:t>
      </w:r>
      <w:r w:rsidR="00700883" w:rsidRPr="00EA2E2A">
        <w:rPr>
          <w:lang w:val="fr-FR"/>
        </w:rPr>
        <w:t>rapports</w:t>
      </w:r>
      <w:r>
        <w:rPr>
          <w:lang w:val="fr-FR"/>
        </w:rPr>
        <w:t xml:space="preserve"> soumis par ces </w:t>
      </w:r>
      <w:r w:rsidR="00E47FE8">
        <w:rPr>
          <w:lang w:val="fr-FR"/>
        </w:rPr>
        <w:t>organisations non gouvernementales</w:t>
      </w:r>
      <w:r w:rsidR="005D3B5E">
        <w:rPr>
          <w:lang w:val="fr-FR"/>
        </w:rPr>
        <w:t xml:space="preserve">. En 2015, le Comité a décidé de mettre fin à l’accréditation de 38 organisations </w:t>
      </w:r>
      <w:r w:rsidR="005D3B5E" w:rsidRPr="005D3B5E">
        <w:rPr>
          <w:lang w:val="fr-FR"/>
        </w:rPr>
        <w:t>du fait que leur contribution et leur engagement auprès du travail du Comité ont été jugés insuffisantes, conformément aux paragraphes 94 et 95 des Directives opérationnelles, ou du fait qu’elles n’ont pas soumis de rapport quadriennal permettant au Comité de juger de leur contribution ou de leur engagement auprès de son travail</w:t>
      </w:r>
      <w:r w:rsidR="005D3B5E">
        <w:rPr>
          <w:lang w:val="fr-FR"/>
        </w:rPr>
        <w:t xml:space="preserve"> (</w:t>
      </w:r>
      <w:hyperlink r:id="rId61" w:history="1">
        <w:r w:rsidR="005D3B5E" w:rsidRPr="008038C6">
          <w:rPr>
            <w:rStyle w:val="Hyperlink"/>
            <w:lang w:val="fr-FR"/>
          </w:rPr>
          <w:t>décision 10.COM 16</w:t>
        </w:r>
      </w:hyperlink>
      <w:r w:rsidR="005D3B5E">
        <w:rPr>
          <w:lang w:val="fr-FR"/>
        </w:rPr>
        <w:t>).</w:t>
      </w:r>
    </w:p>
    <w:p w14:paraId="65F81E6F" w14:textId="6B5B85B5" w:rsidR="00A03C71" w:rsidRPr="00EA2E2A" w:rsidRDefault="00934A11" w:rsidP="00A03C71">
      <w:pPr>
        <w:pStyle w:val="COMPara"/>
        <w:numPr>
          <w:ilvl w:val="0"/>
          <w:numId w:val="9"/>
        </w:numPr>
        <w:ind w:left="567" w:hanging="567"/>
        <w:jc w:val="both"/>
        <w:rPr>
          <w:lang w:val="fr-FR"/>
        </w:rPr>
      </w:pPr>
      <w:r>
        <w:rPr>
          <w:lang w:val="fr-FR"/>
        </w:rPr>
        <w:t>Par ailleurs</w:t>
      </w:r>
      <w:r w:rsidR="00A03C71" w:rsidRPr="00EA2E2A">
        <w:rPr>
          <w:lang w:val="fr-FR"/>
        </w:rPr>
        <w:t>, consid</w:t>
      </w:r>
      <w:r>
        <w:rPr>
          <w:lang w:val="fr-FR"/>
        </w:rPr>
        <w:t>é</w:t>
      </w:r>
      <w:r w:rsidR="00A03C71" w:rsidRPr="00EA2E2A">
        <w:rPr>
          <w:lang w:val="fr-FR"/>
        </w:rPr>
        <w:t>r</w:t>
      </w:r>
      <w:r>
        <w:rPr>
          <w:lang w:val="fr-FR"/>
        </w:rPr>
        <w:t xml:space="preserve">ant que le réseau des Chaires </w:t>
      </w:r>
      <w:r w:rsidR="00A03C71" w:rsidRPr="00EA2E2A">
        <w:rPr>
          <w:lang w:val="fr-FR"/>
        </w:rPr>
        <w:t xml:space="preserve">UNESCO </w:t>
      </w:r>
      <w:r>
        <w:rPr>
          <w:lang w:val="fr-FR"/>
        </w:rPr>
        <w:t xml:space="preserve">peut </w:t>
      </w:r>
      <w:r w:rsidR="00E47FE8">
        <w:rPr>
          <w:lang w:val="fr-FR"/>
        </w:rPr>
        <w:t xml:space="preserve">servir </w:t>
      </w:r>
      <w:r>
        <w:rPr>
          <w:lang w:val="fr-FR"/>
        </w:rPr>
        <w:t>de</w:t>
      </w:r>
      <w:r w:rsidR="00E47FE8">
        <w:rPr>
          <w:lang w:val="fr-FR"/>
        </w:rPr>
        <w:t xml:space="preserve"> lien</w:t>
      </w:r>
      <w:r>
        <w:rPr>
          <w:lang w:val="fr-FR"/>
        </w:rPr>
        <w:t xml:space="preserve"> entre l’université</w:t>
      </w:r>
      <w:r w:rsidR="00A03C71" w:rsidRPr="00EA2E2A">
        <w:rPr>
          <w:lang w:val="fr-FR"/>
        </w:rPr>
        <w:t xml:space="preserve">, </w:t>
      </w:r>
      <w:r>
        <w:rPr>
          <w:lang w:val="fr-FR"/>
        </w:rPr>
        <w:t xml:space="preserve">la société </w:t>
      </w:r>
      <w:r w:rsidR="00A03C71" w:rsidRPr="00EA2E2A">
        <w:rPr>
          <w:lang w:val="fr-FR"/>
        </w:rPr>
        <w:t>civil</w:t>
      </w:r>
      <w:r>
        <w:rPr>
          <w:lang w:val="fr-FR"/>
        </w:rPr>
        <w:t>e</w:t>
      </w:r>
      <w:r w:rsidR="00A03C71" w:rsidRPr="00EA2E2A">
        <w:rPr>
          <w:lang w:val="fr-FR"/>
        </w:rPr>
        <w:t xml:space="preserve">, </w:t>
      </w:r>
      <w:r>
        <w:rPr>
          <w:lang w:val="fr-FR"/>
        </w:rPr>
        <w:t xml:space="preserve">les communautés </w:t>
      </w:r>
      <w:r w:rsidRPr="00EA2E2A">
        <w:rPr>
          <w:lang w:val="fr-FR"/>
        </w:rPr>
        <w:t>local</w:t>
      </w:r>
      <w:r>
        <w:rPr>
          <w:lang w:val="fr-FR"/>
        </w:rPr>
        <w:t>es</w:t>
      </w:r>
      <w:r w:rsidR="00A03C71" w:rsidRPr="00EA2E2A">
        <w:rPr>
          <w:lang w:val="fr-FR"/>
        </w:rPr>
        <w:t xml:space="preserve">, </w:t>
      </w:r>
      <w:r>
        <w:rPr>
          <w:lang w:val="fr-FR"/>
        </w:rPr>
        <w:t xml:space="preserve">la </w:t>
      </w:r>
      <w:r w:rsidR="00A03C71" w:rsidRPr="00EA2E2A">
        <w:rPr>
          <w:lang w:val="fr-FR"/>
        </w:rPr>
        <w:t>re</w:t>
      </w:r>
      <w:r>
        <w:rPr>
          <w:lang w:val="fr-FR"/>
        </w:rPr>
        <w:t>cherche et le législateur</w:t>
      </w:r>
      <w:r w:rsidR="00A03C71" w:rsidRPr="00EA2E2A">
        <w:rPr>
          <w:lang w:val="fr-FR"/>
        </w:rPr>
        <w:t xml:space="preserve">, </w:t>
      </w:r>
      <w:r>
        <w:rPr>
          <w:lang w:val="fr-FR"/>
        </w:rPr>
        <w:t xml:space="preserve">le </w:t>
      </w:r>
      <w:r w:rsidR="00C77767" w:rsidRPr="00EA2E2A">
        <w:rPr>
          <w:lang w:val="fr-FR"/>
        </w:rPr>
        <w:t>Secrétariat</w:t>
      </w:r>
      <w:r w:rsidR="00A03C71" w:rsidRPr="00EA2E2A">
        <w:rPr>
          <w:lang w:val="fr-FR"/>
        </w:rPr>
        <w:t xml:space="preserve"> </w:t>
      </w:r>
      <w:r w:rsidR="00E47FE8">
        <w:rPr>
          <w:lang w:val="fr-FR"/>
        </w:rPr>
        <w:t xml:space="preserve">passe en revue </w:t>
      </w:r>
      <w:r w:rsidR="004A06AE">
        <w:rPr>
          <w:lang w:val="fr-FR"/>
        </w:rPr>
        <w:t xml:space="preserve">toutes les demandes de création pour établir une Chaire </w:t>
      </w:r>
      <w:r w:rsidR="00A03C71" w:rsidRPr="00EA2E2A">
        <w:rPr>
          <w:lang w:val="fr-FR"/>
        </w:rPr>
        <w:t xml:space="preserve">UNESCO </w:t>
      </w:r>
      <w:r w:rsidR="004A06AE">
        <w:rPr>
          <w:lang w:val="fr-FR"/>
        </w:rPr>
        <w:t>relevant d’un domaine lié au patrimoine culturel immatériel</w:t>
      </w:r>
      <w:r w:rsidR="00EC6FF1">
        <w:rPr>
          <w:lang w:val="fr-FR"/>
        </w:rPr>
        <w:t xml:space="preserve">, </w:t>
      </w:r>
      <w:r w:rsidR="004A06AE">
        <w:rPr>
          <w:lang w:val="fr-FR"/>
        </w:rPr>
        <w:t xml:space="preserve">prenant en </w:t>
      </w:r>
      <w:r w:rsidR="004A06AE" w:rsidRPr="00EA2E2A">
        <w:rPr>
          <w:lang w:val="fr-FR"/>
        </w:rPr>
        <w:t>considération</w:t>
      </w:r>
      <w:r w:rsidR="00A03C71" w:rsidRPr="00EA2E2A">
        <w:rPr>
          <w:lang w:val="fr-FR"/>
        </w:rPr>
        <w:t xml:space="preserve"> </w:t>
      </w:r>
      <w:r w:rsidR="004A06AE">
        <w:rPr>
          <w:lang w:val="fr-FR"/>
        </w:rPr>
        <w:t xml:space="preserve">son </w:t>
      </w:r>
      <w:r w:rsidR="00A03C71" w:rsidRPr="00EA2E2A">
        <w:rPr>
          <w:lang w:val="fr-FR"/>
        </w:rPr>
        <w:t>potenti</w:t>
      </w:r>
      <w:r w:rsidR="004A06AE">
        <w:rPr>
          <w:lang w:val="fr-FR"/>
        </w:rPr>
        <w:t>e</w:t>
      </w:r>
      <w:r w:rsidR="00A03C71" w:rsidRPr="00EA2E2A">
        <w:rPr>
          <w:lang w:val="fr-FR"/>
        </w:rPr>
        <w:t xml:space="preserve">l </w:t>
      </w:r>
      <w:r w:rsidR="004A06AE">
        <w:rPr>
          <w:lang w:val="fr-FR"/>
        </w:rPr>
        <w:t xml:space="preserve">et ses </w:t>
      </w:r>
      <w:r w:rsidR="00A03C71" w:rsidRPr="00EA2E2A">
        <w:rPr>
          <w:lang w:val="fr-FR"/>
        </w:rPr>
        <w:t>capacit</w:t>
      </w:r>
      <w:r w:rsidR="004A06AE">
        <w:rPr>
          <w:lang w:val="fr-FR"/>
        </w:rPr>
        <w:t xml:space="preserve">és en matière de conseil </w:t>
      </w:r>
      <w:r w:rsidR="00E47FE8">
        <w:rPr>
          <w:lang w:val="fr-FR"/>
        </w:rPr>
        <w:t xml:space="preserve">en </w:t>
      </w:r>
      <w:r w:rsidR="004A06AE">
        <w:rPr>
          <w:lang w:val="fr-FR"/>
        </w:rPr>
        <w:t>politique</w:t>
      </w:r>
      <w:r w:rsidR="00E47FE8">
        <w:rPr>
          <w:lang w:val="fr-FR"/>
        </w:rPr>
        <w:t>s</w:t>
      </w:r>
      <w:r w:rsidR="00A03C71" w:rsidRPr="00EA2E2A">
        <w:rPr>
          <w:lang w:val="fr-FR"/>
        </w:rPr>
        <w:t xml:space="preserve">, </w:t>
      </w:r>
      <w:r w:rsidR="00E47FE8">
        <w:rPr>
          <w:lang w:val="fr-FR"/>
        </w:rPr>
        <w:t xml:space="preserve">d’introduction </w:t>
      </w:r>
      <w:r w:rsidR="004A06AE">
        <w:rPr>
          <w:lang w:val="fr-FR"/>
        </w:rPr>
        <w:t xml:space="preserve">de nouvelles </w:t>
      </w:r>
      <w:r w:rsidR="00A03C71" w:rsidRPr="00EA2E2A">
        <w:rPr>
          <w:lang w:val="fr-FR"/>
        </w:rPr>
        <w:t>initiatives</w:t>
      </w:r>
      <w:r w:rsidR="004A06AE">
        <w:rPr>
          <w:lang w:val="fr-FR"/>
        </w:rPr>
        <w:t xml:space="preserve"> d’enseignement</w:t>
      </w:r>
      <w:r w:rsidR="00A03C71" w:rsidRPr="00EA2E2A">
        <w:rPr>
          <w:lang w:val="fr-FR"/>
        </w:rPr>
        <w:t xml:space="preserve">, </w:t>
      </w:r>
      <w:r w:rsidR="00E47FE8">
        <w:rPr>
          <w:lang w:val="fr-FR"/>
        </w:rPr>
        <w:t>de génération d’</w:t>
      </w:r>
      <w:r w:rsidR="00E47FE8" w:rsidRPr="00EA2E2A">
        <w:rPr>
          <w:lang w:val="fr-FR"/>
        </w:rPr>
        <w:t xml:space="preserve">innovation </w:t>
      </w:r>
      <w:r w:rsidR="004A06AE">
        <w:rPr>
          <w:lang w:val="fr-FR"/>
        </w:rPr>
        <w:t xml:space="preserve">par la </w:t>
      </w:r>
      <w:r w:rsidR="00A03C71" w:rsidRPr="00EA2E2A">
        <w:rPr>
          <w:lang w:val="fr-FR"/>
        </w:rPr>
        <w:t>re</w:t>
      </w:r>
      <w:r w:rsidR="004A06AE">
        <w:rPr>
          <w:lang w:val="fr-FR"/>
        </w:rPr>
        <w:t xml:space="preserve">cherche et </w:t>
      </w:r>
      <w:r w:rsidR="00E47FE8">
        <w:rPr>
          <w:lang w:val="fr-FR"/>
        </w:rPr>
        <w:t xml:space="preserve">de </w:t>
      </w:r>
      <w:r w:rsidR="00E47FE8" w:rsidRPr="00EA2E2A">
        <w:rPr>
          <w:lang w:val="fr-FR"/>
        </w:rPr>
        <w:t>contribu</w:t>
      </w:r>
      <w:r w:rsidR="00E47FE8">
        <w:rPr>
          <w:lang w:val="fr-FR"/>
        </w:rPr>
        <w:t xml:space="preserve">tion </w:t>
      </w:r>
      <w:r w:rsidR="004A06AE">
        <w:rPr>
          <w:lang w:val="fr-FR"/>
        </w:rPr>
        <w:t>à l’</w:t>
      </w:r>
      <w:r w:rsidR="00A03C71" w:rsidRPr="00EA2E2A">
        <w:rPr>
          <w:lang w:val="fr-FR"/>
        </w:rPr>
        <w:t>enrich</w:t>
      </w:r>
      <w:r w:rsidR="004A06AE">
        <w:rPr>
          <w:lang w:val="fr-FR"/>
        </w:rPr>
        <w:t>isse</w:t>
      </w:r>
      <w:r w:rsidR="00A03C71" w:rsidRPr="00EA2E2A">
        <w:rPr>
          <w:lang w:val="fr-FR"/>
        </w:rPr>
        <w:t xml:space="preserve">ment </w:t>
      </w:r>
      <w:r w:rsidR="004A06AE">
        <w:rPr>
          <w:lang w:val="fr-FR"/>
        </w:rPr>
        <w:t xml:space="preserve">des </w:t>
      </w:r>
      <w:r w:rsidR="00A03C71" w:rsidRPr="00EA2E2A">
        <w:rPr>
          <w:lang w:val="fr-FR"/>
        </w:rPr>
        <w:t xml:space="preserve">programmes </w:t>
      </w:r>
      <w:r w:rsidR="004A06AE">
        <w:rPr>
          <w:lang w:val="fr-FR"/>
        </w:rPr>
        <w:t xml:space="preserve">universitaires existants tout en </w:t>
      </w:r>
      <w:r w:rsidR="00A03C71" w:rsidRPr="00EA2E2A">
        <w:rPr>
          <w:lang w:val="fr-FR"/>
        </w:rPr>
        <w:t>promo</w:t>
      </w:r>
      <w:r w:rsidR="004A06AE">
        <w:rPr>
          <w:lang w:val="fr-FR"/>
        </w:rPr>
        <w:t>uvant les princip</w:t>
      </w:r>
      <w:r w:rsidR="00A03C71" w:rsidRPr="00EA2E2A">
        <w:rPr>
          <w:lang w:val="fr-FR"/>
        </w:rPr>
        <w:t xml:space="preserve">es </w:t>
      </w:r>
      <w:r w:rsidR="004A06AE">
        <w:rPr>
          <w:lang w:val="fr-FR"/>
        </w:rPr>
        <w:t xml:space="preserve">de la </w:t>
      </w:r>
      <w:r w:rsidR="00A03C71" w:rsidRPr="00EA2E2A">
        <w:rPr>
          <w:lang w:val="fr-FR"/>
        </w:rPr>
        <w:t xml:space="preserve">Convention </w:t>
      </w:r>
      <w:r w:rsidR="004A06AE">
        <w:rPr>
          <w:lang w:val="fr-FR"/>
        </w:rPr>
        <w:t xml:space="preserve">aux niveaux </w:t>
      </w:r>
      <w:r w:rsidR="00A03C71" w:rsidRPr="00EA2E2A">
        <w:rPr>
          <w:lang w:val="fr-FR"/>
        </w:rPr>
        <w:t>r</w:t>
      </w:r>
      <w:r w:rsidR="004A06AE">
        <w:rPr>
          <w:lang w:val="fr-FR"/>
        </w:rPr>
        <w:t>é</w:t>
      </w:r>
      <w:r w:rsidR="00A03C71" w:rsidRPr="00EA2E2A">
        <w:rPr>
          <w:lang w:val="fr-FR"/>
        </w:rPr>
        <w:t xml:space="preserve">gional </w:t>
      </w:r>
      <w:r w:rsidR="004A06AE">
        <w:rPr>
          <w:lang w:val="fr-FR"/>
        </w:rPr>
        <w:t xml:space="preserve">ou </w:t>
      </w:r>
      <w:r w:rsidR="00A03C71" w:rsidRPr="00EA2E2A">
        <w:rPr>
          <w:lang w:val="fr-FR"/>
        </w:rPr>
        <w:t>s</w:t>
      </w:r>
      <w:r w:rsidR="004A06AE">
        <w:rPr>
          <w:lang w:val="fr-FR"/>
        </w:rPr>
        <w:t>ous</w:t>
      </w:r>
      <w:r w:rsidR="00A03C71" w:rsidRPr="00EA2E2A">
        <w:rPr>
          <w:lang w:val="fr-FR"/>
        </w:rPr>
        <w:t>-r</w:t>
      </w:r>
      <w:r w:rsidR="004A06AE">
        <w:rPr>
          <w:lang w:val="fr-FR"/>
        </w:rPr>
        <w:t>é</w:t>
      </w:r>
      <w:r w:rsidR="00A03C71" w:rsidRPr="00EA2E2A">
        <w:rPr>
          <w:lang w:val="fr-FR"/>
        </w:rPr>
        <w:t xml:space="preserve">gional </w:t>
      </w:r>
      <w:r w:rsidR="004A06AE">
        <w:rPr>
          <w:lang w:val="fr-FR"/>
        </w:rPr>
        <w:t xml:space="preserve">et </w:t>
      </w:r>
      <w:r w:rsidR="00E47FE8">
        <w:rPr>
          <w:lang w:val="fr-FR"/>
        </w:rPr>
        <w:t xml:space="preserve">en </w:t>
      </w:r>
      <w:r w:rsidR="004A06AE">
        <w:rPr>
          <w:lang w:val="fr-FR"/>
        </w:rPr>
        <w:t xml:space="preserve">renforçant la coopération </w:t>
      </w:r>
      <w:r w:rsidR="00A03C71" w:rsidRPr="00EA2E2A">
        <w:rPr>
          <w:lang w:val="fr-FR"/>
        </w:rPr>
        <w:t>Nor</w:t>
      </w:r>
      <w:r w:rsidR="004A06AE">
        <w:rPr>
          <w:lang w:val="fr-FR"/>
        </w:rPr>
        <w:t>d</w:t>
      </w:r>
      <w:r w:rsidR="00A03C71" w:rsidRPr="00EA2E2A">
        <w:rPr>
          <w:lang w:val="fr-FR"/>
        </w:rPr>
        <w:t>-S</w:t>
      </w:r>
      <w:r w:rsidR="004A06AE">
        <w:rPr>
          <w:lang w:val="fr-FR"/>
        </w:rPr>
        <w:t>ud</w:t>
      </w:r>
      <w:r w:rsidR="00A03C71" w:rsidRPr="00EA2E2A">
        <w:rPr>
          <w:lang w:val="fr-FR"/>
        </w:rPr>
        <w:t>-S</w:t>
      </w:r>
      <w:r w:rsidR="004A06AE">
        <w:rPr>
          <w:lang w:val="fr-FR"/>
        </w:rPr>
        <w:t>ud</w:t>
      </w:r>
      <w:r w:rsidR="00A03C71" w:rsidRPr="00EA2E2A">
        <w:rPr>
          <w:lang w:val="fr-FR"/>
        </w:rPr>
        <w:t xml:space="preserve">. </w:t>
      </w:r>
      <w:r w:rsidR="004A06AE">
        <w:rPr>
          <w:lang w:val="fr-FR"/>
        </w:rPr>
        <w:t xml:space="preserve">Le réseau des Chaires </w:t>
      </w:r>
      <w:r w:rsidR="00A03C71" w:rsidRPr="00EA2E2A">
        <w:rPr>
          <w:lang w:val="fr-FR"/>
        </w:rPr>
        <w:t>UNESCO compr</w:t>
      </w:r>
      <w:r w:rsidR="004A06AE">
        <w:rPr>
          <w:lang w:val="fr-FR"/>
        </w:rPr>
        <w:t xml:space="preserve">end </w:t>
      </w:r>
      <w:r w:rsidR="00A03C71" w:rsidRPr="00EA2E2A">
        <w:rPr>
          <w:lang w:val="fr-FR"/>
        </w:rPr>
        <w:t>11</w:t>
      </w:r>
      <w:r w:rsidR="004A06AE">
        <w:rPr>
          <w:lang w:val="fr-FR"/>
        </w:rPr>
        <w:t xml:space="preserve"> Chaires </w:t>
      </w:r>
      <w:r w:rsidR="00A03C71" w:rsidRPr="00EA2E2A">
        <w:rPr>
          <w:lang w:val="fr-FR"/>
        </w:rPr>
        <w:t>UNESCO</w:t>
      </w:r>
      <w:r w:rsidR="004A06AE">
        <w:rPr>
          <w:lang w:val="fr-FR"/>
        </w:rPr>
        <w:t xml:space="preserve"> qui mènent des </w:t>
      </w:r>
      <w:r w:rsidR="00A03C71" w:rsidRPr="00EA2E2A">
        <w:rPr>
          <w:lang w:val="fr-FR"/>
        </w:rPr>
        <w:t>activit</w:t>
      </w:r>
      <w:r w:rsidR="004A06AE">
        <w:rPr>
          <w:lang w:val="fr-FR"/>
        </w:rPr>
        <w:t>é</w:t>
      </w:r>
      <w:r w:rsidR="00A03C71" w:rsidRPr="00EA2E2A">
        <w:rPr>
          <w:lang w:val="fr-FR"/>
        </w:rPr>
        <w:t xml:space="preserve">s </w:t>
      </w:r>
      <w:r w:rsidR="004A06AE">
        <w:rPr>
          <w:lang w:val="fr-FR"/>
        </w:rPr>
        <w:t xml:space="preserve">liées à la sauvegarde du patrimoine culturel immatériel dans </w:t>
      </w:r>
      <w:r w:rsidR="00A03C71" w:rsidRPr="00EA2E2A">
        <w:rPr>
          <w:lang w:val="fr-FR"/>
        </w:rPr>
        <w:t>11</w:t>
      </w:r>
      <w:r w:rsidR="004A06AE">
        <w:rPr>
          <w:lang w:val="fr-FR"/>
        </w:rPr>
        <w:t xml:space="preserve"> pays </w:t>
      </w:r>
      <w:r w:rsidR="004A06AE" w:rsidRPr="00EA2E2A">
        <w:rPr>
          <w:lang w:val="fr-FR"/>
        </w:rPr>
        <w:t>différents</w:t>
      </w:r>
      <w:r w:rsidR="00A03C71" w:rsidRPr="00EA2E2A">
        <w:rPr>
          <w:lang w:val="fr-FR"/>
        </w:rPr>
        <w:t>.</w:t>
      </w:r>
    </w:p>
    <w:p w14:paraId="7AB47245" w14:textId="77777777" w:rsidR="00A03C71" w:rsidRPr="00EA2E2A" w:rsidRDefault="004A06AE" w:rsidP="00EE55A0">
      <w:pPr>
        <w:pStyle w:val="COMPara"/>
        <w:keepNext/>
        <w:keepLines/>
        <w:spacing w:before="360"/>
        <w:ind w:left="0" w:firstLine="0"/>
        <w:rPr>
          <w:b/>
          <w:lang w:val="fr-FR"/>
        </w:rPr>
      </w:pPr>
      <w:r>
        <w:rPr>
          <w:b/>
          <w:lang w:val="fr-FR"/>
        </w:rPr>
        <w:t xml:space="preserve">Indicateur de </w:t>
      </w:r>
      <w:r w:rsidRPr="00EA2E2A">
        <w:rPr>
          <w:b/>
          <w:lang w:val="fr-FR"/>
        </w:rPr>
        <w:t>performance</w:t>
      </w:r>
      <w:r>
        <w:rPr>
          <w:b/>
          <w:lang w:val="fr-FR"/>
        </w:rPr>
        <w:t> </w:t>
      </w:r>
      <w:r w:rsidR="00A03C71" w:rsidRPr="00EA2E2A">
        <w:rPr>
          <w:b/>
          <w:lang w:val="fr-FR"/>
        </w:rPr>
        <w:t>8</w:t>
      </w:r>
      <w:r>
        <w:rPr>
          <w:b/>
          <w:lang w:val="fr-FR"/>
        </w:rPr>
        <w:t> </w:t>
      </w:r>
      <w:r w:rsidR="00A03C71" w:rsidRPr="00EA2E2A">
        <w:rPr>
          <w:b/>
          <w:lang w:val="fr-FR"/>
        </w:rPr>
        <w:t xml:space="preserve">: </w:t>
      </w:r>
      <w:r w:rsidRPr="004A06AE">
        <w:rPr>
          <w:b/>
          <w:lang w:val="fr-FR"/>
        </w:rPr>
        <w:t>Nombre de parties prenantes impliquées dans la mise en œuvre de la Convention contribuant avec des informations au système de gestion des connaissances</w:t>
      </w:r>
    </w:p>
    <w:p w14:paraId="7790BB1F" w14:textId="77777777" w:rsidR="00A03C71" w:rsidRPr="00EA2E2A" w:rsidRDefault="004A06AE" w:rsidP="00B239C1">
      <w:pPr>
        <w:pStyle w:val="COMPara"/>
        <w:keepNext/>
        <w:numPr>
          <w:ilvl w:val="0"/>
          <w:numId w:val="19"/>
        </w:numPr>
        <w:ind w:left="1134" w:hanging="578"/>
        <w:rPr>
          <w:b/>
          <w:lang w:val="fr-FR"/>
        </w:rPr>
      </w:pPr>
      <w:r w:rsidRPr="004A06AE">
        <w:rPr>
          <w:b/>
          <w:lang w:val="fr-FR"/>
        </w:rPr>
        <w:t>Optimisation et utilisation des services de gestion des connaissances pour une mise en œuvre et un partage efficaces des informations</w:t>
      </w:r>
      <w:r w:rsidR="00A03C71" w:rsidRPr="00EA2E2A">
        <w:rPr>
          <w:rStyle w:val="FootnoteReference"/>
          <w:b/>
          <w:lang w:val="fr-FR"/>
        </w:rPr>
        <w:footnoteReference w:id="8"/>
      </w:r>
    </w:p>
    <w:p w14:paraId="0667906C" w14:textId="62391EFF" w:rsidR="00A03C71" w:rsidRPr="00EA2E2A" w:rsidRDefault="004A06AE" w:rsidP="00A03C71">
      <w:pPr>
        <w:pStyle w:val="COMPara"/>
        <w:numPr>
          <w:ilvl w:val="0"/>
          <w:numId w:val="9"/>
        </w:numPr>
        <w:ind w:left="567" w:hanging="567"/>
        <w:jc w:val="both"/>
        <w:rPr>
          <w:lang w:val="fr-FR"/>
        </w:rPr>
      </w:pPr>
      <w:r>
        <w:rPr>
          <w:lang w:val="fr-FR"/>
        </w:rPr>
        <w:t xml:space="preserve">La gestion des connaissances est devenue de plus en plus </w:t>
      </w:r>
      <w:r w:rsidR="00A03C71" w:rsidRPr="00EA2E2A">
        <w:rPr>
          <w:lang w:val="fr-FR"/>
        </w:rPr>
        <w:t xml:space="preserve">indispensable </w:t>
      </w:r>
      <w:r>
        <w:rPr>
          <w:lang w:val="fr-FR"/>
        </w:rPr>
        <w:t xml:space="preserve">alors que l’essor de la </w:t>
      </w:r>
      <w:r w:rsidR="00A03C71" w:rsidRPr="00EA2E2A">
        <w:rPr>
          <w:lang w:val="fr-FR"/>
        </w:rPr>
        <w:t>Convention</w:t>
      </w:r>
      <w:r>
        <w:rPr>
          <w:lang w:val="fr-FR"/>
        </w:rPr>
        <w:t xml:space="preserve"> se poursuit</w:t>
      </w:r>
      <w:r w:rsidR="00A03C71" w:rsidRPr="00EA2E2A">
        <w:rPr>
          <w:lang w:val="fr-FR"/>
        </w:rPr>
        <w:t xml:space="preserve">, </w:t>
      </w:r>
      <w:r>
        <w:rPr>
          <w:lang w:val="fr-FR"/>
        </w:rPr>
        <w:t xml:space="preserve">et la gestion de grandes </w:t>
      </w:r>
      <w:r w:rsidR="00A03C71" w:rsidRPr="00EA2E2A">
        <w:rPr>
          <w:lang w:val="fr-FR"/>
        </w:rPr>
        <w:t>quantit</w:t>
      </w:r>
      <w:r>
        <w:rPr>
          <w:lang w:val="fr-FR"/>
        </w:rPr>
        <w:t>és d’</w:t>
      </w:r>
      <w:r w:rsidR="00A03C71" w:rsidRPr="00EA2E2A">
        <w:rPr>
          <w:lang w:val="fr-FR"/>
        </w:rPr>
        <w:t xml:space="preserve">information </w:t>
      </w:r>
      <w:r w:rsidR="00E84D6E">
        <w:rPr>
          <w:lang w:val="fr-FR"/>
        </w:rPr>
        <w:t>liées aux travaux du Comité</w:t>
      </w:r>
      <w:r w:rsidR="007D6A11">
        <w:rPr>
          <w:lang w:val="fr-FR"/>
        </w:rPr>
        <w:t xml:space="preserve"> </w:t>
      </w:r>
      <w:r w:rsidR="00E84D6E">
        <w:rPr>
          <w:lang w:val="fr-FR"/>
        </w:rPr>
        <w:t xml:space="preserve">et de </w:t>
      </w:r>
      <w:r w:rsidR="00E84D6E" w:rsidRPr="00E84D6E">
        <w:rPr>
          <w:lang w:val="fr-FR"/>
        </w:rPr>
        <w:t>l’Assemblée générale</w:t>
      </w:r>
      <w:r w:rsidR="00E84D6E">
        <w:rPr>
          <w:lang w:val="fr-FR"/>
        </w:rPr>
        <w:t xml:space="preserve"> serait impossible </w:t>
      </w:r>
      <w:r w:rsidR="00E84D6E" w:rsidRPr="00EE55A0">
        <w:rPr>
          <w:lang w:val="fr-FR"/>
        </w:rPr>
        <w:t xml:space="preserve">sans </w:t>
      </w:r>
      <w:r w:rsidR="00E84D6E" w:rsidRPr="00E84D6E">
        <w:rPr>
          <w:lang w:val="fr-FR"/>
        </w:rPr>
        <w:t>le système de gestion des connaissances de la Section du patrimoine culturel immatériel, qui a été conçu à cette fin et repose entièrement sur le Fonds du patrimoine culturel immatériel</w:t>
      </w:r>
      <w:r w:rsidR="003B3CA6">
        <w:rPr>
          <w:lang w:val="fr-FR"/>
        </w:rPr>
        <w:t>. En s’appuyant sur la</w:t>
      </w:r>
      <w:r w:rsidR="00E84D6E">
        <w:rPr>
          <w:lang w:val="fr-FR"/>
        </w:rPr>
        <w:t xml:space="preserve"> </w:t>
      </w:r>
      <w:r w:rsidR="004C1598">
        <w:rPr>
          <w:lang w:val="fr-FR"/>
        </w:rPr>
        <w:t>résolution</w:t>
      </w:r>
      <w:r w:rsidR="00E766DA" w:rsidRPr="002222A7">
        <w:rPr>
          <w:lang w:val="fr-FR"/>
        </w:rPr>
        <w:t xml:space="preserve"> </w:t>
      </w:r>
      <w:hyperlink r:id="rId62" w:history="1">
        <w:r w:rsidR="00E766DA" w:rsidRPr="00147D32">
          <w:rPr>
            <w:rStyle w:val="Hyperlink"/>
            <w:lang w:val="fr-FR"/>
          </w:rPr>
          <w:t>5.GA/7</w:t>
        </w:r>
      </w:hyperlink>
      <w:r w:rsidR="00A03C71" w:rsidRPr="00EA2E2A">
        <w:rPr>
          <w:lang w:val="fr-FR"/>
        </w:rPr>
        <w:t xml:space="preserve"> </w:t>
      </w:r>
      <w:r w:rsidR="00E84D6E">
        <w:rPr>
          <w:lang w:val="fr-FR"/>
        </w:rPr>
        <w:t xml:space="preserve">et </w:t>
      </w:r>
      <w:r w:rsidR="004C1598">
        <w:rPr>
          <w:lang w:val="fr-FR"/>
        </w:rPr>
        <w:t xml:space="preserve">la décision </w:t>
      </w:r>
      <w:hyperlink r:id="rId63" w:history="1">
        <w:r w:rsidR="00147D32" w:rsidRPr="00147D32">
          <w:rPr>
            <w:rStyle w:val="Hyperlink"/>
            <w:lang w:val="fr-FR"/>
          </w:rPr>
          <w:t>9.COM 2.BUR/1</w:t>
        </w:r>
      </w:hyperlink>
      <w:r w:rsidR="00A03C71" w:rsidRPr="00EA2E2A">
        <w:rPr>
          <w:lang w:val="fr-FR"/>
        </w:rPr>
        <w:t xml:space="preserve"> </w:t>
      </w:r>
      <w:r w:rsidR="00E84D6E">
        <w:rPr>
          <w:lang w:val="fr-FR"/>
        </w:rPr>
        <w:t xml:space="preserve">sur l’utilisation des </w:t>
      </w:r>
      <w:r w:rsidR="00A03C71" w:rsidRPr="00EA2E2A">
        <w:rPr>
          <w:lang w:val="fr-FR"/>
        </w:rPr>
        <w:t>re</w:t>
      </w:r>
      <w:r w:rsidR="00E84D6E">
        <w:rPr>
          <w:lang w:val="fr-FR"/>
        </w:rPr>
        <w:t>s</w:t>
      </w:r>
      <w:r w:rsidR="00A03C71" w:rsidRPr="00EA2E2A">
        <w:rPr>
          <w:lang w:val="fr-FR"/>
        </w:rPr>
        <w:t xml:space="preserve">sources </w:t>
      </w:r>
      <w:r w:rsidR="00E84D6E">
        <w:rPr>
          <w:lang w:val="fr-FR"/>
        </w:rPr>
        <w:t>de ce fonds</w:t>
      </w:r>
      <w:r w:rsidR="00A03C71" w:rsidRPr="00EA2E2A">
        <w:rPr>
          <w:lang w:val="fr-FR"/>
        </w:rPr>
        <w:t xml:space="preserve">, </w:t>
      </w:r>
      <w:r w:rsidR="00134885">
        <w:rPr>
          <w:lang w:val="fr-FR"/>
        </w:rPr>
        <w:t xml:space="preserve">les travaux d’amélioration des fonctionnalités du système de gestion des connaissances de la Convention et de son utilité et </w:t>
      </w:r>
      <w:r w:rsidR="00A03C71" w:rsidRPr="00EA2E2A">
        <w:rPr>
          <w:lang w:val="fr-FR"/>
        </w:rPr>
        <w:t>accessibil</w:t>
      </w:r>
      <w:r w:rsidR="00134885">
        <w:rPr>
          <w:lang w:val="fr-FR"/>
        </w:rPr>
        <w:t xml:space="preserve">ité pour ses divers utilisateurs ont </w:t>
      </w:r>
      <w:r w:rsidR="00134885" w:rsidRPr="00EA2E2A">
        <w:rPr>
          <w:lang w:val="fr-FR"/>
        </w:rPr>
        <w:t>contin</w:t>
      </w:r>
      <w:r w:rsidR="00134885">
        <w:rPr>
          <w:lang w:val="fr-FR"/>
        </w:rPr>
        <w:t xml:space="preserve">ué </w:t>
      </w:r>
      <w:r w:rsidR="003B3CA6">
        <w:rPr>
          <w:lang w:val="fr-FR"/>
        </w:rPr>
        <w:t>depuis 2014</w:t>
      </w:r>
      <w:r w:rsidR="00A03C71" w:rsidRPr="00EA2E2A">
        <w:rPr>
          <w:lang w:val="fr-FR"/>
        </w:rPr>
        <w:t>.</w:t>
      </w:r>
    </w:p>
    <w:p w14:paraId="4E1C31F6" w14:textId="77777777" w:rsidR="00A03C71" w:rsidRPr="00EA2E2A" w:rsidRDefault="00134885" w:rsidP="00A03C71">
      <w:pPr>
        <w:pStyle w:val="COMPara"/>
        <w:numPr>
          <w:ilvl w:val="0"/>
          <w:numId w:val="9"/>
        </w:numPr>
        <w:ind w:left="567" w:hanging="567"/>
        <w:jc w:val="both"/>
        <w:rPr>
          <w:lang w:val="fr-FR"/>
        </w:rPr>
      </w:pPr>
      <w:r>
        <w:rPr>
          <w:lang w:val="fr-FR"/>
        </w:rPr>
        <w:t>En</w:t>
      </w:r>
      <w:r w:rsidR="00A03C71" w:rsidRPr="00EA2E2A">
        <w:rPr>
          <w:lang w:val="fr-FR"/>
        </w:rPr>
        <w:t xml:space="preserve"> 2014, </w:t>
      </w:r>
      <w:r>
        <w:rPr>
          <w:lang w:val="fr-FR"/>
        </w:rPr>
        <w:t xml:space="preserve">le </w:t>
      </w:r>
      <w:r w:rsidR="00C77767" w:rsidRPr="00EA2E2A">
        <w:rPr>
          <w:lang w:val="fr-FR"/>
        </w:rPr>
        <w:t>Secrétariat</w:t>
      </w:r>
      <w:r w:rsidR="00A03C71" w:rsidRPr="00EA2E2A">
        <w:rPr>
          <w:lang w:val="fr-FR"/>
        </w:rPr>
        <w:t xml:space="preserve"> </w:t>
      </w:r>
      <w:r>
        <w:rPr>
          <w:lang w:val="fr-FR"/>
        </w:rPr>
        <w:t xml:space="preserve">a publié des pages </w:t>
      </w:r>
      <w:r w:rsidR="00A03C71" w:rsidRPr="00EA2E2A">
        <w:rPr>
          <w:lang w:val="fr-FR"/>
        </w:rPr>
        <w:t xml:space="preserve">web </w:t>
      </w:r>
      <w:r>
        <w:rPr>
          <w:lang w:val="fr-FR"/>
        </w:rPr>
        <w:t xml:space="preserve">pour présenter tous les </w:t>
      </w:r>
      <w:r w:rsidR="00C40D88" w:rsidRPr="00EA2E2A">
        <w:rPr>
          <w:lang w:val="fr-FR"/>
        </w:rPr>
        <w:t>projets</w:t>
      </w:r>
      <w:r w:rsidR="00A03C71" w:rsidRPr="00EA2E2A">
        <w:rPr>
          <w:lang w:val="fr-FR"/>
        </w:rPr>
        <w:t xml:space="preserve"> </w:t>
      </w:r>
      <w:r>
        <w:rPr>
          <w:lang w:val="fr-FR"/>
        </w:rPr>
        <w:t xml:space="preserve">entrepris par la </w:t>
      </w:r>
      <w:r w:rsidR="00A03C71" w:rsidRPr="00EA2E2A">
        <w:rPr>
          <w:lang w:val="fr-FR"/>
        </w:rPr>
        <w:t>Convention</w:t>
      </w:r>
      <w:r>
        <w:rPr>
          <w:lang w:val="fr-FR"/>
        </w:rPr>
        <w:t>, qu’ils soient mis en œuvre par les États parties après approbation de demandes d’assistance financière par le Comité ou directement mis en œuvre par l’</w:t>
      </w:r>
      <w:r w:rsidR="00A03C71" w:rsidRPr="00EA2E2A">
        <w:rPr>
          <w:lang w:val="fr-FR"/>
        </w:rPr>
        <w:t xml:space="preserve">UNESCO </w:t>
      </w:r>
      <w:r>
        <w:rPr>
          <w:lang w:val="fr-FR"/>
        </w:rPr>
        <w:t xml:space="preserve">grâce à un </w:t>
      </w:r>
      <w:r w:rsidR="00A03C71" w:rsidRPr="00EA2E2A">
        <w:rPr>
          <w:lang w:val="fr-FR"/>
        </w:rPr>
        <w:t>financ</w:t>
      </w:r>
      <w:r>
        <w:rPr>
          <w:lang w:val="fr-FR"/>
        </w:rPr>
        <w:t xml:space="preserve">ement du programme ordinaire ou de fonds </w:t>
      </w:r>
      <w:r w:rsidR="00A03C71" w:rsidRPr="00EA2E2A">
        <w:rPr>
          <w:lang w:val="fr-FR"/>
        </w:rPr>
        <w:t>extrabudg</w:t>
      </w:r>
      <w:r>
        <w:rPr>
          <w:lang w:val="fr-FR"/>
        </w:rPr>
        <w:t>étaires</w:t>
      </w:r>
      <w:r w:rsidR="00A03C71" w:rsidRPr="00EA2E2A">
        <w:rPr>
          <w:lang w:val="fr-FR"/>
        </w:rPr>
        <w:t xml:space="preserve">. </w:t>
      </w:r>
      <w:r>
        <w:rPr>
          <w:lang w:val="fr-FR"/>
        </w:rPr>
        <w:t xml:space="preserve">L’outil d’enregistrement des réunions en ligne a également été amélioré pour informer </w:t>
      </w:r>
      <w:r w:rsidR="00A03C71" w:rsidRPr="00EA2E2A">
        <w:rPr>
          <w:lang w:val="fr-FR"/>
        </w:rPr>
        <w:t>automati</w:t>
      </w:r>
      <w:r>
        <w:rPr>
          <w:lang w:val="fr-FR"/>
        </w:rPr>
        <w:t xml:space="preserve">quement les délégations </w:t>
      </w:r>
      <w:r w:rsidRPr="00EA2E2A">
        <w:rPr>
          <w:lang w:val="fr-FR"/>
        </w:rPr>
        <w:t>permanent</w:t>
      </w:r>
      <w:r>
        <w:rPr>
          <w:lang w:val="fr-FR"/>
        </w:rPr>
        <w:t>es</w:t>
      </w:r>
      <w:r w:rsidRPr="00EA2E2A">
        <w:rPr>
          <w:lang w:val="fr-FR"/>
        </w:rPr>
        <w:t xml:space="preserve"> </w:t>
      </w:r>
      <w:r w:rsidR="00965D42">
        <w:rPr>
          <w:lang w:val="fr-FR"/>
        </w:rPr>
        <w:t>des enregistrements</w:t>
      </w:r>
      <w:r w:rsidR="00A03C71" w:rsidRPr="00EA2E2A">
        <w:rPr>
          <w:lang w:val="fr-FR"/>
        </w:rPr>
        <w:t>.</w:t>
      </w:r>
    </w:p>
    <w:p w14:paraId="2AB58315" w14:textId="2B34C6A9" w:rsidR="00A03C71" w:rsidRPr="00EA2E2A" w:rsidRDefault="00965D42" w:rsidP="00A03C71">
      <w:pPr>
        <w:pStyle w:val="COMPara"/>
        <w:numPr>
          <w:ilvl w:val="0"/>
          <w:numId w:val="9"/>
        </w:numPr>
        <w:ind w:left="567" w:hanging="567"/>
        <w:jc w:val="both"/>
        <w:rPr>
          <w:lang w:val="fr-FR"/>
        </w:rPr>
      </w:pPr>
      <w:r>
        <w:rPr>
          <w:lang w:val="fr-FR"/>
        </w:rPr>
        <w:t xml:space="preserve">Le </w:t>
      </w:r>
      <w:r w:rsidR="00C77767" w:rsidRPr="00EA2E2A">
        <w:rPr>
          <w:lang w:val="fr-FR"/>
        </w:rPr>
        <w:t>Secrétariat</w:t>
      </w:r>
      <w:r w:rsidR="00A03C71" w:rsidRPr="00EA2E2A">
        <w:rPr>
          <w:lang w:val="fr-FR"/>
        </w:rPr>
        <w:t xml:space="preserve"> </w:t>
      </w:r>
      <w:r w:rsidR="003B3CA6">
        <w:rPr>
          <w:lang w:val="fr-FR"/>
        </w:rPr>
        <w:t>a lancé en novembre 2015</w:t>
      </w:r>
      <w:r>
        <w:rPr>
          <w:lang w:val="fr-FR"/>
        </w:rPr>
        <w:t xml:space="preserve"> un site web entièrement rénové avec l’</w:t>
      </w:r>
      <w:r w:rsidR="00A03C71" w:rsidRPr="00EA2E2A">
        <w:rPr>
          <w:lang w:val="fr-FR"/>
        </w:rPr>
        <w:t>objecti</w:t>
      </w:r>
      <w:r>
        <w:rPr>
          <w:lang w:val="fr-FR"/>
        </w:rPr>
        <w:t>f d’améliorer l’expérience de navigation et de fournir des interfaces plus conviviales</w:t>
      </w:r>
      <w:r w:rsidR="00A03C71" w:rsidRPr="00EA2E2A">
        <w:rPr>
          <w:lang w:val="fr-FR"/>
        </w:rPr>
        <w:t xml:space="preserve">. </w:t>
      </w:r>
      <w:r>
        <w:rPr>
          <w:lang w:val="fr-FR"/>
        </w:rPr>
        <w:t xml:space="preserve">Ce site </w:t>
      </w:r>
      <w:r w:rsidRPr="00EA2E2A">
        <w:rPr>
          <w:lang w:val="fr-FR"/>
        </w:rPr>
        <w:t>web</w:t>
      </w:r>
      <w:r>
        <w:rPr>
          <w:lang w:val="fr-FR"/>
        </w:rPr>
        <w:t xml:space="preserve"> devrait permettre aux États parties</w:t>
      </w:r>
      <w:r w:rsidR="00A03C71" w:rsidRPr="00EA2E2A">
        <w:rPr>
          <w:lang w:val="fr-FR"/>
        </w:rPr>
        <w:t xml:space="preserve">, </w:t>
      </w:r>
      <w:r>
        <w:rPr>
          <w:lang w:val="fr-FR"/>
        </w:rPr>
        <w:t xml:space="preserve">aux </w:t>
      </w:r>
      <w:r w:rsidR="00A03C71" w:rsidRPr="00EA2E2A">
        <w:rPr>
          <w:lang w:val="fr-FR"/>
        </w:rPr>
        <w:t>memb</w:t>
      </w:r>
      <w:r>
        <w:rPr>
          <w:lang w:val="fr-FR"/>
        </w:rPr>
        <w:t>re</w:t>
      </w:r>
      <w:r w:rsidR="00A03C71" w:rsidRPr="00EA2E2A">
        <w:rPr>
          <w:lang w:val="fr-FR"/>
        </w:rPr>
        <w:t xml:space="preserve">s </w:t>
      </w:r>
      <w:r>
        <w:rPr>
          <w:lang w:val="fr-FR"/>
        </w:rPr>
        <w:t xml:space="preserve">du </w:t>
      </w:r>
      <w:r w:rsidR="00C77767" w:rsidRPr="00EA2E2A">
        <w:rPr>
          <w:lang w:val="fr-FR"/>
        </w:rPr>
        <w:t>Secrétariat</w:t>
      </w:r>
      <w:r w:rsidR="00A03C71" w:rsidRPr="00EA2E2A">
        <w:rPr>
          <w:lang w:val="fr-FR"/>
        </w:rPr>
        <w:t xml:space="preserve"> </w:t>
      </w:r>
      <w:r>
        <w:rPr>
          <w:lang w:val="fr-FR"/>
        </w:rPr>
        <w:t xml:space="preserve">et au </w:t>
      </w:r>
      <w:r w:rsidR="00A03C71" w:rsidRPr="00EA2E2A">
        <w:rPr>
          <w:lang w:val="fr-FR"/>
        </w:rPr>
        <w:t xml:space="preserve">public </w:t>
      </w:r>
      <w:r>
        <w:rPr>
          <w:lang w:val="fr-FR"/>
        </w:rPr>
        <w:t xml:space="preserve">de mieux suivre les </w:t>
      </w:r>
      <w:r w:rsidR="00A03C71" w:rsidRPr="00EA2E2A">
        <w:rPr>
          <w:lang w:val="fr-FR"/>
        </w:rPr>
        <w:t>process</w:t>
      </w:r>
      <w:r>
        <w:rPr>
          <w:lang w:val="fr-FR"/>
        </w:rPr>
        <w:t xml:space="preserve">us liés à la mise en œuvre de la </w:t>
      </w:r>
      <w:r w:rsidR="00A03C71" w:rsidRPr="00EA2E2A">
        <w:rPr>
          <w:lang w:val="fr-FR"/>
        </w:rPr>
        <w:t>Convention (</w:t>
      </w:r>
      <w:r>
        <w:rPr>
          <w:lang w:val="fr-FR"/>
        </w:rPr>
        <w:t>candidatures en cours</w:t>
      </w:r>
      <w:r w:rsidR="00A03C71" w:rsidRPr="00EA2E2A">
        <w:rPr>
          <w:lang w:val="fr-FR"/>
        </w:rPr>
        <w:t xml:space="preserve">, </w:t>
      </w:r>
      <w:r w:rsidR="007C5F99">
        <w:rPr>
          <w:lang w:val="fr-FR"/>
        </w:rPr>
        <w:t>demandes d’a</w:t>
      </w:r>
      <w:r w:rsidR="00AC0ECC" w:rsidRPr="00EA2E2A">
        <w:rPr>
          <w:lang w:val="fr-FR"/>
        </w:rPr>
        <w:t>ssistance internationale</w:t>
      </w:r>
      <w:r w:rsidR="007C5F99">
        <w:rPr>
          <w:lang w:val="fr-FR"/>
        </w:rPr>
        <w:t xml:space="preserve"> et statut de mise en œuvre</w:t>
      </w:r>
      <w:r w:rsidR="00A03C71" w:rsidRPr="00EA2E2A">
        <w:rPr>
          <w:lang w:val="fr-FR"/>
        </w:rPr>
        <w:t xml:space="preserve">, </w:t>
      </w:r>
      <w:r w:rsidR="00C40D88" w:rsidRPr="00EA2E2A">
        <w:rPr>
          <w:lang w:val="fr-FR"/>
        </w:rPr>
        <w:t>projets</w:t>
      </w:r>
      <w:r w:rsidR="007C5F99">
        <w:rPr>
          <w:lang w:val="fr-FR"/>
        </w:rPr>
        <w:t xml:space="preserve"> de renforcement des capacités</w:t>
      </w:r>
      <w:r w:rsidR="00A03C71" w:rsidRPr="00EA2E2A">
        <w:rPr>
          <w:lang w:val="fr-FR"/>
        </w:rPr>
        <w:t>, stat</w:t>
      </w:r>
      <w:r w:rsidR="007C5F99">
        <w:rPr>
          <w:lang w:val="fr-FR"/>
        </w:rPr>
        <w:t xml:space="preserve">ut des États parties </w:t>
      </w:r>
      <w:r w:rsidR="00A03C71" w:rsidRPr="00EA2E2A">
        <w:rPr>
          <w:lang w:val="fr-FR"/>
        </w:rPr>
        <w:t xml:space="preserve">vis-à-vis </w:t>
      </w:r>
      <w:r w:rsidR="007C5F99">
        <w:rPr>
          <w:lang w:val="fr-FR"/>
        </w:rPr>
        <w:t xml:space="preserve">des rapports périodiques et lien entre les </w:t>
      </w:r>
      <w:r w:rsidR="00462AE2" w:rsidRPr="00EA2E2A">
        <w:rPr>
          <w:lang w:val="fr-FR"/>
        </w:rPr>
        <w:t>éléments</w:t>
      </w:r>
      <w:r w:rsidR="00A03C71" w:rsidRPr="00EA2E2A">
        <w:rPr>
          <w:lang w:val="fr-FR"/>
        </w:rPr>
        <w:t xml:space="preserve"> </w:t>
      </w:r>
      <w:r w:rsidR="007C5F99">
        <w:rPr>
          <w:lang w:val="fr-FR"/>
        </w:rPr>
        <w:t xml:space="preserve">inscrits et les rapports périodiques </w:t>
      </w:r>
      <w:r w:rsidR="007D6A11">
        <w:rPr>
          <w:lang w:val="fr-FR"/>
        </w:rPr>
        <w:t>correspondants</w:t>
      </w:r>
      <w:r w:rsidR="00A03C71" w:rsidRPr="00EA2E2A">
        <w:rPr>
          <w:lang w:val="fr-FR"/>
        </w:rPr>
        <w:t xml:space="preserve">). </w:t>
      </w:r>
      <w:r w:rsidR="007C5F99">
        <w:rPr>
          <w:lang w:val="fr-FR"/>
        </w:rPr>
        <w:t xml:space="preserve">Ce site web </w:t>
      </w:r>
      <w:r w:rsidR="00A03C71" w:rsidRPr="00EA2E2A">
        <w:rPr>
          <w:lang w:val="fr-FR"/>
        </w:rPr>
        <w:t>r</w:t>
      </w:r>
      <w:r w:rsidR="003B3CA6">
        <w:rPr>
          <w:lang w:val="fr-FR"/>
        </w:rPr>
        <w:t>énové comprend</w:t>
      </w:r>
      <w:r w:rsidR="007C5F99">
        <w:rPr>
          <w:lang w:val="fr-FR"/>
        </w:rPr>
        <w:t xml:space="preserve"> également un moteur de recherche pour </w:t>
      </w:r>
      <w:r w:rsidR="00A03C71" w:rsidRPr="00EA2E2A">
        <w:rPr>
          <w:lang w:val="fr-FR"/>
        </w:rPr>
        <w:t>facilit</w:t>
      </w:r>
      <w:r w:rsidR="007C5F99">
        <w:rPr>
          <w:lang w:val="fr-FR"/>
        </w:rPr>
        <w:t xml:space="preserve">er les recherches sur des pages </w:t>
      </w:r>
      <w:r w:rsidR="00A03C71" w:rsidRPr="00EA2E2A">
        <w:rPr>
          <w:lang w:val="fr-FR"/>
        </w:rPr>
        <w:t xml:space="preserve">web, </w:t>
      </w:r>
      <w:r w:rsidR="007C5F99">
        <w:rPr>
          <w:lang w:val="fr-FR"/>
        </w:rPr>
        <w:t xml:space="preserve">des </w:t>
      </w:r>
      <w:r w:rsidR="00462AE2" w:rsidRPr="00EA2E2A">
        <w:rPr>
          <w:lang w:val="fr-FR"/>
        </w:rPr>
        <w:t>éléments</w:t>
      </w:r>
      <w:r w:rsidR="00A03C71" w:rsidRPr="00EA2E2A">
        <w:rPr>
          <w:lang w:val="fr-FR"/>
        </w:rPr>
        <w:t xml:space="preserve">, </w:t>
      </w:r>
      <w:r w:rsidR="007C5F99">
        <w:rPr>
          <w:lang w:val="fr-FR"/>
        </w:rPr>
        <w:t xml:space="preserve">des </w:t>
      </w:r>
      <w:r w:rsidR="00A03C71" w:rsidRPr="00EA2E2A">
        <w:rPr>
          <w:lang w:val="fr-FR"/>
        </w:rPr>
        <w:t>d</w:t>
      </w:r>
      <w:r w:rsidR="007C5F99">
        <w:rPr>
          <w:lang w:val="fr-FR"/>
        </w:rPr>
        <w:t>é</w:t>
      </w:r>
      <w:r w:rsidR="00A03C71" w:rsidRPr="00EA2E2A">
        <w:rPr>
          <w:lang w:val="fr-FR"/>
        </w:rPr>
        <w:t xml:space="preserve">cisions, </w:t>
      </w:r>
      <w:r w:rsidR="007C5F99">
        <w:rPr>
          <w:lang w:val="fr-FR"/>
        </w:rPr>
        <w:t xml:space="preserve">des </w:t>
      </w:r>
      <w:r w:rsidR="00C40D88" w:rsidRPr="00EA2E2A">
        <w:rPr>
          <w:lang w:val="fr-FR"/>
        </w:rPr>
        <w:t>projets</w:t>
      </w:r>
      <w:r w:rsidR="00A03C71" w:rsidRPr="00EA2E2A">
        <w:rPr>
          <w:lang w:val="fr-FR"/>
        </w:rPr>
        <w:t>, etc.</w:t>
      </w:r>
      <w:r w:rsidR="00073870">
        <w:rPr>
          <w:lang w:val="fr-FR"/>
        </w:rPr>
        <w:t xml:space="preserve"> </w:t>
      </w:r>
      <w:r w:rsidR="003B3CA6">
        <w:rPr>
          <w:lang w:val="fr-FR"/>
        </w:rPr>
        <w:t xml:space="preserve">Parallèlement, toutes les décisions du Comité et les résolutions de l’Assemblée générale sont indexées individuellement dans la base de données, ce qui améliorera considérablement leur accessibilité. </w:t>
      </w:r>
    </w:p>
    <w:p w14:paraId="107298DE" w14:textId="79C61390" w:rsidR="00A03C71" w:rsidRPr="00EA2E2A" w:rsidRDefault="00073870" w:rsidP="00A03C71">
      <w:pPr>
        <w:pStyle w:val="COMPara"/>
        <w:numPr>
          <w:ilvl w:val="0"/>
          <w:numId w:val="9"/>
        </w:numPr>
        <w:ind w:left="567" w:hanging="567"/>
        <w:jc w:val="both"/>
        <w:rPr>
          <w:lang w:val="fr-FR"/>
        </w:rPr>
      </w:pPr>
      <w:r>
        <w:rPr>
          <w:lang w:val="fr-FR"/>
        </w:rPr>
        <w:t>Par ailleurs</w:t>
      </w:r>
      <w:r w:rsidR="00A03C71" w:rsidRPr="00EA2E2A">
        <w:rPr>
          <w:lang w:val="fr-FR"/>
        </w:rPr>
        <w:t xml:space="preserve">, </w:t>
      </w:r>
      <w:r>
        <w:rPr>
          <w:lang w:val="fr-FR"/>
        </w:rPr>
        <w:t xml:space="preserve">des travaux importants sont en cours afin de fournir un accès facilité aux documents et décisions des réunions </w:t>
      </w:r>
      <w:r w:rsidR="00A03C71" w:rsidRPr="00EA2E2A">
        <w:rPr>
          <w:lang w:val="fr-FR"/>
        </w:rPr>
        <w:t>statut</w:t>
      </w:r>
      <w:r>
        <w:rPr>
          <w:lang w:val="fr-FR"/>
        </w:rPr>
        <w:t>aires</w:t>
      </w:r>
      <w:r w:rsidR="00A03C71" w:rsidRPr="00EA2E2A">
        <w:rPr>
          <w:lang w:val="fr-FR"/>
        </w:rPr>
        <w:t xml:space="preserve">. </w:t>
      </w:r>
      <w:r>
        <w:rPr>
          <w:lang w:val="fr-FR"/>
        </w:rPr>
        <w:t xml:space="preserve">Le </w:t>
      </w:r>
      <w:r w:rsidR="00C77767" w:rsidRPr="00EA2E2A">
        <w:rPr>
          <w:lang w:val="fr-FR"/>
        </w:rPr>
        <w:t>Secrétariat</w:t>
      </w:r>
      <w:r w:rsidR="00A03C71" w:rsidRPr="00EA2E2A">
        <w:rPr>
          <w:lang w:val="fr-FR"/>
        </w:rPr>
        <w:t xml:space="preserve"> </w:t>
      </w:r>
      <w:r w:rsidR="001555F1">
        <w:rPr>
          <w:lang w:val="fr-FR"/>
        </w:rPr>
        <w:t xml:space="preserve">procède au traitement de tous les documents des réunions </w:t>
      </w:r>
      <w:r w:rsidR="00A03C71" w:rsidRPr="00EA2E2A">
        <w:rPr>
          <w:lang w:val="fr-FR"/>
        </w:rPr>
        <w:t>statut</w:t>
      </w:r>
      <w:r w:rsidR="001555F1">
        <w:rPr>
          <w:lang w:val="fr-FR"/>
        </w:rPr>
        <w:t xml:space="preserve">aires passées afin d’assurer un recoupement systématique et de les inclure à </w:t>
      </w:r>
      <w:r w:rsidR="000F1E30">
        <w:rPr>
          <w:lang w:val="fr-FR"/>
        </w:rPr>
        <w:t>UNESDOC</w:t>
      </w:r>
      <w:r w:rsidR="007D6A11">
        <w:rPr>
          <w:lang w:val="fr-FR"/>
        </w:rPr>
        <w:t xml:space="preserve"> </w:t>
      </w:r>
      <w:r w:rsidR="00A03C71" w:rsidRPr="00EA2E2A">
        <w:rPr>
          <w:lang w:val="fr-FR"/>
        </w:rPr>
        <w:t>–</w:t>
      </w:r>
      <w:r w:rsidR="007D6A11">
        <w:rPr>
          <w:lang w:val="fr-FR"/>
        </w:rPr>
        <w:t xml:space="preserve"> </w:t>
      </w:r>
      <w:r w:rsidR="001555F1">
        <w:rPr>
          <w:lang w:val="fr-FR"/>
        </w:rPr>
        <w:t>la base de données documentaire de l’</w:t>
      </w:r>
      <w:r w:rsidR="00F85B7E">
        <w:rPr>
          <w:lang w:val="fr-FR"/>
        </w:rPr>
        <w:t>UNESCO</w:t>
      </w:r>
      <w:r w:rsidR="00A03C71" w:rsidRPr="00EA2E2A">
        <w:rPr>
          <w:lang w:val="fr-FR"/>
        </w:rPr>
        <w:t>.</w:t>
      </w:r>
    </w:p>
    <w:p w14:paraId="175F4721" w14:textId="0054D938" w:rsidR="00A03C71" w:rsidRPr="00EA2E2A" w:rsidRDefault="001555F1" w:rsidP="00A03C71">
      <w:pPr>
        <w:pStyle w:val="COMPara"/>
        <w:numPr>
          <w:ilvl w:val="0"/>
          <w:numId w:val="9"/>
        </w:numPr>
        <w:ind w:left="567" w:hanging="567"/>
        <w:jc w:val="both"/>
        <w:rPr>
          <w:lang w:val="fr-FR"/>
        </w:rPr>
      </w:pPr>
      <w:r>
        <w:rPr>
          <w:lang w:val="fr-FR"/>
        </w:rPr>
        <w:t xml:space="preserve">Outre le fait d’améliorer l’accès aux </w:t>
      </w:r>
      <w:r w:rsidR="00A03C71" w:rsidRPr="00EA2E2A">
        <w:rPr>
          <w:lang w:val="fr-FR"/>
        </w:rPr>
        <w:t>information</w:t>
      </w:r>
      <w:r>
        <w:rPr>
          <w:lang w:val="fr-FR"/>
        </w:rPr>
        <w:t xml:space="preserve">s </w:t>
      </w:r>
      <w:r w:rsidRPr="00EA2E2A">
        <w:rPr>
          <w:lang w:val="fr-FR"/>
        </w:rPr>
        <w:t>exist</w:t>
      </w:r>
      <w:r>
        <w:rPr>
          <w:lang w:val="fr-FR"/>
        </w:rPr>
        <w:t>antes</w:t>
      </w:r>
      <w:r w:rsidR="00A03C71" w:rsidRPr="00EA2E2A">
        <w:rPr>
          <w:lang w:val="fr-FR"/>
        </w:rPr>
        <w:t xml:space="preserve">, </w:t>
      </w:r>
      <w:r>
        <w:rPr>
          <w:lang w:val="fr-FR"/>
        </w:rPr>
        <w:t xml:space="preserve">le </w:t>
      </w:r>
      <w:r w:rsidR="00C77767" w:rsidRPr="00EA2E2A">
        <w:rPr>
          <w:lang w:val="fr-FR"/>
        </w:rPr>
        <w:t>Secrétariat</w:t>
      </w:r>
      <w:r w:rsidR="00A03C71" w:rsidRPr="00EA2E2A">
        <w:rPr>
          <w:lang w:val="fr-FR"/>
        </w:rPr>
        <w:t xml:space="preserve"> d</w:t>
      </w:r>
      <w:r>
        <w:rPr>
          <w:lang w:val="fr-FR"/>
        </w:rPr>
        <w:t xml:space="preserve">éveloppe de nouveaux outils </w:t>
      </w:r>
      <w:r w:rsidR="00F85B7E">
        <w:rPr>
          <w:lang w:val="fr-FR"/>
        </w:rPr>
        <w:t>devant permettre l’élaboration et la soumission en ligne de</w:t>
      </w:r>
      <w:r>
        <w:rPr>
          <w:lang w:val="fr-FR"/>
        </w:rPr>
        <w:t xml:space="preserve"> demandes d’a</w:t>
      </w:r>
      <w:r w:rsidR="00AC0ECC" w:rsidRPr="00EA2E2A">
        <w:rPr>
          <w:lang w:val="fr-FR"/>
        </w:rPr>
        <w:t>ssistance internationale</w:t>
      </w:r>
      <w:r w:rsidR="00A03C71" w:rsidRPr="00EA2E2A">
        <w:rPr>
          <w:lang w:val="fr-FR"/>
        </w:rPr>
        <w:t>.</w:t>
      </w:r>
      <w:r w:rsidR="00A65801">
        <w:rPr>
          <w:lang w:val="fr-FR"/>
        </w:rPr>
        <w:t xml:space="preserve"> Cette nouvelle fonction devrait considérablement accélérer la circulation et le traitement de ces demandes.</w:t>
      </w:r>
      <w:r w:rsidR="00A03C71" w:rsidRPr="00EA2E2A">
        <w:rPr>
          <w:lang w:val="fr-FR"/>
        </w:rPr>
        <w:t xml:space="preserve"> </w:t>
      </w:r>
      <w:r w:rsidR="00F25491">
        <w:rPr>
          <w:lang w:val="fr-FR"/>
        </w:rPr>
        <w:t>D’ici la fin de l’année</w:t>
      </w:r>
      <w:r w:rsidR="00A03C71" w:rsidRPr="00EA2E2A">
        <w:rPr>
          <w:lang w:val="fr-FR"/>
        </w:rPr>
        <w:t xml:space="preserve">, </w:t>
      </w:r>
      <w:r w:rsidR="00F25491">
        <w:rPr>
          <w:lang w:val="fr-FR"/>
        </w:rPr>
        <w:t xml:space="preserve">les </w:t>
      </w:r>
      <w:r w:rsidR="00A03C71" w:rsidRPr="00EA2E2A">
        <w:rPr>
          <w:lang w:val="fr-FR"/>
        </w:rPr>
        <w:t>expert</w:t>
      </w:r>
      <w:r w:rsidR="00F25491">
        <w:rPr>
          <w:lang w:val="fr-FR"/>
        </w:rPr>
        <w:t>s-</w:t>
      </w:r>
      <w:r w:rsidR="00A03C71" w:rsidRPr="00EA2E2A">
        <w:rPr>
          <w:lang w:val="fr-FR"/>
        </w:rPr>
        <w:t>facilitat</w:t>
      </w:r>
      <w:r w:rsidR="00F25491">
        <w:rPr>
          <w:lang w:val="fr-FR"/>
        </w:rPr>
        <w:t>eu</w:t>
      </w:r>
      <w:r w:rsidR="00A03C71" w:rsidRPr="00EA2E2A">
        <w:rPr>
          <w:lang w:val="fr-FR"/>
        </w:rPr>
        <w:t xml:space="preserve">rs </w:t>
      </w:r>
      <w:r w:rsidR="00F25491">
        <w:rPr>
          <w:lang w:val="fr-FR"/>
        </w:rPr>
        <w:t xml:space="preserve">seront également en mesure de remplir </w:t>
      </w:r>
      <w:r w:rsidR="000F1E30">
        <w:rPr>
          <w:lang w:val="fr-FR"/>
        </w:rPr>
        <w:t xml:space="preserve">en ligne </w:t>
      </w:r>
      <w:r w:rsidR="00F25491">
        <w:rPr>
          <w:lang w:val="fr-FR"/>
        </w:rPr>
        <w:t xml:space="preserve">leurs rapports sur les ateliers organisés et le </w:t>
      </w:r>
      <w:r w:rsidR="00C77767" w:rsidRPr="00EA2E2A">
        <w:rPr>
          <w:lang w:val="fr-FR"/>
        </w:rPr>
        <w:t>Secrétariat</w:t>
      </w:r>
      <w:r w:rsidR="00A03C71" w:rsidRPr="00EA2E2A">
        <w:rPr>
          <w:lang w:val="fr-FR"/>
        </w:rPr>
        <w:t xml:space="preserve"> </w:t>
      </w:r>
      <w:r w:rsidR="00F25491">
        <w:rPr>
          <w:lang w:val="fr-FR"/>
        </w:rPr>
        <w:t>bénéficiera d’un nouvel outil </w:t>
      </w:r>
      <w:r w:rsidR="00A03C71" w:rsidRPr="00EA2E2A">
        <w:rPr>
          <w:lang w:val="fr-FR"/>
        </w:rPr>
        <w:t xml:space="preserve">: </w:t>
      </w:r>
      <w:r w:rsidR="00F25491">
        <w:rPr>
          <w:lang w:val="fr-FR"/>
        </w:rPr>
        <w:t xml:space="preserve">un tableau de bord qui consolidera les </w:t>
      </w:r>
      <w:r w:rsidR="00A03C71" w:rsidRPr="00EA2E2A">
        <w:rPr>
          <w:lang w:val="fr-FR"/>
        </w:rPr>
        <w:t>information</w:t>
      </w:r>
      <w:r w:rsidR="00F25491">
        <w:rPr>
          <w:lang w:val="fr-FR"/>
        </w:rPr>
        <w:t>s</w:t>
      </w:r>
      <w:r w:rsidR="00A03C71" w:rsidRPr="00EA2E2A">
        <w:rPr>
          <w:lang w:val="fr-FR"/>
        </w:rPr>
        <w:t xml:space="preserve"> </w:t>
      </w:r>
      <w:r w:rsidR="00F25491">
        <w:rPr>
          <w:lang w:val="fr-FR"/>
        </w:rPr>
        <w:t xml:space="preserve">propres aux diverses tâches dont les membres du personnel de la </w:t>
      </w:r>
      <w:r w:rsidR="00A03C71" w:rsidRPr="00EA2E2A">
        <w:rPr>
          <w:lang w:val="fr-FR"/>
        </w:rPr>
        <w:t>Section</w:t>
      </w:r>
      <w:r w:rsidR="00F25491">
        <w:rPr>
          <w:lang w:val="fr-FR"/>
        </w:rPr>
        <w:t xml:space="preserve"> sont </w:t>
      </w:r>
      <w:r w:rsidR="00A03C71" w:rsidRPr="00EA2E2A">
        <w:rPr>
          <w:lang w:val="fr-FR"/>
        </w:rPr>
        <w:t>respons</w:t>
      </w:r>
      <w:r w:rsidR="00F25491">
        <w:rPr>
          <w:lang w:val="fr-FR"/>
        </w:rPr>
        <w:t>a</w:t>
      </w:r>
      <w:r w:rsidR="00A03C71" w:rsidRPr="00EA2E2A">
        <w:rPr>
          <w:lang w:val="fr-FR"/>
        </w:rPr>
        <w:t>ble</w:t>
      </w:r>
      <w:r w:rsidR="00F25491">
        <w:rPr>
          <w:lang w:val="fr-FR"/>
        </w:rPr>
        <w:t>s</w:t>
      </w:r>
      <w:r w:rsidR="00A03C71" w:rsidRPr="00EA2E2A">
        <w:rPr>
          <w:lang w:val="fr-FR"/>
        </w:rPr>
        <w:t xml:space="preserve">, </w:t>
      </w:r>
      <w:r w:rsidR="00F25491">
        <w:rPr>
          <w:lang w:val="fr-FR"/>
        </w:rPr>
        <w:t>ainsi que les dates limites et les mises à jour de statuts</w:t>
      </w:r>
      <w:r w:rsidR="00A03C71" w:rsidRPr="00EA2E2A">
        <w:rPr>
          <w:lang w:val="fr-FR"/>
        </w:rPr>
        <w:t>.</w:t>
      </w:r>
    </w:p>
    <w:p w14:paraId="3D388598" w14:textId="2ED6D7B7" w:rsidR="00A03C71" w:rsidRPr="00EA2E2A" w:rsidRDefault="00F25491" w:rsidP="00A03C71">
      <w:pPr>
        <w:pStyle w:val="COMPara"/>
        <w:numPr>
          <w:ilvl w:val="0"/>
          <w:numId w:val="9"/>
        </w:numPr>
        <w:ind w:left="567" w:hanging="567"/>
        <w:jc w:val="both"/>
        <w:rPr>
          <w:lang w:val="fr-FR"/>
        </w:rPr>
      </w:pPr>
      <w:r>
        <w:rPr>
          <w:lang w:val="fr-FR"/>
        </w:rPr>
        <w:t>Dans l’ensemble</w:t>
      </w:r>
      <w:r w:rsidR="00A03C71" w:rsidRPr="00EA2E2A">
        <w:rPr>
          <w:lang w:val="fr-FR"/>
        </w:rPr>
        <w:t xml:space="preserve">, </w:t>
      </w:r>
      <w:r>
        <w:rPr>
          <w:lang w:val="fr-FR"/>
        </w:rPr>
        <w:t xml:space="preserve">le </w:t>
      </w:r>
      <w:r w:rsidR="00A03C71" w:rsidRPr="00EA2E2A">
        <w:rPr>
          <w:lang w:val="fr-FR"/>
        </w:rPr>
        <w:t>n</w:t>
      </w:r>
      <w:r>
        <w:rPr>
          <w:lang w:val="fr-FR"/>
        </w:rPr>
        <w:t xml:space="preserve">ombre et le type de parties prenantes </w:t>
      </w:r>
      <w:r w:rsidR="00A03C71" w:rsidRPr="00EA2E2A">
        <w:rPr>
          <w:lang w:val="fr-FR"/>
        </w:rPr>
        <w:t>contribu</w:t>
      </w:r>
      <w:r>
        <w:rPr>
          <w:lang w:val="fr-FR"/>
        </w:rPr>
        <w:t xml:space="preserve">ant </w:t>
      </w:r>
      <w:r w:rsidR="000F1E30">
        <w:rPr>
          <w:lang w:val="fr-FR"/>
        </w:rPr>
        <w:t xml:space="preserve">au </w:t>
      </w:r>
      <w:r>
        <w:rPr>
          <w:lang w:val="fr-FR"/>
        </w:rPr>
        <w:t xml:space="preserve">et </w:t>
      </w:r>
      <w:r w:rsidR="00A03C71" w:rsidRPr="00EA2E2A">
        <w:rPr>
          <w:lang w:val="fr-FR"/>
        </w:rPr>
        <w:t>b</w:t>
      </w:r>
      <w:r>
        <w:rPr>
          <w:lang w:val="fr-FR"/>
        </w:rPr>
        <w:t>é</w:t>
      </w:r>
      <w:r w:rsidR="00A03C71" w:rsidRPr="00EA2E2A">
        <w:rPr>
          <w:lang w:val="fr-FR"/>
        </w:rPr>
        <w:t>n</w:t>
      </w:r>
      <w:r>
        <w:rPr>
          <w:lang w:val="fr-FR"/>
        </w:rPr>
        <w:t>é</w:t>
      </w:r>
      <w:r w:rsidR="00A03C71" w:rsidRPr="00EA2E2A">
        <w:rPr>
          <w:lang w:val="fr-FR"/>
        </w:rPr>
        <w:t>fi</w:t>
      </w:r>
      <w:r>
        <w:rPr>
          <w:lang w:val="fr-FR"/>
        </w:rPr>
        <w:t>ciant du système de gestion des connaissances augmente de manière importante</w:t>
      </w:r>
      <w:r w:rsidR="00A03C71" w:rsidRPr="00EA2E2A">
        <w:rPr>
          <w:lang w:val="fr-FR"/>
        </w:rPr>
        <w:t xml:space="preserve">, </w:t>
      </w:r>
      <w:r>
        <w:rPr>
          <w:lang w:val="fr-FR"/>
        </w:rPr>
        <w:t xml:space="preserve">qu’il s’agisse des participants aux réunions </w:t>
      </w:r>
      <w:r w:rsidR="00A03C71" w:rsidRPr="00EA2E2A">
        <w:rPr>
          <w:lang w:val="fr-FR"/>
        </w:rPr>
        <w:t>(</w:t>
      </w:r>
      <w:r>
        <w:rPr>
          <w:lang w:val="fr-FR"/>
        </w:rPr>
        <w:t xml:space="preserve">plus de </w:t>
      </w:r>
      <w:r w:rsidR="00A03C71" w:rsidRPr="00EA2E2A">
        <w:rPr>
          <w:lang w:val="fr-FR"/>
        </w:rPr>
        <w:t>1</w:t>
      </w:r>
      <w:r>
        <w:rPr>
          <w:lang w:val="fr-FR"/>
        </w:rPr>
        <w:t> </w:t>
      </w:r>
      <w:r w:rsidR="00DA70A2">
        <w:rPr>
          <w:lang w:val="fr-FR"/>
        </w:rPr>
        <w:t>4</w:t>
      </w:r>
      <w:r w:rsidR="00A03C71" w:rsidRPr="00EA2E2A">
        <w:rPr>
          <w:lang w:val="fr-FR"/>
        </w:rPr>
        <w:t>00</w:t>
      </w:r>
      <w:r>
        <w:rPr>
          <w:lang w:val="fr-FR"/>
        </w:rPr>
        <w:t xml:space="preserve"> </w:t>
      </w:r>
      <w:r w:rsidR="00207884">
        <w:rPr>
          <w:lang w:val="fr-FR"/>
        </w:rPr>
        <w:t>pendant la période considéré</w:t>
      </w:r>
      <w:r w:rsidR="00C30076">
        <w:rPr>
          <w:lang w:val="fr-FR"/>
        </w:rPr>
        <w:t>e</w:t>
      </w:r>
      <w:r>
        <w:rPr>
          <w:lang w:val="fr-FR"/>
        </w:rPr>
        <w:t>)</w:t>
      </w:r>
      <w:r w:rsidR="00E11BD4">
        <w:rPr>
          <w:lang w:val="fr-FR"/>
        </w:rPr>
        <w:t xml:space="preserve">, </w:t>
      </w:r>
      <w:r>
        <w:rPr>
          <w:lang w:val="fr-FR"/>
        </w:rPr>
        <w:t xml:space="preserve">des </w:t>
      </w:r>
      <w:r w:rsidR="00A03C71" w:rsidRPr="00EA2E2A">
        <w:rPr>
          <w:lang w:val="fr-FR"/>
        </w:rPr>
        <w:t>repr</w:t>
      </w:r>
      <w:r>
        <w:rPr>
          <w:lang w:val="fr-FR"/>
        </w:rPr>
        <w:t>ésentants des États membres qui demandent une a</w:t>
      </w:r>
      <w:r w:rsidR="00AC0ECC" w:rsidRPr="00EA2E2A">
        <w:rPr>
          <w:lang w:val="fr-FR"/>
        </w:rPr>
        <w:t xml:space="preserve">ssistance internationale </w:t>
      </w:r>
      <w:r w:rsidR="00A03C71" w:rsidRPr="00EA2E2A">
        <w:rPr>
          <w:lang w:val="fr-FR"/>
        </w:rPr>
        <w:t>(</w:t>
      </w:r>
      <w:r>
        <w:rPr>
          <w:lang w:val="fr-FR"/>
        </w:rPr>
        <w:t xml:space="preserve">environ </w:t>
      </w:r>
      <w:r w:rsidR="00A03C71" w:rsidRPr="00EA2E2A">
        <w:rPr>
          <w:lang w:val="fr-FR"/>
        </w:rPr>
        <w:t>20</w:t>
      </w:r>
      <w:r>
        <w:rPr>
          <w:lang w:val="fr-FR"/>
        </w:rPr>
        <w:t> </w:t>
      </w:r>
      <w:r w:rsidR="00A03C71" w:rsidRPr="00EA2E2A">
        <w:rPr>
          <w:lang w:val="fr-FR"/>
        </w:rPr>
        <w:t>s</w:t>
      </w:r>
      <w:r>
        <w:rPr>
          <w:lang w:val="fr-FR"/>
        </w:rPr>
        <w:t>ou</w:t>
      </w:r>
      <w:r w:rsidR="00A03C71" w:rsidRPr="00EA2E2A">
        <w:rPr>
          <w:lang w:val="fr-FR"/>
        </w:rPr>
        <w:t xml:space="preserve">missions </w:t>
      </w:r>
      <w:r>
        <w:rPr>
          <w:lang w:val="fr-FR"/>
        </w:rPr>
        <w:t>par an</w:t>
      </w:r>
      <w:r w:rsidR="00A03C71" w:rsidRPr="00EA2E2A">
        <w:rPr>
          <w:lang w:val="fr-FR"/>
        </w:rPr>
        <w:t>)</w:t>
      </w:r>
      <w:r w:rsidR="00E11BD4">
        <w:rPr>
          <w:lang w:val="fr-FR"/>
        </w:rPr>
        <w:t>, des formateurs en renforcement des capacités et des membres des organes d’évaluation</w:t>
      </w:r>
      <w:r w:rsidR="00A03C71" w:rsidRPr="00EA2E2A">
        <w:rPr>
          <w:lang w:val="fr-FR"/>
        </w:rPr>
        <w:t>.</w:t>
      </w:r>
    </w:p>
    <w:p w14:paraId="3C69F26F" w14:textId="7E1F2194" w:rsidR="00A03C71" w:rsidRPr="00EA2E2A" w:rsidRDefault="00312367" w:rsidP="00B239C1">
      <w:pPr>
        <w:pStyle w:val="COMPara"/>
        <w:keepNext/>
        <w:numPr>
          <w:ilvl w:val="0"/>
          <w:numId w:val="19"/>
        </w:numPr>
        <w:spacing w:before="240"/>
        <w:ind w:left="1134" w:hanging="578"/>
        <w:rPr>
          <w:b/>
          <w:lang w:val="fr-FR"/>
        </w:rPr>
      </w:pPr>
      <w:r w:rsidRPr="00312367">
        <w:rPr>
          <w:b/>
          <w:lang w:val="fr-FR"/>
        </w:rPr>
        <w:t>Amélioration de la visibilité du patrimoine culturel immatériel et sensibilisation à son importance à travers des publications et la diffusion d’informations</w:t>
      </w:r>
      <w:r w:rsidR="00A03C71" w:rsidRPr="00EA2E2A">
        <w:rPr>
          <w:rStyle w:val="FootnoteReference"/>
          <w:b/>
          <w:lang w:val="fr-FR"/>
        </w:rPr>
        <w:footnoteReference w:id="9"/>
      </w:r>
    </w:p>
    <w:p w14:paraId="47865A79" w14:textId="41B8F79A" w:rsidR="00A03C71" w:rsidRPr="00EA2E2A" w:rsidRDefault="00312367" w:rsidP="00A03C71">
      <w:pPr>
        <w:pStyle w:val="COMPara"/>
        <w:numPr>
          <w:ilvl w:val="0"/>
          <w:numId w:val="9"/>
        </w:numPr>
        <w:ind w:left="567" w:hanging="567"/>
        <w:jc w:val="both"/>
        <w:rPr>
          <w:lang w:val="fr-FR"/>
        </w:rPr>
      </w:pPr>
      <w:r w:rsidRPr="00312367">
        <w:rPr>
          <w:rStyle w:val="hps"/>
          <w:lang w:val="fr-FR"/>
        </w:rPr>
        <w:t xml:space="preserve">La préparation éditoriale de </w:t>
      </w:r>
      <w:hyperlink r:id="rId64" w:history="1">
        <w:r>
          <w:rPr>
            <w:rStyle w:val="Hyperlink"/>
            <w:lang w:val="fr-FR"/>
          </w:rPr>
          <w:t>l’édition 2</w:t>
        </w:r>
        <w:r w:rsidRPr="00EA2E2A">
          <w:rPr>
            <w:rStyle w:val="Hyperlink"/>
            <w:lang w:val="fr-FR"/>
          </w:rPr>
          <w:t xml:space="preserve">014 </w:t>
        </w:r>
        <w:r>
          <w:rPr>
            <w:rStyle w:val="Hyperlink"/>
            <w:lang w:val="fr-FR"/>
          </w:rPr>
          <w:t xml:space="preserve">des Textes fondamentaux de la </w:t>
        </w:r>
        <w:r w:rsidRPr="00EA2E2A">
          <w:rPr>
            <w:rStyle w:val="Hyperlink"/>
            <w:lang w:val="fr-FR"/>
          </w:rPr>
          <w:t>Convention</w:t>
        </w:r>
      </w:hyperlink>
      <w:r w:rsidR="00C7590A">
        <w:rPr>
          <w:rStyle w:val="hps"/>
          <w:lang w:val="fr-FR"/>
        </w:rPr>
        <w:t xml:space="preserve"> </w:t>
      </w:r>
      <w:r w:rsidRPr="00312367">
        <w:rPr>
          <w:rStyle w:val="hps"/>
          <w:lang w:val="fr-FR"/>
        </w:rPr>
        <w:t>–</w:t>
      </w:r>
      <w:r w:rsidR="00C7590A">
        <w:rPr>
          <w:rStyle w:val="hps"/>
          <w:lang w:val="fr-FR"/>
        </w:rPr>
        <w:t xml:space="preserve"> </w:t>
      </w:r>
      <w:r w:rsidRPr="00312367">
        <w:rPr>
          <w:rStyle w:val="hps"/>
          <w:lang w:val="fr-FR"/>
        </w:rPr>
        <w:t>intégrant les modifications faites aux Directives opérationnelles adoptées lors de la cinquième session de l’Assemblée générale et les modifications faites au Règlement intérieur du Comité adoptées lors de sa huitième session</w:t>
      </w:r>
      <w:r w:rsidR="00C7590A">
        <w:rPr>
          <w:rStyle w:val="hps"/>
          <w:lang w:val="fr-FR"/>
        </w:rPr>
        <w:t xml:space="preserve"> </w:t>
      </w:r>
      <w:r w:rsidRPr="00312367">
        <w:rPr>
          <w:rStyle w:val="hps"/>
          <w:lang w:val="fr-FR"/>
        </w:rPr>
        <w:t>–</w:t>
      </w:r>
      <w:r w:rsidR="00C7590A">
        <w:rPr>
          <w:rStyle w:val="hps"/>
          <w:lang w:val="fr-FR"/>
        </w:rPr>
        <w:t xml:space="preserve"> </w:t>
      </w:r>
      <w:r>
        <w:rPr>
          <w:rStyle w:val="hps"/>
          <w:lang w:val="fr-FR"/>
        </w:rPr>
        <w:t xml:space="preserve">a été finalisée dans </w:t>
      </w:r>
      <w:r w:rsidR="000F1E30">
        <w:rPr>
          <w:rStyle w:val="hps"/>
          <w:lang w:val="fr-FR"/>
        </w:rPr>
        <w:t xml:space="preserve">les </w:t>
      </w:r>
      <w:r>
        <w:rPr>
          <w:rStyle w:val="hps"/>
          <w:lang w:val="fr-FR"/>
        </w:rPr>
        <w:t xml:space="preserve">six langues de travail de </w:t>
      </w:r>
      <w:r w:rsidRPr="00312367">
        <w:rPr>
          <w:rStyle w:val="hps"/>
          <w:lang w:val="fr-FR"/>
        </w:rPr>
        <w:t>l’Assemblée générale</w:t>
      </w:r>
      <w:r>
        <w:rPr>
          <w:rStyle w:val="hps"/>
          <w:lang w:val="fr-FR"/>
        </w:rPr>
        <w:t xml:space="preserve">. Une version </w:t>
      </w:r>
      <w:r>
        <w:rPr>
          <w:lang w:val="fr-FR"/>
        </w:rPr>
        <w:t xml:space="preserve">électronique de ces </w:t>
      </w:r>
      <w:r w:rsidR="00A03C71" w:rsidRPr="00EA2E2A">
        <w:rPr>
          <w:lang w:val="fr-FR"/>
        </w:rPr>
        <w:t xml:space="preserve">publications </w:t>
      </w:r>
      <w:r>
        <w:rPr>
          <w:lang w:val="fr-FR"/>
        </w:rPr>
        <w:t>est disponible en ligne</w:t>
      </w:r>
      <w:r w:rsidR="00C7590A">
        <w:rPr>
          <w:lang w:val="fr-FR"/>
        </w:rPr>
        <w:t>. De plus, le kit d’information sur la Convention a été réimprimé avec deux brochures thématiques additionnelles sur le genre et le développement durable.</w:t>
      </w:r>
    </w:p>
    <w:p w14:paraId="0849BF1C" w14:textId="62C0E87B" w:rsidR="00A03C71" w:rsidRPr="00EA2E2A" w:rsidRDefault="00DD1FD4" w:rsidP="00A03C71">
      <w:pPr>
        <w:pStyle w:val="COMPara"/>
        <w:numPr>
          <w:ilvl w:val="0"/>
          <w:numId w:val="9"/>
        </w:numPr>
        <w:ind w:left="567" w:hanging="567"/>
        <w:jc w:val="both"/>
        <w:rPr>
          <w:lang w:val="fr-FR"/>
        </w:rPr>
      </w:pPr>
      <w:r>
        <w:rPr>
          <w:shd w:val="clear" w:color="auto" w:fill="FFFFFF"/>
          <w:lang w:val="fr-FR"/>
        </w:rPr>
        <w:t xml:space="preserve">Le site </w:t>
      </w:r>
      <w:r w:rsidR="00A03C71" w:rsidRPr="00EA2E2A">
        <w:rPr>
          <w:lang w:val="fr-FR"/>
        </w:rPr>
        <w:t>web</w:t>
      </w:r>
      <w:r>
        <w:rPr>
          <w:lang w:val="fr-FR"/>
        </w:rPr>
        <w:t xml:space="preserve"> de la </w:t>
      </w:r>
      <w:r w:rsidR="00A03C71" w:rsidRPr="00EA2E2A">
        <w:rPr>
          <w:lang w:val="fr-FR"/>
        </w:rPr>
        <w:t xml:space="preserve">Section </w:t>
      </w:r>
      <w:r>
        <w:rPr>
          <w:lang w:val="fr-FR"/>
        </w:rPr>
        <w:t>fournit des informations mises à jour régulièrement avec des contenus web supplémentaires multilingues</w:t>
      </w:r>
      <w:r w:rsidR="00A03C71" w:rsidRPr="00EA2E2A">
        <w:rPr>
          <w:lang w:val="fr-FR"/>
        </w:rPr>
        <w:t xml:space="preserve">. </w:t>
      </w:r>
      <w:r>
        <w:rPr>
          <w:lang w:val="fr-FR"/>
        </w:rPr>
        <w:t>Par exemple</w:t>
      </w:r>
      <w:r w:rsidR="00A03C71" w:rsidRPr="00EA2E2A">
        <w:rPr>
          <w:lang w:val="fr-FR"/>
        </w:rPr>
        <w:t xml:space="preserve">, </w:t>
      </w:r>
      <w:r w:rsidR="009175F1">
        <w:rPr>
          <w:lang w:val="fr-FR"/>
        </w:rPr>
        <w:t>79</w:t>
      </w:r>
      <w:r>
        <w:rPr>
          <w:lang w:val="fr-FR"/>
        </w:rPr>
        <w:t xml:space="preserve"> nouvelles rubriques ont été publiées pendant la </w:t>
      </w:r>
      <w:r w:rsidR="000C694D" w:rsidRPr="00EA2E2A">
        <w:rPr>
          <w:lang w:val="fr-FR"/>
        </w:rPr>
        <w:t xml:space="preserve">période </w:t>
      </w:r>
      <w:r w:rsidR="00C30076">
        <w:rPr>
          <w:lang w:val="fr-FR"/>
        </w:rPr>
        <w:t>considérée</w:t>
      </w:r>
      <w:r w:rsidR="00A03C71" w:rsidRPr="00EA2E2A">
        <w:rPr>
          <w:lang w:val="fr-FR"/>
        </w:rPr>
        <w:t xml:space="preserve"> (</w:t>
      </w:r>
      <w:r w:rsidR="00DE542F">
        <w:rPr>
          <w:lang w:val="fr-FR"/>
        </w:rPr>
        <w:t xml:space="preserve">17 au second semestre de 2014, 49 en 2015 et </w:t>
      </w:r>
      <w:r w:rsidR="009175F1">
        <w:rPr>
          <w:lang w:val="fr-FR"/>
        </w:rPr>
        <w:t>13</w:t>
      </w:r>
      <w:r w:rsidR="00DE542F">
        <w:rPr>
          <w:lang w:val="fr-FR"/>
        </w:rPr>
        <w:t xml:space="preserve"> en 2016</w:t>
      </w:r>
      <w:r w:rsidR="00A03C71" w:rsidRPr="00EA2E2A">
        <w:rPr>
          <w:lang w:val="fr-FR"/>
        </w:rPr>
        <w:t xml:space="preserve"> </w:t>
      </w:r>
      <w:r>
        <w:rPr>
          <w:lang w:val="fr-FR"/>
        </w:rPr>
        <w:t>au moment de la rédaction de ce rapport</w:t>
      </w:r>
      <w:r w:rsidR="00A03C71" w:rsidRPr="00EA2E2A">
        <w:rPr>
          <w:lang w:val="fr-FR"/>
        </w:rPr>
        <w:t xml:space="preserve">). </w:t>
      </w:r>
      <w:r>
        <w:rPr>
          <w:lang w:val="fr-FR"/>
        </w:rPr>
        <w:t xml:space="preserve">Des </w:t>
      </w:r>
      <w:r w:rsidRPr="00EA2E2A">
        <w:rPr>
          <w:lang w:val="fr-FR"/>
        </w:rPr>
        <w:t>vid</w:t>
      </w:r>
      <w:r>
        <w:rPr>
          <w:lang w:val="fr-FR"/>
        </w:rPr>
        <w:t>é</w:t>
      </w:r>
      <w:r w:rsidRPr="00EA2E2A">
        <w:rPr>
          <w:lang w:val="fr-FR"/>
        </w:rPr>
        <w:t xml:space="preserve">os </w:t>
      </w:r>
      <w:r>
        <w:rPr>
          <w:lang w:val="fr-FR"/>
        </w:rPr>
        <w:t>d’</w:t>
      </w:r>
      <w:r w:rsidR="00462AE2" w:rsidRPr="00EA2E2A">
        <w:rPr>
          <w:lang w:val="fr-FR"/>
        </w:rPr>
        <w:t>éléments</w:t>
      </w:r>
      <w:r w:rsidR="00A03C71" w:rsidRPr="00EA2E2A">
        <w:rPr>
          <w:lang w:val="fr-FR"/>
        </w:rPr>
        <w:t xml:space="preserve"> </w:t>
      </w:r>
      <w:r>
        <w:rPr>
          <w:lang w:val="fr-FR"/>
        </w:rPr>
        <w:t xml:space="preserve">inscrits sur la Liste de sauvegarde urgente et la Liste </w:t>
      </w:r>
      <w:r w:rsidRPr="00EA2E2A">
        <w:rPr>
          <w:lang w:val="fr-FR"/>
        </w:rPr>
        <w:t xml:space="preserve">représentative </w:t>
      </w:r>
      <w:r>
        <w:rPr>
          <w:lang w:val="fr-FR"/>
        </w:rPr>
        <w:t xml:space="preserve">sont mises en ligne par le </w:t>
      </w:r>
      <w:r w:rsidR="00C77767" w:rsidRPr="00EA2E2A">
        <w:rPr>
          <w:lang w:val="fr-FR"/>
        </w:rPr>
        <w:t>Secrétariat</w:t>
      </w:r>
      <w:r w:rsidR="00A03C71" w:rsidRPr="00EA2E2A">
        <w:rPr>
          <w:lang w:val="fr-FR"/>
        </w:rPr>
        <w:t xml:space="preserve"> </w:t>
      </w:r>
      <w:r>
        <w:rPr>
          <w:lang w:val="fr-FR"/>
        </w:rPr>
        <w:t xml:space="preserve">grâce à un arrangement </w:t>
      </w:r>
      <w:r w:rsidR="00A03C71" w:rsidRPr="00EA2E2A">
        <w:rPr>
          <w:lang w:val="fr-FR"/>
        </w:rPr>
        <w:t>coop</w:t>
      </w:r>
      <w:r>
        <w:rPr>
          <w:lang w:val="fr-FR"/>
        </w:rPr>
        <w:t>é</w:t>
      </w:r>
      <w:r w:rsidR="00A03C71" w:rsidRPr="00EA2E2A">
        <w:rPr>
          <w:lang w:val="fr-FR"/>
        </w:rPr>
        <w:t>rati</w:t>
      </w:r>
      <w:r>
        <w:rPr>
          <w:lang w:val="fr-FR"/>
        </w:rPr>
        <w:t xml:space="preserve">f avec </w:t>
      </w:r>
      <w:hyperlink r:id="rId65" w:history="1">
        <w:r w:rsidR="00A03C71" w:rsidRPr="00EA2E2A">
          <w:rPr>
            <w:rStyle w:val="Hyperlink"/>
            <w:lang w:val="fr-FR"/>
          </w:rPr>
          <w:t>YouTube</w:t>
        </w:r>
      </w:hyperlink>
      <w:r w:rsidR="00A03C71" w:rsidRPr="00EA2E2A">
        <w:rPr>
          <w:lang w:val="fr-FR"/>
        </w:rPr>
        <w:t xml:space="preserve">. </w:t>
      </w:r>
      <w:r w:rsidRPr="00DD1FD4">
        <w:rPr>
          <w:lang w:val="fr-FR"/>
        </w:rPr>
        <w:t>Ces vidéos représentent chaque mois le taux remarquable de 80 % des vidéos de l’UNESCO consultées en ligne</w:t>
      </w:r>
      <w:r>
        <w:rPr>
          <w:lang w:val="fr-FR"/>
        </w:rPr>
        <w:t xml:space="preserve"> </w:t>
      </w:r>
      <w:r w:rsidR="00A03C71" w:rsidRPr="00EA2E2A">
        <w:rPr>
          <w:lang w:val="fr-FR"/>
        </w:rPr>
        <w:t>(</w:t>
      </w:r>
      <w:r>
        <w:rPr>
          <w:lang w:val="fr-FR"/>
        </w:rPr>
        <w:t>voir les rapports mensuels de la Division de l’information du public</w:t>
      </w:r>
      <w:r w:rsidR="00A03C71" w:rsidRPr="00EA2E2A">
        <w:rPr>
          <w:lang w:val="fr-FR"/>
        </w:rPr>
        <w:t xml:space="preserve">). </w:t>
      </w:r>
      <w:r w:rsidRPr="00DD1FD4">
        <w:rPr>
          <w:lang w:val="fr-FR"/>
        </w:rPr>
        <w:t xml:space="preserve">Les sessions du Comité </w:t>
      </w:r>
      <w:r>
        <w:rPr>
          <w:lang w:val="fr-FR"/>
        </w:rPr>
        <w:t xml:space="preserve">sont </w:t>
      </w:r>
      <w:r w:rsidRPr="00DD1FD4">
        <w:rPr>
          <w:lang w:val="fr-FR"/>
        </w:rPr>
        <w:t xml:space="preserve">habituellement </w:t>
      </w:r>
      <w:r>
        <w:rPr>
          <w:lang w:val="fr-FR"/>
        </w:rPr>
        <w:t xml:space="preserve">classées </w:t>
      </w:r>
      <w:r w:rsidRPr="00DD1FD4">
        <w:rPr>
          <w:lang w:val="fr-FR"/>
        </w:rPr>
        <w:t>parmi les événements de l’UNESCO ayant le plus de visibilité, avec une augmentation appréciable des visites des pages Internet et des pics de couverture médiatique par les médias papier et électroniques</w:t>
      </w:r>
      <w:r w:rsidR="00A03C71" w:rsidRPr="00EA2E2A">
        <w:rPr>
          <w:lang w:val="fr-FR"/>
        </w:rPr>
        <w:t>.</w:t>
      </w:r>
    </w:p>
    <w:p w14:paraId="10353EE9" w14:textId="20D0F69C" w:rsidR="00A03C71" w:rsidRPr="00EA2E2A" w:rsidRDefault="00CD5665" w:rsidP="00A03C71">
      <w:pPr>
        <w:pStyle w:val="COMPara"/>
        <w:numPr>
          <w:ilvl w:val="0"/>
          <w:numId w:val="9"/>
        </w:numPr>
        <w:ind w:left="567" w:hanging="567"/>
        <w:jc w:val="both"/>
        <w:rPr>
          <w:lang w:val="fr-FR"/>
        </w:rPr>
      </w:pPr>
      <w:r>
        <w:rPr>
          <w:lang w:val="fr-FR"/>
        </w:rPr>
        <w:t xml:space="preserve">Le </w:t>
      </w:r>
      <w:r w:rsidR="00C77767" w:rsidRPr="00EA2E2A">
        <w:rPr>
          <w:lang w:val="fr-FR"/>
        </w:rPr>
        <w:t>Secrétariat</w:t>
      </w:r>
      <w:r w:rsidR="00A03C71" w:rsidRPr="00EA2E2A">
        <w:rPr>
          <w:lang w:val="fr-FR"/>
        </w:rPr>
        <w:t xml:space="preserve"> </w:t>
      </w:r>
      <w:r>
        <w:rPr>
          <w:lang w:val="fr-FR"/>
        </w:rPr>
        <w:t xml:space="preserve">reçoit également des demandes de </w:t>
      </w:r>
      <w:r w:rsidR="00A03C71" w:rsidRPr="00EA2E2A">
        <w:rPr>
          <w:lang w:val="fr-FR"/>
        </w:rPr>
        <w:t xml:space="preserve">patronage </w:t>
      </w:r>
      <w:r>
        <w:rPr>
          <w:lang w:val="fr-FR"/>
        </w:rPr>
        <w:t>et d’utilisation de l’</w:t>
      </w:r>
      <w:r w:rsidR="00A03C71" w:rsidRPr="00EA2E2A">
        <w:rPr>
          <w:lang w:val="fr-FR"/>
        </w:rPr>
        <w:t>embl</w:t>
      </w:r>
      <w:r>
        <w:rPr>
          <w:lang w:val="fr-FR"/>
        </w:rPr>
        <w:t xml:space="preserve">ème de la </w:t>
      </w:r>
      <w:r w:rsidR="00A03C71" w:rsidRPr="00EA2E2A">
        <w:rPr>
          <w:lang w:val="fr-FR"/>
        </w:rPr>
        <w:t xml:space="preserve">Convention, </w:t>
      </w:r>
      <w:r>
        <w:rPr>
          <w:lang w:val="fr-FR"/>
        </w:rPr>
        <w:t>lesquelles sont ensuite traitées par l’</w:t>
      </w:r>
      <w:r w:rsidRPr="00173BDB">
        <w:rPr>
          <w:snapToGrid/>
          <w:lang w:val="fr-FR"/>
        </w:rPr>
        <w:t>Unité des services communs des conventions</w:t>
      </w:r>
      <w:r w:rsidR="00A03C71" w:rsidRPr="00EA2E2A">
        <w:rPr>
          <w:lang w:val="fr-FR"/>
        </w:rPr>
        <w:t xml:space="preserve">. </w:t>
      </w:r>
      <w:r>
        <w:rPr>
          <w:lang w:val="fr-FR"/>
        </w:rPr>
        <w:t xml:space="preserve">Pendant la </w:t>
      </w:r>
      <w:r w:rsidR="000C694D" w:rsidRPr="00EA2E2A">
        <w:rPr>
          <w:lang w:val="fr-FR"/>
        </w:rPr>
        <w:t xml:space="preserve">période </w:t>
      </w:r>
      <w:r w:rsidR="00C30076">
        <w:rPr>
          <w:lang w:val="fr-FR"/>
        </w:rPr>
        <w:t>considérée</w:t>
      </w:r>
      <w:r w:rsidR="009175F1">
        <w:rPr>
          <w:lang w:val="fr-FR"/>
        </w:rPr>
        <w:t>, 30</w:t>
      </w:r>
      <w:r>
        <w:rPr>
          <w:lang w:val="fr-FR"/>
        </w:rPr>
        <w:t xml:space="preserve"> demandes ont été reçues et </w:t>
      </w:r>
      <w:r w:rsidR="009175F1">
        <w:rPr>
          <w:lang w:val="fr-FR"/>
        </w:rPr>
        <w:t>27</w:t>
      </w:r>
      <w:r>
        <w:rPr>
          <w:lang w:val="fr-FR"/>
        </w:rPr>
        <w:t xml:space="preserve"> </w:t>
      </w:r>
      <w:r w:rsidR="0025082B">
        <w:rPr>
          <w:lang w:val="fr-FR"/>
        </w:rPr>
        <w:t xml:space="preserve">ont donné lieu à l’octroi du patronage de la </w:t>
      </w:r>
      <w:r w:rsidR="00A03C71" w:rsidRPr="00EA2E2A">
        <w:rPr>
          <w:lang w:val="fr-FR"/>
        </w:rPr>
        <w:t xml:space="preserve">Convention. </w:t>
      </w:r>
      <w:r w:rsidR="0025082B" w:rsidRPr="0025082B">
        <w:rPr>
          <w:lang w:val="fr-FR"/>
        </w:rPr>
        <w:t xml:space="preserve">Les États ayant reçu le patronage sont invités à faire un rapport sur l’utilisation de l’emblème de la Convention et sur l’impact des activités correspondantes sur la visibilité de l’UNESCO et de la Convention sur des publics cibles spécifiques ; </w:t>
      </w:r>
      <w:r w:rsidR="00532851">
        <w:rPr>
          <w:lang w:val="fr-FR"/>
        </w:rPr>
        <w:t>la Section du patrimoine culturel immatériel</w:t>
      </w:r>
      <w:r w:rsidR="0025082B" w:rsidRPr="0025082B">
        <w:rPr>
          <w:lang w:val="fr-FR"/>
        </w:rPr>
        <w:t xml:space="preserve"> fait systématiquement l’effort de recueillir ces rapports et </w:t>
      </w:r>
      <w:r w:rsidR="000F1E30">
        <w:rPr>
          <w:lang w:val="fr-FR"/>
        </w:rPr>
        <w:t xml:space="preserve">de </w:t>
      </w:r>
      <w:r w:rsidR="0025082B" w:rsidRPr="0025082B">
        <w:rPr>
          <w:lang w:val="fr-FR"/>
        </w:rPr>
        <w:t>les mettre à la disposition de tous sur le site Internet de la Convention.</w:t>
      </w:r>
      <w:r w:rsidR="00A03C71" w:rsidRPr="00EA2E2A">
        <w:rPr>
          <w:lang w:val="fr-FR"/>
        </w:rPr>
        <w:t xml:space="preserve"> </w:t>
      </w:r>
      <w:r w:rsidR="0025082B">
        <w:rPr>
          <w:lang w:val="fr-FR"/>
        </w:rPr>
        <w:t>Par ailleurs</w:t>
      </w:r>
      <w:r w:rsidR="00A03C71" w:rsidRPr="00EA2E2A">
        <w:rPr>
          <w:lang w:val="fr-FR"/>
        </w:rPr>
        <w:t xml:space="preserve">, </w:t>
      </w:r>
      <w:r w:rsidR="00532851">
        <w:rPr>
          <w:lang w:val="fr-FR"/>
        </w:rPr>
        <w:t>la Section du patrimoine culturel immatériel</w:t>
      </w:r>
      <w:r w:rsidR="00532851" w:rsidRPr="0025082B">
        <w:rPr>
          <w:lang w:val="fr-FR"/>
        </w:rPr>
        <w:t xml:space="preserve"> </w:t>
      </w:r>
      <w:r w:rsidR="0025082B">
        <w:rPr>
          <w:lang w:val="fr-FR"/>
        </w:rPr>
        <w:t xml:space="preserve">a reçu pendant la même période </w:t>
      </w:r>
      <w:r w:rsidR="009175F1">
        <w:rPr>
          <w:lang w:val="fr-FR"/>
        </w:rPr>
        <w:t>67</w:t>
      </w:r>
      <w:r w:rsidR="0025082B">
        <w:rPr>
          <w:lang w:val="fr-FR"/>
        </w:rPr>
        <w:t> demandes d’utilisation de contenus multimédia</w:t>
      </w:r>
      <w:r w:rsidR="000F1E30">
        <w:rPr>
          <w:lang w:val="fr-FR"/>
        </w:rPr>
        <w:t>s</w:t>
      </w:r>
      <w:r w:rsidR="0025082B">
        <w:rPr>
          <w:lang w:val="fr-FR"/>
        </w:rPr>
        <w:t xml:space="preserve"> protégés disponibles sur le </w:t>
      </w:r>
      <w:r w:rsidR="00A03C71" w:rsidRPr="00EA2E2A">
        <w:rPr>
          <w:lang w:val="fr-FR"/>
        </w:rPr>
        <w:t xml:space="preserve">site </w:t>
      </w:r>
      <w:r w:rsidR="0025082B" w:rsidRPr="00EA2E2A">
        <w:rPr>
          <w:lang w:val="fr-FR"/>
        </w:rPr>
        <w:t>web</w:t>
      </w:r>
      <w:r w:rsidR="0025082B">
        <w:rPr>
          <w:lang w:val="fr-FR"/>
        </w:rPr>
        <w:t xml:space="preserve"> de la </w:t>
      </w:r>
      <w:r w:rsidR="00A03C71" w:rsidRPr="00EA2E2A">
        <w:rPr>
          <w:lang w:val="fr-FR"/>
        </w:rPr>
        <w:t xml:space="preserve">Section. </w:t>
      </w:r>
      <w:r w:rsidR="00DA70A2">
        <w:rPr>
          <w:lang w:val="fr-FR"/>
        </w:rPr>
        <w:t>Cinquante</w:t>
      </w:r>
      <w:r w:rsidR="00E43926">
        <w:rPr>
          <w:lang w:val="fr-FR"/>
        </w:rPr>
        <w:t>-</w:t>
      </w:r>
      <w:r w:rsidR="009175F1">
        <w:rPr>
          <w:lang w:val="fr-FR"/>
        </w:rPr>
        <w:t>huit</w:t>
      </w:r>
      <w:r w:rsidR="0025082B">
        <w:rPr>
          <w:lang w:val="fr-FR"/>
        </w:rPr>
        <w:t xml:space="preserve"> de ces demandes ont été approuvées pour une utilisation </w:t>
      </w:r>
      <w:r w:rsidR="00A03C71" w:rsidRPr="00EA2E2A">
        <w:rPr>
          <w:lang w:val="fr-FR"/>
        </w:rPr>
        <w:t>total</w:t>
      </w:r>
      <w:r w:rsidR="0025082B">
        <w:rPr>
          <w:lang w:val="fr-FR"/>
        </w:rPr>
        <w:t>e</w:t>
      </w:r>
      <w:r w:rsidR="00A03C71" w:rsidRPr="00EA2E2A">
        <w:rPr>
          <w:lang w:val="fr-FR"/>
        </w:rPr>
        <w:t xml:space="preserve"> </w:t>
      </w:r>
      <w:r w:rsidR="0025082B">
        <w:rPr>
          <w:lang w:val="fr-FR"/>
        </w:rPr>
        <w:t xml:space="preserve">de </w:t>
      </w:r>
      <w:r w:rsidR="00A03C71" w:rsidRPr="00EA2E2A">
        <w:rPr>
          <w:lang w:val="fr-FR"/>
        </w:rPr>
        <w:t>1</w:t>
      </w:r>
      <w:r w:rsidR="0025082B">
        <w:rPr>
          <w:lang w:val="fr-FR"/>
        </w:rPr>
        <w:t> </w:t>
      </w:r>
      <w:r w:rsidR="009175F1">
        <w:rPr>
          <w:lang w:val="fr-FR"/>
        </w:rPr>
        <w:t>156</w:t>
      </w:r>
      <w:r w:rsidR="0025082B">
        <w:rPr>
          <w:lang w:val="fr-FR"/>
        </w:rPr>
        <w:t> </w:t>
      </w:r>
      <w:r w:rsidR="00A03C71" w:rsidRPr="00EA2E2A">
        <w:rPr>
          <w:lang w:val="fr-FR"/>
        </w:rPr>
        <w:t xml:space="preserve">photos </w:t>
      </w:r>
      <w:r w:rsidR="0025082B">
        <w:rPr>
          <w:lang w:val="fr-FR"/>
        </w:rPr>
        <w:t xml:space="preserve">et </w:t>
      </w:r>
      <w:r w:rsidR="00A03C71" w:rsidRPr="00EA2E2A">
        <w:rPr>
          <w:lang w:val="fr-FR"/>
        </w:rPr>
        <w:t>vid</w:t>
      </w:r>
      <w:r w:rsidR="0025082B">
        <w:rPr>
          <w:lang w:val="fr-FR"/>
        </w:rPr>
        <w:t>é</w:t>
      </w:r>
      <w:r w:rsidR="00A03C71" w:rsidRPr="00EA2E2A">
        <w:rPr>
          <w:lang w:val="fr-FR"/>
        </w:rPr>
        <w:t xml:space="preserve">os </w:t>
      </w:r>
      <w:r w:rsidR="0025082B">
        <w:rPr>
          <w:lang w:val="fr-FR"/>
        </w:rPr>
        <w:t xml:space="preserve">par des partenaires </w:t>
      </w:r>
      <w:r w:rsidR="00A03C71" w:rsidRPr="00EA2E2A">
        <w:rPr>
          <w:lang w:val="fr-FR"/>
        </w:rPr>
        <w:t>extern</w:t>
      </w:r>
      <w:r w:rsidR="0025082B">
        <w:rPr>
          <w:lang w:val="fr-FR"/>
        </w:rPr>
        <w:t>es</w:t>
      </w:r>
      <w:r w:rsidR="00A03C71" w:rsidRPr="00EA2E2A">
        <w:rPr>
          <w:lang w:val="fr-FR"/>
        </w:rPr>
        <w:t>.</w:t>
      </w:r>
    </w:p>
    <w:p w14:paraId="1A78B9D3" w14:textId="324988D3" w:rsidR="00D44D92" w:rsidRDefault="00D44D92" w:rsidP="00F17BA8">
      <w:pPr>
        <w:pStyle w:val="COMPara"/>
        <w:keepNext/>
        <w:numPr>
          <w:ilvl w:val="0"/>
          <w:numId w:val="14"/>
        </w:numPr>
        <w:spacing w:before="360"/>
        <w:ind w:left="567" w:hanging="567"/>
        <w:rPr>
          <w:b/>
          <w:lang w:val="fr-FR"/>
        </w:rPr>
      </w:pPr>
      <w:r>
        <w:rPr>
          <w:b/>
          <w:lang w:val="fr-FR"/>
        </w:rPr>
        <w:t>Suite</w:t>
      </w:r>
      <w:r w:rsidR="002936A6">
        <w:rPr>
          <w:b/>
          <w:lang w:val="fr-FR"/>
        </w:rPr>
        <w:t xml:space="preserve">s données aux audits et </w:t>
      </w:r>
      <w:r>
        <w:rPr>
          <w:b/>
          <w:lang w:val="fr-FR"/>
        </w:rPr>
        <w:t>évaluations</w:t>
      </w:r>
    </w:p>
    <w:p w14:paraId="07929FCA" w14:textId="69C7FBEE" w:rsidR="00D44D92" w:rsidRDefault="00D44D92" w:rsidP="00F17BA8">
      <w:pPr>
        <w:pStyle w:val="ListParagraph"/>
        <w:numPr>
          <w:ilvl w:val="0"/>
          <w:numId w:val="33"/>
        </w:numPr>
        <w:spacing w:before="240" w:after="120"/>
        <w:ind w:left="709" w:hanging="709"/>
        <w:rPr>
          <w:rFonts w:ascii="Arial" w:hAnsi="Arial"/>
          <w:b/>
          <w:sz w:val="22"/>
        </w:rPr>
      </w:pPr>
      <w:r w:rsidRPr="00D44D92">
        <w:rPr>
          <w:rFonts w:ascii="Arial" w:hAnsi="Arial"/>
          <w:b/>
          <w:sz w:val="22"/>
        </w:rPr>
        <w:t>Le rapport d’avancement sur les vingt-quatre recommandations de l’évaluation du travail normatif de l’UNESCO du Secteur de la culture concernant la Convention pour la sauvegarde du</w:t>
      </w:r>
      <w:r>
        <w:rPr>
          <w:rFonts w:ascii="Arial" w:hAnsi="Arial"/>
          <w:b/>
          <w:sz w:val="22"/>
        </w:rPr>
        <w:t xml:space="preserve"> patrimoine culturel immatériel</w:t>
      </w:r>
    </w:p>
    <w:p w14:paraId="66436536" w14:textId="211D341A" w:rsidR="00D44D92" w:rsidRPr="00D44D92" w:rsidRDefault="00D44D92" w:rsidP="00D44D92">
      <w:pPr>
        <w:pStyle w:val="COMPara"/>
        <w:numPr>
          <w:ilvl w:val="0"/>
          <w:numId w:val="9"/>
        </w:numPr>
        <w:ind w:left="709" w:hanging="709"/>
        <w:jc w:val="both"/>
        <w:rPr>
          <w:rFonts w:eastAsia="SimSun"/>
          <w:snapToGrid/>
          <w:lang w:val="fr-FR"/>
        </w:rPr>
      </w:pPr>
      <w:r w:rsidRPr="00D44D92">
        <w:rPr>
          <w:lang w:val="fr-FR"/>
        </w:rPr>
        <w:t>Conformément à son plan biennal pour 2012-2013, le service d’évaluation et d’audit (IOS) de l’UNESCO a réalisé en 2013 l’évaluation du travail normatif de l’UNSECO dans le domaine de la culture dont la Partie I concerne la Convention de 2003 pour la sauvegarde du patrimoine culturel immatériel (</w:t>
      </w:r>
      <w:hyperlink r:id="rId66">
        <w:r w:rsidRPr="00D44D92">
          <w:rPr>
            <w:rStyle w:val="Hyperlink"/>
            <w:snapToGrid/>
            <w:lang w:val="fr-FR"/>
          </w:rPr>
          <w:t>document IOS/EVS/PI/129 REV.</w:t>
        </w:r>
      </w:hyperlink>
      <w:r w:rsidRPr="00D44D92">
        <w:rPr>
          <w:lang w:val="fr-FR"/>
        </w:rPr>
        <w:t>). L’objectif de l’évaluation était de produire des résultats et des recommandations concernant la pertinence et l’efficacité du</w:t>
      </w:r>
      <w:r w:rsidR="002D510E">
        <w:rPr>
          <w:lang w:val="fr-FR"/>
        </w:rPr>
        <w:t xml:space="preserve"> c</w:t>
      </w:r>
      <w:r w:rsidRPr="00D44D92">
        <w:rPr>
          <w:lang w:val="fr-FR"/>
        </w:rPr>
        <w:t>adre normatif, en mettant l’accent sur son impact sur la législation, les politiques et les stratégies des États parties aux conventions culturelles de l’UNESCO.</w:t>
      </w:r>
    </w:p>
    <w:p w14:paraId="428EB2DE" w14:textId="5087A104" w:rsidR="00D44D92" w:rsidRPr="00D44D92" w:rsidRDefault="00D44D92" w:rsidP="002D510E">
      <w:pPr>
        <w:pStyle w:val="COMPara"/>
        <w:numPr>
          <w:ilvl w:val="0"/>
          <w:numId w:val="9"/>
        </w:numPr>
        <w:ind w:left="709" w:hanging="709"/>
        <w:jc w:val="both"/>
        <w:rPr>
          <w:rFonts w:eastAsia="SimSun"/>
          <w:snapToGrid/>
          <w:lang w:val="fr-FR"/>
        </w:rPr>
      </w:pPr>
      <w:r w:rsidRPr="00D44D92">
        <w:rPr>
          <w:lang w:val="fr-FR"/>
        </w:rPr>
        <w:t>Des conclusions préliminaires ont été présentées au Conseil exécutif lors de sa 192</w:t>
      </w:r>
      <w:r w:rsidRPr="00D44D92">
        <w:rPr>
          <w:vertAlign w:val="superscript"/>
          <w:lang w:val="fr-FR"/>
        </w:rPr>
        <w:t>e</w:t>
      </w:r>
      <w:r w:rsidRPr="00D44D92">
        <w:rPr>
          <w:lang w:val="fr-FR"/>
        </w:rPr>
        <w:t xml:space="preserve"> session en 2013 (</w:t>
      </w:r>
      <w:hyperlink r:id="rId67">
        <w:r w:rsidRPr="00D44D92">
          <w:rPr>
            <w:rStyle w:val="Hyperlink"/>
            <w:snapToGrid/>
            <w:lang w:val="fr-FR"/>
          </w:rPr>
          <w:t>document 192 EX/5 Part II</w:t>
        </w:r>
      </w:hyperlink>
      <w:r w:rsidRPr="00D44D92">
        <w:rPr>
          <w:lang w:val="fr-FR"/>
        </w:rPr>
        <w:t>) et l’évaluation complète a été présentée au Conseil exécutif, lors de sa 194</w:t>
      </w:r>
      <w:r w:rsidRPr="00D44D92">
        <w:rPr>
          <w:vertAlign w:val="superscript"/>
          <w:lang w:val="fr-FR"/>
        </w:rPr>
        <w:t>e</w:t>
      </w:r>
      <w:r w:rsidRPr="00D44D92">
        <w:rPr>
          <w:lang w:val="fr-FR"/>
        </w:rPr>
        <w:t xml:space="preserve"> session en 2014, dans le rapport annuel de l’IOS (</w:t>
      </w:r>
      <w:hyperlink r:id="rId68">
        <w:r w:rsidRPr="00D44D92">
          <w:rPr>
            <w:rStyle w:val="Hyperlink"/>
            <w:snapToGrid/>
            <w:lang w:val="fr-FR"/>
          </w:rPr>
          <w:t>document 194 EX/22</w:t>
        </w:r>
      </w:hyperlink>
      <w:r w:rsidRPr="00D44D92">
        <w:rPr>
          <w:lang w:val="fr-FR"/>
        </w:rPr>
        <w:t>). L’annexe III du document 194 EX/22 comprend les conclusions préliminaires transversales relatives au travail normatif du Secteur de la culture.</w:t>
      </w:r>
    </w:p>
    <w:p w14:paraId="7770B7DA" w14:textId="60DF1592" w:rsidR="00D44D92" w:rsidRPr="00D44D92" w:rsidRDefault="00D44D92" w:rsidP="00F17BA8">
      <w:pPr>
        <w:pStyle w:val="COMPara"/>
        <w:numPr>
          <w:ilvl w:val="0"/>
          <w:numId w:val="9"/>
        </w:numPr>
        <w:ind w:left="709" w:hanging="709"/>
        <w:jc w:val="both"/>
        <w:rPr>
          <w:rFonts w:eastAsia="SimSun"/>
          <w:snapToGrid/>
          <w:lang w:val="fr-FR"/>
        </w:rPr>
      </w:pPr>
      <w:r w:rsidRPr="00D44D92">
        <w:rPr>
          <w:lang w:val="fr-FR"/>
        </w:rPr>
        <w:t>En outre, l’évaluation a été présentée au Comité lors de sa huitième session en 2013 (</w:t>
      </w:r>
      <w:hyperlink r:id="rId69">
        <w:r w:rsidRPr="00D44D92">
          <w:rPr>
            <w:rStyle w:val="Hyperlink"/>
            <w:snapToGrid/>
            <w:lang w:val="fr-FR"/>
          </w:rPr>
          <w:t>document ITH/13/8.COM/5.c</w:t>
        </w:r>
      </w:hyperlink>
      <w:r w:rsidRPr="00D44D92">
        <w:rPr>
          <w:lang w:val="fr-FR"/>
        </w:rPr>
        <w:t>). Au cours de cette session, le Comité a examiné ces recommandations d’</w:t>
      </w:r>
      <w:r w:rsidR="002D510E">
        <w:rPr>
          <w:lang w:val="fr-FR"/>
        </w:rPr>
        <w:t xml:space="preserve">évaluation et a adopté la </w:t>
      </w:r>
      <w:hyperlink r:id="rId70" w:history="1">
        <w:r w:rsidR="002D510E" w:rsidRPr="00147D32">
          <w:rPr>
            <w:rStyle w:val="Hyperlink"/>
            <w:lang w:val="fr-FR"/>
          </w:rPr>
          <w:t>d</w:t>
        </w:r>
        <w:r w:rsidRPr="00147D32">
          <w:rPr>
            <w:rStyle w:val="Hyperlink"/>
            <w:lang w:val="fr-FR"/>
          </w:rPr>
          <w:t>écision 8.COM  5.c.1</w:t>
        </w:r>
      </w:hyperlink>
      <w:r w:rsidRPr="00D44D92">
        <w:rPr>
          <w:lang w:val="fr-FR"/>
        </w:rPr>
        <w:t xml:space="preserve">. </w:t>
      </w:r>
      <w:r w:rsidR="002D510E" w:rsidRPr="002D510E">
        <w:rPr>
          <w:lang w:val="fr-FR"/>
        </w:rPr>
        <w:t xml:space="preserve">Le tableau </w:t>
      </w:r>
      <w:r w:rsidR="00C16CCD">
        <w:rPr>
          <w:lang w:val="fr-FR"/>
        </w:rPr>
        <w:t>en annexe </w:t>
      </w:r>
      <w:r w:rsidR="002D510E">
        <w:rPr>
          <w:lang w:val="fr-FR"/>
        </w:rPr>
        <w:t xml:space="preserve">I présente les décisions du Comité lors de ses huitième et neuvième sessions, </w:t>
      </w:r>
      <w:r w:rsidR="002D510E" w:rsidRPr="002D510E">
        <w:rPr>
          <w:lang w:val="fr-FR"/>
        </w:rPr>
        <w:t xml:space="preserve">les actions planifiées avec date butoir et le statut des actions menées pour chacune des </w:t>
      </w:r>
      <w:r w:rsidR="002D510E">
        <w:rPr>
          <w:lang w:val="fr-FR"/>
        </w:rPr>
        <w:t>24</w:t>
      </w:r>
      <w:r w:rsidR="00DA70A2">
        <w:rPr>
          <w:lang w:val="fr-FR"/>
        </w:rPr>
        <w:t> </w:t>
      </w:r>
      <w:r w:rsidR="002D510E" w:rsidRPr="002D510E">
        <w:rPr>
          <w:lang w:val="fr-FR"/>
        </w:rPr>
        <w:t>recommandations de l’évaluation</w:t>
      </w:r>
      <w:r w:rsidR="00C16CCD">
        <w:rPr>
          <w:lang w:val="fr-FR"/>
        </w:rPr>
        <w:t>.</w:t>
      </w:r>
    </w:p>
    <w:p w14:paraId="6AC0171B" w14:textId="1EF7EA21" w:rsidR="00D44D92" w:rsidRDefault="00E23D1D" w:rsidP="00F17BA8">
      <w:pPr>
        <w:pStyle w:val="ListParagraph"/>
        <w:numPr>
          <w:ilvl w:val="0"/>
          <w:numId w:val="33"/>
        </w:numPr>
        <w:spacing w:before="240" w:after="120"/>
        <w:ind w:left="709" w:hanging="709"/>
        <w:rPr>
          <w:rFonts w:ascii="Arial" w:hAnsi="Arial"/>
          <w:b/>
          <w:sz w:val="22"/>
        </w:rPr>
      </w:pPr>
      <w:r>
        <w:rPr>
          <w:rFonts w:ascii="Arial" w:hAnsi="Arial"/>
          <w:b/>
          <w:sz w:val="22"/>
        </w:rPr>
        <w:t xml:space="preserve">Le rapport d’avancement sur le suivi des quatre recommandations du rapport d’audit des méthodes de travail des six </w:t>
      </w:r>
      <w:r w:rsidRPr="00BE1355">
        <w:rPr>
          <w:rFonts w:ascii="Arial" w:hAnsi="Arial"/>
          <w:b/>
          <w:sz w:val="22"/>
        </w:rPr>
        <w:t>conventions culturelles</w:t>
      </w:r>
    </w:p>
    <w:p w14:paraId="3F4BE988" w14:textId="072F484F" w:rsidR="00E23D1D" w:rsidRPr="00E23D1D" w:rsidRDefault="00E23D1D" w:rsidP="00E23D1D">
      <w:pPr>
        <w:pStyle w:val="COMPara"/>
        <w:numPr>
          <w:ilvl w:val="0"/>
          <w:numId w:val="9"/>
        </w:numPr>
        <w:ind w:left="709" w:hanging="709"/>
        <w:jc w:val="both"/>
        <w:rPr>
          <w:lang w:val="fr-FR"/>
        </w:rPr>
      </w:pPr>
      <w:r w:rsidRPr="00E23D1D">
        <w:rPr>
          <w:lang w:val="fr-FR"/>
        </w:rPr>
        <w:t>Le service d’évaluation et d’audit (IOS) de l’UNESCO a réalisé en 2013 un audit des méthodes de travail des six conventions relatives à la culture afin d’évaluer l’adéquation et l’efficacité des méthodes de travail du travail normatif de l’UNESCO dans le Secteur de la culture (</w:t>
      </w:r>
      <w:hyperlink r:id="rId71">
        <w:r w:rsidRPr="00E23D1D">
          <w:rPr>
            <w:rStyle w:val="Hyperlink"/>
            <w:snapToGrid/>
            <w:lang w:val="fr-FR"/>
          </w:rPr>
          <w:t>document IOS/AUD/2013/06</w:t>
        </w:r>
      </w:hyperlink>
      <w:r w:rsidRPr="00E23D1D">
        <w:rPr>
          <w:lang w:val="fr-FR"/>
        </w:rPr>
        <w:t xml:space="preserve">). De ce fait, l’audit a produit quatre recommandations qui cherchent essentiellement à rationaliser différents processus </w:t>
      </w:r>
      <w:r w:rsidR="00927350" w:rsidRPr="00E23D1D">
        <w:rPr>
          <w:lang w:val="fr-FR"/>
        </w:rPr>
        <w:t>statutaires</w:t>
      </w:r>
      <w:r w:rsidRPr="00E23D1D">
        <w:rPr>
          <w:lang w:val="fr-FR"/>
        </w:rPr>
        <w:t xml:space="preserve"> et à rationaliser les coûts.</w:t>
      </w:r>
    </w:p>
    <w:p w14:paraId="4F894E6E" w14:textId="095353D7" w:rsidR="00F718EE" w:rsidRPr="00D44D92" w:rsidRDefault="00E23D1D" w:rsidP="00BD029F">
      <w:pPr>
        <w:pStyle w:val="COMPara"/>
        <w:numPr>
          <w:ilvl w:val="0"/>
          <w:numId w:val="9"/>
        </w:numPr>
        <w:ind w:left="709" w:hanging="709"/>
        <w:jc w:val="both"/>
        <w:rPr>
          <w:rFonts w:eastAsia="SimSun"/>
          <w:snapToGrid/>
          <w:lang w:val="fr-FR"/>
        </w:rPr>
      </w:pPr>
      <w:r w:rsidRPr="00BD029F">
        <w:rPr>
          <w:lang w:val="fr-FR"/>
        </w:rPr>
        <w:t>Le rapport d’IOS « Audit des méthodes de travail des conventions culturelles » comprenant les recommandations a été présenté au Comité lors de sa huitième session (</w:t>
      </w:r>
      <w:hyperlink r:id="rId72">
        <w:r w:rsidRPr="00BD029F">
          <w:rPr>
            <w:rStyle w:val="Hyperlink"/>
            <w:snapToGrid/>
            <w:lang w:val="fr-FR"/>
          </w:rPr>
          <w:t>document ITH/13/8.COM/5.c</w:t>
        </w:r>
      </w:hyperlink>
      <w:r w:rsidRPr="00BD029F">
        <w:rPr>
          <w:lang w:val="fr-FR"/>
        </w:rPr>
        <w:t xml:space="preserve">). </w:t>
      </w:r>
      <w:r w:rsidRPr="00091CB0">
        <w:rPr>
          <w:lang w:val="fr-FR"/>
        </w:rPr>
        <w:t>Au cours de cette session, le Comité a examiné ces recommandations d’</w:t>
      </w:r>
      <w:r w:rsidR="00927350" w:rsidRPr="00091CB0">
        <w:rPr>
          <w:lang w:val="fr-FR"/>
        </w:rPr>
        <w:t xml:space="preserve">audit et a adopté la </w:t>
      </w:r>
      <w:hyperlink r:id="rId73" w:history="1">
        <w:r w:rsidR="00927350" w:rsidRPr="00147D32">
          <w:rPr>
            <w:rStyle w:val="Hyperlink"/>
            <w:lang w:val="fr-FR"/>
          </w:rPr>
          <w:t>d</w:t>
        </w:r>
        <w:r w:rsidR="00147D32" w:rsidRPr="00147D32">
          <w:rPr>
            <w:rStyle w:val="Hyperlink"/>
            <w:lang w:val="fr-FR"/>
          </w:rPr>
          <w:t>écision 8.COM </w:t>
        </w:r>
        <w:r w:rsidRPr="00147D32">
          <w:rPr>
            <w:rStyle w:val="Hyperlink"/>
            <w:lang w:val="fr-FR"/>
          </w:rPr>
          <w:t>5.c.2</w:t>
        </w:r>
      </w:hyperlink>
      <w:r w:rsidRPr="00091CB0">
        <w:rPr>
          <w:lang w:val="fr-FR"/>
        </w:rPr>
        <w:t>. Un résumé du rapport d’IOS a également été présenté au Conseil exécutif lors de sa 192</w:t>
      </w:r>
      <w:r w:rsidRPr="00091CB0">
        <w:rPr>
          <w:vertAlign w:val="superscript"/>
          <w:lang w:val="fr-FR"/>
        </w:rPr>
        <w:t>e</w:t>
      </w:r>
      <w:r w:rsidRPr="00091CB0">
        <w:rPr>
          <w:lang w:val="fr-FR"/>
        </w:rPr>
        <w:t xml:space="preserve"> session</w:t>
      </w:r>
      <w:r w:rsidR="00927350" w:rsidRPr="00091CB0">
        <w:rPr>
          <w:lang w:val="fr-FR"/>
        </w:rPr>
        <w:t xml:space="preserve">. </w:t>
      </w:r>
      <w:r w:rsidR="00F718EE" w:rsidRPr="002D510E">
        <w:rPr>
          <w:lang w:val="fr-FR"/>
        </w:rPr>
        <w:t xml:space="preserve">Le tableau </w:t>
      </w:r>
      <w:r w:rsidR="00F718EE">
        <w:rPr>
          <w:lang w:val="fr-FR"/>
        </w:rPr>
        <w:t>en annexe</w:t>
      </w:r>
      <w:r w:rsidR="00C16CCD">
        <w:rPr>
          <w:lang w:val="fr-FR"/>
        </w:rPr>
        <w:t> </w:t>
      </w:r>
      <w:r w:rsidR="00C518FD">
        <w:rPr>
          <w:lang w:val="fr-FR"/>
        </w:rPr>
        <w:t>I</w:t>
      </w:r>
      <w:r w:rsidR="00F718EE">
        <w:rPr>
          <w:lang w:val="fr-FR"/>
        </w:rPr>
        <w:t xml:space="preserve">I présente les décisions du Comité lors de ses huitième et neuvième sessions, </w:t>
      </w:r>
      <w:r w:rsidR="00F718EE" w:rsidRPr="002D510E">
        <w:rPr>
          <w:lang w:val="fr-FR"/>
        </w:rPr>
        <w:t xml:space="preserve">les actions planifiées </w:t>
      </w:r>
      <w:r w:rsidR="00F718EE">
        <w:rPr>
          <w:lang w:val="fr-FR"/>
        </w:rPr>
        <w:t xml:space="preserve">ou menées </w:t>
      </w:r>
      <w:r w:rsidR="00F718EE" w:rsidRPr="002D510E">
        <w:rPr>
          <w:lang w:val="fr-FR"/>
        </w:rPr>
        <w:t xml:space="preserve">avec date butoir et le statut </w:t>
      </w:r>
      <w:r w:rsidR="00F718EE">
        <w:rPr>
          <w:lang w:val="fr-FR"/>
        </w:rPr>
        <w:t>de la mise en œuvre des</w:t>
      </w:r>
      <w:r w:rsidR="00F718EE" w:rsidRPr="002D510E">
        <w:rPr>
          <w:lang w:val="fr-FR"/>
        </w:rPr>
        <w:t xml:space="preserve"> recommandations de </w:t>
      </w:r>
      <w:r w:rsidR="00F718EE">
        <w:rPr>
          <w:lang w:val="fr-FR"/>
        </w:rPr>
        <w:t xml:space="preserve">l’audit. </w:t>
      </w:r>
    </w:p>
    <w:p w14:paraId="026D8FB6" w14:textId="75CCBC16" w:rsidR="00D44D92" w:rsidRPr="00F718EE" w:rsidRDefault="00D44D92" w:rsidP="00737BAB">
      <w:pPr>
        <w:pStyle w:val="ListParagraph"/>
        <w:keepNext/>
        <w:numPr>
          <w:ilvl w:val="0"/>
          <w:numId w:val="14"/>
        </w:numPr>
        <w:spacing w:before="360" w:after="120"/>
        <w:ind w:left="567" w:hanging="567"/>
        <w:jc w:val="both"/>
        <w:rPr>
          <w:b/>
        </w:rPr>
      </w:pPr>
      <w:r w:rsidRPr="00F718EE">
        <w:rPr>
          <w:rFonts w:ascii="Arial" w:hAnsi="Arial" w:cs="Arial"/>
          <w:b/>
          <w:sz w:val="22"/>
          <w:szCs w:val="22"/>
        </w:rPr>
        <w:t>Conclusions et perspectives</w:t>
      </w:r>
    </w:p>
    <w:p w14:paraId="440A9C7C" w14:textId="0C3E2A4F" w:rsidR="00A03C71" w:rsidRPr="00EA2E2A" w:rsidRDefault="000F1E30" w:rsidP="005E0477">
      <w:pPr>
        <w:pStyle w:val="COMPara"/>
        <w:numPr>
          <w:ilvl w:val="0"/>
          <w:numId w:val="9"/>
        </w:numPr>
        <w:ind w:left="709" w:hanging="709"/>
        <w:jc w:val="both"/>
        <w:rPr>
          <w:lang w:val="fr-FR"/>
        </w:rPr>
      </w:pPr>
      <w:r>
        <w:rPr>
          <w:lang w:val="fr-FR"/>
        </w:rPr>
        <w:t xml:space="preserve">Le </w:t>
      </w:r>
      <w:r w:rsidR="00C77767" w:rsidRPr="00EA2E2A">
        <w:rPr>
          <w:lang w:val="fr-FR"/>
        </w:rPr>
        <w:t>Secrétariat</w:t>
      </w:r>
      <w:r w:rsidR="00A03C71" w:rsidRPr="00EA2E2A">
        <w:rPr>
          <w:lang w:val="fr-FR"/>
        </w:rPr>
        <w:t xml:space="preserve"> </w:t>
      </w:r>
      <w:r>
        <w:rPr>
          <w:lang w:val="fr-FR"/>
        </w:rPr>
        <w:t xml:space="preserve">de la </w:t>
      </w:r>
      <w:r w:rsidR="00A03C71" w:rsidRPr="00EA2E2A">
        <w:rPr>
          <w:lang w:val="fr-FR"/>
        </w:rPr>
        <w:t xml:space="preserve">Convention </w:t>
      </w:r>
      <w:r w:rsidR="00880993">
        <w:rPr>
          <w:lang w:val="fr-FR"/>
        </w:rPr>
        <w:t>a</w:t>
      </w:r>
      <w:r w:rsidR="00C16CCD">
        <w:rPr>
          <w:lang w:val="fr-FR"/>
        </w:rPr>
        <w:t xml:space="preserve"> axé</w:t>
      </w:r>
      <w:r w:rsidR="00880993">
        <w:rPr>
          <w:lang w:val="fr-FR"/>
        </w:rPr>
        <w:t xml:space="preserve"> ses efforts</w:t>
      </w:r>
      <w:r w:rsidR="008167BA">
        <w:rPr>
          <w:lang w:val="fr-FR"/>
        </w:rPr>
        <w:t xml:space="preserve"> autour de deux piliers</w:t>
      </w:r>
      <w:r w:rsidR="00C7590A">
        <w:rPr>
          <w:lang w:val="fr-FR"/>
        </w:rPr>
        <w:t> :</w:t>
      </w:r>
      <w:r w:rsidR="00C7590A" w:rsidRPr="00EA2E2A">
        <w:rPr>
          <w:lang w:val="fr-FR"/>
        </w:rPr>
        <w:t xml:space="preserve"> </w:t>
      </w:r>
      <w:r w:rsidR="008167BA">
        <w:rPr>
          <w:lang w:val="fr-FR"/>
        </w:rPr>
        <w:t xml:space="preserve">le soutien à la </w:t>
      </w:r>
      <w:r w:rsidR="00A03C71" w:rsidRPr="00EA2E2A">
        <w:rPr>
          <w:lang w:val="fr-FR"/>
        </w:rPr>
        <w:t>go</w:t>
      </w:r>
      <w:r w:rsidR="008167BA">
        <w:rPr>
          <w:lang w:val="fr-FR"/>
        </w:rPr>
        <w:t>u</w:t>
      </w:r>
      <w:r w:rsidR="00A03C71" w:rsidRPr="00EA2E2A">
        <w:rPr>
          <w:lang w:val="fr-FR"/>
        </w:rPr>
        <w:t xml:space="preserve">vernance </w:t>
      </w:r>
      <w:r w:rsidR="008167BA">
        <w:rPr>
          <w:lang w:val="fr-FR"/>
        </w:rPr>
        <w:t xml:space="preserve">de la </w:t>
      </w:r>
      <w:r w:rsidR="00A03C71" w:rsidRPr="00EA2E2A">
        <w:rPr>
          <w:lang w:val="fr-FR"/>
        </w:rPr>
        <w:t>Convention (</w:t>
      </w:r>
      <w:r w:rsidR="008167BA">
        <w:rPr>
          <w:lang w:val="fr-FR"/>
        </w:rPr>
        <w:t>e</w:t>
      </w:r>
      <w:r w:rsidR="00A03C71" w:rsidRPr="00EA2E2A">
        <w:rPr>
          <w:lang w:val="fr-FR"/>
        </w:rPr>
        <w:t>n particul</w:t>
      </w:r>
      <w:r w:rsidR="008167BA">
        <w:rPr>
          <w:lang w:val="fr-FR"/>
        </w:rPr>
        <w:t>ier l’</w:t>
      </w:r>
      <w:r w:rsidR="00A03C71" w:rsidRPr="00EA2E2A">
        <w:rPr>
          <w:lang w:val="fr-FR"/>
        </w:rPr>
        <w:t>organi</w:t>
      </w:r>
      <w:r w:rsidR="008167BA">
        <w:rPr>
          <w:lang w:val="fr-FR"/>
        </w:rPr>
        <w:t>s</w:t>
      </w:r>
      <w:r w:rsidR="00A03C71" w:rsidRPr="00EA2E2A">
        <w:rPr>
          <w:lang w:val="fr-FR"/>
        </w:rPr>
        <w:t xml:space="preserve">ation </w:t>
      </w:r>
      <w:r w:rsidR="008167BA">
        <w:rPr>
          <w:lang w:val="fr-FR"/>
        </w:rPr>
        <w:t xml:space="preserve">de </w:t>
      </w:r>
      <w:r w:rsidR="008167BA" w:rsidRPr="008167BA">
        <w:rPr>
          <w:lang w:val="fr-FR"/>
        </w:rPr>
        <w:t>l’Assemblée générale</w:t>
      </w:r>
      <w:r w:rsidR="00A03C71" w:rsidRPr="00EA2E2A">
        <w:rPr>
          <w:lang w:val="fr-FR"/>
        </w:rPr>
        <w:t xml:space="preserve">, </w:t>
      </w:r>
      <w:r w:rsidR="00C7590A">
        <w:rPr>
          <w:lang w:val="fr-FR"/>
        </w:rPr>
        <w:t>d</w:t>
      </w:r>
      <w:r w:rsidR="008167BA">
        <w:rPr>
          <w:lang w:val="fr-FR"/>
        </w:rPr>
        <w:t>es organes d’é</w:t>
      </w:r>
      <w:r w:rsidR="00A03C71" w:rsidRPr="00EA2E2A">
        <w:rPr>
          <w:lang w:val="fr-FR"/>
        </w:rPr>
        <w:t xml:space="preserve">valuation, </w:t>
      </w:r>
      <w:r w:rsidR="00C7590A">
        <w:rPr>
          <w:lang w:val="fr-FR"/>
        </w:rPr>
        <w:t>du</w:t>
      </w:r>
      <w:r w:rsidR="008167BA">
        <w:rPr>
          <w:lang w:val="fr-FR"/>
        </w:rPr>
        <w:t xml:space="preserve"> Comité</w:t>
      </w:r>
      <w:r w:rsidR="00A03C71" w:rsidRPr="00EA2E2A">
        <w:rPr>
          <w:lang w:val="fr-FR"/>
        </w:rPr>
        <w:t xml:space="preserve">) </w:t>
      </w:r>
      <w:r w:rsidR="008167BA">
        <w:rPr>
          <w:lang w:val="fr-FR"/>
        </w:rPr>
        <w:t xml:space="preserve">et le </w:t>
      </w:r>
      <w:r w:rsidR="00A03C71" w:rsidRPr="00EA2E2A">
        <w:rPr>
          <w:lang w:val="fr-FR"/>
        </w:rPr>
        <w:t>tr</w:t>
      </w:r>
      <w:r w:rsidR="008167BA">
        <w:rPr>
          <w:lang w:val="fr-FR"/>
        </w:rPr>
        <w:t xml:space="preserve">aitement des </w:t>
      </w:r>
      <w:r w:rsidR="00C7590A">
        <w:rPr>
          <w:lang w:val="fr-FR"/>
        </w:rPr>
        <w:t>candidatures, demande</w:t>
      </w:r>
      <w:r w:rsidR="00C16CCD">
        <w:rPr>
          <w:lang w:val="fr-FR"/>
        </w:rPr>
        <w:t>s</w:t>
      </w:r>
      <w:r w:rsidR="00C7590A">
        <w:rPr>
          <w:lang w:val="fr-FR"/>
        </w:rPr>
        <w:t xml:space="preserve"> </w:t>
      </w:r>
      <w:r w:rsidR="008167BA">
        <w:rPr>
          <w:lang w:val="fr-FR"/>
        </w:rPr>
        <w:t xml:space="preserve">et </w:t>
      </w:r>
      <w:r w:rsidR="00700883" w:rsidRPr="00EA2E2A">
        <w:rPr>
          <w:lang w:val="fr-FR"/>
        </w:rPr>
        <w:t>rapports</w:t>
      </w:r>
      <w:r w:rsidR="00A03C71" w:rsidRPr="00EA2E2A">
        <w:rPr>
          <w:lang w:val="fr-FR"/>
        </w:rPr>
        <w:t xml:space="preserve"> </w:t>
      </w:r>
      <w:r w:rsidR="008167BA">
        <w:rPr>
          <w:lang w:val="fr-FR"/>
        </w:rPr>
        <w:t xml:space="preserve">soumis </w:t>
      </w:r>
      <w:r w:rsidR="00C7590A" w:rsidRPr="00EE55A0">
        <w:rPr>
          <w:lang w:val="fr-FR"/>
        </w:rPr>
        <w:t>à travers</w:t>
      </w:r>
      <w:r w:rsidR="00C7590A">
        <w:rPr>
          <w:lang w:val="fr-FR"/>
        </w:rPr>
        <w:t xml:space="preserve"> </w:t>
      </w:r>
      <w:r w:rsidR="008167BA">
        <w:rPr>
          <w:lang w:val="fr-FR"/>
        </w:rPr>
        <w:t xml:space="preserve">les mécanismes </w:t>
      </w:r>
      <w:r w:rsidR="00A03C71" w:rsidRPr="00EA2E2A">
        <w:rPr>
          <w:lang w:val="fr-FR"/>
        </w:rPr>
        <w:t>statut</w:t>
      </w:r>
      <w:r w:rsidR="008167BA">
        <w:rPr>
          <w:lang w:val="fr-FR"/>
        </w:rPr>
        <w:t>aires</w:t>
      </w:r>
      <w:r w:rsidR="00A03C71" w:rsidRPr="00EA2E2A">
        <w:rPr>
          <w:lang w:val="fr-FR"/>
        </w:rPr>
        <w:t xml:space="preserve"> </w:t>
      </w:r>
      <w:r w:rsidR="008167BA">
        <w:rPr>
          <w:lang w:val="fr-FR"/>
        </w:rPr>
        <w:t>d’un</w:t>
      </w:r>
      <w:r w:rsidR="00C7590A">
        <w:rPr>
          <w:lang w:val="fr-FR"/>
        </w:rPr>
        <w:t>e part</w:t>
      </w:r>
      <w:r w:rsidR="00A03C71" w:rsidRPr="00EA2E2A">
        <w:rPr>
          <w:lang w:val="fr-FR"/>
        </w:rPr>
        <w:t xml:space="preserve">, </w:t>
      </w:r>
      <w:r w:rsidR="008167BA">
        <w:rPr>
          <w:lang w:val="fr-FR"/>
        </w:rPr>
        <w:t>et l’extension</w:t>
      </w:r>
      <w:r w:rsidR="00A03C71" w:rsidRPr="00EA2E2A">
        <w:rPr>
          <w:lang w:val="fr-FR"/>
        </w:rPr>
        <w:t xml:space="preserve">, </w:t>
      </w:r>
      <w:r w:rsidR="00C7590A">
        <w:rPr>
          <w:lang w:val="fr-FR"/>
        </w:rPr>
        <w:t>d’</w:t>
      </w:r>
      <w:r w:rsidR="008167BA">
        <w:rPr>
          <w:lang w:val="fr-FR"/>
        </w:rPr>
        <w:t>autre</w:t>
      </w:r>
      <w:r w:rsidR="00C7590A">
        <w:rPr>
          <w:lang w:val="fr-FR"/>
        </w:rPr>
        <w:t xml:space="preserve"> part</w:t>
      </w:r>
      <w:r w:rsidR="00A03C71" w:rsidRPr="00EA2E2A">
        <w:rPr>
          <w:lang w:val="fr-FR"/>
        </w:rPr>
        <w:t xml:space="preserve">, </w:t>
      </w:r>
      <w:r w:rsidR="008167BA">
        <w:rPr>
          <w:lang w:val="fr-FR"/>
        </w:rPr>
        <w:t xml:space="preserve">du programme de renforcement des capacités à un nombre accru de pays </w:t>
      </w:r>
      <w:r w:rsidR="008167BA" w:rsidRPr="00EA2E2A">
        <w:rPr>
          <w:lang w:val="fr-FR"/>
        </w:rPr>
        <w:t>bénéficiaire</w:t>
      </w:r>
      <w:r w:rsidR="008167BA">
        <w:rPr>
          <w:lang w:val="fr-FR"/>
        </w:rPr>
        <w:t>s</w:t>
      </w:r>
      <w:r w:rsidR="00A03C71" w:rsidRPr="00EA2E2A">
        <w:rPr>
          <w:lang w:val="fr-FR"/>
        </w:rPr>
        <w:t xml:space="preserve">. </w:t>
      </w:r>
      <w:r w:rsidR="00960122">
        <w:rPr>
          <w:lang w:val="fr-FR"/>
        </w:rPr>
        <w:t xml:space="preserve">Dans l’ensemble, des progrès constants ont été effectués pour satisfaire aux objectifs et </w:t>
      </w:r>
      <w:r w:rsidR="00C16CCD">
        <w:rPr>
          <w:lang w:val="fr-FR"/>
        </w:rPr>
        <w:t>indicateurs</w:t>
      </w:r>
      <w:r w:rsidR="00960122">
        <w:rPr>
          <w:lang w:val="fr-FR"/>
        </w:rPr>
        <w:t xml:space="preserve"> de référence de l’</w:t>
      </w:r>
      <w:r w:rsidR="00FE2DC0" w:rsidRPr="00EA2E2A">
        <w:rPr>
          <w:lang w:val="fr-FR"/>
        </w:rPr>
        <w:t>exercice biennal</w:t>
      </w:r>
      <w:r w:rsidR="00A03C71" w:rsidRPr="00EA2E2A">
        <w:rPr>
          <w:lang w:val="fr-FR"/>
        </w:rPr>
        <w:t xml:space="preserve"> </w:t>
      </w:r>
      <w:r w:rsidR="00960122">
        <w:rPr>
          <w:lang w:val="fr-FR"/>
        </w:rPr>
        <w:t xml:space="preserve">et du </w:t>
      </w:r>
      <w:r w:rsidR="00A03C71" w:rsidRPr="00EA2E2A">
        <w:rPr>
          <w:lang w:val="fr-FR"/>
        </w:rPr>
        <w:t>quadr</w:t>
      </w:r>
      <w:r w:rsidR="00B239C1">
        <w:rPr>
          <w:lang w:val="fr-FR"/>
        </w:rPr>
        <w:t>i</w:t>
      </w:r>
      <w:r w:rsidR="00A03C71" w:rsidRPr="00EA2E2A">
        <w:rPr>
          <w:lang w:val="fr-FR"/>
        </w:rPr>
        <w:t xml:space="preserve">ennium. </w:t>
      </w:r>
      <w:r w:rsidR="00960122">
        <w:rPr>
          <w:lang w:val="fr-FR"/>
        </w:rPr>
        <w:t xml:space="preserve">Le principe </w:t>
      </w:r>
      <w:r w:rsidR="00F152CA">
        <w:rPr>
          <w:lang w:val="fr-FR"/>
        </w:rPr>
        <w:t xml:space="preserve">à l’œuvre </w:t>
      </w:r>
      <w:r w:rsidR="00960122">
        <w:rPr>
          <w:lang w:val="fr-FR"/>
        </w:rPr>
        <w:t xml:space="preserve">derrière chaque </w:t>
      </w:r>
      <w:r w:rsidR="00A03C71" w:rsidRPr="00EA2E2A">
        <w:rPr>
          <w:lang w:val="fr-FR"/>
        </w:rPr>
        <w:t xml:space="preserve">aspect </w:t>
      </w:r>
      <w:r w:rsidR="00960122">
        <w:rPr>
          <w:lang w:val="fr-FR"/>
        </w:rPr>
        <w:t xml:space="preserve">du travail du </w:t>
      </w:r>
      <w:r w:rsidR="00C77767" w:rsidRPr="00EA2E2A">
        <w:rPr>
          <w:lang w:val="fr-FR"/>
        </w:rPr>
        <w:t>Secrétariat</w:t>
      </w:r>
      <w:r w:rsidR="00A03C71" w:rsidRPr="00EA2E2A">
        <w:rPr>
          <w:lang w:val="fr-FR"/>
        </w:rPr>
        <w:t xml:space="preserve"> </w:t>
      </w:r>
      <w:r w:rsidR="00960122">
        <w:rPr>
          <w:lang w:val="fr-FR"/>
        </w:rPr>
        <w:t xml:space="preserve">est de fournir à la communauté </w:t>
      </w:r>
      <w:r w:rsidR="00960122" w:rsidRPr="00EA2E2A">
        <w:rPr>
          <w:lang w:val="fr-FR"/>
        </w:rPr>
        <w:t>international</w:t>
      </w:r>
      <w:r w:rsidR="00960122">
        <w:rPr>
          <w:lang w:val="fr-FR"/>
        </w:rPr>
        <w:t>e</w:t>
      </w:r>
      <w:r w:rsidR="00960122" w:rsidRPr="00EA2E2A">
        <w:rPr>
          <w:lang w:val="fr-FR"/>
        </w:rPr>
        <w:t xml:space="preserve"> </w:t>
      </w:r>
      <w:r w:rsidR="00960122">
        <w:rPr>
          <w:lang w:val="fr-FR"/>
        </w:rPr>
        <w:t xml:space="preserve">un </w:t>
      </w:r>
      <w:r w:rsidR="00A03C71" w:rsidRPr="00EA2E2A">
        <w:rPr>
          <w:lang w:val="fr-FR"/>
        </w:rPr>
        <w:t>environ</w:t>
      </w:r>
      <w:r w:rsidR="00960122">
        <w:rPr>
          <w:lang w:val="fr-FR"/>
        </w:rPr>
        <w:t>ne</w:t>
      </w:r>
      <w:r w:rsidR="00A03C71" w:rsidRPr="00EA2E2A">
        <w:rPr>
          <w:lang w:val="fr-FR"/>
        </w:rPr>
        <w:t xml:space="preserve">ment </w:t>
      </w:r>
      <w:r w:rsidR="00960122">
        <w:rPr>
          <w:lang w:val="fr-FR"/>
        </w:rPr>
        <w:t>des plus propice</w:t>
      </w:r>
      <w:r w:rsidR="007B592B">
        <w:rPr>
          <w:lang w:val="fr-FR"/>
        </w:rPr>
        <w:t>s</w:t>
      </w:r>
      <w:r w:rsidR="00960122">
        <w:rPr>
          <w:lang w:val="fr-FR"/>
        </w:rPr>
        <w:t xml:space="preserve"> à </w:t>
      </w:r>
      <w:r w:rsidR="00A03C71" w:rsidRPr="00EA2E2A">
        <w:rPr>
          <w:lang w:val="fr-FR"/>
        </w:rPr>
        <w:t>encourag</w:t>
      </w:r>
      <w:r w:rsidR="00960122">
        <w:rPr>
          <w:lang w:val="fr-FR"/>
        </w:rPr>
        <w:t xml:space="preserve">er la </w:t>
      </w:r>
      <w:r w:rsidR="00960122" w:rsidRPr="00EA2E2A">
        <w:rPr>
          <w:lang w:val="fr-FR"/>
        </w:rPr>
        <w:t>coopération</w:t>
      </w:r>
      <w:r w:rsidR="00A03C71" w:rsidRPr="00EA2E2A">
        <w:rPr>
          <w:lang w:val="fr-FR"/>
        </w:rPr>
        <w:t xml:space="preserve"> </w:t>
      </w:r>
      <w:r w:rsidR="00960122">
        <w:rPr>
          <w:lang w:val="fr-FR"/>
        </w:rPr>
        <w:t xml:space="preserve">internationale et une meilleure mise en œuvre de la </w:t>
      </w:r>
      <w:r w:rsidR="00A03C71" w:rsidRPr="00EA2E2A">
        <w:rPr>
          <w:lang w:val="fr-FR"/>
        </w:rPr>
        <w:t xml:space="preserve">Convention </w:t>
      </w:r>
      <w:r w:rsidR="00960122">
        <w:rPr>
          <w:lang w:val="fr-FR"/>
        </w:rPr>
        <w:t>au</w:t>
      </w:r>
      <w:r w:rsidR="00880993">
        <w:rPr>
          <w:lang w:val="fr-FR"/>
        </w:rPr>
        <w:t>x</w:t>
      </w:r>
      <w:r w:rsidR="00960122">
        <w:rPr>
          <w:lang w:val="fr-FR"/>
        </w:rPr>
        <w:t xml:space="preserve"> niveau</w:t>
      </w:r>
      <w:r w:rsidR="00880993">
        <w:rPr>
          <w:lang w:val="fr-FR"/>
        </w:rPr>
        <w:t>x</w:t>
      </w:r>
      <w:r w:rsidR="00960122">
        <w:rPr>
          <w:lang w:val="fr-FR"/>
        </w:rPr>
        <w:t xml:space="preserve"> </w:t>
      </w:r>
      <w:r w:rsidR="00A03C71" w:rsidRPr="00EA2E2A">
        <w:rPr>
          <w:lang w:val="fr-FR"/>
        </w:rPr>
        <w:t>national</w:t>
      </w:r>
      <w:r w:rsidR="00880993">
        <w:rPr>
          <w:lang w:val="fr-FR"/>
        </w:rPr>
        <w:t xml:space="preserve"> et international</w:t>
      </w:r>
      <w:r w:rsidR="00960122">
        <w:rPr>
          <w:lang w:val="fr-FR"/>
        </w:rPr>
        <w:t xml:space="preserve">, et ce, </w:t>
      </w:r>
      <w:r w:rsidR="007B592B">
        <w:rPr>
          <w:lang w:val="fr-FR"/>
        </w:rPr>
        <w:t xml:space="preserve">au bénéfice </w:t>
      </w:r>
      <w:r w:rsidR="00960122" w:rsidRPr="00F152CA">
        <w:rPr>
          <w:lang w:val="fr-FR"/>
        </w:rPr>
        <w:t>des communautés</w:t>
      </w:r>
      <w:r w:rsidR="00A03C71" w:rsidRPr="00F152CA">
        <w:rPr>
          <w:lang w:val="fr-FR"/>
        </w:rPr>
        <w:t>, group</w:t>
      </w:r>
      <w:r w:rsidR="00960122" w:rsidRPr="00F152CA">
        <w:rPr>
          <w:lang w:val="fr-FR"/>
        </w:rPr>
        <w:t>e</w:t>
      </w:r>
      <w:r w:rsidR="00A03C71" w:rsidRPr="00F152CA">
        <w:rPr>
          <w:lang w:val="fr-FR"/>
        </w:rPr>
        <w:t xml:space="preserve">s </w:t>
      </w:r>
      <w:r w:rsidR="00960122" w:rsidRPr="00F152CA">
        <w:rPr>
          <w:lang w:val="fr-FR"/>
        </w:rPr>
        <w:t xml:space="preserve">et </w:t>
      </w:r>
      <w:r w:rsidR="00A03C71" w:rsidRPr="00F152CA">
        <w:rPr>
          <w:lang w:val="fr-FR"/>
        </w:rPr>
        <w:t xml:space="preserve">individus </w:t>
      </w:r>
      <w:r w:rsidR="00F152CA" w:rsidRPr="00F152CA">
        <w:rPr>
          <w:lang w:val="fr-FR"/>
        </w:rPr>
        <w:t xml:space="preserve">dont </w:t>
      </w:r>
      <w:r w:rsidR="00960122" w:rsidRPr="00F152CA">
        <w:rPr>
          <w:lang w:val="fr-FR"/>
        </w:rPr>
        <w:t xml:space="preserve">le patrimoine culturel immatériel est </w:t>
      </w:r>
      <w:r w:rsidR="00A03C71" w:rsidRPr="00F152CA">
        <w:rPr>
          <w:lang w:val="fr-FR"/>
        </w:rPr>
        <w:t xml:space="preserve">crucial </w:t>
      </w:r>
      <w:r w:rsidR="00960122" w:rsidRPr="00F152CA">
        <w:rPr>
          <w:lang w:val="fr-FR"/>
        </w:rPr>
        <w:t xml:space="preserve">pour leur </w:t>
      </w:r>
      <w:r w:rsidR="00A03C71" w:rsidRPr="00F152CA">
        <w:rPr>
          <w:lang w:val="fr-FR"/>
        </w:rPr>
        <w:t>identit</w:t>
      </w:r>
      <w:r w:rsidR="00960122" w:rsidRPr="00F152CA">
        <w:rPr>
          <w:lang w:val="fr-FR"/>
        </w:rPr>
        <w:t xml:space="preserve">é et </w:t>
      </w:r>
      <w:r w:rsidR="007B592B">
        <w:rPr>
          <w:lang w:val="fr-FR"/>
        </w:rPr>
        <w:t>continuité</w:t>
      </w:r>
      <w:r w:rsidR="00A03C71" w:rsidRPr="00F152CA">
        <w:rPr>
          <w:lang w:val="fr-FR"/>
        </w:rPr>
        <w:t>.</w:t>
      </w:r>
    </w:p>
    <w:p w14:paraId="66220A40" w14:textId="75CB40CA" w:rsidR="00A03C71" w:rsidRPr="00EA2E2A" w:rsidRDefault="00F152CA" w:rsidP="005E0477">
      <w:pPr>
        <w:pStyle w:val="COMPara"/>
        <w:numPr>
          <w:ilvl w:val="0"/>
          <w:numId w:val="9"/>
        </w:numPr>
        <w:ind w:left="567" w:hanging="567"/>
        <w:jc w:val="both"/>
        <w:rPr>
          <w:lang w:val="fr-FR"/>
        </w:rPr>
      </w:pPr>
      <w:r>
        <w:rPr>
          <w:lang w:val="fr-FR"/>
        </w:rPr>
        <w:t xml:space="preserve">Pendant la </w:t>
      </w:r>
      <w:r w:rsidR="000C694D" w:rsidRPr="00EA2E2A">
        <w:rPr>
          <w:lang w:val="fr-FR"/>
        </w:rPr>
        <w:t xml:space="preserve">période </w:t>
      </w:r>
      <w:r w:rsidR="00C30076">
        <w:rPr>
          <w:lang w:val="fr-FR"/>
        </w:rPr>
        <w:t>considérée</w:t>
      </w:r>
      <w:r>
        <w:rPr>
          <w:lang w:val="fr-FR"/>
        </w:rPr>
        <w:t xml:space="preserve">, le </w:t>
      </w:r>
      <w:r w:rsidR="00C77767" w:rsidRPr="00EA2E2A">
        <w:rPr>
          <w:lang w:val="fr-FR"/>
        </w:rPr>
        <w:t>Secrétariat</w:t>
      </w:r>
      <w:r w:rsidR="00A03C71" w:rsidRPr="00EA2E2A">
        <w:rPr>
          <w:lang w:val="fr-FR"/>
        </w:rPr>
        <w:t xml:space="preserve"> </w:t>
      </w:r>
      <w:r>
        <w:rPr>
          <w:lang w:val="fr-FR"/>
        </w:rPr>
        <w:t xml:space="preserve">a </w:t>
      </w:r>
      <w:r w:rsidR="00880993">
        <w:rPr>
          <w:lang w:val="fr-FR"/>
        </w:rPr>
        <w:t xml:space="preserve">répondu </w:t>
      </w:r>
      <w:r>
        <w:rPr>
          <w:lang w:val="fr-FR"/>
        </w:rPr>
        <w:t xml:space="preserve">aux demandes </w:t>
      </w:r>
      <w:r w:rsidR="001A28C8">
        <w:rPr>
          <w:lang w:val="fr-FR"/>
        </w:rPr>
        <w:t>des organes directeurs</w:t>
      </w:r>
      <w:r>
        <w:rPr>
          <w:lang w:val="fr-FR"/>
        </w:rPr>
        <w:t xml:space="preserve"> en aidant la communauté </w:t>
      </w:r>
      <w:r w:rsidRPr="00EA2E2A">
        <w:rPr>
          <w:lang w:val="fr-FR"/>
        </w:rPr>
        <w:t>international</w:t>
      </w:r>
      <w:r>
        <w:rPr>
          <w:lang w:val="fr-FR"/>
        </w:rPr>
        <w:t>e</w:t>
      </w:r>
      <w:r w:rsidRPr="00EA2E2A">
        <w:rPr>
          <w:lang w:val="fr-FR"/>
        </w:rPr>
        <w:t xml:space="preserve"> </w:t>
      </w:r>
      <w:r>
        <w:rPr>
          <w:lang w:val="fr-FR"/>
        </w:rPr>
        <w:t>à prendre en compte divers domaines thématiques transverses comme le développement durable</w:t>
      </w:r>
      <w:r w:rsidR="00A03C71" w:rsidRPr="00EA2E2A">
        <w:rPr>
          <w:lang w:val="fr-FR"/>
        </w:rPr>
        <w:t xml:space="preserve">, </w:t>
      </w:r>
      <w:r w:rsidR="001A28C8">
        <w:rPr>
          <w:lang w:val="fr-FR"/>
        </w:rPr>
        <w:t xml:space="preserve">les codes d’éthique, </w:t>
      </w:r>
      <w:r>
        <w:rPr>
          <w:lang w:val="fr-FR"/>
        </w:rPr>
        <w:t xml:space="preserve">la gestion des </w:t>
      </w:r>
      <w:r w:rsidR="00A03C71" w:rsidRPr="00EA2E2A">
        <w:rPr>
          <w:lang w:val="fr-FR"/>
        </w:rPr>
        <w:t>conflit</w:t>
      </w:r>
      <w:r>
        <w:rPr>
          <w:lang w:val="fr-FR"/>
        </w:rPr>
        <w:t>s</w:t>
      </w:r>
      <w:r w:rsidR="00A03C71" w:rsidRPr="00EA2E2A">
        <w:rPr>
          <w:lang w:val="fr-FR"/>
        </w:rPr>
        <w:t xml:space="preserve"> </w:t>
      </w:r>
      <w:r>
        <w:rPr>
          <w:lang w:val="fr-FR"/>
        </w:rPr>
        <w:t xml:space="preserve">et des </w:t>
      </w:r>
      <w:r w:rsidR="00A03C71" w:rsidRPr="00EA2E2A">
        <w:rPr>
          <w:lang w:val="fr-FR"/>
        </w:rPr>
        <w:t>d</w:t>
      </w:r>
      <w:r>
        <w:rPr>
          <w:lang w:val="fr-FR"/>
        </w:rPr>
        <w:t>é</w:t>
      </w:r>
      <w:r w:rsidR="00A03C71" w:rsidRPr="00EA2E2A">
        <w:rPr>
          <w:lang w:val="fr-FR"/>
        </w:rPr>
        <w:t>sast</w:t>
      </w:r>
      <w:r>
        <w:rPr>
          <w:lang w:val="fr-FR"/>
        </w:rPr>
        <w:t>res</w:t>
      </w:r>
      <w:r w:rsidR="001A28C8">
        <w:rPr>
          <w:lang w:val="fr-FR"/>
        </w:rPr>
        <w:t>,</w:t>
      </w:r>
      <w:r>
        <w:rPr>
          <w:lang w:val="fr-FR"/>
        </w:rPr>
        <w:t xml:space="preserve"> et le rôle du </w:t>
      </w:r>
      <w:r w:rsidR="00A03C71" w:rsidRPr="00EA2E2A">
        <w:rPr>
          <w:lang w:val="fr-FR"/>
        </w:rPr>
        <w:t>gen</w:t>
      </w:r>
      <w:r>
        <w:rPr>
          <w:lang w:val="fr-FR"/>
        </w:rPr>
        <w:t>re</w:t>
      </w:r>
      <w:r w:rsidR="00A03C71" w:rsidRPr="00EA2E2A">
        <w:rPr>
          <w:lang w:val="fr-FR"/>
        </w:rPr>
        <w:t xml:space="preserve">. </w:t>
      </w:r>
      <w:r>
        <w:rPr>
          <w:lang w:val="fr-FR"/>
        </w:rPr>
        <w:t xml:space="preserve">De plus, </w:t>
      </w:r>
      <w:r w:rsidR="007B3438">
        <w:rPr>
          <w:lang w:val="fr-FR"/>
        </w:rPr>
        <w:t xml:space="preserve">le Secrétariat a cherché à </w:t>
      </w:r>
      <w:r w:rsidR="00F96021">
        <w:rPr>
          <w:lang w:val="fr-FR"/>
        </w:rPr>
        <w:t xml:space="preserve">améliorer l’efficacité du soutien apporté aux États parties en mettant en place de nouvelles </w:t>
      </w:r>
      <w:r w:rsidR="00F96021" w:rsidRPr="00F96021">
        <w:rPr>
          <w:lang w:val="fr-FR"/>
        </w:rPr>
        <w:t>méthodologies</w:t>
      </w:r>
      <w:r w:rsidR="00A03C71" w:rsidRPr="00F96021">
        <w:rPr>
          <w:lang w:val="fr-FR"/>
        </w:rPr>
        <w:t xml:space="preserve"> </w:t>
      </w:r>
      <w:r w:rsidR="00F96021">
        <w:rPr>
          <w:lang w:val="fr-FR"/>
        </w:rPr>
        <w:t xml:space="preserve">comme l’assistance technique dans le cadre de la </w:t>
      </w:r>
      <w:r w:rsidR="00A03C71" w:rsidRPr="00F96021">
        <w:rPr>
          <w:lang w:val="fr-FR"/>
        </w:rPr>
        <w:t>r</w:t>
      </w:r>
      <w:r w:rsidR="00F96021">
        <w:rPr>
          <w:lang w:val="fr-FR"/>
        </w:rPr>
        <w:t>é</w:t>
      </w:r>
      <w:r w:rsidR="00A03C71" w:rsidRPr="00F96021">
        <w:rPr>
          <w:lang w:val="fr-FR"/>
        </w:rPr>
        <w:t>vis</w:t>
      </w:r>
      <w:r w:rsidR="00F96021">
        <w:rPr>
          <w:lang w:val="fr-FR"/>
        </w:rPr>
        <w:t>ion ou de l’é</w:t>
      </w:r>
      <w:r w:rsidR="00A03C71" w:rsidRPr="00F96021">
        <w:rPr>
          <w:lang w:val="fr-FR"/>
        </w:rPr>
        <w:t>laborat</w:t>
      </w:r>
      <w:r w:rsidR="00F96021">
        <w:rPr>
          <w:lang w:val="fr-FR"/>
        </w:rPr>
        <w:t>ion des demandes d’a</w:t>
      </w:r>
      <w:r w:rsidR="00AC0ECC" w:rsidRPr="00F96021">
        <w:rPr>
          <w:lang w:val="fr-FR"/>
        </w:rPr>
        <w:t>ssistance internationale</w:t>
      </w:r>
      <w:r w:rsidR="00A03C71" w:rsidRPr="00F96021">
        <w:rPr>
          <w:lang w:val="fr-FR"/>
        </w:rPr>
        <w:t xml:space="preserve">, </w:t>
      </w:r>
      <w:r w:rsidR="00F96021">
        <w:rPr>
          <w:lang w:val="fr-FR"/>
        </w:rPr>
        <w:t>en simplifiant les processus</w:t>
      </w:r>
      <w:r w:rsidR="00A03C71" w:rsidRPr="00F96021">
        <w:rPr>
          <w:lang w:val="fr-FR"/>
        </w:rPr>
        <w:t xml:space="preserve">, </w:t>
      </w:r>
      <w:r w:rsidR="00F96021">
        <w:rPr>
          <w:lang w:val="fr-FR"/>
        </w:rPr>
        <w:t>ou en améliorant l’</w:t>
      </w:r>
      <w:r w:rsidR="00A03C71" w:rsidRPr="00F96021">
        <w:rPr>
          <w:lang w:val="fr-FR"/>
        </w:rPr>
        <w:t>acc</w:t>
      </w:r>
      <w:r w:rsidR="00F96021">
        <w:rPr>
          <w:lang w:val="fr-FR"/>
        </w:rPr>
        <w:t xml:space="preserve">ès aux </w:t>
      </w:r>
      <w:r w:rsidR="00A03C71" w:rsidRPr="00F96021">
        <w:rPr>
          <w:lang w:val="fr-FR"/>
        </w:rPr>
        <w:t>information</w:t>
      </w:r>
      <w:r w:rsidR="00F96021">
        <w:rPr>
          <w:lang w:val="fr-FR"/>
        </w:rPr>
        <w:t>s</w:t>
      </w:r>
      <w:r w:rsidR="00A03C71" w:rsidRPr="00F96021">
        <w:rPr>
          <w:lang w:val="fr-FR"/>
        </w:rPr>
        <w:t xml:space="preserve"> </w:t>
      </w:r>
      <w:r w:rsidR="00F96021">
        <w:rPr>
          <w:lang w:val="fr-FR"/>
        </w:rPr>
        <w:t xml:space="preserve">sur la </w:t>
      </w:r>
      <w:r w:rsidR="00A03C71" w:rsidRPr="00F96021">
        <w:rPr>
          <w:lang w:val="fr-FR"/>
        </w:rPr>
        <w:t xml:space="preserve">Convention. </w:t>
      </w:r>
      <w:r w:rsidR="00F96021">
        <w:rPr>
          <w:lang w:val="fr-FR"/>
        </w:rPr>
        <w:t xml:space="preserve">Dans le même mouvement, des </w:t>
      </w:r>
      <w:r w:rsidR="00A03C71" w:rsidRPr="00F96021">
        <w:rPr>
          <w:lang w:val="fr-FR"/>
        </w:rPr>
        <w:t>action</w:t>
      </w:r>
      <w:r w:rsidR="00F96021">
        <w:rPr>
          <w:lang w:val="fr-FR"/>
        </w:rPr>
        <w:t>s</w:t>
      </w:r>
      <w:r w:rsidR="00A03C71" w:rsidRPr="00F96021">
        <w:rPr>
          <w:lang w:val="fr-FR"/>
        </w:rPr>
        <w:t xml:space="preserve"> </w:t>
      </w:r>
      <w:r w:rsidR="00F96021">
        <w:rPr>
          <w:lang w:val="fr-FR"/>
        </w:rPr>
        <w:t xml:space="preserve">ont été prises pour commencer à </w:t>
      </w:r>
      <w:r w:rsidR="00F71C6E">
        <w:rPr>
          <w:lang w:val="fr-FR"/>
        </w:rPr>
        <w:t xml:space="preserve">élaborer </w:t>
      </w:r>
      <w:r w:rsidR="00F96021">
        <w:rPr>
          <w:lang w:val="fr-FR"/>
        </w:rPr>
        <w:t>un mécanisme de suivi qui permettra</w:t>
      </w:r>
      <w:r w:rsidR="00BD029F">
        <w:rPr>
          <w:lang w:val="fr-FR"/>
        </w:rPr>
        <w:t>it</w:t>
      </w:r>
      <w:r w:rsidR="00F96021">
        <w:rPr>
          <w:lang w:val="fr-FR"/>
        </w:rPr>
        <w:t xml:space="preserve"> d’évaluer </w:t>
      </w:r>
      <w:r w:rsidR="00A03C71" w:rsidRPr="00F96021">
        <w:rPr>
          <w:lang w:val="fr-FR"/>
        </w:rPr>
        <w:t>qualitative</w:t>
      </w:r>
      <w:r w:rsidR="00F96021">
        <w:rPr>
          <w:lang w:val="fr-FR"/>
        </w:rPr>
        <w:t xml:space="preserve">ment et </w:t>
      </w:r>
      <w:r w:rsidR="00A03C71" w:rsidRPr="00F96021">
        <w:rPr>
          <w:lang w:val="fr-FR"/>
        </w:rPr>
        <w:t>quantitative</w:t>
      </w:r>
      <w:r w:rsidR="00F96021">
        <w:rPr>
          <w:lang w:val="fr-FR"/>
        </w:rPr>
        <w:t>ment l’efficacité à court et long termes du programme de renforcement des capacités</w:t>
      </w:r>
      <w:r w:rsidR="00BD029F">
        <w:rPr>
          <w:lang w:val="fr-FR"/>
        </w:rPr>
        <w:t xml:space="preserve"> qui devrait</w:t>
      </w:r>
      <w:r w:rsidR="00C10EFA">
        <w:rPr>
          <w:lang w:val="fr-FR"/>
        </w:rPr>
        <w:t xml:space="preserve"> compléter, dans un futur proche, </w:t>
      </w:r>
      <w:r w:rsidR="00BD029F">
        <w:rPr>
          <w:lang w:val="fr-FR"/>
        </w:rPr>
        <w:t>l’élaboration d’</w:t>
      </w:r>
      <w:r w:rsidR="00BD029F" w:rsidRPr="00E50F61">
        <w:rPr>
          <w:lang w:val="fr-FR"/>
        </w:rPr>
        <w:t>un cadre global de résultats pour la Convention</w:t>
      </w:r>
      <w:r w:rsidR="00BD029F">
        <w:rPr>
          <w:lang w:val="fr-FR"/>
        </w:rPr>
        <w:t>.</w:t>
      </w:r>
    </w:p>
    <w:p w14:paraId="42F024D9" w14:textId="7819FE3F" w:rsidR="00F238F5" w:rsidRDefault="00F152CA" w:rsidP="005E0477">
      <w:pPr>
        <w:pStyle w:val="COMPara"/>
        <w:numPr>
          <w:ilvl w:val="0"/>
          <w:numId w:val="9"/>
        </w:numPr>
        <w:ind w:left="567" w:hanging="567"/>
        <w:jc w:val="both"/>
        <w:rPr>
          <w:lang w:val="fr-FR"/>
        </w:rPr>
      </w:pPr>
      <w:r>
        <w:rPr>
          <w:lang w:val="fr-FR"/>
        </w:rPr>
        <w:t xml:space="preserve">La </w:t>
      </w:r>
      <w:r w:rsidR="00A03C71" w:rsidRPr="00EA2E2A">
        <w:rPr>
          <w:lang w:val="fr-FR"/>
        </w:rPr>
        <w:t xml:space="preserve">situation </w:t>
      </w:r>
      <w:r>
        <w:rPr>
          <w:lang w:val="fr-FR"/>
        </w:rPr>
        <w:t xml:space="preserve">du </w:t>
      </w:r>
      <w:r w:rsidR="00C77767" w:rsidRPr="00EA2E2A">
        <w:rPr>
          <w:lang w:val="fr-FR"/>
        </w:rPr>
        <w:t>Secrétariat</w:t>
      </w:r>
      <w:r w:rsidR="00A03C71" w:rsidRPr="00EA2E2A">
        <w:rPr>
          <w:lang w:val="fr-FR"/>
        </w:rPr>
        <w:t xml:space="preserve"> </w:t>
      </w:r>
      <w:r>
        <w:rPr>
          <w:lang w:val="fr-FR"/>
        </w:rPr>
        <w:t xml:space="preserve">en matière de </w:t>
      </w:r>
      <w:r w:rsidRPr="00EA2E2A">
        <w:rPr>
          <w:lang w:val="fr-FR"/>
        </w:rPr>
        <w:t>res</w:t>
      </w:r>
      <w:r>
        <w:rPr>
          <w:lang w:val="fr-FR"/>
        </w:rPr>
        <w:t>s</w:t>
      </w:r>
      <w:r w:rsidRPr="00EA2E2A">
        <w:rPr>
          <w:lang w:val="fr-FR"/>
        </w:rPr>
        <w:t xml:space="preserve">ources </w:t>
      </w:r>
      <w:r>
        <w:rPr>
          <w:lang w:val="fr-FR"/>
        </w:rPr>
        <w:t xml:space="preserve">humaines reste </w:t>
      </w:r>
      <w:r w:rsidR="00F65E68">
        <w:rPr>
          <w:lang w:val="fr-FR"/>
        </w:rPr>
        <w:t>très difficile</w:t>
      </w:r>
      <w:r w:rsidR="001A28C8">
        <w:rPr>
          <w:lang w:val="fr-FR"/>
        </w:rPr>
        <w:t xml:space="preserve"> </w:t>
      </w:r>
      <w:r w:rsidR="0034290B">
        <w:rPr>
          <w:lang w:val="fr-FR"/>
        </w:rPr>
        <w:t xml:space="preserve">au regard des </w:t>
      </w:r>
      <w:r w:rsidR="00A03C71" w:rsidRPr="00EA2E2A">
        <w:rPr>
          <w:lang w:val="fr-FR"/>
        </w:rPr>
        <w:t>respons</w:t>
      </w:r>
      <w:r w:rsidR="0034290B">
        <w:rPr>
          <w:lang w:val="fr-FR"/>
        </w:rPr>
        <w:t>a</w:t>
      </w:r>
      <w:r w:rsidR="00A03C71" w:rsidRPr="00EA2E2A">
        <w:rPr>
          <w:lang w:val="fr-FR"/>
        </w:rPr>
        <w:t>bilit</w:t>
      </w:r>
      <w:r w:rsidR="0034290B">
        <w:rPr>
          <w:lang w:val="fr-FR"/>
        </w:rPr>
        <w:t>é</w:t>
      </w:r>
      <w:r w:rsidR="00A03C71" w:rsidRPr="00EA2E2A">
        <w:rPr>
          <w:lang w:val="fr-FR"/>
        </w:rPr>
        <w:t xml:space="preserve">s </w:t>
      </w:r>
      <w:r w:rsidR="0034290B">
        <w:rPr>
          <w:lang w:val="fr-FR"/>
        </w:rPr>
        <w:t xml:space="preserve">importantes et du grand </w:t>
      </w:r>
      <w:r w:rsidR="00A03C71" w:rsidRPr="00EA2E2A">
        <w:rPr>
          <w:lang w:val="fr-FR"/>
        </w:rPr>
        <w:t xml:space="preserve">volume </w:t>
      </w:r>
      <w:r w:rsidR="0034290B">
        <w:rPr>
          <w:lang w:val="fr-FR"/>
        </w:rPr>
        <w:t xml:space="preserve">de </w:t>
      </w:r>
      <w:r w:rsidR="00A03C71" w:rsidRPr="00EA2E2A">
        <w:rPr>
          <w:lang w:val="fr-FR"/>
        </w:rPr>
        <w:t>t</w:t>
      </w:r>
      <w:r w:rsidR="0034290B">
        <w:rPr>
          <w:lang w:val="fr-FR"/>
        </w:rPr>
        <w:t xml:space="preserve">âches qui lui </w:t>
      </w:r>
      <w:r w:rsidR="00D72548">
        <w:rPr>
          <w:lang w:val="fr-FR"/>
        </w:rPr>
        <w:t>son</w:t>
      </w:r>
      <w:r w:rsidR="007A7DAD">
        <w:rPr>
          <w:lang w:val="fr-FR"/>
        </w:rPr>
        <w:t xml:space="preserve">t </w:t>
      </w:r>
      <w:r w:rsidR="0034290B">
        <w:rPr>
          <w:lang w:val="fr-FR"/>
        </w:rPr>
        <w:t>attribué</w:t>
      </w:r>
      <w:r w:rsidR="00D72548">
        <w:rPr>
          <w:lang w:val="fr-FR"/>
        </w:rPr>
        <w:t>s</w:t>
      </w:r>
      <w:r w:rsidR="007A7DAD">
        <w:rPr>
          <w:lang w:val="fr-FR"/>
        </w:rPr>
        <w:t xml:space="preserve"> </w:t>
      </w:r>
      <w:r w:rsidR="0034290B">
        <w:rPr>
          <w:lang w:val="fr-FR"/>
        </w:rPr>
        <w:t xml:space="preserve">par la </w:t>
      </w:r>
      <w:r w:rsidR="00A03C71" w:rsidRPr="00EA2E2A">
        <w:rPr>
          <w:lang w:val="fr-FR"/>
        </w:rPr>
        <w:t xml:space="preserve">Convention, </w:t>
      </w:r>
      <w:r w:rsidR="0034290B">
        <w:rPr>
          <w:lang w:val="fr-FR"/>
        </w:rPr>
        <w:t xml:space="preserve">les </w:t>
      </w:r>
      <w:r w:rsidR="00700883" w:rsidRPr="00EA2E2A">
        <w:rPr>
          <w:lang w:val="fr-FR"/>
        </w:rPr>
        <w:t>Directives opérationnelles</w:t>
      </w:r>
      <w:r w:rsidR="00A03C71" w:rsidRPr="00EA2E2A">
        <w:rPr>
          <w:lang w:val="fr-FR"/>
        </w:rPr>
        <w:t xml:space="preserve">, </w:t>
      </w:r>
      <w:r w:rsidR="0034290B">
        <w:rPr>
          <w:lang w:val="fr-FR"/>
        </w:rPr>
        <w:t>les organes directeurs et l’</w:t>
      </w:r>
      <w:r w:rsidR="00A03C71" w:rsidRPr="00EA2E2A">
        <w:rPr>
          <w:lang w:val="fr-FR"/>
        </w:rPr>
        <w:t>Organi</w:t>
      </w:r>
      <w:r w:rsidR="0034290B">
        <w:rPr>
          <w:lang w:val="fr-FR"/>
        </w:rPr>
        <w:t>s</w:t>
      </w:r>
      <w:r w:rsidR="00A03C71" w:rsidRPr="00EA2E2A">
        <w:rPr>
          <w:lang w:val="fr-FR"/>
        </w:rPr>
        <w:t xml:space="preserve">ation. </w:t>
      </w:r>
      <w:r w:rsidR="004A17DA">
        <w:rPr>
          <w:lang w:val="fr-FR"/>
        </w:rPr>
        <w:t>Alors que l</w:t>
      </w:r>
      <w:r w:rsidR="007A7DAD">
        <w:rPr>
          <w:lang w:val="fr-FR"/>
        </w:rPr>
        <w:t xml:space="preserve">e </w:t>
      </w:r>
      <w:r w:rsidR="00C77767" w:rsidRPr="00EA2E2A">
        <w:rPr>
          <w:lang w:val="fr-FR"/>
        </w:rPr>
        <w:t>Secrétariat</w:t>
      </w:r>
      <w:r w:rsidR="00A03C71" w:rsidRPr="00EA2E2A">
        <w:rPr>
          <w:lang w:val="fr-FR"/>
        </w:rPr>
        <w:t xml:space="preserve"> </w:t>
      </w:r>
      <w:r w:rsidR="00D72548">
        <w:rPr>
          <w:lang w:val="fr-FR"/>
        </w:rPr>
        <w:t xml:space="preserve">exprime sa </w:t>
      </w:r>
      <w:r w:rsidR="007A7DAD">
        <w:rPr>
          <w:lang w:val="fr-FR"/>
        </w:rPr>
        <w:t>reconnaissan</w:t>
      </w:r>
      <w:r w:rsidR="00D72548">
        <w:rPr>
          <w:lang w:val="fr-FR"/>
        </w:rPr>
        <w:t xml:space="preserve">ce </w:t>
      </w:r>
      <w:r w:rsidR="007A7DAD">
        <w:rPr>
          <w:lang w:val="fr-FR"/>
        </w:rPr>
        <w:t xml:space="preserve">pour le soutien accordé par les États parties sous la forme de </w:t>
      </w:r>
      <w:r w:rsidR="00A03C71" w:rsidRPr="00EA2E2A">
        <w:rPr>
          <w:lang w:val="fr-FR"/>
        </w:rPr>
        <w:t>d</w:t>
      </w:r>
      <w:r w:rsidR="007A7DAD">
        <w:rPr>
          <w:lang w:val="fr-FR"/>
        </w:rPr>
        <w:t>é</w:t>
      </w:r>
      <w:r w:rsidR="00A03C71" w:rsidRPr="00EA2E2A">
        <w:rPr>
          <w:lang w:val="fr-FR"/>
        </w:rPr>
        <w:t>tach</w:t>
      </w:r>
      <w:r w:rsidR="007A7DAD">
        <w:rPr>
          <w:lang w:val="fr-FR"/>
        </w:rPr>
        <w:t>e</w:t>
      </w:r>
      <w:r w:rsidR="00A03C71" w:rsidRPr="00EA2E2A">
        <w:rPr>
          <w:lang w:val="fr-FR"/>
        </w:rPr>
        <w:t xml:space="preserve">ments, </w:t>
      </w:r>
      <w:r w:rsidR="007A7DAD">
        <w:rPr>
          <w:lang w:val="fr-FR"/>
        </w:rPr>
        <w:t>d’</w:t>
      </w:r>
      <w:r w:rsidR="00A03C71" w:rsidRPr="00EA2E2A">
        <w:rPr>
          <w:lang w:val="fr-FR"/>
        </w:rPr>
        <w:t xml:space="preserve">experts </w:t>
      </w:r>
      <w:r w:rsidR="007A7DAD">
        <w:rPr>
          <w:lang w:val="fr-FR"/>
        </w:rPr>
        <w:t xml:space="preserve">associés et </w:t>
      </w:r>
      <w:r w:rsidR="00C10EFA">
        <w:rPr>
          <w:lang w:val="fr-FR"/>
        </w:rPr>
        <w:t xml:space="preserve">de </w:t>
      </w:r>
      <w:r w:rsidR="001A28C8">
        <w:rPr>
          <w:lang w:val="fr-FR"/>
        </w:rPr>
        <w:t>personnel attaché à des</w:t>
      </w:r>
      <w:r w:rsidR="007A7DAD">
        <w:rPr>
          <w:lang w:val="fr-FR"/>
        </w:rPr>
        <w:t xml:space="preserve"> </w:t>
      </w:r>
      <w:r w:rsidR="00C40D88" w:rsidRPr="00EA2E2A">
        <w:rPr>
          <w:lang w:val="fr-FR"/>
        </w:rPr>
        <w:t>projet</w:t>
      </w:r>
      <w:r w:rsidR="007A7DAD">
        <w:rPr>
          <w:lang w:val="fr-FR"/>
        </w:rPr>
        <w:t>s</w:t>
      </w:r>
      <w:r w:rsidR="00A03C71" w:rsidRPr="00EA2E2A">
        <w:rPr>
          <w:lang w:val="fr-FR"/>
        </w:rPr>
        <w:t xml:space="preserve">, </w:t>
      </w:r>
      <w:r w:rsidR="007A7DAD">
        <w:rPr>
          <w:lang w:val="fr-FR"/>
        </w:rPr>
        <w:t xml:space="preserve">il faut </w:t>
      </w:r>
      <w:r w:rsidR="004A17DA">
        <w:rPr>
          <w:lang w:val="fr-FR"/>
        </w:rPr>
        <w:t xml:space="preserve">cependant </w:t>
      </w:r>
      <w:r w:rsidR="007A7DAD">
        <w:rPr>
          <w:lang w:val="fr-FR"/>
        </w:rPr>
        <w:t xml:space="preserve">rappeler que les missions d’une durée </w:t>
      </w:r>
      <w:r w:rsidR="00A03C71" w:rsidRPr="00EA2E2A">
        <w:rPr>
          <w:lang w:val="fr-FR"/>
        </w:rPr>
        <w:t>limit</w:t>
      </w:r>
      <w:r w:rsidR="007A7DAD">
        <w:rPr>
          <w:lang w:val="fr-FR"/>
        </w:rPr>
        <w:t xml:space="preserve">ée nécessitent un investissement important en matière de formation et ne constituent pas une </w:t>
      </w:r>
      <w:r w:rsidR="00A03C71" w:rsidRPr="00EA2E2A">
        <w:rPr>
          <w:lang w:val="fr-FR"/>
        </w:rPr>
        <w:t>solution</w:t>
      </w:r>
      <w:r w:rsidR="007A7DAD">
        <w:rPr>
          <w:lang w:val="fr-FR"/>
        </w:rPr>
        <w:t xml:space="preserve"> pérenne</w:t>
      </w:r>
      <w:r w:rsidR="00A03C71" w:rsidRPr="00EA2E2A">
        <w:rPr>
          <w:lang w:val="fr-FR"/>
        </w:rPr>
        <w:t xml:space="preserve">. </w:t>
      </w:r>
      <w:r w:rsidR="007A7DAD">
        <w:rPr>
          <w:lang w:val="fr-FR"/>
        </w:rPr>
        <w:t>Face aux contraintes financières de l’</w:t>
      </w:r>
      <w:r w:rsidR="00A03C71" w:rsidRPr="00EA2E2A">
        <w:rPr>
          <w:lang w:val="fr-FR"/>
        </w:rPr>
        <w:t>UNESCO</w:t>
      </w:r>
      <w:r w:rsidR="007A7DAD">
        <w:rPr>
          <w:lang w:val="fr-FR"/>
        </w:rPr>
        <w:t xml:space="preserve">, des solutions </w:t>
      </w:r>
      <w:r w:rsidR="00A03C71" w:rsidRPr="00EA2E2A">
        <w:rPr>
          <w:lang w:val="fr-FR"/>
        </w:rPr>
        <w:t>cr</w:t>
      </w:r>
      <w:r w:rsidR="007A7DAD">
        <w:rPr>
          <w:lang w:val="fr-FR"/>
        </w:rPr>
        <w:t>é</w:t>
      </w:r>
      <w:r w:rsidR="00A03C71" w:rsidRPr="00EA2E2A">
        <w:rPr>
          <w:lang w:val="fr-FR"/>
        </w:rPr>
        <w:t>ative</w:t>
      </w:r>
      <w:r w:rsidR="007A7DAD">
        <w:rPr>
          <w:lang w:val="fr-FR"/>
        </w:rPr>
        <w:t>s</w:t>
      </w:r>
      <w:r w:rsidR="00A03C71" w:rsidRPr="00EA2E2A">
        <w:rPr>
          <w:lang w:val="fr-FR"/>
        </w:rPr>
        <w:t xml:space="preserve"> </w:t>
      </w:r>
      <w:r w:rsidR="007A7DAD">
        <w:rPr>
          <w:lang w:val="fr-FR"/>
        </w:rPr>
        <w:t xml:space="preserve">doivent </w:t>
      </w:r>
      <w:r w:rsidR="001A28C8">
        <w:rPr>
          <w:lang w:val="fr-FR"/>
        </w:rPr>
        <w:t xml:space="preserve">encore </w:t>
      </w:r>
      <w:r w:rsidR="007A7DAD">
        <w:rPr>
          <w:lang w:val="fr-FR"/>
        </w:rPr>
        <w:t xml:space="preserve">être trouvées pour bien orienter et prioriser les travaux du </w:t>
      </w:r>
      <w:r w:rsidR="00C77767" w:rsidRPr="00EA2E2A">
        <w:rPr>
          <w:lang w:val="fr-FR"/>
        </w:rPr>
        <w:t>Secrétariat</w:t>
      </w:r>
      <w:r w:rsidR="007A7DAD">
        <w:rPr>
          <w:lang w:val="fr-FR"/>
        </w:rPr>
        <w:t xml:space="preserve"> de manière à ce qu’il soit en mesure d’</w:t>
      </w:r>
      <w:r w:rsidR="00A03C71" w:rsidRPr="00EA2E2A">
        <w:rPr>
          <w:lang w:val="fr-FR"/>
        </w:rPr>
        <w:t>off</w:t>
      </w:r>
      <w:r w:rsidR="007A7DAD">
        <w:rPr>
          <w:lang w:val="fr-FR"/>
        </w:rPr>
        <w:t>rir le service de</w:t>
      </w:r>
      <w:r w:rsidR="004A17DA">
        <w:rPr>
          <w:lang w:val="fr-FR"/>
        </w:rPr>
        <w:t xml:space="preserve"> la meilleure</w:t>
      </w:r>
      <w:r w:rsidR="007A7DAD">
        <w:rPr>
          <w:lang w:val="fr-FR"/>
        </w:rPr>
        <w:t xml:space="preserve"> qualité </w:t>
      </w:r>
      <w:r w:rsidR="00A03C71" w:rsidRPr="00EA2E2A">
        <w:rPr>
          <w:lang w:val="fr-FR"/>
        </w:rPr>
        <w:t xml:space="preserve">possible </w:t>
      </w:r>
      <w:r w:rsidR="007A7DAD">
        <w:rPr>
          <w:lang w:val="fr-FR"/>
        </w:rPr>
        <w:t>au Comité</w:t>
      </w:r>
      <w:r w:rsidR="00A03C71" w:rsidRPr="00EA2E2A">
        <w:rPr>
          <w:lang w:val="fr-FR"/>
        </w:rPr>
        <w:t xml:space="preserve">, </w:t>
      </w:r>
      <w:r w:rsidR="007A7DAD">
        <w:rPr>
          <w:lang w:val="fr-FR"/>
        </w:rPr>
        <w:t xml:space="preserve">à </w:t>
      </w:r>
      <w:r w:rsidR="007A7DAD" w:rsidRPr="007A7DAD">
        <w:rPr>
          <w:lang w:val="fr-FR"/>
        </w:rPr>
        <w:t>l’Assemblée générale</w:t>
      </w:r>
      <w:r w:rsidR="007A7DAD">
        <w:rPr>
          <w:lang w:val="fr-FR"/>
        </w:rPr>
        <w:t xml:space="preserve"> et aux États membres</w:t>
      </w:r>
      <w:r w:rsidR="00A03C71" w:rsidRPr="00EA2E2A">
        <w:rPr>
          <w:lang w:val="fr-FR"/>
        </w:rPr>
        <w:t>.</w:t>
      </w:r>
    </w:p>
    <w:p w14:paraId="11C26C61" w14:textId="7FB9E229" w:rsidR="00A03C71" w:rsidRPr="00EA2E2A" w:rsidRDefault="004A17DA" w:rsidP="005E0477">
      <w:pPr>
        <w:pStyle w:val="COMPara"/>
        <w:keepNext/>
        <w:keepLines/>
        <w:numPr>
          <w:ilvl w:val="0"/>
          <w:numId w:val="9"/>
        </w:numPr>
        <w:ind w:left="567" w:hanging="567"/>
        <w:jc w:val="both"/>
        <w:rPr>
          <w:lang w:val="fr-FR"/>
        </w:rPr>
      </w:pPr>
      <w:r>
        <w:rPr>
          <w:lang w:val="fr-FR"/>
        </w:rPr>
        <w:t>L’Assemblée générale</w:t>
      </w:r>
      <w:r w:rsidR="007B3438">
        <w:rPr>
          <w:lang w:val="fr-FR"/>
        </w:rPr>
        <w:t xml:space="preserve"> souhaitera peut-être adopter la </w:t>
      </w:r>
      <w:r w:rsidR="00DA70A2">
        <w:rPr>
          <w:lang w:val="fr-FR"/>
        </w:rPr>
        <w:t>résolution</w:t>
      </w:r>
      <w:r w:rsidR="007B3438">
        <w:rPr>
          <w:lang w:val="fr-FR"/>
        </w:rPr>
        <w:t xml:space="preserve"> suivante </w:t>
      </w:r>
      <w:r w:rsidR="00A03C71" w:rsidRPr="00EA2E2A">
        <w:rPr>
          <w:lang w:val="fr-FR"/>
        </w:rPr>
        <w:t>:</w:t>
      </w:r>
    </w:p>
    <w:p w14:paraId="6AC48D04" w14:textId="26A9EB05" w:rsidR="00A03C71" w:rsidRPr="00EA2E2A" w:rsidRDefault="007B3438" w:rsidP="00A03C71">
      <w:pPr>
        <w:pStyle w:val="COMTitleDecision"/>
        <w:rPr>
          <w:rFonts w:eastAsia="SimSun"/>
          <w:lang w:val="fr-FR"/>
        </w:rPr>
      </w:pPr>
      <w:r>
        <w:rPr>
          <w:lang w:val="fr-FR"/>
        </w:rPr>
        <w:t xml:space="preserve">PROJET DE </w:t>
      </w:r>
      <w:r w:rsidR="00DA70A2">
        <w:rPr>
          <w:lang w:val="fr-FR"/>
        </w:rPr>
        <w:t>RÉSOLUTION</w:t>
      </w:r>
      <w:r w:rsidR="00A03C71" w:rsidRPr="00EA2E2A">
        <w:rPr>
          <w:lang w:val="fr-FR"/>
        </w:rPr>
        <w:t xml:space="preserve"> </w:t>
      </w:r>
      <w:r w:rsidR="004A17DA">
        <w:rPr>
          <w:lang w:val="fr-FR"/>
        </w:rPr>
        <w:t>6.GA 6</w:t>
      </w:r>
    </w:p>
    <w:p w14:paraId="1162D31C" w14:textId="77777777" w:rsidR="00A03C71" w:rsidRPr="00EA2E2A" w:rsidRDefault="007B3438" w:rsidP="00A03C71">
      <w:pPr>
        <w:pStyle w:val="COMPreambulaDecisions"/>
        <w:rPr>
          <w:rFonts w:eastAsia="SimSun"/>
          <w:lang w:val="fr-FR"/>
        </w:rPr>
      </w:pPr>
      <w:r>
        <w:rPr>
          <w:lang w:val="fr-FR"/>
        </w:rPr>
        <w:t>Le Comité</w:t>
      </w:r>
      <w:r w:rsidR="00A03C71" w:rsidRPr="00EA2E2A">
        <w:rPr>
          <w:lang w:val="fr-FR"/>
        </w:rPr>
        <w:t>,</w:t>
      </w:r>
    </w:p>
    <w:p w14:paraId="17498801" w14:textId="5636A569" w:rsidR="00A03C71" w:rsidRPr="00EA2E2A" w:rsidRDefault="007B3438" w:rsidP="00A03C71">
      <w:pPr>
        <w:pStyle w:val="COMParaDecision"/>
        <w:jc w:val="left"/>
      </w:pPr>
      <w:r>
        <w:t xml:space="preserve">Ayant </w:t>
      </w:r>
      <w:r w:rsidR="00A03C71" w:rsidRPr="00EA2E2A">
        <w:t>examin</w:t>
      </w:r>
      <w:r>
        <w:t>é</w:t>
      </w:r>
      <w:r w:rsidRPr="007B3438">
        <w:rPr>
          <w:u w:val="none"/>
        </w:rPr>
        <w:t xml:space="preserve"> le </w:t>
      </w:r>
      <w:r w:rsidR="00A03C71" w:rsidRPr="00EA2E2A">
        <w:rPr>
          <w:u w:val="none"/>
        </w:rPr>
        <w:t xml:space="preserve">document </w:t>
      </w:r>
      <w:r w:rsidR="005E0477" w:rsidRPr="000663CF">
        <w:rPr>
          <w:u w:val="none"/>
        </w:rPr>
        <w:t>ITH/16/6.GA/6</w:t>
      </w:r>
      <w:r w:rsidR="00A03C71" w:rsidRPr="00EA2E2A">
        <w:rPr>
          <w:u w:val="none"/>
        </w:rPr>
        <w:t>,</w:t>
      </w:r>
    </w:p>
    <w:p w14:paraId="7AF355FE" w14:textId="046C1682" w:rsidR="00A03C71" w:rsidRPr="00532F5C" w:rsidRDefault="00F71C6E" w:rsidP="00A03C71">
      <w:pPr>
        <w:pStyle w:val="COMParaDecision"/>
        <w:rPr>
          <w:u w:val="none"/>
        </w:rPr>
      </w:pPr>
      <w:r>
        <w:t>Accueille favorablement</w:t>
      </w:r>
      <w:r w:rsidR="00A03C71" w:rsidRPr="00EA2E2A">
        <w:rPr>
          <w:u w:val="none"/>
        </w:rPr>
        <w:t xml:space="preserve"> </w:t>
      </w:r>
      <w:r>
        <w:rPr>
          <w:u w:val="none"/>
        </w:rPr>
        <w:t xml:space="preserve">la nouvelle </w:t>
      </w:r>
      <w:r w:rsidR="00A03C71" w:rsidRPr="00EA2E2A">
        <w:rPr>
          <w:u w:val="none"/>
        </w:rPr>
        <w:t xml:space="preserve">structure </w:t>
      </w:r>
      <w:r>
        <w:rPr>
          <w:u w:val="none"/>
        </w:rPr>
        <w:t xml:space="preserve">du </w:t>
      </w:r>
      <w:r w:rsidR="00700883" w:rsidRPr="00EA2E2A">
        <w:rPr>
          <w:u w:val="none"/>
        </w:rPr>
        <w:t>rapport</w:t>
      </w:r>
      <w:r w:rsidR="00A03C71" w:rsidRPr="00EA2E2A">
        <w:rPr>
          <w:u w:val="none"/>
        </w:rPr>
        <w:t xml:space="preserve"> </w:t>
      </w:r>
      <w:r>
        <w:rPr>
          <w:u w:val="none"/>
        </w:rPr>
        <w:t xml:space="preserve">du </w:t>
      </w:r>
      <w:r w:rsidR="00C77767" w:rsidRPr="00EA2E2A">
        <w:rPr>
          <w:u w:val="none"/>
        </w:rPr>
        <w:t>Secrétariat</w:t>
      </w:r>
      <w:r>
        <w:rPr>
          <w:u w:val="none"/>
        </w:rPr>
        <w:t xml:space="preserve">, qui s’appuie sur les indicateurs de </w:t>
      </w:r>
      <w:r w:rsidR="00A03C71" w:rsidRPr="00EA2E2A">
        <w:rPr>
          <w:u w:val="none"/>
        </w:rPr>
        <w:t>performance</w:t>
      </w:r>
      <w:r w:rsidR="00532F5C">
        <w:rPr>
          <w:u w:val="none"/>
        </w:rPr>
        <w:t xml:space="preserve">, ainsi que l’inclusion des annexes du rapport détaillant les actions de suivi menées en réponse aux audits et évaluations </w:t>
      </w:r>
      <w:r w:rsidR="00532F5C" w:rsidRPr="00532F5C">
        <w:rPr>
          <w:u w:val="none"/>
        </w:rPr>
        <w:t>du Service d’évaluation et d’audit</w:t>
      </w:r>
      <w:r w:rsidRPr="00532F5C">
        <w:rPr>
          <w:u w:val="none"/>
        </w:rPr>
        <w:t> </w:t>
      </w:r>
      <w:r w:rsidR="00A03C71" w:rsidRPr="00532F5C">
        <w:rPr>
          <w:u w:val="none"/>
        </w:rPr>
        <w:t>;</w:t>
      </w:r>
    </w:p>
    <w:p w14:paraId="040AB8B0" w14:textId="5653D4B3" w:rsidR="00532851" w:rsidRDefault="00F71C6E" w:rsidP="00A03C71">
      <w:pPr>
        <w:pStyle w:val="COMParaDecision"/>
        <w:rPr>
          <w:u w:val="none"/>
        </w:rPr>
      </w:pPr>
      <w:r>
        <w:t>Félicite</w:t>
      </w:r>
      <w:r w:rsidR="00A03C71" w:rsidRPr="00EA2E2A">
        <w:rPr>
          <w:u w:val="none"/>
        </w:rPr>
        <w:t xml:space="preserve"> </w:t>
      </w:r>
      <w:r>
        <w:rPr>
          <w:u w:val="none"/>
        </w:rPr>
        <w:t xml:space="preserve">le </w:t>
      </w:r>
      <w:r w:rsidR="00C77767" w:rsidRPr="00EA2E2A">
        <w:rPr>
          <w:u w:val="none"/>
        </w:rPr>
        <w:t>Secrétariat</w:t>
      </w:r>
      <w:r w:rsidR="00A03C71" w:rsidRPr="00EA2E2A">
        <w:rPr>
          <w:u w:val="none"/>
        </w:rPr>
        <w:t xml:space="preserve"> </w:t>
      </w:r>
      <w:r>
        <w:rPr>
          <w:u w:val="none"/>
        </w:rPr>
        <w:t xml:space="preserve">pour ses </w:t>
      </w:r>
      <w:r w:rsidR="00A03C71" w:rsidRPr="00EA2E2A">
        <w:rPr>
          <w:u w:val="none"/>
        </w:rPr>
        <w:t xml:space="preserve">initiatives </w:t>
      </w:r>
      <w:r>
        <w:rPr>
          <w:u w:val="none"/>
        </w:rPr>
        <w:t xml:space="preserve">visant à garantir la mise en œuvre </w:t>
      </w:r>
      <w:r w:rsidRPr="00EA2E2A">
        <w:rPr>
          <w:u w:val="none"/>
        </w:rPr>
        <w:t>eff</w:t>
      </w:r>
      <w:r>
        <w:rPr>
          <w:u w:val="none"/>
        </w:rPr>
        <w:t xml:space="preserve">icace des </w:t>
      </w:r>
      <w:r w:rsidRPr="00EA2E2A">
        <w:rPr>
          <w:u w:val="none"/>
        </w:rPr>
        <w:t>décisions</w:t>
      </w:r>
      <w:r w:rsidR="00A03C71" w:rsidRPr="00EA2E2A">
        <w:rPr>
          <w:u w:val="none"/>
        </w:rPr>
        <w:t xml:space="preserve"> </w:t>
      </w:r>
      <w:r>
        <w:rPr>
          <w:u w:val="none"/>
        </w:rPr>
        <w:t>du Comité</w:t>
      </w:r>
      <w:r w:rsidR="00532F5C">
        <w:rPr>
          <w:u w:val="none"/>
        </w:rPr>
        <w:t xml:space="preserve"> et de l’Assemblée générale ainsi que</w:t>
      </w:r>
      <w:r w:rsidR="00A03C71" w:rsidRPr="00EA2E2A">
        <w:rPr>
          <w:u w:val="none"/>
        </w:rPr>
        <w:t xml:space="preserve"> </w:t>
      </w:r>
      <w:r>
        <w:rPr>
          <w:u w:val="none"/>
        </w:rPr>
        <w:t>l’</w:t>
      </w:r>
      <w:r w:rsidRPr="00EA2E2A">
        <w:rPr>
          <w:u w:val="none"/>
        </w:rPr>
        <w:t>organisation</w:t>
      </w:r>
      <w:r w:rsidR="00A03C71" w:rsidRPr="00EA2E2A">
        <w:rPr>
          <w:u w:val="none"/>
        </w:rPr>
        <w:t xml:space="preserve"> </w:t>
      </w:r>
      <w:r>
        <w:rPr>
          <w:u w:val="none"/>
        </w:rPr>
        <w:t xml:space="preserve">efficace des réunions </w:t>
      </w:r>
      <w:r w:rsidR="00A03C71" w:rsidRPr="00EA2E2A">
        <w:rPr>
          <w:u w:val="none"/>
        </w:rPr>
        <w:t>statut</w:t>
      </w:r>
      <w:r>
        <w:rPr>
          <w:u w:val="none"/>
        </w:rPr>
        <w:t>aires</w:t>
      </w:r>
      <w:r w:rsidR="00A03C71" w:rsidRPr="00EA2E2A">
        <w:rPr>
          <w:u w:val="none"/>
        </w:rPr>
        <w:t xml:space="preserve">, </w:t>
      </w:r>
      <w:r w:rsidR="001E0888">
        <w:rPr>
          <w:u w:val="none"/>
        </w:rPr>
        <w:t xml:space="preserve">et </w:t>
      </w:r>
      <w:r w:rsidR="001E0888">
        <w:t>prend note avec intérêt</w:t>
      </w:r>
      <w:r w:rsidR="00A03C71" w:rsidRPr="00EA2E2A">
        <w:rPr>
          <w:u w:val="none"/>
        </w:rPr>
        <w:t xml:space="preserve"> </w:t>
      </w:r>
      <w:r w:rsidR="001E0888">
        <w:rPr>
          <w:u w:val="none"/>
        </w:rPr>
        <w:t xml:space="preserve">des diverses améliorations apportées aux méthodes de travail du </w:t>
      </w:r>
      <w:r w:rsidR="00C77767" w:rsidRPr="00EA2E2A">
        <w:rPr>
          <w:u w:val="none"/>
        </w:rPr>
        <w:t>Secrétariat</w:t>
      </w:r>
      <w:r w:rsidR="00A03C71" w:rsidRPr="00EA2E2A">
        <w:rPr>
          <w:u w:val="none"/>
        </w:rPr>
        <w:t xml:space="preserve"> </w:t>
      </w:r>
      <w:r w:rsidR="001E0888">
        <w:rPr>
          <w:u w:val="none"/>
        </w:rPr>
        <w:t>comme la mise à disposition de l’assistance technique</w:t>
      </w:r>
      <w:r w:rsidR="00A03C71" w:rsidRPr="00EA2E2A">
        <w:rPr>
          <w:u w:val="none"/>
        </w:rPr>
        <w:t xml:space="preserve">, </w:t>
      </w:r>
      <w:r w:rsidR="001E0888">
        <w:rPr>
          <w:u w:val="none"/>
        </w:rPr>
        <w:t xml:space="preserve">le résumé des rapports </w:t>
      </w:r>
      <w:r w:rsidR="001E0888" w:rsidRPr="00EA2E2A">
        <w:rPr>
          <w:u w:val="none"/>
        </w:rPr>
        <w:t>périodiques</w:t>
      </w:r>
      <w:r w:rsidR="00450F3C">
        <w:rPr>
          <w:u w:val="none"/>
        </w:rPr>
        <w:t>,</w:t>
      </w:r>
      <w:r w:rsidR="001E0888">
        <w:rPr>
          <w:u w:val="none"/>
        </w:rPr>
        <w:t xml:space="preserve"> le traitement </w:t>
      </w:r>
      <w:r w:rsidR="00532851">
        <w:rPr>
          <w:u w:val="none"/>
        </w:rPr>
        <w:t xml:space="preserve">en temps opportun </w:t>
      </w:r>
      <w:r w:rsidR="001E0888">
        <w:rPr>
          <w:u w:val="none"/>
        </w:rPr>
        <w:t>des candidatures</w:t>
      </w:r>
      <w:r w:rsidR="00532F5C">
        <w:rPr>
          <w:u w:val="none"/>
        </w:rPr>
        <w:t xml:space="preserve">, ainsi </w:t>
      </w:r>
      <w:r w:rsidR="00450F3C">
        <w:rPr>
          <w:u w:val="none"/>
        </w:rPr>
        <w:t>qu’un</w:t>
      </w:r>
      <w:r w:rsidR="00532F5C">
        <w:rPr>
          <w:u w:val="none"/>
        </w:rPr>
        <w:t xml:space="preserve"> site web entièrement renouvelé </w:t>
      </w:r>
      <w:r w:rsidR="00450F3C">
        <w:rPr>
          <w:u w:val="none"/>
        </w:rPr>
        <w:t>facilitant</w:t>
      </w:r>
      <w:r w:rsidR="00532F5C">
        <w:rPr>
          <w:u w:val="none"/>
        </w:rPr>
        <w:t xml:space="preserve"> l’accès aux informations existantes</w:t>
      </w:r>
      <w:r w:rsidR="001E0888">
        <w:rPr>
          <w:u w:val="none"/>
        </w:rPr>
        <w:t> </w:t>
      </w:r>
      <w:r w:rsidR="00A03C71" w:rsidRPr="00EA2E2A">
        <w:rPr>
          <w:u w:val="none"/>
        </w:rPr>
        <w:t>;</w:t>
      </w:r>
      <w:r w:rsidR="001E0888">
        <w:rPr>
          <w:u w:val="none"/>
        </w:rPr>
        <w:t xml:space="preserve"> </w:t>
      </w:r>
    </w:p>
    <w:p w14:paraId="6436E3FD" w14:textId="54F54702" w:rsidR="00A03C71" w:rsidRPr="00EA2E2A" w:rsidRDefault="00532851" w:rsidP="00A03C71">
      <w:pPr>
        <w:pStyle w:val="COMParaDecision"/>
        <w:rPr>
          <w:u w:val="none"/>
        </w:rPr>
      </w:pPr>
      <w:r>
        <w:t>A</w:t>
      </w:r>
      <w:r w:rsidR="001E0888">
        <w:t xml:space="preserve">ccueille avec </w:t>
      </w:r>
      <w:r w:rsidR="00A03C71" w:rsidRPr="00EA2E2A">
        <w:t>satisfaction</w:t>
      </w:r>
      <w:r w:rsidR="00A03C71" w:rsidRPr="00EA2E2A">
        <w:rPr>
          <w:u w:val="none"/>
        </w:rPr>
        <w:t xml:space="preserve"> </w:t>
      </w:r>
      <w:r w:rsidR="001E0888">
        <w:rPr>
          <w:u w:val="none"/>
        </w:rPr>
        <w:t xml:space="preserve">la portée étendue et l’efficacité </w:t>
      </w:r>
      <w:r w:rsidR="001A28C8">
        <w:rPr>
          <w:u w:val="none"/>
        </w:rPr>
        <w:t xml:space="preserve">continue </w:t>
      </w:r>
      <w:r w:rsidR="001E0888">
        <w:rPr>
          <w:u w:val="none"/>
        </w:rPr>
        <w:t xml:space="preserve">du programme global de renforcement des capacités et </w:t>
      </w:r>
      <w:r w:rsidR="001E0888" w:rsidRPr="001E0888">
        <w:t xml:space="preserve">apprécie </w:t>
      </w:r>
      <w:r w:rsidR="001E0888">
        <w:t>également</w:t>
      </w:r>
      <w:r w:rsidR="001E0888" w:rsidRPr="001E0888">
        <w:rPr>
          <w:u w:val="none"/>
        </w:rPr>
        <w:t xml:space="preserve"> </w:t>
      </w:r>
      <w:r w:rsidR="001E0888">
        <w:rPr>
          <w:u w:val="none"/>
        </w:rPr>
        <w:t xml:space="preserve">la revue </w:t>
      </w:r>
      <w:r w:rsidR="00A03C71" w:rsidRPr="00EA2E2A">
        <w:rPr>
          <w:u w:val="none"/>
        </w:rPr>
        <w:t>r</w:t>
      </w:r>
      <w:r w:rsidR="00C2489D">
        <w:rPr>
          <w:u w:val="none"/>
        </w:rPr>
        <w:t>égulière</w:t>
      </w:r>
      <w:r w:rsidR="00A03C71" w:rsidRPr="00EA2E2A">
        <w:rPr>
          <w:u w:val="none"/>
        </w:rPr>
        <w:t xml:space="preserve">, </w:t>
      </w:r>
      <w:r w:rsidR="00C2489D">
        <w:rPr>
          <w:u w:val="none"/>
        </w:rPr>
        <w:t>l’</w:t>
      </w:r>
      <w:r w:rsidR="00A03C71" w:rsidRPr="00EA2E2A">
        <w:rPr>
          <w:u w:val="none"/>
        </w:rPr>
        <w:t xml:space="preserve">adaptation </w:t>
      </w:r>
      <w:r w:rsidR="00C2489D">
        <w:rPr>
          <w:u w:val="none"/>
        </w:rPr>
        <w:t>et l’</w:t>
      </w:r>
      <w:r w:rsidR="00A03C71" w:rsidRPr="00EA2E2A">
        <w:rPr>
          <w:u w:val="none"/>
        </w:rPr>
        <w:t>enrich</w:t>
      </w:r>
      <w:r w:rsidR="00C2489D">
        <w:rPr>
          <w:u w:val="none"/>
        </w:rPr>
        <w:t>isse</w:t>
      </w:r>
      <w:r w:rsidR="00A03C71" w:rsidRPr="00EA2E2A">
        <w:rPr>
          <w:u w:val="none"/>
        </w:rPr>
        <w:t xml:space="preserve">ment </w:t>
      </w:r>
      <w:r w:rsidR="00C2489D">
        <w:rPr>
          <w:u w:val="none"/>
        </w:rPr>
        <w:t xml:space="preserve">de ses contenus et </w:t>
      </w:r>
      <w:r w:rsidR="00A03C71" w:rsidRPr="00EA2E2A">
        <w:rPr>
          <w:u w:val="none"/>
        </w:rPr>
        <w:t>format</w:t>
      </w:r>
      <w:r w:rsidR="00D72548">
        <w:rPr>
          <w:u w:val="none"/>
        </w:rPr>
        <w:t>s</w:t>
      </w:r>
      <w:r w:rsidR="00A03C71" w:rsidRPr="00EA2E2A">
        <w:rPr>
          <w:u w:val="none"/>
        </w:rPr>
        <w:t xml:space="preserve"> </w:t>
      </w:r>
      <w:r w:rsidR="00C2489D">
        <w:rPr>
          <w:u w:val="none"/>
        </w:rPr>
        <w:t>pour répondre efficacement au</w:t>
      </w:r>
      <w:r w:rsidR="00D72548">
        <w:rPr>
          <w:u w:val="none"/>
        </w:rPr>
        <w:t>x</w:t>
      </w:r>
      <w:r w:rsidR="00C2489D">
        <w:rPr>
          <w:u w:val="none"/>
        </w:rPr>
        <w:t xml:space="preserve"> défis importants de mise en œuvre au niveau </w:t>
      </w:r>
      <w:r w:rsidR="00B262DA">
        <w:rPr>
          <w:u w:val="none"/>
        </w:rPr>
        <w:t>national </w:t>
      </w:r>
      <w:r w:rsidR="00A03C71" w:rsidRPr="00EA2E2A">
        <w:rPr>
          <w:u w:val="none"/>
        </w:rPr>
        <w:t>;</w:t>
      </w:r>
    </w:p>
    <w:p w14:paraId="28D53E59" w14:textId="205AB2D7" w:rsidR="00A03C71" w:rsidRDefault="00C2489D" w:rsidP="00A03C71">
      <w:pPr>
        <w:pStyle w:val="COMParaDecision"/>
        <w:rPr>
          <w:u w:val="none"/>
        </w:rPr>
      </w:pPr>
      <w:r>
        <w:t>Remercie</w:t>
      </w:r>
      <w:r w:rsidR="00A03C71" w:rsidRPr="00EA2E2A">
        <w:rPr>
          <w:u w:val="none"/>
        </w:rPr>
        <w:t xml:space="preserve"> </w:t>
      </w:r>
      <w:r>
        <w:rPr>
          <w:u w:val="none"/>
        </w:rPr>
        <w:t xml:space="preserve">les États parties </w:t>
      </w:r>
      <w:r w:rsidRPr="00CD2F58">
        <w:rPr>
          <w:u w:val="none"/>
        </w:rPr>
        <w:t xml:space="preserve">qui ont généreusement fourni un soutien extrabudgétaire </w:t>
      </w:r>
      <w:r w:rsidR="00E91512">
        <w:rPr>
          <w:u w:val="none"/>
        </w:rPr>
        <w:t>rendant</w:t>
      </w:r>
      <w:r w:rsidRPr="00CD2F58">
        <w:rPr>
          <w:u w:val="none"/>
        </w:rPr>
        <w:t xml:space="preserve"> possible la stratégie globale de renforcement des capacités et </w:t>
      </w:r>
      <w:r w:rsidR="00E91512">
        <w:rPr>
          <w:u w:val="none"/>
        </w:rPr>
        <w:t>soutenant</w:t>
      </w:r>
      <w:r w:rsidRPr="00CD2F58">
        <w:rPr>
          <w:u w:val="none"/>
        </w:rPr>
        <w:t xml:space="preserve"> les autres fonctions statutaires du Secrétariat et </w:t>
      </w:r>
      <w:r w:rsidRPr="00CD2F58">
        <w:t>invite</w:t>
      </w:r>
      <w:r w:rsidRPr="00CD2F58">
        <w:rPr>
          <w:u w:val="none"/>
        </w:rPr>
        <w:t xml:space="preserve"> les États parties à offrir </w:t>
      </w:r>
      <w:r w:rsidR="00006888">
        <w:rPr>
          <w:u w:val="none"/>
        </w:rPr>
        <w:t>un</w:t>
      </w:r>
      <w:r w:rsidR="00006888" w:rsidRPr="00CD2F58">
        <w:rPr>
          <w:u w:val="none"/>
        </w:rPr>
        <w:t xml:space="preserve"> </w:t>
      </w:r>
      <w:r w:rsidRPr="00CD2F58">
        <w:rPr>
          <w:u w:val="none"/>
        </w:rPr>
        <w:t>soutien</w:t>
      </w:r>
      <w:r w:rsidR="00006888">
        <w:rPr>
          <w:u w:val="none"/>
        </w:rPr>
        <w:t xml:space="preserve"> accru</w:t>
      </w:r>
      <w:r w:rsidRPr="00CD2F58">
        <w:rPr>
          <w:u w:val="none"/>
        </w:rPr>
        <w:t>, particulièrement sous la forme de contribution au sous-fonds réservé au renforcement des capacités humaines du Secrétariat</w:t>
      </w:r>
      <w:r w:rsidR="00E91512">
        <w:rPr>
          <w:u w:val="none"/>
        </w:rPr>
        <w:t>,</w:t>
      </w:r>
      <w:r w:rsidR="00B262DA">
        <w:rPr>
          <w:u w:val="none"/>
        </w:rPr>
        <w:t xml:space="preserve"> afin de permettre à ce dernier de répondre aux demandes </w:t>
      </w:r>
      <w:r w:rsidR="00E91512">
        <w:rPr>
          <w:u w:val="none"/>
        </w:rPr>
        <w:t>continues quant à la poursuite d’</w:t>
      </w:r>
      <w:r w:rsidR="00AB7D30">
        <w:rPr>
          <w:u w:val="none"/>
        </w:rPr>
        <w:t>une</w:t>
      </w:r>
      <w:r w:rsidR="00B262DA">
        <w:rPr>
          <w:u w:val="none"/>
        </w:rPr>
        <w:t xml:space="preserve"> mise en œuvre efficace de la Convention</w:t>
      </w:r>
      <w:r>
        <w:rPr>
          <w:u w:val="none"/>
        </w:rPr>
        <w:t> </w:t>
      </w:r>
      <w:r w:rsidR="00A03C71" w:rsidRPr="00EA2E2A">
        <w:rPr>
          <w:u w:val="none"/>
        </w:rPr>
        <w:t>;</w:t>
      </w:r>
    </w:p>
    <w:p w14:paraId="60FE2B11" w14:textId="3C06EC2D" w:rsidR="00AB7D30" w:rsidRDefault="00AB7D30" w:rsidP="00A03C71">
      <w:pPr>
        <w:pStyle w:val="COMParaDecision"/>
        <w:rPr>
          <w:u w:val="none"/>
        </w:rPr>
      </w:pPr>
      <w:r>
        <w:t>Reconnaît</w:t>
      </w:r>
      <w:r w:rsidRPr="00646E51">
        <w:rPr>
          <w:u w:val="none"/>
        </w:rPr>
        <w:t xml:space="preserve"> </w:t>
      </w:r>
      <w:r w:rsidRPr="00AB7D30">
        <w:rPr>
          <w:u w:val="none"/>
        </w:rPr>
        <w:t xml:space="preserve">que le Secrétariat a </w:t>
      </w:r>
      <w:r w:rsidR="00646E51">
        <w:rPr>
          <w:u w:val="none"/>
        </w:rPr>
        <w:t>réalisé</w:t>
      </w:r>
      <w:r w:rsidRPr="00AB7D30">
        <w:rPr>
          <w:u w:val="none"/>
        </w:rPr>
        <w:t xml:space="preserve"> des progrès notables en réponse aux recommandations de l’</w:t>
      </w:r>
      <w:r w:rsidR="00450F3C" w:rsidRPr="00AB7D30">
        <w:rPr>
          <w:u w:val="none"/>
        </w:rPr>
        <w:t>évalu</w:t>
      </w:r>
      <w:r w:rsidR="00450F3C">
        <w:rPr>
          <w:u w:val="none"/>
        </w:rPr>
        <w:t>ation</w:t>
      </w:r>
      <w:r w:rsidR="00646E51">
        <w:rPr>
          <w:u w:val="none"/>
        </w:rPr>
        <w:t xml:space="preserve"> et de l’audit d’IOS</w:t>
      </w:r>
      <w:r w:rsidR="00450F3C">
        <w:rPr>
          <w:u w:val="none"/>
        </w:rPr>
        <w:t xml:space="preserve"> ainsi </w:t>
      </w:r>
      <w:r w:rsidR="0031055F">
        <w:rPr>
          <w:u w:val="none"/>
        </w:rPr>
        <w:t xml:space="preserve">que </w:t>
      </w:r>
      <w:r w:rsidR="00450F3C">
        <w:rPr>
          <w:u w:val="none"/>
        </w:rPr>
        <w:t xml:space="preserve">des décisions correspondantes et </w:t>
      </w:r>
      <w:r w:rsidR="00450F3C" w:rsidRPr="00450F3C">
        <w:t>souhaite</w:t>
      </w:r>
      <w:r w:rsidR="00450F3C">
        <w:rPr>
          <w:u w:val="none"/>
        </w:rPr>
        <w:t xml:space="preserve"> qu’un tel effort se poursuive comme </w:t>
      </w:r>
      <w:r w:rsidR="00691151">
        <w:rPr>
          <w:u w:val="none"/>
        </w:rPr>
        <w:t>prévu</w:t>
      </w:r>
      <w:r w:rsidR="00646E51">
        <w:rPr>
          <w:u w:val="none"/>
        </w:rPr>
        <w:t> ;</w:t>
      </w:r>
    </w:p>
    <w:p w14:paraId="1A76AB92" w14:textId="032C3B2E" w:rsidR="00646E51" w:rsidRPr="00646E51" w:rsidRDefault="00646E51" w:rsidP="00A03C71">
      <w:pPr>
        <w:pStyle w:val="COMParaDecision"/>
        <w:rPr>
          <w:u w:val="none"/>
        </w:rPr>
      </w:pPr>
      <w:r>
        <w:t xml:space="preserve">Prend note </w:t>
      </w:r>
      <w:r w:rsidRPr="00DA70A2">
        <w:t>avec intérêt</w:t>
      </w:r>
      <w:r w:rsidRPr="00646E51">
        <w:rPr>
          <w:u w:val="none"/>
        </w:rPr>
        <w:t xml:space="preserve"> qu’une réunion d’experts sera organisée au second semestre de 2016</w:t>
      </w:r>
      <w:r w:rsidR="00792E54">
        <w:rPr>
          <w:u w:val="none"/>
        </w:rPr>
        <w:t xml:space="preserve"> afin </w:t>
      </w:r>
      <w:r w:rsidR="00450F3C">
        <w:rPr>
          <w:u w:val="none"/>
        </w:rPr>
        <w:t>de poser les base</w:t>
      </w:r>
      <w:r w:rsidR="007827BA">
        <w:rPr>
          <w:u w:val="none"/>
        </w:rPr>
        <w:t>s</w:t>
      </w:r>
      <w:r w:rsidR="00450F3C">
        <w:rPr>
          <w:u w:val="none"/>
        </w:rPr>
        <w:t xml:space="preserve"> sur lesquelles un </w:t>
      </w:r>
      <w:r w:rsidR="00450F3C" w:rsidRPr="00450F3C">
        <w:rPr>
          <w:u w:val="none"/>
        </w:rPr>
        <w:t>cadre global de résultats pour la Convention</w:t>
      </w:r>
      <w:r w:rsidR="00450F3C">
        <w:rPr>
          <w:u w:val="none"/>
        </w:rPr>
        <w:t xml:space="preserve"> pourra être construit et </w:t>
      </w:r>
      <w:r w:rsidR="00450F3C" w:rsidRPr="00450F3C">
        <w:t>remercie</w:t>
      </w:r>
      <w:r w:rsidR="00450F3C">
        <w:rPr>
          <w:u w:val="none"/>
        </w:rPr>
        <w:t xml:space="preserve"> </w:t>
      </w:r>
      <w:r w:rsidR="007827BA">
        <w:rPr>
          <w:u w:val="none"/>
        </w:rPr>
        <w:t xml:space="preserve">la République populaire de Chine </w:t>
      </w:r>
      <w:r w:rsidR="00E91512">
        <w:rPr>
          <w:u w:val="none"/>
        </w:rPr>
        <w:t>pour</w:t>
      </w:r>
      <w:r w:rsidR="00450F3C">
        <w:rPr>
          <w:u w:val="none"/>
        </w:rPr>
        <w:t xml:space="preserve"> son offre généreuse </w:t>
      </w:r>
      <w:r w:rsidR="00E91512">
        <w:rPr>
          <w:u w:val="none"/>
        </w:rPr>
        <w:t>de</w:t>
      </w:r>
      <w:r w:rsidR="00DA70A2">
        <w:rPr>
          <w:u w:val="none"/>
        </w:rPr>
        <w:t xml:space="preserve"> contribution volontaire</w:t>
      </w:r>
      <w:r w:rsidR="00450F3C">
        <w:rPr>
          <w:u w:val="none"/>
        </w:rPr>
        <w:t xml:space="preserve"> supplémentaire au Fonds du patrimoine culturel immatériel pour soutenir l’organisation de cette réunion ; </w:t>
      </w:r>
    </w:p>
    <w:p w14:paraId="42CC6B15" w14:textId="015972D0" w:rsidR="00C77A5A" w:rsidRDefault="00A03C71" w:rsidP="00EE55A0">
      <w:pPr>
        <w:pStyle w:val="COMParaDecision"/>
        <w:rPr>
          <w:u w:val="none"/>
        </w:rPr>
      </w:pPr>
      <w:r w:rsidRPr="00EA2E2A">
        <w:t>Appr</w:t>
      </w:r>
      <w:r w:rsidR="00C2489D">
        <w:t>é</w:t>
      </w:r>
      <w:r w:rsidRPr="00EA2E2A">
        <w:t>ci</w:t>
      </w:r>
      <w:r w:rsidR="00C2489D">
        <w:t>e</w:t>
      </w:r>
      <w:r w:rsidR="00AB7D30">
        <w:t xml:space="preserve"> </w:t>
      </w:r>
      <w:r w:rsidR="00646E51">
        <w:t>également</w:t>
      </w:r>
      <w:r w:rsidR="00C2489D" w:rsidRPr="002222A7">
        <w:rPr>
          <w:u w:val="none"/>
        </w:rPr>
        <w:t xml:space="preserve"> les </w:t>
      </w:r>
      <w:r w:rsidRPr="002222A7">
        <w:rPr>
          <w:u w:val="none"/>
        </w:rPr>
        <w:t xml:space="preserve">efforts </w:t>
      </w:r>
      <w:r w:rsidR="00C2489D" w:rsidRPr="002222A7">
        <w:rPr>
          <w:u w:val="none"/>
        </w:rPr>
        <w:t xml:space="preserve">du </w:t>
      </w:r>
      <w:r w:rsidR="00C77767" w:rsidRPr="002222A7">
        <w:rPr>
          <w:u w:val="none"/>
        </w:rPr>
        <w:t>Secrétariat</w:t>
      </w:r>
      <w:r w:rsidRPr="002222A7">
        <w:rPr>
          <w:u w:val="none"/>
        </w:rPr>
        <w:t xml:space="preserve"> </w:t>
      </w:r>
      <w:r w:rsidR="00C2489D" w:rsidRPr="002222A7">
        <w:rPr>
          <w:u w:val="none"/>
        </w:rPr>
        <w:t xml:space="preserve">visant à </w:t>
      </w:r>
      <w:r w:rsidRPr="002222A7">
        <w:rPr>
          <w:u w:val="none"/>
        </w:rPr>
        <w:t>coord</w:t>
      </w:r>
      <w:r w:rsidR="00C2489D" w:rsidRPr="002222A7">
        <w:rPr>
          <w:u w:val="none"/>
        </w:rPr>
        <w:t xml:space="preserve">onner le réseau croissant des centres de </w:t>
      </w:r>
      <w:r w:rsidRPr="002222A7">
        <w:rPr>
          <w:u w:val="none"/>
        </w:rPr>
        <w:t>cat</w:t>
      </w:r>
      <w:r w:rsidR="00C2489D" w:rsidRPr="002222A7">
        <w:rPr>
          <w:u w:val="none"/>
        </w:rPr>
        <w:t>é</w:t>
      </w:r>
      <w:r w:rsidRPr="002222A7">
        <w:rPr>
          <w:u w:val="none"/>
        </w:rPr>
        <w:t>gor</w:t>
      </w:r>
      <w:r w:rsidR="00C2489D" w:rsidRPr="002222A7">
        <w:rPr>
          <w:u w:val="none"/>
        </w:rPr>
        <w:t>ie </w:t>
      </w:r>
      <w:r w:rsidRPr="002222A7">
        <w:rPr>
          <w:u w:val="none"/>
        </w:rPr>
        <w:t>2</w:t>
      </w:r>
      <w:r w:rsidR="00006888" w:rsidRPr="002222A7">
        <w:rPr>
          <w:u w:val="none"/>
        </w:rPr>
        <w:t xml:space="preserve"> et </w:t>
      </w:r>
      <w:r w:rsidR="00155055" w:rsidRPr="002222A7">
        <w:rPr>
          <w:u w:val="none"/>
        </w:rPr>
        <w:t xml:space="preserve">à </w:t>
      </w:r>
      <w:r w:rsidR="00006888" w:rsidRPr="002222A7">
        <w:rPr>
          <w:u w:val="none"/>
        </w:rPr>
        <w:t>stimuler leur capacité à contribuer efficacement aux objectifs stratégiques de l’UNESCO</w:t>
      </w:r>
      <w:r w:rsidRPr="002222A7">
        <w:rPr>
          <w:u w:val="none"/>
        </w:rPr>
        <w:t xml:space="preserve"> </w:t>
      </w:r>
      <w:r w:rsidR="00C2489D" w:rsidRPr="002222A7">
        <w:rPr>
          <w:u w:val="none"/>
        </w:rPr>
        <w:t>dans le domaine du patrimoine culturel immatériel</w:t>
      </w:r>
      <w:r w:rsidR="0031055F">
        <w:rPr>
          <w:u w:val="none"/>
        </w:rPr>
        <w:t> ;</w:t>
      </w:r>
    </w:p>
    <w:p w14:paraId="7D1E3553" w14:textId="3958CDF1" w:rsidR="00737BAB" w:rsidRDefault="007827BA" w:rsidP="00787BF7">
      <w:pPr>
        <w:pStyle w:val="COMParaDecision"/>
        <w:jc w:val="left"/>
        <w:rPr>
          <w:u w:val="none"/>
        </w:rPr>
        <w:sectPr w:rsidR="00737BAB" w:rsidSect="000A66B6">
          <w:headerReference w:type="even" r:id="rId74"/>
          <w:headerReference w:type="default" r:id="rId75"/>
          <w:headerReference w:type="first" r:id="rId76"/>
          <w:pgSz w:w="11906" w:h="16838" w:code="9"/>
          <w:pgMar w:top="1418" w:right="1134" w:bottom="1134" w:left="1134" w:header="397" w:footer="284" w:gutter="0"/>
          <w:cols w:space="708"/>
          <w:titlePg/>
          <w:docGrid w:linePitch="360"/>
        </w:sectPr>
      </w:pPr>
      <w:r>
        <w:t>Demande</w:t>
      </w:r>
      <w:r w:rsidRPr="007827BA">
        <w:rPr>
          <w:u w:val="none"/>
        </w:rPr>
        <w:t xml:space="preserve"> au Secrétariat </w:t>
      </w:r>
      <w:r w:rsidR="00187BD5">
        <w:rPr>
          <w:u w:val="none"/>
        </w:rPr>
        <w:t xml:space="preserve">de soumettre un rapport sur ses activités pour la période </w:t>
      </w:r>
      <w:r w:rsidR="0031055F">
        <w:rPr>
          <w:u w:val="none"/>
        </w:rPr>
        <w:t xml:space="preserve">comprise </w:t>
      </w:r>
      <w:r w:rsidR="00187BD5">
        <w:rPr>
          <w:u w:val="none"/>
        </w:rPr>
        <w:t>ent</w:t>
      </w:r>
      <w:r w:rsidR="00526C2D">
        <w:rPr>
          <w:u w:val="none"/>
        </w:rPr>
        <w:t>re janvier 2016 et décembre 2017</w:t>
      </w:r>
      <w:r w:rsidR="00187BD5">
        <w:rPr>
          <w:u w:val="none"/>
        </w:rPr>
        <w:t xml:space="preserve"> pour examen par l’Assemblée générale lors de sa septième session et d’utiliser le format de cet e</w:t>
      </w:r>
      <w:r w:rsidR="00F17BA8">
        <w:rPr>
          <w:u w:val="none"/>
        </w:rPr>
        <w:t xml:space="preserve">xercice biennal pour ses futurs </w:t>
      </w:r>
      <w:r w:rsidR="00187BD5">
        <w:rPr>
          <w:u w:val="none"/>
        </w:rPr>
        <w:t xml:space="preserve">rapports. </w:t>
      </w:r>
    </w:p>
    <w:tbl>
      <w:tblPr>
        <w:tblW w:w="14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0"/>
        <w:gridCol w:w="27"/>
        <w:gridCol w:w="1959"/>
        <w:gridCol w:w="27"/>
        <w:gridCol w:w="7655"/>
      </w:tblGrid>
      <w:tr w:rsidR="00D968EC" w:rsidRPr="00A76B7D" w14:paraId="22175048" w14:textId="77777777" w:rsidTr="00CA2423">
        <w:tc>
          <w:tcPr>
            <w:tcW w:w="1435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Mar>
              <w:top w:w="40" w:type="dxa"/>
              <w:left w:w="40" w:type="dxa"/>
              <w:bottom w:w="40" w:type="dxa"/>
              <w:right w:w="40" w:type="dxa"/>
            </w:tcMar>
          </w:tcPr>
          <w:p w14:paraId="08F48457" w14:textId="24359B92" w:rsidR="00D968EC" w:rsidRDefault="00D968EC" w:rsidP="00737BAB">
            <w:pPr>
              <w:keepNext/>
              <w:keepLines/>
              <w:tabs>
                <w:tab w:val="left" w:pos="2640"/>
              </w:tabs>
              <w:spacing w:before="120" w:after="120"/>
              <w:ind w:left="113" w:right="113"/>
              <w:jc w:val="both"/>
              <w:rPr>
                <w:rFonts w:ascii="Arial" w:hAnsi="Arial"/>
                <w:b/>
                <w:sz w:val="22"/>
              </w:rPr>
            </w:pPr>
            <w:r>
              <w:rPr>
                <w:rFonts w:ascii="Arial" w:hAnsi="Arial"/>
                <w:b/>
                <w:sz w:val="22"/>
              </w:rPr>
              <w:t>A</w:t>
            </w:r>
            <w:r w:rsidR="00B00F21">
              <w:rPr>
                <w:rFonts w:ascii="Arial" w:hAnsi="Arial"/>
                <w:b/>
                <w:sz w:val="22"/>
              </w:rPr>
              <w:t>NNEXE</w:t>
            </w:r>
            <w:r>
              <w:rPr>
                <w:rFonts w:ascii="Arial" w:hAnsi="Arial"/>
                <w:b/>
                <w:sz w:val="22"/>
              </w:rPr>
              <w:t xml:space="preserve"> I </w:t>
            </w:r>
          </w:p>
          <w:p w14:paraId="385B4FF6" w14:textId="524DBEED" w:rsidR="006B3799" w:rsidRDefault="006B3799" w:rsidP="00737BAB">
            <w:pPr>
              <w:keepNext/>
              <w:keepLines/>
              <w:tabs>
                <w:tab w:val="left" w:pos="2640"/>
              </w:tabs>
              <w:spacing w:before="120" w:after="120"/>
              <w:ind w:left="113" w:right="113"/>
              <w:jc w:val="both"/>
              <w:rPr>
                <w:rFonts w:ascii="Arial" w:hAnsi="Arial"/>
                <w:b/>
                <w:sz w:val="22"/>
              </w:rPr>
            </w:pPr>
            <w:r>
              <w:rPr>
                <w:rFonts w:ascii="Arial" w:hAnsi="Arial"/>
                <w:b/>
                <w:sz w:val="22"/>
              </w:rPr>
              <w:t>R</w:t>
            </w:r>
            <w:r w:rsidRPr="00D44D92">
              <w:rPr>
                <w:rFonts w:ascii="Arial" w:hAnsi="Arial"/>
                <w:b/>
                <w:sz w:val="22"/>
              </w:rPr>
              <w:t>apport d’avancement sur les vingt-quatre recommandations de l’évaluation du travail normatif de l’UNESCO du Secteur de la culture concernant la Convention pour la sauvegarde du</w:t>
            </w:r>
            <w:r>
              <w:rPr>
                <w:rFonts w:ascii="Arial" w:hAnsi="Arial"/>
                <w:b/>
                <w:sz w:val="22"/>
              </w:rPr>
              <w:t xml:space="preserve"> patrimoine culturel immatériel</w:t>
            </w:r>
          </w:p>
        </w:tc>
      </w:tr>
      <w:tr w:rsidR="00737BAB" w:rsidRPr="00A76B7D" w14:paraId="53EA48E5" w14:textId="77777777" w:rsidTr="00737BAB">
        <w:tc>
          <w:tcPr>
            <w:tcW w:w="14358" w:type="dxa"/>
            <w:gridSpan w:val="5"/>
            <w:tcBorders>
              <w:top w:val="single" w:sz="4" w:space="0" w:color="auto"/>
              <w:left w:val="single" w:sz="4" w:space="0" w:color="auto"/>
              <w:bottom w:val="single" w:sz="4" w:space="0" w:color="auto"/>
              <w:right w:val="single" w:sz="4" w:space="0" w:color="auto"/>
            </w:tcBorders>
            <w:shd w:val="clear" w:color="auto" w:fill="E6E6E6"/>
            <w:noWrap/>
            <w:tcMar>
              <w:top w:w="40" w:type="dxa"/>
              <w:left w:w="40" w:type="dxa"/>
              <w:bottom w:w="40" w:type="dxa"/>
              <w:right w:w="40" w:type="dxa"/>
            </w:tcMar>
          </w:tcPr>
          <w:p w14:paraId="5367E5DE" w14:textId="06295159" w:rsidR="00737BAB" w:rsidRPr="00A76B7D" w:rsidRDefault="00737BAB" w:rsidP="00737BAB">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 : </w:t>
            </w:r>
            <w:r w:rsidRPr="00961906">
              <w:rPr>
                <w:rFonts w:ascii="Arial" w:hAnsi="Arial"/>
                <w:b/>
                <w:sz w:val="22"/>
              </w:rPr>
              <w:t>Réviser tous les documents et formulaires concernés (y compris les Directives opérationnelles, les formats de rapports périodiques et les dossiers de candidature) afin d</w:t>
            </w:r>
            <w:r>
              <w:rPr>
                <w:rFonts w:ascii="Arial" w:hAnsi="Arial"/>
                <w:b/>
                <w:sz w:val="22"/>
              </w:rPr>
              <w:t>’</w:t>
            </w:r>
            <w:r w:rsidRPr="00961906">
              <w:rPr>
                <w:rFonts w:ascii="Arial" w:hAnsi="Arial"/>
                <w:b/>
                <w:sz w:val="22"/>
              </w:rPr>
              <w:t>y inclure des conseils et des</w:t>
            </w:r>
            <w:r w:rsidR="00305C2C">
              <w:rPr>
                <w:rFonts w:ascii="Arial" w:hAnsi="Arial"/>
                <w:b/>
                <w:sz w:val="22"/>
              </w:rPr>
              <w:t xml:space="preserve"> questions spécifiques au genre.</w:t>
            </w:r>
          </w:p>
        </w:tc>
      </w:tr>
      <w:tr w:rsidR="00737BAB" w:rsidRPr="00A76B7D" w14:paraId="0C8AD8A5" w14:textId="77777777" w:rsidTr="00737BAB">
        <w:tc>
          <w:tcPr>
            <w:tcW w:w="14358" w:type="dxa"/>
            <w:gridSpan w:val="5"/>
            <w:tcBorders>
              <w:top w:val="single" w:sz="4" w:space="0" w:color="auto"/>
              <w:left w:val="single" w:sz="4" w:space="0" w:color="auto"/>
              <w:bottom w:val="single" w:sz="4" w:space="0" w:color="auto"/>
              <w:right w:val="single" w:sz="4" w:space="0" w:color="auto"/>
            </w:tcBorders>
            <w:shd w:val="clear" w:color="auto" w:fill="E6E6E6"/>
            <w:noWrap/>
            <w:tcMar>
              <w:top w:w="40" w:type="dxa"/>
              <w:left w:w="40" w:type="dxa"/>
              <w:bottom w:w="40" w:type="dxa"/>
              <w:right w:w="40" w:type="dxa"/>
            </w:tcMar>
          </w:tcPr>
          <w:p w14:paraId="5DFB4B76" w14:textId="7B62BBCD" w:rsidR="00737BAB" w:rsidRPr="00A76B7D" w:rsidRDefault="00737BAB" w:rsidP="008F2B6E">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Réponse de la direction : </w:t>
            </w:r>
            <w:r>
              <w:rPr>
                <w:rFonts w:ascii="Arial" w:hAnsi="Arial"/>
                <w:sz w:val="22"/>
              </w:rPr>
              <w:t>Les formulaires des rapports ont été modifiés en conséquence, et un nouveau paragraphe à inclure dans les Directives opérationnelles a été soumis au Comité lors de sa neuvième session (décembre 2014)</w:t>
            </w:r>
            <w:r w:rsidR="00305C2C">
              <w:rPr>
                <w:rFonts w:ascii="Arial" w:hAnsi="Arial"/>
                <w:sz w:val="22"/>
              </w:rPr>
              <w:t xml:space="preserve"> </w:t>
            </w:r>
            <w:r>
              <w:rPr>
                <w:rFonts w:ascii="Arial" w:hAnsi="Arial"/>
                <w:sz w:val="22"/>
              </w:rPr>
              <w:t xml:space="preserve">pour discussion et </w:t>
            </w:r>
            <w:r w:rsidR="00451F68">
              <w:rPr>
                <w:rFonts w:ascii="Arial" w:hAnsi="Arial"/>
                <w:sz w:val="22"/>
              </w:rPr>
              <w:t xml:space="preserve">a été </w:t>
            </w:r>
            <w:r w:rsidR="00305C2C">
              <w:rPr>
                <w:rFonts w:ascii="Arial" w:hAnsi="Arial"/>
                <w:sz w:val="22"/>
              </w:rPr>
              <w:t xml:space="preserve">approuvé </w:t>
            </w:r>
            <w:r>
              <w:rPr>
                <w:rFonts w:ascii="Arial" w:hAnsi="Arial"/>
                <w:sz w:val="22"/>
              </w:rPr>
              <w:t xml:space="preserve">lors de sa dixième session (décembre 2015). Les Directives opérationnelles révisées </w:t>
            </w:r>
            <w:r w:rsidR="00305C2C">
              <w:rPr>
                <w:rFonts w:ascii="Arial" w:hAnsi="Arial"/>
                <w:sz w:val="22"/>
              </w:rPr>
              <w:t xml:space="preserve">sont soumises </w:t>
            </w:r>
            <w:r w:rsidR="008F2B6E">
              <w:rPr>
                <w:rFonts w:ascii="Arial" w:hAnsi="Arial"/>
                <w:sz w:val="22"/>
              </w:rPr>
              <w:t xml:space="preserve">pour adoption </w:t>
            </w:r>
            <w:r w:rsidR="00305C2C">
              <w:rPr>
                <w:rFonts w:ascii="Arial" w:hAnsi="Arial"/>
                <w:sz w:val="22"/>
              </w:rPr>
              <w:t>à</w:t>
            </w:r>
            <w:r>
              <w:rPr>
                <w:rFonts w:ascii="Arial" w:hAnsi="Arial"/>
                <w:sz w:val="22"/>
              </w:rPr>
              <w:t xml:space="preserve"> </w:t>
            </w:r>
            <w:r w:rsidR="00305C2C">
              <w:rPr>
                <w:rFonts w:ascii="Arial" w:hAnsi="Arial"/>
                <w:sz w:val="22"/>
              </w:rPr>
              <w:t xml:space="preserve">la présente session de </w:t>
            </w:r>
            <w:r>
              <w:rPr>
                <w:rFonts w:ascii="Arial" w:hAnsi="Arial"/>
                <w:sz w:val="22"/>
              </w:rPr>
              <w:t xml:space="preserve">l’Assemblée générale </w:t>
            </w:r>
            <w:r w:rsidR="008F2B6E">
              <w:rPr>
                <w:rFonts w:ascii="Arial" w:hAnsi="Arial"/>
                <w:sz w:val="22"/>
              </w:rPr>
              <w:t>en juin 2016</w:t>
            </w:r>
            <w:r>
              <w:rPr>
                <w:rFonts w:ascii="Arial" w:hAnsi="Arial"/>
                <w:sz w:val="22"/>
              </w:rPr>
              <w:t>.</w:t>
            </w:r>
          </w:p>
        </w:tc>
      </w:tr>
      <w:tr w:rsidR="00737BAB" w:rsidRPr="00A76B7D" w14:paraId="57194DDC" w14:textId="77777777" w:rsidTr="00737BAB">
        <w:tc>
          <w:tcPr>
            <w:tcW w:w="4690" w:type="dxa"/>
            <w:tcBorders>
              <w:bottom w:val="single" w:sz="4" w:space="0" w:color="auto"/>
            </w:tcBorders>
            <w:shd w:val="clear" w:color="auto" w:fill="auto"/>
            <w:noWrap/>
            <w:tcMar>
              <w:top w:w="40" w:type="dxa"/>
              <w:left w:w="40" w:type="dxa"/>
              <w:bottom w:w="40" w:type="dxa"/>
              <w:right w:w="40" w:type="dxa"/>
            </w:tcMar>
          </w:tcPr>
          <w:p w14:paraId="45A5DF33"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shd w:val="clear" w:color="auto" w:fill="auto"/>
            <w:noWrap/>
            <w:tcMar>
              <w:top w:w="40" w:type="dxa"/>
              <w:left w:w="40" w:type="dxa"/>
              <w:bottom w:w="40" w:type="dxa"/>
              <w:right w:w="40" w:type="dxa"/>
            </w:tcMar>
          </w:tcPr>
          <w:p w14:paraId="07707648"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82" w:type="dxa"/>
            <w:gridSpan w:val="2"/>
            <w:tcBorders>
              <w:bottom w:val="single" w:sz="4" w:space="0" w:color="auto"/>
            </w:tcBorders>
            <w:shd w:val="clear" w:color="auto" w:fill="auto"/>
            <w:noWrap/>
            <w:tcMar>
              <w:top w:w="40" w:type="dxa"/>
              <w:left w:w="40" w:type="dxa"/>
              <w:bottom w:w="40" w:type="dxa"/>
              <w:right w:w="40" w:type="dxa"/>
            </w:tcMar>
          </w:tcPr>
          <w:p w14:paraId="007657F7"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2CD8484D" w14:textId="77777777" w:rsidTr="00737BAB">
        <w:tc>
          <w:tcPr>
            <w:tcW w:w="4690" w:type="dxa"/>
            <w:tcBorders>
              <w:bottom w:val="single" w:sz="4" w:space="0" w:color="auto"/>
            </w:tcBorders>
            <w:shd w:val="clear" w:color="auto" w:fill="auto"/>
            <w:noWrap/>
            <w:tcMar>
              <w:top w:w="40" w:type="dxa"/>
              <w:left w:w="40" w:type="dxa"/>
              <w:bottom w:w="40" w:type="dxa"/>
              <w:right w:w="40" w:type="dxa"/>
            </w:tcMar>
          </w:tcPr>
          <w:p w14:paraId="00CCD46F" w14:textId="7A226CC4" w:rsidR="00737BAB" w:rsidRPr="00A76B7D" w:rsidRDefault="00737BAB" w:rsidP="00737BAB">
            <w:pPr>
              <w:spacing w:before="120" w:after="120"/>
              <w:ind w:left="113"/>
              <w:rPr>
                <w:rFonts w:ascii="Arial" w:hAnsi="Arial" w:cs="Arial"/>
                <w:sz w:val="22"/>
                <w:szCs w:val="22"/>
              </w:rPr>
            </w:pPr>
            <w:r>
              <w:rPr>
                <w:rFonts w:ascii="Arial" w:hAnsi="Arial"/>
                <w:sz w:val="22"/>
              </w:rPr>
              <w:t>Réviser les formulaires de candidature ICH-01 (Liste de sauvegarde urgente) e</w:t>
            </w:r>
            <w:r w:rsidR="00305C2C">
              <w:rPr>
                <w:rFonts w:ascii="Arial" w:hAnsi="Arial"/>
                <w:sz w:val="22"/>
              </w:rPr>
              <w:t>t ICH-02 (Liste représentative).</w:t>
            </w:r>
          </w:p>
        </w:tc>
        <w:tc>
          <w:tcPr>
            <w:tcW w:w="1986" w:type="dxa"/>
            <w:gridSpan w:val="2"/>
            <w:tcBorders>
              <w:bottom w:val="single" w:sz="4" w:space="0" w:color="auto"/>
            </w:tcBorders>
            <w:shd w:val="clear" w:color="auto" w:fill="auto"/>
            <w:noWrap/>
            <w:tcMar>
              <w:top w:w="40" w:type="dxa"/>
              <w:left w:w="40" w:type="dxa"/>
              <w:bottom w:w="40" w:type="dxa"/>
              <w:right w:w="40" w:type="dxa"/>
            </w:tcMar>
          </w:tcPr>
          <w:p w14:paraId="4CFE474B" w14:textId="77777777" w:rsidR="00737BAB" w:rsidRPr="00A76B7D" w:rsidRDefault="00737BAB" w:rsidP="00737BAB">
            <w:pPr>
              <w:spacing w:before="120" w:after="120"/>
              <w:ind w:left="57"/>
              <w:rPr>
                <w:rFonts w:ascii="Arial" w:hAnsi="Arial" w:cs="Arial"/>
                <w:sz w:val="22"/>
                <w:szCs w:val="22"/>
              </w:rPr>
            </w:pPr>
            <w:r>
              <w:rPr>
                <w:rFonts w:ascii="Arial" w:hAnsi="Arial"/>
                <w:sz w:val="22"/>
              </w:rPr>
              <w:t>novembre 2014</w:t>
            </w:r>
          </w:p>
        </w:tc>
        <w:tc>
          <w:tcPr>
            <w:tcW w:w="7682" w:type="dxa"/>
            <w:gridSpan w:val="2"/>
            <w:tcBorders>
              <w:bottom w:val="single" w:sz="4" w:space="0" w:color="auto"/>
            </w:tcBorders>
            <w:shd w:val="clear" w:color="auto" w:fill="auto"/>
            <w:noWrap/>
            <w:tcMar>
              <w:top w:w="40" w:type="dxa"/>
              <w:left w:w="40" w:type="dxa"/>
              <w:bottom w:w="40" w:type="dxa"/>
              <w:right w:w="40" w:type="dxa"/>
            </w:tcMar>
          </w:tcPr>
          <w:p w14:paraId="5201DF17" w14:textId="77777777" w:rsidR="00737BAB" w:rsidRPr="008215A5" w:rsidRDefault="00737BAB" w:rsidP="00737BAB">
            <w:pPr>
              <w:pStyle w:val="ListParagraph"/>
              <w:numPr>
                <w:ilvl w:val="0"/>
                <w:numId w:val="42"/>
              </w:numPr>
              <w:spacing w:before="120" w:after="120"/>
              <w:ind w:left="473"/>
              <w:rPr>
                <w:rFonts w:ascii="Arial" w:hAnsi="Arial" w:cs="Arial"/>
                <w:b/>
                <w:sz w:val="22"/>
                <w:szCs w:val="22"/>
                <w:u w:val="single"/>
              </w:rPr>
            </w:pPr>
            <w:r w:rsidRPr="008215A5">
              <w:rPr>
                <w:rFonts w:ascii="Arial" w:hAnsi="Arial"/>
                <w:sz w:val="22"/>
              </w:rPr>
              <w:t>L’orientation spécifique au genre a été intégrée en octobre 2015 dans les formulaires de candidature ICH</w:t>
            </w:r>
            <w:r>
              <w:noBreakHyphen/>
            </w:r>
            <w:r w:rsidRPr="008215A5">
              <w:rPr>
                <w:rFonts w:ascii="Arial" w:hAnsi="Arial"/>
                <w:sz w:val="22"/>
              </w:rPr>
              <w:t>01 et ICH-02 pour le cycle 2017</w:t>
            </w:r>
            <w:r w:rsidRPr="008215A5">
              <w:rPr>
                <w:rFonts w:ascii="Arial" w:hAnsi="Arial" w:cs="Arial"/>
                <w:sz w:val="22"/>
                <w:szCs w:val="22"/>
              </w:rPr>
              <w:br/>
            </w:r>
            <w:r w:rsidRPr="008215A5">
              <w:rPr>
                <w:rFonts w:ascii="Arial" w:hAnsi="Arial"/>
                <w:sz w:val="22"/>
              </w:rPr>
              <w:t>(</w:t>
            </w:r>
            <w:r w:rsidRPr="008215A5">
              <w:rPr>
                <w:rFonts w:ascii="Arial" w:hAnsi="Arial"/>
                <w:b/>
                <w:sz w:val="22"/>
              </w:rPr>
              <w:t>action terminée</w:t>
            </w:r>
            <w:r w:rsidRPr="008215A5">
              <w:rPr>
                <w:rFonts w:ascii="Arial" w:hAnsi="Arial"/>
                <w:sz w:val="22"/>
              </w:rPr>
              <w:t>).</w:t>
            </w:r>
          </w:p>
        </w:tc>
      </w:tr>
      <w:tr w:rsidR="00737BAB" w:rsidRPr="00A76B7D" w14:paraId="123CBCF6" w14:textId="77777777" w:rsidTr="00737BAB">
        <w:tc>
          <w:tcPr>
            <w:tcW w:w="4690" w:type="dxa"/>
            <w:shd w:val="clear" w:color="auto" w:fill="auto"/>
            <w:noWrap/>
            <w:tcMar>
              <w:top w:w="40" w:type="dxa"/>
              <w:left w:w="40" w:type="dxa"/>
              <w:bottom w:w="40" w:type="dxa"/>
              <w:right w:w="40" w:type="dxa"/>
            </w:tcMar>
          </w:tcPr>
          <w:p w14:paraId="005A8EBD" w14:textId="77777777" w:rsidR="00737BAB" w:rsidRPr="00A76B7D" w:rsidRDefault="00737BAB" w:rsidP="00737BAB">
            <w:pPr>
              <w:spacing w:before="120" w:after="120"/>
              <w:ind w:left="113"/>
              <w:rPr>
                <w:rFonts w:ascii="Arial" w:hAnsi="Arial" w:cs="Arial"/>
                <w:sz w:val="22"/>
                <w:szCs w:val="22"/>
              </w:rPr>
            </w:pPr>
            <w:r>
              <w:rPr>
                <w:rFonts w:ascii="Arial" w:hAnsi="Arial"/>
                <w:sz w:val="22"/>
              </w:rPr>
              <w:t xml:space="preserve">Réviser le formulaire ICH-10 sur le rapport périodique (rapports des États parties sur la mise en œuvre de la Convention). </w:t>
            </w:r>
          </w:p>
        </w:tc>
        <w:tc>
          <w:tcPr>
            <w:tcW w:w="1986" w:type="dxa"/>
            <w:gridSpan w:val="2"/>
            <w:shd w:val="clear" w:color="auto" w:fill="auto"/>
            <w:noWrap/>
            <w:tcMar>
              <w:top w:w="40" w:type="dxa"/>
              <w:left w:w="40" w:type="dxa"/>
              <w:bottom w:w="40" w:type="dxa"/>
              <w:right w:w="40" w:type="dxa"/>
            </w:tcMar>
          </w:tcPr>
          <w:p w14:paraId="2D229731" w14:textId="77777777" w:rsidR="00737BAB" w:rsidRPr="00A76B7D" w:rsidRDefault="00737BAB" w:rsidP="00737BAB">
            <w:pPr>
              <w:spacing w:before="120" w:after="120"/>
              <w:ind w:left="57"/>
              <w:rPr>
                <w:rFonts w:ascii="Arial" w:hAnsi="Arial" w:cs="Arial"/>
                <w:sz w:val="22"/>
                <w:szCs w:val="22"/>
              </w:rPr>
            </w:pPr>
            <w:r>
              <w:rPr>
                <w:rFonts w:ascii="Arial" w:hAnsi="Arial"/>
                <w:sz w:val="22"/>
              </w:rPr>
              <w:t>novembre 2014</w:t>
            </w:r>
          </w:p>
        </w:tc>
        <w:tc>
          <w:tcPr>
            <w:tcW w:w="7682" w:type="dxa"/>
            <w:gridSpan w:val="2"/>
            <w:shd w:val="clear" w:color="auto" w:fill="auto"/>
            <w:noWrap/>
            <w:tcMar>
              <w:top w:w="40" w:type="dxa"/>
              <w:left w:w="40" w:type="dxa"/>
              <w:bottom w:w="40" w:type="dxa"/>
              <w:right w:w="40" w:type="dxa"/>
            </w:tcMar>
          </w:tcPr>
          <w:p w14:paraId="230F04ED" w14:textId="77777777" w:rsidR="00737BAB" w:rsidRPr="008215A5" w:rsidRDefault="00737BAB" w:rsidP="00737BAB">
            <w:pPr>
              <w:pStyle w:val="ListParagraph"/>
              <w:numPr>
                <w:ilvl w:val="0"/>
                <w:numId w:val="42"/>
              </w:numPr>
              <w:spacing w:before="120" w:after="120"/>
              <w:ind w:left="473"/>
              <w:rPr>
                <w:rFonts w:ascii="Arial" w:hAnsi="Arial" w:cs="Arial"/>
                <w:sz w:val="22"/>
                <w:szCs w:val="22"/>
              </w:rPr>
            </w:pPr>
            <w:r w:rsidRPr="008215A5">
              <w:rPr>
                <w:rFonts w:ascii="Arial" w:hAnsi="Arial"/>
                <w:sz w:val="22"/>
              </w:rPr>
              <w:t>Formulaire ICH-10 révisé en décembre 2014 (</w:t>
            </w:r>
            <w:r w:rsidRPr="008215A5">
              <w:rPr>
                <w:rFonts w:ascii="Arial" w:hAnsi="Arial"/>
                <w:b/>
                <w:sz w:val="22"/>
              </w:rPr>
              <w:t>action terminée</w:t>
            </w:r>
            <w:r w:rsidRPr="008215A5">
              <w:rPr>
                <w:rFonts w:ascii="Arial" w:hAnsi="Arial"/>
                <w:sz w:val="22"/>
              </w:rPr>
              <w:t>).</w:t>
            </w:r>
          </w:p>
        </w:tc>
      </w:tr>
      <w:tr w:rsidR="00737BAB" w:rsidRPr="00A76B7D" w14:paraId="5B1D6263" w14:textId="77777777" w:rsidTr="00737BAB">
        <w:tc>
          <w:tcPr>
            <w:tcW w:w="4690" w:type="dxa"/>
            <w:shd w:val="clear" w:color="auto" w:fill="auto"/>
            <w:noWrap/>
            <w:tcMar>
              <w:top w:w="40" w:type="dxa"/>
              <w:left w:w="40" w:type="dxa"/>
              <w:bottom w:w="40" w:type="dxa"/>
              <w:right w:w="40" w:type="dxa"/>
            </w:tcMar>
          </w:tcPr>
          <w:p w14:paraId="3F29DA12" w14:textId="77777777" w:rsidR="00737BAB" w:rsidRPr="00A76B7D" w:rsidRDefault="00737BAB" w:rsidP="00737BAB">
            <w:pPr>
              <w:spacing w:before="120" w:after="120"/>
              <w:ind w:left="113"/>
              <w:rPr>
                <w:rFonts w:ascii="Arial" w:hAnsi="Arial" w:cs="Arial"/>
                <w:sz w:val="22"/>
                <w:szCs w:val="22"/>
              </w:rPr>
            </w:pPr>
            <w:r>
              <w:rPr>
                <w:rFonts w:ascii="Arial" w:hAnsi="Arial"/>
                <w:sz w:val="22"/>
              </w:rPr>
              <w:t>Inclure un paragraphe concernant le genre dans le projet des Directives opérationnelles sur le développement durable.</w:t>
            </w:r>
          </w:p>
        </w:tc>
        <w:tc>
          <w:tcPr>
            <w:tcW w:w="1986" w:type="dxa"/>
            <w:gridSpan w:val="2"/>
            <w:shd w:val="clear" w:color="auto" w:fill="auto"/>
            <w:noWrap/>
            <w:tcMar>
              <w:top w:w="40" w:type="dxa"/>
              <w:left w:w="40" w:type="dxa"/>
              <w:bottom w:w="40" w:type="dxa"/>
              <w:right w:w="40" w:type="dxa"/>
            </w:tcMar>
          </w:tcPr>
          <w:p w14:paraId="439FC0ED" w14:textId="77777777" w:rsidR="00737BAB" w:rsidRPr="00A76B7D" w:rsidRDefault="00737BAB" w:rsidP="00737BAB">
            <w:pPr>
              <w:spacing w:before="120" w:after="120"/>
              <w:ind w:left="57"/>
              <w:rPr>
                <w:rFonts w:ascii="Arial" w:hAnsi="Arial" w:cs="Arial"/>
                <w:sz w:val="22"/>
                <w:szCs w:val="22"/>
              </w:rPr>
            </w:pPr>
            <w:r>
              <w:rPr>
                <w:rFonts w:ascii="Arial" w:hAnsi="Arial"/>
                <w:sz w:val="22"/>
              </w:rPr>
              <w:t>juin 2016</w:t>
            </w:r>
          </w:p>
        </w:tc>
        <w:tc>
          <w:tcPr>
            <w:tcW w:w="7682" w:type="dxa"/>
            <w:gridSpan w:val="2"/>
            <w:shd w:val="clear" w:color="auto" w:fill="auto"/>
            <w:noWrap/>
            <w:tcMar>
              <w:top w:w="40" w:type="dxa"/>
              <w:left w:w="40" w:type="dxa"/>
              <w:bottom w:w="40" w:type="dxa"/>
              <w:right w:w="40" w:type="dxa"/>
            </w:tcMar>
          </w:tcPr>
          <w:p w14:paraId="62B91C83" w14:textId="7AA382C4" w:rsidR="00737BAB" w:rsidRPr="008215A5" w:rsidRDefault="00305C2C" w:rsidP="00737BAB">
            <w:pPr>
              <w:pStyle w:val="ListParagraph"/>
              <w:numPr>
                <w:ilvl w:val="0"/>
                <w:numId w:val="42"/>
              </w:numPr>
              <w:spacing w:before="120" w:after="120"/>
              <w:ind w:left="473"/>
              <w:rPr>
                <w:rFonts w:ascii="Arial" w:hAnsi="Arial" w:cs="Arial"/>
                <w:sz w:val="22"/>
                <w:szCs w:val="22"/>
              </w:rPr>
            </w:pPr>
            <w:r>
              <w:rPr>
                <w:rFonts w:ascii="Arial" w:hAnsi="Arial"/>
                <w:sz w:val="22"/>
              </w:rPr>
              <w:t>En 2015, la dixième session du Comité a approuvé l’amendement des Directives opérationnelles visant à introduire « l’égalité des genres » dans la section concernant la « Sauvegarde du patrimoine culturel immatériel et le développement durable à l’échelle nationale</w:t>
            </w:r>
            <w:r w:rsidR="00E221CC">
              <w:rPr>
                <w:rFonts w:ascii="Arial" w:hAnsi="Arial"/>
                <w:sz w:val="22"/>
              </w:rPr>
              <w:t> »</w:t>
            </w:r>
            <w:r>
              <w:rPr>
                <w:rFonts w:ascii="Arial" w:hAnsi="Arial"/>
                <w:sz w:val="22"/>
              </w:rPr>
              <w:t xml:space="preserve"> (</w:t>
            </w:r>
            <w:hyperlink r:id="rId77" w:history="1">
              <w:r w:rsidRPr="00400A59">
                <w:rPr>
                  <w:rStyle w:val="Hyperlink"/>
                  <w:rFonts w:ascii="Arial" w:hAnsi="Arial"/>
                  <w:sz w:val="22"/>
                </w:rPr>
                <w:t>décision</w:t>
              </w:r>
              <w:r w:rsidR="00E221CC" w:rsidRPr="00400A59">
                <w:rPr>
                  <w:rStyle w:val="Hyperlink"/>
                  <w:rFonts w:ascii="Arial" w:hAnsi="Arial"/>
                  <w:sz w:val="22"/>
                </w:rPr>
                <w:t> </w:t>
              </w:r>
              <w:r w:rsidRPr="00400A59">
                <w:rPr>
                  <w:rStyle w:val="Hyperlink"/>
                  <w:rFonts w:ascii="Arial" w:hAnsi="Arial"/>
                  <w:sz w:val="22"/>
                </w:rPr>
                <w:t>10.COM 14.a</w:t>
              </w:r>
            </w:hyperlink>
            <w:r w:rsidRPr="00400A59">
              <w:rPr>
                <w:rFonts w:ascii="Arial" w:hAnsi="Arial"/>
                <w:sz w:val="22"/>
              </w:rPr>
              <w:t>).</w:t>
            </w:r>
          </w:p>
          <w:p w14:paraId="7287B450" w14:textId="11BCD1FF" w:rsidR="00737BAB" w:rsidRPr="008215A5" w:rsidRDefault="00737BAB" w:rsidP="00305C2C">
            <w:pPr>
              <w:pStyle w:val="ListParagraph"/>
              <w:numPr>
                <w:ilvl w:val="0"/>
                <w:numId w:val="42"/>
              </w:numPr>
              <w:spacing w:before="120" w:after="120"/>
              <w:ind w:left="473"/>
              <w:rPr>
                <w:rFonts w:ascii="Arial" w:hAnsi="Arial" w:cs="Arial"/>
                <w:b/>
                <w:sz w:val="22"/>
                <w:szCs w:val="22"/>
                <w:u w:val="single"/>
              </w:rPr>
            </w:pPr>
            <w:r w:rsidRPr="008215A5">
              <w:rPr>
                <w:rFonts w:ascii="Arial" w:hAnsi="Arial"/>
                <w:sz w:val="22"/>
              </w:rPr>
              <w:t xml:space="preserve">Cet amendement </w:t>
            </w:r>
            <w:r w:rsidR="00305C2C">
              <w:rPr>
                <w:rFonts w:ascii="Arial" w:hAnsi="Arial"/>
                <w:sz w:val="22"/>
              </w:rPr>
              <w:t>est soumis pour adoption à la présente session de l’Assemblée générale en juin 2016</w:t>
            </w:r>
            <w:r w:rsidR="00E221CC">
              <w:rPr>
                <w:rFonts w:ascii="Arial" w:hAnsi="Arial"/>
                <w:sz w:val="22"/>
              </w:rPr>
              <w:t xml:space="preserve"> (</w:t>
            </w:r>
            <w:hyperlink r:id="rId78" w:history="1">
              <w:r w:rsidR="00E221CC" w:rsidRPr="00F863D7">
                <w:rPr>
                  <w:rStyle w:val="Hyperlink"/>
                  <w:rFonts w:ascii="Arial" w:hAnsi="Arial"/>
                  <w:sz w:val="22"/>
                </w:rPr>
                <w:t>document ITH/16/6.GA/7</w:t>
              </w:r>
            </w:hyperlink>
            <w:r w:rsidR="00E221CC" w:rsidRPr="00F863D7">
              <w:rPr>
                <w:rFonts w:ascii="Arial" w:hAnsi="Arial"/>
                <w:sz w:val="22"/>
              </w:rPr>
              <w:t>).</w:t>
            </w:r>
          </w:p>
        </w:tc>
      </w:tr>
      <w:tr w:rsidR="00737BAB" w:rsidRPr="00A76B7D" w14:paraId="6C97135D" w14:textId="77777777" w:rsidTr="00737BAB">
        <w:tc>
          <w:tcPr>
            <w:tcW w:w="14358" w:type="dxa"/>
            <w:gridSpan w:val="5"/>
            <w:shd w:val="clear" w:color="auto" w:fill="E6E6E6"/>
            <w:noWrap/>
            <w:tcMar>
              <w:top w:w="40" w:type="dxa"/>
              <w:left w:w="40" w:type="dxa"/>
              <w:bottom w:w="40" w:type="dxa"/>
              <w:right w:w="40" w:type="dxa"/>
            </w:tcMar>
          </w:tcPr>
          <w:p w14:paraId="11545D97" w14:textId="77777777" w:rsidR="00737BAB" w:rsidRPr="00A76B7D" w:rsidRDefault="00737BAB" w:rsidP="00737BAB">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2 : </w:t>
            </w:r>
            <w:r w:rsidRPr="00AE3162">
              <w:rPr>
                <w:rFonts w:ascii="Arial" w:hAnsi="Arial"/>
                <w:b/>
                <w:sz w:val="22"/>
              </w:rPr>
              <w:t>Promouvoir une plus grande implication des ONG et des communautés dans le développement de politiques, de législations et de plans de sauvegarde et de développement durable.</w:t>
            </w:r>
          </w:p>
        </w:tc>
      </w:tr>
      <w:tr w:rsidR="00737BAB" w:rsidRPr="00A76B7D" w14:paraId="69F8523A" w14:textId="77777777" w:rsidTr="00737BAB">
        <w:tc>
          <w:tcPr>
            <w:tcW w:w="14358" w:type="dxa"/>
            <w:gridSpan w:val="5"/>
            <w:noWrap/>
            <w:tcMar>
              <w:top w:w="40" w:type="dxa"/>
              <w:left w:w="40" w:type="dxa"/>
              <w:bottom w:w="40" w:type="dxa"/>
              <w:right w:w="40" w:type="dxa"/>
            </w:tcMar>
          </w:tcPr>
          <w:p w14:paraId="7ACEC8BF" w14:textId="6C4D3302" w:rsidR="00737BAB" w:rsidRPr="00A76B7D" w:rsidRDefault="00737BAB" w:rsidP="00451F68">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Cette recommandation est tout à fait conforme à la Convention et aux Directives opérationnelles. Bien que la mise en œuvre de cette recommandation soit sous la responsabilité directe des États Parties, le Secrétariat utilise toutes les occasions, et notamment dans le programme de renforcement des capacités et le soutien de matériel, pour rappeler l’importance d’une telle implication aux États.</w:t>
            </w:r>
            <w:r w:rsidR="008F2B6E">
              <w:rPr>
                <w:rFonts w:ascii="Arial" w:hAnsi="Arial"/>
                <w:sz w:val="22"/>
              </w:rPr>
              <w:t xml:space="preserve"> De plus, le Comité lors de sa </w:t>
            </w:r>
            <w:r w:rsidR="00451F68">
              <w:rPr>
                <w:rFonts w:ascii="Arial" w:hAnsi="Arial"/>
                <w:sz w:val="22"/>
              </w:rPr>
              <w:t xml:space="preserve">neuvième </w:t>
            </w:r>
            <w:r w:rsidR="008F2B6E">
              <w:rPr>
                <w:rFonts w:ascii="Arial" w:hAnsi="Arial"/>
                <w:sz w:val="22"/>
              </w:rPr>
              <w:t xml:space="preserve">session a adopté des amendements aux Directives opérationnelles pour encourager les </w:t>
            </w:r>
            <w:r w:rsidR="008F2B6E">
              <w:rPr>
                <w:rFonts w:ascii="Arial" w:hAnsi="Arial" w:cs="Arial"/>
                <w:sz w:val="22"/>
              </w:rPr>
              <w:t>É</w:t>
            </w:r>
            <w:r w:rsidR="008F2B6E">
              <w:rPr>
                <w:rFonts w:ascii="Arial" w:hAnsi="Arial"/>
                <w:sz w:val="22"/>
              </w:rPr>
              <w:t>tats parties à compléter, lors de la préparation de leur rapport périodique, les données collectées sur la mise en œuvre de la Convention avec des informations fournies par les organisations non gouvernementales pertinentes. Les Directives opérationnelles révisées sont soumises pour adoption à la présente session de l’Assemblée générale en juin 2016.</w:t>
            </w:r>
          </w:p>
        </w:tc>
      </w:tr>
      <w:tr w:rsidR="00737BAB" w:rsidRPr="00A76B7D" w14:paraId="1FB84894" w14:textId="77777777" w:rsidTr="00737BAB">
        <w:tc>
          <w:tcPr>
            <w:tcW w:w="4690" w:type="dxa"/>
            <w:noWrap/>
            <w:tcMar>
              <w:top w:w="40" w:type="dxa"/>
              <w:left w:w="40" w:type="dxa"/>
              <w:bottom w:w="40" w:type="dxa"/>
              <w:right w:w="40" w:type="dxa"/>
            </w:tcMar>
          </w:tcPr>
          <w:p w14:paraId="76776B3C"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5E59D9C7"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82" w:type="dxa"/>
            <w:gridSpan w:val="2"/>
            <w:noWrap/>
            <w:tcMar>
              <w:top w:w="40" w:type="dxa"/>
              <w:left w:w="40" w:type="dxa"/>
              <w:bottom w:w="40" w:type="dxa"/>
              <w:right w:w="40" w:type="dxa"/>
            </w:tcMar>
          </w:tcPr>
          <w:p w14:paraId="3804803C"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546C281E" w14:textId="77777777" w:rsidTr="00737BAB">
        <w:tc>
          <w:tcPr>
            <w:tcW w:w="4690" w:type="dxa"/>
            <w:noWrap/>
            <w:tcMar>
              <w:top w:w="40" w:type="dxa"/>
              <w:left w:w="40" w:type="dxa"/>
              <w:bottom w:w="40" w:type="dxa"/>
              <w:right w:w="40" w:type="dxa"/>
            </w:tcMar>
          </w:tcPr>
          <w:p w14:paraId="7BC513E1" w14:textId="77777777" w:rsidR="00737BAB" w:rsidRPr="00A76B7D" w:rsidRDefault="00737BAB" w:rsidP="00737BAB">
            <w:pPr>
              <w:pStyle w:val="Default"/>
              <w:spacing w:before="120" w:after="120"/>
              <w:ind w:left="113" w:right="57"/>
              <w:rPr>
                <w:sz w:val="22"/>
                <w:szCs w:val="22"/>
              </w:rPr>
            </w:pPr>
            <w:r>
              <w:rPr>
                <w:sz w:val="22"/>
              </w:rPr>
              <w:t>Intégrer et/ou renforcer ces aspects dans le matériel de renforcement de capacités et les ateliers de formation des formateurs.</w:t>
            </w:r>
          </w:p>
        </w:tc>
        <w:tc>
          <w:tcPr>
            <w:tcW w:w="1986" w:type="dxa"/>
            <w:gridSpan w:val="2"/>
            <w:noWrap/>
            <w:tcMar>
              <w:top w:w="40" w:type="dxa"/>
              <w:left w:w="40" w:type="dxa"/>
              <w:bottom w:w="40" w:type="dxa"/>
              <w:right w:w="40" w:type="dxa"/>
            </w:tcMar>
          </w:tcPr>
          <w:p w14:paraId="52988ED5" w14:textId="4564213C" w:rsidR="00737BAB" w:rsidRPr="00A76B7D" w:rsidRDefault="006B3799" w:rsidP="00737BAB">
            <w:pPr>
              <w:spacing w:before="120" w:after="120"/>
              <w:ind w:left="57"/>
              <w:rPr>
                <w:rFonts w:ascii="Arial" w:hAnsi="Arial" w:cs="Arial"/>
                <w:sz w:val="22"/>
                <w:szCs w:val="22"/>
              </w:rPr>
            </w:pPr>
            <w:r>
              <w:rPr>
                <w:rFonts w:ascii="Arial" w:hAnsi="Arial"/>
                <w:sz w:val="22"/>
              </w:rPr>
              <w:t>février 2016</w:t>
            </w:r>
          </w:p>
        </w:tc>
        <w:tc>
          <w:tcPr>
            <w:tcW w:w="7682" w:type="dxa"/>
            <w:gridSpan w:val="2"/>
            <w:noWrap/>
            <w:tcMar>
              <w:top w:w="40" w:type="dxa"/>
              <w:left w:w="40" w:type="dxa"/>
              <w:bottom w:w="40" w:type="dxa"/>
              <w:right w:w="40" w:type="dxa"/>
            </w:tcMar>
          </w:tcPr>
          <w:p w14:paraId="41AC5107" w14:textId="4F87735A"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 xml:space="preserve">Le rôle des </w:t>
            </w:r>
            <w:r w:rsidRPr="00FD5402">
              <w:rPr>
                <w:rFonts w:ascii="Arial" w:hAnsi="Arial"/>
                <w:sz w:val="22"/>
              </w:rPr>
              <w:t>organisations non gouvernementales</w:t>
            </w:r>
            <w:r>
              <w:rPr>
                <w:rFonts w:ascii="Arial" w:hAnsi="Arial"/>
                <w:sz w:val="22"/>
              </w:rPr>
              <w:t xml:space="preserve"> et l’implication des communautés faisaient par</w:t>
            </w:r>
            <w:r w:rsidR="008F2B6E">
              <w:rPr>
                <w:rFonts w:ascii="Arial" w:hAnsi="Arial"/>
                <w:sz w:val="22"/>
              </w:rPr>
              <w:t>tie de la formation des experts-</w:t>
            </w:r>
            <w:r>
              <w:rPr>
                <w:rFonts w:ascii="Arial" w:hAnsi="Arial"/>
                <w:sz w:val="22"/>
              </w:rPr>
              <w:t>facilitateurs pour l’Asie du Pacifique (janvier 2015) et l’Afrique (septembre 2015).</w:t>
            </w:r>
          </w:p>
          <w:p w14:paraId="0AAD569C"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Une note d’orientation de l’UNESCO concernant la fourniture de services consultatifs pour l’élaboration de politiques dans le domaine du patrimoine culturel immatériel, disponible depuis juin 2015, souligne le rôle des ONG et l’implication des communautés.</w:t>
            </w:r>
          </w:p>
          <w:p w14:paraId="36E042B7" w14:textId="4E9F876B" w:rsidR="00737BAB" w:rsidRPr="00A76B7D" w:rsidRDefault="00737BAB" w:rsidP="008F2B6E">
            <w:pPr>
              <w:pStyle w:val="ListParagraph"/>
              <w:numPr>
                <w:ilvl w:val="0"/>
                <w:numId w:val="39"/>
              </w:numPr>
              <w:spacing w:before="120" w:after="120"/>
              <w:ind w:left="470" w:hanging="357"/>
              <w:rPr>
                <w:rFonts w:ascii="Arial" w:hAnsi="Arial" w:cs="Arial"/>
                <w:b/>
                <w:sz w:val="22"/>
                <w:szCs w:val="22"/>
                <w:u w:val="single"/>
              </w:rPr>
            </w:pPr>
            <w:r>
              <w:rPr>
                <w:rFonts w:ascii="Arial" w:hAnsi="Arial"/>
                <w:sz w:val="22"/>
              </w:rPr>
              <w:t xml:space="preserve">Une unité indépendante du matériel de formation sur l’élaboration des politiques et de la législation </w:t>
            </w:r>
            <w:r w:rsidR="008F2B6E">
              <w:rPr>
                <w:rFonts w:ascii="Arial" w:hAnsi="Arial"/>
                <w:sz w:val="22"/>
              </w:rPr>
              <w:t>est disponible en anglais depuis février 2016,</w:t>
            </w:r>
            <w:r>
              <w:rPr>
                <w:rFonts w:ascii="Arial" w:hAnsi="Arial"/>
                <w:sz w:val="22"/>
              </w:rPr>
              <w:t xml:space="preserve"> intégrant l’importance des ONG et l’implication des communautés.</w:t>
            </w:r>
            <w:r w:rsidR="008F2B6E">
              <w:rPr>
                <w:rFonts w:ascii="Arial" w:hAnsi="Arial"/>
                <w:sz w:val="22"/>
              </w:rPr>
              <w:t xml:space="preserve"> D’autres versions linguistiques en français et en espagnol du matériel de formation sont en cours de préparation. </w:t>
            </w:r>
          </w:p>
        </w:tc>
      </w:tr>
      <w:tr w:rsidR="006B3799" w:rsidRPr="00A76B7D" w14:paraId="4FAA991C" w14:textId="77777777" w:rsidTr="00737BAB">
        <w:tc>
          <w:tcPr>
            <w:tcW w:w="4690" w:type="dxa"/>
            <w:noWrap/>
            <w:tcMar>
              <w:top w:w="40" w:type="dxa"/>
              <w:left w:w="40" w:type="dxa"/>
              <w:bottom w:w="40" w:type="dxa"/>
              <w:right w:w="40" w:type="dxa"/>
            </w:tcMar>
          </w:tcPr>
          <w:p w14:paraId="2CEE0091" w14:textId="52A19BF3" w:rsidR="006B3799" w:rsidRDefault="008F2B6E" w:rsidP="00451F68">
            <w:pPr>
              <w:pStyle w:val="Default"/>
              <w:spacing w:before="120" w:after="120"/>
              <w:ind w:left="113" w:right="57"/>
              <w:rPr>
                <w:sz w:val="22"/>
              </w:rPr>
            </w:pPr>
            <w:r w:rsidRPr="008F2B6E">
              <w:rPr>
                <w:sz w:val="22"/>
                <w:szCs w:val="22"/>
              </w:rPr>
              <w:t>Réviser les Directives opérationnelles pour</w:t>
            </w:r>
            <w:r w:rsidRPr="008F2B6E">
              <w:t xml:space="preserve"> </w:t>
            </w:r>
            <w:r>
              <w:rPr>
                <w:sz w:val="22"/>
              </w:rPr>
              <w:t>opérationnelles pour encourager les États parties, lors de la préparation de leur rapport périodique,</w:t>
            </w:r>
            <w:r w:rsidR="00451F68">
              <w:rPr>
                <w:sz w:val="22"/>
              </w:rPr>
              <w:t xml:space="preserve"> à compléter</w:t>
            </w:r>
            <w:r>
              <w:rPr>
                <w:sz w:val="22"/>
              </w:rPr>
              <w:t xml:space="preserve"> les données collectées sur la mise en œuvre de la Convention avec</w:t>
            </w:r>
            <w:r w:rsidR="00451F68">
              <w:rPr>
                <w:sz w:val="22"/>
              </w:rPr>
              <w:t xml:space="preserve"> des informations fournies par d</w:t>
            </w:r>
            <w:r>
              <w:rPr>
                <w:sz w:val="22"/>
              </w:rPr>
              <w:t xml:space="preserve">es organisations non gouvernementales pertinentes. </w:t>
            </w:r>
          </w:p>
        </w:tc>
        <w:tc>
          <w:tcPr>
            <w:tcW w:w="1986" w:type="dxa"/>
            <w:gridSpan w:val="2"/>
            <w:noWrap/>
            <w:tcMar>
              <w:top w:w="40" w:type="dxa"/>
              <w:left w:w="40" w:type="dxa"/>
              <w:bottom w:w="40" w:type="dxa"/>
              <w:right w:w="40" w:type="dxa"/>
            </w:tcMar>
          </w:tcPr>
          <w:p w14:paraId="41987A11" w14:textId="36ABA661" w:rsidR="006B3799" w:rsidRDefault="006B3799" w:rsidP="00737BAB">
            <w:pPr>
              <w:pStyle w:val="Default"/>
              <w:spacing w:before="120" w:after="120"/>
              <w:ind w:left="57"/>
              <w:rPr>
                <w:sz w:val="22"/>
              </w:rPr>
            </w:pPr>
            <w:r>
              <w:rPr>
                <w:sz w:val="22"/>
              </w:rPr>
              <w:t>juin 2016</w:t>
            </w:r>
          </w:p>
        </w:tc>
        <w:tc>
          <w:tcPr>
            <w:tcW w:w="7682" w:type="dxa"/>
            <w:gridSpan w:val="2"/>
            <w:noWrap/>
            <w:tcMar>
              <w:top w:w="40" w:type="dxa"/>
              <w:left w:w="40" w:type="dxa"/>
              <w:bottom w:w="40" w:type="dxa"/>
              <w:right w:w="40" w:type="dxa"/>
            </w:tcMar>
          </w:tcPr>
          <w:p w14:paraId="118FAB48" w14:textId="4C70BE25" w:rsidR="006B3799" w:rsidRDefault="0018219B" w:rsidP="00451F68">
            <w:pPr>
              <w:pStyle w:val="ListParagraph"/>
              <w:numPr>
                <w:ilvl w:val="0"/>
                <w:numId w:val="39"/>
              </w:numPr>
              <w:spacing w:before="120" w:after="120"/>
              <w:ind w:left="470" w:hanging="357"/>
              <w:rPr>
                <w:rFonts w:ascii="Arial" w:hAnsi="Arial"/>
                <w:sz w:val="22"/>
              </w:rPr>
            </w:pPr>
            <w:r>
              <w:rPr>
                <w:rFonts w:ascii="Arial" w:hAnsi="Arial"/>
                <w:sz w:val="22"/>
              </w:rPr>
              <w:t xml:space="preserve">Lors de sa </w:t>
            </w:r>
            <w:r w:rsidR="00451F68">
              <w:rPr>
                <w:rFonts w:ascii="Arial" w:hAnsi="Arial"/>
                <w:sz w:val="22"/>
              </w:rPr>
              <w:t>neuvième</w:t>
            </w:r>
            <w:r>
              <w:rPr>
                <w:rFonts w:ascii="Arial" w:hAnsi="Arial"/>
                <w:sz w:val="22"/>
              </w:rPr>
              <w:t xml:space="preserve"> session, le Comité a adopté des amendements des Directives opérationnelles encourageant les </w:t>
            </w:r>
            <w:r>
              <w:rPr>
                <w:rFonts w:ascii="Arial" w:hAnsi="Arial" w:cs="Arial"/>
                <w:sz w:val="22"/>
              </w:rPr>
              <w:t>États parties</w:t>
            </w:r>
            <w:r>
              <w:rPr>
                <w:rFonts w:ascii="Arial" w:hAnsi="Arial"/>
                <w:sz w:val="22"/>
              </w:rPr>
              <w:t xml:space="preserve">, lors de la préparation de leur rapport périodique, </w:t>
            </w:r>
            <w:r w:rsidR="00451F68">
              <w:rPr>
                <w:rFonts w:ascii="Arial" w:hAnsi="Arial"/>
                <w:sz w:val="22"/>
              </w:rPr>
              <w:t xml:space="preserve">à compléter </w:t>
            </w:r>
            <w:r>
              <w:rPr>
                <w:rFonts w:ascii="Arial" w:hAnsi="Arial"/>
                <w:sz w:val="22"/>
              </w:rPr>
              <w:t>les données collectées sur la mise en œuvre de la Convention avec</w:t>
            </w:r>
            <w:r w:rsidR="00451F68">
              <w:rPr>
                <w:rFonts w:ascii="Arial" w:hAnsi="Arial"/>
                <w:sz w:val="22"/>
              </w:rPr>
              <w:t xml:space="preserve"> des informations fournies par d</w:t>
            </w:r>
            <w:r>
              <w:rPr>
                <w:rFonts w:ascii="Arial" w:hAnsi="Arial"/>
                <w:sz w:val="22"/>
              </w:rPr>
              <w:t>es organisations non gouvernementales</w:t>
            </w:r>
            <w:r>
              <w:rPr>
                <w:sz w:val="22"/>
              </w:rPr>
              <w:t xml:space="preserve"> </w:t>
            </w:r>
            <w:r w:rsidRPr="0018219B">
              <w:rPr>
                <w:rFonts w:ascii="Arial" w:hAnsi="Arial"/>
                <w:sz w:val="22"/>
              </w:rPr>
              <w:t>pertinentes</w:t>
            </w:r>
            <w:r>
              <w:rPr>
                <w:rFonts w:ascii="Arial" w:hAnsi="Arial"/>
                <w:sz w:val="22"/>
              </w:rPr>
              <w:t xml:space="preserve"> (décision 9.COM 13.a)</w:t>
            </w:r>
            <w:r w:rsidR="009B3FA6">
              <w:rPr>
                <w:rFonts w:ascii="Arial" w:hAnsi="Arial"/>
                <w:sz w:val="22"/>
              </w:rPr>
              <w:t>. Les Directives opérationnelles révisées sont soumises pour adoption à la présente session de l’Assemblée générale en juin 2016.</w:t>
            </w:r>
            <w:r>
              <w:rPr>
                <w:rFonts w:ascii="Arial" w:hAnsi="Arial"/>
                <w:sz w:val="22"/>
              </w:rPr>
              <w:t xml:space="preserve"> </w:t>
            </w:r>
          </w:p>
        </w:tc>
      </w:tr>
      <w:tr w:rsidR="00737BAB" w:rsidRPr="00A76B7D" w14:paraId="35882E03" w14:textId="77777777" w:rsidTr="00737BAB">
        <w:tc>
          <w:tcPr>
            <w:tcW w:w="4690" w:type="dxa"/>
            <w:noWrap/>
            <w:tcMar>
              <w:top w:w="40" w:type="dxa"/>
              <w:left w:w="40" w:type="dxa"/>
              <w:bottom w:w="40" w:type="dxa"/>
              <w:right w:w="40" w:type="dxa"/>
            </w:tcMar>
          </w:tcPr>
          <w:p w14:paraId="544BE53B" w14:textId="2CFFECCE" w:rsidR="00737BAB" w:rsidRPr="00A76B7D" w:rsidRDefault="00451F68" w:rsidP="00821516">
            <w:pPr>
              <w:pStyle w:val="Default"/>
              <w:keepNext/>
              <w:keepLines/>
              <w:spacing w:before="120" w:after="120"/>
              <w:ind w:left="113" w:right="57"/>
              <w:rPr>
                <w:sz w:val="22"/>
                <w:szCs w:val="22"/>
              </w:rPr>
            </w:pPr>
            <w:r>
              <w:rPr>
                <w:sz w:val="22"/>
              </w:rPr>
              <w:t>Intégrer c</w:t>
            </w:r>
            <w:r w:rsidR="00737BAB">
              <w:rPr>
                <w:sz w:val="22"/>
              </w:rPr>
              <w:t>es aspects dans un aide-mémoire pour l’élaboration des dossiers de candidature et pour les rapports périodiques.</w:t>
            </w:r>
          </w:p>
        </w:tc>
        <w:tc>
          <w:tcPr>
            <w:tcW w:w="1986" w:type="dxa"/>
            <w:gridSpan w:val="2"/>
            <w:noWrap/>
            <w:tcMar>
              <w:top w:w="40" w:type="dxa"/>
              <w:left w:w="40" w:type="dxa"/>
              <w:bottom w:w="40" w:type="dxa"/>
              <w:right w:w="40" w:type="dxa"/>
            </w:tcMar>
          </w:tcPr>
          <w:p w14:paraId="7EA5FC92" w14:textId="6D51A2A2" w:rsidR="00737BAB" w:rsidRPr="00A76B7D" w:rsidRDefault="006B3799" w:rsidP="00821516">
            <w:pPr>
              <w:pStyle w:val="Default"/>
              <w:keepNext/>
              <w:keepLines/>
              <w:spacing w:before="120" w:after="120"/>
              <w:ind w:left="57"/>
              <w:rPr>
                <w:sz w:val="22"/>
                <w:szCs w:val="22"/>
              </w:rPr>
            </w:pPr>
            <w:r>
              <w:rPr>
                <w:sz w:val="22"/>
              </w:rPr>
              <w:t>octobre 2016</w:t>
            </w:r>
            <w:r w:rsidR="00737BAB">
              <w:rPr>
                <w:sz w:val="22"/>
              </w:rPr>
              <w:t xml:space="preserve"> </w:t>
            </w:r>
          </w:p>
        </w:tc>
        <w:tc>
          <w:tcPr>
            <w:tcW w:w="7682" w:type="dxa"/>
            <w:gridSpan w:val="2"/>
            <w:noWrap/>
            <w:tcMar>
              <w:top w:w="40" w:type="dxa"/>
              <w:left w:w="40" w:type="dxa"/>
              <w:bottom w:w="40" w:type="dxa"/>
              <w:right w:w="40" w:type="dxa"/>
            </w:tcMar>
          </w:tcPr>
          <w:p w14:paraId="40D75BB5" w14:textId="77777777" w:rsidR="00737BAB" w:rsidRPr="00A76B7D" w:rsidRDefault="00737BAB" w:rsidP="00821516">
            <w:pPr>
              <w:pStyle w:val="ListParagraph"/>
              <w:keepNext/>
              <w:keepLines/>
              <w:numPr>
                <w:ilvl w:val="0"/>
                <w:numId w:val="39"/>
              </w:numPr>
              <w:spacing w:before="120" w:after="120"/>
              <w:ind w:left="470" w:hanging="357"/>
              <w:rPr>
                <w:sz w:val="22"/>
                <w:szCs w:val="22"/>
              </w:rPr>
            </w:pPr>
            <w:r>
              <w:rPr>
                <w:rFonts w:ascii="Arial" w:hAnsi="Arial"/>
                <w:sz w:val="22"/>
              </w:rPr>
              <w:t>La version de février 2015 de l’aide-mémoire mentionne à plusieurs reprises l’importance des ONG et de l’implication des communautés.</w:t>
            </w:r>
          </w:p>
          <w:p w14:paraId="20E61389" w14:textId="5ACAEE72" w:rsidR="00737BAB" w:rsidRPr="00A76B7D" w:rsidRDefault="00821516" w:rsidP="00821516">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Si les amendements des Directives opérationnelles sont adoptés par l’Assemblée générale, l</w:t>
            </w:r>
            <w:r w:rsidR="00737BAB">
              <w:rPr>
                <w:rFonts w:ascii="Arial" w:hAnsi="Arial"/>
                <w:sz w:val="22"/>
              </w:rPr>
              <w:t xml:space="preserve">a nouvelle version de l’aide-mémoire sur les rapports périodiques </w:t>
            </w:r>
            <w:r>
              <w:rPr>
                <w:rFonts w:ascii="Arial" w:hAnsi="Arial"/>
                <w:sz w:val="22"/>
              </w:rPr>
              <w:t>soulignera davantage le rôle des organisations non gouvernementales</w:t>
            </w:r>
            <w:r w:rsidR="00737BAB">
              <w:rPr>
                <w:rFonts w:ascii="Arial" w:hAnsi="Arial"/>
                <w:sz w:val="22"/>
              </w:rPr>
              <w:t>.</w:t>
            </w:r>
          </w:p>
        </w:tc>
      </w:tr>
      <w:tr w:rsidR="00737BAB" w:rsidRPr="00A76B7D" w14:paraId="482FE42C" w14:textId="77777777" w:rsidTr="00737BAB">
        <w:tc>
          <w:tcPr>
            <w:tcW w:w="14358" w:type="dxa"/>
            <w:gridSpan w:val="5"/>
            <w:shd w:val="clear" w:color="auto" w:fill="E6E6E6"/>
            <w:noWrap/>
            <w:tcMar>
              <w:top w:w="40" w:type="dxa"/>
              <w:left w:w="40" w:type="dxa"/>
              <w:bottom w:w="40" w:type="dxa"/>
              <w:right w:w="40" w:type="dxa"/>
            </w:tcMar>
          </w:tcPr>
          <w:p w14:paraId="4459E841" w14:textId="712C719A" w:rsidR="00737BAB" w:rsidRPr="00A76B7D" w:rsidRDefault="00737BAB" w:rsidP="00821516">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Recommandation 3 : </w:t>
            </w:r>
            <w:r w:rsidRPr="003C46FE">
              <w:rPr>
                <w:rFonts w:ascii="Arial" w:hAnsi="Arial"/>
                <w:b/>
                <w:sz w:val="22"/>
              </w:rPr>
              <w:t>Renforcer la coopération avec les experts du développement durable pour intégrer le PCI à la législation non culturelle, au développement de politiques et à tout autre travail lié au PCI et au développement durable</w:t>
            </w:r>
            <w:r w:rsidR="00451F68">
              <w:rPr>
                <w:rFonts w:ascii="Arial" w:hAnsi="Arial"/>
                <w:b/>
                <w:sz w:val="22"/>
              </w:rPr>
              <w:t>.</w:t>
            </w:r>
          </w:p>
        </w:tc>
      </w:tr>
      <w:tr w:rsidR="00737BAB" w:rsidRPr="00A76B7D" w14:paraId="7A43B20F" w14:textId="77777777" w:rsidTr="00737BAB">
        <w:tc>
          <w:tcPr>
            <w:tcW w:w="14358" w:type="dxa"/>
            <w:gridSpan w:val="5"/>
            <w:noWrap/>
            <w:tcMar>
              <w:top w:w="40" w:type="dxa"/>
              <w:left w:w="40" w:type="dxa"/>
              <w:bottom w:w="40" w:type="dxa"/>
              <w:right w:w="40" w:type="dxa"/>
            </w:tcMar>
          </w:tcPr>
          <w:p w14:paraId="70514EAA" w14:textId="77777777" w:rsidR="00737BAB" w:rsidRPr="00A76B7D" w:rsidRDefault="00737BAB" w:rsidP="00821516">
            <w:pPr>
              <w:keepNext/>
              <w:keepLines/>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Bien que la mise en œuvre de cette recommandation soit sous la responsabilité directe des États Parties, le Secrétariat intègre ces aspects et/ou les renforce dans son système de renforcement des capacités (programme et formation des formateurs), et lors de l’élaboration de nouvelles Directives opérationnelles sur le patrimoine culturel immatériel et le développement durable.</w:t>
            </w:r>
          </w:p>
        </w:tc>
      </w:tr>
      <w:tr w:rsidR="00737BAB" w:rsidRPr="00A76B7D" w14:paraId="5DB3CE58" w14:textId="77777777" w:rsidTr="00737BAB">
        <w:tc>
          <w:tcPr>
            <w:tcW w:w="4717" w:type="dxa"/>
            <w:gridSpan w:val="2"/>
            <w:noWrap/>
            <w:tcMar>
              <w:top w:w="40" w:type="dxa"/>
              <w:left w:w="40" w:type="dxa"/>
              <w:bottom w:w="40" w:type="dxa"/>
              <w:right w:w="40" w:type="dxa"/>
            </w:tcMar>
          </w:tcPr>
          <w:p w14:paraId="1212F5A5" w14:textId="77777777" w:rsidR="00737BAB" w:rsidRPr="00A76B7D" w:rsidRDefault="00737BAB" w:rsidP="00821516">
            <w:pPr>
              <w:keepNext/>
              <w:keepLines/>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7C6668B8" w14:textId="77777777" w:rsidR="00737BAB" w:rsidRPr="00A76B7D" w:rsidRDefault="00737BAB" w:rsidP="00821516">
            <w:pPr>
              <w:keepNext/>
              <w:keepLines/>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7FCC5A5E" w14:textId="77777777" w:rsidR="00737BAB" w:rsidRPr="00A76B7D" w:rsidRDefault="00737BAB" w:rsidP="00821516">
            <w:pPr>
              <w:keepNext/>
              <w:keepLines/>
              <w:spacing w:before="120" w:after="120"/>
              <w:jc w:val="center"/>
              <w:rPr>
                <w:rFonts w:ascii="Arial" w:hAnsi="Arial" w:cs="Arial"/>
                <w:b/>
                <w:sz w:val="22"/>
                <w:szCs w:val="22"/>
              </w:rPr>
            </w:pPr>
            <w:r>
              <w:rPr>
                <w:rFonts w:ascii="Arial" w:hAnsi="Arial"/>
                <w:b/>
                <w:sz w:val="22"/>
              </w:rPr>
              <w:t>Statut</w:t>
            </w:r>
          </w:p>
        </w:tc>
      </w:tr>
      <w:tr w:rsidR="00737BAB" w:rsidRPr="00A76B7D" w14:paraId="028931DB" w14:textId="77777777" w:rsidTr="00737BAB">
        <w:tc>
          <w:tcPr>
            <w:tcW w:w="4717" w:type="dxa"/>
            <w:gridSpan w:val="2"/>
            <w:noWrap/>
            <w:tcMar>
              <w:top w:w="40" w:type="dxa"/>
              <w:left w:w="40" w:type="dxa"/>
              <w:bottom w:w="40" w:type="dxa"/>
              <w:right w:w="40" w:type="dxa"/>
            </w:tcMar>
          </w:tcPr>
          <w:p w14:paraId="55FFEC18" w14:textId="77777777" w:rsidR="00737BAB" w:rsidRPr="00A76B7D" w:rsidRDefault="00737BAB" w:rsidP="00821516">
            <w:pPr>
              <w:pStyle w:val="Default"/>
              <w:keepNext/>
              <w:keepLines/>
              <w:spacing w:before="120" w:after="120"/>
              <w:ind w:left="113"/>
              <w:rPr>
                <w:sz w:val="22"/>
                <w:szCs w:val="22"/>
              </w:rPr>
            </w:pPr>
            <w:r>
              <w:rPr>
                <w:sz w:val="22"/>
              </w:rPr>
              <w:t>Intégrer et/ou renforcer ces aspects dans le matériel de renforcement de capacités et les ateliers de formation des formateurs.</w:t>
            </w:r>
          </w:p>
        </w:tc>
        <w:tc>
          <w:tcPr>
            <w:tcW w:w="1986" w:type="dxa"/>
            <w:gridSpan w:val="2"/>
            <w:shd w:val="clear" w:color="auto" w:fill="auto"/>
            <w:noWrap/>
            <w:tcMar>
              <w:top w:w="40" w:type="dxa"/>
              <w:left w:w="40" w:type="dxa"/>
              <w:bottom w:w="40" w:type="dxa"/>
              <w:right w:w="40" w:type="dxa"/>
            </w:tcMar>
          </w:tcPr>
          <w:p w14:paraId="561144A9" w14:textId="77777777" w:rsidR="00737BAB" w:rsidRPr="00A76B7D" w:rsidRDefault="00737BAB" w:rsidP="00821516">
            <w:pPr>
              <w:keepNext/>
              <w:keepLines/>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6F83EF78" w14:textId="77777777" w:rsidR="00737BAB" w:rsidRPr="00A76B7D" w:rsidRDefault="00737BAB" w:rsidP="00821516">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En ce qui concerne l’intégration du patrimoine culturel immatériel aux législations non culturelles et aux politiques, une coopération plus étroite avec les experts du développement durable a permis :</w:t>
            </w:r>
          </w:p>
          <w:p w14:paraId="3386B3E6" w14:textId="77777777" w:rsidR="00737BAB" w:rsidRPr="00A76B7D" w:rsidRDefault="00737BAB" w:rsidP="00821516">
            <w:pPr>
              <w:pStyle w:val="ListParagraph"/>
              <w:keepNext/>
              <w:keepLines/>
              <w:numPr>
                <w:ilvl w:val="0"/>
                <w:numId w:val="40"/>
              </w:numPr>
              <w:spacing w:before="120" w:after="120"/>
              <w:ind w:left="810"/>
              <w:rPr>
                <w:rFonts w:ascii="Arial" w:hAnsi="Arial" w:cs="Arial"/>
                <w:sz w:val="22"/>
                <w:szCs w:val="22"/>
              </w:rPr>
            </w:pPr>
            <w:r>
              <w:rPr>
                <w:rFonts w:ascii="Arial" w:hAnsi="Arial"/>
                <w:sz w:val="22"/>
              </w:rPr>
              <w:t>l’élaboration d’un nouveau format pour le soutien politique et législatif dans le programme de renforcement des capacités ;</w:t>
            </w:r>
          </w:p>
          <w:p w14:paraId="51B04835" w14:textId="77777777" w:rsidR="00737BAB" w:rsidRPr="00A76B7D" w:rsidRDefault="00737BAB" w:rsidP="00821516">
            <w:pPr>
              <w:pStyle w:val="ListParagraph"/>
              <w:keepNext/>
              <w:keepLines/>
              <w:numPr>
                <w:ilvl w:val="0"/>
                <w:numId w:val="40"/>
              </w:numPr>
              <w:spacing w:before="120" w:after="120"/>
              <w:ind w:left="810"/>
              <w:rPr>
                <w:rFonts w:ascii="Arial" w:hAnsi="Arial" w:cs="Arial"/>
                <w:sz w:val="22"/>
                <w:szCs w:val="22"/>
              </w:rPr>
            </w:pPr>
            <w:r>
              <w:rPr>
                <w:rFonts w:ascii="Arial" w:hAnsi="Arial"/>
                <w:sz w:val="22"/>
              </w:rPr>
              <w:t>l’élaboration d’une unité (Unité 8) consacrée au patrimoine culturel immatériel et au développement durable dans le matériel de renforcement des capacités ;</w:t>
            </w:r>
          </w:p>
          <w:p w14:paraId="72CF084B" w14:textId="77777777" w:rsidR="00737BAB" w:rsidRPr="00A76B7D" w:rsidRDefault="00737BAB" w:rsidP="00821516">
            <w:pPr>
              <w:pStyle w:val="ListParagraph"/>
              <w:keepNext/>
              <w:keepLines/>
              <w:numPr>
                <w:ilvl w:val="0"/>
                <w:numId w:val="40"/>
              </w:numPr>
              <w:spacing w:before="120" w:after="120"/>
              <w:ind w:left="810"/>
              <w:rPr>
                <w:rFonts w:ascii="Arial" w:hAnsi="Arial" w:cs="Arial"/>
                <w:sz w:val="22"/>
                <w:szCs w:val="22"/>
              </w:rPr>
            </w:pPr>
            <w:r>
              <w:rPr>
                <w:rFonts w:ascii="Arial" w:hAnsi="Arial"/>
                <w:sz w:val="22"/>
              </w:rPr>
              <w:t>l’élaboration d’une note d’orientation de l’UNESCO sur la prestation de services consultatifs pour l’élaboration des politiques.</w:t>
            </w:r>
          </w:p>
          <w:p w14:paraId="0B7E2CCB" w14:textId="1A493048" w:rsidR="00737BAB" w:rsidRPr="00A76B7D" w:rsidRDefault="00737BAB" w:rsidP="00821516">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L’atel</w:t>
            </w:r>
            <w:r w:rsidR="00821516">
              <w:rPr>
                <w:rFonts w:ascii="Arial" w:hAnsi="Arial"/>
                <w:sz w:val="22"/>
              </w:rPr>
              <w:t>ier régional pour les experts-</w:t>
            </w:r>
            <w:r>
              <w:rPr>
                <w:rFonts w:ascii="Arial" w:hAnsi="Arial"/>
                <w:sz w:val="22"/>
              </w:rPr>
              <w:t xml:space="preserve">facilitateurs d’Afrique (Constantine, Algérie, septembre 2015) s’est centré sur le soutien à l’élaboration de politiques dans le domaine du patrimoine culturel immatériel en Afrique et </w:t>
            </w:r>
            <w:r w:rsidR="00821516">
              <w:rPr>
                <w:rFonts w:ascii="Arial" w:hAnsi="Arial"/>
                <w:sz w:val="22"/>
              </w:rPr>
              <w:t>a</w:t>
            </w:r>
            <w:r>
              <w:rPr>
                <w:rFonts w:ascii="Arial" w:hAnsi="Arial"/>
                <w:sz w:val="22"/>
              </w:rPr>
              <w:t xml:space="preserve"> également traité des difficultés à intégrer la politique du patrimoine culturel immatériel aux législations et politiques non</w:t>
            </w:r>
            <w:r>
              <w:noBreakHyphen/>
            </w:r>
            <w:r>
              <w:rPr>
                <w:rFonts w:ascii="Arial" w:hAnsi="Arial"/>
                <w:sz w:val="22"/>
              </w:rPr>
              <w:t>culturelles.</w:t>
            </w:r>
          </w:p>
        </w:tc>
      </w:tr>
      <w:tr w:rsidR="00737BAB" w:rsidRPr="00A76B7D" w14:paraId="0719EEF5" w14:textId="77777777" w:rsidTr="00737BAB">
        <w:tc>
          <w:tcPr>
            <w:tcW w:w="4717" w:type="dxa"/>
            <w:gridSpan w:val="2"/>
            <w:noWrap/>
            <w:tcMar>
              <w:top w:w="40" w:type="dxa"/>
              <w:left w:w="40" w:type="dxa"/>
              <w:bottom w:w="40" w:type="dxa"/>
              <w:right w:w="40" w:type="dxa"/>
            </w:tcMar>
          </w:tcPr>
          <w:p w14:paraId="644A4452" w14:textId="77777777" w:rsidR="00737BAB" w:rsidRPr="00A76B7D" w:rsidRDefault="00737BAB" w:rsidP="00533BE6">
            <w:pPr>
              <w:keepNext/>
              <w:keepLines/>
              <w:spacing w:before="120" w:after="120"/>
              <w:ind w:left="113"/>
              <w:rPr>
                <w:rFonts w:ascii="Arial" w:hAnsi="Arial" w:cs="Arial"/>
                <w:sz w:val="22"/>
                <w:szCs w:val="22"/>
              </w:rPr>
            </w:pPr>
            <w:r>
              <w:rPr>
                <w:rFonts w:ascii="Arial" w:hAnsi="Arial"/>
                <w:sz w:val="22"/>
              </w:rPr>
              <w:t>Développer de nouvelles Directives opérationnelles pour la sauvegarde du patrimoine culturel immatériel et le développement durable.</w:t>
            </w:r>
          </w:p>
        </w:tc>
        <w:tc>
          <w:tcPr>
            <w:tcW w:w="1986" w:type="dxa"/>
            <w:gridSpan w:val="2"/>
            <w:noWrap/>
            <w:tcMar>
              <w:top w:w="40" w:type="dxa"/>
              <w:left w:w="40" w:type="dxa"/>
              <w:bottom w:w="40" w:type="dxa"/>
              <w:right w:w="40" w:type="dxa"/>
            </w:tcMar>
          </w:tcPr>
          <w:p w14:paraId="102BEC9D" w14:textId="77777777" w:rsidR="00737BAB" w:rsidRPr="00A76B7D" w:rsidRDefault="00737BAB" w:rsidP="00533BE6">
            <w:pPr>
              <w:keepNext/>
              <w:keepLines/>
              <w:spacing w:before="120" w:after="120"/>
              <w:ind w:left="57"/>
              <w:rPr>
                <w:rFonts w:ascii="Arial" w:hAnsi="Arial" w:cs="Arial"/>
                <w:sz w:val="22"/>
                <w:szCs w:val="22"/>
              </w:rPr>
            </w:pPr>
            <w:r>
              <w:rPr>
                <w:rFonts w:ascii="Arial" w:hAnsi="Arial"/>
                <w:sz w:val="22"/>
              </w:rPr>
              <w:t>juin 2016</w:t>
            </w:r>
          </w:p>
        </w:tc>
        <w:tc>
          <w:tcPr>
            <w:tcW w:w="7655" w:type="dxa"/>
            <w:noWrap/>
            <w:tcMar>
              <w:top w:w="40" w:type="dxa"/>
              <w:left w:w="40" w:type="dxa"/>
              <w:bottom w:w="40" w:type="dxa"/>
              <w:right w:w="40" w:type="dxa"/>
            </w:tcMar>
          </w:tcPr>
          <w:p w14:paraId="0020FFF5" w14:textId="48ABEC43" w:rsidR="00737BAB" w:rsidRPr="00FD5402" w:rsidRDefault="00737BAB" w:rsidP="00533BE6">
            <w:pPr>
              <w:pStyle w:val="ListParagraph"/>
              <w:keepNext/>
              <w:keepLines/>
              <w:numPr>
                <w:ilvl w:val="0"/>
                <w:numId w:val="39"/>
              </w:numPr>
              <w:spacing w:before="120" w:after="120"/>
              <w:ind w:left="470" w:hanging="357"/>
              <w:rPr>
                <w:rFonts w:ascii="Arial" w:hAnsi="Arial" w:cs="Arial"/>
                <w:b/>
                <w:sz w:val="22"/>
                <w:szCs w:val="22"/>
                <w:u w:val="single"/>
              </w:rPr>
            </w:pPr>
            <w:r>
              <w:rPr>
                <w:rFonts w:ascii="Arial" w:hAnsi="Arial"/>
                <w:sz w:val="22"/>
              </w:rPr>
              <w:t>Des experts du développement ont participé à l’élaboration du projet d’amendement des Directives opérationnelles du patrimoine culturel immatériel</w:t>
            </w:r>
            <w:r w:rsidR="00451F68">
              <w:rPr>
                <w:rFonts w:ascii="Arial" w:hAnsi="Arial"/>
                <w:sz w:val="22"/>
              </w:rPr>
              <w:t xml:space="preserve"> et du développement durable ; c</w:t>
            </w:r>
            <w:r>
              <w:rPr>
                <w:rFonts w:ascii="Arial" w:hAnsi="Arial"/>
                <w:sz w:val="22"/>
              </w:rPr>
              <w:t>et amendement a été présenté lors de la neuvième session du Comité afin d’être débattu et a été approuvé lors de la dixième session</w:t>
            </w:r>
            <w:r w:rsidR="00821516">
              <w:rPr>
                <w:rFonts w:ascii="Arial" w:hAnsi="Arial"/>
                <w:sz w:val="22"/>
              </w:rPr>
              <w:t xml:space="preserve"> du Comité en 2015 (décision 10.COM 14.a)</w:t>
            </w:r>
            <w:r w:rsidRPr="00FD5402">
              <w:rPr>
                <w:rFonts w:ascii="Arial" w:hAnsi="Arial"/>
                <w:sz w:val="22"/>
              </w:rPr>
              <w:t xml:space="preserve"> ; </w:t>
            </w:r>
          </w:p>
          <w:p w14:paraId="0D0800F8" w14:textId="29007379" w:rsidR="00737BAB" w:rsidRPr="00FD5402" w:rsidRDefault="00844616" w:rsidP="00451F68">
            <w:pPr>
              <w:pStyle w:val="ListParagraph"/>
              <w:keepNext/>
              <w:keepLines/>
              <w:numPr>
                <w:ilvl w:val="0"/>
                <w:numId w:val="39"/>
              </w:numPr>
              <w:spacing w:before="120" w:after="120"/>
              <w:ind w:left="470" w:hanging="357"/>
              <w:rPr>
                <w:rFonts w:ascii="Arial" w:hAnsi="Arial" w:cs="Arial"/>
                <w:b/>
                <w:sz w:val="22"/>
                <w:szCs w:val="22"/>
                <w:u w:val="single"/>
              </w:rPr>
            </w:pPr>
            <w:r>
              <w:rPr>
                <w:rFonts w:ascii="Arial" w:hAnsi="Arial"/>
                <w:sz w:val="22"/>
              </w:rPr>
              <w:t xml:space="preserve">Un projet de Directives opérationnelles sur le patrimoine culturel immatériel et le développement durable à l’échelle nationale </w:t>
            </w:r>
            <w:r w:rsidR="00451F68">
              <w:rPr>
                <w:rFonts w:ascii="Arial" w:hAnsi="Arial"/>
                <w:sz w:val="22"/>
              </w:rPr>
              <w:t>est soumis</w:t>
            </w:r>
            <w:r>
              <w:rPr>
                <w:rFonts w:ascii="Arial" w:hAnsi="Arial"/>
                <w:sz w:val="22"/>
              </w:rPr>
              <w:t xml:space="preserve"> pour adoption à la présente session de l’Assemblée générale en juin 2016.</w:t>
            </w:r>
          </w:p>
        </w:tc>
      </w:tr>
      <w:tr w:rsidR="00737BAB" w:rsidRPr="00A76B7D" w14:paraId="1D9DD054" w14:textId="77777777" w:rsidTr="00737BAB">
        <w:tc>
          <w:tcPr>
            <w:tcW w:w="14358" w:type="dxa"/>
            <w:gridSpan w:val="5"/>
            <w:shd w:val="clear" w:color="auto" w:fill="E6E6E6"/>
            <w:noWrap/>
            <w:tcMar>
              <w:top w:w="40" w:type="dxa"/>
              <w:left w:w="40" w:type="dxa"/>
              <w:bottom w:w="40" w:type="dxa"/>
              <w:right w:w="40" w:type="dxa"/>
            </w:tcMar>
          </w:tcPr>
          <w:p w14:paraId="08F0EC16" w14:textId="77777777" w:rsidR="00737BAB" w:rsidRPr="008215A5" w:rsidRDefault="00737BAB" w:rsidP="00533BE6">
            <w:pPr>
              <w:keepNext/>
              <w:keepLines/>
              <w:tabs>
                <w:tab w:val="left" w:pos="2640"/>
              </w:tabs>
              <w:ind w:left="113" w:right="113"/>
              <w:jc w:val="both"/>
              <w:rPr>
                <w:rFonts w:ascii="Arial" w:hAnsi="Arial" w:cs="Arial"/>
                <w:b/>
                <w:spacing w:val="-1"/>
                <w:sz w:val="22"/>
                <w:szCs w:val="22"/>
              </w:rPr>
            </w:pPr>
            <w:r w:rsidRPr="008215A5">
              <w:rPr>
                <w:rFonts w:ascii="Arial" w:hAnsi="Arial"/>
                <w:b/>
                <w:spacing w:val="-1"/>
                <w:sz w:val="22"/>
              </w:rPr>
              <w:t>Recommandation 4 : Soutenir les États parties dans le développement de législations et de politiques dans le cadre du programme de renforcement des capacités en cours de la Convention de 2003 et concevoir des formats de renforcement des capacités appropriés allant dans ce sens.</w:t>
            </w:r>
          </w:p>
        </w:tc>
      </w:tr>
      <w:tr w:rsidR="00737BAB" w:rsidRPr="00A76B7D" w14:paraId="2A6DBB6B" w14:textId="77777777" w:rsidTr="00737BAB">
        <w:tc>
          <w:tcPr>
            <w:tcW w:w="14358" w:type="dxa"/>
            <w:gridSpan w:val="5"/>
            <w:noWrap/>
            <w:tcMar>
              <w:top w:w="40" w:type="dxa"/>
              <w:left w:w="40" w:type="dxa"/>
              <w:bottom w:w="40" w:type="dxa"/>
              <w:right w:w="40" w:type="dxa"/>
            </w:tcMar>
          </w:tcPr>
          <w:p w14:paraId="4A4DEC44" w14:textId="585839DE" w:rsidR="00737BAB" w:rsidRPr="008215A5" w:rsidRDefault="00737BAB" w:rsidP="00533BE6">
            <w:pPr>
              <w:keepNext/>
              <w:keepLines/>
              <w:ind w:left="113" w:right="113"/>
              <w:jc w:val="both"/>
              <w:rPr>
                <w:rFonts w:ascii="Arial" w:hAnsi="Arial" w:cs="Arial"/>
                <w:spacing w:val="-1"/>
                <w:sz w:val="22"/>
                <w:szCs w:val="22"/>
              </w:rPr>
            </w:pPr>
            <w:r w:rsidRPr="008215A5">
              <w:rPr>
                <w:rFonts w:ascii="Arial" w:hAnsi="Arial"/>
                <w:b/>
                <w:spacing w:val="-1"/>
                <w:sz w:val="22"/>
              </w:rPr>
              <w:t>Réponse de la direction :</w:t>
            </w:r>
            <w:r w:rsidRPr="008215A5">
              <w:rPr>
                <w:rFonts w:ascii="Arial" w:hAnsi="Arial"/>
                <w:spacing w:val="-1"/>
                <w:sz w:val="22"/>
              </w:rPr>
              <w:t xml:space="preserve"> Le Secrétariat renforce ses services consultatifs sur les politiques et la législation dans toutes les activités de renforcement des capacités actuelles et futures. Un nouveau matériel de formation doit</w:t>
            </w:r>
            <w:r w:rsidR="00533BE6">
              <w:rPr>
                <w:rFonts w:ascii="Arial" w:hAnsi="Arial"/>
                <w:spacing w:val="-1"/>
                <w:sz w:val="22"/>
              </w:rPr>
              <w:t xml:space="preserve"> être développé, des formations </w:t>
            </w:r>
            <w:r w:rsidRPr="008215A5">
              <w:rPr>
                <w:rFonts w:ascii="Arial" w:hAnsi="Arial"/>
                <w:spacing w:val="-1"/>
                <w:sz w:val="22"/>
              </w:rPr>
              <w:t>de formateurs doivent être o</w:t>
            </w:r>
            <w:r w:rsidR="00533BE6">
              <w:rPr>
                <w:rFonts w:ascii="Arial" w:hAnsi="Arial"/>
                <w:spacing w:val="-1"/>
                <w:sz w:val="22"/>
              </w:rPr>
              <w:t>rganisées</w:t>
            </w:r>
            <w:r w:rsidRPr="008215A5">
              <w:rPr>
                <w:rFonts w:ascii="Arial" w:hAnsi="Arial"/>
                <w:spacing w:val="-1"/>
                <w:sz w:val="22"/>
              </w:rPr>
              <w:t xml:space="preserve"> dans ce sens.</w:t>
            </w:r>
          </w:p>
        </w:tc>
      </w:tr>
      <w:tr w:rsidR="00737BAB" w:rsidRPr="00A76B7D" w14:paraId="770E8CFB" w14:textId="77777777" w:rsidTr="00737BAB">
        <w:trPr>
          <w:trHeight w:val="508"/>
        </w:trPr>
        <w:tc>
          <w:tcPr>
            <w:tcW w:w="4717" w:type="dxa"/>
            <w:gridSpan w:val="2"/>
            <w:noWrap/>
            <w:tcMar>
              <w:top w:w="40" w:type="dxa"/>
              <w:left w:w="40" w:type="dxa"/>
              <w:bottom w:w="40" w:type="dxa"/>
              <w:right w:w="40" w:type="dxa"/>
            </w:tcMar>
          </w:tcPr>
          <w:p w14:paraId="4EBBB769" w14:textId="77777777" w:rsidR="00737BAB" w:rsidRPr="008215A5" w:rsidRDefault="00737BAB" w:rsidP="00533BE6">
            <w:pPr>
              <w:keepNext/>
              <w:keepLines/>
              <w:jc w:val="center"/>
              <w:rPr>
                <w:rFonts w:ascii="Arial" w:hAnsi="Arial" w:cs="Arial"/>
                <w:b/>
                <w:spacing w:val="-1"/>
                <w:sz w:val="22"/>
                <w:szCs w:val="22"/>
              </w:rPr>
            </w:pPr>
            <w:r w:rsidRPr="008215A5">
              <w:rPr>
                <w:rFonts w:ascii="Arial" w:hAnsi="Arial"/>
                <w:b/>
                <w:spacing w:val="-1"/>
                <w:sz w:val="22"/>
              </w:rPr>
              <w:t>Actions planifiées</w:t>
            </w:r>
          </w:p>
        </w:tc>
        <w:tc>
          <w:tcPr>
            <w:tcW w:w="1986" w:type="dxa"/>
            <w:gridSpan w:val="2"/>
            <w:noWrap/>
            <w:tcMar>
              <w:top w:w="40" w:type="dxa"/>
              <w:left w:w="40" w:type="dxa"/>
              <w:bottom w:w="40" w:type="dxa"/>
              <w:right w:w="40" w:type="dxa"/>
            </w:tcMar>
          </w:tcPr>
          <w:p w14:paraId="1278122F" w14:textId="77777777" w:rsidR="00737BAB" w:rsidRPr="008215A5" w:rsidRDefault="00737BAB" w:rsidP="00533BE6">
            <w:pPr>
              <w:keepNext/>
              <w:keepLines/>
              <w:jc w:val="center"/>
              <w:rPr>
                <w:rFonts w:ascii="Arial" w:hAnsi="Arial" w:cs="Arial"/>
                <w:b/>
                <w:spacing w:val="-1"/>
                <w:sz w:val="22"/>
                <w:szCs w:val="22"/>
              </w:rPr>
            </w:pPr>
            <w:r w:rsidRPr="008215A5">
              <w:rPr>
                <w:rFonts w:ascii="Arial" w:hAnsi="Arial"/>
                <w:b/>
                <w:spacing w:val="-1"/>
                <w:sz w:val="22"/>
              </w:rPr>
              <w:t>Date prévue de mise en œuvre</w:t>
            </w:r>
          </w:p>
        </w:tc>
        <w:tc>
          <w:tcPr>
            <w:tcW w:w="7655" w:type="dxa"/>
            <w:noWrap/>
            <w:tcMar>
              <w:top w:w="40" w:type="dxa"/>
              <w:left w:w="40" w:type="dxa"/>
              <w:bottom w:w="40" w:type="dxa"/>
              <w:right w:w="40" w:type="dxa"/>
            </w:tcMar>
          </w:tcPr>
          <w:p w14:paraId="235E6327" w14:textId="77777777" w:rsidR="00737BAB" w:rsidRPr="008215A5" w:rsidRDefault="00737BAB" w:rsidP="00533BE6">
            <w:pPr>
              <w:keepNext/>
              <w:keepLines/>
              <w:jc w:val="center"/>
              <w:rPr>
                <w:rFonts w:ascii="Arial" w:hAnsi="Arial" w:cs="Arial"/>
                <w:b/>
                <w:spacing w:val="-1"/>
                <w:sz w:val="22"/>
                <w:szCs w:val="22"/>
              </w:rPr>
            </w:pPr>
            <w:r w:rsidRPr="008215A5">
              <w:rPr>
                <w:rFonts w:ascii="Arial" w:hAnsi="Arial"/>
                <w:b/>
                <w:spacing w:val="-1"/>
                <w:sz w:val="22"/>
              </w:rPr>
              <w:t>Statut</w:t>
            </w:r>
          </w:p>
        </w:tc>
      </w:tr>
      <w:tr w:rsidR="00737BAB" w:rsidRPr="00A76B7D" w14:paraId="4E650767" w14:textId="77777777" w:rsidTr="00737BAB">
        <w:tc>
          <w:tcPr>
            <w:tcW w:w="4717" w:type="dxa"/>
            <w:gridSpan w:val="2"/>
            <w:noWrap/>
            <w:tcMar>
              <w:top w:w="40" w:type="dxa"/>
              <w:left w:w="40" w:type="dxa"/>
              <w:bottom w:w="40" w:type="dxa"/>
              <w:right w:w="40" w:type="dxa"/>
            </w:tcMar>
          </w:tcPr>
          <w:p w14:paraId="044373C5" w14:textId="5A8C3B28" w:rsidR="00737BAB" w:rsidRPr="008215A5" w:rsidRDefault="00737BAB" w:rsidP="00533BE6">
            <w:pPr>
              <w:keepNext/>
              <w:keepLines/>
              <w:ind w:left="113" w:right="57"/>
              <w:rPr>
                <w:spacing w:val="-1"/>
                <w:sz w:val="22"/>
                <w:szCs w:val="22"/>
              </w:rPr>
            </w:pPr>
            <w:r w:rsidRPr="008215A5">
              <w:rPr>
                <w:rFonts w:ascii="Arial" w:hAnsi="Arial"/>
                <w:spacing w:val="-1"/>
                <w:sz w:val="22"/>
              </w:rPr>
              <w:t xml:space="preserve">Concevoir et utiliser </w:t>
            </w:r>
            <w:r w:rsidR="006B3799">
              <w:rPr>
                <w:rFonts w:ascii="Arial" w:hAnsi="Arial"/>
                <w:spacing w:val="-1"/>
                <w:sz w:val="22"/>
              </w:rPr>
              <w:t>de</w:t>
            </w:r>
            <w:r w:rsidRPr="008215A5">
              <w:rPr>
                <w:rFonts w:ascii="Arial" w:hAnsi="Arial"/>
                <w:spacing w:val="-1"/>
                <w:sz w:val="22"/>
              </w:rPr>
              <w:t xml:space="preserve"> nouveau</w:t>
            </w:r>
            <w:r w:rsidR="006B3799">
              <w:rPr>
                <w:rFonts w:ascii="Arial" w:hAnsi="Arial"/>
                <w:spacing w:val="-1"/>
                <w:sz w:val="22"/>
              </w:rPr>
              <w:t>x</w:t>
            </w:r>
            <w:r w:rsidRPr="008215A5">
              <w:rPr>
                <w:rFonts w:ascii="Arial" w:hAnsi="Arial"/>
                <w:spacing w:val="-1"/>
                <w:sz w:val="22"/>
              </w:rPr>
              <w:t xml:space="preserve"> </w:t>
            </w:r>
            <w:r w:rsidR="006B3799">
              <w:rPr>
                <w:rFonts w:ascii="Arial" w:hAnsi="Arial"/>
                <w:spacing w:val="-1"/>
                <w:sz w:val="22"/>
              </w:rPr>
              <w:t xml:space="preserve">matériaux pédagogiques </w:t>
            </w:r>
          </w:p>
        </w:tc>
        <w:tc>
          <w:tcPr>
            <w:tcW w:w="1986" w:type="dxa"/>
            <w:gridSpan w:val="2"/>
            <w:noWrap/>
            <w:tcMar>
              <w:top w:w="40" w:type="dxa"/>
              <w:left w:w="40" w:type="dxa"/>
              <w:bottom w:w="40" w:type="dxa"/>
              <w:right w:w="40" w:type="dxa"/>
            </w:tcMar>
          </w:tcPr>
          <w:p w14:paraId="2ABD0656" w14:textId="6203FCE0" w:rsidR="00737BAB" w:rsidRPr="008215A5" w:rsidRDefault="00451F68" w:rsidP="00533BE6">
            <w:pPr>
              <w:keepNext/>
              <w:keepLines/>
              <w:ind w:left="57"/>
              <w:rPr>
                <w:rFonts w:ascii="Arial" w:hAnsi="Arial" w:cs="Arial"/>
                <w:spacing w:val="-1"/>
                <w:sz w:val="22"/>
                <w:szCs w:val="22"/>
              </w:rPr>
            </w:pPr>
            <w:r>
              <w:rPr>
                <w:rFonts w:ascii="Arial" w:hAnsi="Arial"/>
                <w:spacing w:val="-1"/>
                <w:sz w:val="22"/>
              </w:rPr>
              <w:t>f</w:t>
            </w:r>
            <w:r w:rsidR="006B3799">
              <w:rPr>
                <w:rFonts w:ascii="Arial" w:hAnsi="Arial"/>
                <w:spacing w:val="-1"/>
                <w:sz w:val="22"/>
              </w:rPr>
              <w:t>évrier 2016</w:t>
            </w:r>
          </w:p>
        </w:tc>
        <w:tc>
          <w:tcPr>
            <w:tcW w:w="7655" w:type="dxa"/>
            <w:noWrap/>
            <w:tcMar>
              <w:top w:w="40" w:type="dxa"/>
              <w:left w:w="40" w:type="dxa"/>
              <w:bottom w:w="40" w:type="dxa"/>
              <w:right w:w="40" w:type="dxa"/>
            </w:tcMar>
          </w:tcPr>
          <w:p w14:paraId="30A8ECCE" w14:textId="4A5C9B01" w:rsidR="00737BAB" w:rsidRPr="008215A5" w:rsidRDefault="00737BAB" w:rsidP="00533BE6">
            <w:pPr>
              <w:pStyle w:val="ListParagraph"/>
              <w:keepNext/>
              <w:keepLines/>
              <w:numPr>
                <w:ilvl w:val="0"/>
                <w:numId w:val="39"/>
              </w:numPr>
              <w:ind w:left="470" w:hanging="357"/>
              <w:rPr>
                <w:rFonts w:ascii="Arial" w:hAnsi="Arial" w:cs="Arial"/>
                <w:spacing w:val="-1"/>
                <w:sz w:val="22"/>
                <w:szCs w:val="22"/>
              </w:rPr>
            </w:pPr>
            <w:r w:rsidRPr="008215A5">
              <w:rPr>
                <w:rFonts w:ascii="Arial" w:hAnsi="Arial"/>
                <w:spacing w:val="-1"/>
                <w:sz w:val="22"/>
              </w:rPr>
              <w:t>Un atelier sur l’élaboration d’un nouveau format pour le conseil en matière de politiques dans le programme de renforcement des capacités de la Convention</w:t>
            </w:r>
            <w:r w:rsidR="00451F68">
              <w:rPr>
                <w:rFonts w:ascii="Arial" w:hAnsi="Arial"/>
                <w:spacing w:val="-1"/>
                <w:sz w:val="22"/>
              </w:rPr>
              <w:t xml:space="preserve"> s’est déroulé en juin 2014 au S</w:t>
            </w:r>
            <w:r w:rsidRPr="008215A5">
              <w:rPr>
                <w:rFonts w:ascii="Arial" w:hAnsi="Arial"/>
                <w:spacing w:val="-1"/>
                <w:sz w:val="22"/>
              </w:rPr>
              <w:t>iège de l’UNESCO.</w:t>
            </w:r>
          </w:p>
          <w:p w14:paraId="5B917353" w14:textId="77777777" w:rsidR="00737BAB" w:rsidRPr="008215A5" w:rsidRDefault="00737BAB" w:rsidP="00533BE6">
            <w:pPr>
              <w:pStyle w:val="ListParagraph"/>
              <w:keepNext/>
              <w:keepLines/>
              <w:numPr>
                <w:ilvl w:val="0"/>
                <w:numId w:val="39"/>
              </w:numPr>
              <w:ind w:left="470" w:hanging="357"/>
              <w:rPr>
                <w:rFonts w:ascii="Arial" w:hAnsi="Arial" w:cs="Arial"/>
                <w:spacing w:val="-1"/>
                <w:sz w:val="22"/>
                <w:szCs w:val="22"/>
              </w:rPr>
            </w:pPr>
            <w:r w:rsidRPr="008215A5">
              <w:rPr>
                <w:rFonts w:ascii="Arial" w:hAnsi="Arial"/>
                <w:spacing w:val="-1"/>
                <w:sz w:val="22"/>
              </w:rPr>
              <w:t>Trois documents ont été rédigés sur les enjeux et les expériences du développement de politiques et législations relatifs au domaine du patrimoine culturel immatériel.</w:t>
            </w:r>
          </w:p>
          <w:p w14:paraId="760224D8" w14:textId="42E3F036" w:rsidR="00737BAB" w:rsidRPr="008215A5" w:rsidRDefault="00451F68" w:rsidP="00533BE6">
            <w:pPr>
              <w:pStyle w:val="ListParagraph"/>
              <w:keepNext/>
              <w:keepLines/>
              <w:numPr>
                <w:ilvl w:val="0"/>
                <w:numId w:val="39"/>
              </w:numPr>
              <w:ind w:left="470" w:hanging="357"/>
              <w:rPr>
                <w:rFonts w:ascii="Arial" w:hAnsi="Arial" w:cs="Arial"/>
                <w:spacing w:val="-1"/>
                <w:sz w:val="22"/>
                <w:szCs w:val="22"/>
              </w:rPr>
            </w:pPr>
            <w:r>
              <w:rPr>
                <w:rFonts w:ascii="Arial" w:hAnsi="Arial"/>
                <w:spacing w:val="-1"/>
                <w:sz w:val="22"/>
              </w:rPr>
              <w:t>Une N</w:t>
            </w:r>
            <w:r w:rsidR="00737BAB" w:rsidRPr="008215A5">
              <w:rPr>
                <w:rFonts w:ascii="Arial" w:hAnsi="Arial"/>
                <w:spacing w:val="-1"/>
                <w:sz w:val="22"/>
              </w:rPr>
              <w:t>ote d’orientation de l’UNESCO concernant la fourniture de services consultatifs pour l’élaboration de politiques relatives au patrimoine culturel immatériel a été rédigée et publiée en juin 2015 en anglais et en français.</w:t>
            </w:r>
          </w:p>
          <w:p w14:paraId="4B4C6FAC" w14:textId="03F1AF4F" w:rsidR="00737BAB" w:rsidRPr="008215A5" w:rsidRDefault="00737BAB" w:rsidP="005766A8">
            <w:pPr>
              <w:pStyle w:val="ListParagraph"/>
              <w:keepNext/>
              <w:keepLines/>
              <w:numPr>
                <w:ilvl w:val="0"/>
                <w:numId w:val="39"/>
              </w:numPr>
              <w:ind w:left="470" w:hanging="357"/>
              <w:rPr>
                <w:rFonts w:ascii="Arial" w:hAnsi="Arial" w:cs="Arial"/>
                <w:spacing w:val="-1"/>
                <w:sz w:val="22"/>
                <w:szCs w:val="22"/>
              </w:rPr>
            </w:pPr>
            <w:r w:rsidRPr="008215A5">
              <w:rPr>
                <w:rFonts w:ascii="Arial" w:hAnsi="Arial"/>
                <w:spacing w:val="-1"/>
                <w:sz w:val="22"/>
              </w:rPr>
              <w:t xml:space="preserve">De nouveaux </w:t>
            </w:r>
            <w:r w:rsidR="00451F68">
              <w:rPr>
                <w:rFonts w:ascii="Arial" w:hAnsi="Arial"/>
                <w:spacing w:val="-1"/>
                <w:sz w:val="22"/>
              </w:rPr>
              <w:t>matériaux pédagogiques pour l</w:t>
            </w:r>
            <w:r w:rsidRPr="008215A5">
              <w:rPr>
                <w:rFonts w:ascii="Arial" w:hAnsi="Arial"/>
                <w:spacing w:val="-1"/>
                <w:sz w:val="22"/>
              </w:rPr>
              <w:t>es ateliers</w:t>
            </w:r>
            <w:r w:rsidR="00451F68">
              <w:rPr>
                <w:rFonts w:ascii="Arial" w:hAnsi="Arial"/>
                <w:spacing w:val="-1"/>
                <w:sz w:val="22"/>
              </w:rPr>
              <w:t xml:space="preserve"> organisés</w:t>
            </w:r>
            <w:r w:rsidRPr="008215A5">
              <w:rPr>
                <w:rFonts w:ascii="Arial" w:hAnsi="Arial"/>
                <w:spacing w:val="-1"/>
                <w:sz w:val="22"/>
              </w:rPr>
              <w:t xml:space="preserve"> </w:t>
            </w:r>
            <w:r w:rsidR="005766A8" w:rsidRPr="008215A5">
              <w:rPr>
                <w:rFonts w:ascii="Arial" w:hAnsi="Arial"/>
                <w:spacing w:val="-1"/>
                <w:sz w:val="22"/>
              </w:rPr>
              <w:t xml:space="preserve">avec des partenaires nationaux </w:t>
            </w:r>
            <w:r w:rsidRPr="008215A5">
              <w:rPr>
                <w:rFonts w:ascii="Arial" w:hAnsi="Arial"/>
                <w:spacing w:val="-1"/>
                <w:sz w:val="22"/>
              </w:rPr>
              <w:t xml:space="preserve">sur l’élaboration de politiques </w:t>
            </w:r>
            <w:r w:rsidR="006B3799">
              <w:rPr>
                <w:rFonts w:ascii="Arial" w:hAnsi="Arial"/>
                <w:spacing w:val="-1"/>
                <w:sz w:val="22"/>
              </w:rPr>
              <w:t>ont été préparés et sont disponibles en ligne en anglais depuis février 2016.</w:t>
            </w:r>
          </w:p>
        </w:tc>
      </w:tr>
      <w:tr w:rsidR="00737BAB" w:rsidRPr="00A76B7D" w14:paraId="53FA37C5" w14:textId="77777777" w:rsidTr="00737BAB">
        <w:tc>
          <w:tcPr>
            <w:tcW w:w="4717" w:type="dxa"/>
            <w:gridSpan w:val="2"/>
            <w:noWrap/>
            <w:tcMar>
              <w:top w:w="40" w:type="dxa"/>
              <w:left w:w="40" w:type="dxa"/>
              <w:bottom w:w="40" w:type="dxa"/>
              <w:right w:w="40" w:type="dxa"/>
            </w:tcMar>
          </w:tcPr>
          <w:p w14:paraId="14D9E62B" w14:textId="77777777" w:rsidR="00737BAB" w:rsidRPr="008215A5" w:rsidRDefault="00737BAB" w:rsidP="003866B5">
            <w:pPr>
              <w:pStyle w:val="Default"/>
              <w:keepNext/>
              <w:keepLines/>
              <w:ind w:left="113" w:right="57"/>
              <w:rPr>
                <w:spacing w:val="-1"/>
                <w:sz w:val="22"/>
                <w:szCs w:val="22"/>
              </w:rPr>
            </w:pPr>
            <w:r w:rsidRPr="008215A5">
              <w:rPr>
                <w:spacing w:val="-1"/>
                <w:sz w:val="22"/>
              </w:rPr>
              <w:t>Former les formateurs.</w:t>
            </w:r>
          </w:p>
        </w:tc>
        <w:tc>
          <w:tcPr>
            <w:tcW w:w="1986" w:type="dxa"/>
            <w:gridSpan w:val="2"/>
            <w:noWrap/>
            <w:tcMar>
              <w:top w:w="40" w:type="dxa"/>
              <w:left w:w="40" w:type="dxa"/>
              <w:bottom w:w="40" w:type="dxa"/>
              <w:right w:w="40" w:type="dxa"/>
            </w:tcMar>
          </w:tcPr>
          <w:p w14:paraId="065FBABE" w14:textId="77777777" w:rsidR="00737BAB" w:rsidRPr="008215A5" w:rsidRDefault="00737BAB" w:rsidP="00C701E6">
            <w:pPr>
              <w:keepNext/>
              <w:keepLines/>
              <w:ind w:left="57"/>
              <w:contextualSpacing/>
              <w:rPr>
                <w:rFonts w:ascii="Arial" w:hAnsi="Arial" w:cs="Arial"/>
                <w:spacing w:val="-1"/>
                <w:sz w:val="22"/>
                <w:szCs w:val="22"/>
              </w:rPr>
            </w:pPr>
            <w:r w:rsidRPr="008215A5">
              <w:rPr>
                <w:rFonts w:ascii="Arial" w:hAnsi="Arial"/>
                <w:spacing w:val="-1"/>
                <w:sz w:val="22"/>
              </w:rPr>
              <w:t>en cours</w:t>
            </w:r>
          </w:p>
        </w:tc>
        <w:tc>
          <w:tcPr>
            <w:tcW w:w="7655" w:type="dxa"/>
            <w:noWrap/>
            <w:tcMar>
              <w:top w:w="40" w:type="dxa"/>
              <w:left w:w="40" w:type="dxa"/>
              <w:bottom w:w="40" w:type="dxa"/>
              <w:right w:w="40" w:type="dxa"/>
            </w:tcMar>
          </w:tcPr>
          <w:p w14:paraId="218BCA91" w14:textId="58363BB0" w:rsidR="00737BAB" w:rsidRPr="008215A5" w:rsidRDefault="00737BAB" w:rsidP="00C701E6">
            <w:pPr>
              <w:pStyle w:val="ListParagraph"/>
              <w:keepNext/>
              <w:keepLines/>
              <w:numPr>
                <w:ilvl w:val="0"/>
                <w:numId w:val="39"/>
              </w:numPr>
              <w:ind w:left="470" w:hanging="357"/>
              <w:rPr>
                <w:rFonts w:ascii="Arial" w:hAnsi="Arial" w:cs="Arial"/>
                <w:spacing w:val="-1"/>
                <w:sz w:val="22"/>
                <w:szCs w:val="22"/>
              </w:rPr>
            </w:pPr>
            <w:r w:rsidRPr="008215A5">
              <w:rPr>
                <w:rFonts w:ascii="Arial" w:hAnsi="Arial"/>
                <w:spacing w:val="-1"/>
                <w:sz w:val="22"/>
              </w:rPr>
              <w:t>Cette question a été traitée l</w:t>
            </w:r>
            <w:r w:rsidR="00D6098E">
              <w:rPr>
                <w:rFonts w:ascii="Arial" w:hAnsi="Arial"/>
                <w:spacing w:val="-1"/>
                <w:sz w:val="22"/>
              </w:rPr>
              <w:t>ors de la formation des experts-</w:t>
            </w:r>
            <w:r w:rsidRPr="008215A5">
              <w:rPr>
                <w:rFonts w:ascii="Arial" w:hAnsi="Arial"/>
                <w:spacing w:val="-1"/>
                <w:sz w:val="22"/>
              </w:rPr>
              <w:t>facilitateurs des États arabes (mai 2014) ; Europe et Asie centrale (septembre 2014) ; Asie et Pacifique (janvier 2015).</w:t>
            </w:r>
          </w:p>
          <w:p w14:paraId="0AE6D15B" w14:textId="1F36E71C" w:rsidR="00737BAB" w:rsidRPr="008215A5" w:rsidRDefault="00737BAB" w:rsidP="00C701E6">
            <w:pPr>
              <w:pStyle w:val="ListParagraph"/>
              <w:keepNext/>
              <w:keepLines/>
              <w:numPr>
                <w:ilvl w:val="0"/>
                <w:numId w:val="39"/>
              </w:numPr>
              <w:ind w:left="470" w:hanging="357"/>
              <w:rPr>
                <w:rFonts w:ascii="Arial" w:hAnsi="Arial" w:cs="Arial"/>
                <w:spacing w:val="-1"/>
                <w:sz w:val="22"/>
                <w:szCs w:val="22"/>
              </w:rPr>
            </w:pPr>
            <w:r w:rsidRPr="008215A5">
              <w:rPr>
                <w:rFonts w:ascii="Arial" w:hAnsi="Arial"/>
                <w:spacing w:val="-1"/>
                <w:sz w:val="22"/>
              </w:rPr>
              <w:t>Un atelie</w:t>
            </w:r>
            <w:r w:rsidR="00D6098E">
              <w:rPr>
                <w:rFonts w:ascii="Arial" w:hAnsi="Arial"/>
                <w:spacing w:val="-1"/>
                <w:sz w:val="22"/>
              </w:rPr>
              <w:t>r de formation pour les experts-</w:t>
            </w:r>
            <w:r w:rsidRPr="008215A5">
              <w:rPr>
                <w:rFonts w:ascii="Arial" w:hAnsi="Arial"/>
                <w:spacing w:val="-1"/>
                <w:sz w:val="22"/>
              </w:rPr>
              <w:t>facilitateurs en Afrique intitulé « Soutenir le développement de politiques dans le domaine du patrimoine culturel immatériel en Afrique » s’est déroulé en septembre 2015.</w:t>
            </w:r>
          </w:p>
        </w:tc>
      </w:tr>
      <w:tr w:rsidR="00737BAB" w:rsidRPr="00A76B7D" w14:paraId="6ADC8243" w14:textId="77777777" w:rsidTr="00737BAB">
        <w:tc>
          <w:tcPr>
            <w:tcW w:w="4717" w:type="dxa"/>
            <w:gridSpan w:val="2"/>
            <w:noWrap/>
            <w:tcMar>
              <w:top w:w="40" w:type="dxa"/>
              <w:left w:w="40" w:type="dxa"/>
              <w:bottom w:w="40" w:type="dxa"/>
              <w:right w:w="40" w:type="dxa"/>
            </w:tcMar>
          </w:tcPr>
          <w:p w14:paraId="413A64BF" w14:textId="77777777" w:rsidR="00737BAB" w:rsidRPr="008215A5" w:rsidRDefault="00737BAB" w:rsidP="00D6098E">
            <w:pPr>
              <w:pStyle w:val="Default"/>
              <w:keepNext/>
              <w:keepLines/>
              <w:ind w:left="113" w:right="57"/>
              <w:contextualSpacing/>
              <w:rPr>
                <w:spacing w:val="-1"/>
                <w:sz w:val="22"/>
                <w:szCs w:val="22"/>
              </w:rPr>
            </w:pPr>
            <w:r w:rsidRPr="008215A5">
              <w:rPr>
                <w:spacing w:val="-1"/>
                <w:sz w:val="22"/>
              </w:rPr>
              <w:t>Intégrer de nouveaux formateurs spécialisés dans le développement de politique dans le réseau de formateurs.</w:t>
            </w:r>
          </w:p>
        </w:tc>
        <w:tc>
          <w:tcPr>
            <w:tcW w:w="1986" w:type="dxa"/>
            <w:gridSpan w:val="2"/>
            <w:noWrap/>
            <w:tcMar>
              <w:top w:w="40" w:type="dxa"/>
              <w:left w:w="40" w:type="dxa"/>
              <w:bottom w:w="40" w:type="dxa"/>
              <w:right w:w="40" w:type="dxa"/>
            </w:tcMar>
          </w:tcPr>
          <w:p w14:paraId="7837C79A" w14:textId="77777777" w:rsidR="00737BAB" w:rsidRPr="008215A5" w:rsidRDefault="00737BAB" w:rsidP="00C701E6">
            <w:pPr>
              <w:keepNext/>
              <w:keepLines/>
              <w:ind w:left="57"/>
              <w:contextualSpacing/>
              <w:rPr>
                <w:rFonts w:ascii="Arial" w:hAnsi="Arial" w:cs="Arial"/>
                <w:spacing w:val="-1"/>
                <w:sz w:val="22"/>
                <w:szCs w:val="22"/>
              </w:rPr>
            </w:pPr>
            <w:r w:rsidRPr="008215A5">
              <w:rPr>
                <w:rFonts w:ascii="Arial" w:hAnsi="Arial"/>
                <w:spacing w:val="-1"/>
                <w:sz w:val="22"/>
              </w:rPr>
              <w:t>en cours</w:t>
            </w:r>
          </w:p>
        </w:tc>
        <w:tc>
          <w:tcPr>
            <w:tcW w:w="7655" w:type="dxa"/>
            <w:noWrap/>
            <w:tcMar>
              <w:top w:w="40" w:type="dxa"/>
              <w:left w:w="40" w:type="dxa"/>
              <w:bottom w:w="40" w:type="dxa"/>
              <w:right w:w="40" w:type="dxa"/>
            </w:tcMar>
          </w:tcPr>
          <w:p w14:paraId="0EF16572" w14:textId="58124946" w:rsidR="00737BAB" w:rsidRPr="008215A5" w:rsidRDefault="00737BAB" w:rsidP="00C701E6">
            <w:pPr>
              <w:pStyle w:val="ListParagraph"/>
              <w:keepNext/>
              <w:keepLines/>
              <w:numPr>
                <w:ilvl w:val="0"/>
                <w:numId w:val="39"/>
              </w:numPr>
              <w:ind w:left="470" w:hanging="357"/>
              <w:rPr>
                <w:rFonts w:ascii="Arial" w:hAnsi="Arial" w:cs="Arial"/>
                <w:spacing w:val="-1"/>
                <w:sz w:val="22"/>
                <w:szCs w:val="22"/>
              </w:rPr>
            </w:pPr>
            <w:r w:rsidRPr="008215A5">
              <w:rPr>
                <w:rFonts w:ascii="Arial" w:hAnsi="Arial"/>
                <w:spacing w:val="-1"/>
                <w:sz w:val="22"/>
              </w:rPr>
              <w:t xml:space="preserve">Quatre nouveaux formateurs spécialisés dans le développement de politiques culturelles </w:t>
            </w:r>
            <w:r w:rsidR="00D6098E">
              <w:rPr>
                <w:rFonts w:ascii="Arial" w:hAnsi="Arial"/>
                <w:spacing w:val="-1"/>
                <w:sz w:val="22"/>
              </w:rPr>
              <w:t>ont intégré le réseau d’experts-</w:t>
            </w:r>
            <w:r w:rsidRPr="008215A5">
              <w:rPr>
                <w:rFonts w:ascii="Arial" w:hAnsi="Arial"/>
                <w:spacing w:val="-1"/>
                <w:sz w:val="22"/>
              </w:rPr>
              <w:t>facilitateurs de la Convention.</w:t>
            </w:r>
          </w:p>
          <w:p w14:paraId="5DCD7BB0" w14:textId="77777777" w:rsidR="00737BAB" w:rsidRPr="008215A5" w:rsidRDefault="00737BAB" w:rsidP="00C701E6">
            <w:pPr>
              <w:pStyle w:val="ListParagraph"/>
              <w:keepNext/>
              <w:keepLines/>
              <w:numPr>
                <w:ilvl w:val="0"/>
                <w:numId w:val="39"/>
              </w:numPr>
              <w:ind w:left="470" w:hanging="357"/>
              <w:rPr>
                <w:rFonts w:ascii="Arial" w:hAnsi="Arial" w:cs="Arial"/>
                <w:spacing w:val="-1"/>
                <w:sz w:val="22"/>
                <w:szCs w:val="22"/>
              </w:rPr>
            </w:pPr>
            <w:r w:rsidRPr="008215A5">
              <w:rPr>
                <w:rFonts w:ascii="Arial" w:hAnsi="Arial"/>
                <w:spacing w:val="-1"/>
                <w:sz w:val="22"/>
              </w:rPr>
              <w:t>Des formateurs spécialisés en politique culturelle participeront au projet de renforcement des capacités sur plusieurs années qui aura lieu en Asie-Pacifique.</w:t>
            </w:r>
          </w:p>
          <w:p w14:paraId="2F0EEE66" w14:textId="77777777" w:rsidR="00737BAB" w:rsidRPr="008215A5" w:rsidRDefault="00737BAB" w:rsidP="00C701E6">
            <w:pPr>
              <w:pStyle w:val="ListParagraph"/>
              <w:keepNext/>
              <w:keepLines/>
              <w:numPr>
                <w:ilvl w:val="0"/>
                <w:numId w:val="39"/>
              </w:numPr>
              <w:ind w:left="470" w:hanging="357"/>
              <w:rPr>
                <w:rFonts w:ascii="Arial" w:hAnsi="Arial" w:cs="Arial"/>
                <w:spacing w:val="-1"/>
                <w:sz w:val="22"/>
                <w:szCs w:val="22"/>
              </w:rPr>
            </w:pPr>
            <w:r w:rsidRPr="008215A5">
              <w:rPr>
                <w:rFonts w:ascii="Arial" w:hAnsi="Arial"/>
                <w:spacing w:val="-1"/>
                <w:sz w:val="22"/>
              </w:rPr>
              <w:t>Les formateurs participeront aux futures activités de soutien des politiques du programme de renforcement des capacités.</w:t>
            </w:r>
          </w:p>
        </w:tc>
      </w:tr>
      <w:tr w:rsidR="00737BAB" w:rsidRPr="00A76B7D" w14:paraId="0EB3BEB3" w14:textId="77777777" w:rsidTr="00737BAB">
        <w:tc>
          <w:tcPr>
            <w:tcW w:w="14358" w:type="dxa"/>
            <w:gridSpan w:val="5"/>
            <w:shd w:val="clear" w:color="auto" w:fill="E6E6E6"/>
            <w:noWrap/>
            <w:tcMar>
              <w:top w:w="40" w:type="dxa"/>
              <w:left w:w="40" w:type="dxa"/>
              <w:bottom w:w="40" w:type="dxa"/>
              <w:right w:w="40" w:type="dxa"/>
            </w:tcMar>
          </w:tcPr>
          <w:p w14:paraId="287E41EC" w14:textId="77777777" w:rsidR="00737BAB" w:rsidRPr="00A76B7D" w:rsidRDefault="00737BAB" w:rsidP="00D6098E">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Recommandation 5 : </w:t>
            </w:r>
            <w:r w:rsidRPr="00520C2F">
              <w:rPr>
                <w:rFonts w:ascii="Arial" w:hAnsi="Arial"/>
                <w:b/>
                <w:sz w:val="22"/>
              </w:rPr>
              <w:t>Coopérer avec les experts du développement durable au moment où il s</w:t>
            </w:r>
            <w:r>
              <w:rPr>
                <w:rFonts w:ascii="Arial" w:hAnsi="Arial"/>
                <w:b/>
                <w:sz w:val="22"/>
              </w:rPr>
              <w:t>’</w:t>
            </w:r>
            <w:r w:rsidRPr="00520C2F">
              <w:rPr>
                <w:rFonts w:ascii="Arial" w:hAnsi="Arial"/>
                <w:b/>
                <w:sz w:val="22"/>
              </w:rPr>
              <w:t>agit de soutenir les États parties à intégrer le PCI dans une législation et une politique non-culturelle, et pour d</w:t>
            </w:r>
            <w:r>
              <w:rPr>
                <w:rFonts w:ascii="Arial" w:hAnsi="Arial"/>
                <w:b/>
                <w:sz w:val="22"/>
              </w:rPr>
              <w:t>’</w:t>
            </w:r>
            <w:r w:rsidRPr="00520C2F">
              <w:rPr>
                <w:rFonts w:ascii="Arial" w:hAnsi="Arial"/>
                <w:b/>
                <w:sz w:val="22"/>
              </w:rPr>
              <w:t>autres travaux liés au PCI et au développement durable</w:t>
            </w:r>
            <w:r>
              <w:rPr>
                <w:rFonts w:ascii="Arial" w:hAnsi="Arial"/>
                <w:b/>
                <w:sz w:val="22"/>
              </w:rPr>
              <w:t>.</w:t>
            </w:r>
          </w:p>
        </w:tc>
      </w:tr>
      <w:tr w:rsidR="00737BAB" w:rsidRPr="00A76B7D" w14:paraId="55533338" w14:textId="77777777" w:rsidTr="00737BAB">
        <w:tc>
          <w:tcPr>
            <w:tcW w:w="14358" w:type="dxa"/>
            <w:gridSpan w:val="5"/>
            <w:noWrap/>
            <w:tcMar>
              <w:top w:w="40" w:type="dxa"/>
              <w:left w:w="40" w:type="dxa"/>
              <w:bottom w:w="40" w:type="dxa"/>
              <w:right w:w="40" w:type="dxa"/>
            </w:tcMar>
          </w:tcPr>
          <w:p w14:paraId="20A782D7" w14:textId="3BFDD037" w:rsidR="00737BAB" w:rsidRPr="00A76B7D" w:rsidRDefault="00737BAB" w:rsidP="00D6098E">
            <w:pPr>
              <w:keepNext/>
              <w:keepLines/>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Des experts du développement durable sont en train d’intégrer le réseau de formateurs sur le patrimoine culturel immatériel de l’UNESCO, en vue d’aider les experts/formateurs qui seraient moins familiarisés avec le sujet du développement au sens large.</w:t>
            </w:r>
            <w:r w:rsidR="00D6098E">
              <w:rPr>
                <w:rFonts w:ascii="Arial" w:hAnsi="Arial"/>
                <w:sz w:val="22"/>
              </w:rPr>
              <w:t xml:space="preserve"> Cela devrait être considéré en parallèle avec les actions planifiées et menées en réponse à la recommandation 3.</w:t>
            </w:r>
          </w:p>
        </w:tc>
      </w:tr>
      <w:tr w:rsidR="00737BAB" w:rsidRPr="00A76B7D" w14:paraId="68D0ED5E" w14:textId="77777777" w:rsidTr="00737BAB">
        <w:trPr>
          <w:trHeight w:val="508"/>
        </w:trPr>
        <w:tc>
          <w:tcPr>
            <w:tcW w:w="4717" w:type="dxa"/>
            <w:gridSpan w:val="2"/>
            <w:noWrap/>
            <w:tcMar>
              <w:top w:w="40" w:type="dxa"/>
              <w:left w:w="40" w:type="dxa"/>
              <w:bottom w:w="40" w:type="dxa"/>
              <w:right w:w="40" w:type="dxa"/>
            </w:tcMar>
          </w:tcPr>
          <w:p w14:paraId="73E0BF43" w14:textId="77777777" w:rsidR="00737BAB" w:rsidRPr="00A76B7D" w:rsidRDefault="00737BAB" w:rsidP="00D6098E">
            <w:pPr>
              <w:keepNext/>
              <w:keepLines/>
              <w:spacing w:before="40" w:after="4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101657F7" w14:textId="77777777" w:rsidR="00737BAB" w:rsidRPr="00A76B7D" w:rsidRDefault="00737BAB" w:rsidP="00D6098E">
            <w:pPr>
              <w:keepNext/>
              <w:keepLines/>
              <w:spacing w:before="40" w:after="4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4439647D" w14:textId="77777777" w:rsidR="00737BAB" w:rsidRPr="00A76B7D" w:rsidRDefault="00737BAB" w:rsidP="00D6098E">
            <w:pPr>
              <w:keepNext/>
              <w:keepLines/>
              <w:spacing w:before="40" w:after="40"/>
              <w:jc w:val="center"/>
              <w:rPr>
                <w:rFonts w:ascii="Arial" w:hAnsi="Arial" w:cs="Arial"/>
                <w:b/>
                <w:sz w:val="22"/>
                <w:szCs w:val="22"/>
              </w:rPr>
            </w:pPr>
            <w:r>
              <w:rPr>
                <w:rFonts w:ascii="Arial" w:hAnsi="Arial"/>
                <w:b/>
                <w:sz w:val="22"/>
              </w:rPr>
              <w:t>Statut</w:t>
            </w:r>
          </w:p>
        </w:tc>
      </w:tr>
      <w:tr w:rsidR="00737BAB" w:rsidRPr="00A76B7D" w14:paraId="7549C13D" w14:textId="77777777" w:rsidTr="00737BAB">
        <w:tc>
          <w:tcPr>
            <w:tcW w:w="4717" w:type="dxa"/>
            <w:gridSpan w:val="2"/>
            <w:noWrap/>
            <w:tcMar>
              <w:top w:w="40" w:type="dxa"/>
              <w:left w:w="40" w:type="dxa"/>
              <w:bottom w:w="40" w:type="dxa"/>
              <w:right w:w="40" w:type="dxa"/>
            </w:tcMar>
          </w:tcPr>
          <w:p w14:paraId="322F26CF" w14:textId="77777777" w:rsidR="00737BAB" w:rsidRPr="00A76B7D" w:rsidRDefault="00737BAB" w:rsidP="00D6098E">
            <w:pPr>
              <w:pStyle w:val="Default"/>
              <w:keepNext/>
              <w:keepLines/>
              <w:spacing w:before="40" w:after="40"/>
              <w:ind w:left="113" w:right="57"/>
              <w:rPr>
                <w:rFonts w:eastAsia="Times New Roman"/>
                <w:color w:val="auto"/>
                <w:sz w:val="22"/>
                <w:szCs w:val="22"/>
              </w:rPr>
            </w:pPr>
            <w:r>
              <w:rPr>
                <w:color w:val="auto"/>
                <w:sz w:val="22"/>
              </w:rPr>
              <w:t>Publier et diffuser la brochure « Patrimoine Culturel Immatériel et Développement Durable » (kit d’info ITH).</w:t>
            </w:r>
          </w:p>
        </w:tc>
        <w:tc>
          <w:tcPr>
            <w:tcW w:w="1986" w:type="dxa"/>
            <w:gridSpan w:val="2"/>
            <w:noWrap/>
            <w:tcMar>
              <w:top w:w="40" w:type="dxa"/>
              <w:left w:w="40" w:type="dxa"/>
              <w:bottom w:w="40" w:type="dxa"/>
              <w:right w:w="40" w:type="dxa"/>
            </w:tcMar>
          </w:tcPr>
          <w:p w14:paraId="55F0B01C" w14:textId="77777777" w:rsidR="00737BAB" w:rsidRPr="00A76B7D" w:rsidRDefault="00737BAB" w:rsidP="00D6098E">
            <w:pPr>
              <w:keepNext/>
              <w:keepLines/>
              <w:spacing w:before="40" w:after="40"/>
              <w:ind w:left="57"/>
              <w:rPr>
                <w:rFonts w:ascii="Arial" w:hAnsi="Arial" w:cs="Arial"/>
                <w:sz w:val="22"/>
                <w:szCs w:val="22"/>
              </w:rPr>
            </w:pPr>
            <w:r>
              <w:rPr>
                <w:rFonts w:ascii="Arial" w:hAnsi="Arial"/>
                <w:sz w:val="22"/>
              </w:rPr>
              <w:t>octobre 2015</w:t>
            </w:r>
          </w:p>
        </w:tc>
        <w:tc>
          <w:tcPr>
            <w:tcW w:w="7655" w:type="dxa"/>
            <w:noWrap/>
            <w:tcMar>
              <w:top w:w="40" w:type="dxa"/>
              <w:left w:w="40" w:type="dxa"/>
              <w:bottom w:w="40" w:type="dxa"/>
              <w:right w:w="40" w:type="dxa"/>
            </w:tcMar>
          </w:tcPr>
          <w:p w14:paraId="0DA10501" w14:textId="6FB4A02B" w:rsidR="00737BAB" w:rsidRPr="00A76B7D" w:rsidRDefault="00737BAB" w:rsidP="00775B51">
            <w:pPr>
              <w:pStyle w:val="ListParagraph"/>
              <w:keepNext/>
              <w:keepLines/>
              <w:numPr>
                <w:ilvl w:val="0"/>
                <w:numId w:val="39"/>
              </w:numPr>
              <w:spacing w:before="40" w:after="40"/>
              <w:ind w:left="470" w:hanging="357"/>
              <w:rPr>
                <w:rFonts w:ascii="Arial" w:hAnsi="Arial" w:cs="Arial"/>
                <w:sz w:val="22"/>
                <w:szCs w:val="22"/>
              </w:rPr>
            </w:pPr>
            <w:r>
              <w:rPr>
                <w:rFonts w:ascii="Arial" w:hAnsi="Arial"/>
                <w:sz w:val="22"/>
              </w:rPr>
              <w:t xml:space="preserve">Une brochure a été publiée en octobre 2015 et </w:t>
            </w:r>
            <w:r w:rsidR="00775B51">
              <w:rPr>
                <w:rFonts w:ascii="Arial" w:hAnsi="Arial"/>
                <w:sz w:val="22"/>
              </w:rPr>
              <w:t>a été</w:t>
            </w:r>
            <w:r>
              <w:rPr>
                <w:rFonts w:ascii="Arial" w:hAnsi="Arial"/>
                <w:sz w:val="22"/>
              </w:rPr>
              <w:t xml:space="preserve"> diffusée lors </w:t>
            </w:r>
            <w:r w:rsidR="00775B51">
              <w:rPr>
                <w:rFonts w:ascii="Arial" w:hAnsi="Arial"/>
                <w:sz w:val="22"/>
              </w:rPr>
              <w:t xml:space="preserve">de la dixième session du Comité ; elle continue d’être diffusée par le Secrétariat et par les bureaux hors-Siège de l’UNESCO </w:t>
            </w:r>
            <w:r w:rsidR="00775B51" w:rsidRPr="00775B51">
              <w:rPr>
                <w:rFonts w:ascii="Arial" w:hAnsi="Arial"/>
                <w:b/>
                <w:sz w:val="22"/>
              </w:rPr>
              <w:t>(action terminée)</w:t>
            </w:r>
            <w:r w:rsidR="006A5AD9">
              <w:rPr>
                <w:rFonts w:ascii="Arial" w:hAnsi="Arial"/>
                <w:b/>
                <w:sz w:val="22"/>
              </w:rPr>
              <w:t>.</w:t>
            </w:r>
          </w:p>
        </w:tc>
      </w:tr>
      <w:tr w:rsidR="00737BAB" w:rsidRPr="00E06C93" w14:paraId="1FB73E73" w14:textId="77777777" w:rsidTr="00426970">
        <w:tc>
          <w:tcPr>
            <w:tcW w:w="4717" w:type="dxa"/>
            <w:gridSpan w:val="2"/>
            <w:noWrap/>
            <w:tcMar>
              <w:top w:w="40" w:type="dxa"/>
              <w:left w:w="40" w:type="dxa"/>
              <w:bottom w:w="40" w:type="dxa"/>
              <w:right w:w="40" w:type="dxa"/>
            </w:tcMar>
          </w:tcPr>
          <w:p w14:paraId="2987451C" w14:textId="77777777" w:rsidR="00737BAB" w:rsidRPr="00A76B7D" w:rsidRDefault="00737BAB" w:rsidP="00D6098E">
            <w:pPr>
              <w:pStyle w:val="Default"/>
              <w:keepNext/>
              <w:keepLines/>
              <w:spacing w:before="40" w:after="40"/>
              <w:ind w:left="113" w:right="57"/>
              <w:rPr>
                <w:rFonts w:eastAsia="Times New Roman"/>
                <w:color w:val="auto"/>
                <w:sz w:val="22"/>
                <w:szCs w:val="22"/>
              </w:rPr>
            </w:pPr>
            <w:r>
              <w:rPr>
                <w:color w:val="auto"/>
                <w:sz w:val="22"/>
              </w:rPr>
              <w:t xml:space="preserve">Réviser le modèle du rapport final pour la formation afin d’y inclure une question relative à la participation des experts en développement durable. </w:t>
            </w:r>
          </w:p>
        </w:tc>
        <w:tc>
          <w:tcPr>
            <w:tcW w:w="1986" w:type="dxa"/>
            <w:gridSpan w:val="2"/>
            <w:noWrap/>
            <w:tcMar>
              <w:top w:w="40" w:type="dxa"/>
              <w:left w:w="40" w:type="dxa"/>
              <w:bottom w:w="40" w:type="dxa"/>
              <w:right w:w="40" w:type="dxa"/>
            </w:tcMar>
          </w:tcPr>
          <w:p w14:paraId="45731811" w14:textId="13BDA242" w:rsidR="00737BAB" w:rsidRPr="00A76B7D" w:rsidRDefault="006B3799" w:rsidP="00D6098E">
            <w:pPr>
              <w:keepNext/>
              <w:keepLines/>
              <w:spacing w:before="40" w:after="40"/>
              <w:ind w:left="57"/>
              <w:rPr>
                <w:rFonts w:ascii="Arial" w:hAnsi="Arial" w:cs="Arial"/>
                <w:sz w:val="22"/>
                <w:szCs w:val="22"/>
              </w:rPr>
            </w:pPr>
            <w:r>
              <w:rPr>
                <w:rFonts w:ascii="Arial" w:hAnsi="Arial"/>
                <w:sz w:val="22"/>
              </w:rPr>
              <w:t>2016</w:t>
            </w:r>
          </w:p>
        </w:tc>
        <w:tc>
          <w:tcPr>
            <w:tcW w:w="7655" w:type="dxa"/>
            <w:shd w:val="clear" w:color="auto" w:fill="auto"/>
            <w:noWrap/>
            <w:tcMar>
              <w:top w:w="40" w:type="dxa"/>
              <w:left w:w="40" w:type="dxa"/>
              <w:bottom w:w="40" w:type="dxa"/>
              <w:right w:w="40" w:type="dxa"/>
            </w:tcMar>
          </w:tcPr>
          <w:p w14:paraId="6B6F164B" w14:textId="66AC464A" w:rsidR="00737BAB" w:rsidRPr="00E06C93" w:rsidRDefault="00E06C93" w:rsidP="00426970">
            <w:pPr>
              <w:pStyle w:val="ListParagraph"/>
              <w:keepNext/>
              <w:keepLines/>
              <w:numPr>
                <w:ilvl w:val="0"/>
                <w:numId w:val="39"/>
              </w:numPr>
              <w:spacing w:before="40" w:after="40"/>
              <w:ind w:left="482"/>
              <w:rPr>
                <w:rFonts w:ascii="Arial" w:hAnsi="Arial" w:cs="Arial"/>
                <w:sz w:val="22"/>
                <w:szCs w:val="22"/>
              </w:rPr>
            </w:pPr>
            <w:r w:rsidRPr="00426970">
              <w:rPr>
                <w:rFonts w:ascii="Arial" w:hAnsi="Arial" w:cs="Arial"/>
                <w:sz w:val="22"/>
                <w:szCs w:val="22"/>
                <w:lang w:eastAsia="en-GB"/>
              </w:rPr>
              <w:t xml:space="preserve">Le modèle du rapport pour la formation a été révisé afin d’y inclure des questions concernant l’expertise dans différents domaines du développement durable. Une version électronique du modèle est en cours de développement afin de </w:t>
            </w:r>
            <w:r w:rsidR="00426970" w:rsidRPr="00426970">
              <w:rPr>
                <w:rFonts w:ascii="Arial" w:hAnsi="Arial" w:cs="Arial"/>
                <w:sz w:val="22"/>
                <w:szCs w:val="22"/>
                <w:lang w:eastAsia="en-GB"/>
              </w:rPr>
              <w:t xml:space="preserve">refléter ces évolutions et de </w:t>
            </w:r>
            <w:r w:rsidRPr="00426970">
              <w:rPr>
                <w:rFonts w:ascii="Arial" w:hAnsi="Arial" w:cs="Arial"/>
                <w:sz w:val="22"/>
                <w:szCs w:val="22"/>
                <w:lang w:eastAsia="en-GB"/>
              </w:rPr>
              <w:t>faciliter</w:t>
            </w:r>
            <w:r w:rsidR="00426970" w:rsidRPr="00426970">
              <w:rPr>
                <w:rFonts w:ascii="Arial" w:hAnsi="Arial" w:cs="Arial"/>
                <w:sz w:val="22"/>
                <w:szCs w:val="22"/>
                <w:lang w:eastAsia="en-GB"/>
              </w:rPr>
              <w:t xml:space="preserve"> la saisie,</w:t>
            </w:r>
            <w:r w:rsidRPr="00426970">
              <w:rPr>
                <w:rFonts w:ascii="Arial" w:hAnsi="Arial" w:cs="Arial"/>
                <w:sz w:val="22"/>
                <w:szCs w:val="22"/>
                <w:lang w:eastAsia="en-GB"/>
              </w:rPr>
              <w:t xml:space="preserve"> l’export et </w:t>
            </w:r>
            <w:r w:rsidR="00426970" w:rsidRPr="00426970">
              <w:rPr>
                <w:rFonts w:ascii="Arial" w:hAnsi="Arial" w:cs="Arial"/>
                <w:sz w:val="22"/>
                <w:szCs w:val="22"/>
                <w:lang w:eastAsia="en-GB"/>
              </w:rPr>
              <w:t>l’analyse</w:t>
            </w:r>
            <w:r w:rsidRPr="00426970">
              <w:rPr>
                <w:rFonts w:ascii="Arial" w:hAnsi="Arial" w:cs="Arial"/>
                <w:sz w:val="22"/>
                <w:szCs w:val="22"/>
                <w:lang w:eastAsia="en-GB"/>
              </w:rPr>
              <w:t xml:space="preserve"> des données.</w:t>
            </w:r>
          </w:p>
        </w:tc>
      </w:tr>
      <w:tr w:rsidR="00737BAB" w:rsidRPr="00A76B7D" w14:paraId="3A25138C" w14:textId="77777777" w:rsidTr="00737BAB">
        <w:tc>
          <w:tcPr>
            <w:tcW w:w="4717" w:type="dxa"/>
            <w:gridSpan w:val="2"/>
            <w:noWrap/>
            <w:tcMar>
              <w:top w:w="40" w:type="dxa"/>
              <w:left w:w="40" w:type="dxa"/>
              <w:bottom w:w="40" w:type="dxa"/>
              <w:right w:w="40" w:type="dxa"/>
            </w:tcMar>
          </w:tcPr>
          <w:p w14:paraId="53E3775A" w14:textId="00F4DE9C" w:rsidR="00737BAB" w:rsidRPr="00A76B7D" w:rsidRDefault="00737BAB" w:rsidP="00C701E6">
            <w:pPr>
              <w:pStyle w:val="Default"/>
              <w:keepNext/>
              <w:keepLines/>
              <w:spacing w:before="40" w:after="40"/>
              <w:ind w:left="113" w:right="57"/>
              <w:rPr>
                <w:rFonts w:eastAsia="Times New Roman"/>
                <w:color w:val="auto"/>
                <w:sz w:val="22"/>
                <w:szCs w:val="22"/>
              </w:rPr>
            </w:pPr>
            <w:r>
              <w:rPr>
                <w:color w:val="auto"/>
                <w:sz w:val="22"/>
              </w:rPr>
              <w:t xml:space="preserve">Élaborer le </w:t>
            </w:r>
            <w:r w:rsidR="00C701E6">
              <w:rPr>
                <w:color w:val="auto"/>
                <w:sz w:val="22"/>
              </w:rPr>
              <w:t>guide destiné aux b</w:t>
            </w:r>
            <w:r w:rsidR="00775B51">
              <w:rPr>
                <w:color w:val="auto"/>
                <w:sz w:val="22"/>
              </w:rPr>
              <w:t>ureaux hors</w:t>
            </w:r>
            <w:r w:rsidR="00C701E6">
              <w:rPr>
                <w:color w:val="auto"/>
                <w:sz w:val="22"/>
              </w:rPr>
              <w:t>-</w:t>
            </w:r>
            <w:r w:rsidR="00775B51">
              <w:rPr>
                <w:color w:val="auto"/>
                <w:sz w:val="22"/>
              </w:rPr>
              <w:t>S</w:t>
            </w:r>
            <w:r>
              <w:rPr>
                <w:color w:val="auto"/>
                <w:sz w:val="22"/>
              </w:rPr>
              <w:t>iège.</w:t>
            </w:r>
          </w:p>
        </w:tc>
        <w:tc>
          <w:tcPr>
            <w:tcW w:w="1986" w:type="dxa"/>
            <w:gridSpan w:val="2"/>
            <w:noWrap/>
            <w:tcMar>
              <w:top w:w="40" w:type="dxa"/>
              <w:left w:w="40" w:type="dxa"/>
              <w:bottom w:w="40" w:type="dxa"/>
              <w:right w:w="40" w:type="dxa"/>
            </w:tcMar>
          </w:tcPr>
          <w:p w14:paraId="58668CAA" w14:textId="327B6D3D" w:rsidR="00737BAB" w:rsidRPr="00A76B7D" w:rsidRDefault="00775B51" w:rsidP="00D6098E">
            <w:pPr>
              <w:keepNext/>
              <w:keepLines/>
              <w:spacing w:before="40" w:after="40"/>
              <w:ind w:left="57"/>
              <w:rPr>
                <w:rFonts w:ascii="Arial" w:hAnsi="Arial" w:cs="Arial"/>
                <w:sz w:val="22"/>
                <w:szCs w:val="22"/>
              </w:rPr>
            </w:pPr>
            <w:r>
              <w:rPr>
                <w:rFonts w:ascii="Arial" w:hAnsi="Arial"/>
                <w:sz w:val="22"/>
              </w:rPr>
              <w:t>m</w:t>
            </w:r>
            <w:r w:rsidR="006B3799">
              <w:rPr>
                <w:rFonts w:ascii="Arial" w:hAnsi="Arial"/>
                <w:sz w:val="22"/>
              </w:rPr>
              <w:t>ars 2016</w:t>
            </w:r>
          </w:p>
        </w:tc>
        <w:tc>
          <w:tcPr>
            <w:tcW w:w="7655" w:type="dxa"/>
            <w:noWrap/>
            <w:tcMar>
              <w:top w:w="40" w:type="dxa"/>
              <w:left w:w="40" w:type="dxa"/>
              <w:bottom w:w="40" w:type="dxa"/>
              <w:right w:w="40" w:type="dxa"/>
            </w:tcMar>
          </w:tcPr>
          <w:p w14:paraId="712F2ED8" w14:textId="58F0D01B" w:rsidR="00737BAB" w:rsidRPr="00A76B7D" w:rsidRDefault="00737BAB" w:rsidP="006A5AD9">
            <w:pPr>
              <w:pStyle w:val="ListParagraph"/>
              <w:keepNext/>
              <w:keepLines/>
              <w:numPr>
                <w:ilvl w:val="0"/>
                <w:numId w:val="39"/>
              </w:numPr>
              <w:spacing w:before="40" w:after="40"/>
              <w:ind w:left="470" w:hanging="357"/>
              <w:rPr>
                <w:rFonts w:ascii="Arial" w:hAnsi="Arial" w:cs="Arial"/>
                <w:sz w:val="22"/>
                <w:szCs w:val="22"/>
              </w:rPr>
            </w:pPr>
            <w:r>
              <w:rPr>
                <w:rFonts w:ascii="Arial" w:hAnsi="Arial"/>
                <w:sz w:val="22"/>
              </w:rPr>
              <w:t>La Section du patrimoine culturel immaté</w:t>
            </w:r>
            <w:r w:rsidR="00C701E6">
              <w:rPr>
                <w:rFonts w:ascii="Arial" w:hAnsi="Arial"/>
                <w:sz w:val="22"/>
              </w:rPr>
              <w:t>riel, après avoir consulté ses b</w:t>
            </w:r>
            <w:r>
              <w:rPr>
                <w:rFonts w:ascii="Arial" w:hAnsi="Arial"/>
                <w:sz w:val="22"/>
              </w:rPr>
              <w:t>u</w:t>
            </w:r>
            <w:r w:rsidR="00C701E6">
              <w:rPr>
                <w:rFonts w:ascii="Arial" w:hAnsi="Arial"/>
                <w:sz w:val="22"/>
              </w:rPr>
              <w:t>reaux hors-</w:t>
            </w:r>
            <w:r w:rsidR="00775B51">
              <w:rPr>
                <w:rFonts w:ascii="Arial" w:hAnsi="Arial"/>
                <w:sz w:val="22"/>
              </w:rPr>
              <w:t>Siège</w:t>
            </w:r>
            <w:r>
              <w:rPr>
                <w:rFonts w:ascii="Arial" w:hAnsi="Arial"/>
                <w:sz w:val="22"/>
              </w:rPr>
              <w:t xml:space="preserve">, a rédigé une note d’orientation qui leur </w:t>
            </w:r>
            <w:r w:rsidR="006A5AD9">
              <w:rPr>
                <w:rFonts w:ascii="Arial" w:hAnsi="Arial"/>
                <w:sz w:val="22"/>
              </w:rPr>
              <w:t>a été</w:t>
            </w:r>
            <w:r>
              <w:rPr>
                <w:rFonts w:ascii="Arial" w:hAnsi="Arial"/>
                <w:sz w:val="22"/>
              </w:rPr>
              <w:t xml:space="preserve"> diffusée</w:t>
            </w:r>
            <w:r w:rsidR="006A5AD9">
              <w:rPr>
                <w:rFonts w:ascii="Arial" w:hAnsi="Arial"/>
                <w:sz w:val="22"/>
              </w:rPr>
              <w:t xml:space="preserve"> avec la brochure mentionnée ci-dessus.</w:t>
            </w:r>
          </w:p>
        </w:tc>
      </w:tr>
      <w:tr w:rsidR="00737BAB" w:rsidRPr="00A76B7D" w14:paraId="2F688F90" w14:textId="77777777" w:rsidTr="00737BAB">
        <w:tc>
          <w:tcPr>
            <w:tcW w:w="14358" w:type="dxa"/>
            <w:gridSpan w:val="5"/>
            <w:shd w:val="clear" w:color="auto" w:fill="E6E6E6"/>
            <w:noWrap/>
            <w:tcMar>
              <w:top w:w="40" w:type="dxa"/>
              <w:left w:w="40" w:type="dxa"/>
              <w:bottom w:w="40" w:type="dxa"/>
              <w:right w:w="40" w:type="dxa"/>
            </w:tcMar>
          </w:tcPr>
          <w:p w14:paraId="3B6BBE19" w14:textId="7905B4D1" w:rsidR="00737BAB" w:rsidRPr="00A76B7D" w:rsidRDefault="00737BAB" w:rsidP="00D6098E">
            <w:pPr>
              <w:keepNext/>
              <w:keepLines/>
              <w:tabs>
                <w:tab w:val="left" w:pos="2640"/>
              </w:tabs>
              <w:spacing w:before="40" w:after="40"/>
              <w:ind w:left="113" w:right="113"/>
              <w:jc w:val="both"/>
              <w:rPr>
                <w:rFonts w:ascii="Arial" w:hAnsi="Arial" w:cs="Arial"/>
                <w:b/>
                <w:sz w:val="22"/>
                <w:szCs w:val="22"/>
              </w:rPr>
            </w:pPr>
            <w:r>
              <w:rPr>
                <w:rFonts w:ascii="Arial" w:hAnsi="Arial"/>
                <w:b/>
                <w:sz w:val="22"/>
              </w:rPr>
              <w:t xml:space="preserve">Recommandation 6 : </w:t>
            </w:r>
            <w:r w:rsidRPr="00C243DA">
              <w:rPr>
                <w:rFonts w:ascii="Arial" w:hAnsi="Arial"/>
                <w:b/>
                <w:sz w:val="22"/>
              </w:rPr>
              <w:t xml:space="preserve">Établir avec la pleine </w:t>
            </w:r>
            <w:r w:rsidR="0023073F">
              <w:rPr>
                <w:rFonts w:ascii="Arial" w:hAnsi="Arial"/>
                <w:b/>
                <w:sz w:val="22"/>
              </w:rPr>
              <w:t>participation des bureaux hors S</w:t>
            </w:r>
            <w:r w:rsidRPr="00C243DA">
              <w:rPr>
                <w:rFonts w:ascii="Arial" w:hAnsi="Arial"/>
                <w:b/>
                <w:sz w:val="22"/>
              </w:rPr>
              <w:t>iège de l</w:t>
            </w:r>
            <w:r>
              <w:rPr>
                <w:rFonts w:ascii="Arial" w:hAnsi="Arial"/>
                <w:b/>
                <w:sz w:val="22"/>
              </w:rPr>
              <w:t>’</w:t>
            </w:r>
            <w:r w:rsidRPr="00C243DA">
              <w:rPr>
                <w:rFonts w:ascii="Arial" w:hAnsi="Arial"/>
                <w:b/>
                <w:sz w:val="22"/>
              </w:rPr>
              <w:t>UNESCO et en coopération avec les Commissions nationales de l</w:t>
            </w:r>
            <w:r>
              <w:rPr>
                <w:rFonts w:ascii="Arial" w:hAnsi="Arial"/>
                <w:b/>
                <w:sz w:val="22"/>
              </w:rPr>
              <w:t>’</w:t>
            </w:r>
            <w:r w:rsidRPr="00C243DA">
              <w:rPr>
                <w:rFonts w:ascii="Arial" w:hAnsi="Arial"/>
                <w:b/>
                <w:sz w:val="22"/>
              </w:rPr>
              <w:t>UNESCO, un mécanisme de suivi pour les activités de renforcement des capacités afin de rassembler des données sur leur efficacité.</w:t>
            </w:r>
          </w:p>
        </w:tc>
      </w:tr>
      <w:tr w:rsidR="00737BAB" w:rsidRPr="00A76B7D" w14:paraId="2BFEC496" w14:textId="77777777" w:rsidTr="00737BAB">
        <w:tc>
          <w:tcPr>
            <w:tcW w:w="14358" w:type="dxa"/>
            <w:gridSpan w:val="5"/>
            <w:noWrap/>
            <w:tcMar>
              <w:top w:w="40" w:type="dxa"/>
              <w:left w:w="40" w:type="dxa"/>
              <w:bottom w:w="40" w:type="dxa"/>
              <w:right w:w="40" w:type="dxa"/>
            </w:tcMar>
          </w:tcPr>
          <w:p w14:paraId="59584FEB" w14:textId="77777777" w:rsidR="00737BAB" w:rsidRPr="00A76B7D" w:rsidRDefault="00737BAB" w:rsidP="00D6098E">
            <w:pPr>
              <w:keepNext/>
              <w:keepLines/>
              <w:spacing w:before="40" w:after="4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Des consultations ont été réalisées en vue de mettre en place ce mécanisme de suivi. Ce mécanisme devrait être élaboré dans le cadre d’un projet pilote dans une région sélectionnée d’ici la fin de l’année.</w:t>
            </w:r>
          </w:p>
        </w:tc>
      </w:tr>
      <w:tr w:rsidR="00737BAB" w:rsidRPr="00A76B7D" w14:paraId="5F286DA1" w14:textId="77777777" w:rsidTr="00737BAB">
        <w:tc>
          <w:tcPr>
            <w:tcW w:w="4717" w:type="dxa"/>
            <w:gridSpan w:val="2"/>
            <w:tcBorders>
              <w:bottom w:val="single" w:sz="4" w:space="0" w:color="auto"/>
            </w:tcBorders>
            <w:noWrap/>
            <w:tcMar>
              <w:top w:w="40" w:type="dxa"/>
              <w:left w:w="40" w:type="dxa"/>
              <w:bottom w:w="40" w:type="dxa"/>
              <w:right w:w="40" w:type="dxa"/>
            </w:tcMar>
          </w:tcPr>
          <w:p w14:paraId="67C87CA4" w14:textId="77777777" w:rsidR="00737BAB" w:rsidRPr="00A76B7D" w:rsidRDefault="00737BAB" w:rsidP="00D6098E">
            <w:pPr>
              <w:keepNext/>
              <w:keepLines/>
              <w:spacing w:before="40" w:after="4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14:paraId="11628ABB" w14:textId="77777777" w:rsidR="00737BAB" w:rsidRPr="00A76B7D" w:rsidRDefault="00737BAB" w:rsidP="00D6098E">
            <w:pPr>
              <w:keepNext/>
              <w:keepLines/>
              <w:spacing w:before="40" w:after="4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14:paraId="0C70D1AC" w14:textId="77777777" w:rsidR="00737BAB" w:rsidRPr="00A76B7D" w:rsidRDefault="00737BAB" w:rsidP="00D6098E">
            <w:pPr>
              <w:keepNext/>
              <w:keepLines/>
              <w:spacing w:before="40" w:after="40"/>
              <w:jc w:val="center"/>
              <w:rPr>
                <w:rFonts w:ascii="Arial" w:hAnsi="Arial" w:cs="Arial"/>
                <w:b/>
                <w:sz w:val="22"/>
                <w:szCs w:val="22"/>
              </w:rPr>
            </w:pPr>
            <w:r>
              <w:rPr>
                <w:rFonts w:ascii="Arial" w:hAnsi="Arial"/>
                <w:b/>
                <w:sz w:val="22"/>
              </w:rPr>
              <w:t>Statut</w:t>
            </w:r>
          </w:p>
        </w:tc>
      </w:tr>
      <w:tr w:rsidR="00737BAB" w:rsidRPr="00A76B7D" w14:paraId="49683760" w14:textId="77777777" w:rsidTr="00737BAB">
        <w:tc>
          <w:tcPr>
            <w:tcW w:w="4717" w:type="dxa"/>
            <w:gridSpan w:val="2"/>
            <w:shd w:val="clear" w:color="auto" w:fill="FFFFFF" w:themeFill="background1"/>
            <w:noWrap/>
            <w:tcMar>
              <w:top w:w="40" w:type="dxa"/>
              <w:left w:w="40" w:type="dxa"/>
              <w:bottom w:w="40" w:type="dxa"/>
              <w:right w:w="40" w:type="dxa"/>
            </w:tcMar>
          </w:tcPr>
          <w:p w14:paraId="2D029188" w14:textId="77777777" w:rsidR="00737BAB" w:rsidRPr="00A76B7D" w:rsidRDefault="00737BAB" w:rsidP="00D6098E">
            <w:pPr>
              <w:pStyle w:val="Default"/>
              <w:keepNext/>
              <w:keepLines/>
              <w:spacing w:before="40" w:after="40"/>
              <w:ind w:left="113"/>
              <w:rPr>
                <w:sz w:val="22"/>
                <w:szCs w:val="22"/>
              </w:rPr>
            </w:pPr>
            <w:r>
              <w:rPr>
                <w:sz w:val="22"/>
              </w:rPr>
              <w:t>Définir la méthodologie et le plan de travail pour s’aligner sur la théorie de changement globale.</w:t>
            </w:r>
          </w:p>
        </w:tc>
        <w:tc>
          <w:tcPr>
            <w:tcW w:w="1986" w:type="dxa"/>
            <w:gridSpan w:val="2"/>
            <w:shd w:val="clear" w:color="auto" w:fill="FFFFFF" w:themeFill="background1"/>
            <w:noWrap/>
            <w:tcMar>
              <w:top w:w="40" w:type="dxa"/>
              <w:left w:w="40" w:type="dxa"/>
              <w:bottom w:w="40" w:type="dxa"/>
              <w:right w:w="40" w:type="dxa"/>
            </w:tcMar>
          </w:tcPr>
          <w:p w14:paraId="5695D24A" w14:textId="77777777" w:rsidR="00737BAB" w:rsidRPr="00A76B7D" w:rsidRDefault="00737BAB" w:rsidP="00D6098E">
            <w:pPr>
              <w:keepNext/>
              <w:keepLines/>
              <w:spacing w:before="40" w:after="40"/>
              <w:ind w:left="57"/>
              <w:rPr>
                <w:rFonts w:ascii="Arial" w:hAnsi="Arial" w:cs="Arial"/>
                <w:sz w:val="22"/>
                <w:szCs w:val="22"/>
              </w:rPr>
            </w:pPr>
            <w:r>
              <w:rPr>
                <w:rFonts w:ascii="Arial" w:hAnsi="Arial"/>
                <w:sz w:val="22"/>
              </w:rPr>
              <w:t>juin 2015</w:t>
            </w:r>
          </w:p>
        </w:tc>
        <w:tc>
          <w:tcPr>
            <w:tcW w:w="7655" w:type="dxa"/>
            <w:shd w:val="clear" w:color="auto" w:fill="FFFFFF" w:themeFill="background1"/>
            <w:noWrap/>
            <w:tcMar>
              <w:top w:w="40" w:type="dxa"/>
              <w:left w:w="40" w:type="dxa"/>
              <w:bottom w:w="40" w:type="dxa"/>
              <w:right w:w="40" w:type="dxa"/>
            </w:tcMar>
          </w:tcPr>
          <w:p w14:paraId="4CB15073" w14:textId="7B613F7A" w:rsidR="00737BAB" w:rsidRPr="00A76B7D" w:rsidRDefault="00737BAB" w:rsidP="00C701E6">
            <w:pPr>
              <w:pStyle w:val="ListParagraph"/>
              <w:keepNext/>
              <w:keepLines/>
              <w:numPr>
                <w:ilvl w:val="0"/>
                <w:numId w:val="39"/>
              </w:numPr>
              <w:spacing w:before="40" w:after="40"/>
              <w:ind w:left="470" w:hanging="357"/>
              <w:rPr>
                <w:rFonts w:ascii="Arial" w:hAnsi="Arial" w:cs="Arial"/>
                <w:sz w:val="22"/>
                <w:szCs w:val="22"/>
              </w:rPr>
            </w:pPr>
            <w:r>
              <w:rPr>
                <w:rFonts w:ascii="Arial" w:hAnsi="Arial"/>
                <w:sz w:val="22"/>
              </w:rPr>
              <w:t>La Section patrimoine culturel immatériel a consulté l’IOS, des experts</w:t>
            </w:r>
            <w:r w:rsidR="00C701E6">
              <w:rPr>
                <w:rFonts w:ascii="Arial" w:hAnsi="Arial"/>
                <w:sz w:val="22"/>
              </w:rPr>
              <w:t>-</w:t>
            </w:r>
            <w:r>
              <w:rPr>
                <w:rFonts w:ascii="Arial" w:hAnsi="Arial"/>
                <w:sz w:val="22"/>
              </w:rPr>
              <w:t>facilitateurs, a sélectionné des partenaires</w:t>
            </w:r>
            <w:r w:rsidR="00C701E6">
              <w:rPr>
                <w:rFonts w:ascii="Arial" w:hAnsi="Arial"/>
                <w:sz w:val="22"/>
              </w:rPr>
              <w:t xml:space="preserve"> nationaux et les b</w:t>
            </w:r>
            <w:r w:rsidR="0023073F">
              <w:rPr>
                <w:rFonts w:ascii="Arial" w:hAnsi="Arial"/>
                <w:sz w:val="22"/>
              </w:rPr>
              <w:t>ureaux hors</w:t>
            </w:r>
            <w:r w:rsidR="00C701E6">
              <w:rPr>
                <w:rFonts w:ascii="Arial" w:hAnsi="Arial"/>
                <w:sz w:val="22"/>
              </w:rPr>
              <w:t>-</w:t>
            </w:r>
            <w:r w:rsidR="0023073F">
              <w:rPr>
                <w:rFonts w:ascii="Arial" w:hAnsi="Arial"/>
                <w:sz w:val="22"/>
              </w:rPr>
              <w:t>S</w:t>
            </w:r>
            <w:r>
              <w:rPr>
                <w:rFonts w:ascii="Arial" w:hAnsi="Arial"/>
                <w:sz w:val="22"/>
              </w:rPr>
              <w:t xml:space="preserve">iège de l’UNESCO, qui ont fourni des informations sur la méthodologie ; l’évolution du travail est définie avec une estimation budgétaire </w:t>
            </w:r>
            <w:r w:rsidRPr="00464203">
              <w:rPr>
                <w:rFonts w:ascii="Arial" w:hAnsi="Arial"/>
                <w:sz w:val="22"/>
              </w:rPr>
              <w:t>(</w:t>
            </w:r>
            <w:r w:rsidRPr="00464203">
              <w:rPr>
                <w:rFonts w:ascii="Arial" w:hAnsi="Arial"/>
                <w:b/>
                <w:sz w:val="22"/>
              </w:rPr>
              <w:t>action terminée</w:t>
            </w:r>
            <w:r w:rsidRPr="00464203">
              <w:rPr>
                <w:rFonts w:ascii="Arial" w:hAnsi="Arial"/>
                <w:sz w:val="22"/>
              </w:rPr>
              <w:t>).</w:t>
            </w:r>
          </w:p>
        </w:tc>
      </w:tr>
      <w:tr w:rsidR="00737BAB" w:rsidRPr="00A76B7D" w14:paraId="6B24F924" w14:textId="77777777" w:rsidTr="00737BAB">
        <w:tc>
          <w:tcPr>
            <w:tcW w:w="4717" w:type="dxa"/>
            <w:gridSpan w:val="2"/>
            <w:noWrap/>
            <w:tcMar>
              <w:top w:w="40" w:type="dxa"/>
              <w:left w:w="40" w:type="dxa"/>
              <w:bottom w:w="40" w:type="dxa"/>
              <w:right w:w="40" w:type="dxa"/>
            </w:tcMar>
          </w:tcPr>
          <w:p w14:paraId="3E21316C" w14:textId="3434BD9B" w:rsidR="00737BAB" w:rsidRPr="00A76B7D" w:rsidRDefault="00737BAB" w:rsidP="00147D32">
            <w:pPr>
              <w:keepNext/>
              <w:keepLines/>
              <w:spacing w:before="40" w:after="40"/>
              <w:ind w:left="113"/>
              <w:rPr>
                <w:rFonts w:ascii="Arial" w:hAnsi="Arial" w:cs="Arial"/>
                <w:sz w:val="22"/>
                <w:szCs w:val="22"/>
              </w:rPr>
            </w:pPr>
            <w:r>
              <w:rPr>
                <w:rFonts w:ascii="Arial" w:hAnsi="Arial"/>
                <w:sz w:val="22"/>
              </w:rPr>
              <w:t xml:space="preserve">Mettre en </w:t>
            </w:r>
            <w:r w:rsidR="00C701E6">
              <w:rPr>
                <w:rFonts w:ascii="Arial" w:hAnsi="Arial"/>
                <w:sz w:val="22"/>
              </w:rPr>
              <w:t>place d’</w:t>
            </w:r>
            <w:r>
              <w:rPr>
                <w:rFonts w:ascii="Arial" w:hAnsi="Arial"/>
                <w:sz w:val="22"/>
              </w:rPr>
              <w:t>un mécanisme.</w:t>
            </w:r>
          </w:p>
        </w:tc>
        <w:tc>
          <w:tcPr>
            <w:tcW w:w="1986" w:type="dxa"/>
            <w:gridSpan w:val="2"/>
            <w:noWrap/>
            <w:tcMar>
              <w:top w:w="40" w:type="dxa"/>
              <w:left w:w="40" w:type="dxa"/>
              <w:bottom w:w="40" w:type="dxa"/>
              <w:right w:w="40" w:type="dxa"/>
            </w:tcMar>
          </w:tcPr>
          <w:p w14:paraId="1A71C405" w14:textId="77777777" w:rsidR="00737BAB" w:rsidRPr="00A76B7D" w:rsidRDefault="00737BAB" w:rsidP="00147D32">
            <w:pPr>
              <w:keepNext/>
              <w:keepLines/>
              <w:spacing w:before="40" w:after="40"/>
              <w:ind w:left="57"/>
              <w:rPr>
                <w:rFonts w:ascii="Arial" w:hAnsi="Arial" w:cs="Arial"/>
                <w:sz w:val="22"/>
                <w:szCs w:val="22"/>
              </w:rPr>
            </w:pPr>
            <w:r>
              <w:rPr>
                <w:rFonts w:ascii="Arial" w:hAnsi="Arial"/>
                <w:sz w:val="22"/>
              </w:rPr>
              <w:t>2016</w:t>
            </w:r>
          </w:p>
        </w:tc>
        <w:tc>
          <w:tcPr>
            <w:tcW w:w="7655" w:type="dxa"/>
            <w:noWrap/>
            <w:tcMar>
              <w:top w:w="40" w:type="dxa"/>
              <w:left w:w="40" w:type="dxa"/>
              <w:bottom w:w="40" w:type="dxa"/>
              <w:right w:w="40" w:type="dxa"/>
            </w:tcMar>
          </w:tcPr>
          <w:p w14:paraId="1979A7BF" w14:textId="296C71E7" w:rsidR="00737BAB" w:rsidRPr="00A76B7D" w:rsidRDefault="00737BAB" w:rsidP="00147D32">
            <w:pPr>
              <w:pStyle w:val="ListParagraph"/>
              <w:keepNext/>
              <w:keepLines/>
              <w:numPr>
                <w:ilvl w:val="0"/>
                <w:numId w:val="39"/>
              </w:numPr>
              <w:spacing w:before="40" w:after="40"/>
              <w:ind w:left="470" w:hanging="357"/>
              <w:rPr>
                <w:rFonts w:ascii="Arial" w:hAnsi="Arial" w:cs="Arial"/>
                <w:sz w:val="22"/>
                <w:szCs w:val="22"/>
              </w:rPr>
            </w:pPr>
            <w:r>
              <w:rPr>
                <w:rFonts w:ascii="Arial" w:hAnsi="Arial"/>
                <w:sz w:val="22"/>
              </w:rPr>
              <w:t xml:space="preserve">Le mécanisme </w:t>
            </w:r>
            <w:r w:rsidR="0023073F">
              <w:rPr>
                <w:rFonts w:ascii="Arial" w:hAnsi="Arial"/>
                <w:sz w:val="22"/>
              </w:rPr>
              <w:t>est en train d’être mis en place</w:t>
            </w:r>
            <w:r>
              <w:rPr>
                <w:rFonts w:ascii="Arial" w:hAnsi="Arial"/>
                <w:sz w:val="22"/>
              </w:rPr>
              <w:t>.</w:t>
            </w:r>
          </w:p>
        </w:tc>
      </w:tr>
      <w:tr w:rsidR="00737BAB" w:rsidRPr="00A76B7D" w14:paraId="5ADAF95B" w14:textId="77777777" w:rsidTr="00737BAB">
        <w:tc>
          <w:tcPr>
            <w:tcW w:w="14358" w:type="dxa"/>
            <w:gridSpan w:val="5"/>
            <w:shd w:val="clear" w:color="auto" w:fill="E6E6E6"/>
            <w:noWrap/>
            <w:tcMar>
              <w:top w:w="40" w:type="dxa"/>
              <w:left w:w="40" w:type="dxa"/>
              <w:bottom w:w="40" w:type="dxa"/>
              <w:right w:w="40" w:type="dxa"/>
            </w:tcMar>
          </w:tcPr>
          <w:p w14:paraId="0476C11C" w14:textId="77777777" w:rsidR="00737BAB" w:rsidRPr="00A76B7D" w:rsidRDefault="00737BAB" w:rsidP="00147D32">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Recommandation 7 : </w:t>
            </w:r>
            <w:r w:rsidRPr="00497B01">
              <w:rPr>
                <w:rFonts w:ascii="Arial" w:hAnsi="Arial"/>
                <w:b/>
                <w:sz w:val="22"/>
              </w:rPr>
              <w:t>Revoir (et adapter si nécessaire) le contenu et le format de la stratégie de renforcement des capacités afin de s</w:t>
            </w:r>
            <w:r>
              <w:rPr>
                <w:rFonts w:ascii="Arial" w:hAnsi="Arial"/>
                <w:b/>
                <w:sz w:val="22"/>
              </w:rPr>
              <w:t>’</w:t>
            </w:r>
            <w:r w:rsidRPr="00497B01">
              <w:rPr>
                <w:rFonts w:ascii="Arial" w:hAnsi="Arial"/>
                <w:b/>
                <w:sz w:val="22"/>
              </w:rPr>
              <w:t>assurer qu</w:t>
            </w:r>
            <w:r>
              <w:rPr>
                <w:rFonts w:ascii="Arial" w:hAnsi="Arial"/>
                <w:b/>
                <w:sz w:val="22"/>
              </w:rPr>
              <w:t>’</w:t>
            </w:r>
            <w:r w:rsidRPr="00497B01">
              <w:rPr>
                <w:rFonts w:ascii="Arial" w:hAnsi="Arial"/>
                <w:b/>
                <w:sz w:val="22"/>
              </w:rPr>
              <w:t>il répond aux grands défis de la mise en œuvre au niveau national.</w:t>
            </w:r>
          </w:p>
        </w:tc>
      </w:tr>
      <w:tr w:rsidR="00737BAB" w:rsidRPr="00A76B7D" w14:paraId="2A7CE4C5" w14:textId="77777777" w:rsidTr="00737BAB">
        <w:tc>
          <w:tcPr>
            <w:tcW w:w="14358" w:type="dxa"/>
            <w:gridSpan w:val="5"/>
            <w:noWrap/>
            <w:tcMar>
              <w:top w:w="40" w:type="dxa"/>
              <w:left w:w="40" w:type="dxa"/>
              <w:bottom w:w="40" w:type="dxa"/>
              <w:right w:w="40" w:type="dxa"/>
            </w:tcMar>
          </w:tcPr>
          <w:p w14:paraId="1D9CFC04" w14:textId="77777777" w:rsidR="00737BAB" w:rsidRPr="00A76B7D" w:rsidRDefault="00737BAB" w:rsidP="00737BAB">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Des réunions d’examen se déroulent de façon régulière afin d’évaluer le contenu et le format de la stratégie de renforcement des capacités, et notamment pour l’adapter à l’évolution des besoins au niveau national.</w:t>
            </w:r>
          </w:p>
        </w:tc>
      </w:tr>
      <w:tr w:rsidR="00737BAB" w:rsidRPr="00A76B7D" w14:paraId="078E1775" w14:textId="77777777" w:rsidTr="00737BAB">
        <w:tc>
          <w:tcPr>
            <w:tcW w:w="4717" w:type="dxa"/>
            <w:gridSpan w:val="2"/>
            <w:noWrap/>
            <w:tcMar>
              <w:top w:w="40" w:type="dxa"/>
              <w:left w:w="40" w:type="dxa"/>
              <w:bottom w:w="40" w:type="dxa"/>
              <w:right w:w="40" w:type="dxa"/>
            </w:tcMar>
          </w:tcPr>
          <w:p w14:paraId="14611FB4"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6D09F077"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315AE849"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50F064D8" w14:textId="77777777" w:rsidTr="00737BAB">
        <w:tc>
          <w:tcPr>
            <w:tcW w:w="4717" w:type="dxa"/>
            <w:gridSpan w:val="2"/>
            <w:noWrap/>
            <w:tcMar>
              <w:top w:w="40" w:type="dxa"/>
              <w:left w:w="40" w:type="dxa"/>
              <w:bottom w:w="40" w:type="dxa"/>
              <w:right w:w="40" w:type="dxa"/>
            </w:tcMar>
          </w:tcPr>
          <w:p w14:paraId="71269C4C" w14:textId="77777777" w:rsidR="00737BAB" w:rsidRPr="00A76B7D" w:rsidRDefault="00737BAB" w:rsidP="00737BAB">
            <w:pPr>
              <w:pStyle w:val="Default"/>
              <w:spacing w:before="120" w:after="120"/>
              <w:ind w:left="113" w:right="57"/>
              <w:rPr>
                <w:sz w:val="22"/>
                <w:szCs w:val="22"/>
              </w:rPr>
            </w:pPr>
            <w:r>
              <w:rPr>
                <w:sz w:val="22"/>
              </w:rPr>
              <w:t>Les adaptations initiales reflétées dans le cadre logique mis à jour basé sur l’évaluation IOS.</w:t>
            </w:r>
          </w:p>
        </w:tc>
        <w:tc>
          <w:tcPr>
            <w:tcW w:w="1986" w:type="dxa"/>
            <w:gridSpan w:val="2"/>
            <w:noWrap/>
            <w:tcMar>
              <w:top w:w="40" w:type="dxa"/>
              <w:left w:w="40" w:type="dxa"/>
              <w:bottom w:w="40" w:type="dxa"/>
              <w:right w:w="40" w:type="dxa"/>
            </w:tcMar>
          </w:tcPr>
          <w:p w14:paraId="714703AC"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4C64C542"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Les projets évolutifs et finaux de modèles de projets de renforcement des capacités ont été révisés à l’aide d’un cadre logique actualisé afin d’y inclure les informations sur les principales difficultés de mise en œuvre au niveau national.</w:t>
            </w:r>
          </w:p>
        </w:tc>
      </w:tr>
      <w:tr w:rsidR="00737BAB" w:rsidRPr="00A76B7D" w14:paraId="5B9214CF" w14:textId="77777777" w:rsidTr="00737BAB">
        <w:tc>
          <w:tcPr>
            <w:tcW w:w="4717" w:type="dxa"/>
            <w:gridSpan w:val="2"/>
            <w:noWrap/>
            <w:tcMar>
              <w:top w:w="40" w:type="dxa"/>
              <w:left w:w="40" w:type="dxa"/>
              <w:bottom w:w="40" w:type="dxa"/>
              <w:right w:w="40" w:type="dxa"/>
            </w:tcMar>
          </w:tcPr>
          <w:p w14:paraId="31599394" w14:textId="7598E2CE" w:rsidR="00737BAB" w:rsidRPr="00A76B7D" w:rsidRDefault="00737BAB" w:rsidP="00737BAB">
            <w:pPr>
              <w:pStyle w:val="Default"/>
              <w:spacing w:before="120" w:after="120"/>
              <w:ind w:left="113" w:right="57"/>
              <w:rPr>
                <w:sz w:val="22"/>
                <w:szCs w:val="22"/>
              </w:rPr>
            </w:pPr>
            <w:r>
              <w:rPr>
                <w:sz w:val="22"/>
              </w:rPr>
              <w:t>Les réunions d’examen et d’actualisation des compétences avec des fac</w:t>
            </w:r>
            <w:r w:rsidR="00121489">
              <w:rPr>
                <w:sz w:val="22"/>
              </w:rPr>
              <w:t>ilitateurs et des bureaux hors-</w:t>
            </w:r>
            <w:r w:rsidR="003A5641">
              <w:rPr>
                <w:sz w:val="22"/>
              </w:rPr>
              <w:t>Siège</w:t>
            </w:r>
            <w:r>
              <w:rPr>
                <w:sz w:val="22"/>
              </w:rPr>
              <w:t>.</w:t>
            </w:r>
          </w:p>
        </w:tc>
        <w:tc>
          <w:tcPr>
            <w:tcW w:w="1986" w:type="dxa"/>
            <w:gridSpan w:val="2"/>
            <w:noWrap/>
            <w:tcMar>
              <w:top w:w="40" w:type="dxa"/>
              <w:left w:w="40" w:type="dxa"/>
              <w:bottom w:w="40" w:type="dxa"/>
              <w:right w:w="40" w:type="dxa"/>
            </w:tcMar>
          </w:tcPr>
          <w:p w14:paraId="547F57D3"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3459294C"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Le Secrétariat a reçu des recommandations d’Afrique, des régions arabes, d’Asie-Pacifique, d’Asie centrale et d’Europe, qui devront être révisées ultérieurement.</w:t>
            </w:r>
          </w:p>
        </w:tc>
      </w:tr>
      <w:tr w:rsidR="00737BAB" w:rsidRPr="00A76B7D" w14:paraId="4805966D" w14:textId="77777777" w:rsidTr="00737BAB">
        <w:tc>
          <w:tcPr>
            <w:tcW w:w="4717" w:type="dxa"/>
            <w:gridSpan w:val="2"/>
            <w:noWrap/>
            <w:tcMar>
              <w:top w:w="40" w:type="dxa"/>
              <w:left w:w="40" w:type="dxa"/>
              <w:bottom w:w="40" w:type="dxa"/>
              <w:right w:w="40" w:type="dxa"/>
            </w:tcMar>
          </w:tcPr>
          <w:p w14:paraId="0E353EFD" w14:textId="77777777" w:rsidR="00737BAB" w:rsidRPr="00A76B7D" w:rsidRDefault="00737BAB" w:rsidP="00737BAB">
            <w:pPr>
              <w:pStyle w:val="Default"/>
              <w:spacing w:before="120" w:after="120"/>
              <w:ind w:left="113" w:right="57"/>
              <w:rPr>
                <w:sz w:val="22"/>
                <w:szCs w:val="22"/>
              </w:rPr>
            </w:pPr>
            <w:r>
              <w:rPr>
                <w:sz w:val="22"/>
              </w:rPr>
              <w:t xml:space="preserve">Tirer des enseignements d’une analyse consolidée de tous les rapports des facilitateurs par région. </w:t>
            </w:r>
          </w:p>
        </w:tc>
        <w:tc>
          <w:tcPr>
            <w:tcW w:w="1986" w:type="dxa"/>
            <w:gridSpan w:val="2"/>
            <w:noWrap/>
            <w:tcMar>
              <w:top w:w="40" w:type="dxa"/>
              <w:left w:w="40" w:type="dxa"/>
              <w:bottom w:w="40" w:type="dxa"/>
              <w:right w:w="40" w:type="dxa"/>
            </w:tcMar>
          </w:tcPr>
          <w:p w14:paraId="2BBE3811" w14:textId="77DA3BE1" w:rsidR="00737BAB" w:rsidRPr="00A76B7D" w:rsidRDefault="003A5641" w:rsidP="00737BAB">
            <w:pPr>
              <w:spacing w:before="120" w:after="120"/>
              <w:ind w:left="57"/>
              <w:rPr>
                <w:rFonts w:ascii="Arial" w:hAnsi="Arial" w:cs="Arial"/>
                <w:sz w:val="22"/>
                <w:szCs w:val="22"/>
              </w:rPr>
            </w:pPr>
            <w:r>
              <w:rPr>
                <w:rFonts w:ascii="Arial" w:hAnsi="Arial"/>
                <w:sz w:val="22"/>
              </w:rPr>
              <w:t>2016</w:t>
            </w:r>
          </w:p>
        </w:tc>
        <w:tc>
          <w:tcPr>
            <w:tcW w:w="7655" w:type="dxa"/>
            <w:noWrap/>
            <w:tcMar>
              <w:top w:w="40" w:type="dxa"/>
              <w:left w:w="40" w:type="dxa"/>
              <w:bottom w:w="40" w:type="dxa"/>
              <w:right w:w="40" w:type="dxa"/>
            </w:tcMar>
          </w:tcPr>
          <w:p w14:paraId="3B79BAF1" w14:textId="4D8BD6EF" w:rsidR="00737BAB" w:rsidRPr="00A76B7D" w:rsidRDefault="00737BAB" w:rsidP="003A5641">
            <w:pPr>
              <w:pStyle w:val="ListParagraph"/>
              <w:numPr>
                <w:ilvl w:val="0"/>
                <w:numId w:val="39"/>
              </w:numPr>
              <w:spacing w:before="120" w:after="120"/>
              <w:ind w:left="470" w:hanging="357"/>
              <w:rPr>
                <w:rFonts w:ascii="Arial" w:hAnsi="Arial" w:cs="Arial"/>
                <w:sz w:val="22"/>
                <w:szCs w:val="22"/>
              </w:rPr>
            </w:pPr>
            <w:r>
              <w:rPr>
                <w:rFonts w:ascii="Arial" w:hAnsi="Arial"/>
                <w:sz w:val="22"/>
              </w:rPr>
              <w:t>Une analyse interrég</w:t>
            </w:r>
            <w:r w:rsidR="00121489">
              <w:rPr>
                <w:rFonts w:ascii="Arial" w:hAnsi="Arial"/>
                <w:sz w:val="22"/>
              </w:rPr>
              <w:t>ionale des rapports des experts-</w:t>
            </w:r>
            <w:r>
              <w:rPr>
                <w:rFonts w:ascii="Arial" w:hAnsi="Arial"/>
                <w:sz w:val="22"/>
              </w:rPr>
              <w:t xml:space="preserve">facilitateurs </w:t>
            </w:r>
            <w:r w:rsidR="003A5641">
              <w:rPr>
                <w:rFonts w:ascii="Arial" w:hAnsi="Arial"/>
                <w:sz w:val="22"/>
              </w:rPr>
              <w:t xml:space="preserve">est en cours de finalisation et sera communiquée aux experts-facilitateurs. </w:t>
            </w:r>
          </w:p>
        </w:tc>
      </w:tr>
      <w:tr w:rsidR="00737BAB" w:rsidRPr="00A76B7D" w14:paraId="66F3178B" w14:textId="77777777" w:rsidTr="00737BAB">
        <w:tc>
          <w:tcPr>
            <w:tcW w:w="4717" w:type="dxa"/>
            <w:gridSpan w:val="2"/>
            <w:noWrap/>
            <w:tcMar>
              <w:top w:w="40" w:type="dxa"/>
              <w:left w:w="40" w:type="dxa"/>
              <w:bottom w:w="40" w:type="dxa"/>
              <w:right w:w="40" w:type="dxa"/>
            </w:tcMar>
          </w:tcPr>
          <w:p w14:paraId="1968BC80" w14:textId="77777777" w:rsidR="00737BAB" w:rsidRPr="00A76B7D" w:rsidRDefault="00737BAB" w:rsidP="00737BAB">
            <w:pPr>
              <w:pStyle w:val="Default"/>
              <w:spacing w:before="120" w:after="120"/>
              <w:ind w:left="113" w:right="57"/>
              <w:rPr>
                <w:sz w:val="22"/>
                <w:szCs w:val="22"/>
              </w:rPr>
            </w:pPr>
            <w:r>
              <w:rPr>
                <w:sz w:val="22"/>
              </w:rPr>
              <w:t>Des activités particulières et des provisions financières pour les évaluations de politiques intégrées dans le programme de renforcement des capacités.</w:t>
            </w:r>
          </w:p>
        </w:tc>
        <w:tc>
          <w:tcPr>
            <w:tcW w:w="1986" w:type="dxa"/>
            <w:gridSpan w:val="2"/>
            <w:noWrap/>
            <w:tcMar>
              <w:top w:w="40" w:type="dxa"/>
              <w:left w:w="40" w:type="dxa"/>
              <w:bottom w:w="40" w:type="dxa"/>
              <w:right w:w="40" w:type="dxa"/>
            </w:tcMar>
          </w:tcPr>
          <w:p w14:paraId="6214395D"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3CE98DD6"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Le budget de nouveaux projets de renforcement des capacités inclut systématiquement des provisions pour les évaluations/le développement de politiques.</w:t>
            </w:r>
          </w:p>
        </w:tc>
      </w:tr>
      <w:tr w:rsidR="00737BAB" w:rsidRPr="00A76B7D" w14:paraId="3925E3B4" w14:textId="77777777" w:rsidTr="00737BAB">
        <w:tc>
          <w:tcPr>
            <w:tcW w:w="4717" w:type="dxa"/>
            <w:gridSpan w:val="2"/>
            <w:noWrap/>
            <w:tcMar>
              <w:top w:w="40" w:type="dxa"/>
              <w:left w:w="40" w:type="dxa"/>
              <w:bottom w:w="40" w:type="dxa"/>
              <w:right w:w="40" w:type="dxa"/>
            </w:tcMar>
          </w:tcPr>
          <w:p w14:paraId="16DB104E" w14:textId="77777777" w:rsidR="00737BAB" w:rsidRPr="00A76B7D" w:rsidRDefault="00737BAB" w:rsidP="00737BAB">
            <w:pPr>
              <w:pStyle w:val="Default"/>
              <w:spacing w:before="120" w:after="120"/>
              <w:ind w:left="113" w:right="57"/>
              <w:rPr>
                <w:sz w:val="22"/>
                <w:szCs w:val="22"/>
              </w:rPr>
            </w:pPr>
            <w:r>
              <w:rPr>
                <w:sz w:val="22"/>
              </w:rPr>
              <w:t>Introduire de nouvelles unités sur le genre, le développement durable et le développement des politiques.</w:t>
            </w:r>
          </w:p>
        </w:tc>
        <w:tc>
          <w:tcPr>
            <w:tcW w:w="1986" w:type="dxa"/>
            <w:gridSpan w:val="2"/>
            <w:noWrap/>
            <w:tcMar>
              <w:top w:w="40" w:type="dxa"/>
              <w:left w:w="40" w:type="dxa"/>
              <w:bottom w:w="40" w:type="dxa"/>
              <w:right w:w="40" w:type="dxa"/>
            </w:tcMar>
          </w:tcPr>
          <w:p w14:paraId="6D0D4DE2" w14:textId="3671FB39" w:rsidR="00737BAB" w:rsidRPr="00A76B7D" w:rsidRDefault="00121489" w:rsidP="00737BAB">
            <w:pPr>
              <w:spacing w:before="120" w:after="120"/>
              <w:ind w:left="57"/>
              <w:rPr>
                <w:rFonts w:ascii="Arial" w:hAnsi="Arial" w:cs="Arial"/>
                <w:sz w:val="22"/>
                <w:szCs w:val="22"/>
              </w:rPr>
            </w:pPr>
            <w:r>
              <w:rPr>
                <w:rFonts w:ascii="Arial" w:hAnsi="Arial"/>
                <w:sz w:val="22"/>
              </w:rPr>
              <w:t>Février 2016</w:t>
            </w:r>
          </w:p>
        </w:tc>
        <w:tc>
          <w:tcPr>
            <w:tcW w:w="7655" w:type="dxa"/>
            <w:noWrap/>
            <w:tcMar>
              <w:top w:w="40" w:type="dxa"/>
              <w:left w:w="40" w:type="dxa"/>
              <w:bottom w:w="40" w:type="dxa"/>
              <w:right w:w="40" w:type="dxa"/>
            </w:tcMar>
          </w:tcPr>
          <w:p w14:paraId="3271D73B" w14:textId="77777777" w:rsidR="00737BAB" w:rsidRPr="00A76B7D" w:rsidRDefault="00737BAB" w:rsidP="002B51D8">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Les nouvelles unités de formation sur le genre (unités 48 et 49), ainsi qu’une brochure d’informations portant sur le sujet en question est disponible depuis juin 2015.</w:t>
            </w:r>
          </w:p>
          <w:p w14:paraId="545ABD49" w14:textId="52248706" w:rsidR="00737BAB" w:rsidRPr="00A76B7D" w:rsidRDefault="00737BAB" w:rsidP="002B51D8">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 xml:space="preserve">Une nouvelle unité de formation relative au développement durable </w:t>
            </w:r>
            <w:r w:rsidR="008F080B">
              <w:rPr>
                <w:rFonts w:ascii="Arial" w:hAnsi="Arial"/>
                <w:sz w:val="22"/>
              </w:rPr>
              <w:t>a été révisée conformément au Programme de développement durable à l’horizon 2030 des Nations Unies, et est disponible depuis février 2016.</w:t>
            </w:r>
          </w:p>
          <w:p w14:paraId="381C84F8" w14:textId="7CB32857" w:rsidR="00737BAB" w:rsidRPr="00A76B7D" w:rsidRDefault="00737BAB" w:rsidP="002B51D8">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 xml:space="preserve">Une unité de formation relative au développement de politiques </w:t>
            </w:r>
            <w:r w:rsidR="00407D01">
              <w:rPr>
                <w:rFonts w:ascii="Arial" w:hAnsi="Arial"/>
                <w:sz w:val="22"/>
              </w:rPr>
              <w:t>(unité 55) a été préparée et est disponible depuis février 2016 (</w:t>
            </w:r>
            <w:r w:rsidR="00407D01" w:rsidRPr="00407D01">
              <w:rPr>
                <w:rFonts w:ascii="Arial" w:hAnsi="Arial"/>
                <w:b/>
                <w:sz w:val="22"/>
              </w:rPr>
              <w:t>action terminée</w:t>
            </w:r>
            <w:r w:rsidR="00407D01">
              <w:rPr>
                <w:rFonts w:ascii="Arial" w:hAnsi="Arial"/>
                <w:sz w:val="22"/>
              </w:rPr>
              <w:t>).</w:t>
            </w:r>
          </w:p>
        </w:tc>
      </w:tr>
      <w:tr w:rsidR="00737BAB" w:rsidRPr="00A76B7D" w14:paraId="14BCFC0D" w14:textId="77777777" w:rsidTr="00737BAB">
        <w:tc>
          <w:tcPr>
            <w:tcW w:w="14358" w:type="dxa"/>
            <w:gridSpan w:val="5"/>
            <w:shd w:val="clear" w:color="auto" w:fill="E6E6E6"/>
            <w:noWrap/>
            <w:tcMar>
              <w:top w:w="40" w:type="dxa"/>
              <w:left w:w="40" w:type="dxa"/>
              <w:bottom w:w="40" w:type="dxa"/>
              <w:right w:w="40" w:type="dxa"/>
            </w:tcMar>
          </w:tcPr>
          <w:p w14:paraId="7D9D4069" w14:textId="77777777" w:rsidR="00737BAB" w:rsidRPr="00A76B7D" w:rsidRDefault="00737BAB" w:rsidP="002B51D8">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Recommandation 8 : </w:t>
            </w:r>
            <w:r w:rsidRPr="00497B01">
              <w:rPr>
                <w:rFonts w:ascii="Arial" w:hAnsi="Arial"/>
                <w:b/>
                <w:sz w:val="22"/>
              </w:rPr>
              <w:t>Promouvoir la LSU en la repositionnant en tant qu</w:t>
            </w:r>
            <w:r>
              <w:rPr>
                <w:rFonts w:ascii="Arial" w:hAnsi="Arial"/>
                <w:b/>
                <w:sz w:val="22"/>
              </w:rPr>
              <w:t>’</w:t>
            </w:r>
            <w:r w:rsidRPr="00497B01">
              <w:rPr>
                <w:rFonts w:ascii="Arial" w:hAnsi="Arial"/>
                <w:b/>
                <w:sz w:val="22"/>
              </w:rPr>
              <w:t>expression de l</w:t>
            </w:r>
            <w:r>
              <w:rPr>
                <w:rFonts w:ascii="Arial" w:hAnsi="Arial"/>
                <w:b/>
                <w:sz w:val="22"/>
              </w:rPr>
              <w:t>’</w:t>
            </w:r>
            <w:r w:rsidRPr="00497B01">
              <w:rPr>
                <w:rFonts w:ascii="Arial" w:hAnsi="Arial"/>
                <w:b/>
                <w:sz w:val="22"/>
              </w:rPr>
              <w:t>engagement des États parties pour la sauvegarde et la mise en œuvre de la Convention, et reconnaitre plus particulièrement les États parties qui soumettent des candidatures à la LSU.</w:t>
            </w:r>
          </w:p>
        </w:tc>
      </w:tr>
      <w:tr w:rsidR="00737BAB" w:rsidRPr="00A76B7D" w14:paraId="6ED49C0F" w14:textId="77777777" w:rsidTr="00737BAB">
        <w:tc>
          <w:tcPr>
            <w:tcW w:w="14358" w:type="dxa"/>
            <w:gridSpan w:val="5"/>
            <w:noWrap/>
            <w:tcMar>
              <w:top w:w="40" w:type="dxa"/>
              <w:left w:w="40" w:type="dxa"/>
              <w:bottom w:w="40" w:type="dxa"/>
              <w:right w:w="40" w:type="dxa"/>
            </w:tcMar>
          </w:tcPr>
          <w:p w14:paraId="311E3499" w14:textId="77777777" w:rsidR="00737BAB" w:rsidRPr="00A76B7D" w:rsidRDefault="00737BAB" w:rsidP="002B51D8">
            <w:pPr>
              <w:keepNext/>
              <w:keepLines/>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La publication de la version numérique de la LSU est destinée à mettre l’accent sur son importance. Toutes les opportunités de communication, média et discours sont saisies afin de souligner son importance.</w:t>
            </w:r>
          </w:p>
        </w:tc>
      </w:tr>
      <w:tr w:rsidR="00737BAB" w:rsidRPr="00A76B7D" w14:paraId="0FE988FD" w14:textId="77777777" w:rsidTr="00737BAB">
        <w:tc>
          <w:tcPr>
            <w:tcW w:w="4717" w:type="dxa"/>
            <w:gridSpan w:val="2"/>
            <w:noWrap/>
            <w:tcMar>
              <w:top w:w="40" w:type="dxa"/>
              <w:left w:w="40" w:type="dxa"/>
              <w:bottom w:w="40" w:type="dxa"/>
              <w:right w:w="40" w:type="dxa"/>
            </w:tcMar>
          </w:tcPr>
          <w:p w14:paraId="6D73DA6A"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108F152A"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5C2B9B16" w14:textId="77777777" w:rsidR="00737BAB" w:rsidRPr="00A76B7D" w:rsidRDefault="00737BAB" w:rsidP="002B51D8">
            <w:pPr>
              <w:keepNext/>
              <w:keepLines/>
              <w:spacing w:before="120" w:after="120"/>
              <w:jc w:val="center"/>
              <w:rPr>
                <w:rFonts w:ascii="Arial" w:hAnsi="Arial" w:cs="Arial"/>
                <w:b/>
                <w:sz w:val="22"/>
                <w:szCs w:val="22"/>
              </w:rPr>
            </w:pPr>
            <w:r>
              <w:rPr>
                <w:rFonts w:ascii="Arial" w:hAnsi="Arial"/>
                <w:b/>
                <w:sz w:val="22"/>
              </w:rPr>
              <w:t>Statut</w:t>
            </w:r>
          </w:p>
        </w:tc>
      </w:tr>
      <w:tr w:rsidR="00737BAB" w:rsidRPr="00A76B7D" w14:paraId="1B83D808" w14:textId="77777777" w:rsidTr="00737BAB">
        <w:tc>
          <w:tcPr>
            <w:tcW w:w="4717" w:type="dxa"/>
            <w:gridSpan w:val="2"/>
            <w:noWrap/>
            <w:tcMar>
              <w:top w:w="40" w:type="dxa"/>
              <w:left w:w="40" w:type="dxa"/>
              <w:bottom w:w="40" w:type="dxa"/>
              <w:right w:w="40" w:type="dxa"/>
            </w:tcMar>
          </w:tcPr>
          <w:p w14:paraId="0D391E44" w14:textId="77777777" w:rsidR="00737BAB" w:rsidRPr="00A76B7D" w:rsidRDefault="00737BAB" w:rsidP="00737BAB">
            <w:pPr>
              <w:pStyle w:val="Default"/>
              <w:spacing w:before="120" w:after="120"/>
              <w:ind w:left="113" w:right="57"/>
              <w:rPr>
                <w:sz w:val="22"/>
                <w:szCs w:val="22"/>
              </w:rPr>
            </w:pPr>
            <w:r>
              <w:rPr>
                <w:sz w:val="22"/>
              </w:rPr>
              <w:t xml:space="preserve">Arrêter la publication de brochure d’éléments inscrits annuellement et publier des brochures uniquement sur la Liste de sauvegarde urgente et des meilleures pratiques de sauvegarde. </w:t>
            </w:r>
          </w:p>
        </w:tc>
        <w:tc>
          <w:tcPr>
            <w:tcW w:w="1986" w:type="dxa"/>
            <w:gridSpan w:val="2"/>
            <w:noWrap/>
            <w:tcMar>
              <w:top w:w="40" w:type="dxa"/>
              <w:left w:w="40" w:type="dxa"/>
              <w:bottom w:w="40" w:type="dxa"/>
              <w:right w:w="40" w:type="dxa"/>
            </w:tcMar>
          </w:tcPr>
          <w:p w14:paraId="634ACDB3"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47C2324E"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La publication annuelle d’éléments inscrits a été arrêtée.</w:t>
            </w:r>
          </w:p>
          <w:p w14:paraId="0010B1DB" w14:textId="048B815A" w:rsidR="00737BAB" w:rsidRPr="00A76B7D" w:rsidRDefault="00737BAB" w:rsidP="002B51D8">
            <w:pPr>
              <w:pStyle w:val="ListParagraph"/>
              <w:numPr>
                <w:ilvl w:val="0"/>
                <w:numId w:val="39"/>
              </w:numPr>
              <w:spacing w:before="120" w:after="120"/>
              <w:ind w:left="470" w:hanging="357"/>
              <w:rPr>
                <w:rFonts w:ascii="Arial" w:hAnsi="Arial" w:cs="Arial"/>
                <w:sz w:val="22"/>
                <w:szCs w:val="22"/>
              </w:rPr>
            </w:pPr>
            <w:r>
              <w:rPr>
                <w:rFonts w:ascii="Arial" w:hAnsi="Arial"/>
                <w:sz w:val="22"/>
              </w:rPr>
              <w:t xml:space="preserve">Des brochures sur la LSU et le BSP </w:t>
            </w:r>
            <w:r w:rsidR="002B51D8">
              <w:rPr>
                <w:rFonts w:ascii="Arial" w:hAnsi="Arial"/>
                <w:sz w:val="22"/>
              </w:rPr>
              <w:t>pour les éléments inscrits et sélectionnés en 2012 et en 2013 ont été publiées électroniquement en 2014.</w:t>
            </w:r>
            <w:r w:rsidR="00B11673">
              <w:rPr>
                <w:rFonts w:ascii="Arial" w:hAnsi="Arial"/>
                <w:sz w:val="22"/>
              </w:rPr>
              <w:t xml:space="preserve"> Les brochures électroniques sur la LSU et le BSP pour les éléments inscrits et sélectionnés en 2014 et 2015 sont en cours de préparation. </w:t>
            </w:r>
          </w:p>
        </w:tc>
      </w:tr>
      <w:tr w:rsidR="00737BAB" w:rsidRPr="00A76B7D" w14:paraId="3666FCAB" w14:textId="77777777" w:rsidTr="00737BAB">
        <w:tc>
          <w:tcPr>
            <w:tcW w:w="4717" w:type="dxa"/>
            <w:gridSpan w:val="2"/>
            <w:noWrap/>
            <w:tcMar>
              <w:top w:w="40" w:type="dxa"/>
              <w:left w:w="40" w:type="dxa"/>
              <w:bottom w:w="40" w:type="dxa"/>
              <w:right w:w="40" w:type="dxa"/>
            </w:tcMar>
          </w:tcPr>
          <w:p w14:paraId="2C036A99"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L’objectif de la LSU, de l’AI et du RL est souligné dans les présentations, les discours, les interviews avec les médias, les kits médias, etc.</w:t>
            </w:r>
          </w:p>
        </w:tc>
        <w:tc>
          <w:tcPr>
            <w:tcW w:w="1986" w:type="dxa"/>
            <w:gridSpan w:val="2"/>
            <w:noWrap/>
            <w:tcMar>
              <w:top w:w="40" w:type="dxa"/>
              <w:left w:w="40" w:type="dxa"/>
              <w:bottom w:w="40" w:type="dxa"/>
              <w:right w:w="40" w:type="dxa"/>
            </w:tcMar>
          </w:tcPr>
          <w:p w14:paraId="1A1D3FD5"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6F269675"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L’objectif de la LSU, de l’IA et du RL est souligné dans des présentations, des discours, etc.</w:t>
            </w:r>
          </w:p>
        </w:tc>
      </w:tr>
      <w:tr w:rsidR="00737BAB" w:rsidRPr="00A76B7D" w14:paraId="6DDEE482" w14:textId="77777777" w:rsidTr="00737BAB">
        <w:tc>
          <w:tcPr>
            <w:tcW w:w="14358" w:type="dxa"/>
            <w:gridSpan w:val="5"/>
            <w:shd w:val="clear" w:color="auto" w:fill="E6E6E6"/>
            <w:noWrap/>
            <w:tcMar>
              <w:top w:w="40" w:type="dxa"/>
              <w:left w:w="40" w:type="dxa"/>
              <w:bottom w:w="40" w:type="dxa"/>
              <w:right w:w="40" w:type="dxa"/>
            </w:tcMar>
          </w:tcPr>
          <w:p w14:paraId="27F7F0D5" w14:textId="77777777" w:rsidR="00737BAB" w:rsidRPr="00A76B7D" w:rsidRDefault="00737BAB" w:rsidP="00737BAB">
            <w:pPr>
              <w:tabs>
                <w:tab w:val="left" w:pos="2640"/>
              </w:tabs>
              <w:spacing w:before="120" w:after="120"/>
              <w:ind w:left="113" w:right="113"/>
              <w:jc w:val="both"/>
              <w:rPr>
                <w:rFonts w:ascii="Arial" w:hAnsi="Arial" w:cs="Arial"/>
                <w:b/>
                <w:sz w:val="22"/>
                <w:szCs w:val="22"/>
              </w:rPr>
            </w:pPr>
            <w:r>
              <w:rPr>
                <w:rFonts w:ascii="Arial" w:hAnsi="Arial"/>
                <w:b/>
                <w:sz w:val="22"/>
              </w:rPr>
              <w:t xml:space="preserve">Recommandation 9 : </w:t>
            </w:r>
            <w:r w:rsidRPr="00497B01">
              <w:rPr>
                <w:rFonts w:ascii="Arial" w:hAnsi="Arial"/>
                <w:b/>
                <w:sz w:val="22"/>
              </w:rPr>
              <w:t>Corriger auprès des États parties et des autres parties prenantes toutes les idées fausses sur l</w:t>
            </w:r>
            <w:r>
              <w:rPr>
                <w:rFonts w:ascii="Arial" w:hAnsi="Arial"/>
                <w:b/>
                <w:sz w:val="22"/>
              </w:rPr>
              <w:t>’</w:t>
            </w:r>
            <w:r w:rsidRPr="00497B01">
              <w:rPr>
                <w:rFonts w:ascii="Arial" w:hAnsi="Arial"/>
                <w:b/>
                <w:sz w:val="22"/>
              </w:rPr>
              <w:t>objectif et l</w:t>
            </w:r>
            <w:r>
              <w:rPr>
                <w:rFonts w:ascii="Arial" w:hAnsi="Arial"/>
                <w:b/>
                <w:sz w:val="22"/>
              </w:rPr>
              <w:t>’</w:t>
            </w:r>
            <w:r w:rsidRPr="00497B01">
              <w:rPr>
                <w:rFonts w:ascii="Arial" w:hAnsi="Arial"/>
                <w:b/>
                <w:sz w:val="22"/>
              </w:rPr>
              <w:t>utilisation de la Liste représentative</w:t>
            </w:r>
            <w:r>
              <w:rPr>
                <w:rFonts w:ascii="Arial" w:hAnsi="Arial"/>
                <w:b/>
                <w:sz w:val="22"/>
              </w:rPr>
              <w:t>.</w:t>
            </w:r>
          </w:p>
        </w:tc>
      </w:tr>
      <w:tr w:rsidR="00737BAB" w:rsidRPr="00A76B7D" w14:paraId="325F304D" w14:textId="77777777" w:rsidTr="00737BAB">
        <w:tc>
          <w:tcPr>
            <w:tcW w:w="14358" w:type="dxa"/>
            <w:gridSpan w:val="5"/>
            <w:noWrap/>
            <w:tcMar>
              <w:top w:w="40" w:type="dxa"/>
              <w:left w:w="40" w:type="dxa"/>
              <w:bottom w:w="40" w:type="dxa"/>
              <w:right w:w="40" w:type="dxa"/>
            </w:tcMar>
          </w:tcPr>
          <w:p w14:paraId="1AF133DC" w14:textId="77777777" w:rsidR="00737BAB" w:rsidRPr="00A76B7D" w:rsidRDefault="00737BAB" w:rsidP="00737BAB">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Toutes les opportunités de communication, média et discours sont saisies afin de souligner l’objet et l’utilisation de la Liste représentative.</w:t>
            </w:r>
          </w:p>
        </w:tc>
      </w:tr>
      <w:tr w:rsidR="00737BAB" w:rsidRPr="00A76B7D" w14:paraId="637BEFA3" w14:textId="77777777" w:rsidTr="00737BAB">
        <w:trPr>
          <w:trHeight w:val="536"/>
        </w:trPr>
        <w:tc>
          <w:tcPr>
            <w:tcW w:w="4717" w:type="dxa"/>
            <w:gridSpan w:val="2"/>
            <w:noWrap/>
            <w:tcMar>
              <w:top w:w="40" w:type="dxa"/>
              <w:left w:w="40" w:type="dxa"/>
              <w:bottom w:w="40" w:type="dxa"/>
              <w:right w:w="40" w:type="dxa"/>
            </w:tcMar>
          </w:tcPr>
          <w:p w14:paraId="08CCC85A"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332ED806"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272221EB"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23BC643C" w14:textId="77777777" w:rsidTr="00737BAB">
        <w:tc>
          <w:tcPr>
            <w:tcW w:w="4717" w:type="dxa"/>
            <w:gridSpan w:val="2"/>
            <w:noWrap/>
            <w:tcMar>
              <w:top w:w="40" w:type="dxa"/>
              <w:left w:w="40" w:type="dxa"/>
              <w:bottom w:w="40" w:type="dxa"/>
              <w:right w:w="40" w:type="dxa"/>
            </w:tcMar>
          </w:tcPr>
          <w:p w14:paraId="24A5340E" w14:textId="77777777" w:rsidR="00737BAB" w:rsidRPr="00A76B7D" w:rsidRDefault="00737BAB" w:rsidP="00737BAB">
            <w:pPr>
              <w:spacing w:before="120" w:after="120"/>
              <w:ind w:left="113"/>
              <w:rPr>
                <w:rFonts w:ascii="Arial" w:hAnsi="Arial" w:cs="Arial"/>
                <w:sz w:val="22"/>
                <w:szCs w:val="22"/>
              </w:rPr>
            </w:pPr>
            <w:r>
              <w:rPr>
                <w:rFonts w:ascii="Arial" w:hAnsi="Arial"/>
                <w:sz w:val="22"/>
              </w:rPr>
              <w:t>Mettre en avant l’objectif la LSU, de l’IA et du RL dans les présentations, interviews avec les médias, kits de média, etc.</w:t>
            </w:r>
          </w:p>
        </w:tc>
        <w:tc>
          <w:tcPr>
            <w:tcW w:w="1986" w:type="dxa"/>
            <w:gridSpan w:val="2"/>
            <w:noWrap/>
            <w:tcMar>
              <w:top w:w="40" w:type="dxa"/>
              <w:left w:w="40" w:type="dxa"/>
              <w:bottom w:w="40" w:type="dxa"/>
              <w:right w:w="40" w:type="dxa"/>
            </w:tcMar>
          </w:tcPr>
          <w:p w14:paraId="70CACFE1"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2F95DFED"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L’objectif la LSU, de l’AI et du RL est souligné dans des présentations, des discours, interviews avec les médias, kits de média, etc.</w:t>
            </w:r>
          </w:p>
        </w:tc>
      </w:tr>
      <w:tr w:rsidR="00737BAB" w:rsidRPr="00A76B7D" w14:paraId="6F780C7F" w14:textId="77777777" w:rsidTr="00737BAB">
        <w:tc>
          <w:tcPr>
            <w:tcW w:w="14358" w:type="dxa"/>
            <w:gridSpan w:val="5"/>
            <w:shd w:val="clear" w:color="auto" w:fill="E6E6E6"/>
            <w:noWrap/>
            <w:tcMar>
              <w:top w:w="40" w:type="dxa"/>
              <w:left w:w="40" w:type="dxa"/>
              <w:bottom w:w="40" w:type="dxa"/>
              <w:right w:w="40" w:type="dxa"/>
            </w:tcMar>
          </w:tcPr>
          <w:p w14:paraId="0D5E232C" w14:textId="77777777" w:rsidR="00737BAB" w:rsidRPr="00A76B7D" w:rsidRDefault="00737BAB" w:rsidP="0054473E">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10 : </w:t>
            </w:r>
            <w:r w:rsidRPr="00497B01">
              <w:rPr>
                <w:rFonts w:ascii="Arial" w:hAnsi="Arial"/>
                <w:b/>
                <w:sz w:val="22"/>
              </w:rPr>
              <w:t>S</w:t>
            </w:r>
            <w:r>
              <w:rPr>
                <w:rFonts w:ascii="Arial" w:hAnsi="Arial"/>
                <w:b/>
                <w:sz w:val="22"/>
              </w:rPr>
              <w:t>’</w:t>
            </w:r>
            <w:r w:rsidRPr="00497B01">
              <w:rPr>
                <w:rFonts w:ascii="Arial" w:hAnsi="Arial"/>
                <w:b/>
                <w:sz w:val="22"/>
              </w:rPr>
              <w:t>assurer que l</w:t>
            </w:r>
            <w:r>
              <w:rPr>
                <w:rFonts w:ascii="Arial" w:hAnsi="Arial"/>
                <w:b/>
                <w:sz w:val="22"/>
              </w:rPr>
              <w:t>’</w:t>
            </w:r>
            <w:r w:rsidRPr="00497B01">
              <w:rPr>
                <w:rFonts w:ascii="Arial" w:hAnsi="Arial"/>
                <w:b/>
                <w:sz w:val="22"/>
              </w:rPr>
              <w:t>inscription des éléments sur la Liste représentative reflète plus précisément les critères et procédures indiqués au Chapitre I.2 des Directives opérationnelles de la Convention</w:t>
            </w:r>
            <w:r>
              <w:rPr>
                <w:rFonts w:ascii="Arial" w:hAnsi="Arial"/>
                <w:b/>
                <w:sz w:val="22"/>
              </w:rPr>
              <w:t>.</w:t>
            </w:r>
          </w:p>
        </w:tc>
      </w:tr>
      <w:tr w:rsidR="00737BAB" w:rsidRPr="00A76B7D" w14:paraId="51C506DF" w14:textId="77777777" w:rsidTr="00737BAB">
        <w:tc>
          <w:tcPr>
            <w:tcW w:w="14358" w:type="dxa"/>
            <w:gridSpan w:val="5"/>
            <w:noWrap/>
            <w:tcMar>
              <w:top w:w="40" w:type="dxa"/>
              <w:left w:w="40" w:type="dxa"/>
              <w:bottom w:w="40" w:type="dxa"/>
              <w:right w:w="40" w:type="dxa"/>
            </w:tcMar>
          </w:tcPr>
          <w:p w14:paraId="6B846935" w14:textId="2A60ABEA" w:rsidR="00737BAB" w:rsidRPr="00A76B7D" w:rsidRDefault="00737BAB" w:rsidP="00737BAB">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À appliquer par le Comité</w:t>
            </w:r>
            <w:r w:rsidR="0035654C">
              <w:rPr>
                <w:rFonts w:ascii="Arial" w:hAnsi="Arial"/>
                <w:sz w:val="22"/>
              </w:rPr>
              <w:t xml:space="preserve"> et ses Organes consultatifs ; l</w:t>
            </w:r>
            <w:r>
              <w:rPr>
                <w:rFonts w:ascii="Arial" w:hAnsi="Arial"/>
                <w:sz w:val="22"/>
              </w:rPr>
              <w:t>e Secrétariat inclut ce point dans les sessions de formations pour l’Organe d’évaluation.</w:t>
            </w:r>
          </w:p>
        </w:tc>
      </w:tr>
      <w:tr w:rsidR="00737BAB" w:rsidRPr="00A76B7D" w14:paraId="50020ABE" w14:textId="77777777" w:rsidTr="00737BAB">
        <w:trPr>
          <w:trHeight w:val="586"/>
        </w:trPr>
        <w:tc>
          <w:tcPr>
            <w:tcW w:w="4717" w:type="dxa"/>
            <w:gridSpan w:val="2"/>
            <w:tcBorders>
              <w:bottom w:val="single" w:sz="4" w:space="0" w:color="auto"/>
            </w:tcBorders>
            <w:noWrap/>
            <w:tcMar>
              <w:top w:w="40" w:type="dxa"/>
              <w:left w:w="40" w:type="dxa"/>
              <w:bottom w:w="40" w:type="dxa"/>
              <w:right w:w="40" w:type="dxa"/>
            </w:tcMar>
          </w:tcPr>
          <w:p w14:paraId="0EA57327"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14:paraId="7C3F6659"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14:paraId="2746539A"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25D64A39" w14:textId="77777777" w:rsidTr="00737BAB">
        <w:tc>
          <w:tcPr>
            <w:tcW w:w="4717" w:type="dxa"/>
            <w:gridSpan w:val="2"/>
            <w:shd w:val="clear" w:color="auto" w:fill="FFFFFF" w:themeFill="background1"/>
            <w:noWrap/>
            <w:tcMar>
              <w:top w:w="40" w:type="dxa"/>
              <w:left w:w="40" w:type="dxa"/>
              <w:bottom w:w="40" w:type="dxa"/>
              <w:right w:w="40" w:type="dxa"/>
            </w:tcMar>
          </w:tcPr>
          <w:p w14:paraId="79630605" w14:textId="77777777" w:rsidR="00737BAB" w:rsidRPr="00A76B7D" w:rsidRDefault="00737BAB" w:rsidP="00737BAB">
            <w:pPr>
              <w:pStyle w:val="Default"/>
              <w:spacing w:before="120" w:after="120"/>
              <w:ind w:left="113"/>
              <w:rPr>
                <w:sz w:val="22"/>
                <w:szCs w:val="22"/>
              </w:rPr>
            </w:pPr>
            <w:r>
              <w:rPr>
                <w:sz w:val="22"/>
              </w:rPr>
              <w:t>Préparer l’évaluation de la mise en œuvre des décisions précédentes du Comité en relation avec l’inscription d’éléments, la sélection de propositions au Registre des meilleures pratiques de sauvegarde, et l’approbation de demandes d’assistance internationale.</w:t>
            </w:r>
          </w:p>
        </w:tc>
        <w:tc>
          <w:tcPr>
            <w:tcW w:w="1986" w:type="dxa"/>
            <w:gridSpan w:val="2"/>
            <w:shd w:val="clear" w:color="auto" w:fill="FFFFFF" w:themeFill="background1"/>
            <w:noWrap/>
            <w:tcMar>
              <w:top w:w="40" w:type="dxa"/>
              <w:left w:w="40" w:type="dxa"/>
              <w:bottom w:w="40" w:type="dxa"/>
              <w:right w:w="40" w:type="dxa"/>
            </w:tcMar>
          </w:tcPr>
          <w:p w14:paraId="66EAD657" w14:textId="77777777" w:rsidR="00737BAB" w:rsidRPr="00A76B7D" w:rsidRDefault="00737BAB" w:rsidP="00737BAB">
            <w:pPr>
              <w:spacing w:before="120" w:after="120"/>
              <w:ind w:left="57"/>
              <w:rPr>
                <w:rFonts w:ascii="Arial" w:hAnsi="Arial" w:cs="Arial"/>
                <w:sz w:val="22"/>
                <w:szCs w:val="22"/>
              </w:rPr>
            </w:pPr>
            <w:r>
              <w:rPr>
                <w:rFonts w:ascii="Arial" w:hAnsi="Arial"/>
                <w:sz w:val="22"/>
              </w:rPr>
              <w:t>décembre 2014</w:t>
            </w:r>
          </w:p>
        </w:tc>
        <w:tc>
          <w:tcPr>
            <w:tcW w:w="7655" w:type="dxa"/>
            <w:shd w:val="clear" w:color="auto" w:fill="FFFFFF" w:themeFill="background1"/>
            <w:noWrap/>
            <w:tcMar>
              <w:top w:w="40" w:type="dxa"/>
              <w:left w:w="40" w:type="dxa"/>
              <w:bottom w:w="40" w:type="dxa"/>
              <w:right w:w="40" w:type="dxa"/>
            </w:tcMar>
          </w:tcPr>
          <w:p w14:paraId="5A2DB06E"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Le Secrétariat a préparé l’évaluation et l’a présentée en tant que document de travail pour examen par le Comité lors de sa neuvième session (</w:t>
            </w:r>
            <w:hyperlink r:id="rId79" w:history="1">
              <w:r w:rsidRPr="00B95496">
                <w:rPr>
                  <w:rStyle w:val="Hyperlink"/>
                  <w:rFonts w:ascii="Arial" w:hAnsi="Arial"/>
                  <w:sz w:val="22"/>
                </w:rPr>
                <w:t>document ITH/14/9.COM/13.d</w:t>
              </w:r>
            </w:hyperlink>
            <w:r>
              <w:rPr>
                <w:rStyle w:val="Hyperlink"/>
                <w:rFonts w:ascii="Arial" w:hAnsi="Arial"/>
                <w:sz w:val="22"/>
              </w:rPr>
              <w:t>)</w:t>
            </w:r>
            <w:r>
              <w:rPr>
                <w:rFonts w:ascii="Arial" w:hAnsi="Arial"/>
                <w:sz w:val="22"/>
              </w:rPr>
              <w:t xml:space="preserve"> </w:t>
            </w:r>
            <w:r w:rsidRPr="00464203">
              <w:rPr>
                <w:rFonts w:ascii="Arial" w:hAnsi="Arial"/>
                <w:sz w:val="22"/>
              </w:rPr>
              <w:t>(</w:t>
            </w:r>
            <w:r w:rsidRPr="00464203">
              <w:rPr>
                <w:rFonts w:ascii="Arial" w:hAnsi="Arial"/>
                <w:b/>
                <w:sz w:val="22"/>
              </w:rPr>
              <w:t>action terminée</w:t>
            </w:r>
            <w:r w:rsidRPr="00464203">
              <w:rPr>
                <w:rFonts w:ascii="Arial" w:hAnsi="Arial"/>
                <w:sz w:val="22"/>
              </w:rPr>
              <w:t>).</w:t>
            </w:r>
            <w:r w:rsidRPr="00464203" w:rsidDel="00F31760">
              <w:rPr>
                <w:rFonts w:ascii="Arial" w:hAnsi="Arial"/>
                <w:b/>
                <w:sz w:val="22"/>
              </w:rPr>
              <w:t xml:space="preserve"> </w:t>
            </w:r>
          </w:p>
        </w:tc>
      </w:tr>
      <w:tr w:rsidR="00737BAB" w:rsidRPr="00A76B7D" w14:paraId="6DE48B44" w14:textId="77777777" w:rsidTr="00737BAB">
        <w:tc>
          <w:tcPr>
            <w:tcW w:w="4717" w:type="dxa"/>
            <w:gridSpan w:val="2"/>
            <w:noWrap/>
            <w:tcMar>
              <w:top w:w="40" w:type="dxa"/>
              <w:left w:w="40" w:type="dxa"/>
              <w:bottom w:w="40" w:type="dxa"/>
              <w:right w:w="40" w:type="dxa"/>
            </w:tcMar>
          </w:tcPr>
          <w:p w14:paraId="28EA3384" w14:textId="2A1958DF" w:rsidR="00737BAB" w:rsidRPr="00A76B7D" w:rsidRDefault="00737BAB" w:rsidP="00147D32">
            <w:pPr>
              <w:pStyle w:val="Default"/>
              <w:keepLines/>
              <w:spacing w:before="120" w:after="120"/>
              <w:ind w:left="113"/>
              <w:rPr>
                <w:sz w:val="22"/>
                <w:szCs w:val="22"/>
              </w:rPr>
            </w:pPr>
            <w:r>
              <w:rPr>
                <w:sz w:val="22"/>
              </w:rPr>
              <w:t xml:space="preserve">Le Secrétariat doit inclure ce point dans les sessions de formations pour </w:t>
            </w:r>
            <w:r w:rsidR="0054473E">
              <w:rPr>
                <w:sz w:val="22"/>
              </w:rPr>
              <w:t>l’Organe d’évaluation</w:t>
            </w:r>
            <w:r>
              <w:rPr>
                <w:sz w:val="22"/>
              </w:rPr>
              <w:t xml:space="preserve"> </w:t>
            </w:r>
          </w:p>
        </w:tc>
        <w:tc>
          <w:tcPr>
            <w:tcW w:w="1986" w:type="dxa"/>
            <w:gridSpan w:val="2"/>
            <w:noWrap/>
            <w:tcMar>
              <w:top w:w="40" w:type="dxa"/>
              <w:left w:w="40" w:type="dxa"/>
              <w:bottom w:w="40" w:type="dxa"/>
              <w:right w:w="40" w:type="dxa"/>
            </w:tcMar>
          </w:tcPr>
          <w:p w14:paraId="3BC71B61" w14:textId="77777777" w:rsidR="00737BAB" w:rsidRPr="00A76B7D" w:rsidRDefault="00737BAB" w:rsidP="00147D32">
            <w:pPr>
              <w:keepLines/>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60723C91" w14:textId="7250D689" w:rsidR="00737BAB" w:rsidRPr="00A76B7D" w:rsidRDefault="00737BAB" w:rsidP="00147D32">
            <w:pPr>
              <w:pStyle w:val="ListParagraph"/>
              <w:keepLines/>
              <w:numPr>
                <w:ilvl w:val="0"/>
                <w:numId w:val="39"/>
              </w:numPr>
              <w:spacing w:before="120" w:after="120"/>
              <w:ind w:left="470" w:hanging="357"/>
              <w:rPr>
                <w:rFonts w:ascii="Arial" w:hAnsi="Arial" w:cs="Arial"/>
                <w:sz w:val="22"/>
                <w:szCs w:val="22"/>
              </w:rPr>
            </w:pPr>
            <w:r>
              <w:rPr>
                <w:rFonts w:ascii="Arial" w:hAnsi="Arial"/>
                <w:sz w:val="22"/>
              </w:rPr>
              <w:t xml:space="preserve">Les membres </w:t>
            </w:r>
            <w:r w:rsidR="0054473E">
              <w:rPr>
                <w:rFonts w:ascii="Arial" w:hAnsi="Arial"/>
                <w:sz w:val="22"/>
              </w:rPr>
              <w:t>de l’Organe d’évaluation ont été formés en avril 2015 et en mars 2016.</w:t>
            </w:r>
          </w:p>
          <w:p w14:paraId="198A68D6" w14:textId="4FE42D9C" w:rsidR="00737BAB" w:rsidRPr="00A76B7D" w:rsidRDefault="0035654C" w:rsidP="00147D32">
            <w:pPr>
              <w:pStyle w:val="ListParagraph"/>
              <w:keepLines/>
              <w:numPr>
                <w:ilvl w:val="0"/>
                <w:numId w:val="39"/>
              </w:numPr>
              <w:spacing w:before="120" w:after="120"/>
              <w:ind w:left="470" w:hanging="357"/>
              <w:rPr>
                <w:rFonts w:ascii="Arial" w:hAnsi="Arial" w:cs="Arial"/>
                <w:b/>
                <w:sz w:val="22"/>
                <w:szCs w:val="22"/>
                <w:u w:val="single"/>
              </w:rPr>
            </w:pPr>
            <w:r>
              <w:rPr>
                <w:rFonts w:ascii="Arial" w:hAnsi="Arial"/>
                <w:sz w:val="22"/>
              </w:rPr>
              <w:t>L</w:t>
            </w:r>
            <w:r w:rsidR="00737BAB">
              <w:rPr>
                <w:rFonts w:ascii="Arial" w:hAnsi="Arial"/>
                <w:sz w:val="22"/>
              </w:rPr>
              <w:t>es nouveaux membres de l’Organe d’évaluation seront formés à chaque cycle.</w:t>
            </w:r>
          </w:p>
        </w:tc>
      </w:tr>
      <w:tr w:rsidR="00737BAB" w:rsidRPr="00A76B7D" w14:paraId="1C2B04B0" w14:textId="77777777" w:rsidTr="00737BAB">
        <w:tc>
          <w:tcPr>
            <w:tcW w:w="14358" w:type="dxa"/>
            <w:gridSpan w:val="5"/>
            <w:shd w:val="clear" w:color="auto" w:fill="E6E6E6"/>
            <w:noWrap/>
            <w:tcMar>
              <w:top w:w="40" w:type="dxa"/>
              <w:left w:w="40" w:type="dxa"/>
              <w:bottom w:w="40" w:type="dxa"/>
              <w:right w:w="40" w:type="dxa"/>
            </w:tcMar>
          </w:tcPr>
          <w:p w14:paraId="73BFB260" w14:textId="77777777" w:rsidR="00737BAB" w:rsidRPr="00A76B7D" w:rsidRDefault="00737BAB" w:rsidP="00147D32">
            <w:pPr>
              <w:keepLines/>
              <w:tabs>
                <w:tab w:val="left" w:pos="2640"/>
              </w:tabs>
              <w:spacing w:before="100" w:after="100"/>
              <w:ind w:left="113" w:right="113"/>
              <w:jc w:val="both"/>
              <w:rPr>
                <w:rFonts w:ascii="Arial" w:hAnsi="Arial" w:cs="Arial"/>
                <w:b/>
                <w:sz w:val="22"/>
                <w:szCs w:val="22"/>
              </w:rPr>
            </w:pPr>
            <w:r>
              <w:rPr>
                <w:rFonts w:ascii="Arial" w:hAnsi="Arial"/>
                <w:b/>
                <w:sz w:val="22"/>
              </w:rPr>
              <w:t>Recommandation 11 </w:t>
            </w:r>
            <w:r w:rsidRPr="00973B8A">
              <w:rPr>
                <w:rFonts w:ascii="Arial" w:hAnsi="Arial"/>
                <w:b/>
                <w:sz w:val="22"/>
              </w:rPr>
              <w:t>Supprimer l</w:t>
            </w:r>
            <w:r>
              <w:rPr>
                <w:rFonts w:ascii="Arial" w:hAnsi="Arial"/>
                <w:b/>
                <w:sz w:val="22"/>
              </w:rPr>
              <w:t>’</w:t>
            </w:r>
            <w:r w:rsidRPr="00973B8A">
              <w:rPr>
                <w:rFonts w:ascii="Arial" w:hAnsi="Arial"/>
                <w:b/>
                <w:sz w:val="22"/>
              </w:rPr>
              <w:t>Organe subsidiaire afin que toutes les candidatures soient évaluées par un organe commun et indépendant</w:t>
            </w:r>
            <w:r>
              <w:rPr>
                <w:rFonts w:ascii="Arial" w:hAnsi="Arial"/>
                <w:b/>
                <w:sz w:val="22"/>
              </w:rPr>
              <w:t>.</w:t>
            </w:r>
          </w:p>
        </w:tc>
      </w:tr>
      <w:tr w:rsidR="00737BAB" w:rsidRPr="00A76B7D" w14:paraId="236A21B2" w14:textId="77777777" w:rsidTr="00737BAB">
        <w:tc>
          <w:tcPr>
            <w:tcW w:w="14358" w:type="dxa"/>
            <w:gridSpan w:val="5"/>
            <w:noWrap/>
            <w:tcMar>
              <w:top w:w="40" w:type="dxa"/>
              <w:left w:w="40" w:type="dxa"/>
              <w:bottom w:w="40" w:type="dxa"/>
              <w:right w:w="40" w:type="dxa"/>
            </w:tcMar>
          </w:tcPr>
          <w:p w14:paraId="395F987F" w14:textId="0D0B4DCF" w:rsidR="00737BAB" w:rsidRPr="00A76B7D" w:rsidRDefault="00737BAB" w:rsidP="00A4517B">
            <w:pPr>
              <w:spacing w:before="100" w:after="10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Les Directives opérationnelles ont été adoptées pour un seul Organe d’évaluation et le nouvel Organe d’évaluation </w:t>
            </w:r>
            <w:r w:rsidR="00A4517B">
              <w:rPr>
                <w:rFonts w:ascii="Arial" w:hAnsi="Arial"/>
                <w:sz w:val="22"/>
              </w:rPr>
              <w:t>a débuté ses activités</w:t>
            </w:r>
            <w:r>
              <w:rPr>
                <w:rFonts w:ascii="Arial" w:hAnsi="Arial"/>
                <w:sz w:val="22"/>
              </w:rPr>
              <w:t xml:space="preserve"> en 2015.</w:t>
            </w:r>
          </w:p>
        </w:tc>
      </w:tr>
      <w:tr w:rsidR="00737BAB" w:rsidRPr="00A76B7D" w14:paraId="115DC0CF" w14:textId="77777777" w:rsidTr="00737BAB">
        <w:tc>
          <w:tcPr>
            <w:tcW w:w="4717" w:type="dxa"/>
            <w:gridSpan w:val="2"/>
            <w:tcBorders>
              <w:bottom w:val="single" w:sz="4" w:space="0" w:color="auto"/>
            </w:tcBorders>
            <w:noWrap/>
            <w:tcMar>
              <w:top w:w="40" w:type="dxa"/>
              <w:left w:w="40" w:type="dxa"/>
              <w:bottom w:w="40" w:type="dxa"/>
              <w:right w:w="40" w:type="dxa"/>
            </w:tcMar>
          </w:tcPr>
          <w:p w14:paraId="399B702C" w14:textId="77777777" w:rsidR="00737BAB" w:rsidRPr="00A76B7D" w:rsidRDefault="00737BAB" w:rsidP="00737BAB">
            <w:pPr>
              <w:spacing w:before="100" w:after="10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14:paraId="1B2B1EE7" w14:textId="77777777" w:rsidR="00737BAB" w:rsidRPr="00A76B7D" w:rsidRDefault="00737BAB" w:rsidP="00737BAB">
            <w:pPr>
              <w:spacing w:before="100" w:after="10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14:paraId="604D525E" w14:textId="77777777" w:rsidR="00737BAB" w:rsidRPr="00A76B7D" w:rsidRDefault="00737BAB" w:rsidP="00737BAB">
            <w:pPr>
              <w:spacing w:before="100" w:after="100"/>
              <w:jc w:val="center"/>
              <w:rPr>
                <w:rFonts w:ascii="Arial" w:hAnsi="Arial" w:cs="Arial"/>
                <w:b/>
                <w:sz w:val="22"/>
                <w:szCs w:val="22"/>
              </w:rPr>
            </w:pPr>
            <w:r>
              <w:rPr>
                <w:rFonts w:ascii="Arial" w:hAnsi="Arial"/>
                <w:b/>
                <w:sz w:val="22"/>
              </w:rPr>
              <w:t>Statut</w:t>
            </w:r>
          </w:p>
        </w:tc>
      </w:tr>
      <w:tr w:rsidR="00737BAB" w:rsidRPr="00A76B7D" w14:paraId="54FA7FD4" w14:textId="77777777" w:rsidTr="00737BAB">
        <w:tc>
          <w:tcPr>
            <w:tcW w:w="4717" w:type="dxa"/>
            <w:gridSpan w:val="2"/>
            <w:shd w:val="clear" w:color="auto" w:fill="FFFFFF" w:themeFill="background1"/>
            <w:noWrap/>
            <w:tcMar>
              <w:top w:w="40" w:type="dxa"/>
              <w:left w:w="40" w:type="dxa"/>
              <w:bottom w:w="40" w:type="dxa"/>
              <w:right w:w="40" w:type="dxa"/>
            </w:tcMar>
          </w:tcPr>
          <w:p w14:paraId="54BA84D0" w14:textId="77777777" w:rsidR="00737BAB" w:rsidRPr="00A76B7D" w:rsidRDefault="00737BAB" w:rsidP="00737BAB">
            <w:pPr>
              <w:spacing w:before="100" w:after="100"/>
              <w:ind w:left="113" w:right="57"/>
              <w:rPr>
                <w:rFonts w:ascii="Arial" w:hAnsi="Arial" w:cs="Arial"/>
                <w:sz w:val="22"/>
                <w:szCs w:val="22"/>
              </w:rPr>
            </w:pPr>
            <w:r>
              <w:rPr>
                <w:rFonts w:ascii="Arial" w:hAnsi="Arial"/>
                <w:sz w:val="22"/>
              </w:rPr>
              <w:t>Directives opérationnelles adoptées pour un seul Organe d’évaluation.</w:t>
            </w:r>
          </w:p>
        </w:tc>
        <w:tc>
          <w:tcPr>
            <w:tcW w:w="1986" w:type="dxa"/>
            <w:gridSpan w:val="2"/>
            <w:shd w:val="clear" w:color="auto" w:fill="FFFFFF" w:themeFill="background1"/>
            <w:noWrap/>
            <w:tcMar>
              <w:top w:w="40" w:type="dxa"/>
              <w:left w:w="40" w:type="dxa"/>
              <w:bottom w:w="40" w:type="dxa"/>
              <w:right w:w="40" w:type="dxa"/>
            </w:tcMar>
          </w:tcPr>
          <w:p w14:paraId="12860192" w14:textId="77777777" w:rsidR="00737BAB" w:rsidRPr="00A76B7D" w:rsidRDefault="00737BAB" w:rsidP="00737BAB">
            <w:pPr>
              <w:spacing w:before="100" w:after="100"/>
              <w:ind w:left="57"/>
              <w:rPr>
                <w:rFonts w:ascii="Arial" w:hAnsi="Arial" w:cs="Arial"/>
                <w:sz w:val="22"/>
                <w:szCs w:val="22"/>
              </w:rPr>
            </w:pPr>
            <w:r>
              <w:rPr>
                <w:rFonts w:ascii="Arial" w:hAnsi="Arial"/>
                <w:sz w:val="22"/>
              </w:rPr>
              <w:t>juin 2014</w:t>
            </w:r>
          </w:p>
        </w:tc>
        <w:tc>
          <w:tcPr>
            <w:tcW w:w="7655" w:type="dxa"/>
            <w:shd w:val="clear" w:color="auto" w:fill="FFFFFF" w:themeFill="background1"/>
            <w:noWrap/>
            <w:tcMar>
              <w:top w:w="40" w:type="dxa"/>
              <w:left w:w="40" w:type="dxa"/>
              <w:bottom w:w="40" w:type="dxa"/>
              <w:right w:w="40" w:type="dxa"/>
            </w:tcMar>
          </w:tcPr>
          <w:p w14:paraId="39F707FE" w14:textId="77777777" w:rsidR="00737BAB" w:rsidRPr="00A76B7D" w:rsidRDefault="00737BAB" w:rsidP="00737BAB">
            <w:pPr>
              <w:pStyle w:val="ListParagraph"/>
              <w:numPr>
                <w:ilvl w:val="0"/>
                <w:numId w:val="39"/>
              </w:numPr>
              <w:spacing w:before="100" w:after="100"/>
              <w:ind w:left="470" w:hanging="357"/>
              <w:rPr>
                <w:rFonts w:ascii="Arial" w:hAnsi="Arial" w:cs="Arial"/>
                <w:sz w:val="22"/>
                <w:szCs w:val="22"/>
              </w:rPr>
            </w:pPr>
            <w:r>
              <w:rPr>
                <w:rFonts w:ascii="Arial" w:hAnsi="Arial"/>
                <w:sz w:val="22"/>
              </w:rPr>
              <w:t>L’Assemblée générale, durant sa cinquième session, a décidé (Résolution 5.GA 5.1) que « l’évaluation [de dossiers] est effectuée par un organe consultatif du Comité établi conformément à l’Article 8.3 de la Convention, dénommé l’« Organe d’évaluation »» (paragraphe 27 des Directives opérationnelles)</w:t>
            </w:r>
            <w:r>
              <w:rPr>
                <w:rFonts w:ascii="Arial" w:hAnsi="Arial" w:cs="Arial"/>
                <w:sz w:val="22"/>
                <w:szCs w:val="22"/>
              </w:rPr>
              <w:t xml:space="preserve"> </w:t>
            </w:r>
            <w:r w:rsidRPr="00464203">
              <w:rPr>
                <w:rFonts w:ascii="Arial" w:hAnsi="Arial"/>
                <w:sz w:val="22"/>
              </w:rPr>
              <w:t>(</w:t>
            </w:r>
            <w:r w:rsidRPr="00464203">
              <w:rPr>
                <w:rFonts w:ascii="Arial" w:hAnsi="Arial"/>
                <w:b/>
                <w:sz w:val="22"/>
              </w:rPr>
              <w:t>action terminée</w:t>
            </w:r>
            <w:r w:rsidRPr="00464203">
              <w:rPr>
                <w:rFonts w:ascii="Arial" w:hAnsi="Arial"/>
                <w:sz w:val="22"/>
              </w:rPr>
              <w:t>).</w:t>
            </w:r>
            <w:r w:rsidRPr="00464203" w:rsidDel="00F31760">
              <w:rPr>
                <w:rFonts w:ascii="Arial" w:hAnsi="Arial"/>
                <w:b/>
                <w:sz w:val="22"/>
              </w:rPr>
              <w:t xml:space="preserve"> </w:t>
            </w:r>
          </w:p>
        </w:tc>
      </w:tr>
      <w:tr w:rsidR="00737BAB" w:rsidRPr="00A76B7D" w14:paraId="63E4E424" w14:textId="77777777" w:rsidTr="00737BAB">
        <w:tc>
          <w:tcPr>
            <w:tcW w:w="4717" w:type="dxa"/>
            <w:gridSpan w:val="2"/>
            <w:shd w:val="clear" w:color="auto" w:fill="FFFFFF" w:themeFill="background1"/>
            <w:noWrap/>
            <w:tcMar>
              <w:top w:w="40" w:type="dxa"/>
              <w:left w:w="40" w:type="dxa"/>
              <w:bottom w:w="40" w:type="dxa"/>
              <w:right w:w="40" w:type="dxa"/>
            </w:tcMar>
          </w:tcPr>
          <w:p w14:paraId="2906B8B7" w14:textId="77777777" w:rsidR="00737BAB" w:rsidRPr="00A76B7D" w:rsidRDefault="00737BAB" w:rsidP="00737BAB">
            <w:pPr>
              <w:spacing w:before="100" w:after="100"/>
              <w:ind w:left="113" w:right="57"/>
              <w:rPr>
                <w:rFonts w:ascii="Arial" w:hAnsi="Arial" w:cs="Arial"/>
                <w:sz w:val="22"/>
                <w:szCs w:val="22"/>
              </w:rPr>
            </w:pPr>
            <w:r>
              <w:rPr>
                <w:rFonts w:ascii="Arial" w:hAnsi="Arial"/>
                <w:sz w:val="22"/>
              </w:rPr>
              <w:t>Un seul Organe d’évaluation opérationnel.</w:t>
            </w:r>
          </w:p>
        </w:tc>
        <w:tc>
          <w:tcPr>
            <w:tcW w:w="1986" w:type="dxa"/>
            <w:gridSpan w:val="2"/>
            <w:shd w:val="clear" w:color="auto" w:fill="FFFFFF" w:themeFill="background1"/>
            <w:noWrap/>
            <w:tcMar>
              <w:top w:w="40" w:type="dxa"/>
              <w:left w:w="40" w:type="dxa"/>
              <w:bottom w:w="40" w:type="dxa"/>
              <w:right w:w="40" w:type="dxa"/>
            </w:tcMar>
          </w:tcPr>
          <w:p w14:paraId="01E91003" w14:textId="77777777" w:rsidR="00737BAB" w:rsidRPr="00A76B7D" w:rsidRDefault="00737BAB" w:rsidP="00737BAB">
            <w:pPr>
              <w:spacing w:before="100" w:after="100"/>
              <w:ind w:left="57"/>
              <w:rPr>
                <w:rFonts w:ascii="Arial" w:hAnsi="Arial" w:cs="Arial"/>
                <w:sz w:val="22"/>
                <w:szCs w:val="22"/>
              </w:rPr>
            </w:pPr>
            <w:r>
              <w:rPr>
                <w:rFonts w:ascii="Arial" w:hAnsi="Arial"/>
                <w:sz w:val="22"/>
              </w:rPr>
              <w:t>octobre 2015</w:t>
            </w:r>
          </w:p>
        </w:tc>
        <w:tc>
          <w:tcPr>
            <w:tcW w:w="7655" w:type="dxa"/>
            <w:shd w:val="clear" w:color="auto" w:fill="FFFFFF" w:themeFill="background1"/>
            <w:noWrap/>
            <w:tcMar>
              <w:top w:w="40" w:type="dxa"/>
              <w:left w:w="40" w:type="dxa"/>
              <w:bottom w:w="40" w:type="dxa"/>
              <w:right w:w="40" w:type="dxa"/>
            </w:tcMar>
          </w:tcPr>
          <w:p w14:paraId="6517FA29" w14:textId="77777777" w:rsidR="00737BAB" w:rsidRPr="00A76B7D" w:rsidRDefault="00737BAB" w:rsidP="00737BAB">
            <w:pPr>
              <w:pStyle w:val="ListParagraph"/>
              <w:numPr>
                <w:ilvl w:val="0"/>
                <w:numId w:val="39"/>
              </w:numPr>
              <w:spacing w:before="100" w:after="100"/>
              <w:ind w:left="470" w:hanging="357"/>
              <w:rPr>
                <w:rFonts w:ascii="Arial" w:hAnsi="Arial" w:cs="Arial"/>
                <w:b/>
                <w:sz w:val="22"/>
                <w:szCs w:val="22"/>
                <w:u w:val="single"/>
              </w:rPr>
            </w:pPr>
            <w:r>
              <w:rPr>
                <w:rFonts w:ascii="Arial" w:hAnsi="Arial"/>
                <w:sz w:val="22"/>
              </w:rPr>
              <w:t xml:space="preserve">Le premier Organe d’évaluation a évalué tous les dossiers soumis en 2015 </w:t>
            </w:r>
            <w:r w:rsidRPr="00464203">
              <w:rPr>
                <w:rFonts w:ascii="Arial" w:hAnsi="Arial"/>
                <w:sz w:val="22"/>
              </w:rPr>
              <w:t>(</w:t>
            </w:r>
            <w:r w:rsidRPr="00464203">
              <w:rPr>
                <w:rFonts w:ascii="Arial" w:hAnsi="Arial"/>
                <w:b/>
                <w:sz w:val="22"/>
              </w:rPr>
              <w:t>action terminée</w:t>
            </w:r>
            <w:r w:rsidRPr="00464203">
              <w:rPr>
                <w:rFonts w:ascii="Arial" w:hAnsi="Arial"/>
                <w:sz w:val="22"/>
              </w:rPr>
              <w:t>).</w:t>
            </w:r>
            <w:r w:rsidRPr="00464203" w:rsidDel="00F31760">
              <w:rPr>
                <w:rFonts w:ascii="Arial" w:hAnsi="Arial"/>
                <w:b/>
                <w:sz w:val="22"/>
              </w:rPr>
              <w:t xml:space="preserve"> </w:t>
            </w:r>
          </w:p>
        </w:tc>
      </w:tr>
      <w:tr w:rsidR="00737BAB" w:rsidRPr="00A76B7D" w14:paraId="2F8AD677" w14:textId="77777777" w:rsidTr="00737BAB">
        <w:tc>
          <w:tcPr>
            <w:tcW w:w="14358" w:type="dxa"/>
            <w:gridSpan w:val="5"/>
            <w:shd w:val="clear" w:color="auto" w:fill="E6E6E6"/>
            <w:noWrap/>
            <w:tcMar>
              <w:top w:w="40" w:type="dxa"/>
              <w:left w:w="40" w:type="dxa"/>
              <w:bottom w:w="40" w:type="dxa"/>
              <w:right w:w="40" w:type="dxa"/>
            </w:tcMar>
          </w:tcPr>
          <w:p w14:paraId="5F11237A" w14:textId="096C90FC" w:rsidR="00737BAB" w:rsidRPr="00A76B7D" w:rsidRDefault="00737BAB" w:rsidP="00737BAB">
            <w:pPr>
              <w:tabs>
                <w:tab w:val="left" w:pos="2640"/>
              </w:tabs>
              <w:spacing w:before="100" w:after="100"/>
              <w:ind w:left="113" w:right="113"/>
              <w:rPr>
                <w:rFonts w:ascii="Arial" w:hAnsi="Arial" w:cs="Arial"/>
                <w:b/>
                <w:sz w:val="22"/>
                <w:szCs w:val="22"/>
              </w:rPr>
            </w:pPr>
            <w:r>
              <w:rPr>
                <w:rFonts w:ascii="Arial" w:hAnsi="Arial"/>
                <w:b/>
                <w:sz w:val="22"/>
              </w:rPr>
              <w:t xml:space="preserve">Recommandation 12 : </w:t>
            </w:r>
            <w:r w:rsidRPr="00973B8A">
              <w:rPr>
                <w:rFonts w:ascii="Arial" w:hAnsi="Arial"/>
                <w:b/>
                <w:sz w:val="22"/>
              </w:rPr>
              <w:t>Revoir et compléter le Registre des meilleures pratiques de sauvegarde en développant d</w:t>
            </w:r>
            <w:r>
              <w:rPr>
                <w:rFonts w:ascii="Arial" w:hAnsi="Arial"/>
                <w:b/>
                <w:sz w:val="22"/>
              </w:rPr>
              <w:t>’</w:t>
            </w:r>
            <w:r w:rsidRPr="00973B8A">
              <w:rPr>
                <w:rFonts w:ascii="Arial" w:hAnsi="Arial"/>
                <w:b/>
                <w:sz w:val="22"/>
              </w:rPr>
              <w:t>autres moyens plus légers pour partager les expériences de sauvegarde tels que des sites web dédiés, des bulletins d</w:t>
            </w:r>
            <w:r>
              <w:rPr>
                <w:rFonts w:ascii="Arial" w:hAnsi="Arial"/>
                <w:b/>
                <w:sz w:val="22"/>
              </w:rPr>
              <w:t>’</w:t>
            </w:r>
            <w:r w:rsidRPr="00973B8A">
              <w:rPr>
                <w:rFonts w:ascii="Arial" w:hAnsi="Arial"/>
                <w:b/>
                <w:sz w:val="22"/>
              </w:rPr>
              <w:t>information électroniques, des forums en ligne, etc. (Cett</w:t>
            </w:r>
            <w:r w:rsidR="0098370B">
              <w:rPr>
                <w:rFonts w:ascii="Arial" w:hAnsi="Arial"/>
                <w:b/>
                <w:sz w:val="22"/>
              </w:rPr>
              <w:t xml:space="preserve">e recommandation est liée à la </w:t>
            </w:r>
            <w:r w:rsidRPr="00973B8A">
              <w:rPr>
                <w:rFonts w:ascii="Arial" w:hAnsi="Arial"/>
                <w:b/>
                <w:sz w:val="22"/>
              </w:rPr>
              <w:t>recommandation 19)</w:t>
            </w:r>
            <w:r>
              <w:rPr>
                <w:rFonts w:ascii="Arial" w:hAnsi="Arial"/>
                <w:b/>
                <w:sz w:val="22"/>
              </w:rPr>
              <w:t>.</w:t>
            </w:r>
          </w:p>
        </w:tc>
      </w:tr>
      <w:tr w:rsidR="00737BAB" w:rsidRPr="00A76B7D" w14:paraId="7CDC6EFF" w14:textId="77777777" w:rsidTr="00737BAB">
        <w:tc>
          <w:tcPr>
            <w:tcW w:w="14358" w:type="dxa"/>
            <w:gridSpan w:val="5"/>
            <w:noWrap/>
            <w:tcMar>
              <w:top w:w="40" w:type="dxa"/>
              <w:left w:w="40" w:type="dxa"/>
              <w:bottom w:w="40" w:type="dxa"/>
              <w:right w:w="40" w:type="dxa"/>
            </w:tcMar>
          </w:tcPr>
          <w:p w14:paraId="7C525038" w14:textId="5E9D168E" w:rsidR="00737BAB" w:rsidRPr="00A76B7D" w:rsidRDefault="00737BAB" w:rsidP="0098370B">
            <w:pPr>
              <w:spacing w:before="100" w:after="100"/>
              <w:ind w:left="113" w:right="113"/>
              <w:rPr>
                <w:rFonts w:ascii="Arial" w:hAnsi="Arial" w:cs="Arial"/>
                <w:sz w:val="22"/>
                <w:szCs w:val="22"/>
              </w:rPr>
            </w:pPr>
            <w:r>
              <w:rPr>
                <w:rFonts w:ascii="Arial" w:hAnsi="Arial"/>
                <w:b/>
                <w:sz w:val="22"/>
              </w:rPr>
              <w:t>Réponse de la direction :</w:t>
            </w:r>
            <w:r>
              <w:rPr>
                <w:rFonts w:ascii="Arial" w:hAnsi="Arial"/>
                <w:sz w:val="22"/>
              </w:rPr>
              <w:t xml:space="preserve"> Différentes parties prenantes, et en particulier le forum des ONG, devront être consultées sur </w:t>
            </w:r>
            <w:r w:rsidRPr="00FD5402">
              <w:rPr>
                <w:rFonts w:ascii="Arial" w:hAnsi="Arial"/>
                <w:sz w:val="22"/>
              </w:rPr>
              <w:t>d</w:t>
            </w:r>
            <w:r>
              <w:rPr>
                <w:rFonts w:ascii="Arial" w:hAnsi="Arial"/>
                <w:sz w:val="22"/>
              </w:rPr>
              <w:t>’</w:t>
            </w:r>
            <w:r w:rsidRPr="00FD5402">
              <w:rPr>
                <w:rFonts w:ascii="Arial" w:hAnsi="Arial"/>
                <w:sz w:val="22"/>
              </w:rPr>
              <w:t>autres moyens plus légers</w:t>
            </w:r>
            <w:r>
              <w:rPr>
                <w:rFonts w:ascii="Arial" w:hAnsi="Arial"/>
                <w:sz w:val="22"/>
              </w:rPr>
              <w:t>. Les bonnes pratiques peuvent être identifiées moyennant l’analyse de rapports périodiques.</w:t>
            </w:r>
            <w:r w:rsidR="0098370B">
              <w:rPr>
                <w:rFonts w:ascii="Arial" w:hAnsi="Arial"/>
                <w:sz w:val="22"/>
              </w:rPr>
              <w:t xml:space="preserve"> Compte tenu des ressources financières et humaines limitées, des actions plus importantes visant à promouvoir les exemples de bonnes pratiques de sauvegarde n’ont pas pu être initiées.</w:t>
            </w:r>
          </w:p>
        </w:tc>
      </w:tr>
      <w:tr w:rsidR="00737BAB" w:rsidRPr="00A76B7D" w14:paraId="41C841C8" w14:textId="77777777" w:rsidTr="00737BAB">
        <w:tc>
          <w:tcPr>
            <w:tcW w:w="4717" w:type="dxa"/>
            <w:gridSpan w:val="2"/>
            <w:tcBorders>
              <w:bottom w:val="single" w:sz="4" w:space="0" w:color="auto"/>
            </w:tcBorders>
            <w:noWrap/>
            <w:tcMar>
              <w:top w:w="40" w:type="dxa"/>
              <w:left w:w="40" w:type="dxa"/>
              <w:bottom w:w="40" w:type="dxa"/>
              <w:right w:w="40" w:type="dxa"/>
            </w:tcMar>
          </w:tcPr>
          <w:p w14:paraId="2F9B3A2D" w14:textId="77777777" w:rsidR="00737BAB" w:rsidRPr="00A76B7D" w:rsidRDefault="00737BAB" w:rsidP="00737BAB">
            <w:pPr>
              <w:spacing w:before="100" w:after="10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14:paraId="7113AED4" w14:textId="77777777" w:rsidR="00737BAB" w:rsidRPr="00A76B7D" w:rsidRDefault="00737BAB" w:rsidP="00737BAB">
            <w:pPr>
              <w:spacing w:before="100" w:after="10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14:paraId="1B26FD18" w14:textId="77777777" w:rsidR="00737BAB" w:rsidRPr="00A76B7D" w:rsidRDefault="00737BAB" w:rsidP="00737BAB">
            <w:pPr>
              <w:spacing w:before="100" w:after="100"/>
              <w:jc w:val="center"/>
              <w:rPr>
                <w:rFonts w:ascii="Arial" w:hAnsi="Arial" w:cs="Arial"/>
                <w:b/>
                <w:sz w:val="22"/>
                <w:szCs w:val="22"/>
              </w:rPr>
            </w:pPr>
            <w:r>
              <w:rPr>
                <w:rFonts w:ascii="Arial" w:hAnsi="Arial"/>
                <w:b/>
                <w:sz w:val="22"/>
              </w:rPr>
              <w:t>Statut</w:t>
            </w:r>
          </w:p>
        </w:tc>
      </w:tr>
      <w:tr w:rsidR="00737BAB" w:rsidRPr="00A76B7D" w14:paraId="2AFC3083" w14:textId="77777777" w:rsidTr="00737BAB">
        <w:tc>
          <w:tcPr>
            <w:tcW w:w="4717" w:type="dxa"/>
            <w:gridSpan w:val="2"/>
            <w:shd w:val="clear" w:color="auto" w:fill="FFFFFF" w:themeFill="background1"/>
            <w:noWrap/>
            <w:tcMar>
              <w:top w:w="40" w:type="dxa"/>
              <w:left w:w="40" w:type="dxa"/>
              <w:bottom w:w="40" w:type="dxa"/>
              <w:right w:w="40" w:type="dxa"/>
            </w:tcMar>
          </w:tcPr>
          <w:p w14:paraId="3A907B1C" w14:textId="4101C0AC" w:rsidR="00737BAB" w:rsidRPr="00A76B7D" w:rsidRDefault="00737BAB" w:rsidP="00737BAB">
            <w:pPr>
              <w:spacing w:before="100" w:after="100"/>
              <w:ind w:left="113"/>
              <w:rPr>
                <w:rFonts w:ascii="Arial" w:hAnsi="Arial" w:cs="Arial"/>
                <w:sz w:val="22"/>
                <w:szCs w:val="22"/>
              </w:rPr>
            </w:pPr>
            <w:r>
              <w:rPr>
                <w:rFonts w:ascii="Arial" w:hAnsi="Arial"/>
                <w:sz w:val="22"/>
              </w:rPr>
              <w:t>Consulter différentes parties prenantes, en particulier le forum des ONG</w:t>
            </w:r>
            <w:r w:rsidR="008D19FF">
              <w:rPr>
                <w:rFonts w:ascii="Arial" w:hAnsi="Arial"/>
                <w:sz w:val="22"/>
              </w:rPr>
              <w:t>, sur</w:t>
            </w:r>
            <w:r>
              <w:rPr>
                <w:rFonts w:ascii="Arial" w:hAnsi="Arial"/>
                <w:sz w:val="22"/>
              </w:rPr>
              <w:t xml:space="preserve"> </w:t>
            </w:r>
            <w:r w:rsidRPr="004B2180">
              <w:rPr>
                <w:rFonts w:ascii="Arial" w:hAnsi="Arial"/>
                <w:sz w:val="22"/>
              </w:rPr>
              <w:t>d</w:t>
            </w:r>
            <w:r>
              <w:rPr>
                <w:rFonts w:ascii="Arial" w:hAnsi="Arial"/>
                <w:sz w:val="22"/>
              </w:rPr>
              <w:t>’</w:t>
            </w:r>
            <w:r w:rsidRPr="004B2180">
              <w:rPr>
                <w:rFonts w:ascii="Arial" w:hAnsi="Arial"/>
                <w:sz w:val="22"/>
              </w:rPr>
              <w:t>autres moyens plus légers</w:t>
            </w:r>
            <w:r w:rsidR="008D19FF">
              <w:rPr>
                <w:rFonts w:ascii="Arial" w:hAnsi="Arial"/>
                <w:sz w:val="22"/>
              </w:rPr>
              <w:t xml:space="preserve"> et alternatifs</w:t>
            </w:r>
            <w:r>
              <w:rPr>
                <w:rFonts w:ascii="Arial" w:hAnsi="Arial"/>
                <w:sz w:val="22"/>
              </w:rPr>
              <w:t>.</w:t>
            </w:r>
          </w:p>
        </w:tc>
        <w:tc>
          <w:tcPr>
            <w:tcW w:w="1986" w:type="dxa"/>
            <w:gridSpan w:val="2"/>
            <w:shd w:val="clear" w:color="auto" w:fill="FFFFFF" w:themeFill="background1"/>
            <w:noWrap/>
            <w:tcMar>
              <w:top w:w="40" w:type="dxa"/>
              <w:left w:w="40" w:type="dxa"/>
              <w:bottom w:w="40" w:type="dxa"/>
              <w:right w:w="40" w:type="dxa"/>
            </w:tcMar>
          </w:tcPr>
          <w:p w14:paraId="53CFB8C3" w14:textId="77777777" w:rsidR="00737BAB" w:rsidRPr="00A76B7D" w:rsidRDefault="00737BAB" w:rsidP="00737BAB">
            <w:pPr>
              <w:spacing w:before="100" w:after="100"/>
              <w:ind w:left="57"/>
              <w:rPr>
                <w:rFonts w:ascii="Arial" w:hAnsi="Arial" w:cs="Arial"/>
                <w:sz w:val="22"/>
                <w:szCs w:val="22"/>
              </w:rPr>
            </w:pPr>
            <w:r>
              <w:rPr>
                <w:rFonts w:ascii="Arial" w:hAnsi="Arial"/>
                <w:sz w:val="22"/>
              </w:rPr>
              <w:t>septembre 2014</w:t>
            </w:r>
          </w:p>
        </w:tc>
        <w:tc>
          <w:tcPr>
            <w:tcW w:w="7655" w:type="dxa"/>
            <w:shd w:val="clear" w:color="auto" w:fill="FFFFFF" w:themeFill="background1"/>
            <w:noWrap/>
            <w:tcMar>
              <w:top w:w="40" w:type="dxa"/>
              <w:left w:w="40" w:type="dxa"/>
              <w:bottom w:w="40" w:type="dxa"/>
              <w:right w:w="40" w:type="dxa"/>
            </w:tcMar>
          </w:tcPr>
          <w:p w14:paraId="62EFF7A4" w14:textId="77777777" w:rsidR="00737BAB" w:rsidRPr="00A76B7D" w:rsidRDefault="00737BAB" w:rsidP="00737BAB">
            <w:pPr>
              <w:pStyle w:val="ListParagraph"/>
              <w:numPr>
                <w:ilvl w:val="0"/>
                <w:numId w:val="39"/>
              </w:numPr>
              <w:spacing w:before="100" w:after="100"/>
              <w:ind w:left="470" w:hanging="357"/>
              <w:rPr>
                <w:rFonts w:ascii="Arial" w:hAnsi="Arial" w:cs="Arial"/>
                <w:sz w:val="22"/>
                <w:szCs w:val="22"/>
              </w:rPr>
            </w:pPr>
            <w:r>
              <w:rPr>
                <w:rFonts w:ascii="Arial" w:hAnsi="Arial"/>
                <w:sz w:val="22"/>
              </w:rPr>
              <w:t xml:space="preserve">Les représentants du forum des ONG ont été consultés en décembre 2013, les membres de l’Organe consultatif en septembre 2014 et les centres de catégorie 2 en octobre 2014 </w:t>
            </w:r>
            <w:r w:rsidRPr="00464203">
              <w:rPr>
                <w:rFonts w:ascii="Arial" w:hAnsi="Arial"/>
                <w:sz w:val="22"/>
              </w:rPr>
              <w:t>(</w:t>
            </w:r>
            <w:r w:rsidRPr="00464203">
              <w:rPr>
                <w:rFonts w:ascii="Arial" w:hAnsi="Arial"/>
                <w:b/>
                <w:sz w:val="22"/>
              </w:rPr>
              <w:t>action terminée</w:t>
            </w:r>
            <w:r w:rsidRPr="00464203">
              <w:rPr>
                <w:rFonts w:ascii="Arial" w:hAnsi="Arial"/>
                <w:sz w:val="22"/>
              </w:rPr>
              <w:t>).</w:t>
            </w:r>
            <w:r w:rsidRPr="00464203" w:rsidDel="001E3D6D">
              <w:rPr>
                <w:rFonts w:ascii="Arial" w:hAnsi="Arial"/>
                <w:b/>
                <w:sz w:val="22"/>
              </w:rPr>
              <w:t xml:space="preserve"> </w:t>
            </w:r>
          </w:p>
        </w:tc>
      </w:tr>
      <w:tr w:rsidR="00737BAB" w:rsidRPr="00A76B7D" w14:paraId="432F36E8" w14:textId="77777777" w:rsidTr="00737BAB">
        <w:tc>
          <w:tcPr>
            <w:tcW w:w="4717" w:type="dxa"/>
            <w:gridSpan w:val="2"/>
            <w:noWrap/>
            <w:tcMar>
              <w:top w:w="40" w:type="dxa"/>
              <w:left w:w="40" w:type="dxa"/>
              <w:bottom w:w="40" w:type="dxa"/>
              <w:right w:w="40" w:type="dxa"/>
            </w:tcMar>
          </w:tcPr>
          <w:p w14:paraId="27DDD494" w14:textId="77777777" w:rsidR="00737BAB" w:rsidRPr="00A76B7D" w:rsidRDefault="00737BAB" w:rsidP="00737BAB">
            <w:pPr>
              <w:spacing w:before="100" w:after="100"/>
              <w:ind w:left="113"/>
              <w:rPr>
                <w:rFonts w:ascii="Arial" w:hAnsi="Arial" w:cs="Arial"/>
                <w:sz w:val="22"/>
                <w:szCs w:val="22"/>
              </w:rPr>
            </w:pPr>
            <w:r>
              <w:rPr>
                <w:rFonts w:ascii="Arial" w:hAnsi="Arial"/>
                <w:sz w:val="22"/>
              </w:rPr>
              <w:t>Identifier les bonnes pratiques au moyen d’analyses de rapports périodiques.</w:t>
            </w:r>
          </w:p>
        </w:tc>
        <w:tc>
          <w:tcPr>
            <w:tcW w:w="1986" w:type="dxa"/>
            <w:gridSpan w:val="2"/>
            <w:noWrap/>
            <w:tcMar>
              <w:top w:w="40" w:type="dxa"/>
              <w:left w:w="40" w:type="dxa"/>
              <w:bottom w:w="40" w:type="dxa"/>
              <w:right w:w="40" w:type="dxa"/>
            </w:tcMar>
          </w:tcPr>
          <w:p w14:paraId="0430F415" w14:textId="77777777" w:rsidR="00737BAB" w:rsidRPr="00A76B7D" w:rsidRDefault="00737BAB" w:rsidP="00737BAB">
            <w:pPr>
              <w:spacing w:before="100" w:after="10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65107396" w14:textId="306838D0" w:rsidR="00737BAB" w:rsidRPr="00A76B7D" w:rsidRDefault="00737BAB" w:rsidP="00AC5F21">
            <w:pPr>
              <w:pStyle w:val="ListParagraph"/>
              <w:keepNext/>
              <w:keepLines/>
              <w:numPr>
                <w:ilvl w:val="0"/>
                <w:numId w:val="39"/>
              </w:numPr>
              <w:spacing w:before="100" w:after="100"/>
              <w:ind w:left="470" w:hanging="357"/>
              <w:rPr>
                <w:rFonts w:ascii="Arial" w:hAnsi="Arial" w:cs="Arial"/>
                <w:b/>
                <w:sz w:val="22"/>
                <w:szCs w:val="22"/>
                <w:u w:val="single"/>
              </w:rPr>
            </w:pPr>
            <w:r>
              <w:rPr>
                <w:rFonts w:ascii="Arial" w:hAnsi="Arial"/>
                <w:sz w:val="22"/>
              </w:rPr>
              <w:t>Les synthèses des</w:t>
            </w:r>
            <w:r w:rsidR="008D19FF">
              <w:rPr>
                <w:rFonts w:ascii="Arial" w:hAnsi="Arial"/>
                <w:sz w:val="22"/>
              </w:rPr>
              <w:t xml:space="preserve"> 27 et 24 rapports périodiques </w:t>
            </w:r>
            <w:r>
              <w:rPr>
                <w:rFonts w:ascii="Arial" w:hAnsi="Arial"/>
                <w:sz w:val="22"/>
              </w:rPr>
              <w:t>soumis pour examen par le Comité lors de sa neuvième et dixième sessions contiennent une analyse des pratiques de sauvegarde.</w:t>
            </w:r>
          </w:p>
        </w:tc>
      </w:tr>
      <w:tr w:rsidR="00737BAB" w:rsidRPr="00A76B7D" w14:paraId="6FA1FB60" w14:textId="77777777" w:rsidTr="00737BAB">
        <w:tc>
          <w:tcPr>
            <w:tcW w:w="14358" w:type="dxa"/>
            <w:gridSpan w:val="5"/>
            <w:shd w:val="clear" w:color="auto" w:fill="E6E6E6"/>
            <w:noWrap/>
            <w:tcMar>
              <w:top w:w="40" w:type="dxa"/>
              <w:left w:w="40" w:type="dxa"/>
              <w:bottom w:w="40" w:type="dxa"/>
              <w:right w:w="40" w:type="dxa"/>
            </w:tcMar>
          </w:tcPr>
          <w:p w14:paraId="055A2DF6" w14:textId="77777777" w:rsidR="00737BAB" w:rsidRPr="00A76B7D" w:rsidRDefault="00737BAB" w:rsidP="00AC5F21">
            <w:pPr>
              <w:keepNext/>
              <w:keepLines/>
              <w:tabs>
                <w:tab w:val="left" w:pos="2640"/>
              </w:tabs>
              <w:spacing w:before="120" w:after="120"/>
              <w:ind w:left="113" w:right="113"/>
              <w:contextualSpacing/>
              <w:jc w:val="both"/>
              <w:rPr>
                <w:rFonts w:ascii="Arial" w:hAnsi="Arial" w:cs="Arial"/>
                <w:b/>
                <w:sz w:val="22"/>
                <w:szCs w:val="22"/>
              </w:rPr>
            </w:pPr>
            <w:r>
              <w:rPr>
                <w:rFonts w:ascii="Arial" w:hAnsi="Arial"/>
                <w:b/>
                <w:sz w:val="22"/>
              </w:rPr>
              <w:t xml:space="preserve">Recommandation 13 : </w:t>
            </w:r>
            <w:r w:rsidRPr="00973B8A">
              <w:rPr>
                <w:rFonts w:ascii="Arial" w:hAnsi="Arial"/>
                <w:b/>
                <w:sz w:val="22"/>
              </w:rPr>
              <w:t>Donner la priorité aux demandes d</w:t>
            </w:r>
            <w:r>
              <w:rPr>
                <w:rFonts w:ascii="Arial" w:hAnsi="Arial"/>
                <w:b/>
                <w:sz w:val="22"/>
              </w:rPr>
              <w:t>’</w:t>
            </w:r>
            <w:r w:rsidRPr="00973B8A">
              <w:rPr>
                <w:rFonts w:ascii="Arial" w:hAnsi="Arial"/>
                <w:b/>
                <w:sz w:val="22"/>
              </w:rPr>
              <w:t>assistance internationale en respectant le nombre maximum de dossiers dans le cadre des mécanismes de la Convention.</w:t>
            </w:r>
          </w:p>
        </w:tc>
      </w:tr>
      <w:tr w:rsidR="00737BAB" w:rsidRPr="00A76B7D" w14:paraId="021E69E3" w14:textId="77777777" w:rsidTr="00737BAB">
        <w:tc>
          <w:tcPr>
            <w:tcW w:w="14358" w:type="dxa"/>
            <w:gridSpan w:val="5"/>
            <w:noWrap/>
            <w:tcMar>
              <w:top w:w="40" w:type="dxa"/>
              <w:left w:w="40" w:type="dxa"/>
              <w:bottom w:w="40" w:type="dxa"/>
              <w:right w:w="40" w:type="dxa"/>
            </w:tcMar>
          </w:tcPr>
          <w:p w14:paraId="343576E1" w14:textId="1D6B8CEA" w:rsidR="00737BAB" w:rsidRPr="00A76B7D" w:rsidRDefault="00737BAB" w:rsidP="00737BAB">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Ceci a été proposé par le Secrétariat au Comité dans sa huitième session (</w:t>
            </w:r>
            <w:hyperlink r:id="rId80">
              <w:r>
                <w:rPr>
                  <w:rStyle w:val="Hyperlink"/>
                  <w:rFonts w:ascii="Arial" w:hAnsi="Arial"/>
                  <w:sz w:val="22"/>
                </w:rPr>
                <w:t>document ITH/13/8.COM/5.c</w:t>
              </w:r>
            </w:hyperlink>
            <w:r>
              <w:rPr>
                <w:rFonts w:ascii="Arial" w:hAnsi="Arial"/>
                <w:sz w:val="22"/>
              </w:rPr>
              <w:t>) mais a été refusé par ce dernier. Le Secrétariat offre, malgré tout, un important</w:t>
            </w:r>
            <w:r w:rsidR="003D58D9">
              <w:rPr>
                <w:rFonts w:ascii="Arial" w:hAnsi="Arial"/>
                <w:sz w:val="22"/>
              </w:rPr>
              <w:t xml:space="preserve"> soutien au mécanisme et suivi des </w:t>
            </w:r>
            <w:r>
              <w:rPr>
                <w:rFonts w:ascii="Arial" w:hAnsi="Arial"/>
                <w:sz w:val="22"/>
              </w:rPr>
              <w:t>demandes d’assistance internationale.</w:t>
            </w:r>
          </w:p>
        </w:tc>
      </w:tr>
      <w:tr w:rsidR="00737BAB" w:rsidRPr="00A76B7D" w14:paraId="42447AC8" w14:textId="77777777" w:rsidTr="00737BAB">
        <w:tc>
          <w:tcPr>
            <w:tcW w:w="4717" w:type="dxa"/>
            <w:gridSpan w:val="2"/>
            <w:noWrap/>
            <w:tcMar>
              <w:top w:w="40" w:type="dxa"/>
              <w:left w:w="40" w:type="dxa"/>
              <w:bottom w:w="40" w:type="dxa"/>
              <w:right w:w="40" w:type="dxa"/>
            </w:tcMar>
          </w:tcPr>
          <w:p w14:paraId="63D0DC44"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5E9EFC63"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14455116"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3ED5D438" w14:textId="77777777" w:rsidTr="00737BAB">
        <w:tc>
          <w:tcPr>
            <w:tcW w:w="4717" w:type="dxa"/>
            <w:gridSpan w:val="2"/>
            <w:noWrap/>
            <w:tcMar>
              <w:top w:w="40" w:type="dxa"/>
              <w:left w:w="40" w:type="dxa"/>
              <w:bottom w:w="40" w:type="dxa"/>
              <w:right w:w="40" w:type="dxa"/>
            </w:tcMar>
          </w:tcPr>
          <w:p w14:paraId="58271090"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 xml:space="preserve">Proposer un amendement aux Directives opérationnelles pour augmenter la limite des demandes d’assistance Internationale susceptibles d’être approuvées par le Bureau (actuellement jusqu’à 25 000 dollars des </w:t>
            </w:r>
            <w:r>
              <w:rPr>
                <w:rFonts w:ascii="Arial" w:hAnsi="Arial" w:cs="Arial"/>
                <w:sz w:val="22"/>
              </w:rPr>
              <w:t>É</w:t>
            </w:r>
            <w:r>
              <w:rPr>
                <w:rFonts w:ascii="Arial" w:hAnsi="Arial"/>
                <w:sz w:val="22"/>
              </w:rPr>
              <w:t>tats-Unis).</w:t>
            </w:r>
          </w:p>
        </w:tc>
        <w:tc>
          <w:tcPr>
            <w:tcW w:w="1986" w:type="dxa"/>
            <w:gridSpan w:val="2"/>
            <w:noWrap/>
            <w:tcMar>
              <w:top w:w="40" w:type="dxa"/>
              <w:left w:w="40" w:type="dxa"/>
              <w:bottom w:w="40" w:type="dxa"/>
              <w:right w:w="40" w:type="dxa"/>
            </w:tcMar>
          </w:tcPr>
          <w:p w14:paraId="6DB35035" w14:textId="77777777" w:rsidR="00737BAB" w:rsidRPr="00A76B7D" w:rsidRDefault="00737BAB" w:rsidP="00737BAB">
            <w:pPr>
              <w:spacing w:before="120" w:after="120"/>
              <w:ind w:left="57"/>
              <w:rPr>
                <w:rFonts w:ascii="Arial" w:hAnsi="Arial" w:cs="Arial"/>
                <w:sz w:val="22"/>
                <w:szCs w:val="22"/>
              </w:rPr>
            </w:pPr>
            <w:r>
              <w:rPr>
                <w:rFonts w:ascii="Arial" w:hAnsi="Arial"/>
                <w:sz w:val="22"/>
              </w:rPr>
              <w:t>décembre 2015</w:t>
            </w:r>
          </w:p>
        </w:tc>
        <w:tc>
          <w:tcPr>
            <w:tcW w:w="7655" w:type="dxa"/>
            <w:noWrap/>
            <w:tcMar>
              <w:top w:w="40" w:type="dxa"/>
              <w:left w:w="40" w:type="dxa"/>
              <w:bottom w:w="40" w:type="dxa"/>
              <w:right w:w="40" w:type="dxa"/>
            </w:tcMar>
          </w:tcPr>
          <w:p w14:paraId="1318F0AD" w14:textId="74913D2A" w:rsidR="00737BAB" w:rsidRPr="00A76B7D" w:rsidRDefault="003D58D9" w:rsidP="003D58D9">
            <w:pPr>
              <w:pStyle w:val="ListParagraph"/>
              <w:numPr>
                <w:ilvl w:val="0"/>
                <w:numId w:val="39"/>
              </w:numPr>
              <w:spacing w:before="120" w:after="120"/>
              <w:ind w:left="470" w:hanging="357"/>
              <w:rPr>
                <w:rFonts w:ascii="Arial" w:hAnsi="Arial" w:cs="Arial"/>
                <w:b/>
                <w:sz w:val="22"/>
                <w:szCs w:val="22"/>
                <w:u w:val="single"/>
              </w:rPr>
            </w:pPr>
            <w:r>
              <w:rPr>
                <w:rFonts w:ascii="Arial" w:hAnsi="Arial"/>
                <w:sz w:val="22"/>
              </w:rPr>
              <w:t xml:space="preserve">La proposition d’augmenter le plafond à 100 000 dollars des </w:t>
            </w:r>
            <w:r>
              <w:rPr>
                <w:rFonts w:ascii="Arial" w:hAnsi="Arial" w:cs="Arial"/>
                <w:sz w:val="22"/>
              </w:rPr>
              <w:t xml:space="preserve">États-Unis a été approuvée par le Comité lors de sa </w:t>
            </w:r>
            <w:r w:rsidR="00737BAB">
              <w:rPr>
                <w:rFonts w:ascii="Arial" w:hAnsi="Arial"/>
                <w:sz w:val="22"/>
              </w:rPr>
              <w:t>dixième session</w:t>
            </w:r>
            <w:r w:rsidR="00275865">
              <w:rPr>
                <w:rFonts w:ascii="Arial" w:hAnsi="Arial"/>
                <w:sz w:val="22"/>
              </w:rPr>
              <w:t xml:space="preserve"> (</w:t>
            </w:r>
            <w:r w:rsidR="00275865" w:rsidRPr="00275865">
              <w:rPr>
                <w:rFonts w:ascii="Arial" w:hAnsi="Arial"/>
                <w:b/>
                <w:sz w:val="22"/>
              </w:rPr>
              <w:t>action terminée</w:t>
            </w:r>
            <w:r w:rsidR="00275865">
              <w:rPr>
                <w:rFonts w:ascii="Arial" w:hAnsi="Arial"/>
                <w:sz w:val="22"/>
              </w:rPr>
              <w:t>)</w:t>
            </w:r>
            <w:r w:rsidR="00737BAB">
              <w:rPr>
                <w:rFonts w:ascii="Arial" w:hAnsi="Arial"/>
                <w:sz w:val="22"/>
              </w:rPr>
              <w:t>.</w:t>
            </w:r>
          </w:p>
        </w:tc>
      </w:tr>
      <w:tr w:rsidR="00737BAB" w:rsidRPr="00A76B7D" w14:paraId="484086A6" w14:textId="77777777" w:rsidTr="00737BAB">
        <w:tc>
          <w:tcPr>
            <w:tcW w:w="4717" w:type="dxa"/>
            <w:gridSpan w:val="2"/>
            <w:noWrap/>
            <w:tcMar>
              <w:top w:w="40" w:type="dxa"/>
              <w:left w:w="40" w:type="dxa"/>
              <w:bottom w:w="40" w:type="dxa"/>
              <w:right w:w="40" w:type="dxa"/>
            </w:tcMar>
          </w:tcPr>
          <w:p w14:paraId="2C3B4B1A" w14:textId="0220C46F" w:rsidR="00737BAB" w:rsidRPr="00A76B7D" w:rsidDel="00ED20A1" w:rsidRDefault="00737BAB" w:rsidP="003C636D">
            <w:pPr>
              <w:keepNext/>
              <w:keepLines/>
              <w:spacing w:before="120" w:after="120"/>
              <w:ind w:left="113" w:right="57"/>
              <w:rPr>
                <w:rFonts w:ascii="Arial" w:hAnsi="Arial" w:cs="Arial"/>
                <w:sz w:val="22"/>
                <w:szCs w:val="22"/>
              </w:rPr>
            </w:pPr>
            <w:r>
              <w:rPr>
                <w:rFonts w:ascii="Arial" w:hAnsi="Arial"/>
                <w:sz w:val="22"/>
              </w:rPr>
              <w:t xml:space="preserve">Présenter à l’Assemblée générale un amendement aux Directives opérationnelles pour augmenter la limite des </w:t>
            </w:r>
            <w:r w:rsidR="00AC5F21">
              <w:rPr>
                <w:rFonts w:ascii="Arial" w:hAnsi="Arial"/>
                <w:sz w:val="22"/>
              </w:rPr>
              <w:t>demandes d’assistance i</w:t>
            </w:r>
            <w:r>
              <w:rPr>
                <w:rFonts w:ascii="Arial" w:hAnsi="Arial"/>
                <w:sz w:val="22"/>
              </w:rPr>
              <w:t>nternationale susceptibles d’être approuvées par le Bureau (actuellement jusqu’à 25 000 dollars des États Unis).</w:t>
            </w:r>
          </w:p>
        </w:tc>
        <w:tc>
          <w:tcPr>
            <w:tcW w:w="1986" w:type="dxa"/>
            <w:gridSpan w:val="2"/>
            <w:noWrap/>
            <w:tcMar>
              <w:top w:w="40" w:type="dxa"/>
              <w:left w:w="40" w:type="dxa"/>
              <w:bottom w:w="40" w:type="dxa"/>
              <w:right w:w="40" w:type="dxa"/>
            </w:tcMar>
          </w:tcPr>
          <w:p w14:paraId="79BCE75A" w14:textId="77777777" w:rsidR="00737BAB" w:rsidRPr="00A76B7D" w:rsidDel="00ED20A1" w:rsidRDefault="00737BAB" w:rsidP="003C636D">
            <w:pPr>
              <w:keepNext/>
              <w:keepLines/>
              <w:spacing w:before="120" w:after="120"/>
              <w:ind w:left="57"/>
              <w:rPr>
                <w:rFonts w:ascii="Arial" w:hAnsi="Arial" w:cs="Arial"/>
                <w:sz w:val="22"/>
                <w:szCs w:val="22"/>
              </w:rPr>
            </w:pPr>
            <w:r>
              <w:rPr>
                <w:rFonts w:ascii="Arial" w:hAnsi="Arial"/>
                <w:sz w:val="22"/>
              </w:rPr>
              <w:t>juin 2016</w:t>
            </w:r>
          </w:p>
        </w:tc>
        <w:tc>
          <w:tcPr>
            <w:tcW w:w="7655" w:type="dxa"/>
            <w:noWrap/>
            <w:tcMar>
              <w:top w:w="40" w:type="dxa"/>
              <w:left w:w="40" w:type="dxa"/>
              <w:bottom w:w="40" w:type="dxa"/>
              <w:right w:w="40" w:type="dxa"/>
            </w:tcMar>
          </w:tcPr>
          <w:p w14:paraId="5F046FC3" w14:textId="6C6F856D" w:rsidR="00737BAB" w:rsidRPr="00A76B7D" w:rsidDel="00ED20A1" w:rsidRDefault="00737BAB" w:rsidP="003C636D">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 xml:space="preserve">L’Assemblée générale doit approuver lors de </w:t>
            </w:r>
            <w:r w:rsidR="00AC5F21">
              <w:rPr>
                <w:rFonts w:ascii="Arial" w:hAnsi="Arial"/>
                <w:sz w:val="22"/>
              </w:rPr>
              <w:t>la présente</w:t>
            </w:r>
            <w:r>
              <w:rPr>
                <w:rFonts w:ascii="Arial" w:hAnsi="Arial"/>
                <w:sz w:val="22"/>
              </w:rPr>
              <w:t xml:space="preserve"> session en 2016 les amendements aux Directives opérationnelles (chapitres I.8, I.10, I.14 et I.15) afin d’augmenter la limite des demandes d’assistance internationale susceptibles d’être approuvées par le Bureau (actuellement jusqu’à 25 000 dollars des États-Unis)</w:t>
            </w:r>
            <w:r w:rsidR="00AC5F21">
              <w:rPr>
                <w:rFonts w:ascii="Arial" w:hAnsi="Arial"/>
                <w:sz w:val="22"/>
              </w:rPr>
              <w:t xml:space="preserve"> à 100 000 dollars des </w:t>
            </w:r>
            <w:r w:rsidR="00AC5F21">
              <w:rPr>
                <w:rFonts w:ascii="Arial" w:hAnsi="Arial" w:cs="Arial"/>
                <w:sz w:val="22"/>
              </w:rPr>
              <w:t>É</w:t>
            </w:r>
            <w:r w:rsidR="00AC5F21">
              <w:rPr>
                <w:rFonts w:ascii="Arial" w:hAnsi="Arial"/>
                <w:sz w:val="22"/>
              </w:rPr>
              <w:t xml:space="preserve">tats-Unis. </w:t>
            </w:r>
            <w:r>
              <w:rPr>
                <w:rFonts w:ascii="Arial" w:hAnsi="Arial"/>
                <w:sz w:val="22"/>
              </w:rPr>
              <w:t>.</w:t>
            </w:r>
          </w:p>
        </w:tc>
      </w:tr>
      <w:tr w:rsidR="00737BAB" w:rsidRPr="00A76B7D" w14:paraId="674DD861" w14:textId="77777777" w:rsidTr="00737BAB">
        <w:tc>
          <w:tcPr>
            <w:tcW w:w="14358" w:type="dxa"/>
            <w:gridSpan w:val="5"/>
            <w:shd w:val="clear" w:color="auto" w:fill="E6E6E6"/>
            <w:noWrap/>
            <w:tcMar>
              <w:top w:w="40" w:type="dxa"/>
              <w:left w:w="40" w:type="dxa"/>
              <w:bottom w:w="40" w:type="dxa"/>
              <w:right w:w="40" w:type="dxa"/>
            </w:tcMar>
          </w:tcPr>
          <w:p w14:paraId="6E7A5CFA" w14:textId="77777777" w:rsidR="00737BAB" w:rsidRPr="00A76B7D" w:rsidRDefault="00737BAB" w:rsidP="003C636D">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14 : </w:t>
            </w:r>
            <w:r w:rsidRPr="008A3237">
              <w:rPr>
                <w:rFonts w:ascii="Arial" w:hAnsi="Arial"/>
                <w:b/>
                <w:sz w:val="22"/>
              </w:rPr>
              <w:t>Promouvoir l</w:t>
            </w:r>
            <w:r>
              <w:rPr>
                <w:rFonts w:ascii="Arial" w:hAnsi="Arial"/>
                <w:b/>
                <w:sz w:val="22"/>
              </w:rPr>
              <w:t>’</w:t>
            </w:r>
            <w:r w:rsidRPr="008A3237">
              <w:rPr>
                <w:rFonts w:ascii="Arial" w:hAnsi="Arial"/>
                <w:b/>
                <w:sz w:val="22"/>
              </w:rPr>
              <w:t>assistance internationale en tant que mécanisme de renforcement des capacités pour les États parties.</w:t>
            </w:r>
          </w:p>
        </w:tc>
      </w:tr>
      <w:tr w:rsidR="00737BAB" w:rsidRPr="00A76B7D" w14:paraId="47055DFB" w14:textId="77777777" w:rsidTr="00737BAB">
        <w:tc>
          <w:tcPr>
            <w:tcW w:w="14358" w:type="dxa"/>
            <w:gridSpan w:val="5"/>
            <w:noWrap/>
            <w:tcMar>
              <w:top w:w="40" w:type="dxa"/>
              <w:left w:w="40" w:type="dxa"/>
              <w:bottom w:w="40" w:type="dxa"/>
              <w:right w:w="40" w:type="dxa"/>
            </w:tcMar>
          </w:tcPr>
          <w:p w14:paraId="3073014B" w14:textId="77777777" w:rsidR="00737BAB" w:rsidRPr="00A76B7D" w:rsidRDefault="00737BAB" w:rsidP="00737BAB">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Le Secrétariat fournit des retours importants et fréquents sur les demandes d’assistance internationale, y compris l’assistance technique, et intègre ce travail comme un exercice de renforcement des capacités.</w:t>
            </w:r>
          </w:p>
        </w:tc>
      </w:tr>
      <w:tr w:rsidR="00737BAB" w:rsidRPr="00A76B7D" w14:paraId="47E4C0CE" w14:textId="77777777" w:rsidTr="00737BAB">
        <w:tc>
          <w:tcPr>
            <w:tcW w:w="4717" w:type="dxa"/>
            <w:gridSpan w:val="2"/>
            <w:noWrap/>
            <w:tcMar>
              <w:top w:w="40" w:type="dxa"/>
              <w:left w:w="40" w:type="dxa"/>
              <w:bottom w:w="40" w:type="dxa"/>
              <w:right w:w="40" w:type="dxa"/>
            </w:tcMar>
          </w:tcPr>
          <w:p w14:paraId="33F347D1"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1716EA68"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652B4436"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25F5390D" w14:textId="77777777" w:rsidTr="00737BAB">
        <w:tc>
          <w:tcPr>
            <w:tcW w:w="4717" w:type="dxa"/>
            <w:gridSpan w:val="2"/>
            <w:noWrap/>
            <w:tcMar>
              <w:top w:w="40" w:type="dxa"/>
              <w:left w:w="40" w:type="dxa"/>
              <w:bottom w:w="40" w:type="dxa"/>
              <w:right w:w="40" w:type="dxa"/>
            </w:tcMar>
          </w:tcPr>
          <w:p w14:paraId="2DC57BF9" w14:textId="7D6021C6" w:rsidR="00737BAB" w:rsidRPr="00A76B7D" w:rsidRDefault="00737BAB" w:rsidP="00AC5F21">
            <w:pPr>
              <w:spacing w:before="120" w:after="120"/>
              <w:ind w:left="113" w:right="57"/>
              <w:rPr>
                <w:rFonts w:ascii="Arial" w:hAnsi="Arial" w:cs="Arial"/>
                <w:sz w:val="22"/>
                <w:szCs w:val="22"/>
              </w:rPr>
            </w:pPr>
            <w:r>
              <w:rPr>
                <w:rFonts w:ascii="Arial" w:hAnsi="Arial"/>
                <w:sz w:val="22"/>
              </w:rPr>
              <w:t xml:space="preserve">Fournir une assistance technique </w:t>
            </w:r>
            <w:r w:rsidR="00AC5F21">
              <w:rPr>
                <w:rFonts w:ascii="Arial" w:hAnsi="Arial"/>
                <w:sz w:val="22"/>
              </w:rPr>
              <w:t xml:space="preserve">appropriée </w:t>
            </w:r>
            <w:r>
              <w:rPr>
                <w:rFonts w:ascii="Arial" w:hAnsi="Arial"/>
                <w:sz w:val="22"/>
              </w:rPr>
              <w:t>pour l’élaboration d’assistances internationales et promouvoir d’autres formes</w:t>
            </w:r>
            <w:r w:rsidR="00AC5F21">
              <w:rPr>
                <w:rFonts w:ascii="Arial" w:hAnsi="Arial"/>
                <w:sz w:val="22"/>
              </w:rPr>
              <w:t xml:space="preserve"> d’assistance</w:t>
            </w:r>
            <w:r>
              <w:rPr>
                <w:rFonts w:ascii="Arial" w:hAnsi="Arial"/>
                <w:sz w:val="22"/>
              </w:rPr>
              <w:t xml:space="preserve"> que les simples dons.</w:t>
            </w:r>
          </w:p>
        </w:tc>
        <w:tc>
          <w:tcPr>
            <w:tcW w:w="1986" w:type="dxa"/>
            <w:gridSpan w:val="2"/>
            <w:noWrap/>
            <w:tcMar>
              <w:top w:w="40" w:type="dxa"/>
              <w:left w:w="40" w:type="dxa"/>
              <w:bottom w:w="40" w:type="dxa"/>
              <w:right w:w="40" w:type="dxa"/>
            </w:tcMar>
          </w:tcPr>
          <w:p w14:paraId="0C31D0D5"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6E2538E4"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Suite à la demande du Comité, le Secrétariat « </w:t>
            </w:r>
            <w:r w:rsidRPr="00FD5402">
              <w:rPr>
                <w:rFonts w:ascii="Arial" w:hAnsi="Arial"/>
                <w:sz w:val="22"/>
              </w:rPr>
              <w:t>d</w:t>
            </w:r>
            <w:r>
              <w:rPr>
                <w:rFonts w:ascii="Arial" w:hAnsi="Arial"/>
                <w:sz w:val="22"/>
              </w:rPr>
              <w:t>’</w:t>
            </w:r>
            <w:r w:rsidRPr="00FD5402">
              <w:rPr>
                <w:rFonts w:ascii="Arial" w:hAnsi="Arial"/>
                <w:sz w:val="22"/>
              </w:rPr>
              <w:t>offrir une assistance technique, à travers la mise à disposition d</w:t>
            </w:r>
            <w:r>
              <w:rPr>
                <w:rFonts w:ascii="Arial" w:hAnsi="Arial"/>
                <w:sz w:val="22"/>
              </w:rPr>
              <w:t>’</w:t>
            </w:r>
            <w:r w:rsidRPr="00FD5402">
              <w:rPr>
                <w:rFonts w:ascii="Arial" w:hAnsi="Arial"/>
                <w:sz w:val="22"/>
              </w:rPr>
              <w:t>experts, telle que décrite à l</w:t>
            </w:r>
            <w:r>
              <w:rPr>
                <w:rFonts w:ascii="Arial" w:hAnsi="Arial"/>
                <w:sz w:val="22"/>
              </w:rPr>
              <w:t>’</w:t>
            </w:r>
            <w:r w:rsidRPr="00FD5402">
              <w:rPr>
                <w:rFonts w:ascii="Arial" w:hAnsi="Arial"/>
                <w:sz w:val="22"/>
              </w:rPr>
              <w:t>article 21 de la Convention, aux États parties souhaitant élaborer une demande d</w:t>
            </w:r>
            <w:r>
              <w:rPr>
                <w:rFonts w:ascii="Arial" w:hAnsi="Arial"/>
                <w:sz w:val="22"/>
              </w:rPr>
              <w:t>’</w:t>
            </w:r>
            <w:r w:rsidRPr="00FD5402">
              <w:rPr>
                <w:rFonts w:ascii="Arial" w:hAnsi="Arial"/>
                <w:sz w:val="22"/>
              </w:rPr>
              <w:t>assistance internationale</w:t>
            </w:r>
            <w:r>
              <w:rPr>
                <w:rFonts w:ascii="Arial" w:hAnsi="Arial"/>
                <w:sz w:val="22"/>
              </w:rPr>
              <w:t> » (Décision 8.COM 7.c).</w:t>
            </w:r>
          </w:p>
          <w:p w14:paraId="250487E7"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Huit pays ont déjà profité de ce mécanisme.</w:t>
            </w:r>
          </w:p>
          <w:p w14:paraId="39DE732C" w14:textId="535993B3" w:rsidR="00737BAB" w:rsidRPr="00A76B7D" w:rsidRDefault="00737BAB" w:rsidP="00737BAB">
            <w:pPr>
              <w:pStyle w:val="ListParagraph"/>
              <w:numPr>
                <w:ilvl w:val="0"/>
                <w:numId w:val="39"/>
              </w:numPr>
              <w:spacing w:before="120" w:after="120"/>
              <w:ind w:left="470" w:hanging="357"/>
              <w:rPr>
                <w:rFonts w:ascii="Arial" w:hAnsi="Arial" w:cs="Arial"/>
                <w:b/>
                <w:sz w:val="22"/>
                <w:szCs w:val="22"/>
                <w:u w:val="single"/>
              </w:rPr>
            </w:pPr>
            <w:r>
              <w:rPr>
                <w:rFonts w:ascii="Arial" w:hAnsi="Arial"/>
                <w:sz w:val="22"/>
              </w:rPr>
              <w:t>Le Secrétariat favorisera l’utilisation de l’assistance internationale sous d’autres formes que les</w:t>
            </w:r>
            <w:r w:rsidR="00FB55FF">
              <w:rPr>
                <w:rFonts w:ascii="Arial" w:hAnsi="Arial"/>
                <w:sz w:val="22"/>
              </w:rPr>
              <w:t>simples</w:t>
            </w:r>
            <w:r>
              <w:rPr>
                <w:rFonts w:ascii="Arial" w:hAnsi="Arial"/>
                <w:sz w:val="22"/>
              </w:rPr>
              <w:t xml:space="preserve"> dons, tel que l’indique l’Article 21 de la Convention (</w:t>
            </w:r>
            <w:hyperlink r:id="rId81" w:history="1">
              <w:r w:rsidRPr="00B95496">
                <w:rPr>
                  <w:rStyle w:val="Hyperlink"/>
                  <w:rFonts w:ascii="Arial" w:hAnsi="Arial"/>
                  <w:sz w:val="22"/>
                </w:rPr>
                <w:t>Document ITH/15/10.COM/8</w:t>
              </w:r>
            </w:hyperlink>
            <w:r>
              <w:rPr>
                <w:rFonts w:ascii="Arial" w:hAnsi="Arial"/>
                <w:sz w:val="22"/>
              </w:rPr>
              <w:t>).</w:t>
            </w:r>
          </w:p>
        </w:tc>
      </w:tr>
      <w:tr w:rsidR="00737BAB" w:rsidRPr="00A76B7D" w14:paraId="22BC2D03" w14:textId="77777777" w:rsidTr="00737BAB">
        <w:tc>
          <w:tcPr>
            <w:tcW w:w="4717" w:type="dxa"/>
            <w:gridSpan w:val="2"/>
            <w:noWrap/>
            <w:tcMar>
              <w:top w:w="40" w:type="dxa"/>
              <w:left w:w="40" w:type="dxa"/>
              <w:bottom w:w="40" w:type="dxa"/>
              <w:right w:w="40" w:type="dxa"/>
            </w:tcMar>
          </w:tcPr>
          <w:p w14:paraId="4B9A67F0" w14:textId="1BB3208E" w:rsidR="00737BAB" w:rsidRPr="00A76B7D" w:rsidRDefault="00737BAB" w:rsidP="00737BAB">
            <w:pPr>
              <w:spacing w:before="120" w:after="120"/>
              <w:ind w:left="113" w:right="57"/>
              <w:rPr>
                <w:rFonts w:ascii="Arial" w:hAnsi="Arial" w:cs="Arial"/>
                <w:sz w:val="22"/>
                <w:szCs w:val="22"/>
              </w:rPr>
            </w:pPr>
            <w:r>
              <w:rPr>
                <w:rFonts w:ascii="Arial" w:hAnsi="Arial"/>
                <w:sz w:val="22"/>
              </w:rPr>
              <w:t>Intégrer et suivre les formations relatives à</w:t>
            </w:r>
            <w:r w:rsidR="00FB55FF">
              <w:rPr>
                <w:rFonts w:ascii="Arial" w:hAnsi="Arial"/>
                <w:sz w:val="22"/>
              </w:rPr>
              <w:t xml:space="preserve"> l’élaboration de l’assistance i</w:t>
            </w:r>
            <w:r>
              <w:rPr>
                <w:rFonts w:ascii="Arial" w:hAnsi="Arial"/>
                <w:sz w:val="22"/>
              </w:rPr>
              <w:t>nternationale au sein des projets CAP.</w:t>
            </w:r>
          </w:p>
        </w:tc>
        <w:tc>
          <w:tcPr>
            <w:tcW w:w="1986" w:type="dxa"/>
            <w:gridSpan w:val="2"/>
            <w:noWrap/>
            <w:tcMar>
              <w:top w:w="40" w:type="dxa"/>
              <w:left w:w="40" w:type="dxa"/>
              <w:bottom w:w="40" w:type="dxa"/>
              <w:right w:w="40" w:type="dxa"/>
            </w:tcMar>
          </w:tcPr>
          <w:p w14:paraId="7D922F36" w14:textId="3EF8D9E2" w:rsidR="00737BAB" w:rsidRPr="00A76B7D" w:rsidRDefault="00EC17F5" w:rsidP="00737BAB">
            <w:pPr>
              <w:spacing w:before="120" w:after="120"/>
              <w:ind w:left="57"/>
              <w:rPr>
                <w:rFonts w:ascii="Arial" w:hAnsi="Arial" w:cs="Arial"/>
                <w:sz w:val="22"/>
                <w:szCs w:val="22"/>
              </w:rPr>
            </w:pPr>
            <w:r>
              <w:rPr>
                <w:rFonts w:ascii="Arial" w:hAnsi="Arial"/>
                <w:sz w:val="22"/>
              </w:rPr>
              <w:t>décembre 2016</w:t>
            </w:r>
          </w:p>
        </w:tc>
        <w:tc>
          <w:tcPr>
            <w:tcW w:w="7655" w:type="dxa"/>
            <w:noWrap/>
            <w:tcMar>
              <w:top w:w="40" w:type="dxa"/>
              <w:left w:w="40" w:type="dxa"/>
              <w:bottom w:w="40" w:type="dxa"/>
              <w:right w:w="40" w:type="dxa"/>
            </w:tcMar>
          </w:tcPr>
          <w:p w14:paraId="6C2A2054"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L’assistance internationale a été intégrée dans les différents thèmes des ateliers (sauvegarde, candidatures, etc.).</w:t>
            </w:r>
          </w:p>
          <w:p w14:paraId="27271E25" w14:textId="63CD39DD"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 xml:space="preserve">De nouveaux supports approfondis de formation </w:t>
            </w:r>
            <w:r w:rsidR="00FB55FF">
              <w:rPr>
                <w:rFonts w:ascii="Arial" w:hAnsi="Arial"/>
                <w:sz w:val="22"/>
              </w:rPr>
              <w:t>sur l’élaboration d’assistance i</w:t>
            </w:r>
            <w:r>
              <w:rPr>
                <w:rFonts w:ascii="Arial" w:hAnsi="Arial"/>
                <w:sz w:val="22"/>
              </w:rPr>
              <w:t>nternationale ont été sollicités et seront dispo</w:t>
            </w:r>
            <w:r w:rsidR="00EC17F5">
              <w:rPr>
                <w:rFonts w:ascii="Arial" w:hAnsi="Arial"/>
                <w:sz w:val="22"/>
              </w:rPr>
              <w:t>nibles en anglais d’ici fin 2016</w:t>
            </w:r>
            <w:r>
              <w:rPr>
                <w:rFonts w:ascii="Arial" w:hAnsi="Arial"/>
                <w:sz w:val="22"/>
              </w:rPr>
              <w:t>.</w:t>
            </w:r>
          </w:p>
        </w:tc>
      </w:tr>
      <w:tr w:rsidR="00737BAB" w:rsidRPr="00A76B7D" w14:paraId="2AD8B494" w14:textId="77777777" w:rsidTr="00737BAB">
        <w:tc>
          <w:tcPr>
            <w:tcW w:w="14358" w:type="dxa"/>
            <w:gridSpan w:val="5"/>
            <w:shd w:val="clear" w:color="auto" w:fill="E6E6E6"/>
            <w:noWrap/>
            <w:tcMar>
              <w:top w:w="40" w:type="dxa"/>
              <w:left w:w="40" w:type="dxa"/>
              <w:bottom w:w="40" w:type="dxa"/>
              <w:right w:w="40" w:type="dxa"/>
            </w:tcMar>
          </w:tcPr>
          <w:p w14:paraId="28178F14" w14:textId="77777777" w:rsidR="00737BAB" w:rsidRPr="00A76B7D" w:rsidRDefault="00737BAB" w:rsidP="00737BAB">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15 : </w:t>
            </w:r>
            <w:r w:rsidRPr="00400FB4">
              <w:rPr>
                <w:rFonts w:ascii="Arial" w:hAnsi="Arial"/>
                <w:b/>
                <w:sz w:val="22"/>
              </w:rPr>
              <w:t>Renforcer la coopération de longue date entre l</w:t>
            </w:r>
            <w:r>
              <w:rPr>
                <w:rFonts w:ascii="Arial" w:hAnsi="Arial"/>
                <w:b/>
                <w:sz w:val="22"/>
              </w:rPr>
              <w:t>’</w:t>
            </w:r>
            <w:r w:rsidRPr="00400FB4">
              <w:rPr>
                <w:rFonts w:ascii="Arial" w:hAnsi="Arial"/>
                <w:b/>
                <w:sz w:val="22"/>
              </w:rPr>
              <w:t>UNESCO et l</w:t>
            </w:r>
            <w:r>
              <w:rPr>
                <w:rFonts w:ascii="Arial" w:hAnsi="Arial"/>
                <w:b/>
                <w:sz w:val="22"/>
              </w:rPr>
              <w:t>’</w:t>
            </w:r>
            <w:r w:rsidRPr="00400FB4">
              <w:rPr>
                <w:rFonts w:ascii="Arial" w:hAnsi="Arial"/>
                <w:b/>
                <w:sz w:val="22"/>
              </w:rPr>
              <w:t>OMPI sur les savoirs et la culture traditionnelle afin d</w:t>
            </w:r>
            <w:r>
              <w:rPr>
                <w:rFonts w:ascii="Arial" w:hAnsi="Arial"/>
                <w:b/>
                <w:sz w:val="22"/>
              </w:rPr>
              <w:t>’</w:t>
            </w:r>
            <w:r w:rsidRPr="00400FB4">
              <w:rPr>
                <w:rFonts w:ascii="Arial" w:hAnsi="Arial"/>
                <w:b/>
                <w:sz w:val="22"/>
              </w:rPr>
              <w:t>assurer un échange et un apprentissage continus entre les deux organisations et leurs États membres, en particulier dans le contexte des discussions actuelles de l</w:t>
            </w:r>
            <w:r>
              <w:rPr>
                <w:rFonts w:ascii="Arial" w:hAnsi="Arial"/>
                <w:b/>
                <w:sz w:val="22"/>
              </w:rPr>
              <w:t>’</w:t>
            </w:r>
            <w:r w:rsidRPr="00400FB4">
              <w:rPr>
                <w:rFonts w:ascii="Arial" w:hAnsi="Arial"/>
                <w:b/>
                <w:sz w:val="22"/>
              </w:rPr>
              <w:t>OMPI au sujet d</w:t>
            </w:r>
            <w:r>
              <w:rPr>
                <w:rFonts w:ascii="Arial" w:hAnsi="Arial"/>
                <w:b/>
                <w:sz w:val="22"/>
              </w:rPr>
              <w:t>’</w:t>
            </w:r>
            <w:r w:rsidRPr="00400FB4">
              <w:rPr>
                <w:rFonts w:ascii="Arial" w:hAnsi="Arial"/>
                <w:b/>
                <w:sz w:val="22"/>
              </w:rPr>
              <w:t>un nouvel instrument normatif international pour la protection des droits de propriété intellectuelle des communautés.</w:t>
            </w:r>
          </w:p>
        </w:tc>
      </w:tr>
      <w:tr w:rsidR="00737BAB" w:rsidRPr="00A76B7D" w14:paraId="1583DB68" w14:textId="77777777" w:rsidTr="00737BAB">
        <w:tc>
          <w:tcPr>
            <w:tcW w:w="14358" w:type="dxa"/>
            <w:gridSpan w:val="5"/>
            <w:noWrap/>
            <w:tcMar>
              <w:top w:w="40" w:type="dxa"/>
              <w:left w:w="40" w:type="dxa"/>
              <w:bottom w:w="40" w:type="dxa"/>
              <w:right w:w="40" w:type="dxa"/>
            </w:tcMar>
          </w:tcPr>
          <w:p w14:paraId="56946216" w14:textId="77777777" w:rsidR="00737BAB" w:rsidRPr="00A76B7D" w:rsidRDefault="00737BAB" w:rsidP="00737BAB">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Dans la mesure du possible au vu de ses ressources humaines, le Secrétariat renforcera sa coopération avec l’OMPI, en particulier dans l’organisation de réunions/événements communs et dans la participation aux réunions des organes directeurs de l’OMPI en tant qu’observateurs.</w:t>
            </w:r>
          </w:p>
        </w:tc>
      </w:tr>
      <w:tr w:rsidR="00737BAB" w:rsidRPr="00A76B7D" w14:paraId="176B1642" w14:textId="77777777" w:rsidTr="00737BAB">
        <w:tc>
          <w:tcPr>
            <w:tcW w:w="4717" w:type="dxa"/>
            <w:gridSpan w:val="2"/>
            <w:noWrap/>
            <w:tcMar>
              <w:top w:w="40" w:type="dxa"/>
              <w:left w:w="40" w:type="dxa"/>
              <w:bottom w:w="40" w:type="dxa"/>
              <w:right w:w="40" w:type="dxa"/>
            </w:tcMar>
          </w:tcPr>
          <w:p w14:paraId="7E84F075"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4D09A3E0"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05E0AD75"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72410503" w14:textId="77777777" w:rsidTr="00737BAB">
        <w:tc>
          <w:tcPr>
            <w:tcW w:w="4717" w:type="dxa"/>
            <w:gridSpan w:val="2"/>
            <w:noWrap/>
            <w:tcMar>
              <w:top w:w="40" w:type="dxa"/>
              <w:left w:w="40" w:type="dxa"/>
              <w:bottom w:w="40" w:type="dxa"/>
              <w:right w:w="40" w:type="dxa"/>
            </w:tcMar>
          </w:tcPr>
          <w:p w14:paraId="024190A9" w14:textId="77777777" w:rsidR="00737BAB" w:rsidRPr="00A76B7D" w:rsidRDefault="00737BAB" w:rsidP="00737BAB">
            <w:pPr>
              <w:spacing w:before="120" w:after="120"/>
              <w:ind w:left="113"/>
              <w:rPr>
                <w:rFonts w:ascii="Arial" w:hAnsi="Arial" w:cs="Arial"/>
                <w:sz w:val="22"/>
                <w:szCs w:val="22"/>
              </w:rPr>
            </w:pPr>
            <w:r>
              <w:rPr>
                <w:rFonts w:ascii="Arial" w:hAnsi="Arial"/>
                <w:sz w:val="22"/>
              </w:rPr>
              <w:t>Renforcer la coopération de l’UNESCO avec l’OMPI pour assurer un échange et un apprentissage continus entre les deux organisations et leurs États membres en ce qui concerne les connaissances traditionnelles et l’expression culturelle.</w:t>
            </w:r>
          </w:p>
        </w:tc>
        <w:tc>
          <w:tcPr>
            <w:tcW w:w="1986" w:type="dxa"/>
            <w:gridSpan w:val="2"/>
            <w:noWrap/>
            <w:tcMar>
              <w:top w:w="40" w:type="dxa"/>
              <w:left w:w="40" w:type="dxa"/>
              <w:bottom w:w="40" w:type="dxa"/>
              <w:right w:w="40" w:type="dxa"/>
            </w:tcMar>
          </w:tcPr>
          <w:p w14:paraId="28575D17"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3A9B0FF4"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Afin d’assurer le renforcement de la coopération de l’UNESCO avec l’OMPI, le Bureau du Comité a approuvé des fonds à cet égard dans le plan de dépenses pour l’utilisation de Fonds ITH dédiés aux « autres fonctions du Comité ».</w:t>
            </w:r>
          </w:p>
          <w:p w14:paraId="69BFD0E4"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 xml:space="preserve">Le Secrétariat de la Convention 2003 a participé à une réunion d’experts tenue en juin 2014 par le Rapporteur Spécial des Nations Unies sur </w:t>
            </w:r>
            <w:r w:rsidRPr="002B5854">
              <w:rPr>
                <w:rFonts w:ascii="Arial" w:hAnsi="Arial"/>
                <w:sz w:val="22"/>
              </w:rPr>
              <w:t>« l’impact des régimes de propriété intellectuelle sur la jouissance du droit à la science et à la culture ».</w:t>
            </w:r>
          </w:p>
          <w:p w14:paraId="7EBD9F14" w14:textId="77777777" w:rsidR="00737BAB" w:rsidRPr="002B5854" w:rsidRDefault="00737BAB" w:rsidP="00737BAB">
            <w:pPr>
              <w:pStyle w:val="ListParagraph"/>
              <w:numPr>
                <w:ilvl w:val="0"/>
                <w:numId w:val="39"/>
              </w:numPr>
              <w:spacing w:before="120" w:after="120"/>
              <w:ind w:left="470" w:hanging="357"/>
              <w:rPr>
                <w:rFonts w:ascii="Arial" w:hAnsi="Arial" w:cs="Arial"/>
                <w:sz w:val="22"/>
                <w:szCs w:val="22"/>
              </w:rPr>
            </w:pPr>
            <w:r w:rsidRPr="002B5854">
              <w:rPr>
                <w:rFonts w:ascii="Arial" w:hAnsi="Arial"/>
                <w:sz w:val="22"/>
              </w:rPr>
              <w:t>Le Secrétariat a collaboré avec l’OMPI à l’organisation d’une conférence sur « la propriété intellectuelle, le patrimoine culturel immatériel et la médecine traditionnelle dans le cadre des politiques pour la sauvegarde du patrimoine culturel immatériel dans des pays de l’Europe du Sud-Est » accueillie par le Centre Régional pour la sauvegarde du patrimoine culturel immatériel en Europe du Sud-Est à Sofia, en Bulgarie, en avril 2015.</w:t>
            </w:r>
          </w:p>
          <w:p w14:paraId="4B8CC3D1" w14:textId="77777777" w:rsidR="00737BAB" w:rsidRPr="00A76B7D" w:rsidRDefault="00737BAB" w:rsidP="00737BAB">
            <w:pPr>
              <w:pStyle w:val="ListParagraph"/>
              <w:numPr>
                <w:ilvl w:val="0"/>
                <w:numId w:val="39"/>
              </w:numPr>
              <w:spacing w:before="120" w:after="120"/>
              <w:ind w:left="470" w:hanging="357"/>
              <w:rPr>
                <w:rFonts w:ascii="Arial" w:hAnsi="Arial" w:cs="Arial"/>
                <w:b/>
                <w:sz w:val="22"/>
                <w:szCs w:val="22"/>
                <w:u w:val="single"/>
              </w:rPr>
            </w:pPr>
            <w:r w:rsidRPr="002B5854">
              <w:rPr>
                <w:rFonts w:ascii="Arial" w:hAnsi="Arial"/>
                <w:sz w:val="22"/>
              </w:rPr>
              <w:t>Le Secrétariat a participé à un séminaire organisé par l’OMPI en juin 2015 sur « la propriété intellectuelle et les ressources génétiques, le savoir traditionnel et le folklore » afin de discuter de la protection effective des expressions de culture traditionnelle</w:t>
            </w:r>
            <w:r>
              <w:rPr>
                <w:rFonts w:ascii="Arial" w:hAnsi="Arial"/>
                <w:sz w:val="22"/>
              </w:rPr>
              <w:t>, le savoir et les ressources génétiques, en se penchant sur des idées initiales pour que cette coopération puisse créer des synergies avec des instruments normatifs pertinents, y compris la Convention 2003.</w:t>
            </w:r>
          </w:p>
        </w:tc>
      </w:tr>
      <w:tr w:rsidR="00737BAB" w:rsidRPr="00A76B7D" w14:paraId="5A66D57C" w14:textId="77777777" w:rsidTr="00737BAB">
        <w:tc>
          <w:tcPr>
            <w:tcW w:w="14358" w:type="dxa"/>
            <w:gridSpan w:val="5"/>
            <w:shd w:val="clear" w:color="auto" w:fill="E6E6E6"/>
            <w:noWrap/>
            <w:tcMar>
              <w:top w:w="40" w:type="dxa"/>
              <w:left w:w="40" w:type="dxa"/>
              <w:bottom w:w="40" w:type="dxa"/>
              <w:right w:w="40" w:type="dxa"/>
            </w:tcMar>
          </w:tcPr>
          <w:p w14:paraId="436A26FF" w14:textId="77777777" w:rsidR="00737BAB" w:rsidRPr="00A76B7D" w:rsidRDefault="00737BAB" w:rsidP="00737BAB">
            <w:pPr>
              <w:pageBreakBefore/>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16 : </w:t>
            </w:r>
            <w:r w:rsidRPr="009C4FFB">
              <w:rPr>
                <w:rFonts w:ascii="Arial" w:hAnsi="Arial"/>
                <w:b/>
                <w:sz w:val="22"/>
              </w:rPr>
              <w:t>Créer des occasions de réflexion commune, d</w:t>
            </w:r>
            <w:r>
              <w:rPr>
                <w:rFonts w:ascii="Arial" w:hAnsi="Arial"/>
                <w:b/>
                <w:sz w:val="22"/>
              </w:rPr>
              <w:t>’</w:t>
            </w:r>
            <w:r w:rsidRPr="009C4FFB">
              <w:rPr>
                <w:rFonts w:ascii="Arial" w:hAnsi="Arial"/>
                <w:b/>
                <w:sz w:val="22"/>
              </w:rPr>
              <w:t>échange d</w:t>
            </w:r>
            <w:r>
              <w:rPr>
                <w:rFonts w:ascii="Arial" w:hAnsi="Arial"/>
                <w:b/>
                <w:sz w:val="22"/>
              </w:rPr>
              <w:t>’</w:t>
            </w:r>
            <w:r w:rsidRPr="009C4FFB">
              <w:rPr>
                <w:rFonts w:ascii="Arial" w:hAnsi="Arial"/>
                <w:b/>
                <w:sz w:val="22"/>
              </w:rPr>
              <w:t>expériences, de coopération et de synergies entre les conventions culturelles de l</w:t>
            </w:r>
            <w:r>
              <w:rPr>
                <w:rFonts w:ascii="Arial" w:hAnsi="Arial"/>
                <w:b/>
                <w:sz w:val="22"/>
              </w:rPr>
              <w:t>’</w:t>
            </w:r>
            <w:r w:rsidRPr="009C4FFB">
              <w:rPr>
                <w:rFonts w:ascii="Arial" w:hAnsi="Arial"/>
                <w:b/>
                <w:sz w:val="22"/>
              </w:rPr>
              <w:t>UNESCO de 1972, 2003 et 2005 et d</w:t>
            </w:r>
            <w:r>
              <w:rPr>
                <w:rFonts w:ascii="Arial" w:hAnsi="Arial"/>
                <w:b/>
                <w:sz w:val="22"/>
              </w:rPr>
              <w:t>’</w:t>
            </w:r>
            <w:r w:rsidRPr="009C4FFB">
              <w:rPr>
                <w:rFonts w:ascii="Arial" w:hAnsi="Arial"/>
                <w:b/>
                <w:sz w:val="22"/>
              </w:rPr>
              <w:t>établir des mécanismes appropriés dans ce sens.</w:t>
            </w:r>
          </w:p>
        </w:tc>
      </w:tr>
      <w:tr w:rsidR="00737BAB" w:rsidRPr="00A76B7D" w14:paraId="70DDA9C8" w14:textId="77777777" w:rsidTr="00737BAB">
        <w:tc>
          <w:tcPr>
            <w:tcW w:w="14358" w:type="dxa"/>
            <w:gridSpan w:val="5"/>
            <w:noWrap/>
            <w:tcMar>
              <w:top w:w="40" w:type="dxa"/>
              <w:left w:w="40" w:type="dxa"/>
              <w:bottom w:w="40" w:type="dxa"/>
              <w:right w:w="40" w:type="dxa"/>
            </w:tcMar>
          </w:tcPr>
          <w:p w14:paraId="3618CF83" w14:textId="30C4D807" w:rsidR="00737BAB" w:rsidRPr="00A76B7D" w:rsidRDefault="00737BAB" w:rsidP="00E01571">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Le groupe de liaison des conventions culturelles, comprenant les Secrétariat</w:t>
            </w:r>
            <w:r w:rsidR="00E01571">
              <w:rPr>
                <w:rFonts w:ascii="Arial" w:hAnsi="Arial"/>
                <w:sz w:val="22"/>
              </w:rPr>
              <w:t>s</w:t>
            </w:r>
            <w:r>
              <w:rPr>
                <w:rFonts w:ascii="Arial" w:hAnsi="Arial"/>
                <w:sz w:val="22"/>
              </w:rPr>
              <w:t xml:space="preserve"> des conventions respectives et l’</w:t>
            </w:r>
            <w:r w:rsidRPr="00A34D3E">
              <w:rPr>
                <w:rFonts w:ascii="Arial" w:hAnsi="Arial"/>
                <w:sz w:val="22"/>
              </w:rPr>
              <w:t>équipe dirigeant</w:t>
            </w:r>
            <w:r w:rsidR="00E01571">
              <w:rPr>
                <w:rFonts w:ascii="Arial" w:hAnsi="Arial"/>
                <w:sz w:val="22"/>
              </w:rPr>
              <w:t xml:space="preserve">e </w:t>
            </w:r>
            <w:r w:rsidRPr="00A34D3E">
              <w:rPr>
                <w:rFonts w:ascii="Arial" w:hAnsi="Arial"/>
                <w:sz w:val="22"/>
              </w:rPr>
              <w:t>du Sec</w:t>
            </w:r>
            <w:r w:rsidRPr="00726AF7">
              <w:rPr>
                <w:rFonts w:ascii="Arial" w:hAnsi="Arial"/>
                <w:sz w:val="22"/>
              </w:rPr>
              <w:t>teur de la</w:t>
            </w:r>
            <w:r>
              <w:rPr>
                <w:rFonts w:ascii="Arial" w:hAnsi="Arial"/>
                <w:sz w:val="22"/>
              </w:rPr>
              <w:t xml:space="preserve"> culture, se </w:t>
            </w:r>
            <w:r w:rsidR="00E01571">
              <w:rPr>
                <w:rFonts w:ascii="Arial" w:hAnsi="Arial"/>
                <w:sz w:val="22"/>
              </w:rPr>
              <w:t>réunit</w:t>
            </w:r>
            <w:r>
              <w:rPr>
                <w:rFonts w:ascii="Arial" w:hAnsi="Arial"/>
                <w:sz w:val="22"/>
              </w:rPr>
              <w:t xml:space="preserve"> fréquemment pour partager des informations. Des sous-groupes sur différents sujets (rapports périodiques, assistance internationale, etc.) partagent également des ressources et méthodologies.</w:t>
            </w:r>
          </w:p>
        </w:tc>
      </w:tr>
      <w:tr w:rsidR="00737BAB" w:rsidRPr="00A76B7D" w14:paraId="3049E6A1" w14:textId="77777777" w:rsidTr="00737BAB">
        <w:tc>
          <w:tcPr>
            <w:tcW w:w="4717" w:type="dxa"/>
            <w:gridSpan w:val="2"/>
            <w:noWrap/>
            <w:tcMar>
              <w:top w:w="40" w:type="dxa"/>
              <w:left w:w="40" w:type="dxa"/>
              <w:bottom w:w="40" w:type="dxa"/>
              <w:right w:w="40" w:type="dxa"/>
            </w:tcMar>
          </w:tcPr>
          <w:p w14:paraId="02C74BA8"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32AE1205"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5AF6272E"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7742E66B" w14:textId="77777777" w:rsidTr="00737BAB">
        <w:tc>
          <w:tcPr>
            <w:tcW w:w="4717" w:type="dxa"/>
            <w:gridSpan w:val="2"/>
            <w:shd w:val="clear" w:color="auto" w:fill="auto"/>
            <w:noWrap/>
            <w:tcMar>
              <w:top w:w="40" w:type="dxa"/>
              <w:left w:w="40" w:type="dxa"/>
              <w:bottom w:w="40" w:type="dxa"/>
              <w:right w:w="40" w:type="dxa"/>
            </w:tcMar>
          </w:tcPr>
          <w:p w14:paraId="1E217CF1"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Participer au CCLG regroupant les secrétariats des conventions et l’</w:t>
            </w:r>
            <w:r w:rsidRPr="00A34D3E">
              <w:rPr>
                <w:rFonts w:ascii="Arial" w:hAnsi="Arial"/>
                <w:sz w:val="22"/>
              </w:rPr>
              <w:t>équipe dirigeant</w:t>
            </w:r>
            <w:r w:rsidRPr="00A34D3E" w:rsidDel="00A34D3E">
              <w:rPr>
                <w:rFonts w:ascii="Arial" w:hAnsi="Arial"/>
                <w:sz w:val="22"/>
              </w:rPr>
              <w:t xml:space="preserve"> </w:t>
            </w:r>
            <w:r>
              <w:rPr>
                <w:rFonts w:ascii="Arial" w:hAnsi="Arial"/>
                <w:sz w:val="22"/>
              </w:rPr>
              <w:t xml:space="preserve">du Secteur de la culture. </w:t>
            </w:r>
          </w:p>
        </w:tc>
        <w:tc>
          <w:tcPr>
            <w:tcW w:w="1986" w:type="dxa"/>
            <w:gridSpan w:val="2"/>
            <w:shd w:val="clear" w:color="auto" w:fill="auto"/>
            <w:noWrap/>
            <w:tcMar>
              <w:top w:w="40" w:type="dxa"/>
              <w:left w:w="40" w:type="dxa"/>
              <w:bottom w:w="40" w:type="dxa"/>
              <w:right w:w="40" w:type="dxa"/>
            </w:tcMar>
          </w:tcPr>
          <w:p w14:paraId="05C2E3D9"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shd w:val="clear" w:color="auto" w:fill="auto"/>
            <w:noWrap/>
            <w:tcMar>
              <w:top w:w="40" w:type="dxa"/>
              <w:left w:w="40" w:type="dxa"/>
              <w:bottom w:w="40" w:type="dxa"/>
              <w:right w:w="40" w:type="dxa"/>
            </w:tcMar>
          </w:tcPr>
          <w:p w14:paraId="20ABBB73"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Le Secrétariat a informé le Comité des progrès accomplis lors de sa neuvième session (</w:t>
            </w:r>
            <w:hyperlink r:id="rId82">
              <w:r>
                <w:rPr>
                  <w:rStyle w:val="Hyperlink"/>
                  <w:rFonts w:ascii="Arial" w:hAnsi="Arial"/>
                  <w:sz w:val="22"/>
                </w:rPr>
                <w:t>Document ITH/14/9.COM/13.h</w:t>
              </w:r>
            </w:hyperlink>
            <w:r>
              <w:rPr>
                <w:rFonts w:ascii="Arial" w:hAnsi="Arial"/>
                <w:sz w:val="22"/>
              </w:rPr>
              <w:t xml:space="preserve"> et Décision 9.COM 13.h).</w:t>
            </w:r>
          </w:p>
        </w:tc>
      </w:tr>
      <w:tr w:rsidR="00737BAB" w:rsidRPr="00A76B7D" w14:paraId="58DAFB6B" w14:textId="77777777" w:rsidTr="00737BAB">
        <w:tc>
          <w:tcPr>
            <w:tcW w:w="4717" w:type="dxa"/>
            <w:gridSpan w:val="2"/>
            <w:noWrap/>
            <w:tcMar>
              <w:top w:w="40" w:type="dxa"/>
              <w:left w:w="40" w:type="dxa"/>
              <w:bottom w:w="40" w:type="dxa"/>
              <w:right w:w="40" w:type="dxa"/>
            </w:tcMar>
          </w:tcPr>
          <w:p w14:paraId="5C8E8730"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Faciliter la réflexion sur les synergies entre les conventions de 2003 et 2005 dans le domaine du renforcement des capacités.</w:t>
            </w:r>
          </w:p>
        </w:tc>
        <w:tc>
          <w:tcPr>
            <w:tcW w:w="1986" w:type="dxa"/>
            <w:gridSpan w:val="2"/>
            <w:noWrap/>
            <w:tcMar>
              <w:top w:w="40" w:type="dxa"/>
              <w:left w:w="40" w:type="dxa"/>
              <w:bottom w:w="40" w:type="dxa"/>
              <w:right w:w="40" w:type="dxa"/>
            </w:tcMar>
          </w:tcPr>
          <w:p w14:paraId="62E52110"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0B3260D8"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Le secrétariat a exposé au Comité les progrès accomplis durant sa neuvième session. (</w:t>
            </w:r>
            <w:hyperlink r:id="rId83">
              <w:r>
                <w:rPr>
                  <w:rStyle w:val="Hyperlink"/>
                  <w:rFonts w:ascii="Arial" w:hAnsi="Arial"/>
                  <w:sz w:val="22"/>
                </w:rPr>
                <w:t>Document ITH/14/9.COM/13.h</w:t>
              </w:r>
            </w:hyperlink>
            <w:r>
              <w:rPr>
                <w:rFonts w:ascii="Arial" w:hAnsi="Arial"/>
                <w:sz w:val="22"/>
              </w:rPr>
              <w:t xml:space="preserve"> et Décision 9.COM 13.h).</w:t>
            </w:r>
          </w:p>
          <w:p w14:paraId="26BA05E1"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Depuis la neuvième session du Comité, le Secrétariat :</w:t>
            </w:r>
          </w:p>
          <w:p w14:paraId="4980402F" w14:textId="431B6C41" w:rsidR="00737BAB" w:rsidRPr="00A76B7D" w:rsidRDefault="00737BAB" w:rsidP="00737BAB">
            <w:pPr>
              <w:pStyle w:val="ListParagraph"/>
              <w:numPr>
                <w:ilvl w:val="1"/>
                <w:numId w:val="41"/>
              </w:numPr>
              <w:spacing w:before="120" w:after="120"/>
              <w:ind w:left="879" w:hanging="425"/>
              <w:rPr>
                <w:rFonts w:ascii="Arial" w:hAnsi="Arial" w:cs="Arial"/>
                <w:sz w:val="22"/>
                <w:szCs w:val="22"/>
              </w:rPr>
            </w:pPr>
            <w:r>
              <w:rPr>
                <w:rFonts w:ascii="Arial" w:hAnsi="Arial"/>
                <w:sz w:val="22"/>
              </w:rPr>
              <w:t xml:space="preserve">a organisé un atelier intitulé </w:t>
            </w:r>
            <w:r w:rsidRPr="00A34D3E">
              <w:rPr>
                <w:rFonts w:ascii="Arial" w:hAnsi="Arial"/>
                <w:sz w:val="22"/>
              </w:rPr>
              <w:t>« Comment conseiller efficacement en matière de politique ? »</w:t>
            </w:r>
            <w:r>
              <w:rPr>
                <w:rFonts w:ascii="Arial" w:hAnsi="Arial"/>
                <w:sz w:val="22"/>
              </w:rPr>
              <w:t xml:space="preserve"> avec la participation des secrétariats </w:t>
            </w:r>
            <w:r w:rsidR="00E01571">
              <w:rPr>
                <w:rFonts w:ascii="Arial" w:hAnsi="Arial"/>
                <w:sz w:val="22"/>
              </w:rPr>
              <w:t>des Conventions de 2003 et 2005</w:t>
            </w:r>
          </w:p>
          <w:p w14:paraId="582B34CC" w14:textId="4D5069C0" w:rsidR="00737BAB" w:rsidRPr="00A76B7D" w:rsidRDefault="00737BAB" w:rsidP="00737BAB">
            <w:pPr>
              <w:pStyle w:val="ListParagraph"/>
              <w:numPr>
                <w:ilvl w:val="1"/>
                <w:numId w:val="41"/>
              </w:numPr>
              <w:spacing w:before="120" w:after="120"/>
              <w:ind w:left="879" w:hanging="425"/>
              <w:rPr>
                <w:rFonts w:ascii="Arial" w:hAnsi="Arial" w:cs="Arial"/>
                <w:sz w:val="22"/>
                <w:szCs w:val="22"/>
              </w:rPr>
            </w:pPr>
            <w:r>
              <w:rPr>
                <w:rFonts w:ascii="Arial" w:hAnsi="Arial"/>
                <w:sz w:val="22"/>
              </w:rPr>
              <w:t>a adapté le format des conseils en politique du programme de renforcement</w:t>
            </w:r>
            <w:r>
              <w:t xml:space="preserve"> </w:t>
            </w:r>
            <w:r>
              <w:rPr>
                <w:rFonts w:ascii="Arial" w:hAnsi="Arial"/>
                <w:sz w:val="22"/>
              </w:rPr>
              <w:t>des capacités de la Convention 2003</w:t>
            </w:r>
            <w:r w:rsidR="00E01571">
              <w:rPr>
                <w:rFonts w:ascii="Arial" w:hAnsi="Arial"/>
                <w:sz w:val="22"/>
              </w:rPr>
              <w:t xml:space="preserve"> afin de promouvoir la synergie</w:t>
            </w:r>
          </w:p>
          <w:p w14:paraId="0C955B44" w14:textId="77777777" w:rsidR="00737BAB" w:rsidRPr="00A76B7D" w:rsidRDefault="00737BAB" w:rsidP="00737BAB">
            <w:pPr>
              <w:pStyle w:val="ListParagraph"/>
              <w:numPr>
                <w:ilvl w:val="1"/>
                <w:numId w:val="41"/>
              </w:numPr>
              <w:spacing w:before="120" w:after="120"/>
              <w:ind w:left="879" w:hanging="425"/>
              <w:rPr>
                <w:rFonts w:ascii="Arial" w:hAnsi="Arial" w:cs="Arial"/>
                <w:sz w:val="22"/>
                <w:szCs w:val="22"/>
              </w:rPr>
            </w:pPr>
            <w:r>
              <w:rPr>
                <w:rFonts w:ascii="Arial" w:hAnsi="Arial"/>
                <w:sz w:val="22"/>
              </w:rPr>
              <w:t>a organisé un atelier pour facilitateurs sur la fourniture d’un soutien politique efficace en Afrique comprenant des experts de la Convention 2005.</w:t>
            </w:r>
          </w:p>
        </w:tc>
      </w:tr>
      <w:tr w:rsidR="00737BAB" w:rsidRPr="00A76B7D" w14:paraId="7DDF5E09" w14:textId="77777777" w:rsidTr="00737BAB">
        <w:tc>
          <w:tcPr>
            <w:tcW w:w="4717" w:type="dxa"/>
            <w:gridSpan w:val="2"/>
            <w:noWrap/>
            <w:tcMar>
              <w:top w:w="40" w:type="dxa"/>
              <w:left w:w="40" w:type="dxa"/>
              <w:bottom w:w="40" w:type="dxa"/>
              <w:right w:w="40" w:type="dxa"/>
            </w:tcMar>
          </w:tcPr>
          <w:p w14:paraId="63EC2F28"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Intégrer efficacement les services de CLT/CCS au travail de la Section.</w:t>
            </w:r>
          </w:p>
        </w:tc>
        <w:tc>
          <w:tcPr>
            <w:tcW w:w="1986" w:type="dxa"/>
            <w:gridSpan w:val="2"/>
            <w:noWrap/>
            <w:tcMar>
              <w:top w:w="40" w:type="dxa"/>
              <w:left w:w="40" w:type="dxa"/>
              <w:bottom w:w="40" w:type="dxa"/>
              <w:right w:w="40" w:type="dxa"/>
            </w:tcMar>
          </w:tcPr>
          <w:p w14:paraId="76D9F1F6"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68C8E3FD" w14:textId="79601C08" w:rsidR="00737BAB" w:rsidRPr="00E01571" w:rsidRDefault="00737BAB" w:rsidP="002C155F">
            <w:pPr>
              <w:pStyle w:val="ListParagraph"/>
              <w:numPr>
                <w:ilvl w:val="0"/>
                <w:numId w:val="39"/>
              </w:numPr>
              <w:spacing w:before="120" w:after="120"/>
              <w:ind w:left="470" w:hanging="357"/>
              <w:rPr>
                <w:rFonts w:ascii="Arial" w:hAnsi="Arial" w:cs="Arial"/>
                <w:b/>
                <w:sz w:val="22"/>
                <w:szCs w:val="22"/>
                <w:u w:val="single"/>
              </w:rPr>
            </w:pPr>
            <w:r>
              <w:rPr>
                <w:rFonts w:ascii="Arial" w:hAnsi="Arial"/>
                <w:sz w:val="22"/>
              </w:rPr>
              <w:t xml:space="preserve">L’Unité des services communs des conventions (CLT/CCS) a </w:t>
            </w:r>
            <w:r w:rsidR="002C155F">
              <w:rPr>
                <w:rFonts w:ascii="Arial" w:hAnsi="Arial"/>
                <w:sz w:val="22"/>
              </w:rPr>
              <w:t>apporté son soutien à</w:t>
            </w:r>
            <w:r>
              <w:rPr>
                <w:rFonts w:ascii="Arial" w:hAnsi="Arial"/>
                <w:sz w:val="22"/>
              </w:rPr>
              <w:t xml:space="preserve"> l’organisation des neuvièm</w:t>
            </w:r>
            <w:r w:rsidR="002C155F">
              <w:rPr>
                <w:rFonts w:ascii="Arial" w:hAnsi="Arial"/>
                <w:sz w:val="22"/>
              </w:rPr>
              <w:t>e et dixième sessions du Comité, et de la présente session de l’Assemblée générale.</w:t>
            </w:r>
          </w:p>
        </w:tc>
      </w:tr>
      <w:tr w:rsidR="00737BAB" w:rsidRPr="00A76B7D" w14:paraId="477CDF35" w14:textId="77777777" w:rsidTr="00737BAB">
        <w:tc>
          <w:tcPr>
            <w:tcW w:w="4717" w:type="dxa"/>
            <w:gridSpan w:val="2"/>
            <w:noWrap/>
            <w:tcMar>
              <w:top w:w="40" w:type="dxa"/>
              <w:left w:w="40" w:type="dxa"/>
              <w:bottom w:w="40" w:type="dxa"/>
              <w:right w:w="40" w:type="dxa"/>
            </w:tcMar>
          </w:tcPr>
          <w:p w14:paraId="7D278C82" w14:textId="77777777" w:rsidR="00737BAB" w:rsidRPr="00A76B7D" w:rsidRDefault="00737BAB" w:rsidP="00737BAB">
            <w:pPr>
              <w:pageBreakBefore/>
              <w:spacing w:before="120" w:after="120"/>
              <w:ind w:left="113" w:right="57"/>
              <w:rPr>
                <w:rFonts w:ascii="Arial" w:hAnsi="Arial" w:cs="Arial"/>
                <w:sz w:val="22"/>
                <w:szCs w:val="22"/>
              </w:rPr>
            </w:pPr>
            <w:r>
              <w:rPr>
                <w:rFonts w:ascii="Arial" w:hAnsi="Arial"/>
                <w:sz w:val="22"/>
              </w:rPr>
              <w:t>Faciliter des réunions entre les présidents des six conventions culturelles de l’UNESCO.</w:t>
            </w:r>
          </w:p>
        </w:tc>
        <w:tc>
          <w:tcPr>
            <w:tcW w:w="1986" w:type="dxa"/>
            <w:gridSpan w:val="2"/>
            <w:noWrap/>
            <w:tcMar>
              <w:top w:w="40" w:type="dxa"/>
              <w:left w:w="40" w:type="dxa"/>
              <w:bottom w:w="40" w:type="dxa"/>
              <w:right w:w="40" w:type="dxa"/>
            </w:tcMar>
          </w:tcPr>
          <w:p w14:paraId="71464033" w14:textId="77777777" w:rsidR="00737BAB" w:rsidRPr="00A76B7D" w:rsidRDefault="00737BAB" w:rsidP="00737BAB">
            <w:pPr>
              <w:pageBreakBefore/>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2F19D0CD" w14:textId="77777777" w:rsidR="00737BAB" w:rsidRPr="00A76B7D" w:rsidRDefault="00737BAB" w:rsidP="00737BAB">
            <w:pPr>
              <w:pStyle w:val="ListParagraph"/>
              <w:pageBreakBefore/>
              <w:numPr>
                <w:ilvl w:val="0"/>
                <w:numId w:val="39"/>
              </w:numPr>
              <w:spacing w:before="120" w:after="120"/>
              <w:ind w:left="470" w:hanging="357"/>
              <w:rPr>
                <w:rFonts w:ascii="Arial" w:hAnsi="Arial" w:cs="Arial"/>
                <w:sz w:val="22"/>
                <w:szCs w:val="22"/>
              </w:rPr>
            </w:pPr>
            <w:r>
              <w:rPr>
                <w:rFonts w:ascii="Arial" w:hAnsi="Arial"/>
                <w:sz w:val="22"/>
              </w:rPr>
              <w:t>En juin 2015, au cours de la trente-neuvième session du Comité du patrimoine mondial à Bonn, en Allemagne, les présidents des six conventions culturelles de l’UNESCO se sont retrouvés pour la première fois pour discuter de la façon de travailler ensemble plus efficacement.</w:t>
            </w:r>
          </w:p>
          <w:p w14:paraId="0C6C0E16" w14:textId="77777777" w:rsidR="00737BAB" w:rsidRPr="00A76B7D" w:rsidRDefault="00737BAB" w:rsidP="00737BAB">
            <w:pPr>
              <w:pStyle w:val="ListParagraph"/>
              <w:pageBreakBefore/>
              <w:numPr>
                <w:ilvl w:val="0"/>
                <w:numId w:val="39"/>
              </w:numPr>
              <w:spacing w:before="120" w:after="120"/>
              <w:ind w:left="470" w:hanging="357"/>
              <w:rPr>
                <w:rFonts w:ascii="Arial" w:hAnsi="Arial" w:cs="Arial"/>
                <w:sz w:val="22"/>
                <w:szCs w:val="22"/>
              </w:rPr>
            </w:pPr>
            <w:r>
              <w:rPr>
                <w:rFonts w:ascii="Arial" w:hAnsi="Arial"/>
                <w:sz w:val="22"/>
              </w:rPr>
              <w:t>Les Présidents ont présenté une déclaration soulignant la nécessité d’une volonté politique renouvelée pour soutenir les six conventions culturelles de l’UNESCO dans leur ensemble et encourageant les Nations Unies à veiller à ce que la protection, la sauvegarde et la compréhension du patrimoine culturel et naturel, la diversité culturelle et l’expression créative dans le monde entier soient reconnues comme des questions transversales dans la mise en œuvre des objectifs interdépendants de l’Agenda du développement post-2015.</w:t>
            </w:r>
          </w:p>
          <w:p w14:paraId="28650BA7" w14:textId="77777777" w:rsidR="00737BAB" w:rsidRPr="00A76B7D" w:rsidRDefault="00737BAB" w:rsidP="00737BAB">
            <w:pPr>
              <w:pStyle w:val="ListParagraph"/>
              <w:pageBreakBefore/>
              <w:numPr>
                <w:ilvl w:val="0"/>
                <w:numId w:val="39"/>
              </w:numPr>
              <w:spacing w:before="120" w:after="120"/>
              <w:ind w:left="470" w:hanging="357"/>
              <w:rPr>
                <w:rFonts w:ascii="Arial" w:hAnsi="Arial" w:cs="Arial"/>
                <w:b/>
                <w:sz w:val="22"/>
                <w:szCs w:val="22"/>
                <w:u w:val="single"/>
              </w:rPr>
            </w:pPr>
            <w:r>
              <w:rPr>
                <w:rFonts w:ascii="Arial" w:hAnsi="Arial"/>
                <w:sz w:val="22"/>
              </w:rPr>
              <w:t>La déclaration recommande également aux Présidents de se retrouver régulièrement pour évaluer les progrès et former une vision commune progressive.</w:t>
            </w:r>
          </w:p>
        </w:tc>
      </w:tr>
      <w:tr w:rsidR="00737BAB" w:rsidRPr="00A76B7D" w14:paraId="3AC75C62" w14:textId="77777777" w:rsidTr="00737BAB">
        <w:tc>
          <w:tcPr>
            <w:tcW w:w="14358" w:type="dxa"/>
            <w:gridSpan w:val="5"/>
            <w:shd w:val="clear" w:color="auto" w:fill="E6E6E6"/>
            <w:noWrap/>
            <w:tcMar>
              <w:top w:w="40" w:type="dxa"/>
              <w:left w:w="40" w:type="dxa"/>
              <w:bottom w:w="40" w:type="dxa"/>
              <w:right w:w="40" w:type="dxa"/>
            </w:tcMar>
          </w:tcPr>
          <w:p w14:paraId="1C8BD06B" w14:textId="77777777" w:rsidR="00737BAB" w:rsidRPr="00A76B7D" w:rsidRDefault="00737BAB" w:rsidP="00737BAB">
            <w:pPr>
              <w:tabs>
                <w:tab w:val="left" w:pos="2640"/>
              </w:tabs>
              <w:spacing w:before="120" w:after="120"/>
              <w:ind w:left="113" w:right="113"/>
              <w:rPr>
                <w:rFonts w:ascii="Arial" w:hAnsi="Arial" w:cs="Arial"/>
                <w:b/>
                <w:sz w:val="22"/>
                <w:szCs w:val="22"/>
              </w:rPr>
            </w:pPr>
            <w:r>
              <w:rPr>
                <w:rFonts w:ascii="Arial" w:hAnsi="Arial"/>
                <w:b/>
                <w:sz w:val="22"/>
              </w:rPr>
              <w:t xml:space="preserve">Recommandation 17 : </w:t>
            </w:r>
            <w:r w:rsidRPr="005D4DFC">
              <w:rPr>
                <w:rFonts w:ascii="Arial" w:hAnsi="Arial"/>
                <w:b/>
                <w:sz w:val="22"/>
              </w:rPr>
              <w:t>D</w:t>
            </w:r>
            <w:r>
              <w:rPr>
                <w:rFonts w:ascii="Arial" w:hAnsi="Arial"/>
                <w:b/>
                <w:sz w:val="22"/>
              </w:rPr>
              <w:t>’</w:t>
            </w:r>
            <w:r w:rsidRPr="005D4DFC">
              <w:rPr>
                <w:rFonts w:ascii="Arial" w:hAnsi="Arial"/>
                <w:b/>
                <w:sz w:val="22"/>
              </w:rPr>
              <w:t>encourager les représentants des ONG accréditées à participer aux débats du CIG avant de voter sur les points à l</w:t>
            </w:r>
            <w:r>
              <w:rPr>
                <w:rFonts w:ascii="Arial" w:hAnsi="Arial"/>
                <w:b/>
                <w:sz w:val="22"/>
              </w:rPr>
              <w:t>’</w:t>
            </w:r>
            <w:r w:rsidRPr="005D4DFC">
              <w:rPr>
                <w:rFonts w:ascii="Arial" w:hAnsi="Arial"/>
                <w:b/>
                <w:sz w:val="22"/>
              </w:rPr>
              <w:t>ordre du jour et inclure les résultats des forums des ONG (tels que les déclarations des ONG) à l</w:t>
            </w:r>
            <w:r>
              <w:rPr>
                <w:rFonts w:ascii="Arial" w:hAnsi="Arial"/>
                <w:b/>
                <w:sz w:val="22"/>
              </w:rPr>
              <w:t>’</w:t>
            </w:r>
            <w:r w:rsidRPr="005D4DFC">
              <w:rPr>
                <w:rFonts w:ascii="Arial" w:hAnsi="Arial"/>
                <w:b/>
                <w:sz w:val="22"/>
              </w:rPr>
              <w:t>ordre du jour du Comité</w:t>
            </w:r>
            <w:r>
              <w:rPr>
                <w:rFonts w:ascii="Arial" w:hAnsi="Arial"/>
                <w:b/>
                <w:sz w:val="22"/>
              </w:rPr>
              <w:t>.</w:t>
            </w:r>
          </w:p>
        </w:tc>
      </w:tr>
      <w:tr w:rsidR="00737BAB" w:rsidRPr="00A76B7D" w14:paraId="01F0B85C" w14:textId="77777777" w:rsidTr="00737BAB">
        <w:tc>
          <w:tcPr>
            <w:tcW w:w="14358" w:type="dxa"/>
            <w:gridSpan w:val="5"/>
            <w:noWrap/>
            <w:tcMar>
              <w:top w:w="40" w:type="dxa"/>
              <w:left w:w="40" w:type="dxa"/>
              <w:bottom w:w="40" w:type="dxa"/>
              <w:right w:w="40" w:type="dxa"/>
            </w:tcMar>
          </w:tcPr>
          <w:p w14:paraId="0D2FE855" w14:textId="77777777" w:rsidR="00737BAB" w:rsidRPr="00A76B7D" w:rsidRDefault="00737BAB" w:rsidP="00737BAB">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Le rapport du forum des ONG est déjà intégré dans les calendriers des neuvième et dixième sessions du Comité et les ONG se sont exprimées, sur demande, sur plusieurs points de l’ordre du jour. </w:t>
            </w:r>
          </w:p>
        </w:tc>
      </w:tr>
      <w:tr w:rsidR="00737BAB" w:rsidRPr="00A76B7D" w14:paraId="54598A46" w14:textId="77777777" w:rsidTr="00737BAB">
        <w:tc>
          <w:tcPr>
            <w:tcW w:w="4717" w:type="dxa"/>
            <w:gridSpan w:val="2"/>
            <w:noWrap/>
            <w:tcMar>
              <w:top w:w="40" w:type="dxa"/>
              <w:left w:w="40" w:type="dxa"/>
              <w:bottom w:w="40" w:type="dxa"/>
              <w:right w:w="40" w:type="dxa"/>
            </w:tcMar>
          </w:tcPr>
          <w:p w14:paraId="0ADD4CBC"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66D57B53"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26E9045F"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46A7EAE1" w14:textId="77777777" w:rsidTr="00737BAB">
        <w:tc>
          <w:tcPr>
            <w:tcW w:w="4717" w:type="dxa"/>
            <w:gridSpan w:val="2"/>
            <w:noWrap/>
            <w:tcMar>
              <w:top w:w="40" w:type="dxa"/>
              <w:left w:w="40" w:type="dxa"/>
              <w:bottom w:w="40" w:type="dxa"/>
              <w:right w:w="40" w:type="dxa"/>
            </w:tcMar>
          </w:tcPr>
          <w:p w14:paraId="0A1A9080" w14:textId="77777777" w:rsidR="00737BAB" w:rsidRPr="00A76B7D" w:rsidRDefault="00737BAB" w:rsidP="00737BAB">
            <w:pPr>
              <w:pStyle w:val="Default"/>
              <w:spacing w:before="120" w:after="120"/>
              <w:ind w:left="113" w:right="57"/>
              <w:rPr>
                <w:sz w:val="22"/>
                <w:szCs w:val="22"/>
              </w:rPr>
            </w:pPr>
            <w:r>
              <w:rPr>
                <w:sz w:val="22"/>
              </w:rPr>
              <w:t xml:space="preserve">Intégrer la déclaration des ONG dans l’ordre du jour. </w:t>
            </w:r>
          </w:p>
          <w:p w14:paraId="382635A6" w14:textId="77777777" w:rsidR="00737BAB" w:rsidRPr="00A76B7D" w:rsidRDefault="00737BAB" w:rsidP="00737BAB">
            <w:pPr>
              <w:pStyle w:val="Default"/>
              <w:spacing w:before="120" w:after="120"/>
              <w:ind w:left="113" w:right="57"/>
              <w:rPr>
                <w:szCs w:val="22"/>
              </w:rPr>
            </w:pPr>
            <w:r>
              <w:rPr>
                <w:sz w:val="22"/>
              </w:rPr>
              <w:t>Encourager les ONG à préparer leurs interventions avant la session.</w:t>
            </w:r>
          </w:p>
        </w:tc>
        <w:tc>
          <w:tcPr>
            <w:tcW w:w="1986" w:type="dxa"/>
            <w:gridSpan w:val="2"/>
            <w:noWrap/>
            <w:tcMar>
              <w:top w:w="40" w:type="dxa"/>
              <w:left w:w="40" w:type="dxa"/>
              <w:bottom w:w="40" w:type="dxa"/>
              <w:right w:w="40" w:type="dxa"/>
            </w:tcMar>
          </w:tcPr>
          <w:p w14:paraId="2CE4EF28" w14:textId="77777777" w:rsidR="00737BAB" w:rsidRPr="00A76B7D" w:rsidRDefault="00737BAB" w:rsidP="00737BAB">
            <w:pPr>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65B7A0CE"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La déclaration des ONG a été intégrée dans le calendrier des neuvième et dixième sessions du Comité.</w:t>
            </w:r>
          </w:p>
          <w:p w14:paraId="50A0DF6B" w14:textId="77777777" w:rsidR="00737BAB" w:rsidRPr="00A76B7D" w:rsidRDefault="00737BAB" w:rsidP="00737BAB">
            <w:pPr>
              <w:pStyle w:val="ListParagraph"/>
              <w:numPr>
                <w:ilvl w:val="0"/>
                <w:numId w:val="39"/>
              </w:numPr>
              <w:spacing w:before="120" w:after="120"/>
              <w:ind w:left="470" w:hanging="357"/>
              <w:rPr>
                <w:rFonts w:ascii="Arial" w:hAnsi="Arial" w:cs="Arial"/>
                <w:b/>
                <w:sz w:val="22"/>
                <w:szCs w:val="22"/>
                <w:u w:val="single"/>
              </w:rPr>
            </w:pPr>
            <w:r>
              <w:rPr>
                <w:rFonts w:ascii="Arial" w:hAnsi="Arial"/>
                <w:sz w:val="22"/>
              </w:rPr>
              <w:t>La déclaration des ONG continuera d’être intégrée dans le calendrier des sessions du Comité.</w:t>
            </w:r>
          </w:p>
        </w:tc>
      </w:tr>
      <w:tr w:rsidR="00737BAB" w:rsidRPr="00A76B7D" w14:paraId="6E03D13A" w14:textId="77777777" w:rsidTr="00737BAB">
        <w:tc>
          <w:tcPr>
            <w:tcW w:w="14358" w:type="dxa"/>
            <w:gridSpan w:val="5"/>
            <w:shd w:val="clear" w:color="auto" w:fill="E6E6E6"/>
            <w:noWrap/>
            <w:tcMar>
              <w:top w:w="40" w:type="dxa"/>
              <w:left w:w="40" w:type="dxa"/>
              <w:bottom w:w="40" w:type="dxa"/>
              <w:right w:w="40" w:type="dxa"/>
            </w:tcMar>
          </w:tcPr>
          <w:p w14:paraId="32EA9FDE" w14:textId="77777777" w:rsidR="00737BAB" w:rsidRPr="00A76B7D" w:rsidRDefault="00737BAB" w:rsidP="00737BAB">
            <w:pPr>
              <w:pageBreakBefore/>
              <w:tabs>
                <w:tab w:val="left" w:pos="2640"/>
              </w:tabs>
              <w:spacing w:before="120" w:after="120"/>
              <w:ind w:left="113" w:right="113"/>
              <w:rPr>
                <w:rFonts w:ascii="Arial" w:hAnsi="Arial" w:cs="Arial"/>
                <w:b/>
                <w:sz w:val="22"/>
                <w:szCs w:val="22"/>
              </w:rPr>
            </w:pPr>
            <w:r>
              <w:rPr>
                <w:rFonts w:ascii="Arial" w:hAnsi="Arial"/>
                <w:b/>
                <w:sz w:val="22"/>
              </w:rPr>
              <w:t xml:space="preserve">Recommandation 18 : </w:t>
            </w:r>
            <w:r w:rsidRPr="00A07997">
              <w:rPr>
                <w:rFonts w:ascii="Arial" w:hAnsi="Arial"/>
                <w:b/>
                <w:sz w:val="22"/>
              </w:rPr>
              <w:t>Réviser le processus et les critères d</w:t>
            </w:r>
            <w:r>
              <w:rPr>
                <w:rFonts w:ascii="Arial" w:hAnsi="Arial"/>
                <w:b/>
                <w:sz w:val="22"/>
              </w:rPr>
              <w:t>’</w:t>
            </w:r>
            <w:r w:rsidRPr="00A07997">
              <w:rPr>
                <w:rFonts w:ascii="Arial" w:hAnsi="Arial"/>
                <w:b/>
                <w:sz w:val="22"/>
              </w:rPr>
              <w:t>accréditation des ONG afin de s</w:t>
            </w:r>
            <w:r>
              <w:rPr>
                <w:rFonts w:ascii="Arial" w:hAnsi="Arial"/>
                <w:b/>
                <w:sz w:val="22"/>
              </w:rPr>
              <w:t>’</w:t>
            </w:r>
            <w:r w:rsidRPr="00A07997">
              <w:rPr>
                <w:rFonts w:ascii="Arial" w:hAnsi="Arial"/>
                <w:b/>
                <w:sz w:val="22"/>
              </w:rPr>
              <w:t>assurer que toutes les ONG accréditées disposent de l</w:t>
            </w:r>
            <w:r>
              <w:rPr>
                <w:rFonts w:ascii="Arial" w:hAnsi="Arial"/>
                <w:b/>
                <w:sz w:val="22"/>
              </w:rPr>
              <w:t>’</w:t>
            </w:r>
            <w:r w:rsidRPr="00A07997">
              <w:rPr>
                <w:rFonts w:ascii="Arial" w:hAnsi="Arial"/>
                <w:b/>
                <w:sz w:val="22"/>
              </w:rPr>
              <w:t>expérience et des capacités requises pour fournir des services consultatifs au Comité.</w:t>
            </w:r>
          </w:p>
        </w:tc>
      </w:tr>
      <w:tr w:rsidR="00737BAB" w:rsidRPr="00A76B7D" w14:paraId="47ED1ED2" w14:textId="77777777" w:rsidTr="00737BAB">
        <w:tc>
          <w:tcPr>
            <w:tcW w:w="14358" w:type="dxa"/>
            <w:gridSpan w:val="5"/>
            <w:noWrap/>
            <w:tcMar>
              <w:top w:w="40" w:type="dxa"/>
              <w:left w:w="40" w:type="dxa"/>
              <w:bottom w:w="40" w:type="dxa"/>
              <w:right w:w="40" w:type="dxa"/>
            </w:tcMar>
          </w:tcPr>
          <w:p w14:paraId="237E8626" w14:textId="1EA7FD0C" w:rsidR="00737BAB" w:rsidRPr="00A76B7D" w:rsidRDefault="00737BAB" w:rsidP="00737BAB">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L’Assemblée générale, lors de sa cinquième session en juin 2014, a rejeté les projets des Directives préparés par le Secrétariat qui révisent les critères d’accréditation des ONG afin de s’assurer que toutes les ONG accréditées ont l’expérience et les capacités requise</w:t>
            </w:r>
            <w:r w:rsidR="00E01571">
              <w:rPr>
                <w:rFonts w:ascii="Arial" w:hAnsi="Arial"/>
                <w:sz w:val="22"/>
              </w:rPr>
              <w:t>s</w:t>
            </w:r>
            <w:r>
              <w:rPr>
                <w:rFonts w:ascii="Arial" w:hAnsi="Arial"/>
                <w:sz w:val="22"/>
              </w:rPr>
              <w:t xml:space="preserve"> pour fournir des fonctions consultatives auprès du Comité.</w:t>
            </w:r>
          </w:p>
        </w:tc>
      </w:tr>
      <w:tr w:rsidR="00737BAB" w:rsidRPr="00A76B7D" w14:paraId="05677341" w14:textId="77777777" w:rsidTr="00737BAB">
        <w:tc>
          <w:tcPr>
            <w:tcW w:w="4717" w:type="dxa"/>
            <w:gridSpan w:val="2"/>
            <w:noWrap/>
            <w:tcMar>
              <w:top w:w="40" w:type="dxa"/>
              <w:left w:w="40" w:type="dxa"/>
              <w:bottom w:w="40" w:type="dxa"/>
              <w:right w:w="40" w:type="dxa"/>
            </w:tcMar>
          </w:tcPr>
          <w:p w14:paraId="6EC42EE9"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77488B90"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351F1B4F"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155CDBB8" w14:textId="77777777" w:rsidTr="00737BAB">
        <w:tc>
          <w:tcPr>
            <w:tcW w:w="4717" w:type="dxa"/>
            <w:gridSpan w:val="2"/>
            <w:noWrap/>
            <w:tcMar>
              <w:top w:w="40" w:type="dxa"/>
              <w:left w:w="40" w:type="dxa"/>
              <w:bottom w:w="40" w:type="dxa"/>
              <w:right w:w="40" w:type="dxa"/>
            </w:tcMar>
          </w:tcPr>
          <w:p w14:paraId="6CBD3803"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L’Assemblée générale, lors de sa cinquième session en juin 2014, a rejeté les projets de Directives opérationnelles préparés par le Secrétariat révisant les critères d’accréditation (</w:t>
            </w:r>
            <w:hyperlink r:id="rId84" w:history="1">
              <w:r w:rsidRPr="00B95496">
                <w:rPr>
                  <w:rStyle w:val="Hyperlink"/>
                  <w:rFonts w:ascii="Arial" w:hAnsi="Arial"/>
                  <w:sz w:val="22"/>
                </w:rPr>
                <w:t>document ITH/14/5.GA/5.1</w:t>
              </w:r>
            </w:hyperlink>
            <w:r w:rsidRPr="00FD5402">
              <w:rPr>
                <w:rStyle w:val="Hyperlink"/>
                <w:rFonts w:ascii="Arial" w:hAnsi="Arial"/>
                <w:sz w:val="22"/>
              </w:rPr>
              <w:t>).</w:t>
            </w:r>
          </w:p>
        </w:tc>
        <w:tc>
          <w:tcPr>
            <w:tcW w:w="1986" w:type="dxa"/>
            <w:gridSpan w:val="2"/>
            <w:noWrap/>
            <w:tcMar>
              <w:top w:w="40" w:type="dxa"/>
              <w:left w:w="40" w:type="dxa"/>
              <w:bottom w:w="40" w:type="dxa"/>
              <w:right w:w="40" w:type="dxa"/>
            </w:tcMar>
          </w:tcPr>
          <w:p w14:paraId="321ABC28" w14:textId="77777777" w:rsidR="00737BAB" w:rsidRPr="00A76B7D" w:rsidRDefault="00737BAB" w:rsidP="00737BAB">
            <w:pPr>
              <w:spacing w:beforeLines="10" w:before="24" w:afterLines="10" w:after="24"/>
              <w:rPr>
                <w:rFonts w:ascii="Arial" w:hAnsi="Arial" w:cs="Arial"/>
                <w:sz w:val="22"/>
                <w:szCs w:val="22"/>
              </w:rPr>
            </w:pPr>
          </w:p>
        </w:tc>
        <w:tc>
          <w:tcPr>
            <w:tcW w:w="7655" w:type="dxa"/>
            <w:noWrap/>
            <w:tcMar>
              <w:top w:w="40" w:type="dxa"/>
              <w:left w:w="40" w:type="dxa"/>
              <w:bottom w:w="40" w:type="dxa"/>
              <w:right w:w="40" w:type="dxa"/>
            </w:tcMar>
          </w:tcPr>
          <w:p w14:paraId="46B1281E" w14:textId="77777777" w:rsidR="00737BAB" w:rsidRPr="00A76B7D" w:rsidRDefault="00737BAB" w:rsidP="00737BAB">
            <w:pPr>
              <w:spacing w:before="120" w:after="120"/>
              <w:ind w:left="57"/>
              <w:rPr>
                <w:rFonts w:ascii="Arial" w:hAnsi="Arial" w:cs="Arial"/>
                <w:sz w:val="22"/>
                <w:szCs w:val="22"/>
              </w:rPr>
            </w:pPr>
            <w:r>
              <w:rPr>
                <w:rFonts w:ascii="Arial" w:hAnsi="Arial"/>
                <w:sz w:val="22"/>
              </w:rPr>
              <w:t>Aucun</w:t>
            </w:r>
          </w:p>
        </w:tc>
      </w:tr>
      <w:tr w:rsidR="00737BAB" w:rsidRPr="00A76B7D" w14:paraId="2F41D398" w14:textId="77777777" w:rsidTr="00737BAB">
        <w:tc>
          <w:tcPr>
            <w:tcW w:w="14358" w:type="dxa"/>
            <w:gridSpan w:val="5"/>
            <w:shd w:val="clear" w:color="auto" w:fill="E6E6E6"/>
            <w:noWrap/>
            <w:tcMar>
              <w:top w:w="40" w:type="dxa"/>
              <w:left w:w="40" w:type="dxa"/>
              <w:bottom w:w="40" w:type="dxa"/>
              <w:right w:w="40" w:type="dxa"/>
            </w:tcMar>
          </w:tcPr>
          <w:p w14:paraId="2665ED00" w14:textId="77777777" w:rsidR="00737BAB" w:rsidRPr="00A76B7D" w:rsidRDefault="00737BAB" w:rsidP="00737BAB">
            <w:pPr>
              <w:tabs>
                <w:tab w:val="left" w:pos="2640"/>
              </w:tabs>
              <w:spacing w:before="120" w:after="120"/>
              <w:ind w:left="113" w:right="113"/>
              <w:jc w:val="both"/>
              <w:rPr>
                <w:rFonts w:ascii="Arial" w:hAnsi="Arial" w:cs="Arial"/>
                <w:b/>
                <w:sz w:val="22"/>
                <w:szCs w:val="22"/>
              </w:rPr>
            </w:pPr>
            <w:r>
              <w:rPr>
                <w:rFonts w:ascii="Arial" w:hAnsi="Arial"/>
                <w:b/>
                <w:sz w:val="22"/>
              </w:rPr>
              <w:t xml:space="preserve">Recommandation 19 : </w:t>
            </w:r>
            <w:r w:rsidRPr="00CA0C40">
              <w:rPr>
                <w:rFonts w:ascii="Arial" w:hAnsi="Arial"/>
                <w:b/>
                <w:sz w:val="22"/>
              </w:rPr>
              <w:t>Encourager le débat sur le rôle du secteur privé et des partenariats privés/publics dans la sauvegarde du PCI à tous les niveaux (national, régional et international) afin de mieux définir leur potentiel de coopération et d</w:t>
            </w:r>
            <w:r>
              <w:rPr>
                <w:rFonts w:ascii="Arial" w:hAnsi="Arial"/>
                <w:b/>
                <w:sz w:val="22"/>
              </w:rPr>
              <w:t>’</w:t>
            </w:r>
            <w:r w:rsidRPr="00CA0C40">
              <w:rPr>
                <w:rFonts w:ascii="Arial" w:hAnsi="Arial"/>
                <w:b/>
                <w:sz w:val="22"/>
              </w:rPr>
              <w:t>implication</w:t>
            </w:r>
            <w:r>
              <w:rPr>
                <w:rFonts w:ascii="Arial" w:hAnsi="Arial"/>
                <w:b/>
                <w:sz w:val="22"/>
              </w:rPr>
              <w:t>.</w:t>
            </w:r>
          </w:p>
        </w:tc>
      </w:tr>
      <w:tr w:rsidR="00737BAB" w:rsidRPr="00A76B7D" w14:paraId="619B7646" w14:textId="77777777" w:rsidTr="00737BAB">
        <w:tc>
          <w:tcPr>
            <w:tcW w:w="14358" w:type="dxa"/>
            <w:gridSpan w:val="5"/>
            <w:noWrap/>
            <w:tcMar>
              <w:top w:w="40" w:type="dxa"/>
              <w:left w:w="40" w:type="dxa"/>
              <w:bottom w:w="40" w:type="dxa"/>
              <w:right w:w="40" w:type="dxa"/>
            </w:tcMar>
          </w:tcPr>
          <w:p w14:paraId="0B5F49B6" w14:textId="77777777" w:rsidR="00737BAB" w:rsidRPr="00A76B7D" w:rsidRDefault="00737BAB" w:rsidP="00737BAB">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À mettre en œuvre au niveau du Secteur de la culture.</w:t>
            </w:r>
          </w:p>
        </w:tc>
      </w:tr>
      <w:tr w:rsidR="00737BAB" w:rsidRPr="00A76B7D" w14:paraId="5F786ED5" w14:textId="77777777" w:rsidTr="00737BAB">
        <w:tc>
          <w:tcPr>
            <w:tcW w:w="4717" w:type="dxa"/>
            <w:gridSpan w:val="2"/>
            <w:noWrap/>
            <w:tcMar>
              <w:top w:w="40" w:type="dxa"/>
              <w:left w:w="40" w:type="dxa"/>
              <w:bottom w:w="40" w:type="dxa"/>
              <w:right w:w="40" w:type="dxa"/>
            </w:tcMar>
          </w:tcPr>
          <w:p w14:paraId="24154D3F"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6041405A" w14:textId="77777777" w:rsidR="00737BAB" w:rsidRPr="00A76B7D" w:rsidRDefault="00737BAB" w:rsidP="00F863D7">
            <w:pPr>
              <w:keepNext/>
              <w:keepLines/>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424EAE10"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3F0DE51A" w14:textId="77777777" w:rsidTr="00737BAB">
        <w:tc>
          <w:tcPr>
            <w:tcW w:w="4717" w:type="dxa"/>
            <w:gridSpan w:val="2"/>
            <w:shd w:val="clear" w:color="auto" w:fill="auto"/>
            <w:noWrap/>
            <w:tcMar>
              <w:top w:w="40" w:type="dxa"/>
              <w:left w:w="40" w:type="dxa"/>
              <w:bottom w:w="40" w:type="dxa"/>
              <w:right w:w="40" w:type="dxa"/>
            </w:tcMar>
          </w:tcPr>
          <w:p w14:paraId="5525B76B" w14:textId="55AEE07D" w:rsidR="00E01571" w:rsidRDefault="00E01571" w:rsidP="00737BAB">
            <w:pPr>
              <w:spacing w:before="120" w:after="120"/>
              <w:ind w:left="113" w:right="57"/>
              <w:rPr>
                <w:rFonts w:ascii="Arial" w:hAnsi="Arial"/>
                <w:sz w:val="22"/>
              </w:rPr>
            </w:pPr>
            <w:r>
              <w:rPr>
                <w:rFonts w:ascii="Arial" w:hAnsi="Arial"/>
                <w:sz w:val="22"/>
              </w:rPr>
              <w:t>Identifier des stratégies spécifiques de collecte de fonds pour la Convention de 2003 à intégrer dans la stratégie générale de collecte de fonds du Secteur de la culture</w:t>
            </w:r>
          </w:p>
          <w:p w14:paraId="36F9A1DB" w14:textId="262A53AC" w:rsidR="00737BAB" w:rsidRDefault="00737BAB" w:rsidP="00737BAB">
            <w:pPr>
              <w:spacing w:before="120" w:after="120"/>
              <w:ind w:left="113" w:right="57"/>
              <w:rPr>
                <w:rFonts w:ascii="Arial" w:hAnsi="Arial"/>
                <w:sz w:val="22"/>
              </w:rPr>
            </w:pPr>
            <w:r>
              <w:rPr>
                <w:rFonts w:ascii="Arial" w:hAnsi="Arial"/>
                <w:sz w:val="22"/>
              </w:rPr>
              <w:t>Envisager des options à int</w:t>
            </w:r>
            <w:r w:rsidR="00E01571">
              <w:rPr>
                <w:rFonts w:ascii="Arial" w:hAnsi="Arial"/>
                <w:sz w:val="22"/>
              </w:rPr>
              <w:t xml:space="preserve">égrer dans les activités CAP et se faire conseiller pour </w:t>
            </w:r>
            <w:r>
              <w:rPr>
                <w:rFonts w:ascii="Arial" w:hAnsi="Arial"/>
                <w:sz w:val="22"/>
              </w:rPr>
              <w:t>une méthodologie potentielle.</w:t>
            </w:r>
          </w:p>
          <w:p w14:paraId="21C31C69" w14:textId="77777777" w:rsidR="00E01571" w:rsidRPr="00A76B7D" w:rsidRDefault="00E01571" w:rsidP="00E01571">
            <w:pPr>
              <w:pStyle w:val="Default"/>
              <w:spacing w:before="120" w:after="120"/>
              <w:ind w:left="113" w:right="57"/>
              <w:rPr>
                <w:rFonts w:eastAsia="Times New Roman"/>
                <w:color w:val="auto"/>
                <w:sz w:val="22"/>
                <w:szCs w:val="22"/>
              </w:rPr>
            </w:pPr>
            <w:r>
              <w:rPr>
                <w:color w:val="auto"/>
                <w:sz w:val="22"/>
              </w:rPr>
              <w:t>Coordonner avec la stratégie générale de collecte de fonds du Secteur de la culture.</w:t>
            </w:r>
          </w:p>
          <w:p w14:paraId="11D693F3" w14:textId="77777777" w:rsidR="00E01571" w:rsidRPr="00A76B7D" w:rsidRDefault="00E01571" w:rsidP="00737BAB">
            <w:pPr>
              <w:spacing w:before="120" w:after="120"/>
              <w:ind w:left="113" w:right="57"/>
              <w:rPr>
                <w:rFonts w:ascii="Arial" w:hAnsi="Arial" w:cs="Arial"/>
                <w:sz w:val="22"/>
                <w:szCs w:val="22"/>
              </w:rPr>
            </w:pPr>
          </w:p>
        </w:tc>
        <w:tc>
          <w:tcPr>
            <w:tcW w:w="1986" w:type="dxa"/>
            <w:gridSpan w:val="2"/>
            <w:noWrap/>
            <w:tcMar>
              <w:top w:w="40" w:type="dxa"/>
              <w:left w:w="40" w:type="dxa"/>
              <w:bottom w:w="40" w:type="dxa"/>
              <w:right w:w="40" w:type="dxa"/>
            </w:tcMar>
          </w:tcPr>
          <w:p w14:paraId="6FF67D68" w14:textId="77777777" w:rsidR="00737BAB" w:rsidRPr="00A76B7D" w:rsidRDefault="00737BAB" w:rsidP="00F863D7">
            <w:pPr>
              <w:keepNext/>
              <w:keepLines/>
              <w:spacing w:before="120" w:after="120"/>
              <w:ind w:left="57"/>
              <w:rPr>
                <w:rFonts w:ascii="Arial" w:hAnsi="Arial" w:cs="Arial"/>
                <w:sz w:val="22"/>
                <w:szCs w:val="22"/>
              </w:rPr>
            </w:pPr>
            <w:r>
              <w:rPr>
                <w:rFonts w:ascii="Arial" w:hAnsi="Arial"/>
                <w:sz w:val="22"/>
              </w:rPr>
              <w:t>en cours</w:t>
            </w:r>
          </w:p>
        </w:tc>
        <w:tc>
          <w:tcPr>
            <w:tcW w:w="7655" w:type="dxa"/>
            <w:noWrap/>
            <w:tcMar>
              <w:top w:w="40" w:type="dxa"/>
              <w:left w:w="40" w:type="dxa"/>
              <w:bottom w:w="40" w:type="dxa"/>
              <w:right w:w="40" w:type="dxa"/>
            </w:tcMar>
          </w:tcPr>
          <w:p w14:paraId="5E35FE75" w14:textId="2674FCA9" w:rsidR="00737BAB" w:rsidRPr="00A76B7D" w:rsidRDefault="00737BAB" w:rsidP="002C155F">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Les secrétaires de la Convention et l’Unité des services communs des conventions (CLT/CCS) ont rencontré les membres de BSP/CFS afin de discuter de la formation d’une strat</w:t>
            </w:r>
            <w:r w:rsidR="00F04C29">
              <w:rPr>
                <w:rFonts w:ascii="Arial" w:hAnsi="Arial"/>
                <w:sz w:val="22"/>
              </w:rPr>
              <w:t>égie commune de mobilisation de</w:t>
            </w:r>
            <w:r>
              <w:rPr>
                <w:rFonts w:ascii="Arial" w:hAnsi="Arial"/>
                <w:sz w:val="22"/>
              </w:rPr>
              <w:t xml:space="preserve"> ressources.</w:t>
            </w:r>
          </w:p>
          <w:p w14:paraId="586FBC1F" w14:textId="516706F8" w:rsidR="00737BAB" w:rsidRPr="00A76B7D" w:rsidRDefault="00737BAB" w:rsidP="002C155F">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 xml:space="preserve">En outre, CCS a proposé des flux de travail en ce </w:t>
            </w:r>
            <w:r w:rsidR="00F04C29">
              <w:rPr>
                <w:rFonts w:ascii="Arial" w:hAnsi="Arial"/>
                <w:sz w:val="22"/>
              </w:rPr>
              <w:t>qui concerne la mobilisation de</w:t>
            </w:r>
            <w:r>
              <w:rPr>
                <w:rFonts w:ascii="Arial" w:hAnsi="Arial"/>
                <w:sz w:val="22"/>
              </w:rPr>
              <w:t xml:space="preserve"> ressources du secteur privé aux secrétaires </w:t>
            </w:r>
            <w:r w:rsidR="00F04C29">
              <w:rPr>
                <w:rFonts w:ascii="Arial" w:hAnsi="Arial"/>
                <w:sz w:val="22"/>
              </w:rPr>
              <w:t>des conventions</w:t>
            </w:r>
            <w:r>
              <w:rPr>
                <w:rFonts w:ascii="Arial" w:hAnsi="Arial"/>
                <w:sz w:val="22"/>
              </w:rPr>
              <w:t>.</w:t>
            </w:r>
          </w:p>
          <w:p w14:paraId="3FCE1629" w14:textId="4FD4A9E5" w:rsidR="00577D3B" w:rsidRPr="00577D3B" w:rsidRDefault="00E01571" w:rsidP="002C155F">
            <w:pPr>
              <w:pStyle w:val="ListParagraph"/>
              <w:keepNext/>
              <w:keepLines/>
              <w:numPr>
                <w:ilvl w:val="0"/>
                <w:numId w:val="39"/>
              </w:numPr>
              <w:spacing w:before="120" w:after="120"/>
              <w:ind w:left="470" w:hanging="357"/>
              <w:rPr>
                <w:b/>
                <w:sz w:val="22"/>
                <w:szCs w:val="22"/>
                <w:u w:val="single"/>
              </w:rPr>
            </w:pPr>
            <w:r>
              <w:rPr>
                <w:rFonts w:ascii="Arial" w:hAnsi="Arial"/>
                <w:sz w:val="22"/>
              </w:rPr>
              <w:t xml:space="preserve">Un document sur la stratégie de mobilisation de ressources n’a pas encore été élaboré car </w:t>
            </w:r>
            <w:r w:rsidR="00577D3B">
              <w:rPr>
                <w:rFonts w:ascii="Arial" w:hAnsi="Arial"/>
                <w:sz w:val="22"/>
              </w:rPr>
              <w:t>cela</w:t>
            </w:r>
            <w:r>
              <w:rPr>
                <w:rFonts w:ascii="Arial" w:hAnsi="Arial"/>
                <w:sz w:val="22"/>
              </w:rPr>
              <w:t xml:space="preserve"> s’est avéré </w:t>
            </w:r>
            <w:r w:rsidR="00F04C29">
              <w:rPr>
                <w:rFonts w:ascii="Arial" w:hAnsi="Arial"/>
                <w:sz w:val="22"/>
              </w:rPr>
              <w:t xml:space="preserve">être </w:t>
            </w:r>
            <w:r>
              <w:rPr>
                <w:rFonts w:ascii="Arial" w:hAnsi="Arial"/>
                <w:sz w:val="22"/>
              </w:rPr>
              <w:t xml:space="preserve">une entreprise ambitieuse, compte tenu </w:t>
            </w:r>
            <w:r w:rsidR="00577D3B">
              <w:rPr>
                <w:rFonts w:ascii="Arial" w:hAnsi="Arial"/>
                <w:sz w:val="22"/>
              </w:rPr>
              <w:t>des</w:t>
            </w:r>
            <w:r>
              <w:rPr>
                <w:rFonts w:ascii="Arial" w:hAnsi="Arial"/>
                <w:sz w:val="22"/>
              </w:rPr>
              <w:t xml:space="preserve"> méthodes de travail très distinctes pour chaque convention, </w:t>
            </w:r>
            <w:r w:rsidR="00577D3B">
              <w:rPr>
                <w:rFonts w:ascii="Arial" w:hAnsi="Arial"/>
                <w:sz w:val="22"/>
              </w:rPr>
              <w:t xml:space="preserve">et </w:t>
            </w:r>
            <w:r>
              <w:rPr>
                <w:rFonts w:ascii="Arial" w:hAnsi="Arial"/>
                <w:sz w:val="22"/>
              </w:rPr>
              <w:t xml:space="preserve">en particulier </w:t>
            </w:r>
            <w:r w:rsidR="00577D3B">
              <w:rPr>
                <w:rFonts w:ascii="Arial" w:hAnsi="Arial"/>
                <w:sz w:val="22"/>
              </w:rPr>
              <w:t>du fait que</w:t>
            </w:r>
            <w:r>
              <w:rPr>
                <w:rFonts w:ascii="Arial" w:hAnsi="Arial"/>
                <w:sz w:val="22"/>
              </w:rPr>
              <w:t xml:space="preserve"> les différents secrétariats doivent répondre aux demandes de leur comité respectif. </w:t>
            </w:r>
            <w:r w:rsidR="00577D3B">
              <w:rPr>
                <w:rFonts w:ascii="Arial" w:hAnsi="Arial"/>
                <w:sz w:val="22"/>
              </w:rPr>
              <w:t>De plus, les orientations et pratiques ne sont pas harmonisées entre les conventions</w:t>
            </w:r>
            <w:r w:rsidR="00F04C29">
              <w:rPr>
                <w:rFonts w:ascii="Arial" w:hAnsi="Arial"/>
                <w:sz w:val="22"/>
              </w:rPr>
              <w:t>.</w:t>
            </w:r>
          </w:p>
          <w:p w14:paraId="1FE6BA01" w14:textId="77777777" w:rsidR="00737BAB" w:rsidRPr="00577D3B" w:rsidRDefault="00577D3B" w:rsidP="002C155F">
            <w:pPr>
              <w:pStyle w:val="ListParagraph"/>
              <w:keepNext/>
              <w:keepLines/>
              <w:numPr>
                <w:ilvl w:val="0"/>
                <w:numId w:val="39"/>
              </w:numPr>
              <w:spacing w:before="120" w:after="120"/>
              <w:ind w:left="470" w:hanging="357"/>
              <w:rPr>
                <w:b/>
                <w:sz w:val="22"/>
                <w:szCs w:val="22"/>
                <w:u w:val="single"/>
              </w:rPr>
            </w:pPr>
            <w:r>
              <w:rPr>
                <w:rFonts w:ascii="Arial" w:hAnsi="Arial"/>
                <w:sz w:val="22"/>
              </w:rPr>
              <w:t>CCS a préparé un tableau qui résume les différents objectifs de chaque convention en termes de mobilisation de ressources, ainsi que le potentiel de chaque convention d’attirer des bailleurs de fonds. Ce travail a été partagé avec BSP/CFS afin d’aligner les orientations avec celles de l’UNESCO, conformément aux décisions du Conseil exécutif</w:t>
            </w:r>
            <w:r w:rsidR="00737BAB">
              <w:rPr>
                <w:rFonts w:ascii="Arial" w:hAnsi="Arial"/>
                <w:sz w:val="22"/>
              </w:rPr>
              <w:t>.</w:t>
            </w:r>
          </w:p>
          <w:p w14:paraId="5190E77F" w14:textId="6F2725FF" w:rsidR="00577D3B" w:rsidRPr="00A76B7D" w:rsidRDefault="00577D3B" w:rsidP="002C155F">
            <w:pPr>
              <w:pStyle w:val="ListParagraph"/>
              <w:keepNext/>
              <w:keepLines/>
              <w:numPr>
                <w:ilvl w:val="0"/>
                <w:numId w:val="39"/>
              </w:numPr>
              <w:spacing w:before="120" w:after="120"/>
              <w:ind w:left="470" w:hanging="357"/>
              <w:rPr>
                <w:b/>
                <w:sz w:val="22"/>
                <w:szCs w:val="22"/>
                <w:u w:val="single"/>
              </w:rPr>
            </w:pPr>
            <w:r>
              <w:rPr>
                <w:rFonts w:ascii="Arial" w:hAnsi="Arial"/>
                <w:sz w:val="22"/>
              </w:rPr>
              <w:t>Au niveau de la Convention de 2003, l’élaboration prévue d’un cadre global de résultats devrait contribuer à la stratégie de collecte de fonds.</w:t>
            </w:r>
          </w:p>
        </w:tc>
      </w:tr>
      <w:tr w:rsidR="00737BAB" w:rsidRPr="00A76B7D" w14:paraId="0D163FF6" w14:textId="77777777" w:rsidTr="00737BAB">
        <w:tc>
          <w:tcPr>
            <w:tcW w:w="14358" w:type="dxa"/>
            <w:gridSpan w:val="5"/>
            <w:shd w:val="clear" w:color="auto" w:fill="E6E6E6"/>
            <w:noWrap/>
            <w:tcMar>
              <w:top w:w="40" w:type="dxa"/>
              <w:left w:w="40" w:type="dxa"/>
              <w:bottom w:w="40" w:type="dxa"/>
              <w:right w:w="40" w:type="dxa"/>
            </w:tcMar>
          </w:tcPr>
          <w:p w14:paraId="131AFADA" w14:textId="77777777" w:rsidR="00737BAB" w:rsidRPr="00A76B7D" w:rsidRDefault="00737BAB" w:rsidP="002C155F">
            <w:pPr>
              <w:keepNext/>
              <w:keepLines/>
              <w:tabs>
                <w:tab w:val="left" w:pos="3390"/>
              </w:tabs>
              <w:spacing w:before="120" w:after="120"/>
              <w:ind w:left="113" w:right="113"/>
              <w:contextualSpacing/>
              <w:rPr>
                <w:rFonts w:ascii="Arial" w:hAnsi="Arial" w:cs="Arial"/>
                <w:b/>
                <w:sz w:val="22"/>
                <w:szCs w:val="22"/>
              </w:rPr>
            </w:pPr>
            <w:r>
              <w:rPr>
                <w:rFonts w:ascii="Arial" w:hAnsi="Arial"/>
                <w:b/>
                <w:sz w:val="22"/>
              </w:rPr>
              <w:t xml:space="preserve">Recommandation 20 : </w:t>
            </w:r>
            <w:r w:rsidRPr="00CA0C40">
              <w:rPr>
                <w:rFonts w:ascii="Arial" w:hAnsi="Arial"/>
                <w:b/>
                <w:sz w:val="22"/>
              </w:rPr>
              <w:t>Renforcer le partage informel des exemples de travail intéressants et novateurs sur la Convention, y compris sur la sauvegarde du PCI, le développement de politiques et législations, le développement durable et le PCI, les partenariats innovants etc.</w:t>
            </w:r>
          </w:p>
        </w:tc>
      </w:tr>
      <w:tr w:rsidR="00737BAB" w:rsidRPr="00A76B7D" w14:paraId="0AA0219F" w14:textId="77777777" w:rsidTr="00737BAB">
        <w:tc>
          <w:tcPr>
            <w:tcW w:w="14358" w:type="dxa"/>
            <w:gridSpan w:val="5"/>
            <w:noWrap/>
            <w:tcMar>
              <w:top w:w="40" w:type="dxa"/>
              <w:left w:w="40" w:type="dxa"/>
              <w:bottom w:w="40" w:type="dxa"/>
              <w:right w:w="40" w:type="dxa"/>
            </w:tcMar>
          </w:tcPr>
          <w:p w14:paraId="29A06DC7" w14:textId="77777777" w:rsidR="00737BAB" w:rsidRPr="00A76B7D" w:rsidRDefault="00737BAB" w:rsidP="00737BAB">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Voir action dans les recommandations 12 et 19</w:t>
            </w:r>
          </w:p>
        </w:tc>
      </w:tr>
      <w:tr w:rsidR="00737BAB" w:rsidRPr="00A76B7D" w14:paraId="686EA88D" w14:textId="77777777" w:rsidTr="00737BAB">
        <w:tc>
          <w:tcPr>
            <w:tcW w:w="4717" w:type="dxa"/>
            <w:gridSpan w:val="2"/>
            <w:noWrap/>
            <w:tcMar>
              <w:top w:w="40" w:type="dxa"/>
              <w:left w:w="40" w:type="dxa"/>
              <w:bottom w:w="40" w:type="dxa"/>
              <w:right w:w="40" w:type="dxa"/>
            </w:tcMar>
          </w:tcPr>
          <w:p w14:paraId="3C367853"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10B2DE66"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390AA527"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61FE5281" w14:textId="77777777" w:rsidTr="00737BAB">
        <w:tc>
          <w:tcPr>
            <w:tcW w:w="4717" w:type="dxa"/>
            <w:gridSpan w:val="2"/>
            <w:noWrap/>
            <w:tcMar>
              <w:top w:w="40" w:type="dxa"/>
              <w:left w:w="40" w:type="dxa"/>
              <w:bottom w:w="40" w:type="dxa"/>
              <w:right w:w="40" w:type="dxa"/>
            </w:tcMar>
            <w:vAlign w:val="center"/>
          </w:tcPr>
          <w:p w14:paraId="78450BD3"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Voir action dans les recommandations 12 et 19.</w:t>
            </w:r>
          </w:p>
        </w:tc>
        <w:tc>
          <w:tcPr>
            <w:tcW w:w="1986" w:type="dxa"/>
            <w:gridSpan w:val="2"/>
            <w:noWrap/>
            <w:tcMar>
              <w:top w:w="40" w:type="dxa"/>
              <w:left w:w="40" w:type="dxa"/>
              <w:bottom w:w="40" w:type="dxa"/>
              <w:right w:w="40" w:type="dxa"/>
            </w:tcMar>
            <w:vAlign w:val="center"/>
          </w:tcPr>
          <w:p w14:paraId="0BE39F5B" w14:textId="77777777" w:rsidR="00737BAB" w:rsidRPr="00A76B7D" w:rsidRDefault="00737BAB" w:rsidP="00737BAB">
            <w:pPr>
              <w:spacing w:before="120" w:after="120"/>
              <w:rPr>
                <w:rFonts w:ascii="Arial" w:hAnsi="Arial" w:cs="Arial"/>
                <w:sz w:val="22"/>
                <w:szCs w:val="22"/>
              </w:rPr>
            </w:pPr>
          </w:p>
        </w:tc>
        <w:tc>
          <w:tcPr>
            <w:tcW w:w="7655" w:type="dxa"/>
            <w:noWrap/>
            <w:tcMar>
              <w:top w:w="40" w:type="dxa"/>
              <w:left w:w="40" w:type="dxa"/>
              <w:bottom w:w="40" w:type="dxa"/>
              <w:right w:w="40" w:type="dxa"/>
            </w:tcMar>
            <w:vAlign w:val="center"/>
          </w:tcPr>
          <w:p w14:paraId="366529B8" w14:textId="77777777" w:rsidR="00737BAB" w:rsidRPr="00A76B7D" w:rsidRDefault="00737BAB" w:rsidP="00737BAB">
            <w:pPr>
              <w:spacing w:before="120" w:after="120"/>
              <w:rPr>
                <w:rFonts w:ascii="Arial" w:hAnsi="Arial" w:cs="Arial"/>
                <w:b/>
                <w:sz w:val="22"/>
                <w:szCs w:val="22"/>
                <w:u w:val="single"/>
              </w:rPr>
            </w:pPr>
          </w:p>
        </w:tc>
      </w:tr>
      <w:tr w:rsidR="00737BAB" w:rsidRPr="00A76B7D" w14:paraId="22686F13" w14:textId="77777777" w:rsidTr="00737BAB">
        <w:tc>
          <w:tcPr>
            <w:tcW w:w="14358" w:type="dxa"/>
            <w:gridSpan w:val="5"/>
            <w:shd w:val="clear" w:color="auto" w:fill="E6E6E6"/>
            <w:noWrap/>
            <w:tcMar>
              <w:top w:w="40" w:type="dxa"/>
              <w:left w:w="40" w:type="dxa"/>
              <w:bottom w:w="40" w:type="dxa"/>
              <w:right w:w="40" w:type="dxa"/>
            </w:tcMar>
          </w:tcPr>
          <w:p w14:paraId="74B016D2" w14:textId="77777777" w:rsidR="00737BAB" w:rsidRPr="00A76B7D" w:rsidRDefault="00737BAB" w:rsidP="00737BAB">
            <w:pPr>
              <w:tabs>
                <w:tab w:val="left" w:pos="2640"/>
              </w:tabs>
              <w:spacing w:before="120" w:after="120"/>
              <w:ind w:left="113" w:right="113"/>
              <w:rPr>
                <w:rFonts w:ascii="Arial" w:hAnsi="Arial" w:cs="Arial"/>
                <w:b/>
                <w:sz w:val="22"/>
                <w:szCs w:val="22"/>
              </w:rPr>
            </w:pPr>
            <w:r>
              <w:rPr>
                <w:rFonts w:ascii="Arial" w:hAnsi="Arial"/>
                <w:b/>
                <w:sz w:val="22"/>
              </w:rPr>
              <w:t xml:space="preserve">Recommandation 21 : </w:t>
            </w:r>
            <w:r w:rsidRPr="00CA0C40">
              <w:rPr>
                <w:rFonts w:ascii="Arial" w:hAnsi="Arial"/>
                <w:b/>
                <w:sz w:val="22"/>
              </w:rPr>
              <w:t>Réviser les formulaires des rapports périodiques afin d</w:t>
            </w:r>
            <w:r>
              <w:rPr>
                <w:rFonts w:ascii="Arial" w:hAnsi="Arial"/>
                <w:b/>
                <w:sz w:val="22"/>
              </w:rPr>
              <w:t>’</w:t>
            </w:r>
            <w:r w:rsidRPr="00CA0C40">
              <w:rPr>
                <w:rFonts w:ascii="Arial" w:hAnsi="Arial"/>
                <w:b/>
                <w:sz w:val="22"/>
              </w:rPr>
              <w:t>y inclure des questions spécifiques sur la politique, la législation et le genre, et s</w:t>
            </w:r>
            <w:r>
              <w:rPr>
                <w:rFonts w:ascii="Arial" w:hAnsi="Arial"/>
                <w:b/>
                <w:sz w:val="22"/>
              </w:rPr>
              <w:t>’</w:t>
            </w:r>
            <w:r w:rsidRPr="00CA0C40">
              <w:rPr>
                <w:rFonts w:ascii="Arial" w:hAnsi="Arial"/>
                <w:b/>
                <w:sz w:val="22"/>
              </w:rPr>
              <w:t>assurer que les rapports se concentrent sur les résultats plutôt que sur les activités.</w:t>
            </w:r>
          </w:p>
        </w:tc>
      </w:tr>
      <w:tr w:rsidR="00737BAB" w:rsidRPr="00A76B7D" w14:paraId="321BA8A1" w14:textId="77777777" w:rsidTr="00737BAB">
        <w:tc>
          <w:tcPr>
            <w:tcW w:w="14358" w:type="dxa"/>
            <w:gridSpan w:val="5"/>
            <w:noWrap/>
            <w:tcMar>
              <w:top w:w="40" w:type="dxa"/>
              <w:left w:w="40" w:type="dxa"/>
              <w:bottom w:w="40" w:type="dxa"/>
              <w:right w:w="40" w:type="dxa"/>
            </w:tcMar>
          </w:tcPr>
          <w:p w14:paraId="1B79FE40" w14:textId="0B12666E" w:rsidR="00737BAB" w:rsidRPr="00A76B7D" w:rsidRDefault="00737BAB" w:rsidP="002C155F">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Les formulaires des rapports périodiques ont été modifiés afin d’y inclure les questions spécifiques sur la politique, la législation et le genre. Les projets de Directives opérationnelles ont été proposés et approuvés lors de la neuvième session du Comité. L’Assemblée générale lors de </w:t>
            </w:r>
            <w:r w:rsidR="0082689F">
              <w:rPr>
                <w:rFonts w:ascii="Arial" w:hAnsi="Arial"/>
                <w:sz w:val="22"/>
              </w:rPr>
              <w:t>la présente</w:t>
            </w:r>
            <w:r>
              <w:rPr>
                <w:rFonts w:ascii="Arial" w:hAnsi="Arial"/>
                <w:sz w:val="22"/>
              </w:rPr>
              <w:t xml:space="preserve"> session (juin 2016) </w:t>
            </w:r>
            <w:r w:rsidR="002C155F">
              <w:rPr>
                <w:rFonts w:ascii="Arial" w:hAnsi="Arial"/>
                <w:sz w:val="22"/>
              </w:rPr>
              <w:t>examinera pour adoption</w:t>
            </w:r>
            <w:r>
              <w:rPr>
                <w:rFonts w:ascii="Arial" w:hAnsi="Arial"/>
                <w:sz w:val="22"/>
              </w:rPr>
              <w:t xml:space="preserve"> les Directives opérationnelles amendées.</w:t>
            </w:r>
          </w:p>
        </w:tc>
      </w:tr>
      <w:tr w:rsidR="00737BAB" w:rsidRPr="00A76B7D" w14:paraId="46BCAB42" w14:textId="77777777" w:rsidTr="00737BAB">
        <w:tc>
          <w:tcPr>
            <w:tcW w:w="4717" w:type="dxa"/>
            <w:gridSpan w:val="2"/>
            <w:noWrap/>
            <w:tcMar>
              <w:top w:w="40" w:type="dxa"/>
              <w:left w:w="40" w:type="dxa"/>
              <w:bottom w:w="40" w:type="dxa"/>
              <w:right w:w="40" w:type="dxa"/>
            </w:tcMar>
          </w:tcPr>
          <w:p w14:paraId="6A20F7FC"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0DD6740A"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772E4FEA"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7BC160B1" w14:textId="77777777" w:rsidTr="00737BAB">
        <w:tc>
          <w:tcPr>
            <w:tcW w:w="4717" w:type="dxa"/>
            <w:gridSpan w:val="2"/>
            <w:noWrap/>
            <w:tcMar>
              <w:top w:w="40" w:type="dxa"/>
              <w:left w:w="40" w:type="dxa"/>
              <w:bottom w:w="40" w:type="dxa"/>
              <w:right w:w="40" w:type="dxa"/>
            </w:tcMar>
          </w:tcPr>
          <w:p w14:paraId="4F02E881" w14:textId="77777777" w:rsidR="00737BAB" w:rsidRPr="00A76B7D" w:rsidRDefault="00737BAB" w:rsidP="00147D32">
            <w:pPr>
              <w:keepNext/>
              <w:keepLines/>
              <w:spacing w:before="120" w:after="120"/>
              <w:ind w:left="113" w:right="57"/>
              <w:rPr>
                <w:rFonts w:ascii="Arial" w:hAnsi="Arial" w:cs="Arial"/>
                <w:sz w:val="22"/>
                <w:szCs w:val="22"/>
              </w:rPr>
            </w:pPr>
            <w:r>
              <w:rPr>
                <w:rFonts w:ascii="Arial" w:hAnsi="Arial"/>
                <w:sz w:val="22"/>
              </w:rPr>
              <w:t xml:space="preserve">Réviser le formulaire ICH-10 (rapports des États parties sur la mise en œuvre de la Convention). </w:t>
            </w:r>
          </w:p>
          <w:p w14:paraId="3D9E7B6C" w14:textId="77777777" w:rsidR="00737BAB" w:rsidRPr="00A76B7D" w:rsidRDefault="00737BAB" w:rsidP="00147D32">
            <w:pPr>
              <w:keepNext/>
              <w:keepLines/>
              <w:spacing w:before="120" w:after="120"/>
              <w:ind w:left="113" w:right="57"/>
              <w:rPr>
                <w:rFonts w:ascii="Arial" w:hAnsi="Arial" w:cs="Arial"/>
                <w:sz w:val="22"/>
                <w:szCs w:val="22"/>
              </w:rPr>
            </w:pPr>
            <w:r>
              <w:rPr>
                <w:rFonts w:ascii="Arial" w:hAnsi="Arial"/>
                <w:sz w:val="22"/>
              </w:rPr>
              <w:t>Proposer un projet de Directives opérationnelles afin de s’assurer que les rapports périodiques traitent de ces questions.</w:t>
            </w:r>
          </w:p>
        </w:tc>
        <w:tc>
          <w:tcPr>
            <w:tcW w:w="1986" w:type="dxa"/>
            <w:gridSpan w:val="2"/>
            <w:noWrap/>
            <w:tcMar>
              <w:top w:w="40" w:type="dxa"/>
              <w:left w:w="40" w:type="dxa"/>
              <w:bottom w:w="40" w:type="dxa"/>
              <w:right w:w="40" w:type="dxa"/>
            </w:tcMar>
          </w:tcPr>
          <w:p w14:paraId="03F1C0EB" w14:textId="77777777" w:rsidR="00737BAB" w:rsidRPr="00A76B7D" w:rsidRDefault="00737BAB" w:rsidP="00147D32">
            <w:pPr>
              <w:keepNext/>
              <w:keepLines/>
              <w:spacing w:before="120" w:after="120"/>
              <w:ind w:left="57"/>
              <w:rPr>
                <w:rFonts w:ascii="Arial" w:hAnsi="Arial" w:cs="Arial"/>
                <w:sz w:val="22"/>
                <w:szCs w:val="22"/>
              </w:rPr>
            </w:pPr>
            <w:r>
              <w:rPr>
                <w:rFonts w:ascii="Arial" w:hAnsi="Arial"/>
                <w:sz w:val="22"/>
              </w:rPr>
              <w:t>juin 2016</w:t>
            </w:r>
          </w:p>
        </w:tc>
        <w:tc>
          <w:tcPr>
            <w:tcW w:w="7655" w:type="dxa"/>
            <w:noWrap/>
            <w:tcMar>
              <w:top w:w="40" w:type="dxa"/>
              <w:left w:w="40" w:type="dxa"/>
              <w:bottom w:w="40" w:type="dxa"/>
              <w:right w:w="40" w:type="dxa"/>
            </w:tcMar>
          </w:tcPr>
          <w:p w14:paraId="6C82B350" w14:textId="77777777" w:rsidR="00737BAB" w:rsidRPr="00A76B7D" w:rsidRDefault="00737BAB" w:rsidP="00147D32">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Le Comité, lors de sa neuvième session, a discuté et a approuvé le projet d’amendements des Directives opérationnelles sur les rapports périodiques et a recommandé à l’Assemblée générale d’approuver ces amendements lors de la sixième session (Décision 9.COM 13.a).</w:t>
            </w:r>
          </w:p>
          <w:p w14:paraId="6D25E9E3" w14:textId="03270271" w:rsidR="00737BAB" w:rsidRPr="00A76B7D" w:rsidRDefault="00737BAB" w:rsidP="00147D32">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 xml:space="preserve">Le projet d’amendements des Directives opérationnelles </w:t>
            </w:r>
            <w:r w:rsidR="00D37017">
              <w:rPr>
                <w:rFonts w:ascii="Arial" w:hAnsi="Arial"/>
                <w:sz w:val="22"/>
              </w:rPr>
              <w:t xml:space="preserve">est </w:t>
            </w:r>
            <w:r>
              <w:rPr>
                <w:rFonts w:ascii="Arial" w:hAnsi="Arial"/>
                <w:sz w:val="22"/>
              </w:rPr>
              <w:t xml:space="preserve">soumis à l’approbation de l’Assemblée générale </w:t>
            </w:r>
            <w:r w:rsidR="00D37017">
              <w:rPr>
                <w:rFonts w:ascii="Arial" w:hAnsi="Arial"/>
                <w:sz w:val="22"/>
              </w:rPr>
              <w:t xml:space="preserve">lors de la présente session </w:t>
            </w:r>
            <w:r>
              <w:rPr>
                <w:rFonts w:ascii="Arial" w:hAnsi="Arial"/>
                <w:sz w:val="22"/>
              </w:rPr>
              <w:t>en juin 2016.</w:t>
            </w:r>
          </w:p>
          <w:p w14:paraId="628AA3F9" w14:textId="77777777" w:rsidR="00737BAB" w:rsidRPr="00A76B7D" w:rsidRDefault="00737BAB" w:rsidP="00147D32">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Le formulaire ICH-10 (rapports des États parties sur la mise en œuvre de la Convention) a été révisé en décembre 2014.</w:t>
            </w:r>
          </w:p>
        </w:tc>
      </w:tr>
      <w:tr w:rsidR="00737BAB" w:rsidRPr="00A76B7D" w14:paraId="66FFBE91" w14:textId="77777777" w:rsidTr="00737BAB">
        <w:tc>
          <w:tcPr>
            <w:tcW w:w="14358" w:type="dxa"/>
            <w:gridSpan w:val="5"/>
            <w:shd w:val="clear" w:color="auto" w:fill="E6E6E6"/>
            <w:noWrap/>
            <w:tcMar>
              <w:top w:w="40" w:type="dxa"/>
              <w:left w:w="40" w:type="dxa"/>
              <w:bottom w:w="40" w:type="dxa"/>
              <w:right w:w="40" w:type="dxa"/>
            </w:tcMar>
          </w:tcPr>
          <w:p w14:paraId="44A77351" w14:textId="77777777" w:rsidR="00737BAB" w:rsidRPr="00A76B7D" w:rsidRDefault="00737BAB" w:rsidP="00147D32">
            <w:pPr>
              <w:keepNext/>
              <w:keepLines/>
              <w:tabs>
                <w:tab w:val="left" w:pos="2640"/>
              </w:tabs>
              <w:spacing w:before="120" w:after="120"/>
              <w:ind w:left="113" w:right="113"/>
              <w:rPr>
                <w:rFonts w:ascii="Arial" w:hAnsi="Arial" w:cs="Arial"/>
                <w:b/>
                <w:sz w:val="22"/>
                <w:szCs w:val="22"/>
              </w:rPr>
            </w:pPr>
            <w:r>
              <w:rPr>
                <w:rFonts w:ascii="Arial" w:hAnsi="Arial"/>
                <w:b/>
                <w:sz w:val="22"/>
              </w:rPr>
              <w:t xml:space="preserve">Recommandation 22 : </w:t>
            </w:r>
            <w:r w:rsidRPr="00473128">
              <w:rPr>
                <w:rFonts w:ascii="Arial" w:hAnsi="Arial"/>
                <w:b/>
                <w:sz w:val="22"/>
              </w:rPr>
              <w:t>Élaborer un cadre global de résultats pour la Convention, associé à une théorie de changement de la Convention et incluant des objectifs clairs et précis, des calendriers, des indicateurs et des repères.</w:t>
            </w:r>
          </w:p>
        </w:tc>
      </w:tr>
      <w:tr w:rsidR="00737BAB" w:rsidRPr="00A76B7D" w14:paraId="0E606A94" w14:textId="77777777" w:rsidTr="00737BAB">
        <w:tc>
          <w:tcPr>
            <w:tcW w:w="14358" w:type="dxa"/>
            <w:gridSpan w:val="5"/>
            <w:noWrap/>
            <w:tcMar>
              <w:top w:w="40" w:type="dxa"/>
              <w:left w:w="40" w:type="dxa"/>
              <w:bottom w:w="40" w:type="dxa"/>
              <w:right w:w="40" w:type="dxa"/>
            </w:tcMar>
          </w:tcPr>
          <w:p w14:paraId="7C3EC033" w14:textId="77777777" w:rsidR="00737BAB" w:rsidRPr="00A76B7D" w:rsidRDefault="00737BAB" w:rsidP="00737BAB">
            <w:pPr>
              <w:spacing w:before="120" w:after="120"/>
              <w:ind w:left="113" w:right="113"/>
              <w:rPr>
                <w:rFonts w:ascii="Arial" w:hAnsi="Arial" w:cs="Arial"/>
                <w:sz w:val="22"/>
                <w:szCs w:val="22"/>
              </w:rPr>
            </w:pPr>
            <w:r>
              <w:rPr>
                <w:rFonts w:ascii="Arial" w:hAnsi="Arial"/>
                <w:b/>
                <w:sz w:val="22"/>
              </w:rPr>
              <w:t>Réponse de la direction :</w:t>
            </w:r>
            <w:r>
              <w:rPr>
                <w:rFonts w:ascii="Arial" w:hAnsi="Arial"/>
                <w:sz w:val="22"/>
              </w:rPr>
              <w:t xml:space="preserve"> Étant donné l’importance pour toutes les parties prenantes d’adhérer à un cadre général de résultats pour la Convention, un groupe de travail ouvert du Comité devrait être organisé afin de discuter du cadre de résultats ; un financement </w:t>
            </w:r>
            <w:r w:rsidRPr="00A370C9">
              <w:rPr>
                <w:rFonts w:ascii="Arial" w:hAnsi="Arial"/>
                <w:sz w:val="22"/>
              </w:rPr>
              <w:t>extra budgétaire</w:t>
            </w:r>
            <w:r>
              <w:rPr>
                <w:rFonts w:ascii="Arial" w:hAnsi="Arial"/>
                <w:sz w:val="22"/>
              </w:rPr>
              <w:t xml:space="preserve"> pour un tel groupe de travail devrait être mobilisé.</w:t>
            </w:r>
          </w:p>
        </w:tc>
      </w:tr>
      <w:tr w:rsidR="00737BAB" w:rsidRPr="00A76B7D" w14:paraId="2ABBB75A" w14:textId="77777777" w:rsidTr="00737BAB">
        <w:tc>
          <w:tcPr>
            <w:tcW w:w="4717" w:type="dxa"/>
            <w:gridSpan w:val="2"/>
            <w:noWrap/>
            <w:tcMar>
              <w:top w:w="40" w:type="dxa"/>
              <w:left w:w="40" w:type="dxa"/>
              <w:bottom w:w="40" w:type="dxa"/>
              <w:right w:w="40" w:type="dxa"/>
            </w:tcMar>
          </w:tcPr>
          <w:p w14:paraId="23E56198"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31DDD60B"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266924F6"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5358C73B" w14:textId="77777777" w:rsidTr="00737BAB">
        <w:tc>
          <w:tcPr>
            <w:tcW w:w="4717" w:type="dxa"/>
            <w:gridSpan w:val="2"/>
            <w:noWrap/>
            <w:tcMar>
              <w:top w:w="40" w:type="dxa"/>
              <w:left w:w="40" w:type="dxa"/>
              <w:bottom w:w="40" w:type="dxa"/>
              <w:right w:w="40" w:type="dxa"/>
            </w:tcMar>
          </w:tcPr>
          <w:p w14:paraId="7E75C432" w14:textId="77777777" w:rsidR="00737BAB" w:rsidRPr="00A76B7D" w:rsidRDefault="00737BAB" w:rsidP="00147D32">
            <w:pPr>
              <w:keepNext/>
              <w:keepLines/>
              <w:spacing w:before="120" w:after="120"/>
              <w:ind w:left="113"/>
              <w:rPr>
                <w:rFonts w:ascii="Arial" w:hAnsi="Arial" w:cs="Arial"/>
                <w:sz w:val="22"/>
                <w:szCs w:val="22"/>
              </w:rPr>
            </w:pPr>
            <w:r>
              <w:rPr>
                <w:rFonts w:ascii="Arial" w:hAnsi="Arial"/>
                <w:sz w:val="22"/>
              </w:rPr>
              <w:t>Organiser un groupe de travail du Comité pour discuter du cadre de résultats.</w:t>
            </w:r>
          </w:p>
          <w:p w14:paraId="06F49D77" w14:textId="77777777" w:rsidR="00737BAB" w:rsidRPr="00A76B7D" w:rsidRDefault="00737BAB" w:rsidP="00147D32">
            <w:pPr>
              <w:keepNext/>
              <w:keepLines/>
              <w:spacing w:before="120" w:after="120"/>
              <w:ind w:left="113"/>
              <w:rPr>
                <w:rFonts w:ascii="Arial" w:hAnsi="Arial" w:cs="Arial"/>
                <w:sz w:val="22"/>
                <w:szCs w:val="22"/>
              </w:rPr>
            </w:pPr>
            <w:r>
              <w:rPr>
                <w:rFonts w:ascii="Arial" w:hAnsi="Arial"/>
                <w:sz w:val="22"/>
              </w:rPr>
              <w:t xml:space="preserve">Mobiliser un financement </w:t>
            </w:r>
            <w:r w:rsidRPr="004F6E13">
              <w:rPr>
                <w:rFonts w:ascii="Arial" w:hAnsi="Arial"/>
                <w:sz w:val="22"/>
              </w:rPr>
              <w:t>extra</w:t>
            </w:r>
            <w:r>
              <w:rPr>
                <w:rFonts w:ascii="Arial" w:hAnsi="Arial"/>
                <w:sz w:val="22"/>
              </w:rPr>
              <w:t xml:space="preserve"> </w:t>
            </w:r>
            <w:r w:rsidRPr="004F6E13">
              <w:rPr>
                <w:rFonts w:ascii="Arial" w:hAnsi="Arial"/>
                <w:sz w:val="22"/>
              </w:rPr>
              <w:t>budgétaire</w:t>
            </w:r>
            <w:r>
              <w:rPr>
                <w:rFonts w:ascii="Arial" w:hAnsi="Arial"/>
                <w:sz w:val="22"/>
              </w:rPr>
              <w:t xml:space="preserve"> pour un tel groupe de travail.</w:t>
            </w:r>
          </w:p>
        </w:tc>
        <w:tc>
          <w:tcPr>
            <w:tcW w:w="1986" w:type="dxa"/>
            <w:gridSpan w:val="2"/>
            <w:noWrap/>
            <w:tcMar>
              <w:top w:w="40" w:type="dxa"/>
              <w:left w:w="40" w:type="dxa"/>
              <w:bottom w:w="40" w:type="dxa"/>
              <w:right w:w="40" w:type="dxa"/>
            </w:tcMar>
          </w:tcPr>
          <w:p w14:paraId="714995E6" w14:textId="5087D015" w:rsidR="00737BAB" w:rsidRPr="00A76B7D" w:rsidRDefault="00D37017" w:rsidP="00147D32">
            <w:pPr>
              <w:keepNext/>
              <w:keepLines/>
              <w:spacing w:before="120" w:after="120"/>
              <w:ind w:left="57"/>
              <w:rPr>
                <w:rFonts w:ascii="Arial" w:hAnsi="Arial" w:cs="Arial"/>
                <w:sz w:val="22"/>
                <w:szCs w:val="22"/>
              </w:rPr>
            </w:pPr>
            <w:r>
              <w:rPr>
                <w:rFonts w:ascii="Arial" w:hAnsi="Arial"/>
                <w:sz w:val="22"/>
              </w:rPr>
              <w:t>Second semestre de j</w:t>
            </w:r>
            <w:r w:rsidR="00737BAB">
              <w:rPr>
                <w:rFonts w:ascii="Arial" w:hAnsi="Arial"/>
                <w:sz w:val="22"/>
              </w:rPr>
              <w:t>uin 2016</w:t>
            </w:r>
          </w:p>
        </w:tc>
        <w:tc>
          <w:tcPr>
            <w:tcW w:w="7655" w:type="dxa"/>
            <w:noWrap/>
            <w:tcMar>
              <w:top w:w="40" w:type="dxa"/>
              <w:left w:w="40" w:type="dxa"/>
              <w:bottom w:w="40" w:type="dxa"/>
              <w:right w:w="40" w:type="dxa"/>
            </w:tcMar>
          </w:tcPr>
          <w:p w14:paraId="2F08972F" w14:textId="1924FC80" w:rsidR="00737BAB" w:rsidRPr="00A76B7D" w:rsidRDefault="00737BAB" w:rsidP="00147D32">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Lors de sa neuvième session, le Comité a décidé de convoquer un groupe de travail intergouvernemental ouvert courant 2016 afin d’examiner les recommandations préliminaires relatives à d’éventuelles directives, sous réserve que des contributions supplémentaires volontaires au Fonds du patrimoine culturel immatériel soient reçues en temps utile (Décision 9.COM 13.e)</w:t>
            </w:r>
            <w:r w:rsidR="00AC60D8">
              <w:rPr>
                <w:rFonts w:ascii="Arial" w:hAnsi="Arial"/>
                <w:sz w:val="22"/>
              </w:rPr>
              <w:t>.</w:t>
            </w:r>
          </w:p>
          <w:p w14:paraId="0A3D537F" w14:textId="77777777" w:rsidR="00737BAB" w:rsidRPr="00AC60D8" w:rsidRDefault="00AC60D8" w:rsidP="00147D32">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Le Comité a approuvé</w:t>
            </w:r>
            <w:r w:rsidR="00737BAB">
              <w:rPr>
                <w:rFonts w:ascii="Arial" w:hAnsi="Arial"/>
                <w:sz w:val="22"/>
              </w:rPr>
              <w:t xml:space="preserve"> </w:t>
            </w:r>
            <w:r>
              <w:rPr>
                <w:rFonts w:ascii="Arial" w:hAnsi="Arial"/>
                <w:sz w:val="22"/>
              </w:rPr>
              <w:t>lors de sa dixième</w:t>
            </w:r>
            <w:r w:rsidR="00737BAB">
              <w:rPr>
                <w:rFonts w:ascii="Arial" w:hAnsi="Arial"/>
                <w:sz w:val="22"/>
              </w:rPr>
              <w:t xml:space="preserve"> session la proposition de la Chine pour soutenir l’organisation au cours du second semestre de 2016 d’une réunion d’experts sur l’élaboration d’un cadre général de résultats pour la Convention.</w:t>
            </w:r>
          </w:p>
          <w:p w14:paraId="779CBF03" w14:textId="14994100" w:rsidR="00AC60D8" w:rsidRPr="00A76B7D" w:rsidRDefault="00AC60D8" w:rsidP="00147D32">
            <w:pPr>
              <w:pStyle w:val="ListParagraph"/>
              <w:keepNext/>
              <w:keepLines/>
              <w:numPr>
                <w:ilvl w:val="0"/>
                <w:numId w:val="39"/>
              </w:numPr>
              <w:spacing w:before="120" w:after="120"/>
              <w:ind w:left="470" w:hanging="357"/>
              <w:rPr>
                <w:rFonts w:ascii="Arial" w:hAnsi="Arial" w:cs="Arial"/>
                <w:sz w:val="22"/>
                <w:szCs w:val="22"/>
              </w:rPr>
            </w:pPr>
            <w:r>
              <w:rPr>
                <w:rFonts w:ascii="Arial" w:hAnsi="Arial"/>
                <w:sz w:val="22"/>
              </w:rPr>
              <w:t>Une réunion d’experts de catégorie VI sur ce sujet se tiendra en Chine en juillet 2016.</w:t>
            </w:r>
          </w:p>
        </w:tc>
      </w:tr>
      <w:tr w:rsidR="00737BAB" w:rsidRPr="00A76B7D" w14:paraId="207BC87B" w14:textId="77777777" w:rsidTr="00737BAB">
        <w:tc>
          <w:tcPr>
            <w:tcW w:w="14358" w:type="dxa"/>
            <w:gridSpan w:val="5"/>
            <w:shd w:val="clear" w:color="auto" w:fill="E6E6E6"/>
            <w:noWrap/>
            <w:tcMar>
              <w:top w:w="40" w:type="dxa"/>
              <w:left w:w="40" w:type="dxa"/>
              <w:bottom w:w="40" w:type="dxa"/>
              <w:right w:w="40" w:type="dxa"/>
            </w:tcMar>
          </w:tcPr>
          <w:p w14:paraId="0FE00711" w14:textId="77777777" w:rsidR="00737BAB" w:rsidRPr="00A76B7D" w:rsidRDefault="00737BAB" w:rsidP="00147D32">
            <w:pPr>
              <w:keepNext/>
              <w:keepLines/>
              <w:tabs>
                <w:tab w:val="left" w:pos="2640"/>
              </w:tabs>
              <w:spacing w:before="120" w:after="120"/>
              <w:ind w:left="113" w:right="113"/>
              <w:jc w:val="both"/>
              <w:rPr>
                <w:rFonts w:ascii="Arial" w:hAnsi="Arial" w:cs="Arial"/>
                <w:b/>
                <w:sz w:val="22"/>
                <w:szCs w:val="22"/>
              </w:rPr>
            </w:pPr>
            <w:r>
              <w:rPr>
                <w:rFonts w:ascii="Arial" w:hAnsi="Arial"/>
                <w:b/>
                <w:sz w:val="22"/>
              </w:rPr>
              <w:t xml:space="preserve">Recommandation 23 : </w:t>
            </w:r>
            <w:r w:rsidRPr="00473128">
              <w:rPr>
                <w:rFonts w:ascii="Arial" w:hAnsi="Arial"/>
                <w:b/>
                <w:sz w:val="22"/>
              </w:rPr>
              <w:t>Compléter les données rassemblées sur la mise en œuvre de la Convention via les rapports périodiques soumis par les États parties avec les informations fournies par les ONG</w:t>
            </w:r>
            <w:r>
              <w:rPr>
                <w:rFonts w:ascii="Arial" w:hAnsi="Arial"/>
                <w:b/>
                <w:sz w:val="22"/>
              </w:rPr>
              <w:t>.</w:t>
            </w:r>
          </w:p>
        </w:tc>
      </w:tr>
      <w:tr w:rsidR="00737BAB" w:rsidRPr="00A76B7D" w14:paraId="3342F62B" w14:textId="77777777" w:rsidTr="00737BAB">
        <w:tc>
          <w:tcPr>
            <w:tcW w:w="14358" w:type="dxa"/>
            <w:gridSpan w:val="5"/>
            <w:noWrap/>
            <w:tcMar>
              <w:top w:w="40" w:type="dxa"/>
              <w:left w:w="40" w:type="dxa"/>
              <w:bottom w:w="40" w:type="dxa"/>
              <w:right w:w="40" w:type="dxa"/>
            </w:tcMar>
          </w:tcPr>
          <w:p w14:paraId="47C6DE17" w14:textId="50038E7F" w:rsidR="00737BAB" w:rsidRPr="00A76B7D" w:rsidRDefault="00737BAB" w:rsidP="00A923AE">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Le formulaire ICH-10 des rapports périodiques a été révisé le 15 décembre 2014. </w:t>
            </w:r>
            <w:r w:rsidR="00A923AE">
              <w:rPr>
                <w:rFonts w:ascii="Arial" w:hAnsi="Arial"/>
                <w:sz w:val="22"/>
              </w:rPr>
              <w:t>Les</w:t>
            </w:r>
            <w:r>
              <w:rPr>
                <w:rFonts w:ascii="Arial" w:hAnsi="Arial"/>
                <w:sz w:val="22"/>
              </w:rPr>
              <w:t xml:space="preserve"> États </w:t>
            </w:r>
            <w:r w:rsidR="00A923AE">
              <w:rPr>
                <w:rFonts w:ascii="Arial" w:hAnsi="Arial"/>
                <w:sz w:val="22"/>
              </w:rPr>
              <w:t>soumettant leur rapport en 2016 pourront</w:t>
            </w:r>
            <w:r>
              <w:rPr>
                <w:rFonts w:ascii="Arial" w:hAnsi="Arial"/>
                <w:sz w:val="22"/>
              </w:rPr>
              <w:t xml:space="preserve"> intégrer ces contributions.</w:t>
            </w:r>
          </w:p>
        </w:tc>
      </w:tr>
      <w:tr w:rsidR="00737BAB" w:rsidRPr="00A76B7D" w14:paraId="57FABE13" w14:textId="77777777" w:rsidTr="00737BAB">
        <w:tc>
          <w:tcPr>
            <w:tcW w:w="4717" w:type="dxa"/>
            <w:gridSpan w:val="2"/>
            <w:tcBorders>
              <w:bottom w:val="single" w:sz="4" w:space="0" w:color="auto"/>
            </w:tcBorders>
            <w:noWrap/>
            <w:tcMar>
              <w:top w:w="40" w:type="dxa"/>
              <w:left w:w="40" w:type="dxa"/>
              <w:bottom w:w="40" w:type="dxa"/>
              <w:right w:w="40" w:type="dxa"/>
            </w:tcMar>
          </w:tcPr>
          <w:p w14:paraId="2AEA92FC"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tcBorders>
              <w:bottom w:val="single" w:sz="4" w:space="0" w:color="auto"/>
            </w:tcBorders>
            <w:noWrap/>
            <w:tcMar>
              <w:top w:w="40" w:type="dxa"/>
              <w:left w:w="40" w:type="dxa"/>
              <w:bottom w:w="40" w:type="dxa"/>
              <w:right w:w="40" w:type="dxa"/>
            </w:tcMar>
          </w:tcPr>
          <w:p w14:paraId="04158C57"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tcBorders>
              <w:bottom w:val="single" w:sz="4" w:space="0" w:color="auto"/>
            </w:tcBorders>
            <w:noWrap/>
            <w:tcMar>
              <w:top w:w="40" w:type="dxa"/>
              <w:left w:w="40" w:type="dxa"/>
              <w:bottom w:w="40" w:type="dxa"/>
              <w:right w:w="40" w:type="dxa"/>
            </w:tcMar>
          </w:tcPr>
          <w:p w14:paraId="49B5A153"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11C39C4A" w14:textId="77777777" w:rsidTr="00737BAB">
        <w:tc>
          <w:tcPr>
            <w:tcW w:w="4717" w:type="dxa"/>
            <w:gridSpan w:val="2"/>
            <w:shd w:val="clear" w:color="auto" w:fill="FFFFFF" w:themeFill="background1"/>
            <w:noWrap/>
            <w:tcMar>
              <w:top w:w="40" w:type="dxa"/>
              <w:left w:w="40" w:type="dxa"/>
              <w:bottom w:w="40" w:type="dxa"/>
              <w:right w:w="40" w:type="dxa"/>
            </w:tcMar>
          </w:tcPr>
          <w:p w14:paraId="495ABF56"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 xml:space="preserve">Encourager les États à compléter les données rassemblées sur la mise en œuvre de la Convention avec les informations fournies par des organisations non gouvernementales pertinentes. </w:t>
            </w:r>
          </w:p>
          <w:p w14:paraId="396B1751" w14:textId="77777777" w:rsidR="00737BAB" w:rsidRPr="00A76B7D" w:rsidRDefault="00737BAB" w:rsidP="00737BAB">
            <w:pPr>
              <w:spacing w:before="120" w:after="120"/>
              <w:ind w:left="113" w:right="57"/>
              <w:rPr>
                <w:rFonts w:ascii="Arial" w:hAnsi="Arial" w:cs="Arial"/>
                <w:sz w:val="22"/>
                <w:szCs w:val="22"/>
              </w:rPr>
            </w:pPr>
            <w:r>
              <w:rPr>
                <w:rFonts w:ascii="Arial" w:hAnsi="Arial"/>
                <w:sz w:val="22"/>
              </w:rPr>
              <w:t xml:space="preserve">Réviser les formulaires des rapports périodiques en conséquence. </w:t>
            </w:r>
          </w:p>
        </w:tc>
        <w:tc>
          <w:tcPr>
            <w:tcW w:w="1986" w:type="dxa"/>
            <w:gridSpan w:val="2"/>
            <w:shd w:val="clear" w:color="auto" w:fill="FFFFFF" w:themeFill="background1"/>
            <w:noWrap/>
            <w:tcMar>
              <w:top w:w="40" w:type="dxa"/>
              <w:left w:w="40" w:type="dxa"/>
              <w:bottom w:w="40" w:type="dxa"/>
              <w:right w:w="40" w:type="dxa"/>
            </w:tcMar>
          </w:tcPr>
          <w:p w14:paraId="5C6A466E" w14:textId="77777777" w:rsidR="00737BAB" w:rsidRPr="00A76B7D" w:rsidRDefault="00737BAB" w:rsidP="00737BAB">
            <w:pPr>
              <w:spacing w:before="120" w:after="120"/>
              <w:ind w:left="57"/>
              <w:rPr>
                <w:rFonts w:ascii="Arial" w:hAnsi="Arial" w:cs="Arial"/>
                <w:sz w:val="22"/>
                <w:szCs w:val="22"/>
              </w:rPr>
            </w:pPr>
            <w:r>
              <w:rPr>
                <w:rFonts w:ascii="Arial" w:hAnsi="Arial"/>
                <w:sz w:val="22"/>
              </w:rPr>
              <w:t>décembre 2014</w:t>
            </w:r>
          </w:p>
        </w:tc>
        <w:tc>
          <w:tcPr>
            <w:tcW w:w="7655" w:type="dxa"/>
            <w:shd w:val="clear" w:color="auto" w:fill="FFFFFF" w:themeFill="background1"/>
            <w:noWrap/>
            <w:tcMar>
              <w:top w:w="40" w:type="dxa"/>
              <w:left w:w="40" w:type="dxa"/>
              <w:bottom w:w="40" w:type="dxa"/>
              <w:right w:w="40" w:type="dxa"/>
            </w:tcMar>
          </w:tcPr>
          <w:p w14:paraId="741CD927" w14:textId="77777777" w:rsidR="00737BAB" w:rsidRPr="00A76B7D" w:rsidRDefault="00737BAB" w:rsidP="00737BAB">
            <w:pPr>
              <w:pStyle w:val="ListParagraph"/>
              <w:numPr>
                <w:ilvl w:val="0"/>
                <w:numId w:val="39"/>
              </w:numPr>
              <w:spacing w:before="120" w:after="120"/>
              <w:ind w:left="470" w:hanging="357"/>
              <w:rPr>
                <w:rFonts w:ascii="Arial" w:hAnsi="Arial" w:cs="Arial"/>
                <w:b/>
                <w:sz w:val="22"/>
                <w:szCs w:val="22"/>
                <w:u w:val="single"/>
              </w:rPr>
            </w:pPr>
            <w:r>
              <w:rPr>
                <w:rFonts w:ascii="Arial" w:hAnsi="Arial"/>
                <w:sz w:val="22"/>
              </w:rPr>
              <w:t xml:space="preserve">Formulaire ICH-10 révisé en décembre 2014 </w:t>
            </w:r>
            <w:r w:rsidRPr="00464203">
              <w:rPr>
                <w:rFonts w:ascii="Arial" w:hAnsi="Arial"/>
                <w:sz w:val="22"/>
              </w:rPr>
              <w:t>(</w:t>
            </w:r>
            <w:r w:rsidRPr="00464203">
              <w:rPr>
                <w:rFonts w:ascii="Arial" w:hAnsi="Arial"/>
                <w:b/>
                <w:sz w:val="22"/>
              </w:rPr>
              <w:t>action terminée</w:t>
            </w:r>
            <w:r w:rsidRPr="00464203">
              <w:rPr>
                <w:rFonts w:ascii="Arial" w:hAnsi="Arial"/>
                <w:sz w:val="22"/>
              </w:rPr>
              <w:t>).</w:t>
            </w:r>
          </w:p>
        </w:tc>
      </w:tr>
      <w:tr w:rsidR="00737BAB" w:rsidRPr="00A76B7D" w14:paraId="3DA46043" w14:textId="77777777" w:rsidTr="00737BAB">
        <w:tc>
          <w:tcPr>
            <w:tcW w:w="14358" w:type="dxa"/>
            <w:gridSpan w:val="5"/>
            <w:shd w:val="clear" w:color="auto" w:fill="E6E6E6"/>
            <w:noWrap/>
            <w:tcMar>
              <w:top w:w="40" w:type="dxa"/>
              <w:left w:w="40" w:type="dxa"/>
              <w:bottom w:w="40" w:type="dxa"/>
              <w:right w:w="40" w:type="dxa"/>
            </w:tcMar>
          </w:tcPr>
          <w:p w14:paraId="184F84BF" w14:textId="77777777" w:rsidR="00737BAB" w:rsidRPr="00A76B7D" w:rsidRDefault="00737BAB" w:rsidP="00737BAB">
            <w:pPr>
              <w:tabs>
                <w:tab w:val="left" w:pos="2640"/>
              </w:tabs>
              <w:spacing w:before="120" w:after="120"/>
              <w:ind w:left="113" w:right="113"/>
              <w:jc w:val="both"/>
              <w:rPr>
                <w:rFonts w:ascii="Arial" w:hAnsi="Arial" w:cs="Arial"/>
                <w:b/>
                <w:sz w:val="22"/>
                <w:szCs w:val="22"/>
              </w:rPr>
            </w:pPr>
            <w:r>
              <w:rPr>
                <w:rFonts w:ascii="Arial" w:hAnsi="Arial"/>
                <w:b/>
                <w:sz w:val="22"/>
              </w:rPr>
              <w:t xml:space="preserve">Recommandation 24 : </w:t>
            </w:r>
            <w:r w:rsidRPr="00473128">
              <w:rPr>
                <w:rFonts w:ascii="Arial" w:hAnsi="Arial"/>
                <w:b/>
                <w:sz w:val="22"/>
              </w:rPr>
              <w:t>Renforcer le suivi et l</w:t>
            </w:r>
            <w:r>
              <w:rPr>
                <w:rFonts w:ascii="Arial" w:hAnsi="Arial"/>
                <w:b/>
                <w:sz w:val="22"/>
              </w:rPr>
              <w:t>’</w:t>
            </w:r>
            <w:r w:rsidRPr="00473128">
              <w:rPr>
                <w:rFonts w:ascii="Arial" w:hAnsi="Arial"/>
                <w:b/>
                <w:sz w:val="22"/>
              </w:rPr>
              <w:t>évaluation de la mise en œuvre de la Convention au niveau national.</w:t>
            </w:r>
          </w:p>
        </w:tc>
      </w:tr>
      <w:tr w:rsidR="00737BAB" w:rsidRPr="00A76B7D" w14:paraId="3B429254" w14:textId="77777777" w:rsidTr="00737BAB">
        <w:tc>
          <w:tcPr>
            <w:tcW w:w="14358" w:type="dxa"/>
            <w:gridSpan w:val="5"/>
            <w:noWrap/>
            <w:tcMar>
              <w:top w:w="40" w:type="dxa"/>
              <w:left w:w="40" w:type="dxa"/>
              <w:bottom w:w="40" w:type="dxa"/>
              <w:right w:w="40" w:type="dxa"/>
            </w:tcMar>
          </w:tcPr>
          <w:p w14:paraId="660DD21D" w14:textId="3C1D0D61" w:rsidR="00737BAB" w:rsidRPr="00A76B7D" w:rsidRDefault="00737BAB" w:rsidP="00737BAB">
            <w:pPr>
              <w:spacing w:before="120" w:after="120"/>
              <w:ind w:left="113" w:right="113"/>
              <w:jc w:val="both"/>
              <w:rPr>
                <w:rFonts w:ascii="Arial" w:hAnsi="Arial" w:cs="Arial"/>
                <w:sz w:val="22"/>
                <w:szCs w:val="22"/>
              </w:rPr>
            </w:pPr>
            <w:r>
              <w:rPr>
                <w:rFonts w:ascii="Arial" w:hAnsi="Arial"/>
                <w:b/>
                <w:sz w:val="22"/>
              </w:rPr>
              <w:t>Réponse de la direction :</w:t>
            </w:r>
            <w:r>
              <w:rPr>
                <w:rFonts w:ascii="Arial" w:hAnsi="Arial"/>
                <w:sz w:val="22"/>
              </w:rPr>
              <w:t xml:space="preserve"> Bien que cela s’adresse aux États parties, le Secrétariat abordera cette recommandation et intègrera et/ou renforcera ces aspects dans le matériel de renforcement des capacités et les ateliers de formations d</w:t>
            </w:r>
            <w:r w:rsidR="00A204E5">
              <w:rPr>
                <w:rFonts w:ascii="Arial" w:hAnsi="Arial"/>
                <w:sz w:val="22"/>
              </w:rPr>
              <w:t>es formateurs ainsi que dans l’aide-m</w:t>
            </w:r>
            <w:r>
              <w:rPr>
                <w:rFonts w:ascii="Arial" w:hAnsi="Arial"/>
                <w:sz w:val="22"/>
              </w:rPr>
              <w:t>émoire des rapports périodiques.</w:t>
            </w:r>
          </w:p>
        </w:tc>
      </w:tr>
      <w:tr w:rsidR="00737BAB" w:rsidRPr="00A76B7D" w14:paraId="13BCF831" w14:textId="77777777" w:rsidTr="00737BAB">
        <w:tc>
          <w:tcPr>
            <w:tcW w:w="4717" w:type="dxa"/>
            <w:gridSpan w:val="2"/>
            <w:noWrap/>
            <w:tcMar>
              <w:top w:w="40" w:type="dxa"/>
              <w:left w:w="40" w:type="dxa"/>
              <w:bottom w:w="40" w:type="dxa"/>
              <w:right w:w="40" w:type="dxa"/>
            </w:tcMar>
          </w:tcPr>
          <w:p w14:paraId="03F47AA9"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Actions planifiées</w:t>
            </w:r>
          </w:p>
        </w:tc>
        <w:tc>
          <w:tcPr>
            <w:tcW w:w="1986" w:type="dxa"/>
            <w:gridSpan w:val="2"/>
            <w:noWrap/>
            <w:tcMar>
              <w:top w:w="40" w:type="dxa"/>
              <w:left w:w="40" w:type="dxa"/>
              <w:bottom w:w="40" w:type="dxa"/>
              <w:right w:w="40" w:type="dxa"/>
            </w:tcMar>
          </w:tcPr>
          <w:p w14:paraId="55124636"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Date prévue de mise en œuvre</w:t>
            </w:r>
          </w:p>
        </w:tc>
        <w:tc>
          <w:tcPr>
            <w:tcW w:w="7655" w:type="dxa"/>
            <w:noWrap/>
            <w:tcMar>
              <w:top w:w="40" w:type="dxa"/>
              <w:left w:w="40" w:type="dxa"/>
              <w:bottom w:w="40" w:type="dxa"/>
              <w:right w:w="40" w:type="dxa"/>
            </w:tcMar>
          </w:tcPr>
          <w:p w14:paraId="391C74E3" w14:textId="77777777" w:rsidR="00737BAB" w:rsidRPr="00A76B7D" w:rsidRDefault="00737BAB" w:rsidP="00737BAB">
            <w:pPr>
              <w:spacing w:before="120" w:after="120"/>
              <w:jc w:val="center"/>
              <w:rPr>
                <w:rFonts w:ascii="Arial" w:hAnsi="Arial" w:cs="Arial"/>
                <w:b/>
                <w:sz w:val="22"/>
                <w:szCs w:val="22"/>
              </w:rPr>
            </w:pPr>
            <w:r>
              <w:rPr>
                <w:rFonts w:ascii="Arial" w:hAnsi="Arial"/>
                <w:b/>
                <w:sz w:val="22"/>
              </w:rPr>
              <w:t>Statut</w:t>
            </w:r>
          </w:p>
        </w:tc>
      </w:tr>
      <w:tr w:rsidR="00737BAB" w:rsidRPr="00A76B7D" w14:paraId="2221F6B8" w14:textId="77777777" w:rsidTr="00737BAB">
        <w:tc>
          <w:tcPr>
            <w:tcW w:w="4717" w:type="dxa"/>
            <w:gridSpan w:val="2"/>
            <w:noWrap/>
            <w:tcMar>
              <w:top w:w="40" w:type="dxa"/>
              <w:left w:w="40" w:type="dxa"/>
              <w:bottom w:w="40" w:type="dxa"/>
              <w:right w:w="40" w:type="dxa"/>
            </w:tcMar>
          </w:tcPr>
          <w:p w14:paraId="538A2D77" w14:textId="77777777" w:rsidR="00737BAB" w:rsidRPr="00A76B7D" w:rsidRDefault="00737BAB" w:rsidP="00737BAB">
            <w:pPr>
              <w:pStyle w:val="Default"/>
              <w:spacing w:before="120" w:after="120"/>
              <w:ind w:left="113" w:right="57"/>
              <w:contextualSpacing/>
              <w:rPr>
                <w:sz w:val="22"/>
                <w:szCs w:val="22"/>
              </w:rPr>
            </w:pPr>
            <w:r>
              <w:rPr>
                <w:sz w:val="22"/>
              </w:rPr>
              <w:t>Intégrer et/ou renforcer ces aspects dans le matériel de renforcement des capacités et des ateliers de formation des formateurs.</w:t>
            </w:r>
          </w:p>
          <w:p w14:paraId="76FF1AE0" w14:textId="77777777" w:rsidR="00737BAB" w:rsidRPr="00A76B7D" w:rsidRDefault="00737BAB" w:rsidP="00737BAB">
            <w:pPr>
              <w:spacing w:before="120" w:after="240"/>
              <w:ind w:left="113" w:right="57"/>
              <w:contextualSpacing/>
              <w:rPr>
                <w:rFonts w:ascii="Arial" w:hAnsi="Arial" w:cs="Arial"/>
                <w:sz w:val="22"/>
                <w:szCs w:val="22"/>
              </w:rPr>
            </w:pPr>
            <w:r>
              <w:rPr>
                <w:rFonts w:ascii="Arial" w:hAnsi="Arial"/>
                <w:sz w:val="22"/>
              </w:rPr>
              <w:t>Intégrer ces aspects dans l’aide-mémoire.</w:t>
            </w:r>
          </w:p>
        </w:tc>
        <w:tc>
          <w:tcPr>
            <w:tcW w:w="1986" w:type="dxa"/>
            <w:gridSpan w:val="2"/>
            <w:noWrap/>
            <w:tcMar>
              <w:top w:w="40" w:type="dxa"/>
              <w:left w:w="40" w:type="dxa"/>
              <w:bottom w:w="40" w:type="dxa"/>
              <w:right w:w="40" w:type="dxa"/>
            </w:tcMar>
          </w:tcPr>
          <w:p w14:paraId="33B6EBC0" w14:textId="4C520053" w:rsidR="00737BAB" w:rsidRPr="00A76B7D" w:rsidRDefault="00A204E5" w:rsidP="00737BAB">
            <w:pPr>
              <w:spacing w:before="120" w:after="120"/>
              <w:ind w:left="57"/>
              <w:rPr>
                <w:rFonts w:ascii="Arial" w:hAnsi="Arial" w:cs="Arial"/>
                <w:sz w:val="22"/>
                <w:szCs w:val="22"/>
              </w:rPr>
            </w:pPr>
            <w:r>
              <w:rPr>
                <w:rFonts w:ascii="Arial" w:hAnsi="Arial"/>
                <w:sz w:val="22"/>
              </w:rPr>
              <w:t>2017/2018</w:t>
            </w:r>
          </w:p>
        </w:tc>
        <w:tc>
          <w:tcPr>
            <w:tcW w:w="7655" w:type="dxa"/>
            <w:noWrap/>
            <w:tcMar>
              <w:top w:w="40" w:type="dxa"/>
              <w:left w:w="40" w:type="dxa"/>
              <w:bottom w:w="40" w:type="dxa"/>
              <w:right w:w="40" w:type="dxa"/>
            </w:tcMar>
          </w:tcPr>
          <w:p w14:paraId="0B7EFFA4" w14:textId="77777777" w:rsidR="00737BAB" w:rsidRPr="00A76B7D" w:rsidRDefault="00737BAB" w:rsidP="00737BAB">
            <w:pPr>
              <w:pStyle w:val="ListParagraph"/>
              <w:numPr>
                <w:ilvl w:val="0"/>
                <w:numId w:val="39"/>
              </w:numPr>
              <w:spacing w:before="120" w:after="120"/>
              <w:ind w:left="470" w:hanging="357"/>
              <w:rPr>
                <w:rFonts w:ascii="Arial" w:hAnsi="Arial" w:cs="Arial"/>
                <w:sz w:val="22"/>
                <w:szCs w:val="22"/>
              </w:rPr>
            </w:pPr>
            <w:r>
              <w:rPr>
                <w:rFonts w:ascii="Arial" w:hAnsi="Arial"/>
                <w:sz w:val="22"/>
              </w:rPr>
              <w:t>Matériels de formation à élaborer et actualiser l’aide-mémoire dès que le cadre général de résultats pour la Convention sera disponible (voir Recommandation 22).</w:t>
            </w:r>
          </w:p>
        </w:tc>
      </w:tr>
    </w:tbl>
    <w:p w14:paraId="158A38F4" w14:textId="77777777" w:rsidR="004E66DD" w:rsidRDefault="004E66DD" w:rsidP="00737BAB">
      <w:pPr>
        <w:pStyle w:val="COMParaDecision"/>
        <w:numPr>
          <w:ilvl w:val="0"/>
          <w:numId w:val="0"/>
        </w:numPr>
        <w:spacing w:before="120"/>
        <w:ind w:left="1134"/>
        <w:rPr>
          <w:u w:val="none"/>
        </w:rPr>
        <w:sectPr w:rsidR="004E66DD" w:rsidSect="00E408FF">
          <w:headerReference w:type="first" r:id="rId85"/>
          <w:pgSz w:w="16838" w:h="11906" w:orient="landscape" w:code="9"/>
          <w:pgMar w:top="1134" w:right="1418" w:bottom="1134" w:left="1134" w:header="397" w:footer="284" w:gutter="0"/>
          <w:cols w:space="708"/>
          <w:docGrid w:linePitch="360"/>
        </w:sect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1985"/>
        <w:gridCol w:w="142"/>
        <w:gridCol w:w="7511"/>
        <w:gridCol w:w="15"/>
      </w:tblGrid>
      <w:tr w:rsidR="009E5FAC" w:rsidRPr="00A76B7D" w14:paraId="5E38C459" w14:textId="77777777" w:rsidTr="00C363BC">
        <w:trPr>
          <w:gridAfter w:val="1"/>
          <w:wAfter w:w="15" w:type="dxa"/>
          <w:cantSplit/>
          <w:trHeight w:val="671"/>
        </w:trPr>
        <w:tc>
          <w:tcPr>
            <w:tcW w:w="14357" w:type="dxa"/>
            <w:gridSpan w:val="4"/>
            <w:tcBorders>
              <w:top w:val="nil"/>
              <w:left w:val="nil"/>
              <w:right w:val="nil"/>
            </w:tcBorders>
            <w:shd w:val="clear" w:color="auto" w:fill="auto"/>
            <w:noWrap/>
            <w:tcMar>
              <w:top w:w="40" w:type="dxa"/>
              <w:left w:w="40" w:type="dxa"/>
              <w:bottom w:w="40" w:type="dxa"/>
              <w:right w:w="40" w:type="dxa"/>
            </w:tcMar>
          </w:tcPr>
          <w:p w14:paraId="0F2D9800" w14:textId="73D55AE6" w:rsidR="009E5FAC" w:rsidRDefault="009E5FAC" w:rsidP="009E5FAC">
            <w:pPr>
              <w:autoSpaceDE w:val="0"/>
              <w:autoSpaceDN w:val="0"/>
              <w:adjustRightInd w:val="0"/>
              <w:ind w:left="113" w:right="113"/>
              <w:jc w:val="both"/>
              <w:rPr>
                <w:rFonts w:ascii="Arial" w:hAnsi="Arial"/>
                <w:b/>
                <w:sz w:val="22"/>
              </w:rPr>
            </w:pPr>
            <w:r>
              <w:rPr>
                <w:rFonts w:ascii="Arial" w:hAnsi="Arial"/>
                <w:b/>
                <w:sz w:val="22"/>
              </w:rPr>
              <w:t>A</w:t>
            </w:r>
            <w:r w:rsidR="00B00F21">
              <w:rPr>
                <w:rFonts w:ascii="Arial" w:hAnsi="Arial"/>
                <w:b/>
                <w:sz w:val="22"/>
              </w:rPr>
              <w:t>NNEXE</w:t>
            </w:r>
            <w:r>
              <w:rPr>
                <w:rFonts w:ascii="Arial" w:hAnsi="Arial"/>
                <w:b/>
                <w:sz w:val="22"/>
              </w:rPr>
              <w:t xml:space="preserve"> II</w:t>
            </w:r>
          </w:p>
          <w:p w14:paraId="1571AF0E" w14:textId="79848EDB" w:rsidR="009E5FAC" w:rsidRDefault="009E5FAC" w:rsidP="009E5FAC">
            <w:pPr>
              <w:pStyle w:val="ListParagraph"/>
              <w:spacing w:before="240" w:after="120"/>
              <w:ind w:left="113" w:right="113"/>
              <w:rPr>
                <w:rFonts w:ascii="Arial" w:hAnsi="Arial"/>
                <w:b/>
                <w:sz w:val="22"/>
              </w:rPr>
            </w:pPr>
            <w:r>
              <w:rPr>
                <w:rFonts w:ascii="Arial" w:hAnsi="Arial"/>
                <w:b/>
                <w:sz w:val="22"/>
              </w:rPr>
              <w:t xml:space="preserve">Rapport d’avancement sur le suivi des quatre recommandations du rapport d’audit des méthodes de travail des six </w:t>
            </w:r>
            <w:r w:rsidRPr="00BE1355">
              <w:rPr>
                <w:rFonts w:ascii="Arial" w:hAnsi="Arial"/>
                <w:b/>
                <w:sz w:val="22"/>
              </w:rPr>
              <w:t>conventions culturelles</w:t>
            </w:r>
          </w:p>
          <w:p w14:paraId="6BDED25A" w14:textId="77777777" w:rsidR="009E5FAC" w:rsidRDefault="009E5FAC" w:rsidP="00C36368">
            <w:pPr>
              <w:autoSpaceDE w:val="0"/>
              <w:autoSpaceDN w:val="0"/>
              <w:adjustRightInd w:val="0"/>
              <w:ind w:left="57" w:right="113"/>
              <w:jc w:val="both"/>
              <w:rPr>
                <w:rFonts w:ascii="Arial" w:hAnsi="Arial"/>
                <w:b/>
                <w:sz w:val="22"/>
              </w:rPr>
            </w:pPr>
          </w:p>
        </w:tc>
      </w:tr>
      <w:tr w:rsidR="004E66DD" w:rsidRPr="00A76B7D" w14:paraId="381750AC" w14:textId="77777777" w:rsidTr="00C363BC">
        <w:trPr>
          <w:gridAfter w:val="1"/>
          <w:wAfter w:w="15" w:type="dxa"/>
          <w:cantSplit/>
          <w:trHeight w:val="3068"/>
        </w:trPr>
        <w:tc>
          <w:tcPr>
            <w:tcW w:w="14357" w:type="dxa"/>
            <w:gridSpan w:val="4"/>
            <w:shd w:val="clear" w:color="auto" w:fill="E6E6E6"/>
            <w:noWrap/>
            <w:tcMar>
              <w:top w:w="40" w:type="dxa"/>
              <w:left w:w="40" w:type="dxa"/>
              <w:bottom w:w="40" w:type="dxa"/>
              <w:right w:w="40" w:type="dxa"/>
            </w:tcMar>
          </w:tcPr>
          <w:p w14:paraId="256547FC" w14:textId="77777777" w:rsidR="004E66DD" w:rsidRPr="00A76B7D" w:rsidRDefault="004E66DD" w:rsidP="00C36368">
            <w:pPr>
              <w:autoSpaceDE w:val="0"/>
              <w:autoSpaceDN w:val="0"/>
              <w:adjustRightInd w:val="0"/>
              <w:ind w:left="57" w:right="113"/>
              <w:jc w:val="both"/>
              <w:rPr>
                <w:rFonts w:ascii="Arial" w:hAnsi="Arial" w:cs="Arial"/>
                <w:b/>
                <w:sz w:val="22"/>
                <w:szCs w:val="22"/>
              </w:rPr>
            </w:pPr>
            <w:r>
              <w:rPr>
                <w:rFonts w:ascii="Arial" w:hAnsi="Arial"/>
                <w:b/>
                <w:sz w:val="22"/>
              </w:rPr>
              <w:t xml:space="preserve">Recommandation 1 : Nous recommandons aux secrétariats des conventions de formuler des propositions et de les présenter aux organes directeurs de l’UNESCO et/ou de la (des) convention(s) afin : </w:t>
            </w:r>
          </w:p>
          <w:p w14:paraId="39874924" w14:textId="77777777" w:rsidR="004E66DD" w:rsidRPr="00A76B7D" w:rsidRDefault="004E66DD" w:rsidP="004E66DD">
            <w:pPr>
              <w:numPr>
                <w:ilvl w:val="0"/>
                <w:numId w:val="38"/>
              </w:numPr>
              <w:tabs>
                <w:tab w:val="left" w:pos="567"/>
                <w:tab w:val="left" w:pos="2640"/>
              </w:tabs>
              <w:ind w:left="567" w:right="113"/>
              <w:contextualSpacing/>
              <w:jc w:val="both"/>
              <w:rPr>
                <w:rFonts w:ascii="Arial" w:hAnsi="Arial" w:cs="Arial"/>
                <w:sz w:val="22"/>
                <w:szCs w:val="22"/>
              </w:rPr>
            </w:pPr>
            <w:r>
              <w:rPr>
                <w:rFonts w:ascii="Arial" w:hAnsi="Arial"/>
                <w:sz w:val="22"/>
              </w:rPr>
              <w:t>de compléter la structure actuelle de financement par des fonds-en-dépôt généraux alimentés par des contributions versées par les parties (États) contractant(e)s, à titre obligatoire ou volontaire, pour financer les dépenses ordinaires des secrétariats, y compris la dotation en effectifs, les dépenses administratives, l’élaboration et la traduction des documents ;</w:t>
            </w:r>
          </w:p>
          <w:p w14:paraId="160DC592" w14:textId="77777777" w:rsidR="004E66DD" w:rsidRPr="00A76B7D" w:rsidRDefault="004E66DD" w:rsidP="004E66DD">
            <w:pPr>
              <w:numPr>
                <w:ilvl w:val="0"/>
                <w:numId w:val="38"/>
              </w:numPr>
              <w:tabs>
                <w:tab w:val="left" w:pos="567"/>
                <w:tab w:val="left" w:pos="2640"/>
              </w:tabs>
              <w:ind w:left="567" w:right="113"/>
              <w:contextualSpacing/>
              <w:jc w:val="both"/>
              <w:rPr>
                <w:rFonts w:ascii="Arial" w:hAnsi="Arial" w:cs="Arial"/>
                <w:sz w:val="22"/>
                <w:szCs w:val="22"/>
              </w:rPr>
            </w:pPr>
            <w:r>
              <w:rPr>
                <w:rFonts w:ascii="Arial" w:hAnsi="Arial"/>
                <w:sz w:val="22"/>
              </w:rPr>
              <w:t>d’établir un ordre de priorité dans l’actuelle charge de travail des secrétariats des conventions afin de l’adapter aux ressources disponibles ;</w:t>
            </w:r>
          </w:p>
          <w:p w14:paraId="29611D33" w14:textId="77777777" w:rsidR="004E66DD" w:rsidRPr="00A76B7D" w:rsidRDefault="004E66DD" w:rsidP="004E66DD">
            <w:pPr>
              <w:numPr>
                <w:ilvl w:val="0"/>
                <w:numId w:val="38"/>
              </w:numPr>
              <w:tabs>
                <w:tab w:val="left" w:pos="567"/>
                <w:tab w:val="left" w:pos="2640"/>
              </w:tabs>
              <w:ind w:left="567" w:right="113"/>
              <w:contextualSpacing/>
              <w:jc w:val="both"/>
              <w:rPr>
                <w:rFonts w:ascii="Arial" w:hAnsi="Arial" w:cs="Arial"/>
                <w:sz w:val="22"/>
                <w:szCs w:val="22"/>
              </w:rPr>
            </w:pPr>
            <w:r>
              <w:rPr>
                <w:rFonts w:ascii="Arial" w:hAnsi="Arial"/>
                <w:sz w:val="22"/>
              </w:rPr>
              <w:t>de réduire la fréquence des réunions des États parties, si possible, de limiter leur durée et leur ordre du jour et ceux des Comités intergouvernementaux, et de synchroniser les réunions des États parties aux conventions, lorsque des gains d’efficacité sont réalisables ;</w:t>
            </w:r>
          </w:p>
          <w:p w14:paraId="0DA9F8FC" w14:textId="77777777" w:rsidR="004E66DD" w:rsidRPr="00A76B7D" w:rsidRDefault="004E66DD" w:rsidP="004E66DD">
            <w:pPr>
              <w:numPr>
                <w:ilvl w:val="0"/>
                <w:numId w:val="38"/>
              </w:numPr>
              <w:tabs>
                <w:tab w:val="left" w:pos="567"/>
                <w:tab w:val="left" w:pos="2640"/>
              </w:tabs>
              <w:ind w:left="567" w:right="113"/>
              <w:contextualSpacing/>
              <w:jc w:val="both"/>
              <w:rPr>
                <w:rFonts w:ascii="Arial" w:hAnsi="Arial" w:cs="Arial"/>
                <w:sz w:val="22"/>
                <w:szCs w:val="22"/>
              </w:rPr>
            </w:pPr>
            <w:r>
              <w:rPr>
                <w:rFonts w:ascii="Arial" w:hAnsi="Arial"/>
                <w:sz w:val="22"/>
              </w:rPr>
              <w:t>d’harmoniser les exigences des réunions des conventions en matière de traduction et d’interprétation et de solliciter des fonds extra budgétaires pour des langues supplémentaires ;</w:t>
            </w:r>
          </w:p>
          <w:p w14:paraId="4CC18BA6" w14:textId="77777777" w:rsidR="004E66DD" w:rsidRPr="00A76B7D" w:rsidRDefault="004E66DD" w:rsidP="004E66DD">
            <w:pPr>
              <w:numPr>
                <w:ilvl w:val="0"/>
                <w:numId w:val="38"/>
              </w:numPr>
              <w:tabs>
                <w:tab w:val="left" w:pos="567"/>
                <w:tab w:val="left" w:pos="2640"/>
              </w:tabs>
              <w:ind w:left="567" w:right="113"/>
              <w:contextualSpacing/>
              <w:jc w:val="both"/>
              <w:rPr>
                <w:rFonts w:ascii="Arial" w:hAnsi="Arial" w:cs="Arial"/>
                <w:sz w:val="22"/>
                <w:szCs w:val="22"/>
              </w:rPr>
            </w:pPr>
            <w:r>
              <w:rPr>
                <w:rFonts w:ascii="Arial" w:hAnsi="Arial"/>
                <w:sz w:val="22"/>
              </w:rPr>
              <w:t>de modifier le Règlement financier et les Règles d’administration financière, si nécessaire, afin de permettre d’appliquer la politique de recouvrement des coûts.</w:t>
            </w:r>
          </w:p>
        </w:tc>
      </w:tr>
      <w:tr w:rsidR="004E66DD" w:rsidRPr="00A76B7D" w14:paraId="13B2E2A5" w14:textId="77777777" w:rsidTr="00C363BC">
        <w:trPr>
          <w:gridAfter w:val="1"/>
          <w:wAfter w:w="15" w:type="dxa"/>
        </w:trPr>
        <w:tc>
          <w:tcPr>
            <w:tcW w:w="4719" w:type="dxa"/>
            <w:noWrap/>
            <w:tcMar>
              <w:top w:w="40" w:type="dxa"/>
              <w:left w:w="40" w:type="dxa"/>
              <w:bottom w:w="40" w:type="dxa"/>
              <w:right w:w="40" w:type="dxa"/>
            </w:tcMar>
          </w:tcPr>
          <w:p w14:paraId="717EA981" w14:textId="77777777" w:rsidR="004E66DD" w:rsidRPr="00A76B7D" w:rsidRDefault="004E66DD" w:rsidP="00C36368">
            <w:pPr>
              <w:jc w:val="center"/>
              <w:rPr>
                <w:rFonts w:ascii="Arial" w:hAnsi="Arial" w:cs="Arial"/>
                <w:b/>
                <w:sz w:val="22"/>
                <w:szCs w:val="22"/>
              </w:rPr>
            </w:pPr>
            <w:r>
              <w:rPr>
                <w:rFonts w:ascii="Arial" w:hAnsi="Arial"/>
                <w:b/>
                <w:sz w:val="22"/>
              </w:rPr>
              <w:t>Actions planifiées</w:t>
            </w:r>
          </w:p>
        </w:tc>
        <w:tc>
          <w:tcPr>
            <w:tcW w:w="1985" w:type="dxa"/>
            <w:noWrap/>
            <w:tcMar>
              <w:top w:w="40" w:type="dxa"/>
              <w:left w:w="40" w:type="dxa"/>
              <w:bottom w:w="40" w:type="dxa"/>
              <w:right w:w="40" w:type="dxa"/>
            </w:tcMar>
          </w:tcPr>
          <w:p w14:paraId="23399D98" w14:textId="77777777" w:rsidR="004E66DD" w:rsidRPr="00A76B7D" w:rsidRDefault="004E66DD" w:rsidP="00C36368">
            <w:pPr>
              <w:jc w:val="center"/>
              <w:rPr>
                <w:rFonts w:ascii="Arial" w:hAnsi="Arial" w:cs="Arial"/>
                <w:b/>
                <w:sz w:val="22"/>
                <w:szCs w:val="22"/>
              </w:rPr>
            </w:pPr>
            <w:r>
              <w:rPr>
                <w:rFonts w:ascii="Arial" w:hAnsi="Arial"/>
                <w:b/>
                <w:sz w:val="22"/>
              </w:rPr>
              <w:t>Date prévue de mise en œuvre</w:t>
            </w:r>
          </w:p>
        </w:tc>
        <w:tc>
          <w:tcPr>
            <w:tcW w:w="7653" w:type="dxa"/>
            <w:gridSpan w:val="2"/>
            <w:noWrap/>
            <w:tcMar>
              <w:top w:w="40" w:type="dxa"/>
              <w:left w:w="40" w:type="dxa"/>
              <w:bottom w:w="40" w:type="dxa"/>
              <w:right w:w="40" w:type="dxa"/>
            </w:tcMar>
          </w:tcPr>
          <w:p w14:paraId="745FA110" w14:textId="77777777" w:rsidR="004E66DD" w:rsidRPr="00A76B7D" w:rsidRDefault="004E66DD" w:rsidP="00C36368">
            <w:pPr>
              <w:jc w:val="center"/>
              <w:rPr>
                <w:rFonts w:ascii="Arial" w:hAnsi="Arial" w:cs="Arial"/>
                <w:b/>
                <w:sz w:val="22"/>
                <w:szCs w:val="22"/>
              </w:rPr>
            </w:pPr>
            <w:r>
              <w:rPr>
                <w:rFonts w:ascii="Arial" w:hAnsi="Arial"/>
                <w:b/>
                <w:sz w:val="22"/>
              </w:rPr>
              <w:t>Statut</w:t>
            </w:r>
          </w:p>
        </w:tc>
      </w:tr>
      <w:tr w:rsidR="004E66DD" w:rsidRPr="00A76B7D" w14:paraId="56AAAC86" w14:textId="77777777" w:rsidTr="00C363BC">
        <w:trPr>
          <w:gridAfter w:val="1"/>
          <w:wAfter w:w="15" w:type="dxa"/>
        </w:trPr>
        <w:tc>
          <w:tcPr>
            <w:tcW w:w="4719" w:type="dxa"/>
            <w:noWrap/>
            <w:tcMar>
              <w:top w:w="40" w:type="dxa"/>
              <w:left w:w="40" w:type="dxa"/>
              <w:bottom w:w="40" w:type="dxa"/>
              <w:right w:w="40" w:type="dxa"/>
            </w:tcMar>
          </w:tcPr>
          <w:p w14:paraId="50AD82EC" w14:textId="44FA0345" w:rsidR="004E66DD" w:rsidRPr="00A76B7D" w:rsidRDefault="004E66DD" w:rsidP="003E7BDB">
            <w:pPr>
              <w:ind w:left="113"/>
              <w:rPr>
                <w:rFonts w:ascii="Arial" w:hAnsi="Arial" w:cs="Arial"/>
                <w:bCs/>
                <w:sz w:val="22"/>
                <w:szCs w:val="22"/>
              </w:rPr>
            </w:pPr>
            <w:r>
              <w:rPr>
                <w:rFonts w:ascii="Arial" w:hAnsi="Arial"/>
                <w:sz w:val="22"/>
              </w:rPr>
              <w:t xml:space="preserve">(a) Rappeler régulièrement aux États </w:t>
            </w:r>
            <w:r w:rsidR="003E7BDB">
              <w:rPr>
                <w:rFonts w:ascii="Arial" w:hAnsi="Arial"/>
                <w:sz w:val="22"/>
              </w:rPr>
              <w:t>l’existence du s</w:t>
            </w:r>
            <w:r>
              <w:rPr>
                <w:rFonts w:ascii="Arial" w:hAnsi="Arial"/>
                <w:sz w:val="22"/>
              </w:rPr>
              <w:t xml:space="preserve">ous-fonds de la Convention. </w:t>
            </w:r>
          </w:p>
        </w:tc>
        <w:tc>
          <w:tcPr>
            <w:tcW w:w="1985" w:type="dxa"/>
            <w:noWrap/>
            <w:tcMar>
              <w:top w:w="40" w:type="dxa"/>
              <w:left w:w="40" w:type="dxa"/>
              <w:bottom w:w="40" w:type="dxa"/>
              <w:right w:w="40" w:type="dxa"/>
            </w:tcMar>
          </w:tcPr>
          <w:p w14:paraId="2B846D4E" w14:textId="77777777" w:rsidR="004E66DD" w:rsidRPr="00A76B7D" w:rsidRDefault="004E66DD" w:rsidP="00C36368">
            <w:pPr>
              <w:ind w:left="57"/>
              <w:rPr>
                <w:rFonts w:ascii="Arial" w:hAnsi="Arial" w:cs="Arial"/>
                <w:sz w:val="22"/>
                <w:szCs w:val="22"/>
              </w:rPr>
            </w:pPr>
            <w:r>
              <w:rPr>
                <w:rFonts w:ascii="Arial" w:hAnsi="Arial"/>
                <w:sz w:val="22"/>
              </w:rPr>
              <w:t>en cours</w:t>
            </w:r>
          </w:p>
        </w:tc>
        <w:tc>
          <w:tcPr>
            <w:tcW w:w="7653" w:type="dxa"/>
            <w:gridSpan w:val="2"/>
            <w:noWrap/>
            <w:tcMar>
              <w:top w:w="40" w:type="dxa"/>
              <w:left w:w="40" w:type="dxa"/>
              <w:bottom w:w="40" w:type="dxa"/>
              <w:right w:w="40" w:type="dxa"/>
            </w:tcMar>
          </w:tcPr>
          <w:p w14:paraId="3B4043FE" w14:textId="24335E26" w:rsidR="004E66DD" w:rsidRPr="007D5EE1" w:rsidRDefault="004E66DD" w:rsidP="004E66DD">
            <w:pPr>
              <w:pStyle w:val="ListParagraph"/>
              <w:numPr>
                <w:ilvl w:val="0"/>
                <w:numId w:val="39"/>
              </w:numPr>
              <w:ind w:left="470" w:hanging="357"/>
              <w:rPr>
                <w:rFonts w:ascii="Arial" w:hAnsi="Arial" w:cs="Arial"/>
                <w:b/>
                <w:sz w:val="22"/>
                <w:szCs w:val="22"/>
                <w:u w:val="single"/>
              </w:rPr>
            </w:pPr>
            <w:r>
              <w:rPr>
                <w:rFonts w:ascii="Arial" w:hAnsi="Arial"/>
                <w:sz w:val="22"/>
              </w:rPr>
              <w:t>Le Comité, lors de ses neuvième et dixième sessions, a été rappelé et a encouragé les États à con</w:t>
            </w:r>
            <w:r w:rsidR="003E7BDB">
              <w:rPr>
                <w:rFonts w:ascii="Arial" w:hAnsi="Arial"/>
                <w:sz w:val="22"/>
              </w:rPr>
              <w:t>tribuer tel qu’indiqué dans la d</w:t>
            </w:r>
            <w:r>
              <w:rPr>
                <w:rFonts w:ascii="Arial" w:hAnsi="Arial"/>
                <w:sz w:val="22"/>
              </w:rPr>
              <w:t xml:space="preserve">écision 9.COM 7 et le </w:t>
            </w:r>
            <w:hyperlink r:id="rId86" w:history="1">
              <w:r w:rsidR="003E7BDB">
                <w:rPr>
                  <w:rStyle w:val="Hyperlink"/>
                  <w:rFonts w:ascii="Arial" w:hAnsi="Arial"/>
                  <w:sz w:val="22"/>
                </w:rPr>
                <w:t>d</w:t>
              </w:r>
              <w:r w:rsidRPr="00B95496">
                <w:rPr>
                  <w:rStyle w:val="Hyperlink"/>
                  <w:rFonts w:ascii="Arial" w:hAnsi="Arial"/>
                  <w:sz w:val="22"/>
                </w:rPr>
                <w:t>ocument ITH/15/10.COM/9</w:t>
              </w:r>
            </w:hyperlink>
            <w:r>
              <w:rPr>
                <w:rFonts w:ascii="Arial" w:hAnsi="Arial"/>
                <w:sz w:val="22"/>
              </w:rPr>
              <w:t>.</w:t>
            </w:r>
          </w:p>
          <w:p w14:paraId="12620D73" w14:textId="788EDE94" w:rsidR="007D5EE1" w:rsidRPr="00A76B7D" w:rsidRDefault="007D5EE1" w:rsidP="004E66DD">
            <w:pPr>
              <w:pStyle w:val="ListParagraph"/>
              <w:numPr>
                <w:ilvl w:val="0"/>
                <w:numId w:val="39"/>
              </w:numPr>
              <w:ind w:left="470" w:hanging="357"/>
              <w:rPr>
                <w:rFonts w:ascii="Arial" w:hAnsi="Arial" w:cs="Arial"/>
                <w:b/>
                <w:sz w:val="22"/>
                <w:szCs w:val="22"/>
                <w:u w:val="single"/>
              </w:rPr>
            </w:pPr>
            <w:r>
              <w:rPr>
                <w:rFonts w:ascii="Arial" w:hAnsi="Arial"/>
                <w:sz w:val="22"/>
              </w:rPr>
              <w:t xml:space="preserve">Pour l’exercice biennal 2014-2015, le Secrétariat a reçu des contributions volontaires pour un montant </w:t>
            </w:r>
            <w:r w:rsidR="007E0084">
              <w:rPr>
                <w:rFonts w:ascii="Arial" w:hAnsi="Arial"/>
                <w:sz w:val="22"/>
              </w:rPr>
              <w:t xml:space="preserve">total </w:t>
            </w:r>
            <w:r>
              <w:rPr>
                <w:rFonts w:ascii="Arial" w:hAnsi="Arial"/>
                <w:sz w:val="22"/>
              </w:rPr>
              <w:t xml:space="preserve">de 414 875 dollars des </w:t>
            </w:r>
            <w:r>
              <w:rPr>
                <w:rFonts w:ascii="Arial" w:hAnsi="Arial" w:cs="Arial"/>
                <w:sz w:val="22"/>
              </w:rPr>
              <w:t>É</w:t>
            </w:r>
            <w:r>
              <w:rPr>
                <w:rFonts w:ascii="Arial" w:hAnsi="Arial"/>
                <w:sz w:val="22"/>
              </w:rPr>
              <w:t xml:space="preserve">tats-Unis, c.à.d. moins d’un quart de l’objectif de 2 200 000 dollars des </w:t>
            </w:r>
            <w:r>
              <w:rPr>
                <w:rFonts w:ascii="Arial" w:hAnsi="Arial" w:cs="Arial"/>
                <w:sz w:val="22"/>
              </w:rPr>
              <w:t>É</w:t>
            </w:r>
            <w:r>
              <w:rPr>
                <w:rFonts w:ascii="Arial" w:hAnsi="Arial"/>
                <w:sz w:val="22"/>
              </w:rPr>
              <w:t xml:space="preserve">tats-Unis fixé par exercice biennal. </w:t>
            </w:r>
          </w:p>
        </w:tc>
      </w:tr>
      <w:tr w:rsidR="004E66DD" w:rsidRPr="00A76B7D" w14:paraId="45692EA1" w14:textId="77777777" w:rsidTr="00C363BC">
        <w:trPr>
          <w:gridAfter w:val="1"/>
          <w:wAfter w:w="15" w:type="dxa"/>
        </w:trPr>
        <w:tc>
          <w:tcPr>
            <w:tcW w:w="4719" w:type="dxa"/>
            <w:noWrap/>
            <w:tcMar>
              <w:top w:w="40" w:type="dxa"/>
              <w:left w:w="40" w:type="dxa"/>
              <w:bottom w:w="40" w:type="dxa"/>
              <w:right w:w="40" w:type="dxa"/>
            </w:tcMar>
          </w:tcPr>
          <w:p w14:paraId="6E499D69" w14:textId="77777777" w:rsidR="004E66DD" w:rsidRDefault="004E66DD" w:rsidP="00C36368">
            <w:pPr>
              <w:ind w:left="113"/>
              <w:rPr>
                <w:rFonts w:ascii="Arial" w:hAnsi="Arial"/>
                <w:sz w:val="22"/>
              </w:rPr>
            </w:pPr>
            <w:r>
              <w:rPr>
                <w:rFonts w:ascii="Arial" w:hAnsi="Arial"/>
                <w:sz w:val="22"/>
              </w:rPr>
              <w:t>(b) Conserver le nombre réduit de 50 dossiers par cycle.</w:t>
            </w:r>
          </w:p>
          <w:p w14:paraId="1928B311" w14:textId="77777777" w:rsidR="00977CE7" w:rsidRDefault="00977CE7" w:rsidP="00C36368">
            <w:pPr>
              <w:ind w:left="113"/>
              <w:rPr>
                <w:rFonts w:ascii="Arial" w:hAnsi="Arial"/>
                <w:sz w:val="22"/>
              </w:rPr>
            </w:pPr>
          </w:p>
          <w:p w14:paraId="496A58A2" w14:textId="77777777" w:rsidR="00977CE7" w:rsidRDefault="00977CE7" w:rsidP="00C36368">
            <w:pPr>
              <w:ind w:left="113"/>
              <w:rPr>
                <w:rFonts w:ascii="Arial" w:hAnsi="Arial"/>
                <w:sz w:val="22"/>
              </w:rPr>
            </w:pPr>
          </w:p>
          <w:p w14:paraId="0FD7274E" w14:textId="77777777" w:rsidR="00977CE7" w:rsidRDefault="00977CE7" w:rsidP="00C36368">
            <w:pPr>
              <w:ind w:left="113"/>
              <w:rPr>
                <w:rFonts w:ascii="Arial" w:hAnsi="Arial"/>
                <w:sz w:val="22"/>
              </w:rPr>
            </w:pPr>
          </w:p>
          <w:p w14:paraId="4C0B96C1" w14:textId="77777777" w:rsidR="00977CE7" w:rsidRDefault="00977CE7" w:rsidP="00C36368">
            <w:pPr>
              <w:ind w:left="113"/>
              <w:rPr>
                <w:rFonts w:ascii="Arial" w:hAnsi="Arial"/>
                <w:sz w:val="22"/>
              </w:rPr>
            </w:pPr>
          </w:p>
          <w:p w14:paraId="73A34586" w14:textId="77777777" w:rsidR="00977CE7" w:rsidRDefault="00977CE7" w:rsidP="00C36368">
            <w:pPr>
              <w:ind w:left="113"/>
              <w:rPr>
                <w:rFonts w:ascii="Arial" w:hAnsi="Arial"/>
                <w:sz w:val="22"/>
              </w:rPr>
            </w:pPr>
          </w:p>
          <w:p w14:paraId="59AF1698" w14:textId="77777777" w:rsidR="00977CE7" w:rsidRDefault="00977CE7" w:rsidP="00C36368">
            <w:pPr>
              <w:ind w:left="113"/>
              <w:rPr>
                <w:rFonts w:ascii="Arial" w:hAnsi="Arial"/>
                <w:sz w:val="22"/>
              </w:rPr>
            </w:pPr>
          </w:p>
          <w:p w14:paraId="2D02BB3B" w14:textId="77777777" w:rsidR="00977CE7" w:rsidRDefault="00977CE7" w:rsidP="00C36368">
            <w:pPr>
              <w:ind w:left="113"/>
              <w:rPr>
                <w:rFonts w:ascii="Arial" w:hAnsi="Arial"/>
                <w:sz w:val="22"/>
              </w:rPr>
            </w:pPr>
          </w:p>
          <w:p w14:paraId="6CA96FE9" w14:textId="36FC7EB7" w:rsidR="00977CE7" w:rsidRPr="00A76B7D" w:rsidRDefault="00977CE7" w:rsidP="00C36368">
            <w:pPr>
              <w:ind w:left="113"/>
              <w:rPr>
                <w:rFonts w:ascii="Arial" w:hAnsi="Arial" w:cs="Arial"/>
                <w:sz w:val="22"/>
                <w:szCs w:val="22"/>
              </w:rPr>
            </w:pPr>
            <w:r>
              <w:rPr>
                <w:rFonts w:ascii="Arial" w:hAnsi="Arial"/>
                <w:sz w:val="22"/>
              </w:rPr>
              <w:t xml:space="preserve">Développer des mécanismes et outils afin de faciliter et harmoniser le soutien fourni par le Secrétariat aux </w:t>
            </w:r>
            <w:r>
              <w:rPr>
                <w:rFonts w:ascii="Arial" w:hAnsi="Arial" w:cs="Arial"/>
                <w:sz w:val="22"/>
              </w:rPr>
              <w:t>É</w:t>
            </w:r>
            <w:r>
              <w:rPr>
                <w:rFonts w:ascii="Arial" w:hAnsi="Arial"/>
                <w:sz w:val="22"/>
              </w:rPr>
              <w:t>tats parties</w:t>
            </w:r>
          </w:p>
        </w:tc>
        <w:tc>
          <w:tcPr>
            <w:tcW w:w="1985" w:type="dxa"/>
            <w:noWrap/>
            <w:tcMar>
              <w:top w:w="40" w:type="dxa"/>
              <w:left w:w="40" w:type="dxa"/>
              <w:bottom w:w="40" w:type="dxa"/>
              <w:right w:w="40" w:type="dxa"/>
            </w:tcMar>
          </w:tcPr>
          <w:p w14:paraId="0F95FAF0" w14:textId="77777777" w:rsidR="004E66DD" w:rsidRDefault="004E66DD" w:rsidP="00C36368">
            <w:pPr>
              <w:ind w:left="57"/>
              <w:rPr>
                <w:rFonts w:ascii="Arial" w:hAnsi="Arial"/>
                <w:sz w:val="22"/>
              </w:rPr>
            </w:pPr>
            <w:r>
              <w:rPr>
                <w:rFonts w:ascii="Arial" w:hAnsi="Arial"/>
                <w:sz w:val="22"/>
              </w:rPr>
              <w:t>en cours</w:t>
            </w:r>
          </w:p>
          <w:p w14:paraId="07C89578" w14:textId="77777777" w:rsidR="00977CE7" w:rsidRDefault="00977CE7" w:rsidP="00C36368">
            <w:pPr>
              <w:ind w:left="57"/>
              <w:rPr>
                <w:rFonts w:ascii="Arial" w:hAnsi="Arial"/>
                <w:sz w:val="22"/>
              </w:rPr>
            </w:pPr>
          </w:p>
          <w:p w14:paraId="351ACCA0" w14:textId="77777777" w:rsidR="00977CE7" w:rsidRDefault="00977CE7" w:rsidP="00C36368">
            <w:pPr>
              <w:ind w:left="57"/>
              <w:rPr>
                <w:rFonts w:ascii="Arial" w:hAnsi="Arial"/>
                <w:sz w:val="22"/>
              </w:rPr>
            </w:pPr>
          </w:p>
          <w:p w14:paraId="6028DA29" w14:textId="77777777" w:rsidR="00977CE7" w:rsidRDefault="00977CE7" w:rsidP="00C36368">
            <w:pPr>
              <w:ind w:left="57"/>
              <w:rPr>
                <w:rFonts w:ascii="Arial" w:hAnsi="Arial"/>
                <w:sz w:val="22"/>
              </w:rPr>
            </w:pPr>
          </w:p>
          <w:p w14:paraId="1A462E0A" w14:textId="77777777" w:rsidR="00977CE7" w:rsidRDefault="00977CE7" w:rsidP="00C36368">
            <w:pPr>
              <w:ind w:left="57"/>
              <w:rPr>
                <w:rFonts w:ascii="Arial" w:hAnsi="Arial"/>
                <w:sz w:val="22"/>
              </w:rPr>
            </w:pPr>
          </w:p>
          <w:p w14:paraId="1160F2A1" w14:textId="77777777" w:rsidR="00977CE7" w:rsidRDefault="00977CE7" w:rsidP="00C36368">
            <w:pPr>
              <w:ind w:left="57"/>
              <w:rPr>
                <w:rFonts w:ascii="Arial" w:hAnsi="Arial"/>
                <w:sz w:val="22"/>
              </w:rPr>
            </w:pPr>
          </w:p>
          <w:p w14:paraId="4F48B86B" w14:textId="77777777" w:rsidR="00977CE7" w:rsidRDefault="00977CE7" w:rsidP="00C36368">
            <w:pPr>
              <w:ind w:left="57"/>
              <w:rPr>
                <w:rFonts w:ascii="Arial" w:hAnsi="Arial"/>
                <w:sz w:val="22"/>
              </w:rPr>
            </w:pPr>
          </w:p>
          <w:p w14:paraId="33D7C7F9" w14:textId="77777777" w:rsidR="00977CE7" w:rsidRDefault="00977CE7" w:rsidP="00C36368">
            <w:pPr>
              <w:ind w:left="57"/>
              <w:rPr>
                <w:rFonts w:ascii="Arial" w:hAnsi="Arial"/>
                <w:sz w:val="22"/>
              </w:rPr>
            </w:pPr>
          </w:p>
          <w:p w14:paraId="781F72E5" w14:textId="77777777" w:rsidR="00977CE7" w:rsidRDefault="00977CE7" w:rsidP="00C36368">
            <w:pPr>
              <w:ind w:left="57"/>
              <w:rPr>
                <w:rFonts w:ascii="Arial" w:hAnsi="Arial"/>
                <w:sz w:val="22"/>
              </w:rPr>
            </w:pPr>
          </w:p>
          <w:p w14:paraId="6987BA6B" w14:textId="6AC46FFF" w:rsidR="00977CE7" w:rsidRDefault="00977CE7" w:rsidP="00C36368">
            <w:pPr>
              <w:ind w:left="57"/>
              <w:rPr>
                <w:rFonts w:ascii="Arial" w:hAnsi="Arial"/>
                <w:sz w:val="22"/>
              </w:rPr>
            </w:pPr>
            <w:r>
              <w:rPr>
                <w:rFonts w:ascii="Arial" w:hAnsi="Arial"/>
                <w:sz w:val="22"/>
              </w:rPr>
              <w:t>en cours</w:t>
            </w:r>
          </w:p>
          <w:p w14:paraId="3B3738AD" w14:textId="77777777" w:rsidR="00977CE7" w:rsidRPr="00A76B7D" w:rsidRDefault="00977CE7" w:rsidP="00C36368">
            <w:pPr>
              <w:ind w:left="57"/>
              <w:rPr>
                <w:rFonts w:ascii="Arial" w:hAnsi="Arial" w:cs="Arial"/>
                <w:sz w:val="22"/>
                <w:szCs w:val="22"/>
              </w:rPr>
            </w:pPr>
          </w:p>
        </w:tc>
        <w:tc>
          <w:tcPr>
            <w:tcW w:w="7653" w:type="dxa"/>
            <w:gridSpan w:val="2"/>
            <w:noWrap/>
            <w:tcMar>
              <w:top w:w="40" w:type="dxa"/>
              <w:left w:w="40" w:type="dxa"/>
              <w:bottom w:w="40" w:type="dxa"/>
              <w:right w:w="40" w:type="dxa"/>
            </w:tcMar>
          </w:tcPr>
          <w:p w14:paraId="50862894" w14:textId="77777777" w:rsidR="004E66DD" w:rsidRPr="00A76B7D" w:rsidRDefault="004E66DD" w:rsidP="004E66DD">
            <w:pPr>
              <w:pStyle w:val="ListParagraph"/>
              <w:numPr>
                <w:ilvl w:val="0"/>
                <w:numId w:val="39"/>
              </w:numPr>
              <w:ind w:left="470" w:hanging="357"/>
              <w:rPr>
                <w:rFonts w:ascii="Arial" w:hAnsi="Arial" w:cs="Arial"/>
                <w:sz w:val="22"/>
                <w:szCs w:val="22"/>
              </w:rPr>
            </w:pPr>
            <w:r>
              <w:rPr>
                <w:rFonts w:ascii="Arial" w:hAnsi="Arial"/>
                <w:sz w:val="22"/>
              </w:rPr>
              <w:t>Le Comité, lors de sa neuvième session, a prévu 50 dossiers par cycle pour 2016 et 2017 (Décision 9.COM 12).</w:t>
            </w:r>
          </w:p>
          <w:p w14:paraId="1D9FB596" w14:textId="0B1E9A67" w:rsidR="004E66DD" w:rsidRPr="007E0084" w:rsidRDefault="004E66DD" w:rsidP="007E0084">
            <w:pPr>
              <w:pStyle w:val="ListParagraph"/>
              <w:numPr>
                <w:ilvl w:val="0"/>
                <w:numId w:val="39"/>
              </w:numPr>
              <w:ind w:left="470" w:hanging="357"/>
              <w:rPr>
                <w:rFonts w:ascii="Arial" w:hAnsi="Arial" w:cs="Arial"/>
                <w:sz w:val="22"/>
                <w:szCs w:val="22"/>
              </w:rPr>
            </w:pPr>
            <w:r>
              <w:rPr>
                <w:rFonts w:ascii="Arial" w:hAnsi="Arial"/>
                <w:sz w:val="22"/>
              </w:rPr>
              <w:t>Le Secrétariat</w:t>
            </w:r>
            <w:r w:rsidR="00953BCC">
              <w:rPr>
                <w:rFonts w:ascii="Arial" w:hAnsi="Arial"/>
                <w:sz w:val="22"/>
              </w:rPr>
              <w:t>, lors de sa dixième</w:t>
            </w:r>
            <w:r w:rsidR="007E0084">
              <w:rPr>
                <w:rFonts w:ascii="Arial" w:hAnsi="Arial"/>
                <w:sz w:val="22"/>
              </w:rPr>
              <w:t xml:space="preserve"> session, a décidé de prévoir</w:t>
            </w:r>
            <w:r>
              <w:rPr>
                <w:rFonts w:ascii="Arial" w:hAnsi="Arial"/>
                <w:sz w:val="22"/>
              </w:rPr>
              <w:t xml:space="preserve"> 50 dossiers par cycle pour 2017 et 2018.</w:t>
            </w:r>
          </w:p>
          <w:p w14:paraId="0D09856C" w14:textId="77777777" w:rsidR="007E0084" w:rsidRPr="00977CE7" w:rsidRDefault="007E0084" w:rsidP="007E0084">
            <w:pPr>
              <w:pStyle w:val="ListParagraph"/>
              <w:numPr>
                <w:ilvl w:val="0"/>
                <w:numId w:val="39"/>
              </w:numPr>
              <w:ind w:left="470" w:hanging="357"/>
              <w:rPr>
                <w:rFonts w:ascii="Arial" w:hAnsi="Arial" w:cs="Arial"/>
                <w:sz w:val="22"/>
                <w:szCs w:val="22"/>
              </w:rPr>
            </w:pPr>
            <w:r>
              <w:rPr>
                <w:rFonts w:ascii="Arial" w:hAnsi="Arial"/>
                <w:sz w:val="22"/>
              </w:rPr>
              <w:t xml:space="preserve">Il n’y a pas eu de point sur l’accréditation des organisations non gouvernementales lors de la neuvième session du Comité, mais le Comité l’a examiné lors de sa dixième session. Ce point sera désormais examiné tous les deux ans. </w:t>
            </w:r>
          </w:p>
          <w:p w14:paraId="1F57787D" w14:textId="106FC9CF" w:rsidR="00977CE7" w:rsidRPr="0084400C" w:rsidRDefault="00977CE7" w:rsidP="0084400C">
            <w:pPr>
              <w:ind w:left="113"/>
              <w:rPr>
                <w:rFonts w:ascii="Arial" w:hAnsi="Arial" w:cs="Arial"/>
                <w:sz w:val="22"/>
                <w:szCs w:val="22"/>
              </w:rPr>
            </w:pPr>
          </w:p>
          <w:p w14:paraId="79B608FB" w14:textId="61AFA787" w:rsidR="00977CE7" w:rsidRPr="00977CE7" w:rsidRDefault="00977CE7" w:rsidP="007E0084">
            <w:pPr>
              <w:pStyle w:val="ListParagraph"/>
              <w:numPr>
                <w:ilvl w:val="0"/>
                <w:numId w:val="39"/>
              </w:numPr>
              <w:ind w:left="470" w:hanging="357"/>
              <w:rPr>
                <w:rFonts w:ascii="Arial" w:hAnsi="Arial" w:cs="Arial"/>
                <w:sz w:val="22"/>
                <w:szCs w:val="22"/>
              </w:rPr>
            </w:pPr>
            <w:r>
              <w:rPr>
                <w:rFonts w:ascii="Arial" w:hAnsi="Arial" w:cs="Arial"/>
                <w:sz w:val="22"/>
                <w:szCs w:val="22"/>
              </w:rPr>
              <w:t>À titre expérimental, l’assistance technique aux États parties souhaitant élaborer une demande d’assistance internationale a été introduite (décision 8.COM 7.c)</w:t>
            </w:r>
            <w:r w:rsidR="003E7BDB">
              <w:rPr>
                <w:rFonts w:ascii="Arial" w:hAnsi="Arial" w:cs="Arial"/>
                <w:sz w:val="22"/>
                <w:szCs w:val="22"/>
              </w:rPr>
              <w:t>.</w:t>
            </w:r>
          </w:p>
          <w:p w14:paraId="45CF868A" w14:textId="37178FC3" w:rsidR="00977CE7" w:rsidRPr="00977CE7" w:rsidRDefault="00977CE7" w:rsidP="00977CE7">
            <w:pPr>
              <w:rPr>
                <w:rFonts w:ascii="Arial" w:hAnsi="Arial" w:cs="Arial"/>
                <w:sz w:val="22"/>
                <w:szCs w:val="22"/>
              </w:rPr>
            </w:pPr>
          </w:p>
        </w:tc>
      </w:tr>
      <w:tr w:rsidR="004E66DD" w:rsidRPr="00A76B7D" w14:paraId="2EA666F1" w14:textId="77777777" w:rsidTr="00C363BC">
        <w:trPr>
          <w:gridAfter w:val="1"/>
          <w:wAfter w:w="15" w:type="dxa"/>
        </w:trPr>
        <w:tc>
          <w:tcPr>
            <w:tcW w:w="4719" w:type="dxa"/>
            <w:tcBorders>
              <w:bottom w:val="single" w:sz="4" w:space="0" w:color="auto"/>
            </w:tcBorders>
            <w:noWrap/>
            <w:tcMar>
              <w:top w:w="40" w:type="dxa"/>
              <w:left w:w="40" w:type="dxa"/>
              <w:bottom w:w="40" w:type="dxa"/>
              <w:right w:w="40" w:type="dxa"/>
            </w:tcMar>
          </w:tcPr>
          <w:p w14:paraId="6F2EAFCD" w14:textId="57838084" w:rsidR="004E66DD" w:rsidRPr="00A76B7D" w:rsidRDefault="004E66DD" w:rsidP="00C36368">
            <w:pPr>
              <w:ind w:left="113"/>
              <w:rPr>
                <w:rFonts w:ascii="Arial" w:hAnsi="Arial" w:cs="Arial"/>
                <w:sz w:val="22"/>
                <w:szCs w:val="22"/>
              </w:rPr>
            </w:pPr>
            <w:r>
              <w:rPr>
                <w:rFonts w:ascii="Arial" w:hAnsi="Arial"/>
                <w:sz w:val="22"/>
              </w:rPr>
              <w:t>(c) Réduire le calendrier des sessions du Comité</w:t>
            </w:r>
          </w:p>
        </w:tc>
        <w:tc>
          <w:tcPr>
            <w:tcW w:w="1985" w:type="dxa"/>
            <w:tcBorders>
              <w:bottom w:val="single" w:sz="4" w:space="0" w:color="auto"/>
            </w:tcBorders>
            <w:noWrap/>
            <w:tcMar>
              <w:top w:w="40" w:type="dxa"/>
              <w:left w:w="40" w:type="dxa"/>
              <w:bottom w:w="40" w:type="dxa"/>
              <w:right w:w="40" w:type="dxa"/>
            </w:tcMar>
          </w:tcPr>
          <w:p w14:paraId="6D1B3917" w14:textId="77777777" w:rsidR="004E66DD" w:rsidRPr="00A76B7D" w:rsidRDefault="004E66DD" w:rsidP="00C36368">
            <w:pPr>
              <w:ind w:left="57"/>
              <w:rPr>
                <w:rFonts w:ascii="Arial" w:hAnsi="Arial" w:cs="Arial"/>
                <w:sz w:val="22"/>
                <w:szCs w:val="22"/>
              </w:rPr>
            </w:pPr>
            <w:r>
              <w:rPr>
                <w:rFonts w:ascii="Arial" w:hAnsi="Arial"/>
                <w:sz w:val="22"/>
              </w:rPr>
              <w:t>en cours</w:t>
            </w:r>
          </w:p>
        </w:tc>
        <w:tc>
          <w:tcPr>
            <w:tcW w:w="7653" w:type="dxa"/>
            <w:gridSpan w:val="2"/>
            <w:tcBorders>
              <w:bottom w:val="single" w:sz="4" w:space="0" w:color="auto"/>
            </w:tcBorders>
            <w:noWrap/>
            <w:tcMar>
              <w:top w:w="40" w:type="dxa"/>
              <w:left w:w="40" w:type="dxa"/>
              <w:bottom w:w="40" w:type="dxa"/>
              <w:right w:w="40" w:type="dxa"/>
            </w:tcMar>
          </w:tcPr>
          <w:p w14:paraId="486A1DAB" w14:textId="77777777" w:rsidR="004E66DD" w:rsidRPr="00A76B7D" w:rsidRDefault="004E66DD" w:rsidP="004E66DD">
            <w:pPr>
              <w:pStyle w:val="ListParagraph"/>
              <w:numPr>
                <w:ilvl w:val="0"/>
                <w:numId w:val="39"/>
              </w:numPr>
              <w:ind w:left="470" w:hanging="357"/>
              <w:rPr>
                <w:rFonts w:ascii="Arial" w:hAnsi="Arial" w:cs="Arial"/>
                <w:sz w:val="22"/>
                <w:szCs w:val="22"/>
              </w:rPr>
            </w:pPr>
            <w:r>
              <w:rPr>
                <w:rFonts w:ascii="Arial" w:hAnsi="Arial"/>
                <w:sz w:val="22"/>
              </w:rPr>
              <w:t>Le Comité, lors de sa neuvième session, par sa Décision 9.COM13.g, a encouragé le Secrétariat à intensifier ses efforts quant à la coordination de réunions des États parties pour les différentes conventions, en veillant plus particulièrement à les programmer bien à l’avance et en laissant suffisamment de temps entre elles.</w:t>
            </w:r>
          </w:p>
          <w:p w14:paraId="2A00FBC5" w14:textId="6B255072" w:rsidR="004E66DD" w:rsidRPr="005557CD" w:rsidRDefault="004E66DD" w:rsidP="004E66DD">
            <w:pPr>
              <w:pStyle w:val="ListParagraph"/>
              <w:numPr>
                <w:ilvl w:val="0"/>
                <w:numId w:val="39"/>
              </w:numPr>
              <w:ind w:left="470" w:hanging="357"/>
              <w:rPr>
                <w:rFonts w:ascii="Arial" w:hAnsi="Arial" w:cs="Arial"/>
                <w:sz w:val="22"/>
                <w:szCs w:val="22"/>
              </w:rPr>
            </w:pPr>
            <w:r>
              <w:rPr>
                <w:rFonts w:ascii="Arial" w:hAnsi="Arial"/>
                <w:sz w:val="22"/>
              </w:rPr>
              <w:t xml:space="preserve">La durée des neuvième et dixième sessions du Comité </w:t>
            </w:r>
            <w:r w:rsidR="003E7BDB">
              <w:rPr>
                <w:rFonts w:ascii="Arial" w:hAnsi="Arial"/>
                <w:sz w:val="22"/>
              </w:rPr>
              <w:t xml:space="preserve">a été </w:t>
            </w:r>
            <w:r>
              <w:rPr>
                <w:rFonts w:ascii="Arial" w:hAnsi="Arial"/>
                <w:sz w:val="22"/>
              </w:rPr>
              <w:t xml:space="preserve">de </w:t>
            </w:r>
            <w:r w:rsidR="005557CD">
              <w:rPr>
                <w:rFonts w:ascii="Arial" w:hAnsi="Arial"/>
                <w:sz w:val="22"/>
              </w:rPr>
              <w:t>cinq</w:t>
            </w:r>
            <w:r>
              <w:rPr>
                <w:rFonts w:ascii="Arial" w:hAnsi="Arial"/>
                <w:sz w:val="22"/>
              </w:rPr>
              <w:t> jours (un jour de moins que la session précédente).</w:t>
            </w:r>
          </w:p>
          <w:p w14:paraId="1F2DA540" w14:textId="6E774A47" w:rsidR="005557CD" w:rsidRPr="00A76B7D" w:rsidRDefault="005557CD" w:rsidP="004E66DD">
            <w:pPr>
              <w:pStyle w:val="ListParagraph"/>
              <w:numPr>
                <w:ilvl w:val="0"/>
                <w:numId w:val="39"/>
              </w:numPr>
              <w:ind w:left="470" w:hanging="357"/>
              <w:rPr>
                <w:rFonts w:ascii="Arial" w:hAnsi="Arial" w:cs="Arial"/>
                <w:sz w:val="22"/>
                <w:szCs w:val="22"/>
              </w:rPr>
            </w:pPr>
            <w:r>
              <w:rPr>
                <w:rFonts w:ascii="Arial" w:hAnsi="Arial"/>
                <w:sz w:val="22"/>
              </w:rPr>
              <w:t>La durée prévue de la présente session de l’Assemblée générale est de trois jours (un jour de moins que la session précédente).</w:t>
            </w:r>
          </w:p>
          <w:p w14:paraId="38F1C885" w14:textId="5DD782A6" w:rsidR="004E66DD" w:rsidRPr="00A76B7D" w:rsidRDefault="004E66DD" w:rsidP="005557CD">
            <w:pPr>
              <w:pStyle w:val="ListParagraph"/>
              <w:numPr>
                <w:ilvl w:val="0"/>
                <w:numId w:val="39"/>
              </w:numPr>
              <w:ind w:left="470" w:hanging="357"/>
              <w:rPr>
                <w:rFonts w:ascii="Arial" w:hAnsi="Arial" w:cs="Arial"/>
                <w:sz w:val="22"/>
                <w:szCs w:val="22"/>
              </w:rPr>
            </w:pPr>
            <w:r>
              <w:rPr>
                <w:rFonts w:ascii="Arial" w:hAnsi="Arial"/>
                <w:sz w:val="22"/>
              </w:rPr>
              <w:t xml:space="preserve">Les projets d’amendements aux Directives opérationnelles concernant </w:t>
            </w:r>
            <w:r w:rsidR="005557CD">
              <w:rPr>
                <w:rFonts w:ascii="Arial" w:hAnsi="Arial"/>
                <w:sz w:val="22"/>
              </w:rPr>
              <w:t>le calendrier</w:t>
            </w:r>
            <w:r>
              <w:rPr>
                <w:rFonts w:ascii="Arial" w:hAnsi="Arial"/>
                <w:sz w:val="22"/>
              </w:rPr>
              <w:t xml:space="preserve"> des accréditations des ONG </w:t>
            </w:r>
            <w:r w:rsidR="005557CD">
              <w:rPr>
                <w:rFonts w:ascii="Arial" w:hAnsi="Arial"/>
                <w:sz w:val="22"/>
              </w:rPr>
              <w:t>ont été approuvés</w:t>
            </w:r>
            <w:r>
              <w:rPr>
                <w:rFonts w:ascii="Arial" w:hAnsi="Arial"/>
                <w:sz w:val="22"/>
              </w:rPr>
              <w:t xml:space="preserve"> par le Comité lors de sa dixième session</w:t>
            </w:r>
            <w:r w:rsidR="005557CD">
              <w:rPr>
                <w:rFonts w:ascii="Arial" w:hAnsi="Arial"/>
                <w:sz w:val="22"/>
              </w:rPr>
              <w:t>,</w:t>
            </w:r>
            <w:r>
              <w:rPr>
                <w:rFonts w:ascii="Arial" w:hAnsi="Arial"/>
                <w:sz w:val="22"/>
              </w:rPr>
              <w:t xml:space="preserve"> le Comité </w:t>
            </w:r>
            <w:r w:rsidR="005557CD">
              <w:rPr>
                <w:rFonts w:ascii="Arial" w:hAnsi="Arial"/>
                <w:sz w:val="22"/>
              </w:rPr>
              <w:t xml:space="preserve">a </w:t>
            </w:r>
            <w:r>
              <w:rPr>
                <w:rFonts w:ascii="Arial" w:hAnsi="Arial"/>
                <w:sz w:val="22"/>
              </w:rPr>
              <w:t>recommand</w:t>
            </w:r>
            <w:r w:rsidR="005557CD">
              <w:rPr>
                <w:rFonts w:ascii="Arial" w:hAnsi="Arial"/>
                <w:sz w:val="22"/>
              </w:rPr>
              <w:t>é</w:t>
            </w:r>
            <w:r>
              <w:rPr>
                <w:rFonts w:ascii="Arial" w:hAnsi="Arial"/>
                <w:sz w:val="22"/>
              </w:rPr>
              <w:t xml:space="preserve"> à l’Assemblée générale de les approuver </w:t>
            </w:r>
            <w:r w:rsidR="005557CD">
              <w:rPr>
                <w:rFonts w:ascii="Arial" w:hAnsi="Arial"/>
                <w:sz w:val="22"/>
              </w:rPr>
              <w:t xml:space="preserve">lors de la présente session </w:t>
            </w:r>
            <w:r>
              <w:rPr>
                <w:rFonts w:ascii="Arial" w:hAnsi="Arial"/>
                <w:sz w:val="22"/>
              </w:rPr>
              <w:t>en juin 2016.</w:t>
            </w:r>
          </w:p>
        </w:tc>
      </w:tr>
      <w:tr w:rsidR="004E66DD" w:rsidRPr="00A76B7D" w14:paraId="54BF4AD3" w14:textId="77777777" w:rsidTr="00C363BC">
        <w:trPr>
          <w:gridAfter w:val="1"/>
          <w:wAfter w:w="15" w:type="dxa"/>
        </w:trPr>
        <w:tc>
          <w:tcPr>
            <w:tcW w:w="4719" w:type="dxa"/>
            <w:tcBorders>
              <w:bottom w:val="single" w:sz="4" w:space="0" w:color="auto"/>
            </w:tcBorders>
            <w:noWrap/>
            <w:tcMar>
              <w:top w:w="40" w:type="dxa"/>
              <w:left w:w="40" w:type="dxa"/>
              <w:bottom w:w="40" w:type="dxa"/>
              <w:right w:w="40" w:type="dxa"/>
            </w:tcMar>
          </w:tcPr>
          <w:p w14:paraId="40C8071D" w14:textId="77777777" w:rsidR="004E66DD" w:rsidRPr="00A76B7D" w:rsidRDefault="004E66DD" w:rsidP="00C36368">
            <w:pPr>
              <w:ind w:left="113"/>
              <w:rPr>
                <w:rFonts w:ascii="Arial" w:hAnsi="Arial" w:cs="Arial"/>
                <w:sz w:val="22"/>
                <w:szCs w:val="22"/>
              </w:rPr>
            </w:pPr>
            <w:r>
              <w:rPr>
                <w:rFonts w:ascii="Arial" w:hAnsi="Arial"/>
                <w:sz w:val="22"/>
              </w:rPr>
              <w:t xml:space="preserve">(d) Rappeler aux États que davantage de langues seront proposées seulement si un </w:t>
            </w:r>
            <w:r w:rsidRPr="00E26E2A">
              <w:rPr>
                <w:rFonts w:ascii="Arial" w:hAnsi="Arial"/>
                <w:sz w:val="22"/>
              </w:rPr>
              <w:t>financement extra</w:t>
            </w:r>
            <w:r w:rsidRPr="00FD5402">
              <w:rPr>
                <w:rFonts w:ascii="Arial" w:hAnsi="Arial"/>
                <w:sz w:val="22"/>
              </w:rPr>
              <w:t xml:space="preserve"> </w:t>
            </w:r>
            <w:r w:rsidRPr="00A34D3E">
              <w:rPr>
                <w:rFonts w:ascii="Arial" w:hAnsi="Arial"/>
                <w:sz w:val="22"/>
              </w:rPr>
              <w:t>budgétaire est accordé.</w:t>
            </w:r>
          </w:p>
        </w:tc>
        <w:tc>
          <w:tcPr>
            <w:tcW w:w="1985" w:type="dxa"/>
            <w:tcBorders>
              <w:bottom w:val="single" w:sz="4" w:space="0" w:color="auto"/>
            </w:tcBorders>
            <w:noWrap/>
            <w:tcMar>
              <w:top w:w="40" w:type="dxa"/>
              <w:left w:w="40" w:type="dxa"/>
              <w:bottom w:w="40" w:type="dxa"/>
              <w:right w:w="40" w:type="dxa"/>
            </w:tcMar>
          </w:tcPr>
          <w:p w14:paraId="54C5BC06" w14:textId="77777777" w:rsidR="004E66DD" w:rsidRPr="00A76B7D" w:rsidRDefault="004E66DD" w:rsidP="00C36368">
            <w:pPr>
              <w:ind w:left="57"/>
              <w:rPr>
                <w:rFonts w:ascii="Arial" w:hAnsi="Arial" w:cs="Arial"/>
                <w:sz w:val="22"/>
                <w:szCs w:val="22"/>
              </w:rPr>
            </w:pPr>
            <w:r>
              <w:rPr>
                <w:rFonts w:ascii="Arial" w:hAnsi="Arial"/>
                <w:sz w:val="22"/>
              </w:rPr>
              <w:t>en cours</w:t>
            </w:r>
          </w:p>
        </w:tc>
        <w:tc>
          <w:tcPr>
            <w:tcW w:w="7653" w:type="dxa"/>
            <w:gridSpan w:val="2"/>
            <w:tcBorders>
              <w:bottom w:val="single" w:sz="4" w:space="0" w:color="auto"/>
            </w:tcBorders>
            <w:noWrap/>
            <w:tcMar>
              <w:top w:w="40" w:type="dxa"/>
              <w:left w:w="40" w:type="dxa"/>
              <w:bottom w:w="40" w:type="dxa"/>
              <w:right w:w="40" w:type="dxa"/>
            </w:tcMar>
          </w:tcPr>
          <w:p w14:paraId="40CB1FE0" w14:textId="77777777" w:rsidR="004E66DD" w:rsidRPr="00A34D3E" w:rsidRDefault="004E66DD" w:rsidP="004E66DD">
            <w:pPr>
              <w:pStyle w:val="ListParagraph"/>
              <w:numPr>
                <w:ilvl w:val="0"/>
                <w:numId w:val="39"/>
              </w:numPr>
              <w:ind w:left="470" w:hanging="357"/>
              <w:rPr>
                <w:rFonts w:ascii="Arial" w:hAnsi="Arial" w:cs="Arial"/>
                <w:b/>
                <w:sz w:val="22"/>
                <w:szCs w:val="22"/>
                <w:u w:val="single"/>
              </w:rPr>
            </w:pPr>
            <w:r>
              <w:rPr>
                <w:rFonts w:ascii="Arial" w:hAnsi="Arial"/>
                <w:sz w:val="22"/>
              </w:rPr>
              <w:t xml:space="preserve">Il a été rappelé aux États arabophones et hispanophones avant les neuvième et dixième sessions du Comité que des interprétations dans des langues additionnelles seraient proposées si un </w:t>
            </w:r>
            <w:r w:rsidRPr="004F6E13">
              <w:rPr>
                <w:rFonts w:ascii="Arial" w:hAnsi="Arial"/>
                <w:sz w:val="22"/>
              </w:rPr>
              <w:t>financement extra</w:t>
            </w:r>
            <w:r w:rsidRPr="00FD5402">
              <w:rPr>
                <w:rFonts w:ascii="Arial" w:hAnsi="Arial"/>
                <w:sz w:val="22"/>
              </w:rPr>
              <w:t xml:space="preserve"> </w:t>
            </w:r>
            <w:r w:rsidRPr="00A34D3E">
              <w:rPr>
                <w:rFonts w:ascii="Arial" w:hAnsi="Arial"/>
                <w:sz w:val="22"/>
              </w:rPr>
              <w:t>budgétaire était accordé.</w:t>
            </w:r>
          </w:p>
          <w:p w14:paraId="4B92AB37" w14:textId="77777777" w:rsidR="004E66DD" w:rsidRPr="00A76B7D" w:rsidRDefault="004E66DD" w:rsidP="004E66DD">
            <w:pPr>
              <w:pStyle w:val="ListParagraph"/>
              <w:numPr>
                <w:ilvl w:val="0"/>
                <w:numId w:val="39"/>
              </w:numPr>
              <w:ind w:left="470" w:hanging="357"/>
              <w:rPr>
                <w:rFonts w:ascii="Arial" w:hAnsi="Arial" w:cs="Arial"/>
                <w:b/>
                <w:sz w:val="22"/>
                <w:szCs w:val="22"/>
                <w:u w:val="single"/>
              </w:rPr>
            </w:pPr>
            <w:r w:rsidRPr="00A34D3E">
              <w:rPr>
                <w:rFonts w:ascii="Arial" w:hAnsi="Arial"/>
                <w:sz w:val="22"/>
              </w:rPr>
              <w:t>L</w:t>
            </w:r>
            <w:r>
              <w:rPr>
                <w:rFonts w:ascii="Arial" w:hAnsi="Arial"/>
                <w:sz w:val="22"/>
              </w:rPr>
              <w:t>’</w:t>
            </w:r>
            <w:r w:rsidRPr="00A34D3E">
              <w:rPr>
                <w:rFonts w:ascii="Arial" w:hAnsi="Arial"/>
                <w:sz w:val="22"/>
              </w:rPr>
              <w:t>Arabie Saoudite a généreusement financé l</w:t>
            </w:r>
            <w:r>
              <w:rPr>
                <w:rFonts w:ascii="Arial" w:hAnsi="Arial"/>
                <w:sz w:val="22"/>
              </w:rPr>
              <w:t>’</w:t>
            </w:r>
            <w:r w:rsidRPr="00A34D3E">
              <w:rPr>
                <w:rFonts w:ascii="Arial" w:hAnsi="Arial"/>
                <w:sz w:val="22"/>
              </w:rPr>
              <w:t>interprétation en arabe de</w:t>
            </w:r>
            <w:r>
              <w:rPr>
                <w:rFonts w:ascii="Arial" w:hAnsi="Arial"/>
                <w:sz w:val="22"/>
              </w:rPr>
              <w:t xml:space="preserve"> la neuvième session du Comité.</w:t>
            </w:r>
          </w:p>
        </w:tc>
      </w:tr>
      <w:tr w:rsidR="004E66DD" w:rsidRPr="00A76B7D" w14:paraId="5607B570" w14:textId="77777777" w:rsidTr="00C363BC">
        <w:trPr>
          <w:gridAfter w:val="1"/>
          <w:wAfter w:w="10" w:type="dxa"/>
        </w:trPr>
        <w:tc>
          <w:tcPr>
            <w:tcW w:w="4719" w:type="dxa"/>
            <w:shd w:val="clear" w:color="auto" w:fill="FFFFFF" w:themeFill="background1"/>
            <w:noWrap/>
            <w:tcMar>
              <w:top w:w="40" w:type="dxa"/>
              <w:left w:w="40" w:type="dxa"/>
              <w:bottom w:w="40" w:type="dxa"/>
              <w:right w:w="40" w:type="dxa"/>
            </w:tcMar>
          </w:tcPr>
          <w:p w14:paraId="49A6656E" w14:textId="77777777" w:rsidR="004E66DD" w:rsidRPr="00A76B7D" w:rsidRDefault="004E66DD" w:rsidP="00C36368">
            <w:pPr>
              <w:ind w:left="113"/>
              <w:rPr>
                <w:rFonts w:ascii="Arial" w:hAnsi="Arial" w:cs="Arial"/>
                <w:sz w:val="22"/>
                <w:szCs w:val="22"/>
              </w:rPr>
            </w:pPr>
            <w:r>
              <w:rPr>
                <w:rFonts w:ascii="Arial" w:hAnsi="Arial"/>
                <w:sz w:val="22"/>
              </w:rPr>
              <w:t>(e) Les règles et règlements financiers existants de l’Organisation et du Fonds du patrimoine culturel immatériel permettent l’application de la politique de recouvrement des coûts.</w:t>
            </w:r>
          </w:p>
        </w:tc>
        <w:tc>
          <w:tcPr>
            <w:tcW w:w="1985" w:type="dxa"/>
            <w:shd w:val="clear" w:color="auto" w:fill="FFFFFF" w:themeFill="background1"/>
            <w:noWrap/>
            <w:tcMar>
              <w:top w:w="40" w:type="dxa"/>
              <w:left w:w="40" w:type="dxa"/>
              <w:bottom w:w="40" w:type="dxa"/>
              <w:right w:w="40" w:type="dxa"/>
            </w:tcMar>
          </w:tcPr>
          <w:p w14:paraId="0F8E1291" w14:textId="77777777" w:rsidR="004E66DD" w:rsidRPr="00A76B7D" w:rsidRDefault="004E66DD" w:rsidP="00C36368">
            <w:pPr>
              <w:rPr>
                <w:rFonts w:ascii="Arial" w:hAnsi="Arial" w:cs="Arial"/>
                <w:sz w:val="22"/>
                <w:szCs w:val="22"/>
              </w:rPr>
            </w:pPr>
          </w:p>
        </w:tc>
        <w:tc>
          <w:tcPr>
            <w:tcW w:w="7653" w:type="dxa"/>
            <w:gridSpan w:val="2"/>
            <w:shd w:val="clear" w:color="auto" w:fill="FFFFFF" w:themeFill="background1"/>
            <w:noWrap/>
            <w:tcMar>
              <w:top w:w="40" w:type="dxa"/>
              <w:left w:w="40" w:type="dxa"/>
              <w:bottom w:w="40" w:type="dxa"/>
              <w:right w:w="40" w:type="dxa"/>
            </w:tcMar>
          </w:tcPr>
          <w:p w14:paraId="586B03D7" w14:textId="77777777" w:rsidR="004E66DD" w:rsidRPr="00A76B7D" w:rsidRDefault="004E66DD" w:rsidP="004E66DD">
            <w:pPr>
              <w:pStyle w:val="ListParagraph"/>
              <w:numPr>
                <w:ilvl w:val="0"/>
                <w:numId w:val="39"/>
              </w:numPr>
              <w:ind w:left="470" w:hanging="357"/>
              <w:rPr>
                <w:rFonts w:ascii="Arial" w:hAnsi="Arial" w:cs="Arial"/>
                <w:sz w:val="22"/>
                <w:szCs w:val="22"/>
              </w:rPr>
            </w:pPr>
            <w:r>
              <w:rPr>
                <w:rFonts w:ascii="Arial" w:hAnsi="Arial"/>
                <w:sz w:val="22"/>
              </w:rPr>
              <w:t>Le Comité, au cours de la huitième session a pris note « </w:t>
            </w:r>
            <w:r w:rsidRPr="00FD5402">
              <w:rPr>
                <w:rFonts w:ascii="Arial" w:hAnsi="Arial"/>
                <w:sz w:val="22"/>
              </w:rPr>
              <w:t>de la politique de recouvrement des coûts de l</w:t>
            </w:r>
            <w:r>
              <w:rPr>
                <w:rFonts w:ascii="Arial" w:hAnsi="Arial"/>
                <w:sz w:val="22"/>
              </w:rPr>
              <w:t>’</w:t>
            </w:r>
            <w:r w:rsidRPr="00FD5402">
              <w:rPr>
                <w:rFonts w:ascii="Arial" w:hAnsi="Arial"/>
                <w:sz w:val="22"/>
              </w:rPr>
              <w:t xml:space="preserve">Organisation (Manuel administratif, </w:t>
            </w:r>
            <w:hyperlink r:id="rId87" w:history="1">
              <w:r w:rsidRPr="00FD5402">
                <w:rPr>
                  <w:rFonts w:ascii="Arial" w:hAnsi="Arial"/>
                  <w:sz w:val="22"/>
                </w:rPr>
                <w:t>point 5.9</w:t>
              </w:r>
            </w:hyperlink>
            <w:r w:rsidRPr="00FD5402">
              <w:rPr>
                <w:rFonts w:ascii="Arial" w:hAnsi="Arial"/>
                <w:sz w:val="22"/>
              </w:rPr>
              <w:t xml:space="preserve">) ; et </w:t>
            </w:r>
            <w:r>
              <w:rPr>
                <w:rFonts w:ascii="Arial" w:hAnsi="Arial"/>
                <w:sz w:val="22"/>
              </w:rPr>
              <w:t xml:space="preserve">[a </w:t>
            </w:r>
            <w:r w:rsidRPr="007939BD">
              <w:rPr>
                <w:rFonts w:ascii="Arial" w:hAnsi="Arial"/>
                <w:sz w:val="22"/>
              </w:rPr>
              <w:t>demand</w:t>
            </w:r>
            <w:r>
              <w:rPr>
                <w:rFonts w:ascii="Arial" w:hAnsi="Arial"/>
                <w:sz w:val="22"/>
              </w:rPr>
              <w:t>é]</w:t>
            </w:r>
            <w:r w:rsidRPr="00FD5402">
              <w:rPr>
                <w:rFonts w:ascii="Arial" w:hAnsi="Arial"/>
                <w:sz w:val="22"/>
              </w:rPr>
              <w:t xml:space="preserve"> au Secrétariat d</w:t>
            </w:r>
            <w:r>
              <w:rPr>
                <w:rFonts w:ascii="Arial" w:hAnsi="Arial"/>
                <w:sz w:val="22"/>
              </w:rPr>
              <w:t>’</w:t>
            </w:r>
            <w:r w:rsidRPr="00FD5402">
              <w:rPr>
                <w:rFonts w:ascii="Arial" w:hAnsi="Arial"/>
                <w:sz w:val="22"/>
              </w:rPr>
              <w:t>appliquer la politique de manière cohérente dans le cadre de l</w:t>
            </w:r>
            <w:r>
              <w:rPr>
                <w:rFonts w:ascii="Arial" w:hAnsi="Arial"/>
                <w:sz w:val="22"/>
              </w:rPr>
              <w:t>’</w:t>
            </w:r>
            <w:r w:rsidRPr="00FD5402">
              <w:rPr>
                <w:rFonts w:ascii="Arial" w:hAnsi="Arial"/>
                <w:sz w:val="22"/>
              </w:rPr>
              <w:t>utilisation des ressources du Fonds</w:t>
            </w:r>
            <w:r w:rsidRPr="00B95467">
              <w:t> </w:t>
            </w:r>
            <w:r>
              <w:rPr>
                <w:rFonts w:ascii="Arial" w:hAnsi="Arial"/>
                <w:sz w:val="22"/>
              </w:rPr>
              <w:t xml:space="preserve"> [du patrimoine culturel immatériel] » (Décision 8.COM 11).</w:t>
            </w:r>
          </w:p>
          <w:p w14:paraId="1C7F2DAB" w14:textId="12FDE9F2" w:rsidR="00B00F21" w:rsidRPr="009A5CEB" w:rsidRDefault="004E66DD" w:rsidP="00B00F21">
            <w:pPr>
              <w:pStyle w:val="ListParagraph"/>
              <w:numPr>
                <w:ilvl w:val="0"/>
                <w:numId w:val="39"/>
              </w:numPr>
              <w:ind w:left="470" w:hanging="357"/>
              <w:rPr>
                <w:rFonts w:ascii="Arial" w:hAnsi="Arial" w:cs="Arial"/>
                <w:b/>
                <w:sz w:val="22"/>
                <w:szCs w:val="22"/>
                <w:u w:val="single"/>
              </w:rPr>
            </w:pPr>
            <w:r>
              <w:rPr>
                <w:rFonts w:ascii="Arial" w:hAnsi="Arial"/>
                <w:sz w:val="22"/>
              </w:rPr>
              <w:t xml:space="preserve">Le Secrétariat a commencé à appliquer le recouvrement des coûts sur les Fonds alloués à l’Assistance financière du Fonds du patrimoine culturel immatériel </w:t>
            </w:r>
            <w:r w:rsidRPr="00464203">
              <w:rPr>
                <w:rFonts w:ascii="Arial" w:hAnsi="Arial"/>
                <w:sz w:val="22"/>
              </w:rPr>
              <w:t>(</w:t>
            </w:r>
            <w:r w:rsidRPr="00464203">
              <w:rPr>
                <w:rFonts w:ascii="Arial" w:hAnsi="Arial"/>
                <w:b/>
                <w:sz w:val="22"/>
              </w:rPr>
              <w:t>action terminée</w:t>
            </w:r>
            <w:r w:rsidRPr="00464203">
              <w:rPr>
                <w:rFonts w:ascii="Arial" w:hAnsi="Arial"/>
                <w:sz w:val="22"/>
              </w:rPr>
              <w:t>).</w:t>
            </w:r>
          </w:p>
        </w:tc>
      </w:tr>
      <w:tr w:rsidR="004E66DD" w:rsidRPr="00A76B7D" w14:paraId="23E3D51A" w14:textId="77777777" w:rsidTr="00C363BC">
        <w:tc>
          <w:tcPr>
            <w:tcW w:w="14367" w:type="dxa"/>
            <w:gridSpan w:val="5"/>
            <w:shd w:val="clear" w:color="auto" w:fill="E6E6E6"/>
            <w:noWrap/>
            <w:tcMar>
              <w:top w:w="40" w:type="dxa"/>
              <w:left w:w="40" w:type="dxa"/>
              <w:bottom w:w="40" w:type="dxa"/>
              <w:right w:w="40" w:type="dxa"/>
            </w:tcMar>
          </w:tcPr>
          <w:p w14:paraId="00C86BFF" w14:textId="77777777" w:rsidR="004E66DD" w:rsidRPr="00A76B7D" w:rsidRDefault="004E66DD" w:rsidP="009A5CEB">
            <w:pPr>
              <w:keepNext/>
              <w:keepLines/>
              <w:pageBreakBefore/>
              <w:autoSpaceDE w:val="0"/>
              <w:autoSpaceDN w:val="0"/>
              <w:adjustRightInd w:val="0"/>
              <w:ind w:left="113" w:right="113"/>
              <w:jc w:val="both"/>
              <w:rPr>
                <w:rFonts w:ascii="Arial" w:hAnsi="Arial" w:cs="Arial"/>
                <w:b/>
                <w:sz w:val="22"/>
                <w:szCs w:val="22"/>
              </w:rPr>
            </w:pPr>
            <w:r>
              <w:rPr>
                <w:rFonts w:ascii="Arial" w:hAnsi="Arial"/>
                <w:b/>
                <w:sz w:val="22"/>
              </w:rPr>
              <w:t>Recommandation 2 : Nous recommandons aux secrétariats des Conventions d’étudier le cas échéant des moyens plus efficaces d’obtenir des services consultatifs et d’envisager d’éventuels mécanismes de rétrofacturation aux États parties soumettant des candidatures et/ou un fonds spécial, de formuler à l’intention de leurs organes directeurs respectifs des propositions d’économies possibles et de leur présenter des options financières durablement supportables pour les honoraires versés au titre des services consultatifs.</w:t>
            </w:r>
          </w:p>
        </w:tc>
      </w:tr>
      <w:tr w:rsidR="004E66DD" w:rsidRPr="00A76B7D" w14:paraId="41199370" w14:textId="77777777" w:rsidTr="00C363BC">
        <w:tc>
          <w:tcPr>
            <w:tcW w:w="4719" w:type="dxa"/>
            <w:tcBorders>
              <w:bottom w:val="single" w:sz="4" w:space="0" w:color="auto"/>
            </w:tcBorders>
            <w:noWrap/>
            <w:tcMar>
              <w:top w:w="40" w:type="dxa"/>
              <w:left w:w="40" w:type="dxa"/>
              <w:bottom w:w="40" w:type="dxa"/>
              <w:right w:w="40" w:type="dxa"/>
            </w:tcMar>
          </w:tcPr>
          <w:p w14:paraId="76731A83" w14:textId="77777777" w:rsidR="004E66DD" w:rsidRPr="00A76B7D" w:rsidRDefault="004E66DD" w:rsidP="00C36368">
            <w:pPr>
              <w:jc w:val="center"/>
              <w:rPr>
                <w:rFonts w:ascii="Arial" w:hAnsi="Arial" w:cs="Arial"/>
                <w:b/>
                <w:sz w:val="22"/>
                <w:szCs w:val="22"/>
              </w:rPr>
            </w:pPr>
            <w:r>
              <w:rPr>
                <w:rFonts w:ascii="Arial" w:hAnsi="Arial"/>
                <w:b/>
                <w:sz w:val="22"/>
              </w:rPr>
              <w:t>Actions planifiées</w:t>
            </w:r>
          </w:p>
        </w:tc>
        <w:tc>
          <w:tcPr>
            <w:tcW w:w="2127" w:type="dxa"/>
            <w:gridSpan w:val="2"/>
            <w:tcBorders>
              <w:bottom w:val="single" w:sz="4" w:space="0" w:color="auto"/>
            </w:tcBorders>
            <w:noWrap/>
            <w:tcMar>
              <w:top w:w="40" w:type="dxa"/>
              <w:left w:w="40" w:type="dxa"/>
              <w:bottom w:w="40" w:type="dxa"/>
              <w:right w:w="40" w:type="dxa"/>
            </w:tcMar>
          </w:tcPr>
          <w:p w14:paraId="38CD17A7" w14:textId="77777777" w:rsidR="004E66DD" w:rsidRPr="00A76B7D" w:rsidRDefault="004E66DD" w:rsidP="00B00F21">
            <w:pPr>
              <w:keepNext/>
              <w:keepLines/>
              <w:jc w:val="center"/>
              <w:rPr>
                <w:rFonts w:ascii="Arial" w:hAnsi="Arial" w:cs="Arial"/>
                <w:b/>
                <w:sz w:val="22"/>
                <w:szCs w:val="22"/>
              </w:rPr>
            </w:pPr>
            <w:r>
              <w:rPr>
                <w:rFonts w:ascii="Arial" w:hAnsi="Arial"/>
                <w:b/>
                <w:sz w:val="22"/>
              </w:rPr>
              <w:t>Date prévue de mise en œuvre</w:t>
            </w:r>
          </w:p>
        </w:tc>
        <w:tc>
          <w:tcPr>
            <w:tcW w:w="7521" w:type="dxa"/>
            <w:gridSpan w:val="2"/>
            <w:tcBorders>
              <w:bottom w:val="single" w:sz="4" w:space="0" w:color="auto"/>
            </w:tcBorders>
            <w:noWrap/>
            <w:tcMar>
              <w:top w:w="40" w:type="dxa"/>
              <w:left w:w="40" w:type="dxa"/>
              <w:bottom w:w="40" w:type="dxa"/>
              <w:right w:w="40" w:type="dxa"/>
            </w:tcMar>
          </w:tcPr>
          <w:p w14:paraId="2F112DDF" w14:textId="77777777" w:rsidR="004E66DD" w:rsidRPr="00A76B7D" w:rsidRDefault="004E66DD" w:rsidP="00B00F21">
            <w:pPr>
              <w:keepNext/>
              <w:keepLines/>
              <w:jc w:val="center"/>
              <w:rPr>
                <w:rFonts w:ascii="Arial" w:hAnsi="Arial" w:cs="Arial"/>
                <w:b/>
                <w:sz w:val="22"/>
                <w:szCs w:val="22"/>
              </w:rPr>
            </w:pPr>
            <w:r>
              <w:rPr>
                <w:rFonts w:ascii="Arial" w:hAnsi="Arial"/>
                <w:b/>
                <w:sz w:val="22"/>
              </w:rPr>
              <w:t>Statut</w:t>
            </w:r>
          </w:p>
        </w:tc>
      </w:tr>
      <w:tr w:rsidR="004E66DD" w:rsidRPr="00A76B7D" w14:paraId="46A4DBD4" w14:textId="77777777" w:rsidTr="00C363BC">
        <w:tc>
          <w:tcPr>
            <w:tcW w:w="4719" w:type="dxa"/>
            <w:shd w:val="clear" w:color="auto" w:fill="FFFFFF" w:themeFill="background1"/>
            <w:noWrap/>
            <w:tcMar>
              <w:top w:w="40" w:type="dxa"/>
              <w:left w:w="40" w:type="dxa"/>
              <w:bottom w:w="40" w:type="dxa"/>
              <w:right w:w="40" w:type="dxa"/>
            </w:tcMar>
          </w:tcPr>
          <w:p w14:paraId="0D39F7D9" w14:textId="2955E8B9" w:rsidR="004E66DD" w:rsidRPr="00297354" w:rsidRDefault="004E66DD" w:rsidP="009E5FAC">
            <w:pPr>
              <w:keepNext/>
              <w:keepLines/>
              <w:ind w:left="113"/>
              <w:rPr>
                <w:rFonts w:ascii="Arial" w:hAnsi="Arial" w:cs="Arial"/>
                <w:sz w:val="22"/>
                <w:szCs w:val="22"/>
              </w:rPr>
            </w:pPr>
            <w:r w:rsidRPr="004A0099">
              <w:rPr>
                <w:rFonts w:ascii="Arial" w:hAnsi="Arial" w:cs="Arial"/>
                <w:sz w:val="22"/>
                <w:szCs w:val="22"/>
              </w:rPr>
              <w:t>(e) Durant sa sixième session le Comité a pris note que « </w:t>
            </w:r>
            <w:r w:rsidRPr="008215A5">
              <w:rPr>
                <w:rFonts w:ascii="Arial" w:hAnsi="Arial" w:cs="Arial"/>
                <w:sz w:val="22"/>
                <w:szCs w:val="22"/>
              </w:rPr>
              <w:t>la consolidation de l’évaluation de toutes les candidatures au sein d’un seul organe permettrait de réaliser d’importantes économies tout en offrant d’autres avantages ; réaffirme sa recommandation à l’Assemblée générale en ce sens (Décision 6.COM 15) ; et considère en outre que d’éventuels mécanismes de rétrofacturation aux États parties soumettant de</w:t>
            </w:r>
            <w:r w:rsidR="005B0B3D">
              <w:rPr>
                <w:rFonts w:ascii="Arial" w:hAnsi="Arial" w:cs="Arial"/>
                <w:sz w:val="22"/>
                <w:szCs w:val="22"/>
              </w:rPr>
              <w:t xml:space="preserve">s candidatures et/ou des fonds </w:t>
            </w:r>
            <w:r w:rsidRPr="008215A5">
              <w:rPr>
                <w:rFonts w:ascii="Arial" w:hAnsi="Arial" w:cs="Arial"/>
                <w:sz w:val="22"/>
                <w:szCs w:val="22"/>
              </w:rPr>
              <w:t>spéciaux affectés à cette fin, tels que suggérés dans la Recommandation 2, ne seraient par conséquent pas nécessaires.</w:t>
            </w:r>
            <w:r w:rsidRPr="004A0099">
              <w:rPr>
                <w:rFonts w:ascii="Arial" w:hAnsi="Arial" w:cs="Arial"/>
                <w:sz w:val="22"/>
                <w:szCs w:val="22"/>
              </w:rPr>
              <w:t>» (Décision 8.COM 5.c.2).</w:t>
            </w:r>
          </w:p>
        </w:tc>
        <w:tc>
          <w:tcPr>
            <w:tcW w:w="2127" w:type="dxa"/>
            <w:gridSpan w:val="2"/>
            <w:shd w:val="clear" w:color="auto" w:fill="FFFFFF" w:themeFill="background1"/>
            <w:noWrap/>
            <w:tcMar>
              <w:top w:w="40" w:type="dxa"/>
              <w:left w:w="40" w:type="dxa"/>
              <w:bottom w:w="40" w:type="dxa"/>
              <w:right w:w="40" w:type="dxa"/>
            </w:tcMar>
          </w:tcPr>
          <w:p w14:paraId="03E5F03D" w14:textId="77777777" w:rsidR="004E66DD" w:rsidRPr="00A76B7D" w:rsidRDefault="004E66DD" w:rsidP="00B00F21">
            <w:pPr>
              <w:keepNext/>
              <w:keepLines/>
              <w:rPr>
                <w:rFonts w:ascii="Arial" w:hAnsi="Arial" w:cs="Arial"/>
                <w:sz w:val="22"/>
                <w:szCs w:val="22"/>
              </w:rPr>
            </w:pPr>
            <w:r>
              <w:rPr>
                <w:rFonts w:ascii="Arial" w:hAnsi="Arial"/>
                <w:sz w:val="22"/>
              </w:rPr>
              <w:t>Novembre 2014</w:t>
            </w:r>
          </w:p>
        </w:tc>
        <w:tc>
          <w:tcPr>
            <w:tcW w:w="7521" w:type="dxa"/>
            <w:gridSpan w:val="2"/>
            <w:shd w:val="clear" w:color="auto" w:fill="FFFFFF" w:themeFill="background1"/>
            <w:noWrap/>
            <w:tcMar>
              <w:top w:w="40" w:type="dxa"/>
              <w:left w:w="40" w:type="dxa"/>
              <w:bottom w:w="40" w:type="dxa"/>
              <w:right w:w="40" w:type="dxa"/>
            </w:tcMar>
          </w:tcPr>
          <w:p w14:paraId="273E14AD" w14:textId="75D23E9E" w:rsidR="004E66DD" w:rsidRPr="00A76B7D" w:rsidRDefault="004E66DD" w:rsidP="00B00F21">
            <w:pPr>
              <w:pStyle w:val="ListParagraph"/>
              <w:keepNext/>
              <w:keepLines/>
              <w:numPr>
                <w:ilvl w:val="0"/>
                <w:numId w:val="39"/>
              </w:numPr>
              <w:ind w:left="470" w:hanging="357"/>
              <w:rPr>
                <w:rFonts w:ascii="Arial" w:hAnsi="Arial" w:cs="Arial"/>
                <w:sz w:val="22"/>
                <w:szCs w:val="22"/>
              </w:rPr>
            </w:pPr>
            <w:r>
              <w:rPr>
                <w:rFonts w:ascii="Arial" w:hAnsi="Arial"/>
                <w:sz w:val="22"/>
              </w:rPr>
              <w:t>L’Assemblée générale, lors de sa cinquième session, a adopté des amendements aux Directives opérationnelles afin d’établir un seul Organe d’</w:t>
            </w:r>
            <w:r w:rsidR="005B0B3D">
              <w:rPr>
                <w:rFonts w:ascii="Arial" w:hAnsi="Arial"/>
                <w:sz w:val="22"/>
              </w:rPr>
              <w:t>évaluation (Résolution</w:t>
            </w:r>
            <w:r>
              <w:rPr>
                <w:rFonts w:ascii="Arial" w:hAnsi="Arial"/>
                <w:sz w:val="22"/>
              </w:rPr>
              <w:t>  5.GA  5.1).</w:t>
            </w:r>
          </w:p>
          <w:p w14:paraId="13ABF363" w14:textId="77777777" w:rsidR="004E66DD" w:rsidRPr="00A76B7D" w:rsidRDefault="004E66DD" w:rsidP="00B00F21">
            <w:pPr>
              <w:pStyle w:val="ListParagraph"/>
              <w:keepNext/>
              <w:keepLines/>
              <w:numPr>
                <w:ilvl w:val="0"/>
                <w:numId w:val="39"/>
              </w:numPr>
              <w:ind w:left="470" w:hanging="357"/>
              <w:rPr>
                <w:rFonts w:ascii="Arial" w:hAnsi="Arial" w:cs="Arial"/>
                <w:b/>
                <w:sz w:val="22"/>
                <w:szCs w:val="22"/>
                <w:u w:val="single"/>
              </w:rPr>
            </w:pPr>
            <w:r>
              <w:rPr>
                <w:rFonts w:ascii="Arial" w:hAnsi="Arial"/>
                <w:sz w:val="22"/>
              </w:rPr>
              <w:t xml:space="preserve">Établi en novembre 2014, le premier Organe d’évaluation (Décision 9.COM 11) a évalué les dossiers du cycle 2015 </w:t>
            </w:r>
            <w:r w:rsidRPr="00464203">
              <w:rPr>
                <w:rFonts w:ascii="Arial" w:hAnsi="Arial"/>
                <w:sz w:val="22"/>
              </w:rPr>
              <w:t>(</w:t>
            </w:r>
            <w:r w:rsidRPr="00464203">
              <w:rPr>
                <w:rFonts w:ascii="Arial" w:hAnsi="Arial"/>
                <w:b/>
                <w:sz w:val="22"/>
              </w:rPr>
              <w:t>action terminée</w:t>
            </w:r>
            <w:r w:rsidRPr="00464203">
              <w:rPr>
                <w:rFonts w:ascii="Arial" w:hAnsi="Arial"/>
                <w:sz w:val="22"/>
              </w:rPr>
              <w:t>).</w:t>
            </w:r>
          </w:p>
        </w:tc>
      </w:tr>
      <w:tr w:rsidR="004E66DD" w:rsidRPr="00A76B7D" w14:paraId="2E3D81FB" w14:textId="77777777" w:rsidTr="00C363BC">
        <w:trPr>
          <w:cantSplit/>
        </w:trPr>
        <w:tc>
          <w:tcPr>
            <w:tcW w:w="14367" w:type="dxa"/>
            <w:gridSpan w:val="5"/>
            <w:shd w:val="clear" w:color="auto" w:fill="E6E6E6"/>
            <w:noWrap/>
            <w:tcMar>
              <w:top w:w="40" w:type="dxa"/>
              <w:left w:w="40" w:type="dxa"/>
              <w:bottom w:w="40" w:type="dxa"/>
              <w:right w:w="40" w:type="dxa"/>
            </w:tcMar>
          </w:tcPr>
          <w:p w14:paraId="3D923D11" w14:textId="62AD4755" w:rsidR="004E66DD" w:rsidRPr="00A76B7D" w:rsidRDefault="004E66DD" w:rsidP="009E5FAC">
            <w:pPr>
              <w:keepNext/>
              <w:keepLines/>
              <w:autoSpaceDE w:val="0"/>
              <w:autoSpaceDN w:val="0"/>
              <w:adjustRightInd w:val="0"/>
              <w:spacing w:before="120" w:after="120"/>
              <w:ind w:left="113" w:right="113"/>
              <w:jc w:val="both"/>
              <w:rPr>
                <w:rFonts w:ascii="Arial" w:hAnsi="Arial" w:cs="Arial"/>
                <w:b/>
                <w:sz w:val="22"/>
                <w:szCs w:val="22"/>
              </w:rPr>
            </w:pPr>
            <w:r>
              <w:rPr>
                <w:rFonts w:ascii="Arial" w:hAnsi="Arial"/>
                <w:b/>
                <w:sz w:val="22"/>
              </w:rPr>
              <w:t>Recommandation 3 : Nous recommandons au Secteur CLT d’élargir son unité logistique commune pour y inclure des services supplémentaires apportant une valeur ajoutée et en offrant des solutions économiquement rationnelles afin d’appuyer le travail de tous les</w:t>
            </w:r>
            <w:r w:rsidR="005B0B3D">
              <w:rPr>
                <w:rFonts w:ascii="Arial" w:hAnsi="Arial"/>
                <w:b/>
                <w:sz w:val="22"/>
              </w:rPr>
              <w:t xml:space="preserve"> secrétariats des conventions. </w:t>
            </w:r>
            <w:r>
              <w:rPr>
                <w:rFonts w:ascii="Arial" w:hAnsi="Arial"/>
                <w:b/>
                <w:sz w:val="22"/>
              </w:rPr>
              <w:t>La plate-forme peut fonctionner sous la conduite du Groupe de liaison des conventions culturelles.</w:t>
            </w:r>
          </w:p>
        </w:tc>
      </w:tr>
      <w:tr w:rsidR="004E66DD" w:rsidRPr="00A76B7D" w14:paraId="664E4AE8" w14:textId="77777777" w:rsidTr="00C363BC">
        <w:trPr>
          <w:gridAfter w:val="1"/>
          <w:wAfter w:w="10" w:type="dxa"/>
        </w:trPr>
        <w:tc>
          <w:tcPr>
            <w:tcW w:w="4719" w:type="dxa"/>
            <w:tcBorders>
              <w:bottom w:val="single" w:sz="4" w:space="0" w:color="auto"/>
            </w:tcBorders>
            <w:noWrap/>
            <w:tcMar>
              <w:top w:w="40" w:type="dxa"/>
              <w:left w:w="40" w:type="dxa"/>
              <w:bottom w:w="40" w:type="dxa"/>
              <w:right w:w="40" w:type="dxa"/>
            </w:tcMar>
          </w:tcPr>
          <w:p w14:paraId="08B034A2" w14:textId="77777777" w:rsidR="004E66DD" w:rsidRPr="00A76B7D" w:rsidRDefault="004E66DD" w:rsidP="009E5FAC">
            <w:pPr>
              <w:keepNext/>
              <w:keepLines/>
              <w:spacing w:before="120" w:after="120"/>
              <w:jc w:val="center"/>
              <w:rPr>
                <w:rFonts w:ascii="Arial" w:hAnsi="Arial" w:cs="Arial"/>
                <w:b/>
                <w:sz w:val="22"/>
                <w:szCs w:val="22"/>
              </w:rPr>
            </w:pPr>
            <w:r>
              <w:rPr>
                <w:rFonts w:ascii="Arial" w:hAnsi="Arial"/>
                <w:b/>
                <w:sz w:val="22"/>
              </w:rPr>
              <w:t>Actions planifiées</w:t>
            </w:r>
          </w:p>
        </w:tc>
        <w:tc>
          <w:tcPr>
            <w:tcW w:w="2127" w:type="dxa"/>
            <w:gridSpan w:val="2"/>
            <w:tcBorders>
              <w:bottom w:val="single" w:sz="4" w:space="0" w:color="auto"/>
            </w:tcBorders>
            <w:noWrap/>
            <w:tcMar>
              <w:top w:w="40" w:type="dxa"/>
              <w:left w:w="40" w:type="dxa"/>
              <w:bottom w:w="40" w:type="dxa"/>
              <w:right w:w="40" w:type="dxa"/>
            </w:tcMar>
          </w:tcPr>
          <w:p w14:paraId="6ADFD209" w14:textId="77777777" w:rsidR="004E66DD" w:rsidRPr="00A76B7D" w:rsidRDefault="004E66DD" w:rsidP="00C36368">
            <w:pPr>
              <w:spacing w:before="120" w:after="120"/>
              <w:jc w:val="center"/>
              <w:rPr>
                <w:rFonts w:ascii="Arial" w:hAnsi="Arial" w:cs="Arial"/>
                <w:b/>
                <w:sz w:val="22"/>
                <w:szCs w:val="22"/>
              </w:rPr>
            </w:pPr>
            <w:r>
              <w:rPr>
                <w:rFonts w:ascii="Arial" w:hAnsi="Arial"/>
                <w:b/>
                <w:sz w:val="22"/>
              </w:rPr>
              <w:t>Date prévue de mise en œuvre</w:t>
            </w:r>
          </w:p>
        </w:tc>
        <w:tc>
          <w:tcPr>
            <w:tcW w:w="7511" w:type="dxa"/>
            <w:tcBorders>
              <w:bottom w:val="single" w:sz="4" w:space="0" w:color="auto"/>
            </w:tcBorders>
            <w:noWrap/>
            <w:tcMar>
              <w:top w:w="40" w:type="dxa"/>
              <w:left w:w="40" w:type="dxa"/>
              <w:bottom w:w="40" w:type="dxa"/>
              <w:right w:w="40" w:type="dxa"/>
            </w:tcMar>
          </w:tcPr>
          <w:p w14:paraId="2789A366" w14:textId="77777777" w:rsidR="004E66DD" w:rsidRPr="00A76B7D" w:rsidRDefault="004E66DD" w:rsidP="00C36368">
            <w:pPr>
              <w:spacing w:before="120" w:after="120"/>
              <w:jc w:val="center"/>
              <w:rPr>
                <w:rFonts w:ascii="Arial" w:hAnsi="Arial" w:cs="Arial"/>
                <w:b/>
                <w:sz w:val="22"/>
                <w:szCs w:val="22"/>
              </w:rPr>
            </w:pPr>
            <w:r>
              <w:rPr>
                <w:rFonts w:ascii="Arial" w:hAnsi="Arial"/>
                <w:b/>
                <w:sz w:val="22"/>
              </w:rPr>
              <w:t>Statut</w:t>
            </w:r>
          </w:p>
        </w:tc>
      </w:tr>
      <w:tr w:rsidR="004E66DD" w:rsidRPr="00A76B7D" w14:paraId="25EE93DC" w14:textId="77777777" w:rsidTr="00C363BC">
        <w:trPr>
          <w:gridAfter w:val="1"/>
          <w:wAfter w:w="10" w:type="dxa"/>
        </w:trPr>
        <w:tc>
          <w:tcPr>
            <w:tcW w:w="4719" w:type="dxa"/>
            <w:shd w:val="clear" w:color="auto" w:fill="FFFFFF" w:themeFill="background1"/>
            <w:noWrap/>
            <w:tcMar>
              <w:top w:w="40" w:type="dxa"/>
              <w:left w:w="40" w:type="dxa"/>
              <w:bottom w:w="40" w:type="dxa"/>
              <w:right w:w="40" w:type="dxa"/>
            </w:tcMar>
          </w:tcPr>
          <w:p w14:paraId="649C91BA" w14:textId="77777777" w:rsidR="004E66DD" w:rsidRPr="00A76B7D" w:rsidRDefault="004E66DD" w:rsidP="00C36368">
            <w:pPr>
              <w:spacing w:before="120" w:after="120"/>
              <w:ind w:left="113" w:right="113"/>
              <w:rPr>
                <w:rFonts w:ascii="Arial" w:hAnsi="Arial" w:cs="Arial"/>
                <w:sz w:val="22"/>
                <w:szCs w:val="22"/>
              </w:rPr>
            </w:pPr>
            <w:r>
              <w:rPr>
                <w:rFonts w:ascii="Arial" w:hAnsi="Arial"/>
                <w:sz w:val="22"/>
              </w:rPr>
              <w:t>Établir une plate-forme des services communs des conventions culturelles.</w:t>
            </w:r>
          </w:p>
        </w:tc>
        <w:tc>
          <w:tcPr>
            <w:tcW w:w="2127" w:type="dxa"/>
            <w:gridSpan w:val="2"/>
            <w:shd w:val="clear" w:color="auto" w:fill="FFFFFF" w:themeFill="background1"/>
            <w:noWrap/>
            <w:tcMar>
              <w:top w:w="40" w:type="dxa"/>
              <w:left w:w="40" w:type="dxa"/>
              <w:bottom w:w="40" w:type="dxa"/>
              <w:right w:w="40" w:type="dxa"/>
            </w:tcMar>
          </w:tcPr>
          <w:p w14:paraId="658F788A" w14:textId="77777777" w:rsidR="004E66DD" w:rsidRPr="00A76B7D" w:rsidRDefault="004E66DD" w:rsidP="00C36368">
            <w:pPr>
              <w:spacing w:before="120" w:after="120"/>
              <w:ind w:left="57"/>
              <w:rPr>
                <w:rFonts w:ascii="Arial" w:hAnsi="Arial" w:cs="Arial"/>
                <w:sz w:val="22"/>
                <w:szCs w:val="22"/>
              </w:rPr>
            </w:pPr>
            <w:r>
              <w:rPr>
                <w:rFonts w:ascii="Arial" w:hAnsi="Arial"/>
                <w:sz w:val="22"/>
              </w:rPr>
              <w:t>juillet 2014</w:t>
            </w:r>
          </w:p>
        </w:tc>
        <w:tc>
          <w:tcPr>
            <w:tcW w:w="7511" w:type="dxa"/>
            <w:shd w:val="clear" w:color="auto" w:fill="FFFFFF" w:themeFill="background1"/>
            <w:noWrap/>
            <w:tcMar>
              <w:top w:w="40" w:type="dxa"/>
              <w:left w:w="40" w:type="dxa"/>
              <w:bottom w:w="40" w:type="dxa"/>
              <w:right w:w="40" w:type="dxa"/>
            </w:tcMar>
          </w:tcPr>
          <w:p w14:paraId="4C103C85" w14:textId="77777777" w:rsidR="004E66DD" w:rsidRPr="00A76B7D" w:rsidRDefault="004E66DD" w:rsidP="004E66DD">
            <w:pPr>
              <w:pStyle w:val="ListParagraph"/>
              <w:numPr>
                <w:ilvl w:val="0"/>
                <w:numId w:val="39"/>
              </w:numPr>
              <w:spacing w:before="120" w:after="120"/>
              <w:ind w:left="470" w:hanging="357"/>
              <w:rPr>
                <w:rFonts w:ascii="Arial" w:hAnsi="Arial" w:cs="Arial"/>
                <w:b/>
                <w:sz w:val="22"/>
                <w:szCs w:val="22"/>
                <w:u w:val="single"/>
              </w:rPr>
            </w:pPr>
            <w:r>
              <w:rPr>
                <w:rFonts w:ascii="Arial" w:hAnsi="Arial"/>
                <w:sz w:val="22"/>
              </w:rPr>
              <w:t xml:space="preserve">L’Unité des services communs des conventions culturelles (CLT/CCS) établi en juillet2014 </w:t>
            </w:r>
            <w:r w:rsidRPr="00464203">
              <w:rPr>
                <w:rFonts w:ascii="Arial" w:hAnsi="Arial"/>
                <w:sz w:val="22"/>
              </w:rPr>
              <w:t>(</w:t>
            </w:r>
            <w:r w:rsidRPr="00464203">
              <w:rPr>
                <w:rFonts w:ascii="Arial" w:hAnsi="Arial"/>
                <w:b/>
                <w:sz w:val="22"/>
              </w:rPr>
              <w:t>action terminée</w:t>
            </w:r>
            <w:r w:rsidRPr="00464203">
              <w:rPr>
                <w:rFonts w:ascii="Arial" w:hAnsi="Arial"/>
                <w:sz w:val="22"/>
              </w:rPr>
              <w:t>).</w:t>
            </w:r>
          </w:p>
        </w:tc>
      </w:tr>
      <w:tr w:rsidR="004E66DD" w:rsidRPr="00A76B7D" w14:paraId="5A46C0B7" w14:textId="77777777" w:rsidTr="00C363BC">
        <w:tc>
          <w:tcPr>
            <w:tcW w:w="14367" w:type="dxa"/>
            <w:gridSpan w:val="5"/>
            <w:shd w:val="clear" w:color="auto" w:fill="E6E6E6"/>
            <w:noWrap/>
            <w:tcMar>
              <w:top w:w="40" w:type="dxa"/>
              <w:left w:w="40" w:type="dxa"/>
              <w:bottom w:w="40" w:type="dxa"/>
              <w:right w:w="40" w:type="dxa"/>
            </w:tcMar>
          </w:tcPr>
          <w:p w14:paraId="4CAB14B8" w14:textId="77777777" w:rsidR="004E66DD" w:rsidRPr="00A76B7D" w:rsidRDefault="004E66DD" w:rsidP="009A5CEB">
            <w:pPr>
              <w:pageBreakBefore/>
              <w:autoSpaceDE w:val="0"/>
              <w:autoSpaceDN w:val="0"/>
              <w:adjustRightInd w:val="0"/>
              <w:spacing w:before="120" w:after="120"/>
              <w:ind w:left="113" w:right="113"/>
              <w:jc w:val="both"/>
              <w:rPr>
                <w:rFonts w:ascii="Arial" w:hAnsi="Arial" w:cs="Arial"/>
                <w:b/>
                <w:sz w:val="22"/>
                <w:szCs w:val="22"/>
              </w:rPr>
            </w:pPr>
            <w:r>
              <w:rPr>
                <w:rFonts w:ascii="Arial" w:hAnsi="Arial"/>
                <w:b/>
                <w:sz w:val="22"/>
              </w:rPr>
              <w:t>Recommandation 4 : Nous recommandons au Secteur de la culture d’établir, en consultation avec BSP/CFS, une stratégie coordonnée de collecte de fonds pour tous les secrétariats des conventions et de constituer une équipe commune de mobilisation des ressources.</w:t>
            </w:r>
          </w:p>
        </w:tc>
      </w:tr>
      <w:tr w:rsidR="004E66DD" w:rsidRPr="00E24B33" w14:paraId="24F4FF89" w14:textId="77777777" w:rsidTr="00C363BC">
        <w:trPr>
          <w:gridAfter w:val="1"/>
          <w:wAfter w:w="10" w:type="dxa"/>
        </w:trPr>
        <w:tc>
          <w:tcPr>
            <w:tcW w:w="4719" w:type="dxa"/>
            <w:noWrap/>
            <w:tcMar>
              <w:top w:w="40" w:type="dxa"/>
              <w:left w:w="40" w:type="dxa"/>
              <w:bottom w:w="40" w:type="dxa"/>
              <w:right w:w="40" w:type="dxa"/>
            </w:tcMar>
          </w:tcPr>
          <w:p w14:paraId="675C1F91" w14:textId="77777777" w:rsidR="004E66DD" w:rsidRPr="00A76B7D" w:rsidRDefault="004E66DD" w:rsidP="00C36368">
            <w:pPr>
              <w:spacing w:before="120" w:after="120"/>
              <w:jc w:val="center"/>
              <w:rPr>
                <w:rFonts w:ascii="Arial" w:hAnsi="Arial" w:cs="Arial"/>
                <w:b/>
                <w:sz w:val="22"/>
                <w:szCs w:val="22"/>
              </w:rPr>
            </w:pPr>
            <w:r>
              <w:rPr>
                <w:rFonts w:ascii="Arial" w:hAnsi="Arial"/>
                <w:b/>
                <w:sz w:val="22"/>
              </w:rPr>
              <w:t>Actions planifiées</w:t>
            </w:r>
          </w:p>
        </w:tc>
        <w:tc>
          <w:tcPr>
            <w:tcW w:w="2127" w:type="dxa"/>
            <w:gridSpan w:val="2"/>
            <w:noWrap/>
            <w:tcMar>
              <w:top w:w="40" w:type="dxa"/>
              <w:left w:w="40" w:type="dxa"/>
              <w:bottom w:w="40" w:type="dxa"/>
              <w:right w:w="40" w:type="dxa"/>
            </w:tcMar>
          </w:tcPr>
          <w:p w14:paraId="5433FDE1" w14:textId="77777777" w:rsidR="004E66DD" w:rsidRPr="00A76B7D" w:rsidRDefault="004E66DD" w:rsidP="00C36368">
            <w:pPr>
              <w:spacing w:before="120" w:after="120"/>
              <w:jc w:val="center"/>
              <w:rPr>
                <w:rFonts w:ascii="Arial" w:hAnsi="Arial" w:cs="Arial"/>
                <w:b/>
                <w:sz w:val="22"/>
                <w:szCs w:val="22"/>
              </w:rPr>
            </w:pPr>
            <w:r>
              <w:rPr>
                <w:rFonts w:ascii="Arial" w:hAnsi="Arial"/>
                <w:b/>
                <w:sz w:val="22"/>
              </w:rPr>
              <w:t>Date prévue de mise en œuvre</w:t>
            </w:r>
          </w:p>
        </w:tc>
        <w:tc>
          <w:tcPr>
            <w:tcW w:w="7511" w:type="dxa"/>
            <w:noWrap/>
            <w:tcMar>
              <w:top w:w="40" w:type="dxa"/>
              <w:left w:w="40" w:type="dxa"/>
              <w:bottom w:w="40" w:type="dxa"/>
              <w:right w:w="40" w:type="dxa"/>
            </w:tcMar>
          </w:tcPr>
          <w:p w14:paraId="699F7268" w14:textId="77777777" w:rsidR="004E66DD" w:rsidRPr="00E24B33" w:rsidRDefault="004E66DD" w:rsidP="00C36368">
            <w:pPr>
              <w:spacing w:before="120" w:after="120"/>
              <w:jc w:val="center"/>
              <w:rPr>
                <w:rFonts w:ascii="Arial" w:hAnsi="Arial" w:cs="Arial"/>
                <w:b/>
                <w:sz w:val="22"/>
                <w:szCs w:val="22"/>
              </w:rPr>
            </w:pPr>
            <w:r>
              <w:rPr>
                <w:rFonts w:ascii="Arial" w:hAnsi="Arial"/>
                <w:b/>
                <w:sz w:val="22"/>
              </w:rPr>
              <w:t>Statut</w:t>
            </w:r>
          </w:p>
        </w:tc>
      </w:tr>
      <w:tr w:rsidR="004E66DD" w:rsidRPr="00A76B7D" w14:paraId="5512A338" w14:textId="77777777" w:rsidTr="00C363BC">
        <w:trPr>
          <w:gridAfter w:val="1"/>
          <w:wAfter w:w="10" w:type="dxa"/>
        </w:trPr>
        <w:tc>
          <w:tcPr>
            <w:tcW w:w="4719" w:type="dxa"/>
            <w:noWrap/>
            <w:tcMar>
              <w:top w:w="40" w:type="dxa"/>
              <w:left w:w="40" w:type="dxa"/>
              <w:bottom w:w="40" w:type="dxa"/>
              <w:right w:w="40" w:type="dxa"/>
            </w:tcMar>
          </w:tcPr>
          <w:p w14:paraId="65FBF8FE" w14:textId="77777777" w:rsidR="004E66DD" w:rsidRPr="00E24B33" w:rsidRDefault="004E66DD" w:rsidP="00C36368">
            <w:pPr>
              <w:spacing w:before="120" w:after="120"/>
              <w:ind w:left="113"/>
              <w:rPr>
                <w:rFonts w:ascii="Arial" w:hAnsi="Arial" w:cs="Arial"/>
                <w:sz w:val="22"/>
                <w:szCs w:val="22"/>
              </w:rPr>
            </w:pPr>
            <w:r>
              <w:rPr>
                <w:rFonts w:ascii="Arial" w:hAnsi="Arial"/>
                <w:sz w:val="22"/>
              </w:rPr>
              <w:t>L’Unité des services communs des conventions devra se charger de la mise en œuvre d’une stratégie coordonnée de collecte des fonds pour toutes les conventions et mobilisations de ressources.</w:t>
            </w:r>
          </w:p>
        </w:tc>
        <w:tc>
          <w:tcPr>
            <w:tcW w:w="2127" w:type="dxa"/>
            <w:gridSpan w:val="2"/>
            <w:noWrap/>
            <w:tcMar>
              <w:top w:w="40" w:type="dxa"/>
              <w:left w:w="40" w:type="dxa"/>
              <w:bottom w:w="40" w:type="dxa"/>
              <w:right w:w="40" w:type="dxa"/>
            </w:tcMar>
          </w:tcPr>
          <w:p w14:paraId="0E8C1A64" w14:textId="77777777" w:rsidR="004E66DD" w:rsidRPr="00E24B33" w:rsidRDefault="004E66DD" w:rsidP="00C36368">
            <w:pPr>
              <w:spacing w:before="120" w:after="120"/>
              <w:rPr>
                <w:rFonts w:ascii="Arial" w:hAnsi="Arial" w:cs="Arial"/>
                <w:sz w:val="22"/>
                <w:szCs w:val="22"/>
              </w:rPr>
            </w:pPr>
            <w:r>
              <w:rPr>
                <w:rFonts w:ascii="Arial" w:hAnsi="Arial"/>
                <w:sz w:val="22"/>
              </w:rPr>
              <w:t>2016</w:t>
            </w:r>
          </w:p>
        </w:tc>
        <w:tc>
          <w:tcPr>
            <w:tcW w:w="7511" w:type="dxa"/>
            <w:noWrap/>
            <w:tcMar>
              <w:top w:w="40" w:type="dxa"/>
              <w:left w:w="40" w:type="dxa"/>
              <w:bottom w:w="40" w:type="dxa"/>
              <w:right w:w="40" w:type="dxa"/>
            </w:tcMar>
          </w:tcPr>
          <w:p w14:paraId="2C966D2F" w14:textId="77777777" w:rsidR="004E66DD" w:rsidRPr="005B0B3D" w:rsidRDefault="004E66DD" w:rsidP="004E66DD">
            <w:pPr>
              <w:pStyle w:val="ListParagraph"/>
              <w:numPr>
                <w:ilvl w:val="0"/>
                <w:numId w:val="39"/>
              </w:numPr>
              <w:spacing w:before="120" w:after="120"/>
              <w:ind w:left="470" w:hanging="357"/>
              <w:rPr>
                <w:rFonts w:ascii="Arial" w:hAnsi="Arial" w:cs="Arial"/>
                <w:b/>
                <w:sz w:val="22"/>
                <w:szCs w:val="22"/>
                <w:u w:val="single"/>
              </w:rPr>
            </w:pPr>
            <w:r>
              <w:rPr>
                <w:rFonts w:ascii="Arial" w:hAnsi="Arial"/>
                <w:sz w:val="22"/>
              </w:rPr>
              <w:t>Les secrétaires de la Convention et l’Unité des services communs des conventions (CLT/CCS) ont rencontré des membres de BSP/CFS afin de discuter de l’élaboration d’une stratégie commune de mobilisation des ressources. En outre, CCS a proposé des flux de travail en ce qui concerne la mobilisation des ressources du secteur privé aux secrétariats des conventions.</w:t>
            </w:r>
          </w:p>
          <w:p w14:paraId="29E6EAD9" w14:textId="77777777" w:rsidR="005B0B3D" w:rsidRPr="00577D3B" w:rsidRDefault="005B0B3D" w:rsidP="005B0B3D">
            <w:pPr>
              <w:pStyle w:val="ListParagraph"/>
              <w:numPr>
                <w:ilvl w:val="0"/>
                <w:numId w:val="39"/>
              </w:numPr>
              <w:spacing w:before="120" w:after="120"/>
              <w:ind w:left="470" w:hanging="357"/>
              <w:rPr>
                <w:b/>
                <w:sz w:val="22"/>
                <w:szCs w:val="22"/>
                <w:u w:val="single"/>
              </w:rPr>
            </w:pPr>
            <w:r>
              <w:rPr>
                <w:rFonts w:ascii="Arial" w:hAnsi="Arial"/>
                <w:sz w:val="22"/>
              </w:rPr>
              <w:t>Un document sur la stratégie de mobilisation de ressources n’a pas encore été élaboré car cela s’est avéré être une entreprise ambitieuse, compte tenu des méthodes de travail très distinctes pour chaque convention, et en particulier du fait que les différents secrétariats doivent répondre aux demandes de leur comité respectif. De plus, les orientations et pratiques ne sont pas harmonisées entre les conventions.</w:t>
            </w:r>
          </w:p>
          <w:p w14:paraId="2FDD3A4F" w14:textId="447E5DD5" w:rsidR="005B0B3D" w:rsidRPr="005B0B3D" w:rsidRDefault="005B0B3D" w:rsidP="005B0B3D">
            <w:pPr>
              <w:pStyle w:val="ListParagraph"/>
              <w:numPr>
                <w:ilvl w:val="0"/>
                <w:numId w:val="39"/>
              </w:numPr>
              <w:spacing w:before="120" w:after="120"/>
              <w:ind w:left="470" w:hanging="357"/>
              <w:rPr>
                <w:b/>
                <w:sz w:val="22"/>
                <w:szCs w:val="22"/>
                <w:u w:val="single"/>
              </w:rPr>
            </w:pPr>
            <w:r>
              <w:rPr>
                <w:rFonts w:ascii="Arial" w:hAnsi="Arial"/>
                <w:sz w:val="22"/>
              </w:rPr>
              <w:t>CCS a préparé un tableau qui résume les différents objectifs de chaque convention en termes de mobilisation de ressources, ainsi que le potentiel de chaque convention d’attirer des bailleurs de fonds. Ce travail a été partagé avec BSP/CFS afin d’aligner les orientations avec celles de l’UNESCO, conformément aux décisions du Conseil exécutif.</w:t>
            </w:r>
          </w:p>
        </w:tc>
      </w:tr>
    </w:tbl>
    <w:p w14:paraId="444A2F87" w14:textId="6EFA5B37" w:rsidR="007827BA" w:rsidRPr="007827BA" w:rsidRDefault="007827BA" w:rsidP="00737BAB">
      <w:pPr>
        <w:pStyle w:val="COMParaDecision"/>
        <w:numPr>
          <w:ilvl w:val="0"/>
          <w:numId w:val="0"/>
        </w:numPr>
        <w:spacing w:before="120"/>
        <w:ind w:left="1134"/>
        <w:rPr>
          <w:u w:val="none"/>
        </w:rPr>
      </w:pPr>
    </w:p>
    <w:sectPr w:rsidR="007827BA" w:rsidRPr="007827BA" w:rsidSect="00E408FF">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25EFB" w14:textId="77777777" w:rsidR="000D3B7E" w:rsidRDefault="000D3B7E" w:rsidP="00655736">
      <w:r>
        <w:separator/>
      </w:r>
    </w:p>
    <w:p w14:paraId="0CA29250" w14:textId="77777777" w:rsidR="000D3B7E" w:rsidRDefault="000D3B7E"/>
    <w:p w14:paraId="53D3B358" w14:textId="77777777" w:rsidR="000D3B7E" w:rsidRDefault="000D3B7E" w:rsidP="002E58D4"/>
    <w:p w14:paraId="7B941E37" w14:textId="77777777" w:rsidR="000D3B7E" w:rsidRDefault="000D3B7E" w:rsidP="002E58D4"/>
    <w:p w14:paraId="7C582FB8" w14:textId="77777777" w:rsidR="000D3B7E" w:rsidRDefault="000D3B7E" w:rsidP="002E58D4"/>
  </w:endnote>
  <w:endnote w:type="continuationSeparator" w:id="0">
    <w:p w14:paraId="4A2F3BE2" w14:textId="77777777" w:rsidR="000D3B7E" w:rsidRDefault="000D3B7E" w:rsidP="00655736">
      <w:r>
        <w:continuationSeparator/>
      </w:r>
    </w:p>
    <w:p w14:paraId="11193182" w14:textId="77777777" w:rsidR="000D3B7E" w:rsidRDefault="000D3B7E"/>
    <w:p w14:paraId="0E8D0AFE" w14:textId="77777777" w:rsidR="000D3B7E" w:rsidRDefault="000D3B7E" w:rsidP="002E58D4"/>
    <w:p w14:paraId="53EB5FAE" w14:textId="77777777" w:rsidR="000D3B7E" w:rsidRDefault="000D3B7E" w:rsidP="002E58D4"/>
    <w:p w14:paraId="07C272E7" w14:textId="77777777" w:rsidR="000D3B7E" w:rsidRDefault="000D3B7E"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7ED01" w14:textId="539C1F1A" w:rsidR="000D3B7E" w:rsidRDefault="000D3B7E" w:rsidP="002E58D4">
      <w:r>
        <w:separator/>
      </w:r>
    </w:p>
  </w:footnote>
  <w:footnote w:type="continuationSeparator" w:id="0">
    <w:p w14:paraId="5D299066" w14:textId="77777777" w:rsidR="000D3B7E" w:rsidRDefault="000D3B7E" w:rsidP="00655736">
      <w:r>
        <w:continuationSeparator/>
      </w:r>
    </w:p>
    <w:p w14:paraId="1E9573B8" w14:textId="77777777" w:rsidR="000D3B7E" w:rsidRDefault="000D3B7E"/>
    <w:p w14:paraId="66852B70" w14:textId="77777777" w:rsidR="000D3B7E" w:rsidRDefault="000D3B7E" w:rsidP="002E58D4"/>
    <w:p w14:paraId="1DE06079" w14:textId="77777777" w:rsidR="000D3B7E" w:rsidRDefault="000D3B7E" w:rsidP="002E58D4"/>
    <w:p w14:paraId="43E1D44E" w14:textId="77777777" w:rsidR="000D3B7E" w:rsidRDefault="000D3B7E" w:rsidP="002E58D4"/>
  </w:footnote>
  <w:footnote w:id="1">
    <w:p w14:paraId="340E6EA4" w14:textId="0073D9F0" w:rsidR="000D3B7E" w:rsidRDefault="000D3B7E">
      <w:pPr>
        <w:pStyle w:val="FootnoteText"/>
      </w:pPr>
      <w:r w:rsidRPr="005A26B1">
        <w:rPr>
          <w:rStyle w:val="EndnoteReference"/>
          <w:rFonts w:ascii="Arial" w:hAnsi="Arial" w:cs="Arial"/>
        </w:rPr>
        <w:footnoteRef/>
      </w:r>
      <w:r w:rsidRPr="005A26B1">
        <w:rPr>
          <w:rFonts w:ascii="Arial" w:hAnsi="Arial" w:cs="Arial"/>
        </w:rPr>
        <w:t xml:space="preserve"> Des consultations virtuelles sont organisées dans les deux langues de travail (anglais et français) et demande</w:t>
      </w:r>
      <w:r>
        <w:rPr>
          <w:rFonts w:ascii="Arial" w:hAnsi="Arial" w:cs="Arial"/>
        </w:rPr>
        <w:t>nt</w:t>
      </w:r>
      <w:r w:rsidRPr="005A26B1">
        <w:rPr>
          <w:rFonts w:ascii="Arial" w:hAnsi="Arial" w:cs="Arial"/>
        </w:rPr>
        <w:t xml:space="preserve"> le m</w:t>
      </w:r>
      <w:r>
        <w:rPr>
          <w:rFonts w:ascii="Arial" w:hAnsi="Arial" w:cs="Arial"/>
        </w:rPr>
        <w:t xml:space="preserve">ême temps </w:t>
      </w:r>
      <w:r w:rsidRPr="005A26B1">
        <w:rPr>
          <w:rFonts w:ascii="Arial" w:hAnsi="Arial" w:cs="Arial"/>
        </w:rPr>
        <w:t>de préparation au Secrétariat que pour les réunions statutaires physiques.</w:t>
      </w:r>
    </w:p>
  </w:footnote>
  <w:footnote w:id="2">
    <w:p w14:paraId="10F1DB7B" w14:textId="0DCAAFA6" w:rsidR="000D3B7E" w:rsidRPr="00886B07" w:rsidRDefault="000D3B7E" w:rsidP="00B212EA">
      <w:pPr>
        <w:pStyle w:val="FootnoteText"/>
        <w:tabs>
          <w:tab w:val="left" w:pos="284"/>
        </w:tabs>
        <w:ind w:left="284" w:hanging="284"/>
        <w:jc w:val="both"/>
      </w:pPr>
      <w:r w:rsidRPr="00EE55A0">
        <w:rPr>
          <w:rStyle w:val="FootnoteReference"/>
          <w:rFonts w:ascii="Arial" w:hAnsi="Arial" w:cs="Arial"/>
          <w:vertAlign w:val="baseline"/>
        </w:rPr>
        <w:footnoteRef/>
      </w:r>
      <w:r>
        <w:rPr>
          <w:rFonts w:ascii="Arial" w:hAnsi="Arial" w:cs="Arial"/>
        </w:rPr>
        <w:t>.</w:t>
      </w:r>
      <w:r>
        <w:rPr>
          <w:rFonts w:ascii="Arial" w:hAnsi="Arial" w:cs="Arial"/>
        </w:rPr>
        <w:tab/>
      </w:r>
      <w:r w:rsidRPr="00B212EA">
        <w:rPr>
          <w:rFonts w:ascii="Arial" w:hAnsi="Arial" w:cs="Arial"/>
        </w:rPr>
        <w:t>Cet</w:t>
      </w:r>
      <w:r w:rsidRPr="00886B07">
        <w:rPr>
          <w:rFonts w:ascii="Arial" w:hAnsi="Arial" w:cs="Arial"/>
        </w:rPr>
        <w:t xml:space="preserve"> indicateur de performance </w:t>
      </w:r>
      <w:r>
        <w:rPr>
          <w:rFonts w:ascii="Arial" w:hAnsi="Arial" w:cs="Arial"/>
        </w:rPr>
        <w:t xml:space="preserve">rend compte également des résultats des travaux du </w:t>
      </w:r>
      <w:r w:rsidRPr="00886B07">
        <w:rPr>
          <w:rFonts w:ascii="Arial" w:hAnsi="Arial" w:cs="Arial"/>
        </w:rPr>
        <w:t>Secrétariat</w:t>
      </w:r>
      <w:r>
        <w:rPr>
          <w:rFonts w:ascii="Arial" w:hAnsi="Arial" w:cs="Arial"/>
        </w:rPr>
        <w:t xml:space="preserve"> au regard du Résultat escompté 1 « </w:t>
      </w:r>
      <w:r w:rsidRPr="00710489">
        <w:rPr>
          <w:rFonts w:ascii="Arial" w:hAnsi="Arial" w:cs="Arial"/>
        </w:rPr>
        <w:t>Consolidation du programme de renforcement des capacités pour aider efficacement les pays à développer leurs politiques nationales ainsi que leurs ressources humaines et institutionnelles dans le domaine du patrimoine culturel immatériel</w:t>
      </w:r>
      <w:r>
        <w:rPr>
          <w:rFonts w:ascii="Arial" w:hAnsi="Arial" w:cs="Arial"/>
        </w:rPr>
        <w:t> »</w:t>
      </w:r>
      <w:r w:rsidRPr="00886B07">
        <w:rPr>
          <w:rFonts w:ascii="Arial" w:hAnsi="Arial" w:cs="Arial"/>
        </w:rPr>
        <w:t xml:space="preserve"> </w:t>
      </w:r>
      <w:r>
        <w:rPr>
          <w:rFonts w:ascii="Arial" w:hAnsi="Arial" w:cs="Arial"/>
        </w:rPr>
        <w:t xml:space="preserve">du cadre de résultats </w:t>
      </w:r>
      <w:r w:rsidRPr="00886B07">
        <w:rPr>
          <w:rFonts w:ascii="Arial" w:hAnsi="Arial" w:cs="Arial"/>
        </w:rPr>
        <w:t>appro</w:t>
      </w:r>
      <w:r>
        <w:rPr>
          <w:rFonts w:ascii="Arial" w:hAnsi="Arial" w:cs="Arial"/>
        </w:rPr>
        <w:t xml:space="preserve">uvé par le </w:t>
      </w:r>
      <w:r w:rsidRPr="00886B07">
        <w:rPr>
          <w:rFonts w:ascii="Arial" w:hAnsi="Arial" w:cs="Arial"/>
        </w:rPr>
        <w:t>Bureau (d</w:t>
      </w:r>
      <w:r>
        <w:rPr>
          <w:rFonts w:ascii="Arial" w:hAnsi="Arial" w:cs="Arial"/>
        </w:rPr>
        <w:t>é</w:t>
      </w:r>
      <w:r w:rsidRPr="00886B07">
        <w:rPr>
          <w:rFonts w:ascii="Arial" w:hAnsi="Arial" w:cs="Arial"/>
        </w:rPr>
        <w:t xml:space="preserve">cision 9.COM 2.BUR 1) </w:t>
      </w:r>
      <w:r>
        <w:rPr>
          <w:rFonts w:ascii="Arial" w:hAnsi="Arial" w:cs="Arial"/>
        </w:rPr>
        <w:t xml:space="preserve">qui oriente l’utilisation par le </w:t>
      </w:r>
      <w:r w:rsidRPr="00886B07">
        <w:rPr>
          <w:rFonts w:ascii="Arial" w:hAnsi="Arial" w:cs="Arial"/>
        </w:rPr>
        <w:t>Secr</w:t>
      </w:r>
      <w:r>
        <w:rPr>
          <w:rFonts w:ascii="Arial" w:hAnsi="Arial" w:cs="Arial"/>
        </w:rPr>
        <w:t>é</w:t>
      </w:r>
      <w:r w:rsidRPr="00886B07">
        <w:rPr>
          <w:rFonts w:ascii="Arial" w:hAnsi="Arial" w:cs="Arial"/>
        </w:rPr>
        <w:t>tariat</w:t>
      </w:r>
      <w:r>
        <w:rPr>
          <w:rFonts w:ascii="Arial" w:hAnsi="Arial" w:cs="Arial"/>
        </w:rPr>
        <w:t xml:space="preserve"> des fonds mis à disposition par le Fonds du patrimoine culturel immatériel pour les « Autres </w:t>
      </w:r>
      <w:r w:rsidRPr="00886B07">
        <w:rPr>
          <w:rFonts w:ascii="Arial" w:hAnsi="Arial" w:cs="Arial"/>
        </w:rPr>
        <w:t>f</w:t>
      </w:r>
      <w:r>
        <w:rPr>
          <w:rFonts w:ascii="Arial" w:hAnsi="Arial" w:cs="Arial"/>
        </w:rPr>
        <w:t>o</w:t>
      </w:r>
      <w:r w:rsidRPr="00886B07">
        <w:rPr>
          <w:rFonts w:ascii="Arial" w:hAnsi="Arial" w:cs="Arial"/>
        </w:rPr>
        <w:t xml:space="preserve">nctions </w:t>
      </w:r>
      <w:r>
        <w:rPr>
          <w:rFonts w:ascii="Arial" w:hAnsi="Arial" w:cs="Arial"/>
        </w:rPr>
        <w:t xml:space="preserve">du Comité » pendant les </w:t>
      </w:r>
      <w:r w:rsidRPr="00886B07">
        <w:rPr>
          <w:rFonts w:ascii="Arial" w:hAnsi="Arial" w:cs="Arial"/>
        </w:rPr>
        <w:t>p</w:t>
      </w:r>
      <w:r>
        <w:rPr>
          <w:rFonts w:ascii="Arial" w:hAnsi="Arial" w:cs="Arial"/>
        </w:rPr>
        <w:t>é</w:t>
      </w:r>
      <w:r w:rsidRPr="00886B07">
        <w:rPr>
          <w:rFonts w:ascii="Arial" w:hAnsi="Arial" w:cs="Arial"/>
        </w:rPr>
        <w:t>riod</w:t>
      </w:r>
      <w:r>
        <w:rPr>
          <w:rFonts w:ascii="Arial" w:hAnsi="Arial" w:cs="Arial"/>
        </w:rPr>
        <w:t>e</w:t>
      </w:r>
      <w:r w:rsidRPr="00886B07">
        <w:rPr>
          <w:rFonts w:ascii="Arial" w:hAnsi="Arial" w:cs="Arial"/>
        </w:rPr>
        <w:t xml:space="preserve">s </w:t>
      </w:r>
      <w:r>
        <w:rPr>
          <w:rFonts w:ascii="Arial" w:hAnsi="Arial" w:cs="Arial"/>
        </w:rPr>
        <w:t>allant du 1</w:t>
      </w:r>
      <w:r w:rsidRPr="00EE55A0">
        <w:rPr>
          <w:rFonts w:ascii="Arial" w:hAnsi="Arial" w:cs="Arial"/>
          <w:vertAlign w:val="superscript"/>
        </w:rPr>
        <w:t>er</w:t>
      </w:r>
      <w:r>
        <w:rPr>
          <w:rFonts w:ascii="Arial" w:hAnsi="Arial" w:cs="Arial"/>
        </w:rPr>
        <w:t xml:space="preserve"> janvier </w:t>
      </w:r>
      <w:r w:rsidRPr="00886B07">
        <w:rPr>
          <w:rFonts w:ascii="Arial" w:hAnsi="Arial" w:cs="Arial"/>
        </w:rPr>
        <w:t xml:space="preserve">2014 </w:t>
      </w:r>
      <w:r>
        <w:rPr>
          <w:rFonts w:ascii="Arial" w:hAnsi="Arial" w:cs="Arial"/>
        </w:rPr>
        <w:t xml:space="preserve">au </w:t>
      </w:r>
      <w:r w:rsidRPr="00886B07">
        <w:rPr>
          <w:rFonts w:ascii="Arial" w:hAnsi="Arial" w:cs="Arial"/>
        </w:rPr>
        <w:t>31</w:t>
      </w:r>
      <w:r>
        <w:rPr>
          <w:rFonts w:ascii="Arial" w:hAnsi="Arial" w:cs="Arial"/>
        </w:rPr>
        <w:t xml:space="preserve"> décembre </w:t>
      </w:r>
      <w:r w:rsidRPr="00886B07">
        <w:rPr>
          <w:rFonts w:ascii="Arial" w:hAnsi="Arial" w:cs="Arial"/>
        </w:rPr>
        <w:t xml:space="preserve">2015 </w:t>
      </w:r>
      <w:r>
        <w:rPr>
          <w:rFonts w:ascii="Arial" w:hAnsi="Arial" w:cs="Arial"/>
        </w:rPr>
        <w:t xml:space="preserve">et du </w:t>
      </w:r>
      <w:r w:rsidRPr="00886B07">
        <w:rPr>
          <w:rFonts w:ascii="Arial" w:hAnsi="Arial" w:cs="Arial"/>
        </w:rPr>
        <w:t>1</w:t>
      </w:r>
      <w:r w:rsidRPr="00EE55A0">
        <w:rPr>
          <w:rFonts w:ascii="Arial" w:hAnsi="Arial" w:cs="Arial"/>
          <w:vertAlign w:val="superscript"/>
        </w:rPr>
        <w:t>er</w:t>
      </w:r>
      <w:r>
        <w:rPr>
          <w:rFonts w:ascii="Arial" w:hAnsi="Arial" w:cs="Arial"/>
        </w:rPr>
        <w:t> janvier</w:t>
      </w:r>
      <w:r w:rsidRPr="00886B07">
        <w:rPr>
          <w:rFonts w:ascii="Arial" w:hAnsi="Arial" w:cs="Arial"/>
        </w:rPr>
        <w:t xml:space="preserve"> </w:t>
      </w:r>
      <w:r>
        <w:rPr>
          <w:rFonts w:ascii="Arial" w:hAnsi="Arial" w:cs="Arial"/>
        </w:rPr>
        <w:t xml:space="preserve">au 30 juin </w:t>
      </w:r>
      <w:r w:rsidRPr="00886B07">
        <w:rPr>
          <w:rFonts w:ascii="Arial" w:hAnsi="Arial" w:cs="Arial"/>
        </w:rPr>
        <w:t>2016.</w:t>
      </w:r>
    </w:p>
  </w:footnote>
  <w:footnote w:id="3">
    <w:p w14:paraId="297DAADE" w14:textId="33C11EC4" w:rsidR="000D3B7E" w:rsidRPr="00EE55A0" w:rsidRDefault="000D3B7E" w:rsidP="00CA64C6">
      <w:pPr>
        <w:pStyle w:val="FootnoteText"/>
        <w:ind w:left="284" w:hanging="284"/>
        <w:jc w:val="both"/>
        <w:rPr>
          <w:rFonts w:ascii="Arial" w:hAnsi="Arial" w:cs="Arial"/>
        </w:rPr>
      </w:pPr>
      <w:r w:rsidRPr="00CA64C6">
        <w:rPr>
          <w:rStyle w:val="FootnoteReference"/>
          <w:rFonts w:ascii="Arial" w:hAnsi="Arial" w:cs="Arial"/>
          <w:vertAlign w:val="baseline"/>
        </w:rPr>
        <w:footnoteRef/>
      </w:r>
      <w:r>
        <w:rPr>
          <w:rFonts w:ascii="Arial" w:hAnsi="Arial" w:cs="Arial"/>
        </w:rPr>
        <w:t>.</w:t>
      </w:r>
      <w:r>
        <w:rPr>
          <w:rFonts w:ascii="Arial" w:hAnsi="Arial" w:cs="Arial"/>
        </w:rPr>
        <w:tab/>
      </w:r>
      <w:r w:rsidRPr="004E717F">
        <w:rPr>
          <w:rFonts w:ascii="Arial" w:hAnsi="Arial" w:cs="Arial"/>
        </w:rPr>
        <w:t xml:space="preserve">Cet indicateur de performance </w:t>
      </w:r>
      <w:r>
        <w:rPr>
          <w:rFonts w:ascii="Arial" w:hAnsi="Arial" w:cs="Arial"/>
        </w:rPr>
        <w:t xml:space="preserve">rend compte des résultats des travaux du </w:t>
      </w:r>
      <w:r w:rsidRPr="00886B07">
        <w:rPr>
          <w:rFonts w:ascii="Arial" w:hAnsi="Arial" w:cs="Arial"/>
        </w:rPr>
        <w:t>Secrétariat</w:t>
      </w:r>
      <w:r>
        <w:rPr>
          <w:rFonts w:ascii="Arial" w:hAnsi="Arial" w:cs="Arial"/>
        </w:rPr>
        <w:t xml:space="preserve"> au regard du Résultat escompté </w:t>
      </w:r>
      <w:r w:rsidRPr="004E717F">
        <w:rPr>
          <w:rFonts w:ascii="Arial" w:hAnsi="Arial" w:cs="Arial"/>
        </w:rPr>
        <w:t xml:space="preserve">3 </w:t>
      </w:r>
      <w:r>
        <w:rPr>
          <w:rFonts w:ascii="Arial" w:hAnsi="Arial" w:cs="Arial"/>
        </w:rPr>
        <w:t>« </w:t>
      </w:r>
      <w:r w:rsidRPr="004E717F">
        <w:rPr>
          <w:rFonts w:ascii="Arial" w:hAnsi="Arial" w:cs="Arial"/>
        </w:rPr>
        <w:t>Conseils sur les meilleures pratiques de sauvegarde et formulation de recommandations sur les mesures en faveur de la sauvegarde du patrimoine culturel immatériel</w:t>
      </w:r>
      <w:r>
        <w:rPr>
          <w:rFonts w:ascii="Arial" w:hAnsi="Arial" w:cs="Arial"/>
        </w:rPr>
        <w:t xml:space="preserve"> » du cadre de </w:t>
      </w:r>
      <w:r w:rsidRPr="004E717F">
        <w:rPr>
          <w:rFonts w:ascii="Arial" w:hAnsi="Arial" w:cs="Arial"/>
        </w:rPr>
        <w:t>r</w:t>
      </w:r>
      <w:r>
        <w:rPr>
          <w:rFonts w:ascii="Arial" w:hAnsi="Arial" w:cs="Arial"/>
        </w:rPr>
        <w:t>é</w:t>
      </w:r>
      <w:r w:rsidRPr="004E717F">
        <w:rPr>
          <w:rFonts w:ascii="Arial" w:hAnsi="Arial" w:cs="Arial"/>
        </w:rPr>
        <w:t>sult</w:t>
      </w:r>
      <w:r>
        <w:rPr>
          <w:rFonts w:ascii="Arial" w:hAnsi="Arial" w:cs="Arial"/>
        </w:rPr>
        <w:t>at</w:t>
      </w:r>
      <w:r w:rsidRPr="004E717F">
        <w:rPr>
          <w:rFonts w:ascii="Arial" w:hAnsi="Arial" w:cs="Arial"/>
        </w:rPr>
        <w:t xml:space="preserve">s </w:t>
      </w:r>
      <w:r>
        <w:rPr>
          <w:rFonts w:ascii="Arial" w:hAnsi="Arial" w:cs="Arial"/>
        </w:rPr>
        <w:t xml:space="preserve">approuvé par le </w:t>
      </w:r>
      <w:r w:rsidRPr="004E717F">
        <w:rPr>
          <w:rFonts w:ascii="Arial" w:hAnsi="Arial" w:cs="Arial"/>
        </w:rPr>
        <w:t>Bureau</w:t>
      </w:r>
      <w:r>
        <w:rPr>
          <w:rFonts w:ascii="Arial" w:hAnsi="Arial" w:cs="Arial"/>
        </w:rPr>
        <w:t xml:space="preserve"> </w:t>
      </w:r>
      <w:r w:rsidRPr="004E717F">
        <w:rPr>
          <w:rFonts w:ascii="Arial" w:hAnsi="Arial" w:cs="Arial"/>
        </w:rPr>
        <w:t>(</w:t>
      </w:r>
      <w:r>
        <w:rPr>
          <w:rFonts w:ascii="Arial" w:hAnsi="Arial" w:cs="Arial"/>
        </w:rPr>
        <w:t>dé</w:t>
      </w:r>
      <w:r w:rsidRPr="004E717F">
        <w:rPr>
          <w:rFonts w:ascii="Arial" w:hAnsi="Arial" w:cs="Arial"/>
        </w:rPr>
        <w:t>cision 9.COM 2.BUR 1).</w:t>
      </w:r>
    </w:p>
  </w:footnote>
  <w:footnote w:id="4">
    <w:p w14:paraId="01F84C77" w14:textId="2E2E5946" w:rsidR="000D3B7E" w:rsidRDefault="000D3B7E" w:rsidP="00CA64C6">
      <w:pPr>
        <w:pStyle w:val="FootnoteText"/>
        <w:ind w:left="284" w:hanging="284"/>
      </w:pPr>
      <w:r w:rsidRPr="00EE55A0">
        <w:rPr>
          <w:rStyle w:val="FootnoteReference"/>
          <w:rFonts w:ascii="Arial" w:hAnsi="Arial" w:cs="Arial"/>
          <w:vertAlign w:val="baseline"/>
        </w:rPr>
        <w:footnoteRef/>
      </w:r>
      <w:r>
        <w:rPr>
          <w:rFonts w:ascii="Arial" w:hAnsi="Arial" w:cs="Arial"/>
        </w:rPr>
        <w:t>.</w:t>
      </w:r>
      <w:r>
        <w:rPr>
          <w:rFonts w:ascii="Arial" w:hAnsi="Arial" w:cs="Arial"/>
        </w:rPr>
        <w:tab/>
      </w:r>
      <w:r w:rsidRPr="00EE55A0">
        <w:rPr>
          <w:rFonts w:ascii="Arial" w:hAnsi="Arial" w:cs="Arial"/>
        </w:rPr>
        <w:t xml:space="preserve">Le total de </w:t>
      </w:r>
      <w:r>
        <w:rPr>
          <w:rFonts w:ascii="Arial" w:hAnsi="Arial" w:cs="Arial"/>
        </w:rPr>
        <w:t>124 </w:t>
      </w:r>
      <w:r w:rsidRPr="00EE55A0">
        <w:rPr>
          <w:rFonts w:ascii="Arial" w:hAnsi="Arial" w:cs="Arial"/>
        </w:rPr>
        <w:t xml:space="preserve">dossiers comprend </w:t>
      </w:r>
      <w:r>
        <w:rPr>
          <w:rFonts w:ascii="Arial" w:hAnsi="Arial" w:cs="Arial"/>
        </w:rPr>
        <w:t>cinq</w:t>
      </w:r>
      <w:r w:rsidRPr="00EE55A0">
        <w:rPr>
          <w:rFonts w:ascii="Arial" w:hAnsi="Arial" w:cs="Arial"/>
        </w:rPr>
        <w:t xml:space="preserve"> dossiers multinationaux impliquant des États parties de différents groupes régionaux.</w:t>
      </w:r>
      <w:r>
        <w:t xml:space="preserve"> </w:t>
      </w:r>
    </w:p>
  </w:footnote>
  <w:footnote w:id="5">
    <w:p w14:paraId="78F19457" w14:textId="2DEA51C6" w:rsidR="000D3B7E" w:rsidRDefault="000D3B7E" w:rsidP="006C78EF">
      <w:pPr>
        <w:pStyle w:val="FootnoteText"/>
        <w:tabs>
          <w:tab w:val="left" w:pos="284"/>
        </w:tabs>
        <w:ind w:left="284" w:hanging="284"/>
      </w:pPr>
      <w:r>
        <w:rPr>
          <w:rStyle w:val="FootnoteReference"/>
        </w:rPr>
        <w:footnoteRef/>
      </w:r>
      <w:r>
        <w:t xml:space="preserve"> </w:t>
      </w:r>
      <w:r>
        <w:tab/>
      </w:r>
      <w:r w:rsidRPr="00EE55A0">
        <w:rPr>
          <w:rFonts w:ascii="Arial" w:hAnsi="Arial" w:cs="Arial"/>
        </w:rPr>
        <w:t>La demande d’assistance préparatoire pour élaborer une candidature pour une inscription sur la Liste de sauvegarde urgente a été approuvée par le Bureau du Comité en 2014 (</w:t>
      </w:r>
      <w:r w:rsidRPr="002222A7">
        <w:rPr>
          <w:rFonts w:ascii="Arial" w:hAnsi="Arial" w:cs="Arial"/>
        </w:rPr>
        <w:t>décision 9.COM 4.BUR/2</w:t>
      </w:r>
      <w:r w:rsidRPr="00EE55A0">
        <w:rPr>
          <w:rFonts w:ascii="Arial" w:hAnsi="Arial" w:cs="Arial"/>
        </w:rPr>
        <w:t xml:space="preserve">). </w:t>
      </w:r>
      <w:r w:rsidRPr="006B3540">
        <w:rPr>
          <w:rFonts w:ascii="Arial" w:hAnsi="Arial" w:cs="Arial"/>
        </w:rPr>
        <w:t xml:space="preserve">Les dispositions contractuelles correspondantes </w:t>
      </w:r>
      <w:r w:rsidRPr="00EE55A0">
        <w:rPr>
          <w:rFonts w:ascii="Arial" w:hAnsi="Arial" w:cs="Arial"/>
        </w:rPr>
        <w:t>sont</w:t>
      </w:r>
      <w:r w:rsidRPr="006B3540">
        <w:rPr>
          <w:rFonts w:ascii="Arial" w:hAnsi="Arial" w:cs="Arial"/>
        </w:rPr>
        <w:t xml:space="preserve"> terminées</w:t>
      </w:r>
      <w:r w:rsidRPr="00EE55A0">
        <w:rPr>
          <w:rFonts w:ascii="Arial" w:hAnsi="Arial" w:cs="Arial"/>
        </w:rPr>
        <w:t xml:space="preserve"> et l’assistance est actuellement mise en </w:t>
      </w:r>
      <w:r w:rsidRPr="00AA583A">
        <w:rPr>
          <w:rFonts w:ascii="Arial" w:hAnsi="Arial" w:cs="Arial"/>
        </w:rPr>
        <w:t>œuvre</w:t>
      </w:r>
      <w:r w:rsidRPr="00EE55A0">
        <w:rPr>
          <w:rFonts w:ascii="Arial" w:hAnsi="Arial" w:cs="Arial"/>
        </w:rPr>
        <w:t xml:space="preserve"> </w:t>
      </w:r>
      <w:r>
        <w:rPr>
          <w:rFonts w:ascii="Arial" w:hAnsi="Arial" w:cs="Arial"/>
        </w:rPr>
        <w:t>jusqu’à la mi-2016.</w:t>
      </w:r>
    </w:p>
  </w:footnote>
  <w:footnote w:id="6">
    <w:p w14:paraId="7763F7F9" w14:textId="1DA6F62F" w:rsidR="000D3B7E" w:rsidRPr="006C78EF" w:rsidRDefault="000D3B7E" w:rsidP="008F09BC">
      <w:pPr>
        <w:pStyle w:val="FootnoteText"/>
        <w:tabs>
          <w:tab w:val="left" w:pos="284"/>
        </w:tabs>
        <w:ind w:left="284" w:hanging="284"/>
        <w:jc w:val="both"/>
        <w:rPr>
          <w:rFonts w:ascii="Arial" w:hAnsi="Arial" w:cs="Arial"/>
        </w:rPr>
      </w:pPr>
      <w:r w:rsidRPr="006C78EF">
        <w:rPr>
          <w:rStyle w:val="FootnoteReference"/>
          <w:rFonts w:ascii="Arial" w:hAnsi="Arial" w:cs="Arial"/>
        </w:rPr>
        <w:footnoteRef/>
      </w:r>
      <w:r w:rsidRPr="006C78EF">
        <w:rPr>
          <w:rFonts w:ascii="Arial" w:hAnsi="Arial" w:cs="Arial"/>
        </w:rPr>
        <w:tab/>
        <w:t>La demande d’assistance préparatoire pour élaborer une candidature pour une inscription sur la Liste de sauvegarde urgente a été approuvé</w:t>
      </w:r>
      <w:r>
        <w:rPr>
          <w:rFonts w:ascii="Arial" w:hAnsi="Arial" w:cs="Arial"/>
        </w:rPr>
        <w:t>e</w:t>
      </w:r>
      <w:r w:rsidRPr="006C78EF">
        <w:rPr>
          <w:rFonts w:ascii="Arial" w:hAnsi="Arial" w:cs="Arial"/>
        </w:rPr>
        <w:t xml:space="preserve"> par le Bureau du Comité en 2015 (décision 10.COM 3.BUR/1)</w:t>
      </w:r>
      <w:r>
        <w:rPr>
          <w:rFonts w:ascii="Arial" w:hAnsi="Arial" w:cs="Arial"/>
        </w:rPr>
        <w:t>.</w:t>
      </w:r>
      <w:r w:rsidRPr="006C78EF">
        <w:rPr>
          <w:rFonts w:ascii="Arial" w:hAnsi="Arial" w:cs="Arial"/>
        </w:rPr>
        <w:t xml:space="preserve"> Les dispositions contractuelles correspondantes sont en cours de discussion avec l’État partie au moment</w:t>
      </w:r>
      <w:r>
        <w:rPr>
          <w:rFonts w:ascii="Arial" w:hAnsi="Arial" w:cs="Arial"/>
        </w:rPr>
        <w:t xml:space="preserve"> de la rédaction de ce rapport, et l’assistance devrait être en cours lors de la présente session de l’Assemblée générale. </w:t>
      </w:r>
    </w:p>
  </w:footnote>
  <w:footnote w:id="7">
    <w:p w14:paraId="4ADAF6C2" w14:textId="6593E2D6" w:rsidR="000D3B7E" w:rsidRDefault="000D3B7E" w:rsidP="006C78EF">
      <w:pPr>
        <w:pStyle w:val="FootnoteText"/>
        <w:ind w:left="284" w:hanging="284"/>
      </w:pPr>
      <w:r>
        <w:rPr>
          <w:rStyle w:val="FootnoteReference"/>
        </w:rPr>
        <w:footnoteRef/>
      </w:r>
      <w:r>
        <w:tab/>
      </w:r>
      <w:r w:rsidRPr="00DE3B28">
        <w:rPr>
          <w:rFonts w:ascii="Arial" w:hAnsi="Arial" w:cs="Arial"/>
        </w:rPr>
        <w:t>De plus, le Comité a délégué son autorité au Bureau afin qu’il prenne la décision appropriée concernant une demande d’assistance internationale pour un montant supérieur à 25 000 dollars des États-Unis.</w:t>
      </w:r>
    </w:p>
  </w:footnote>
  <w:footnote w:id="8">
    <w:p w14:paraId="5510CE6E" w14:textId="3531B7D0" w:rsidR="000D3B7E" w:rsidRPr="00073870" w:rsidRDefault="000D3B7E" w:rsidP="0032328E">
      <w:pPr>
        <w:pStyle w:val="FootnoteText"/>
        <w:ind w:left="284" w:hanging="284"/>
        <w:jc w:val="both"/>
        <w:rPr>
          <w:rFonts w:ascii="Arial" w:hAnsi="Arial" w:cs="Arial"/>
        </w:rPr>
      </w:pPr>
      <w:r w:rsidRPr="0032328E">
        <w:rPr>
          <w:rStyle w:val="FootnoteReference"/>
          <w:rFonts w:ascii="Arial" w:hAnsi="Arial" w:cs="Arial"/>
          <w:vertAlign w:val="baseline"/>
        </w:rPr>
        <w:footnoteRef/>
      </w:r>
      <w:r>
        <w:rPr>
          <w:rFonts w:ascii="Arial" w:hAnsi="Arial" w:cs="Arial"/>
        </w:rPr>
        <w:t>.</w:t>
      </w:r>
      <w:r>
        <w:rPr>
          <w:rFonts w:ascii="Arial" w:hAnsi="Arial" w:cs="Arial"/>
        </w:rPr>
        <w:tab/>
      </w:r>
      <w:r w:rsidRPr="00073870">
        <w:rPr>
          <w:rFonts w:ascii="Arial" w:hAnsi="Arial" w:cs="Arial"/>
        </w:rPr>
        <w:t xml:space="preserve">Cet indicateur de performance </w:t>
      </w:r>
      <w:r>
        <w:rPr>
          <w:rFonts w:ascii="Arial" w:hAnsi="Arial" w:cs="Arial"/>
        </w:rPr>
        <w:t xml:space="preserve">rend compte des résultats des travaux du </w:t>
      </w:r>
      <w:r w:rsidRPr="00073870">
        <w:rPr>
          <w:rFonts w:ascii="Arial" w:hAnsi="Arial" w:cs="Arial"/>
        </w:rPr>
        <w:t>Secr</w:t>
      </w:r>
      <w:r>
        <w:rPr>
          <w:rFonts w:ascii="Arial" w:hAnsi="Arial" w:cs="Arial"/>
        </w:rPr>
        <w:t>é</w:t>
      </w:r>
      <w:r w:rsidRPr="00073870">
        <w:rPr>
          <w:rFonts w:ascii="Arial" w:hAnsi="Arial" w:cs="Arial"/>
        </w:rPr>
        <w:t>tariat</w:t>
      </w:r>
      <w:r>
        <w:rPr>
          <w:rFonts w:ascii="Arial" w:hAnsi="Arial" w:cs="Arial"/>
        </w:rPr>
        <w:t xml:space="preserve"> au regard du résultat escompté </w:t>
      </w:r>
      <w:r w:rsidRPr="00073870">
        <w:rPr>
          <w:rFonts w:ascii="Arial" w:hAnsi="Arial" w:cs="Arial"/>
        </w:rPr>
        <w:t>2</w:t>
      </w:r>
      <w:r>
        <w:rPr>
          <w:rFonts w:ascii="Arial" w:hAnsi="Arial" w:cs="Arial"/>
        </w:rPr>
        <w:t xml:space="preserve"> « </w:t>
      </w:r>
      <w:r w:rsidRPr="00073870">
        <w:rPr>
          <w:rFonts w:ascii="Arial" w:hAnsi="Arial" w:cs="Arial"/>
        </w:rPr>
        <w:t>Optimisation et utilisation des services de gestion des connaissances pour une mise en œuvre et un partage efficaces des informations</w:t>
      </w:r>
      <w:r>
        <w:rPr>
          <w:rFonts w:ascii="Arial" w:hAnsi="Arial" w:cs="Arial"/>
        </w:rPr>
        <w:t xml:space="preserve"> » </w:t>
      </w:r>
      <w:r w:rsidRPr="00073870">
        <w:rPr>
          <w:rFonts w:ascii="Arial" w:hAnsi="Arial" w:cs="Arial"/>
        </w:rPr>
        <w:t>du cadre de résultats approuvé par le Bureau (décision 9.COM 2.BUR 1).</w:t>
      </w:r>
    </w:p>
  </w:footnote>
  <w:footnote w:id="9">
    <w:p w14:paraId="00CC2C41" w14:textId="00D9C52D" w:rsidR="000D3B7E" w:rsidRPr="00EE55A0" w:rsidRDefault="000D3B7E" w:rsidP="003D15EB">
      <w:pPr>
        <w:pStyle w:val="FootnoteText"/>
        <w:ind w:left="284" w:hanging="284"/>
        <w:jc w:val="both"/>
        <w:rPr>
          <w:rFonts w:ascii="Arial" w:hAnsi="Arial" w:cs="Arial"/>
        </w:rPr>
      </w:pPr>
      <w:r w:rsidRPr="00CF0658">
        <w:rPr>
          <w:rStyle w:val="FootnoteReference"/>
          <w:rFonts w:ascii="Arial" w:hAnsi="Arial" w:cs="Arial"/>
          <w:vertAlign w:val="baseline"/>
        </w:rPr>
        <w:footnoteRef/>
      </w:r>
      <w:r>
        <w:rPr>
          <w:rFonts w:ascii="Arial" w:hAnsi="Arial" w:cs="Arial"/>
        </w:rPr>
        <w:t>.</w:t>
      </w:r>
      <w:r>
        <w:rPr>
          <w:rFonts w:ascii="Arial" w:hAnsi="Arial" w:cs="Arial"/>
        </w:rPr>
        <w:tab/>
      </w:r>
      <w:r w:rsidRPr="00073870">
        <w:rPr>
          <w:rFonts w:ascii="Arial" w:hAnsi="Arial" w:cs="Arial"/>
        </w:rPr>
        <w:t xml:space="preserve">Cet indicateur de performance </w:t>
      </w:r>
      <w:r>
        <w:rPr>
          <w:rFonts w:ascii="Arial" w:hAnsi="Arial" w:cs="Arial"/>
        </w:rPr>
        <w:t xml:space="preserve">rend compte des résultats des travaux du </w:t>
      </w:r>
      <w:r w:rsidRPr="00073870">
        <w:rPr>
          <w:rFonts w:ascii="Arial" w:hAnsi="Arial" w:cs="Arial"/>
        </w:rPr>
        <w:t>Secrétariat</w:t>
      </w:r>
      <w:r>
        <w:rPr>
          <w:rFonts w:ascii="Arial" w:hAnsi="Arial" w:cs="Arial"/>
        </w:rPr>
        <w:t xml:space="preserve"> au regard du résultat escompté </w:t>
      </w:r>
      <w:r w:rsidRPr="00073870">
        <w:rPr>
          <w:rFonts w:ascii="Arial" w:hAnsi="Arial" w:cs="Arial"/>
        </w:rPr>
        <w:t xml:space="preserve">4 </w:t>
      </w:r>
      <w:r>
        <w:rPr>
          <w:rFonts w:ascii="Arial" w:hAnsi="Arial" w:cs="Arial"/>
        </w:rPr>
        <w:t>« </w:t>
      </w:r>
      <w:r w:rsidRPr="00073870">
        <w:rPr>
          <w:rFonts w:ascii="Arial" w:hAnsi="Arial" w:cs="Arial"/>
        </w:rPr>
        <w:t>Amélioration de la visibilité du patrimoine culturel immatériel et sensibilisation à son importance à travers des publications et</w:t>
      </w:r>
      <w:r>
        <w:rPr>
          <w:rFonts w:ascii="Arial" w:hAnsi="Arial" w:cs="Arial"/>
        </w:rPr>
        <w:t xml:space="preserve"> </w:t>
      </w:r>
      <w:r w:rsidRPr="00073870">
        <w:rPr>
          <w:rFonts w:ascii="Arial" w:hAnsi="Arial" w:cs="Arial"/>
        </w:rPr>
        <w:t>la diffusion d’informations</w:t>
      </w:r>
      <w:r>
        <w:rPr>
          <w:rFonts w:ascii="Arial" w:hAnsi="Arial" w:cs="Arial"/>
        </w:rPr>
        <w:t xml:space="preserve"> » du cadre de résultats </w:t>
      </w:r>
      <w:r w:rsidRPr="00073870">
        <w:rPr>
          <w:rFonts w:ascii="Arial" w:hAnsi="Arial" w:cs="Arial"/>
        </w:rPr>
        <w:t>appro</w:t>
      </w:r>
      <w:r>
        <w:rPr>
          <w:rFonts w:ascii="Arial" w:hAnsi="Arial" w:cs="Arial"/>
        </w:rPr>
        <w:t xml:space="preserve">uvé par le </w:t>
      </w:r>
      <w:r w:rsidRPr="00073870">
        <w:rPr>
          <w:rFonts w:ascii="Arial" w:hAnsi="Arial" w:cs="Arial"/>
        </w:rPr>
        <w:t>Bureau (</w:t>
      </w:r>
      <w:r>
        <w:rPr>
          <w:rFonts w:ascii="Arial" w:hAnsi="Arial" w:cs="Arial"/>
        </w:rPr>
        <w:t>dé</w:t>
      </w:r>
      <w:r w:rsidRPr="00073870">
        <w:rPr>
          <w:rFonts w:ascii="Arial" w:hAnsi="Arial" w:cs="Arial"/>
        </w:rPr>
        <w:t>cision 9.COM 2.BUR 1)</w:t>
      </w:r>
      <w:r w:rsidRPr="00EE55A0">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ED7ED" w14:textId="1495AD43" w:rsidR="000D3B7E" w:rsidRPr="002E58D4" w:rsidRDefault="000D3B7E" w:rsidP="002E58D4">
    <w:pPr>
      <w:pStyle w:val="Header"/>
      <w:rPr>
        <w:rFonts w:ascii="Arial" w:hAnsi="Arial" w:cs="Arial"/>
        <w:lang w:val="en-US"/>
      </w:rPr>
    </w:pPr>
    <w:r>
      <w:rPr>
        <w:rFonts w:ascii="Arial" w:hAnsi="Arial" w:cs="Arial"/>
        <w:sz w:val="20"/>
        <w:szCs w:val="20"/>
        <w:lang w:val="en-GB"/>
      </w:rPr>
      <w:t>ITH/16/6.GA/6</w:t>
    </w:r>
    <w:r>
      <w:rPr>
        <w:rFonts w:ascii="Arial" w:hAnsi="Arial" w:cs="Arial"/>
        <w:sz w:val="20"/>
        <w:szCs w:val="20"/>
        <w:lang w:val="en-US"/>
      </w:rPr>
      <w:t xml:space="preserve"> </w:t>
    </w:r>
    <w:r w:rsidRPr="00EF563B">
      <w:rPr>
        <w:rFonts w:ascii="Arial" w:hAnsi="Arial" w:cs="Arial"/>
        <w:sz w:val="20"/>
        <w:szCs w:val="20"/>
        <w:lang w:val="en-US"/>
      </w:rPr>
      <w:t>–</w:t>
    </w:r>
    <w:r>
      <w:rPr>
        <w:rFonts w:ascii="Arial" w:hAnsi="Arial" w:cs="Arial"/>
        <w:sz w:val="20"/>
        <w:szCs w:val="20"/>
        <w:lang w:val="en-US"/>
      </w:rPr>
      <w:t xml:space="preserve"> </w:t>
    </w:r>
    <w:r w:rsidRPr="00EF563B">
      <w:rPr>
        <w:rFonts w:ascii="Arial" w:hAnsi="Arial" w:cs="Arial"/>
        <w:sz w:val="20"/>
        <w:szCs w:val="20"/>
        <w:lang w:val="en-US"/>
      </w:rPr>
      <w:t xml:space="preserve">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A63556">
      <w:rPr>
        <w:rStyle w:val="PageNumber"/>
        <w:rFonts w:ascii="Arial" w:hAnsi="Arial" w:cs="Arial"/>
        <w:noProof/>
        <w:sz w:val="20"/>
        <w:szCs w:val="20"/>
        <w:lang w:val="en-US"/>
      </w:rPr>
      <w:t>2</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95290" w14:textId="133E591F" w:rsidR="009F610A" w:rsidRDefault="009F610A" w:rsidP="009F610A">
    <w:pPr>
      <w:pStyle w:val="Header"/>
      <w:ind w:firstLine="709"/>
      <w:jc w:val="right"/>
    </w:pPr>
    <w:r>
      <w:rPr>
        <w:rFonts w:ascii="Arial" w:hAnsi="Arial" w:cs="Arial"/>
        <w:sz w:val="20"/>
        <w:szCs w:val="20"/>
        <w:lang w:val="en-GB"/>
      </w:rPr>
      <w:t>ITH/16/6.GA/6</w:t>
    </w:r>
    <w:r>
      <w:rPr>
        <w:rFonts w:ascii="Arial" w:hAnsi="Arial" w:cs="Arial"/>
        <w:sz w:val="20"/>
        <w:szCs w:val="20"/>
        <w:lang w:val="en-US"/>
      </w:rPr>
      <w:t xml:space="preserve"> </w:t>
    </w:r>
    <w:r w:rsidRPr="00EF563B">
      <w:rPr>
        <w:rFonts w:ascii="Arial" w:hAnsi="Arial" w:cs="Arial"/>
        <w:sz w:val="20"/>
        <w:szCs w:val="20"/>
        <w:lang w:val="en-US"/>
      </w:rPr>
      <w:t>–</w:t>
    </w:r>
    <w:r>
      <w:rPr>
        <w:rFonts w:ascii="Arial" w:hAnsi="Arial" w:cs="Arial"/>
        <w:sz w:val="20"/>
        <w:szCs w:val="20"/>
        <w:lang w:val="en-US"/>
      </w:rPr>
      <w:t xml:space="preserve"> </w:t>
    </w:r>
    <w:r w:rsidRPr="00EF563B">
      <w:rPr>
        <w:rFonts w:ascii="Arial" w:hAnsi="Arial" w:cs="Arial"/>
        <w:sz w:val="20"/>
        <w:szCs w:val="20"/>
        <w:lang w:val="en-US"/>
      </w:rPr>
      <w:t xml:space="preserve">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A63556">
      <w:rPr>
        <w:rStyle w:val="PageNumber"/>
        <w:rFonts w:ascii="Arial" w:hAnsi="Arial" w:cs="Arial"/>
        <w:noProof/>
        <w:sz w:val="20"/>
        <w:szCs w:val="20"/>
        <w:lang w:val="en-US"/>
      </w:rPr>
      <w:t>3</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CD68" w14:textId="77777777" w:rsidR="000D3B7E" w:rsidRPr="008724E5" w:rsidRDefault="000D3B7E">
    <w:pPr>
      <w:pStyle w:val="Header"/>
    </w:pPr>
    <w:r>
      <w:rPr>
        <w:noProof/>
      </w:rPr>
      <w:drawing>
        <wp:anchor distT="0" distB="0" distL="114300" distR="114300" simplePos="0" relativeHeight="251657728" behindDoc="0" locked="0" layoutInCell="1" allowOverlap="1" wp14:anchorId="39C93FA8" wp14:editId="3BA1527D">
          <wp:simplePos x="0" y="0"/>
          <wp:positionH relativeFrom="column">
            <wp:posOffset>-674370</wp:posOffset>
          </wp:positionH>
          <wp:positionV relativeFrom="paragraph">
            <wp:posOffset>-215900</wp:posOffset>
          </wp:positionV>
          <wp:extent cx="2038350" cy="1529080"/>
          <wp:effectExtent l="0" t="0" r="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D54A" w14:textId="51C28DF1" w:rsidR="000D3B7E" w:rsidRPr="00EE55A0" w:rsidRDefault="000D3B7E" w:rsidP="00655736">
    <w:pPr>
      <w:pStyle w:val="Header"/>
      <w:spacing w:after="520"/>
      <w:jc w:val="right"/>
      <w:rPr>
        <w:rFonts w:ascii="Arial" w:hAnsi="Arial" w:cs="Arial"/>
        <w:b/>
        <w:sz w:val="44"/>
        <w:szCs w:val="44"/>
      </w:rPr>
    </w:pPr>
    <w:r>
      <w:rPr>
        <w:rFonts w:ascii="Arial" w:hAnsi="Arial" w:cs="Arial"/>
        <w:b/>
        <w:sz w:val="44"/>
        <w:szCs w:val="44"/>
      </w:rPr>
      <w:t>6 GA</w:t>
    </w:r>
  </w:p>
  <w:p w14:paraId="444D4ECD" w14:textId="7731B716" w:rsidR="000D3B7E" w:rsidRPr="00EE55A0" w:rsidRDefault="000D3B7E" w:rsidP="00655736">
    <w:pPr>
      <w:jc w:val="right"/>
      <w:rPr>
        <w:rFonts w:ascii="Arial" w:hAnsi="Arial" w:cs="Arial"/>
        <w:b/>
        <w:sz w:val="22"/>
        <w:szCs w:val="22"/>
      </w:rPr>
    </w:pPr>
    <w:r>
      <w:rPr>
        <w:rFonts w:ascii="Arial" w:hAnsi="Arial" w:cs="Arial"/>
        <w:b/>
        <w:sz w:val="22"/>
        <w:szCs w:val="22"/>
      </w:rPr>
      <w:t>ITH/16</w:t>
    </w:r>
    <w:r w:rsidRPr="00EE55A0">
      <w:rPr>
        <w:rFonts w:ascii="Arial" w:hAnsi="Arial" w:cs="Arial"/>
        <w:b/>
        <w:sz w:val="22"/>
        <w:szCs w:val="22"/>
      </w:rPr>
      <w:t>/</w:t>
    </w:r>
    <w:r>
      <w:rPr>
        <w:rFonts w:ascii="Arial" w:hAnsi="Arial" w:cs="Arial"/>
        <w:b/>
        <w:sz w:val="22"/>
        <w:szCs w:val="22"/>
      </w:rPr>
      <w:t>6.GA/6</w:t>
    </w:r>
  </w:p>
  <w:p w14:paraId="64D4DCEC" w14:textId="3BBBEFFE" w:rsidR="000D3B7E" w:rsidRPr="00EE55A0" w:rsidRDefault="000D3B7E" w:rsidP="00655736">
    <w:pPr>
      <w:jc w:val="right"/>
      <w:rPr>
        <w:rFonts w:ascii="Arial" w:hAnsi="Arial" w:cs="Arial"/>
        <w:b/>
        <w:sz w:val="22"/>
        <w:szCs w:val="22"/>
      </w:rPr>
    </w:pPr>
    <w:r w:rsidRPr="00EE55A0">
      <w:rPr>
        <w:rFonts w:ascii="Arial" w:hAnsi="Arial" w:cs="Arial"/>
        <w:b/>
        <w:sz w:val="22"/>
        <w:szCs w:val="22"/>
      </w:rPr>
      <w:t xml:space="preserve">Paris, le </w:t>
    </w:r>
    <w:r w:rsidR="000A66B6">
      <w:rPr>
        <w:rFonts w:ascii="Arial" w:hAnsi="Arial" w:cs="Arial"/>
        <w:b/>
        <w:sz w:val="22"/>
        <w:szCs w:val="22"/>
      </w:rPr>
      <w:t>29 avril</w:t>
    </w:r>
    <w:r>
      <w:rPr>
        <w:rFonts w:ascii="Arial" w:hAnsi="Arial" w:cs="Arial"/>
        <w:b/>
        <w:sz w:val="22"/>
        <w:szCs w:val="22"/>
      </w:rPr>
      <w:t xml:space="preserve"> 2016</w:t>
    </w:r>
  </w:p>
  <w:p w14:paraId="552C2A64" w14:textId="2F85F838" w:rsidR="000D3B7E" w:rsidRPr="0020150F" w:rsidRDefault="000D3B7E" w:rsidP="003E2A08">
    <w:pPr>
      <w:jc w:val="right"/>
      <w:rPr>
        <w:rFonts w:ascii="Arial" w:hAnsi="Arial" w:cs="Arial"/>
        <w:b/>
        <w:sz w:val="22"/>
        <w:szCs w:val="22"/>
      </w:rPr>
    </w:pPr>
    <w:r w:rsidRPr="00022428">
      <w:rPr>
        <w:rFonts w:ascii="Arial" w:hAnsi="Arial" w:cs="Arial"/>
        <w:b/>
        <w:sz w:val="22"/>
        <w:szCs w:val="22"/>
      </w:rPr>
      <w:t xml:space="preserve">Original : </w:t>
    </w:r>
    <w:r>
      <w:rPr>
        <w:rFonts w:ascii="Arial" w:hAnsi="Arial" w:cs="Arial"/>
        <w:b/>
        <w:sz w:val="22"/>
        <w:szCs w:val="22"/>
      </w:rPr>
      <w:t>anglais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ED66D" w14:textId="276EC811" w:rsidR="000D3B7E" w:rsidRPr="008724E5" w:rsidRDefault="000D3B7E">
    <w:pPr>
      <w:pStyle w:val="Header"/>
    </w:pPr>
  </w:p>
  <w:p w14:paraId="7666D3B2" w14:textId="77777777" w:rsidR="000D3B7E" w:rsidRPr="0057439C" w:rsidRDefault="000D3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7D95"/>
    <w:multiLevelType w:val="hybridMultilevel"/>
    <w:tmpl w:val="3028C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0D5092A"/>
    <w:multiLevelType w:val="hybridMultilevel"/>
    <w:tmpl w:val="54BE936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5D179D"/>
    <w:multiLevelType w:val="hybridMultilevel"/>
    <w:tmpl w:val="26DAC2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4927785"/>
    <w:multiLevelType w:val="hybridMultilevel"/>
    <w:tmpl w:val="F3860446"/>
    <w:lvl w:ilvl="0" w:tplc="42E600F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F114B2"/>
    <w:multiLevelType w:val="hybridMultilevel"/>
    <w:tmpl w:val="4F28107C"/>
    <w:lvl w:ilvl="0" w:tplc="040C0001">
      <w:start w:val="1"/>
      <w:numFmt w:val="bullet"/>
      <w:lvlText w:val=""/>
      <w:lvlJc w:val="left"/>
      <w:pPr>
        <w:ind w:left="720" w:hanging="360"/>
      </w:pPr>
      <w:rPr>
        <w:rFonts w:ascii="Symbol" w:hAnsi="Symbol" w:hint="default"/>
      </w:rPr>
    </w:lvl>
    <w:lvl w:ilvl="1" w:tplc="42E600F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8708D5"/>
    <w:multiLevelType w:val="hybridMultilevel"/>
    <w:tmpl w:val="05EEF870"/>
    <w:lvl w:ilvl="0" w:tplc="08090001">
      <w:start w:val="1"/>
      <w:numFmt w:val="bullet"/>
      <w:lvlText w:val=""/>
      <w:lvlJc w:val="left"/>
      <w:pPr>
        <w:ind w:left="720" w:hanging="360"/>
      </w:pPr>
      <w:rPr>
        <w:rFonts w:ascii="Symbol" w:hAnsi="Symbol" w:hint="default"/>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6C2D3E"/>
    <w:multiLevelType w:val="hybridMultilevel"/>
    <w:tmpl w:val="426EF0D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CC0459"/>
    <w:multiLevelType w:val="hybridMultilevel"/>
    <w:tmpl w:val="21702FA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10C46DCA"/>
    <w:multiLevelType w:val="hybridMultilevel"/>
    <w:tmpl w:val="6890E5B4"/>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A14C3C"/>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6C452D"/>
    <w:multiLevelType w:val="hybridMultilevel"/>
    <w:tmpl w:val="E72C3800"/>
    <w:lvl w:ilvl="0" w:tplc="A192D592">
      <w:start w:val="3"/>
      <w:numFmt w:val="bullet"/>
      <w:lvlText w:val="-"/>
      <w:lvlJc w:val="left"/>
      <w:pPr>
        <w:ind w:left="927" w:hanging="360"/>
      </w:pPr>
      <w:rPr>
        <w:rFonts w:ascii="Arial" w:eastAsia="Times New Roman"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2AB35019"/>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786873"/>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253EA5"/>
    <w:multiLevelType w:val="hybridMultilevel"/>
    <w:tmpl w:val="EC6C8482"/>
    <w:lvl w:ilvl="0" w:tplc="A192D592">
      <w:start w:val="3"/>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F07BFE"/>
    <w:multiLevelType w:val="hybridMultilevel"/>
    <w:tmpl w:val="6678685C"/>
    <w:lvl w:ilvl="0" w:tplc="462C5E68">
      <w:start w:val="1"/>
      <w:numFmt w:val="decimal"/>
      <w:lvlText w:val="%1."/>
      <w:lvlJc w:val="left"/>
      <w:pPr>
        <w:ind w:left="501" w:hanging="360"/>
      </w:pPr>
      <w:rPr>
        <w:b w:val="0"/>
      </w:rPr>
    </w:lvl>
    <w:lvl w:ilvl="1" w:tplc="5B24F18A">
      <w:start w:val="1"/>
      <w:numFmt w:val="bullet"/>
      <w:lvlText w:val="-"/>
      <w:lvlJc w:val="left"/>
      <w:pPr>
        <w:ind w:left="1221" w:hanging="360"/>
      </w:pPr>
      <w:rPr>
        <w:rFonts w:ascii="Arial" w:hAnsi="Arial" w:hint="default"/>
      </w:r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38F54C01"/>
    <w:multiLevelType w:val="hybridMultilevel"/>
    <w:tmpl w:val="B936D066"/>
    <w:lvl w:ilvl="0" w:tplc="8872183C">
      <w:start w:val="1"/>
      <w:numFmt w:val="upperRoman"/>
      <w:lvlText w:val="%1."/>
      <w:lvlJc w:val="left"/>
      <w:pPr>
        <w:ind w:left="1080" w:hanging="72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6" w15:restartNumberingAfterBreak="0">
    <w:nsid w:val="48B33157"/>
    <w:multiLevelType w:val="hybridMultilevel"/>
    <w:tmpl w:val="77B00362"/>
    <w:lvl w:ilvl="0" w:tplc="FF864C90">
      <w:start w:val="1"/>
      <w:numFmt w:val="lowerRoman"/>
      <w:lvlText w:val="(%1)"/>
      <w:lvlJc w:val="left"/>
      <w:pPr>
        <w:ind w:left="143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627C84"/>
    <w:multiLevelType w:val="hybridMultilevel"/>
    <w:tmpl w:val="51849722"/>
    <w:lvl w:ilvl="0" w:tplc="3228A98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4F7C186D"/>
    <w:multiLevelType w:val="hybridMultilevel"/>
    <w:tmpl w:val="A162AE82"/>
    <w:lvl w:ilvl="0" w:tplc="8640AAD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15:restartNumberingAfterBreak="0">
    <w:nsid w:val="5A55256A"/>
    <w:multiLevelType w:val="hybridMultilevel"/>
    <w:tmpl w:val="3932C4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1" w15:restartNumberingAfterBreak="0">
    <w:nsid w:val="60655BB1"/>
    <w:multiLevelType w:val="hybridMultilevel"/>
    <w:tmpl w:val="C5803B76"/>
    <w:lvl w:ilvl="0" w:tplc="A192D592">
      <w:start w:val="3"/>
      <w:numFmt w:val="bullet"/>
      <w:lvlText w:val="-"/>
      <w:lvlJc w:val="left"/>
      <w:pPr>
        <w:ind w:left="1644" w:hanging="360"/>
      </w:pPr>
      <w:rPr>
        <w:rFonts w:ascii="Arial" w:eastAsia="Times New Roman" w:hAnsi="Arial" w:cs="Aria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32" w15:restartNumberingAfterBreak="0">
    <w:nsid w:val="61915447"/>
    <w:multiLevelType w:val="hybridMultilevel"/>
    <w:tmpl w:val="4E1AC876"/>
    <w:lvl w:ilvl="0" w:tplc="462C5E68">
      <w:start w:val="1"/>
      <w:numFmt w:val="decimal"/>
      <w:lvlText w:val="%1."/>
      <w:lvlJc w:val="left"/>
      <w:pPr>
        <w:ind w:left="501" w:hanging="360"/>
      </w:pPr>
      <w:rPr>
        <w:b w:val="0"/>
      </w:rPr>
    </w:lvl>
    <w:lvl w:ilvl="1" w:tplc="040C000F">
      <w:start w:val="1"/>
      <w:numFmt w:val="decimal"/>
      <w:lvlText w:val="%2."/>
      <w:lvlJc w:val="left"/>
      <w:pPr>
        <w:ind w:left="1221" w:hanging="360"/>
      </w:pPr>
      <w:rPr>
        <w:rFonts w:hint="default"/>
      </w:r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3" w15:restartNumberingAfterBreak="0">
    <w:nsid w:val="658E4CB3"/>
    <w:multiLevelType w:val="hybridMultilevel"/>
    <w:tmpl w:val="703E6674"/>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C5F4EA1"/>
    <w:multiLevelType w:val="hybridMultilevel"/>
    <w:tmpl w:val="F2181B9E"/>
    <w:lvl w:ilvl="0" w:tplc="040C000F">
      <w:start w:val="1"/>
      <w:numFmt w:val="decimal"/>
      <w:lvlText w:val="%1."/>
      <w:lvlJc w:val="left"/>
      <w:pPr>
        <w:ind w:left="1276" w:hanging="360"/>
      </w:pPr>
    </w:lvl>
    <w:lvl w:ilvl="1" w:tplc="040C0019" w:tentative="1">
      <w:start w:val="1"/>
      <w:numFmt w:val="lowerLetter"/>
      <w:lvlText w:val="%2."/>
      <w:lvlJc w:val="left"/>
      <w:pPr>
        <w:ind w:left="1996" w:hanging="360"/>
      </w:pPr>
    </w:lvl>
    <w:lvl w:ilvl="2" w:tplc="040C001B" w:tentative="1">
      <w:start w:val="1"/>
      <w:numFmt w:val="lowerRoman"/>
      <w:lvlText w:val="%3."/>
      <w:lvlJc w:val="right"/>
      <w:pPr>
        <w:ind w:left="2716" w:hanging="180"/>
      </w:pPr>
    </w:lvl>
    <w:lvl w:ilvl="3" w:tplc="040C000F" w:tentative="1">
      <w:start w:val="1"/>
      <w:numFmt w:val="decimal"/>
      <w:lvlText w:val="%4."/>
      <w:lvlJc w:val="left"/>
      <w:pPr>
        <w:ind w:left="3436" w:hanging="360"/>
      </w:pPr>
    </w:lvl>
    <w:lvl w:ilvl="4" w:tplc="040C0019" w:tentative="1">
      <w:start w:val="1"/>
      <w:numFmt w:val="lowerLetter"/>
      <w:lvlText w:val="%5."/>
      <w:lvlJc w:val="left"/>
      <w:pPr>
        <w:ind w:left="4156" w:hanging="360"/>
      </w:pPr>
    </w:lvl>
    <w:lvl w:ilvl="5" w:tplc="040C001B" w:tentative="1">
      <w:start w:val="1"/>
      <w:numFmt w:val="lowerRoman"/>
      <w:lvlText w:val="%6."/>
      <w:lvlJc w:val="right"/>
      <w:pPr>
        <w:ind w:left="4876" w:hanging="180"/>
      </w:pPr>
    </w:lvl>
    <w:lvl w:ilvl="6" w:tplc="040C000F" w:tentative="1">
      <w:start w:val="1"/>
      <w:numFmt w:val="decimal"/>
      <w:lvlText w:val="%7."/>
      <w:lvlJc w:val="left"/>
      <w:pPr>
        <w:ind w:left="5596" w:hanging="360"/>
      </w:pPr>
    </w:lvl>
    <w:lvl w:ilvl="7" w:tplc="040C0019" w:tentative="1">
      <w:start w:val="1"/>
      <w:numFmt w:val="lowerLetter"/>
      <w:lvlText w:val="%8."/>
      <w:lvlJc w:val="left"/>
      <w:pPr>
        <w:ind w:left="6316" w:hanging="360"/>
      </w:pPr>
    </w:lvl>
    <w:lvl w:ilvl="8" w:tplc="040C001B" w:tentative="1">
      <w:start w:val="1"/>
      <w:numFmt w:val="lowerRoman"/>
      <w:lvlText w:val="%9."/>
      <w:lvlJc w:val="right"/>
      <w:pPr>
        <w:ind w:left="7036" w:hanging="180"/>
      </w:pPr>
    </w:lvl>
  </w:abstractNum>
  <w:abstractNum w:abstractNumId="36" w15:restartNumberingAfterBreak="0">
    <w:nsid w:val="78855951"/>
    <w:multiLevelType w:val="hybridMultilevel"/>
    <w:tmpl w:val="4D64783C"/>
    <w:lvl w:ilvl="0" w:tplc="3C062358">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756EDD"/>
    <w:multiLevelType w:val="hybridMultilevel"/>
    <w:tmpl w:val="3E6C28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577DF0"/>
    <w:multiLevelType w:val="hybridMultilevel"/>
    <w:tmpl w:val="35B4CD30"/>
    <w:lvl w:ilvl="0" w:tplc="2DB626BA">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30"/>
  </w:num>
  <w:num w:numId="2">
    <w:abstractNumId w:val="20"/>
  </w:num>
  <w:num w:numId="3">
    <w:abstractNumId w:val="10"/>
  </w:num>
  <w:num w:numId="4">
    <w:abstractNumId w:val="37"/>
  </w:num>
  <w:num w:numId="5">
    <w:abstractNumId w:val="34"/>
  </w:num>
  <w:num w:numId="6">
    <w:abstractNumId w:val="8"/>
  </w:num>
  <w:num w:numId="7">
    <w:abstractNumId w:val="11"/>
  </w:num>
  <w:num w:numId="8">
    <w:abstractNumId w:val="25"/>
  </w:num>
  <w:num w:numId="9">
    <w:abstractNumId w:val="19"/>
  </w:num>
  <w:num w:numId="10">
    <w:abstractNumId w:val="22"/>
  </w:num>
  <w:num w:numId="11">
    <w:abstractNumId w:val="18"/>
  </w:num>
  <w:num w:numId="12">
    <w:abstractNumId w:val="14"/>
  </w:num>
  <w:num w:numId="13">
    <w:abstractNumId w:val="23"/>
  </w:num>
  <w:num w:numId="14">
    <w:abstractNumId w:val="21"/>
  </w:num>
  <w:num w:numId="15">
    <w:abstractNumId w:val="13"/>
  </w:num>
  <w:num w:numId="16">
    <w:abstractNumId w:val="26"/>
  </w:num>
  <w:num w:numId="17">
    <w:abstractNumId w:val="12"/>
  </w:num>
  <w:num w:numId="18">
    <w:abstractNumId w:val="24"/>
  </w:num>
  <w:num w:numId="19">
    <w:abstractNumId w:val="1"/>
  </w:num>
  <w:num w:numId="20">
    <w:abstractNumId w:val="6"/>
  </w:num>
  <w:num w:numId="21">
    <w:abstractNumId w:val="15"/>
  </w:num>
  <w:num w:numId="22">
    <w:abstractNumId w:val="39"/>
  </w:num>
  <w:num w:numId="23">
    <w:abstractNumId w:val="5"/>
  </w:num>
  <w:num w:numId="24">
    <w:abstractNumId w:val="2"/>
  </w:num>
  <w:num w:numId="25">
    <w:abstractNumId w:val="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num>
  <w:num w:numId="28">
    <w:abstractNumId w:val="17"/>
  </w:num>
  <w:num w:numId="29">
    <w:abstractNumId w:val="35"/>
  </w:num>
  <w:num w:numId="30">
    <w:abstractNumId w:val="31"/>
  </w:num>
  <w:num w:numId="31">
    <w:abstractNumId w:val="27"/>
  </w:num>
  <w:num w:numId="32">
    <w:abstractNumId w:val="7"/>
  </w:num>
  <w:num w:numId="33">
    <w:abstractNumId w:val="28"/>
  </w:num>
  <w:num w:numId="34">
    <w:abstractNumId w:val="36"/>
  </w:num>
  <w:num w:numId="35">
    <w:abstractNumId w:val="33"/>
  </w:num>
  <w:num w:numId="36">
    <w:abstractNumId w:val="29"/>
  </w:num>
  <w:num w:numId="37">
    <w:abstractNumId w:val="32"/>
  </w:num>
  <w:num w:numId="38">
    <w:abstractNumId w:val="16"/>
  </w:num>
  <w:num w:numId="39">
    <w:abstractNumId w:val="38"/>
  </w:num>
  <w:num w:numId="40">
    <w:abstractNumId w:val="3"/>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33"/>
    <w:rsid w:val="0000013C"/>
    <w:rsid w:val="000035FC"/>
    <w:rsid w:val="00006888"/>
    <w:rsid w:val="0001113F"/>
    <w:rsid w:val="00020BFC"/>
    <w:rsid w:val="00020CA2"/>
    <w:rsid w:val="00022428"/>
    <w:rsid w:val="0002527C"/>
    <w:rsid w:val="00025ECA"/>
    <w:rsid w:val="000263BA"/>
    <w:rsid w:val="00026C63"/>
    <w:rsid w:val="000325DF"/>
    <w:rsid w:val="0003530D"/>
    <w:rsid w:val="000414AE"/>
    <w:rsid w:val="0004198A"/>
    <w:rsid w:val="0004354E"/>
    <w:rsid w:val="0005176E"/>
    <w:rsid w:val="00056E25"/>
    <w:rsid w:val="0006249E"/>
    <w:rsid w:val="00070D3A"/>
    <w:rsid w:val="00071D4B"/>
    <w:rsid w:val="00073870"/>
    <w:rsid w:val="00076C31"/>
    <w:rsid w:val="00077AB7"/>
    <w:rsid w:val="00081CD8"/>
    <w:rsid w:val="0008329C"/>
    <w:rsid w:val="00091CB0"/>
    <w:rsid w:val="000A309D"/>
    <w:rsid w:val="000A3F7A"/>
    <w:rsid w:val="000A66B6"/>
    <w:rsid w:val="000A77E0"/>
    <w:rsid w:val="000A7F0E"/>
    <w:rsid w:val="000B14C5"/>
    <w:rsid w:val="000B38DD"/>
    <w:rsid w:val="000C2EDB"/>
    <w:rsid w:val="000C316C"/>
    <w:rsid w:val="000C694D"/>
    <w:rsid w:val="000D3B7E"/>
    <w:rsid w:val="000E0511"/>
    <w:rsid w:val="000E1756"/>
    <w:rsid w:val="000E555E"/>
    <w:rsid w:val="000E6CD7"/>
    <w:rsid w:val="000F1E30"/>
    <w:rsid w:val="000F2244"/>
    <w:rsid w:val="000F3A3F"/>
    <w:rsid w:val="00101740"/>
    <w:rsid w:val="00101752"/>
    <w:rsid w:val="00102368"/>
    <w:rsid w:val="001119CC"/>
    <w:rsid w:val="00115065"/>
    <w:rsid w:val="00115CB7"/>
    <w:rsid w:val="001205E0"/>
    <w:rsid w:val="00121489"/>
    <w:rsid w:val="001313CC"/>
    <w:rsid w:val="00134303"/>
    <w:rsid w:val="00134885"/>
    <w:rsid w:val="00142C90"/>
    <w:rsid w:val="00143044"/>
    <w:rsid w:val="00147D32"/>
    <w:rsid w:val="00151E10"/>
    <w:rsid w:val="00155055"/>
    <w:rsid w:val="001555F1"/>
    <w:rsid w:val="00157225"/>
    <w:rsid w:val="0016418B"/>
    <w:rsid w:val="00164D56"/>
    <w:rsid w:val="00165170"/>
    <w:rsid w:val="00167B10"/>
    <w:rsid w:val="001700F6"/>
    <w:rsid w:val="00173BDB"/>
    <w:rsid w:val="0018219B"/>
    <w:rsid w:val="0018348B"/>
    <w:rsid w:val="00183F66"/>
    <w:rsid w:val="00187B4D"/>
    <w:rsid w:val="00187BD5"/>
    <w:rsid w:val="00191D07"/>
    <w:rsid w:val="0019264E"/>
    <w:rsid w:val="00196C1B"/>
    <w:rsid w:val="001A0F8B"/>
    <w:rsid w:val="001A28C8"/>
    <w:rsid w:val="001A53B3"/>
    <w:rsid w:val="001A5664"/>
    <w:rsid w:val="001A766C"/>
    <w:rsid w:val="001B0F73"/>
    <w:rsid w:val="001B2645"/>
    <w:rsid w:val="001B2CE7"/>
    <w:rsid w:val="001B48C3"/>
    <w:rsid w:val="001C4BA7"/>
    <w:rsid w:val="001D470B"/>
    <w:rsid w:val="001E0293"/>
    <w:rsid w:val="001E0888"/>
    <w:rsid w:val="00200852"/>
    <w:rsid w:val="00201100"/>
    <w:rsid w:val="0020150F"/>
    <w:rsid w:val="00201D0F"/>
    <w:rsid w:val="0020217E"/>
    <w:rsid w:val="00207884"/>
    <w:rsid w:val="00212378"/>
    <w:rsid w:val="00212B54"/>
    <w:rsid w:val="00216972"/>
    <w:rsid w:val="002222A7"/>
    <w:rsid w:val="00222A2D"/>
    <w:rsid w:val="0022382B"/>
    <w:rsid w:val="002243E8"/>
    <w:rsid w:val="002248C6"/>
    <w:rsid w:val="002260AA"/>
    <w:rsid w:val="0023073F"/>
    <w:rsid w:val="002321E8"/>
    <w:rsid w:val="00233033"/>
    <w:rsid w:val="002407AF"/>
    <w:rsid w:val="00240D02"/>
    <w:rsid w:val="00244D1F"/>
    <w:rsid w:val="00250513"/>
    <w:rsid w:val="0025082B"/>
    <w:rsid w:val="0026168A"/>
    <w:rsid w:val="00264687"/>
    <w:rsid w:val="00264F8D"/>
    <w:rsid w:val="002716F9"/>
    <w:rsid w:val="002726FD"/>
    <w:rsid w:val="00274DD3"/>
    <w:rsid w:val="00275865"/>
    <w:rsid w:val="00280D62"/>
    <w:rsid w:val="00281176"/>
    <w:rsid w:val="00290A79"/>
    <w:rsid w:val="002936A6"/>
    <w:rsid w:val="002948E3"/>
    <w:rsid w:val="00297D42"/>
    <w:rsid w:val="002A09AF"/>
    <w:rsid w:val="002A6C11"/>
    <w:rsid w:val="002A6F73"/>
    <w:rsid w:val="002A6FAD"/>
    <w:rsid w:val="002B1249"/>
    <w:rsid w:val="002B51D8"/>
    <w:rsid w:val="002B60C0"/>
    <w:rsid w:val="002C07DA"/>
    <w:rsid w:val="002C0D14"/>
    <w:rsid w:val="002C155F"/>
    <w:rsid w:val="002C69CA"/>
    <w:rsid w:val="002C6A2F"/>
    <w:rsid w:val="002C7544"/>
    <w:rsid w:val="002D510E"/>
    <w:rsid w:val="002D6C28"/>
    <w:rsid w:val="002E23CD"/>
    <w:rsid w:val="002E3D25"/>
    <w:rsid w:val="002E4C20"/>
    <w:rsid w:val="002E58D4"/>
    <w:rsid w:val="002E58FB"/>
    <w:rsid w:val="002F0402"/>
    <w:rsid w:val="002F735E"/>
    <w:rsid w:val="00305C2C"/>
    <w:rsid w:val="00307406"/>
    <w:rsid w:val="0031055F"/>
    <w:rsid w:val="00312367"/>
    <w:rsid w:val="00315247"/>
    <w:rsid w:val="0031750B"/>
    <w:rsid w:val="0032328E"/>
    <w:rsid w:val="003239A2"/>
    <w:rsid w:val="003247BD"/>
    <w:rsid w:val="00325F81"/>
    <w:rsid w:val="0033051E"/>
    <w:rsid w:val="00340E6F"/>
    <w:rsid w:val="0034290B"/>
    <w:rsid w:val="003432C8"/>
    <w:rsid w:val="00343B22"/>
    <w:rsid w:val="00355061"/>
    <w:rsid w:val="003556F5"/>
    <w:rsid w:val="0035654C"/>
    <w:rsid w:val="0036557D"/>
    <w:rsid w:val="00366652"/>
    <w:rsid w:val="00367A9F"/>
    <w:rsid w:val="00370D9F"/>
    <w:rsid w:val="003774B7"/>
    <w:rsid w:val="003844AC"/>
    <w:rsid w:val="003845BE"/>
    <w:rsid w:val="00384E7D"/>
    <w:rsid w:val="003866B5"/>
    <w:rsid w:val="003955E0"/>
    <w:rsid w:val="00395E10"/>
    <w:rsid w:val="003A5641"/>
    <w:rsid w:val="003A79C5"/>
    <w:rsid w:val="003A7F72"/>
    <w:rsid w:val="003B0FB3"/>
    <w:rsid w:val="003B2F98"/>
    <w:rsid w:val="003B3CA6"/>
    <w:rsid w:val="003C1678"/>
    <w:rsid w:val="003C636D"/>
    <w:rsid w:val="003C68DE"/>
    <w:rsid w:val="003C70D6"/>
    <w:rsid w:val="003D069C"/>
    <w:rsid w:val="003D15EB"/>
    <w:rsid w:val="003D379F"/>
    <w:rsid w:val="003D58D9"/>
    <w:rsid w:val="003E07D8"/>
    <w:rsid w:val="003E2A08"/>
    <w:rsid w:val="003E2D6C"/>
    <w:rsid w:val="003E3EEE"/>
    <w:rsid w:val="003E7BDB"/>
    <w:rsid w:val="003F113A"/>
    <w:rsid w:val="003F64A6"/>
    <w:rsid w:val="00400A59"/>
    <w:rsid w:val="00405E23"/>
    <w:rsid w:val="00407232"/>
    <w:rsid w:val="00407D01"/>
    <w:rsid w:val="004239C7"/>
    <w:rsid w:val="00426698"/>
    <w:rsid w:val="00426970"/>
    <w:rsid w:val="00432020"/>
    <w:rsid w:val="00436FE5"/>
    <w:rsid w:val="00440F9B"/>
    <w:rsid w:val="004421E5"/>
    <w:rsid w:val="00443880"/>
    <w:rsid w:val="00450F3C"/>
    <w:rsid w:val="00451F68"/>
    <w:rsid w:val="00452284"/>
    <w:rsid w:val="00456023"/>
    <w:rsid w:val="00461830"/>
    <w:rsid w:val="00462AE2"/>
    <w:rsid w:val="00465798"/>
    <w:rsid w:val="00465E1F"/>
    <w:rsid w:val="0046705C"/>
    <w:rsid w:val="004675ED"/>
    <w:rsid w:val="00476890"/>
    <w:rsid w:val="00484E20"/>
    <w:rsid w:val="00486948"/>
    <w:rsid w:val="0048731B"/>
    <w:rsid w:val="0048777E"/>
    <w:rsid w:val="00490A8E"/>
    <w:rsid w:val="0049705E"/>
    <w:rsid w:val="004A06AE"/>
    <w:rsid w:val="004A17DA"/>
    <w:rsid w:val="004A26A2"/>
    <w:rsid w:val="004B3206"/>
    <w:rsid w:val="004B6995"/>
    <w:rsid w:val="004C05CF"/>
    <w:rsid w:val="004C1598"/>
    <w:rsid w:val="004C2FF2"/>
    <w:rsid w:val="004C3895"/>
    <w:rsid w:val="004C57C6"/>
    <w:rsid w:val="004D0BB0"/>
    <w:rsid w:val="004D2274"/>
    <w:rsid w:val="004D31F2"/>
    <w:rsid w:val="004D3EB7"/>
    <w:rsid w:val="004D5A54"/>
    <w:rsid w:val="004D6DE8"/>
    <w:rsid w:val="004E35A2"/>
    <w:rsid w:val="004E39B3"/>
    <w:rsid w:val="004E3A62"/>
    <w:rsid w:val="004E66DD"/>
    <w:rsid w:val="004E717F"/>
    <w:rsid w:val="004F23A3"/>
    <w:rsid w:val="004F4C1D"/>
    <w:rsid w:val="004F5FB7"/>
    <w:rsid w:val="004F7EEC"/>
    <w:rsid w:val="00505276"/>
    <w:rsid w:val="005064E1"/>
    <w:rsid w:val="00512BCD"/>
    <w:rsid w:val="005137A7"/>
    <w:rsid w:val="0051530D"/>
    <w:rsid w:val="00526B7B"/>
    <w:rsid w:val="00526C2D"/>
    <w:rsid w:val="005308CE"/>
    <w:rsid w:val="00532851"/>
    <w:rsid w:val="00532F5C"/>
    <w:rsid w:val="00533BE6"/>
    <w:rsid w:val="00535B30"/>
    <w:rsid w:val="00541CBF"/>
    <w:rsid w:val="00543E5C"/>
    <w:rsid w:val="0054473E"/>
    <w:rsid w:val="00545E2F"/>
    <w:rsid w:val="0054711D"/>
    <w:rsid w:val="005557CD"/>
    <w:rsid w:val="00560B71"/>
    <w:rsid w:val="0057439C"/>
    <w:rsid w:val="00575451"/>
    <w:rsid w:val="005766A8"/>
    <w:rsid w:val="00577D3B"/>
    <w:rsid w:val="00590FCA"/>
    <w:rsid w:val="0059480D"/>
    <w:rsid w:val="005A26B1"/>
    <w:rsid w:val="005A346D"/>
    <w:rsid w:val="005B0127"/>
    <w:rsid w:val="005B0B3D"/>
    <w:rsid w:val="005B6056"/>
    <w:rsid w:val="005B7F8C"/>
    <w:rsid w:val="005C094D"/>
    <w:rsid w:val="005C09B8"/>
    <w:rsid w:val="005C4B73"/>
    <w:rsid w:val="005D1474"/>
    <w:rsid w:val="005D3B5E"/>
    <w:rsid w:val="005D6827"/>
    <w:rsid w:val="005D68F1"/>
    <w:rsid w:val="005E0477"/>
    <w:rsid w:val="00600D93"/>
    <w:rsid w:val="00615BC4"/>
    <w:rsid w:val="00622E69"/>
    <w:rsid w:val="00627C5C"/>
    <w:rsid w:val="006333EC"/>
    <w:rsid w:val="0063622F"/>
    <w:rsid w:val="00643F91"/>
    <w:rsid w:val="00646E51"/>
    <w:rsid w:val="006501D3"/>
    <w:rsid w:val="00655736"/>
    <w:rsid w:val="00663A3B"/>
    <w:rsid w:val="00663B8D"/>
    <w:rsid w:val="0066656C"/>
    <w:rsid w:val="00667280"/>
    <w:rsid w:val="00670FE6"/>
    <w:rsid w:val="00674D2E"/>
    <w:rsid w:val="00677E71"/>
    <w:rsid w:val="0068442C"/>
    <w:rsid w:val="006844EB"/>
    <w:rsid w:val="00690075"/>
    <w:rsid w:val="00691151"/>
    <w:rsid w:val="006923BD"/>
    <w:rsid w:val="0069494C"/>
    <w:rsid w:val="00694AE5"/>
    <w:rsid w:val="00695ABD"/>
    <w:rsid w:val="00696C8D"/>
    <w:rsid w:val="006A095C"/>
    <w:rsid w:val="006A2AC2"/>
    <w:rsid w:val="006A2EDE"/>
    <w:rsid w:val="006A3456"/>
    <w:rsid w:val="006A3617"/>
    <w:rsid w:val="006A5AD9"/>
    <w:rsid w:val="006B3540"/>
    <w:rsid w:val="006B3799"/>
    <w:rsid w:val="006B3BE3"/>
    <w:rsid w:val="006B4D73"/>
    <w:rsid w:val="006B5001"/>
    <w:rsid w:val="006B5450"/>
    <w:rsid w:val="006B6402"/>
    <w:rsid w:val="006B7B0A"/>
    <w:rsid w:val="006C78EF"/>
    <w:rsid w:val="006D0663"/>
    <w:rsid w:val="006D21D9"/>
    <w:rsid w:val="006D2536"/>
    <w:rsid w:val="006D3AE7"/>
    <w:rsid w:val="006E3FAC"/>
    <w:rsid w:val="006E46E4"/>
    <w:rsid w:val="006E4B20"/>
    <w:rsid w:val="006F02BF"/>
    <w:rsid w:val="006F279E"/>
    <w:rsid w:val="006F4549"/>
    <w:rsid w:val="006F5491"/>
    <w:rsid w:val="006F6A38"/>
    <w:rsid w:val="00700883"/>
    <w:rsid w:val="00706672"/>
    <w:rsid w:val="00710489"/>
    <w:rsid w:val="00711158"/>
    <w:rsid w:val="00716EEA"/>
    <w:rsid w:val="00717DBD"/>
    <w:rsid w:val="00724B1B"/>
    <w:rsid w:val="00725E1A"/>
    <w:rsid w:val="00737BAB"/>
    <w:rsid w:val="00741DE5"/>
    <w:rsid w:val="007515B8"/>
    <w:rsid w:val="00760B8B"/>
    <w:rsid w:val="00764673"/>
    <w:rsid w:val="00764CF9"/>
    <w:rsid w:val="0077095A"/>
    <w:rsid w:val="00775978"/>
    <w:rsid w:val="00775B51"/>
    <w:rsid w:val="0078225E"/>
    <w:rsid w:val="007827BA"/>
    <w:rsid w:val="00784B8C"/>
    <w:rsid w:val="00787BF7"/>
    <w:rsid w:val="00791C2F"/>
    <w:rsid w:val="00792E54"/>
    <w:rsid w:val="007A5E80"/>
    <w:rsid w:val="007A7DAD"/>
    <w:rsid w:val="007B21FA"/>
    <w:rsid w:val="007B3438"/>
    <w:rsid w:val="007B592B"/>
    <w:rsid w:val="007C02DC"/>
    <w:rsid w:val="007C2886"/>
    <w:rsid w:val="007C4691"/>
    <w:rsid w:val="007C5F99"/>
    <w:rsid w:val="007D1753"/>
    <w:rsid w:val="007D3945"/>
    <w:rsid w:val="007D5EE1"/>
    <w:rsid w:val="007D631A"/>
    <w:rsid w:val="007D6A11"/>
    <w:rsid w:val="007E0084"/>
    <w:rsid w:val="007E259D"/>
    <w:rsid w:val="007E3595"/>
    <w:rsid w:val="007E6371"/>
    <w:rsid w:val="007E7AAC"/>
    <w:rsid w:val="007F002F"/>
    <w:rsid w:val="007F5AFA"/>
    <w:rsid w:val="00802477"/>
    <w:rsid w:val="008038C6"/>
    <w:rsid w:val="008064F0"/>
    <w:rsid w:val="008167BA"/>
    <w:rsid w:val="00821516"/>
    <w:rsid w:val="00823A11"/>
    <w:rsid w:val="00824913"/>
    <w:rsid w:val="00824A58"/>
    <w:rsid w:val="00824EF7"/>
    <w:rsid w:val="0082689F"/>
    <w:rsid w:val="00836545"/>
    <w:rsid w:val="00836B68"/>
    <w:rsid w:val="0083707A"/>
    <w:rsid w:val="008379E7"/>
    <w:rsid w:val="0084400C"/>
    <w:rsid w:val="00844616"/>
    <w:rsid w:val="00846DED"/>
    <w:rsid w:val="008479CF"/>
    <w:rsid w:val="00853587"/>
    <w:rsid w:val="0085414A"/>
    <w:rsid w:val="00857F2D"/>
    <w:rsid w:val="00860833"/>
    <w:rsid w:val="00861C9A"/>
    <w:rsid w:val="0086220B"/>
    <w:rsid w:val="0086269D"/>
    <w:rsid w:val="00863302"/>
    <w:rsid w:val="00864578"/>
    <w:rsid w:val="008712A2"/>
    <w:rsid w:val="00871C8F"/>
    <w:rsid w:val="008724E5"/>
    <w:rsid w:val="008772D2"/>
    <w:rsid w:val="00880993"/>
    <w:rsid w:val="0088309F"/>
    <w:rsid w:val="00884A9D"/>
    <w:rsid w:val="00886B07"/>
    <w:rsid w:val="00890E71"/>
    <w:rsid w:val="00895820"/>
    <w:rsid w:val="00896BDE"/>
    <w:rsid w:val="008A10F8"/>
    <w:rsid w:val="008A4E1E"/>
    <w:rsid w:val="008C296C"/>
    <w:rsid w:val="008C55C3"/>
    <w:rsid w:val="008D19FF"/>
    <w:rsid w:val="008D3AB5"/>
    <w:rsid w:val="008D4305"/>
    <w:rsid w:val="008E2E3B"/>
    <w:rsid w:val="008E5C2D"/>
    <w:rsid w:val="008F080B"/>
    <w:rsid w:val="008F09BC"/>
    <w:rsid w:val="008F2B6E"/>
    <w:rsid w:val="008F5F2A"/>
    <w:rsid w:val="00901EB5"/>
    <w:rsid w:val="0090231C"/>
    <w:rsid w:val="009074A6"/>
    <w:rsid w:val="00913D86"/>
    <w:rsid w:val="00915B11"/>
    <w:rsid w:val="009163A7"/>
    <w:rsid w:val="009175F1"/>
    <w:rsid w:val="00922E3E"/>
    <w:rsid w:val="00927350"/>
    <w:rsid w:val="0093145B"/>
    <w:rsid w:val="00933C6B"/>
    <w:rsid w:val="00934A11"/>
    <w:rsid w:val="00944184"/>
    <w:rsid w:val="00950F68"/>
    <w:rsid w:val="00950FCC"/>
    <w:rsid w:val="00953BCC"/>
    <w:rsid w:val="00954249"/>
    <w:rsid w:val="00960122"/>
    <w:rsid w:val="0096106D"/>
    <w:rsid w:val="00962119"/>
    <w:rsid w:val="00965D42"/>
    <w:rsid w:val="00966DF5"/>
    <w:rsid w:val="00967755"/>
    <w:rsid w:val="00971478"/>
    <w:rsid w:val="00974249"/>
    <w:rsid w:val="00977CE7"/>
    <w:rsid w:val="009830F3"/>
    <w:rsid w:val="0098370B"/>
    <w:rsid w:val="009865F0"/>
    <w:rsid w:val="00987CF9"/>
    <w:rsid w:val="0099126A"/>
    <w:rsid w:val="00992303"/>
    <w:rsid w:val="00993171"/>
    <w:rsid w:val="00996833"/>
    <w:rsid w:val="009A18CD"/>
    <w:rsid w:val="009A5CEB"/>
    <w:rsid w:val="009B3596"/>
    <w:rsid w:val="009B3FA6"/>
    <w:rsid w:val="009C0A2B"/>
    <w:rsid w:val="009C0BDE"/>
    <w:rsid w:val="009C16A2"/>
    <w:rsid w:val="009C1A7F"/>
    <w:rsid w:val="009C43C1"/>
    <w:rsid w:val="009C5529"/>
    <w:rsid w:val="009C6881"/>
    <w:rsid w:val="009E0E68"/>
    <w:rsid w:val="009E1B50"/>
    <w:rsid w:val="009E26DD"/>
    <w:rsid w:val="009E5FAC"/>
    <w:rsid w:val="009E630B"/>
    <w:rsid w:val="009F610A"/>
    <w:rsid w:val="00A03B61"/>
    <w:rsid w:val="00A03C71"/>
    <w:rsid w:val="00A04B26"/>
    <w:rsid w:val="00A078E5"/>
    <w:rsid w:val="00A111EC"/>
    <w:rsid w:val="00A12558"/>
    <w:rsid w:val="00A13903"/>
    <w:rsid w:val="00A204E5"/>
    <w:rsid w:val="00A310DB"/>
    <w:rsid w:val="00A34ED5"/>
    <w:rsid w:val="00A40189"/>
    <w:rsid w:val="00A40F95"/>
    <w:rsid w:val="00A42104"/>
    <w:rsid w:val="00A42203"/>
    <w:rsid w:val="00A42A81"/>
    <w:rsid w:val="00A4517B"/>
    <w:rsid w:val="00A45DBF"/>
    <w:rsid w:val="00A51AFA"/>
    <w:rsid w:val="00A51DFF"/>
    <w:rsid w:val="00A53808"/>
    <w:rsid w:val="00A54E83"/>
    <w:rsid w:val="00A55907"/>
    <w:rsid w:val="00A61C6E"/>
    <w:rsid w:val="00A63556"/>
    <w:rsid w:val="00A65801"/>
    <w:rsid w:val="00A75530"/>
    <w:rsid w:val="00A755A2"/>
    <w:rsid w:val="00A7771F"/>
    <w:rsid w:val="00A816D5"/>
    <w:rsid w:val="00A84F45"/>
    <w:rsid w:val="00A9002C"/>
    <w:rsid w:val="00A90761"/>
    <w:rsid w:val="00A923AE"/>
    <w:rsid w:val="00A950C8"/>
    <w:rsid w:val="00AA0567"/>
    <w:rsid w:val="00AA3204"/>
    <w:rsid w:val="00AA583A"/>
    <w:rsid w:val="00AB1CE6"/>
    <w:rsid w:val="00AB2C36"/>
    <w:rsid w:val="00AB2E81"/>
    <w:rsid w:val="00AB7D30"/>
    <w:rsid w:val="00AC0B91"/>
    <w:rsid w:val="00AC0ECC"/>
    <w:rsid w:val="00AC5F21"/>
    <w:rsid w:val="00AC60A6"/>
    <w:rsid w:val="00AC60D8"/>
    <w:rsid w:val="00AD07C6"/>
    <w:rsid w:val="00AD0C36"/>
    <w:rsid w:val="00AD1A86"/>
    <w:rsid w:val="00AD25D4"/>
    <w:rsid w:val="00AD3DA7"/>
    <w:rsid w:val="00AD4F99"/>
    <w:rsid w:val="00AE103E"/>
    <w:rsid w:val="00AE22E4"/>
    <w:rsid w:val="00AE2B25"/>
    <w:rsid w:val="00AE317A"/>
    <w:rsid w:val="00AE597B"/>
    <w:rsid w:val="00AF0A07"/>
    <w:rsid w:val="00AF2379"/>
    <w:rsid w:val="00AF2C78"/>
    <w:rsid w:val="00AF5AE5"/>
    <w:rsid w:val="00AF5CD5"/>
    <w:rsid w:val="00AF625E"/>
    <w:rsid w:val="00AF721B"/>
    <w:rsid w:val="00AF7E1D"/>
    <w:rsid w:val="00B00F21"/>
    <w:rsid w:val="00B00F3A"/>
    <w:rsid w:val="00B10A45"/>
    <w:rsid w:val="00B11673"/>
    <w:rsid w:val="00B13A60"/>
    <w:rsid w:val="00B14CDB"/>
    <w:rsid w:val="00B14FA4"/>
    <w:rsid w:val="00B152B1"/>
    <w:rsid w:val="00B212EA"/>
    <w:rsid w:val="00B229A8"/>
    <w:rsid w:val="00B239C1"/>
    <w:rsid w:val="00B262DA"/>
    <w:rsid w:val="00B32F94"/>
    <w:rsid w:val="00B43602"/>
    <w:rsid w:val="00B43974"/>
    <w:rsid w:val="00B47B2D"/>
    <w:rsid w:val="00B52B06"/>
    <w:rsid w:val="00B54824"/>
    <w:rsid w:val="00B66CA3"/>
    <w:rsid w:val="00B71C7F"/>
    <w:rsid w:val="00B725AB"/>
    <w:rsid w:val="00B7374B"/>
    <w:rsid w:val="00B76D70"/>
    <w:rsid w:val="00B83A4D"/>
    <w:rsid w:val="00B85607"/>
    <w:rsid w:val="00B90701"/>
    <w:rsid w:val="00B9128B"/>
    <w:rsid w:val="00BA1439"/>
    <w:rsid w:val="00BA2026"/>
    <w:rsid w:val="00BB28DC"/>
    <w:rsid w:val="00BB403F"/>
    <w:rsid w:val="00BC3420"/>
    <w:rsid w:val="00BC4CEA"/>
    <w:rsid w:val="00BD029F"/>
    <w:rsid w:val="00BD52C9"/>
    <w:rsid w:val="00BE08EE"/>
    <w:rsid w:val="00BE4ECE"/>
    <w:rsid w:val="00BE6354"/>
    <w:rsid w:val="00BF3762"/>
    <w:rsid w:val="00BF5261"/>
    <w:rsid w:val="00BF6DDB"/>
    <w:rsid w:val="00C00B11"/>
    <w:rsid w:val="00C0253A"/>
    <w:rsid w:val="00C10EFA"/>
    <w:rsid w:val="00C1280F"/>
    <w:rsid w:val="00C14AD5"/>
    <w:rsid w:val="00C16CCD"/>
    <w:rsid w:val="00C21001"/>
    <w:rsid w:val="00C2489D"/>
    <w:rsid w:val="00C30076"/>
    <w:rsid w:val="00C31EFD"/>
    <w:rsid w:val="00C3325D"/>
    <w:rsid w:val="00C34A77"/>
    <w:rsid w:val="00C357B0"/>
    <w:rsid w:val="00C358C4"/>
    <w:rsid w:val="00C35F5D"/>
    <w:rsid w:val="00C36368"/>
    <w:rsid w:val="00C363BC"/>
    <w:rsid w:val="00C377F5"/>
    <w:rsid w:val="00C40116"/>
    <w:rsid w:val="00C40D88"/>
    <w:rsid w:val="00C44EFC"/>
    <w:rsid w:val="00C518FD"/>
    <w:rsid w:val="00C62464"/>
    <w:rsid w:val="00C62869"/>
    <w:rsid w:val="00C63E0A"/>
    <w:rsid w:val="00C6688A"/>
    <w:rsid w:val="00C701E6"/>
    <w:rsid w:val="00C70EA7"/>
    <w:rsid w:val="00C7516E"/>
    <w:rsid w:val="00C7590A"/>
    <w:rsid w:val="00C77767"/>
    <w:rsid w:val="00C77A5A"/>
    <w:rsid w:val="00C95493"/>
    <w:rsid w:val="00CA079E"/>
    <w:rsid w:val="00CA1B8E"/>
    <w:rsid w:val="00CA2423"/>
    <w:rsid w:val="00CA2AC1"/>
    <w:rsid w:val="00CA3340"/>
    <w:rsid w:val="00CA5610"/>
    <w:rsid w:val="00CA64C6"/>
    <w:rsid w:val="00CB38D0"/>
    <w:rsid w:val="00CB4DF4"/>
    <w:rsid w:val="00CB7737"/>
    <w:rsid w:val="00CB7EE7"/>
    <w:rsid w:val="00CD5665"/>
    <w:rsid w:val="00CE2446"/>
    <w:rsid w:val="00CE78D3"/>
    <w:rsid w:val="00CF0658"/>
    <w:rsid w:val="00CF2577"/>
    <w:rsid w:val="00D01C74"/>
    <w:rsid w:val="00D1392F"/>
    <w:rsid w:val="00D1439D"/>
    <w:rsid w:val="00D24877"/>
    <w:rsid w:val="00D2734B"/>
    <w:rsid w:val="00D37017"/>
    <w:rsid w:val="00D4324F"/>
    <w:rsid w:val="00D44D92"/>
    <w:rsid w:val="00D523B1"/>
    <w:rsid w:val="00D6098E"/>
    <w:rsid w:val="00D62C6A"/>
    <w:rsid w:val="00D67C69"/>
    <w:rsid w:val="00D71002"/>
    <w:rsid w:val="00D714E4"/>
    <w:rsid w:val="00D72548"/>
    <w:rsid w:val="00D75D42"/>
    <w:rsid w:val="00D80477"/>
    <w:rsid w:val="00D810B5"/>
    <w:rsid w:val="00D8171F"/>
    <w:rsid w:val="00D85066"/>
    <w:rsid w:val="00D968EC"/>
    <w:rsid w:val="00DA3046"/>
    <w:rsid w:val="00DA36ED"/>
    <w:rsid w:val="00DA39CB"/>
    <w:rsid w:val="00DA6F58"/>
    <w:rsid w:val="00DA70A2"/>
    <w:rsid w:val="00DA7FDC"/>
    <w:rsid w:val="00DB0DCA"/>
    <w:rsid w:val="00DB4A84"/>
    <w:rsid w:val="00DB6B03"/>
    <w:rsid w:val="00DD0B05"/>
    <w:rsid w:val="00DD1FD4"/>
    <w:rsid w:val="00DD6BD4"/>
    <w:rsid w:val="00DE2342"/>
    <w:rsid w:val="00DE347B"/>
    <w:rsid w:val="00DE34F1"/>
    <w:rsid w:val="00DE3B28"/>
    <w:rsid w:val="00DE3DD5"/>
    <w:rsid w:val="00DE542F"/>
    <w:rsid w:val="00DE60DC"/>
    <w:rsid w:val="00DF1CE4"/>
    <w:rsid w:val="00DF208F"/>
    <w:rsid w:val="00DF30B0"/>
    <w:rsid w:val="00DF3503"/>
    <w:rsid w:val="00DF4942"/>
    <w:rsid w:val="00E01571"/>
    <w:rsid w:val="00E041AF"/>
    <w:rsid w:val="00E06C93"/>
    <w:rsid w:val="00E11BD4"/>
    <w:rsid w:val="00E221CC"/>
    <w:rsid w:val="00E22288"/>
    <w:rsid w:val="00E23D1D"/>
    <w:rsid w:val="00E30D3D"/>
    <w:rsid w:val="00E3137A"/>
    <w:rsid w:val="00E348E6"/>
    <w:rsid w:val="00E408FF"/>
    <w:rsid w:val="00E43926"/>
    <w:rsid w:val="00E46AAF"/>
    <w:rsid w:val="00E47FE8"/>
    <w:rsid w:val="00E50F61"/>
    <w:rsid w:val="00E53681"/>
    <w:rsid w:val="00E557BD"/>
    <w:rsid w:val="00E561E1"/>
    <w:rsid w:val="00E627B1"/>
    <w:rsid w:val="00E62B4C"/>
    <w:rsid w:val="00E652C2"/>
    <w:rsid w:val="00E70A64"/>
    <w:rsid w:val="00E70F3E"/>
    <w:rsid w:val="00E766DA"/>
    <w:rsid w:val="00E83F2D"/>
    <w:rsid w:val="00E84D6E"/>
    <w:rsid w:val="00E87735"/>
    <w:rsid w:val="00E91512"/>
    <w:rsid w:val="00E9376C"/>
    <w:rsid w:val="00E95CEA"/>
    <w:rsid w:val="00E9737C"/>
    <w:rsid w:val="00EA2E2A"/>
    <w:rsid w:val="00EA4076"/>
    <w:rsid w:val="00EB0D59"/>
    <w:rsid w:val="00EB7157"/>
    <w:rsid w:val="00EC1151"/>
    <w:rsid w:val="00EC17F5"/>
    <w:rsid w:val="00EC2B99"/>
    <w:rsid w:val="00EC6FF1"/>
    <w:rsid w:val="00ED79A6"/>
    <w:rsid w:val="00EE55A0"/>
    <w:rsid w:val="00EF0CD9"/>
    <w:rsid w:val="00F04C29"/>
    <w:rsid w:val="00F05F29"/>
    <w:rsid w:val="00F07384"/>
    <w:rsid w:val="00F104F1"/>
    <w:rsid w:val="00F11433"/>
    <w:rsid w:val="00F134B7"/>
    <w:rsid w:val="00F152CA"/>
    <w:rsid w:val="00F17BA8"/>
    <w:rsid w:val="00F2064E"/>
    <w:rsid w:val="00F238F5"/>
    <w:rsid w:val="00F25491"/>
    <w:rsid w:val="00F35769"/>
    <w:rsid w:val="00F37573"/>
    <w:rsid w:val="00F41260"/>
    <w:rsid w:val="00F46634"/>
    <w:rsid w:val="00F51E5E"/>
    <w:rsid w:val="00F53C56"/>
    <w:rsid w:val="00F576CB"/>
    <w:rsid w:val="00F65E68"/>
    <w:rsid w:val="00F67DAF"/>
    <w:rsid w:val="00F70DAD"/>
    <w:rsid w:val="00F718EE"/>
    <w:rsid w:val="00F71C6E"/>
    <w:rsid w:val="00F80329"/>
    <w:rsid w:val="00F815A5"/>
    <w:rsid w:val="00F8335F"/>
    <w:rsid w:val="00F85B7E"/>
    <w:rsid w:val="00F863D7"/>
    <w:rsid w:val="00F9218E"/>
    <w:rsid w:val="00F943B7"/>
    <w:rsid w:val="00F96021"/>
    <w:rsid w:val="00F97447"/>
    <w:rsid w:val="00FA7AF0"/>
    <w:rsid w:val="00FB55FF"/>
    <w:rsid w:val="00FC2940"/>
    <w:rsid w:val="00FC4715"/>
    <w:rsid w:val="00FC5BBD"/>
    <w:rsid w:val="00FD1226"/>
    <w:rsid w:val="00FD3400"/>
    <w:rsid w:val="00FD77C8"/>
    <w:rsid w:val="00FE2DC0"/>
    <w:rsid w:val="00FE3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E808D62"/>
  <w15:docId w15:val="{8DEFD78E-6C5B-482F-9939-46BE1F67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AE59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customStyle="1" w:styleId="COMPara">
    <w:name w:val="COM Para"/>
    <w:qFormat/>
    <w:rsid w:val="00A03C71"/>
    <w:pPr>
      <w:spacing w:after="120"/>
      <w:ind w:left="720" w:hanging="36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A03C71"/>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A03C71"/>
    <w:pPr>
      <w:keepNext/>
      <w:spacing w:after="120"/>
      <w:ind w:left="567"/>
      <w:jc w:val="both"/>
    </w:pPr>
    <w:rPr>
      <w:rFonts w:ascii="Arial" w:hAnsi="Arial" w:cs="Arial"/>
      <w:sz w:val="22"/>
      <w:szCs w:val="22"/>
      <w:lang w:val="en-GB"/>
    </w:rPr>
  </w:style>
  <w:style w:type="paragraph" w:styleId="ListParagraph">
    <w:name w:val="List Paragraph"/>
    <w:basedOn w:val="Normal"/>
    <w:uiPriority w:val="34"/>
    <w:qFormat/>
    <w:rsid w:val="00A03C71"/>
    <w:pPr>
      <w:ind w:left="720"/>
      <w:contextualSpacing/>
    </w:pPr>
  </w:style>
  <w:style w:type="character" w:styleId="CommentReference">
    <w:name w:val="annotation reference"/>
    <w:basedOn w:val="DefaultParagraphFont"/>
    <w:uiPriority w:val="99"/>
    <w:semiHidden/>
    <w:unhideWhenUsed/>
    <w:rsid w:val="00A03C71"/>
    <w:rPr>
      <w:sz w:val="16"/>
      <w:szCs w:val="16"/>
    </w:rPr>
  </w:style>
  <w:style w:type="paragraph" w:styleId="CommentText">
    <w:name w:val="annotation text"/>
    <w:basedOn w:val="Normal"/>
    <w:link w:val="CommentTextChar"/>
    <w:uiPriority w:val="99"/>
    <w:unhideWhenUsed/>
    <w:rsid w:val="00A03C71"/>
    <w:rPr>
      <w:sz w:val="20"/>
      <w:szCs w:val="20"/>
    </w:rPr>
  </w:style>
  <w:style w:type="character" w:customStyle="1" w:styleId="CommentTextChar">
    <w:name w:val="Comment Text Char"/>
    <w:basedOn w:val="DefaultParagraphFont"/>
    <w:link w:val="CommentText"/>
    <w:uiPriority w:val="99"/>
    <w:rsid w:val="00A03C7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C71"/>
    <w:rPr>
      <w:b/>
      <w:bCs/>
    </w:rPr>
  </w:style>
  <w:style w:type="character" w:customStyle="1" w:styleId="CommentSubjectChar">
    <w:name w:val="Comment Subject Char"/>
    <w:basedOn w:val="CommentTextChar"/>
    <w:link w:val="CommentSubject"/>
    <w:uiPriority w:val="99"/>
    <w:semiHidden/>
    <w:rsid w:val="00A03C71"/>
    <w:rPr>
      <w:rFonts w:ascii="Times New Roman" w:eastAsia="Times New Roman" w:hAnsi="Times New Roman"/>
      <w:b/>
      <w:bCs/>
    </w:rPr>
  </w:style>
  <w:style w:type="character" w:styleId="Hyperlink">
    <w:name w:val="Hyperlink"/>
    <w:basedOn w:val="DefaultParagraphFont"/>
    <w:uiPriority w:val="99"/>
    <w:unhideWhenUsed/>
    <w:rsid w:val="00A03C71"/>
    <w:rPr>
      <w:color w:val="0000FF" w:themeColor="hyperlink"/>
      <w:u w:val="single"/>
    </w:rPr>
  </w:style>
  <w:style w:type="paragraph" w:styleId="Revision">
    <w:name w:val="Revision"/>
    <w:hidden/>
    <w:uiPriority w:val="99"/>
    <w:semiHidden/>
    <w:rsid w:val="00A03C71"/>
    <w:rPr>
      <w:rFonts w:ascii="Times New Roman" w:eastAsia="Times New Roman" w:hAnsi="Times New Roman"/>
      <w:sz w:val="24"/>
      <w:szCs w:val="24"/>
    </w:rPr>
  </w:style>
  <w:style w:type="paragraph" w:styleId="NormalWeb">
    <w:name w:val="Normal (Web)"/>
    <w:basedOn w:val="Normal"/>
    <w:uiPriority w:val="99"/>
    <w:semiHidden/>
    <w:unhideWhenUsed/>
    <w:rsid w:val="00A03C71"/>
    <w:rPr>
      <w:rFonts w:eastAsiaTheme="minorHAnsi"/>
    </w:rPr>
  </w:style>
  <w:style w:type="character" w:styleId="Strong">
    <w:name w:val="Strong"/>
    <w:basedOn w:val="DefaultParagraphFont"/>
    <w:uiPriority w:val="22"/>
    <w:qFormat/>
    <w:rsid w:val="00A03C71"/>
    <w:rPr>
      <w:b/>
      <w:bCs/>
    </w:rPr>
  </w:style>
  <w:style w:type="paragraph" w:styleId="FootnoteText">
    <w:name w:val="footnote text"/>
    <w:basedOn w:val="Normal"/>
    <w:link w:val="FootnoteTextChar"/>
    <w:uiPriority w:val="99"/>
    <w:semiHidden/>
    <w:unhideWhenUsed/>
    <w:rsid w:val="00A03C71"/>
    <w:rPr>
      <w:sz w:val="20"/>
      <w:szCs w:val="20"/>
    </w:rPr>
  </w:style>
  <w:style w:type="character" w:customStyle="1" w:styleId="FootnoteTextChar">
    <w:name w:val="Footnote Text Char"/>
    <w:basedOn w:val="DefaultParagraphFont"/>
    <w:link w:val="FootnoteText"/>
    <w:uiPriority w:val="99"/>
    <w:semiHidden/>
    <w:rsid w:val="00A03C71"/>
    <w:rPr>
      <w:rFonts w:ascii="Times New Roman" w:eastAsia="Times New Roman" w:hAnsi="Times New Roman"/>
    </w:rPr>
  </w:style>
  <w:style w:type="character" w:styleId="FootnoteReference">
    <w:name w:val="footnote reference"/>
    <w:basedOn w:val="DefaultParagraphFont"/>
    <w:uiPriority w:val="99"/>
    <w:semiHidden/>
    <w:unhideWhenUsed/>
    <w:rsid w:val="00A03C71"/>
    <w:rPr>
      <w:vertAlign w:val="superscript"/>
    </w:rPr>
  </w:style>
  <w:style w:type="character" w:styleId="FollowedHyperlink">
    <w:name w:val="FollowedHyperlink"/>
    <w:basedOn w:val="DefaultParagraphFont"/>
    <w:uiPriority w:val="99"/>
    <w:semiHidden/>
    <w:unhideWhenUsed/>
    <w:rsid w:val="00A03C71"/>
    <w:rPr>
      <w:color w:val="800080" w:themeColor="followedHyperlink"/>
      <w:u w:val="single"/>
    </w:rPr>
  </w:style>
  <w:style w:type="character" w:customStyle="1" w:styleId="hps">
    <w:name w:val="hps"/>
    <w:uiPriority w:val="99"/>
    <w:rsid w:val="00A03C71"/>
  </w:style>
  <w:style w:type="paragraph" w:styleId="ListBullet">
    <w:name w:val="List Bullet"/>
    <w:basedOn w:val="Normal"/>
    <w:uiPriority w:val="99"/>
    <w:rsid w:val="00A03C71"/>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customStyle="1" w:styleId="DocMain">
    <w:name w:val="Doc_Main"/>
    <w:basedOn w:val="Normal"/>
    <w:uiPriority w:val="99"/>
    <w:rsid w:val="00A03C71"/>
    <w:pPr>
      <w:spacing w:before="240" w:after="240"/>
      <w:ind w:left="720" w:hanging="360"/>
      <w:jc w:val="both"/>
    </w:pPr>
    <w:rPr>
      <w:rFonts w:ascii="Arial" w:eastAsiaTheme="minorHAnsi" w:hAnsi="Arial" w:cs="Arial"/>
      <w:sz w:val="22"/>
      <w:szCs w:val="22"/>
      <w:lang w:eastAsia="zh-CN"/>
    </w:rPr>
  </w:style>
  <w:style w:type="paragraph" w:customStyle="1" w:styleId="Default">
    <w:name w:val="Default"/>
    <w:link w:val="DefaultChar"/>
    <w:rsid w:val="00A03C7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AE597B"/>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4A06AE"/>
    <w:rPr>
      <w:i/>
      <w:iCs/>
    </w:rPr>
  </w:style>
  <w:style w:type="character" w:customStyle="1" w:styleId="DefaultChar">
    <w:name w:val="Default Char"/>
    <w:link w:val="Default"/>
    <w:rsid w:val="00E23D1D"/>
    <w:rPr>
      <w:rFonts w:ascii="Arial" w:hAnsi="Arial" w:cs="Arial"/>
      <w:color w:val="000000"/>
      <w:sz w:val="24"/>
      <w:szCs w:val="24"/>
    </w:rPr>
  </w:style>
  <w:style w:type="paragraph" w:styleId="EndnoteText">
    <w:name w:val="endnote text"/>
    <w:basedOn w:val="Normal"/>
    <w:link w:val="EndnoteTextChar"/>
    <w:uiPriority w:val="99"/>
    <w:semiHidden/>
    <w:unhideWhenUsed/>
    <w:rsid w:val="00F17BA8"/>
    <w:rPr>
      <w:sz w:val="20"/>
      <w:szCs w:val="20"/>
    </w:rPr>
  </w:style>
  <w:style w:type="character" w:customStyle="1" w:styleId="EndnoteTextChar">
    <w:name w:val="Endnote Text Char"/>
    <w:basedOn w:val="DefaultParagraphFont"/>
    <w:link w:val="EndnoteText"/>
    <w:uiPriority w:val="99"/>
    <w:semiHidden/>
    <w:rsid w:val="00F17BA8"/>
    <w:rPr>
      <w:rFonts w:ascii="Times New Roman" w:eastAsia="Times New Roman" w:hAnsi="Times New Roman"/>
    </w:rPr>
  </w:style>
  <w:style w:type="character" w:styleId="EndnoteReference">
    <w:name w:val="endnote reference"/>
    <w:basedOn w:val="DefaultParagraphFont"/>
    <w:uiPriority w:val="99"/>
    <w:semiHidden/>
    <w:unhideWhenUsed/>
    <w:rsid w:val="00F17BA8"/>
    <w:rPr>
      <w:vertAlign w:val="superscript"/>
    </w:rPr>
  </w:style>
  <w:style w:type="character" w:styleId="PlaceholderText">
    <w:name w:val="Placeholder Text"/>
    <w:basedOn w:val="DefaultParagraphFont"/>
    <w:uiPriority w:val="99"/>
    <w:semiHidden/>
    <w:rsid w:val="007D5E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13359">
      <w:bodyDiv w:val="1"/>
      <w:marLeft w:val="0"/>
      <w:marRight w:val="0"/>
      <w:marTop w:val="0"/>
      <w:marBottom w:val="0"/>
      <w:divBdr>
        <w:top w:val="none" w:sz="0" w:space="0" w:color="auto"/>
        <w:left w:val="none" w:sz="0" w:space="0" w:color="auto"/>
        <w:bottom w:val="none" w:sz="0" w:space="0" w:color="auto"/>
        <w:right w:val="none" w:sz="0" w:space="0" w:color="auto"/>
      </w:divBdr>
    </w:div>
    <w:div w:id="577788750">
      <w:bodyDiv w:val="1"/>
      <w:marLeft w:val="0"/>
      <w:marRight w:val="0"/>
      <w:marTop w:val="0"/>
      <w:marBottom w:val="0"/>
      <w:divBdr>
        <w:top w:val="none" w:sz="0" w:space="0" w:color="auto"/>
        <w:left w:val="none" w:sz="0" w:space="0" w:color="auto"/>
        <w:bottom w:val="none" w:sz="0" w:space="0" w:color="auto"/>
        <w:right w:val="none" w:sz="0" w:space="0" w:color="auto"/>
      </w:divBdr>
      <w:divsChild>
        <w:div w:id="1689915674">
          <w:marLeft w:val="0"/>
          <w:marRight w:val="0"/>
          <w:marTop w:val="0"/>
          <w:marBottom w:val="0"/>
          <w:divBdr>
            <w:top w:val="none" w:sz="0" w:space="0" w:color="auto"/>
            <w:left w:val="none" w:sz="0" w:space="0" w:color="auto"/>
            <w:bottom w:val="none" w:sz="0" w:space="0" w:color="auto"/>
            <w:right w:val="none" w:sz="0" w:space="0" w:color="auto"/>
          </w:divBdr>
        </w:div>
        <w:div w:id="845828076">
          <w:marLeft w:val="0"/>
          <w:marRight w:val="0"/>
          <w:marTop w:val="0"/>
          <w:marBottom w:val="0"/>
          <w:divBdr>
            <w:top w:val="none" w:sz="0" w:space="0" w:color="auto"/>
            <w:left w:val="none" w:sz="0" w:space="0" w:color="auto"/>
            <w:bottom w:val="none" w:sz="0" w:space="0" w:color="auto"/>
            <w:right w:val="none" w:sz="0" w:space="0" w:color="auto"/>
          </w:divBdr>
        </w:div>
        <w:div w:id="907569004">
          <w:marLeft w:val="0"/>
          <w:marRight w:val="0"/>
          <w:marTop w:val="0"/>
          <w:marBottom w:val="0"/>
          <w:divBdr>
            <w:top w:val="none" w:sz="0" w:space="0" w:color="auto"/>
            <w:left w:val="none" w:sz="0" w:space="0" w:color="auto"/>
            <w:bottom w:val="none" w:sz="0" w:space="0" w:color="auto"/>
            <w:right w:val="none" w:sz="0" w:space="0" w:color="auto"/>
          </w:divBdr>
        </w:div>
        <w:div w:id="885608611">
          <w:marLeft w:val="0"/>
          <w:marRight w:val="0"/>
          <w:marTop w:val="0"/>
          <w:marBottom w:val="0"/>
          <w:divBdr>
            <w:top w:val="none" w:sz="0" w:space="0" w:color="auto"/>
            <w:left w:val="none" w:sz="0" w:space="0" w:color="auto"/>
            <w:bottom w:val="none" w:sz="0" w:space="0" w:color="auto"/>
            <w:right w:val="none" w:sz="0" w:space="0" w:color="auto"/>
          </w:divBdr>
        </w:div>
      </w:divsChild>
    </w:div>
    <w:div w:id="882524549">
      <w:bodyDiv w:val="1"/>
      <w:marLeft w:val="0"/>
      <w:marRight w:val="0"/>
      <w:marTop w:val="0"/>
      <w:marBottom w:val="0"/>
      <w:divBdr>
        <w:top w:val="none" w:sz="0" w:space="0" w:color="auto"/>
        <w:left w:val="none" w:sz="0" w:space="0" w:color="auto"/>
        <w:bottom w:val="none" w:sz="0" w:space="0" w:color="auto"/>
        <w:right w:val="none" w:sz="0" w:space="0" w:color="auto"/>
      </w:divBdr>
    </w:div>
    <w:div w:id="1025979410">
      <w:bodyDiv w:val="1"/>
      <w:marLeft w:val="0"/>
      <w:marRight w:val="0"/>
      <w:marTop w:val="0"/>
      <w:marBottom w:val="0"/>
      <w:divBdr>
        <w:top w:val="none" w:sz="0" w:space="0" w:color="auto"/>
        <w:left w:val="none" w:sz="0" w:space="0" w:color="auto"/>
        <w:bottom w:val="none" w:sz="0" w:space="0" w:color="auto"/>
        <w:right w:val="none" w:sz="0" w:space="0" w:color="auto"/>
      </w:divBdr>
    </w:div>
    <w:div w:id="186478197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ITH-16-6.GA-5-FR.docx" TargetMode="External"/><Relationship Id="rId18" Type="http://schemas.openxmlformats.org/officeDocument/2006/relationships/hyperlink" Target="http://www.unesco.org/culture/ich/doc/src/ITH-14-9.COM-13.b-FR.doc" TargetMode="External"/><Relationship Id="rId26" Type="http://schemas.openxmlformats.org/officeDocument/2006/relationships/hyperlink" Target="http://www.unesco.org/culture/ich/doc/src/ITH-13-8.COM-INF.5.c-FR.doc" TargetMode="External"/><Relationship Id="rId39" Type="http://schemas.openxmlformats.org/officeDocument/2006/relationships/hyperlink" Target="http://www.unesco.org/culture/ich/doc/src/ITH-15-10.COM-6.b_FR.doc" TargetMode="External"/><Relationship Id="rId21" Type="http://schemas.openxmlformats.org/officeDocument/2006/relationships/hyperlink" Target="http://www.unesco.org/culture/ich/index.php?meeting_id=00463" TargetMode="External"/><Relationship Id="rId34" Type="http://schemas.openxmlformats.org/officeDocument/2006/relationships/hyperlink" Target="http://www.unesco.org/culture/ich/doc/src/ITH-13-8.COM-Decisions-EN.doc" TargetMode="External"/><Relationship Id="rId42" Type="http://schemas.openxmlformats.org/officeDocument/2006/relationships/hyperlink" Target="http://www.unesco.org/culture/ich/en/Decisions/8.COM/7.c" TargetMode="External"/><Relationship Id="rId47" Type="http://schemas.openxmlformats.org/officeDocument/2006/relationships/hyperlink" Target="http://www.unesco.org/culture/ich/index.php?lg=fr&amp;pg=00560&amp;key=583" TargetMode="External"/><Relationship Id="rId50" Type="http://schemas.openxmlformats.org/officeDocument/2006/relationships/hyperlink" Target="http://www.unesco.org/culture/ich/doc/src/ITH-15-10.COM-6.a_FR.docx" TargetMode="External"/><Relationship Id="rId55" Type="http://schemas.openxmlformats.org/officeDocument/2006/relationships/hyperlink" Target="https://consultations.worldbank.org/Data/hub/files/consultation-template/review-and-update-world-bank-safeguard-policies/en/materials/1_consultation_paper_for_es_framework_second_draft_for_consultation_july_8_2015-fre.pdf" TargetMode="External"/><Relationship Id="rId63" Type="http://schemas.openxmlformats.org/officeDocument/2006/relationships/hyperlink" Target="http://www.unesco.org/culture/ich/doc/src/ITH-14-9.COM_2.BUR-Decision-FR.doc" TargetMode="External"/><Relationship Id="rId68" Type="http://schemas.openxmlformats.org/officeDocument/2006/relationships/hyperlink" Target="http://unesdoc.unesco.org/images/0022/002268/226876e.pdf" TargetMode="External"/><Relationship Id="rId76" Type="http://schemas.openxmlformats.org/officeDocument/2006/relationships/header" Target="header3.xml"/><Relationship Id="rId84" Type="http://schemas.openxmlformats.org/officeDocument/2006/relationships/hyperlink" Target="http://www.unesco.org/culture/ich/doc/src/ITH-14-5.GA-5.1-FR.doc"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unesdoc.unesco.org/images/0022/002232/223256f.pdf" TargetMode="External"/><Relationship Id="rId2" Type="http://schemas.openxmlformats.org/officeDocument/2006/relationships/numbering" Target="numbering.xml"/><Relationship Id="rId16" Type="http://schemas.openxmlformats.org/officeDocument/2006/relationships/hyperlink" Target="http://www.unesco.org/culture/ich/doc/src/ITH-14-9.COM_2.BUR-Decision-FR.doc" TargetMode="External"/><Relationship Id="rId29" Type="http://schemas.openxmlformats.org/officeDocument/2006/relationships/hyperlink" Target="http://www.unesco.org/culture/ich/en/Decisions/8.COM/5.c.1" TargetMode="External"/><Relationship Id="rId11" Type="http://schemas.openxmlformats.org/officeDocument/2006/relationships/hyperlink" Target="http://unesdoc.unesco.org/images/0022/002266/226695f.pdf" TargetMode="External"/><Relationship Id="rId24" Type="http://schemas.openxmlformats.org/officeDocument/2006/relationships/hyperlink" Target="http://www.unesco.org/culture/ich/en/Decisions/8.COM/12" TargetMode="External"/><Relationship Id="rId32" Type="http://schemas.openxmlformats.org/officeDocument/2006/relationships/hyperlink" Target="http://www.unesco.org/culture/ich/doc/src/ITH-14-9.COM-7_Rev.-FR.doc" TargetMode="External"/><Relationship Id="rId37" Type="http://schemas.openxmlformats.org/officeDocument/2006/relationships/hyperlink" Target="http://www.unesco.org/culture/ich/doc/src/ITH-14-9.COM-5.b-FR.doc" TargetMode="External"/><Relationship Id="rId40" Type="http://schemas.openxmlformats.org/officeDocument/2006/relationships/chart" Target="charts/chart1.xml"/><Relationship Id="rId45" Type="http://schemas.openxmlformats.org/officeDocument/2006/relationships/hyperlink" Target="http://www.unesco.org/culture/ich/en/Decisions/8.COM/7.c" TargetMode="External"/><Relationship Id="rId53" Type="http://schemas.openxmlformats.org/officeDocument/2006/relationships/hyperlink" Target="http://www.unesco.org/culture/ich/index.php?meeting_id=00478" TargetMode="External"/><Relationship Id="rId58" Type="http://schemas.openxmlformats.org/officeDocument/2006/relationships/hyperlink" Target="http://www.unesco.org/culture/ich/fr/resolutions/5.GA/6?dec=resolutions&amp;ref_decision=5.GA" TargetMode="External"/><Relationship Id="rId66" Type="http://schemas.openxmlformats.org/officeDocument/2006/relationships/hyperlink" Target="http://unesdoc.unesco.org/images/0022/002230/223095e.pdf" TargetMode="External"/><Relationship Id="rId74" Type="http://schemas.openxmlformats.org/officeDocument/2006/relationships/header" Target="header1.xml"/><Relationship Id="rId79" Type="http://schemas.openxmlformats.org/officeDocument/2006/relationships/hyperlink" Target="http://www.unesco.org/culture/ich/doc/src/ITH-14-9.COM-13.d-FR.doc" TargetMode="External"/><Relationship Id="rId87" Type="http://schemas.openxmlformats.org/officeDocument/2006/relationships/hyperlink" Target="http://manual-part1.hq.int.unesco.org/FR/Chap5/Pages/Item5.9.aspx" TargetMode="External"/><Relationship Id="rId5" Type="http://schemas.openxmlformats.org/officeDocument/2006/relationships/webSettings" Target="webSettings.xml"/><Relationship Id="rId61" Type="http://schemas.openxmlformats.org/officeDocument/2006/relationships/hyperlink" Target="http://www.unesco.org/culture/ich/en/Decisions/10.COM/16" TargetMode="External"/><Relationship Id="rId82" Type="http://schemas.openxmlformats.org/officeDocument/2006/relationships/hyperlink" Target="http://www.unesco.org/culture/ich/doc/src/ITH-14-9.COM-13.h-FR.doc" TargetMode="External"/><Relationship Id="rId19" Type="http://schemas.openxmlformats.org/officeDocument/2006/relationships/hyperlink" Target="http://www.unesco.org/culture/ich/en/Decisions/10.COM/14.a" TargetMode="External"/><Relationship Id="rId4" Type="http://schemas.openxmlformats.org/officeDocument/2006/relationships/settings" Target="settings.xml"/><Relationship Id="rId9" Type="http://schemas.openxmlformats.org/officeDocument/2006/relationships/hyperlink" Target="http://www.unesco.org/culture/ich/doc/src/ITH-14-9.COM-6-FR_.doc" TargetMode="External"/><Relationship Id="rId14" Type="http://schemas.openxmlformats.org/officeDocument/2006/relationships/hyperlink" Target="http://unesdoc.unesco.org/images/0022/002278/227860f.pdf" TargetMode="External"/><Relationship Id="rId22" Type="http://schemas.openxmlformats.org/officeDocument/2006/relationships/hyperlink" Target="http://www.unesco.org/culture/ich/en/Decisions/10.COM/15.a" TargetMode="External"/><Relationship Id="rId27" Type="http://schemas.openxmlformats.org/officeDocument/2006/relationships/hyperlink" Target="http://www.unesco.org/culture/ich/en/Decisions/8.COM/5.c.1" TargetMode="External"/><Relationship Id="rId30" Type="http://schemas.openxmlformats.org/officeDocument/2006/relationships/hyperlink" Target="http://www.unesco.org/culture/ich/en/Decisions/8.COM/5.c.1" TargetMode="External"/><Relationship Id="rId35" Type="http://schemas.openxmlformats.org/officeDocument/2006/relationships/hyperlink" Target="http://www.unesco.org/culture/ich/fr/Registre" TargetMode="External"/><Relationship Id="rId43" Type="http://schemas.openxmlformats.org/officeDocument/2006/relationships/hyperlink" Target="http://www.unesco.org/culture/ich/doc/src/ITH-14-9.COM_2.BUR-Decision-FR.doc" TargetMode="External"/><Relationship Id="rId48" Type="http://schemas.openxmlformats.org/officeDocument/2006/relationships/hyperlink" Target="http://www.unesco.org/culture/ich/en/Decisions/9.COM/10" TargetMode="External"/><Relationship Id="rId56" Type="http://schemas.openxmlformats.org/officeDocument/2006/relationships/hyperlink" Target="http://unesdoc.unesco.org/images/0023/002328/232890f.pdf" TargetMode="External"/><Relationship Id="rId64" Type="http://schemas.openxmlformats.org/officeDocument/2006/relationships/hyperlink" Target="http://unesdoc.unesco.org/images/0023/002305/230504f.pdf" TargetMode="External"/><Relationship Id="rId69" Type="http://schemas.openxmlformats.org/officeDocument/2006/relationships/hyperlink" Target="http://www.unesco.org/culture/ich/doc/src/ITH-13-8.COM-5.c-FR.doc" TargetMode="External"/><Relationship Id="rId77" Type="http://schemas.openxmlformats.org/officeDocument/2006/relationships/hyperlink" Target="http://www.unesco.org/culture/ich/en/Decisions/10.COM/14.a" TargetMode="External"/><Relationship Id="rId8" Type="http://schemas.openxmlformats.org/officeDocument/2006/relationships/hyperlink" Target="http://www.unesco.org/culture/ich/doc/src/ITH-14-5.GA-4.3-FR.doc" TargetMode="External"/><Relationship Id="rId51" Type="http://schemas.openxmlformats.org/officeDocument/2006/relationships/hyperlink" Target="http://www.unesco.org/culture/ich/fr/Cat&#233;gorie2/" TargetMode="External"/><Relationship Id="rId72" Type="http://schemas.openxmlformats.org/officeDocument/2006/relationships/hyperlink" Target="http://www.unesco.org/culture/ich/doc/src/ITH-13-8.COM-5.c-FR.doc" TargetMode="External"/><Relationship Id="rId80" Type="http://schemas.openxmlformats.org/officeDocument/2006/relationships/hyperlink" Target="http://www.unesco.org/culture/ich/doc/src/ITH-13-8.COM-5.c-FR.doc" TargetMode="External"/><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www.unesco.org/culture/ich/doc/src/ITH-16-6.GA-5-FR.docx" TargetMode="External"/><Relationship Id="rId17" Type="http://schemas.openxmlformats.org/officeDocument/2006/relationships/hyperlink" Target="http://www.unesco.org/culture/ich/index.php?meeting_id=00454" TargetMode="External"/><Relationship Id="rId25" Type="http://schemas.openxmlformats.org/officeDocument/2006/relationships/hyperlink" Target="http://whc.unesco.org/document/137649" TargetMode="External"/><Relationship Id="rId33" Type="http://schemas.openxmlformats.org/officeDocument/2006/relationships/hyperlink" Target="http://www.unesco.org/culture/ich/en/Decisions/9.COM/7" TargetMode="External"/><Relationship Id="rId38" Type="http://schemas.openxmlformats.org/officeDocument/2006/relationships/hyperlink" Target="http://www.unesco.org/culture/ich/doc/src/ITH-15-10.COM-6.a_FR.docx" TargetMode="External"/><Relationship Id="rId46" Type="http://schemas.openxmlformats.org/officeDocument/2006/relationships/hyperlink" Target="http://www.unesco.org/culture/ich/doc/src/ITH-12-7.COM-14-FR.doc" TargetMode="External"/><Relationship Id="rId59" Type="http://schemas.openxmlformats.org/officeDocument/2006/relationships/hyperlink" Target="http://www.unesco.org/culture/ich/en/Decisions/10.COM/16" TargetMode="External"/><Relationship Id="rId67" Type="http://schemas.openxmlformats.org/officeDocument/2006/relationships/hyperlink" Target="http://unesdoc.unesco.org/images/0022/002224/222446e.pdf" TargetMode="External"/><Relationship Id="rId20" Type="http://schemas.openxmlformats.org/officeDocument/2006/relationships/hyperlink" Target="http://www.unesco.org/culture/ich/en/Decisions/7.COM/6" TargetMode="External"/><Relationship Id="rId41" Type="http://schemas.openxmlformats.org/officeDocument/2006/relationships/hyperlink" Target="http://www.unesco.org/culture/ich/en/Decisions/9.COM/9.c.2" TargetMode="External"/><Relationship Id="rId54" Type="http://schemas.openxmlformats.org/officeDocument/2006/relationships/hyperlink" Target="http://unesdoc.unesco.org/images/0024/002433/243325f.pdf" TargetMode="External"/><Relationship Id="rId62" Type="http://schemas.openxmlformats.org/officeDocument/2006/relationships/hyperlink" Target="http://www.unesco.org/culture/ich/doc/src/ITH-14-5.GA-Resolutions-FR_.doc" TargetMode="External"/><Relationship Id="rId70" Type="http://schemas.openxmlformats.org/officeDocument/2006/relationships/hyperlink" Target="http://www.unesco.org/culture/ich/en/Decisions/8.COM/5.c.1" TargetMode="External"/><Relationship Id="rId75" Type="http://schemas.openxmlformats.org/officeDocument/2006/relationships/header" Target="header2.xml"/><Relationship Id="rId83" Type="http://schemas.openxmlformats.org/officeDocument/2006/relationships/hyperlink" Target="http://www.unesco.org/culture/ich/doc/src/ITH-14-9.COM-13.h-FR.doc"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esco.org/culture/ich/doc/src/ITH-14-5.GA-7-FR.doc" TargetMode="External"/><Relationship Id="rId23" Type="http://schemas.openxmlformats.org/officeDocument/2006/relationships/hyperlink" Target="http://www.unesco.org/culture/ich/en/Decisions/10.COM/9" TargetMode="External"/><Relationship Id="rId28" Type="http://schemas.openxmlformats.org/officeDocument/2006/relationships/hyperlink" Target="http://www.unesco.org/culture/ich/en/Decisions/8.COM/5.c.1" TargetMode="External"/><Relationship Id="rId36" Type="http://schemas.openxmlformats.org/officeDocument/2006/relationships/hyperlink" Target="http://www.unesco.org/culture/ich/doc/src/ITH-14-9.COM-5.a-FR_.doc" TargetMode="External"/><Relationship Id="rId49" Type="http://schemas.openxmlformats.org/officeDocument/2006/relationships/hyperlink" Target="http://www.unesco.org/culture/ich/doc/src/ITH-14-9.COM-5.a-FR__.doc" TargetMode="External"/><Relationship Id="rId57" Type="http://schemas.openxmlformats.org/officeDocument/2006/relationships/hyperlink" Target="http://www.unesco.org/culture/ich/doc/src/ITH-15-10.COM-7.a_FR.docx" TargetMode="External"/><Relationship Id="rId10" Type="http://schemas.openxmlformats.org/officeDocument/2006/relationships/hyperlink" Target="http://www.unesco.org/culture/ich/doc/src/ITH-15-10.COM-7.b_FR.docx" TargetMode="External"/><Relationship Id="rId31" Type="http://schemas.openxmlformats.org/officeDocument/2006/relationships/hyperlink" Target="http://www.unesco.org/culture/ich/doc/src/32121-FR.pdf" TargetMode="External"/><Relationship Id="rId44" Type="http://schemas.openxmlformats.org/officeDocument/2006/relationships/hyperlink" Target="http://www.unesco.org/culture/ich/doc/src/ICH-04-2017-aide-m&#233;moire-FR.doc" TargetMode="External"/><Relationship Id="rId52" Type="http://schemas.openxmlformats.org/officeDocument/2006/relationships/hyperlink" Target="http://www.unesco.org/culture/ich/index.php?meeting_id=00436" TargetMode="External"/><Relationship Id="rId60" Type="http://schemas.openxmlformats.org/officeDocument/2006/relationships/hyperlink" Target="http://www.unesco.org/culture/ich/doc/src/ITH-10-3.GA-CONF.201-7-FR-Corr..doc" TargetMode="External"/><Relationship Id="rId65" Type="http://schemas.openxmlformats.org/officeDocument/2006/relationships/hyperlink" Target="https://www.youtube.com/user/unesco" TargetMode="External"/><Relationship Id="rId73" Type="http://schemas.openxmlformats.org/officeDocument/2006/relationships/hyperlink" Target="http://www.unesco.org/culture/ich/en/Decisions/8.COM/5.c.2" TargetMode="External"/><Relationship Id="rId78" Type="http://schemas.openxmlformats.org/officeDocument/2006/relationships/hyperlink" Target="http://www.unesco.org/culture/ich/doc/src/ITH-16-6.GA-7-FR.docx" TargetMode="External"/><Relationship Id="rId81" Type="http://schemas.openxmlformats.org/officeDocument/2006/relationships/hyperlink" Target="http://www.unesco.org/culture/ich/doc/src/ITH-15-10.COM-8_FR.docx" TargetMode="External"/><Relationship Id="rId86" Type="http://schemas.openxmlformats.org/officeDocument/2006/relationships/hyperlink" Target="http://www.unesco.org/culture/ich/doc/src/ITH-15-10.COM-9_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delugeau\Documents\Unesco%20traductions\2015\PCI\Octobre\10%20COM_Working%20document_FR.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100" b="1">
                <a:effectLst/>
              </a:rPr>
              <a:t>Nombre total de dossiers soumis par les États parties </a:t>
            </a:r>
            <a:endParaRPr lang="fr-FR" sz="1100">
              <a:effectLst/>
            </a:endParaRPr>
          </a:p>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100"/>
              <a:t>de juin</a:t>
            </a:r>
            <a:r>
              <a:rPr lang="fr-FR" sz="1100" baseline="0"/>
              <a:t> 2014 à avril 2016</a:t>
            </a:r>
            <a:endParaRPr lang="fr-FR" sz="1100"/>
          </a:p>
        </c:rich>
      </c:tx>
      <c:layout/>
      <c:overlay val="0"/>
      <c:spPr>
        <a:noFill/>
      </c:spPr>
    </c:title>
    <c:autoTitleDeleted val="0"/>
    <c:plotArea>
      <c:layout/>
      <c:pieChart>
        <c:varyColors val="1"/>
        <c:ser>
          <c:idx val="0"/>
          <c:order val="0"/>
          <c:tx>
            <c:strRef>
              <c:f>Sheet1!$B$1</c:f>
              <c:strCache>
                <c:ptCount val="1"/>
                <c:pt idx="0">
                  <c:v>Total number of files submitted by States Parties from June 2014 to May 2016</c:v>
                </c:pt>
              </c:strCache>
            </c:strRef>
          </c:tx>
          <c:spPr>
            <a:ln w="19050">
              <a:solidFill>
                <a:schemeClr val="bg1"/>
              </a:solidFill>
            </a:ln>
          </c:spPr>
          <c:dPt>
            <c:idx val="1"/>
            <c:bubble3D val="0"/>
            <c:spPr>
              <a:solidFill>
                <a:schemeClr val="accent2">
                  <a:lumMod val="60000"/>
                  <a:lumOff val="40000"/>
                </a:schemeClr>
              </a:solidFill>
              <a:ln w="19050">
                <a:solidFill>
                  <a:schemeClr val="bg1"/>
                </a:solidFill>
              </a:ln>
            </c:spPr>
            <c:extLst xmlns:c16r2="http://schemas.microsoft.com/office/drawing/2015/06/chart">
              <c:ext xmlns:c16="http://schemas.microsoft.com/office/drawing/2014/chart" uri="{C3380CC4-5D6E-409C-BE32-E72D297353CC}">
                <c16:uniqueId val="{00000001-E1F4-4E68-80E3-BFC218D2E3F4}"/>
              </c:ext>
            </c:extLst>
          </c:dPt>
          <c:dPt>
            <c:idx val="3"/>
            <c:bubble3D val="0"/>
            <c:spPr>
              <a:solidFill>
                <a:schemeClr val="accent4">
                  <a:lumMod val="60000"/>
                  <a:lumOff val="40000"/>
                </a:schemeClr>
              </a:solidFill>
              <a:ln w="19050">
                <a:solidFill>
                  <a:schemeClr val="bg1"/>
                </a:solidFill>
              </a:ln>
            </c:spPr>
            <c:extLst xmlns:c16r2="http://schemas.microsoft.com/office/drawing/2015/06/chart">
              <c:ext xmlns:c16="http://schemas.microsoft.com/office/drawing/2014/chart" uri="{C3380CC4-5D6E-409C-BE32-E72D297353CC}">
                <c16:uniqueId val="{00000003-E1F4-4E68-80E3-BFC218D2E3F4}"/>
              </c:ext>
            </c:extLst>
          </c:dPt>
          <c:dPt>
            <c:idx val="4"/>
            <c:bubble3D val="0"/>
            <c:spPr>
              <a:solidFill>
                <a:schemeClr val="accent5">
                  <a:lumMod val="60000"/>
                  <a:lumOff val="40000"/>
                </a:schemeClr>
              </a:solidFill>
              <a:ln w="19050">
                <a:solidFill>
                  <a:schemeClr val="bg1"/>
                </a:solidFill>
              </a:ln>
            </c:spPr>
            <c:extLst xmlns:c16r2="http://schemas.microsoft.com/office/drawing/2015/06/chart">
              <c:ext xmlns:c16="http://schemas.microsoft.com/office/drawing/2014/chart" uri="{C3380CC4-5D6E-409C-BE32-E72D297353CC}">
                <c16:uniqueId val="{00000005-E1F4-4E68-80E3-BFC218D2E3F4}"/>
              </c:ext>
            </c:extLst>
          </c:dPt>
          <c:dLbls>
            <c:dLbl>
              <c:idx val="0"/>
              <c:layout>
                <c:manualLayout>
                  <c:x val="2.1929824561403508E-3"/>
                  <c:y val="4.4444444444444446E-2"/>
                </c:manualLayout>
              </c:layout>
              <c:tx>
                <c:rich>
                  <a:bodyPr/>
                  <a:lstStyle/>
                  <a:p>
                    <a:r>
                      <a:rPr lang="en-US"/>
                      <a:t>Groupe I</a:t>
                    </a:r>
                  </a:p>
                  <a:p>
                    <a:r>
                      <a:rPr lang="en-US"/>
                      <a:t>19</a:t>
                    </a:r>
                  </a:p>
                </c:rich>
              </c:tx>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6-E1F4-4E68-80E3-BFC218D2E3F4}"/>
                </c:ext>
                <c:ext xmlns:c15="http://schemas.microsoft.com/office/drawing/2012/chart" uri="{CE6537A1-D6FC-4f65-9D91-7224C49458BB}">
                  <c15:layout/>
                </c:ext>
              </c:extLst>
            </c:dLbl>
            <c:dLbl>
              <c:idx val="1"/>
              <c:layout/>
              <c:tx>
                <c:rich>
                  <a:bodyPr/>
                  <a:lstStyle/>
                  <a:p>
                    <a:r>
                      <a:rPr lang="en-US"/>
                      <a:t>Groupe II</a:t>
                    </a:r>
                  </a:p>
                  <a:p>
                    <a:r>
                      <a:rPr lang="en-US"/>
                      <a:t>25</a:t>
                    </a:r>
                  </a:p>
                </c:rich>
              </c:tx>
              <c:dLblPos val="outEnd"/>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E1F4-4E68-80E3-BFC218D2E3F4}"/>
                </c:ext>
                <c:ext xmlns:c15="http://schemas.microsoft.com/office/drawing/2012/chart" uri="{CE6537A1-D6FC-4f65-9D91-7224C49458BB}">
                  <c15:layout/>
                </c:ext>
              </c:extLst>
            </c:dLbl>
            <c:dLbl>
              <c:idx val="2"/>
              <c:layout/>
              <c:tx>
                <c:rich>
                  <a:bodyPr/>
                  <a:lstStyle/>
                  <a:p>
                    <a:r>
                      <a:rPr lang="en-US"/>
                      <a:t>Groupe III</a:t>
                    </a:r>
                  </a:p>
                  <a:p>
                    <a:r>
                      <a:rPr lang="en-US"/>
                      <a:t>16</a:t>
                    </a:r>
                  </a:p>
                </c:rich>
              </c:tx>
              <c:dLblPos val="outEnd"/>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7-E1F4-4E68-80E3-BFC218D2E3F4}"/>
                </c:ext>
                <c:ext xmlns:c15="http://schemas.microsoft.com/office/drawing/2012/chart" uri="{CE6537A1-D6FC-4f65-9D91-7224C49458BB}">
                  <c15:layout/>
                </c:ext>
              </c:extLst>
            </c:dLbl>
            <c:dLbl>
              <c:idx val="3"/>
              <c:layout/>
              <c:tx>
                <c:rich>
                  <a:bodyPr/>
                  <a:lstStyle/>
                  <a:p>
                    <a:r>
                      <a:rPr lang="en-US"/>
                      <a:t>Groupe IV</a:t>
                    </a:r>
                    <a:r>
                      <a:rPr lang="en-US" baseline="0"/>
                      <a:t>
24</a:t>
                    </a:r>
                  </a:p>
                </c:rich>
              </c:tx>
              <c:dLblPos val="outEnd"/>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E1F4-4E68-80E3-BFC218D2E3F4}"/>
                </c:ext>
                <c:ext xmlns:c15="http://schemas.microsoft.com/office/drawing/2012/chart" uri="{CE6537A1-D6FC-4f65-9D91-7224C49458BB}">
                  <c15:layout/>
                </c:ext>
              </c:extLst>
            </c:dLbl>
            <c:dLbl>
              <c:idx val="4"/>
              <c:layout/>
              <c:tx>
                <c:rich>
                  <a:bodyPr/>
                  <a:lstStyle/>
                  <a:p>
                    <a:r>
                      <a:rPr lang="en-US"/>
                      <a:t>Groupe V(a)</a:t>
                    </a:r>
                  </a:p>
                  <a:p>
                    <a:r>
                      <a:rPr lang="en-US"/>
                      <a:t>24</a:t>
                    </a:r>
                  </a:p>
                </c:rich>
              </c:tx>
              <c:dLblPos val="outEnd"/>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E1F4-4E68-80E3-BFC218D2E3F4}"/>
                </c:ext>
                <c:ext xmlns:c15="http://schemas.microsoft.com/office/drawing/2012/chart" uri="{CE6537A1-D6FC-4f65-9D91-7224C49458BB}">
                  <c15:layout/>
                </c:ext>
              </c:extLst>
            </c:dLbl>
            <c:dLbl>
              <c:idx val="5"/>
              <c:layout>
                <c:manualLayout>
                  <c:x val="0"/>
                  <c:y val="3.111111111111111E-2"/>
                </c:manualLayout>
              </c:layout>
              <c:tx>
                <c:rich>
                  <a:bodyPr/>
                  <a:lstStyle/>
                  <a:p>
                    <a:r>
                      <a:rPr lang="en-US"/>
                      <a:t>Groupe V(b)</a:t>
                    </a:r>
                    <a:r>
                      <a:rPr lang="en-US" baseline="0"/>
                      <a:t>
11</a:t>
                    </a:r>
                  </a:p>
                </c:rich>
              </c:tx>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8-E1F4-4E68-80E3-BFC218D2E3F4}"/>
                </c:ext>
                <c:ext xmlns:c15="http://schemas.microsoft.com/office/drawing/2012/chart" uri="{CE6537A1-D6FC-4f65-9D91-7224C49458BB}">
                  <c15:layout/>
                </c:ext>
              </c:extLst>
            </c:dLbl>
            <c:spPr>
              <a:noFill/>
              <a:ln>
                <a:noFill/>
              </a:ln>
              <a:effectLst/>
            </c:spPr>
            <c:txPr>
              <a:bodyPr/>
              <a:lstStyle/>
              <a:p>
                <a:pPr>
                  <a:defRPr sz="900"/>
                </a:pPr>
                <a:endParaRPr lang="fr-FR"/>
              </a:p>
            </c:txPr>
            <c:dLblPos val="outEnd"/>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11</c:v>
                </c:pt>
                <c:pt idx="1">
                  <c:v>15</c:v>
                </c:pt>
                <c:pt idx="2">
                  <c:v>12</c:v>
                </c:pt>
                <c:pt idx="3">
                  <c:v>16</c:v>
                </c:pt>
                <c:pt idx="4">
                  <c:v>19</c:v>
                </c:pt>
                <c:pt idx="5">
                  <c:v>5</c:v>
                </c:pt>
              </c:numCache>
            </c:numRef>
          </c:val>
          <c:extLst xmlns:c16r2="http://schemas.microsoft.com/office/drawing/2015/06/chart">
            <c:ext xmlns:c16="http://schemas.microsoft.com/office/drawing/2014/chart" uri="{C3380CC4-5D6E-409C-BE32-E72D297353CC}">
              <c16:uniqueId val="{00000009-E1F4-4E68-80E3-BFC218D2E3F4}"/>
            </c:ext>
          </c:extLst>
        </c:ser>
        <c:ser>
          <c:idx val="1"/>
          <c:order val="1"/>
          <c:tx>
            <c:strRef>
              <c:f>Sheet1!$C$1</c:f>
              <c:strCache>
                <c:ptCount val="1"/>
                <c:pt idx="0">
                  <c:v>Files submitted from June to December 2014</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Sheet1!$C$2:$C$7</c:f>
              <c:numCache>
                <c:formatCode>General</c:formatCode>
                <c:ptCount val="6"/>
                <c:pt idx="3">
                  <c:v>1</c:v>
                </c:pt>
                <c:pt idx="4">
                  <c:v>2</c:v>
                </c:pt>
              </c:numCache>
            </c:numRef>
          </c:val>
          <c:extLst xmlns:c16r2="http://schemas.microsoft.com/office/drawing/2015/06/chart">
            <c:ext xmlns:c16="http://schemas.microsoft.com/office/drawing/2014/chart" uri="{C3380CC4-5D6E-409C-BE32-E72D297353CC}">
              <c16:uniqueId val="{0000000A-E1F4-4E68-80E3-BFC218D2E3F4}"/>
            </c:ext>
          </c:extLst>
        </c:ser>
        <c:ser>
          <c:idx val="2"/>
          <c:order val="2"/>
          <c:tx>
            <c:strRef>
              <c:f>Sheet1!$D$1</c:f>
              <c:strCache>
                <c:ptCount val="1"/>
                <c:pt idx="0">
                  <c:v>Files submitted in 2015</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Sheet1!$D$2:$D$7</c:f>
              <c:numCache>
                <c:formatCode>General</c:formatCode>
                <c:ptCount val="6"/>
                <c:pt idx="0">
                  <c:v>11</c:v>
                </c:pt>
                <c:pt idx="1">
                  <c:v>14</c:v>
                </c:pt>
                <c:pt idx="2">
                  <c:v>11</c:v>
                </c:pt>
                <c:pt idx="3">
                  <c:v>14</c:v>
                </c:pt>
                <c:pt idx="4">
                  <c:v>17</c:v>
                </c:pt>
                <c:pt idx="5">
                  <c:v>5</c:v>
                </c:pt>
              </c:numCache>
            </c:numRef>
          </c:val>
          <c:extLst xmlns:c16r2="http://schemas.microsoft.com/office/drawing/2015/06/chart">
            <c:ext xmlns:c16="http://schemas.microsoft.com/office/drawing/2014/chart" uri="{C3380CC4-5D6E-409C-BE32-E72D297353CC}">
              <c16:uniqueId val="{0000000B-E1F4-4E68-80E3-BFC218D2E3F4}"/>
            </c:ext>
          </c:extLst>
        </c:ser>
        <c:ser>
          <c:idx val="3"/>
          <c:order val="3"/>
          <c:tx>
            <c:strRef>
              <c:f>Sheet1!$E$1</c:f>
              <c:strCache>
                <c:ptCount val="1"/>
                <c:pt idx="0">
                  <c:v>Files submitted in 2016</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Sheet1!$E$2:$E$7</c:f>
              <c:numCache>
                <c:formatCode>General</c:formatCode>
                <c:ptCount val="6"/>
                <c:pt idx="1">
                  <c:v>1</c:v>
                </c:pt>
                <c:pt idx="2">
                  <c:v>1</c:v>
                </c:pt>
                <c:pt idx="3">
                  <c:v>1</c:v>
                </c:pt>
              </c:numCache>
            </c:numRef>
          </c:val>
          <c:extLst xmlns:c16r2="http://schemas.microsoft.com/office/drawing/2015/06/chart">
            <c:ext xmlns:c16="http://schemas.microsoft.com/office/drawing/2014/chart" uri="{C3380CC4-5D6E-409C-BE32-E72D297353CC}">
              <c16:uniqueId val="{0000000C-E1F4-4E68-80E3-BFC218D2E3F4}"/>
            </c:ext>
          </c:extLst>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1606C-636D-4802-B8FA-E4DE5103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Template>
  <TotalTime>1</TotalTime>
  <Pages>47</Pages>
  <Words>22092</Words>
  <Characters>121510</Characters>
  <Application>Microsoft Office Word</Application>
  <DocSecurity>0</DocSecurity>
  <Lines>1012</Lines>
  <Paragraphs>286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jmdelugeau</dc:creator>
  <cp:lastModifiedBy>Poivre, Josiane</cp:lastModifiedBy>
  <cp:revision>2</cp:revision>
  <cp:lastPrinted>2016-04-12T12:12:00Z</cp:lastPrinted>
  <dcterms:created xsi:type="dcterms:W3CDTF">2016-05-30T07:09:00Z</dcterms:created>
  <dcterms:modified xsi:type="dcterms:W3CDTF">2016-05-30T07:09:00Z</dcterms:modified>
</cp:coreProperties>
</file>