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44255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 xml:space="preserve">CONVENCIÓN PARA LA SALVAGUARDIA DEL </w:t>
      </w:r>
      <w:r w:rsidRPr="00442559">
        <w:rPr>
          <w:rFonts w:ascii="Arial" w:hAnsi="Arial" w:cs="Arial"/>
          <w:b/>
          <w:sz w:val="22"/>
          <w:szCs w:val="22"/>
        </w:rPr>
        <w:br/>
      </w:r>
      <w:r w:rsidRPr="00442559">
        <w:rPr>
          <w:rFonts w:ascii="Arial" w:hAnsi="Arial"/>
          <w:b/>
          <w:sz w:val="22"/>
        </w:rPr>
        <w:t>PATRIMONIO CULTURAL INMATERIAL</w:t>
      </w:r>
    </w:p>
    <w:p w:rsidR="00655736" w:rsidRPr="0044255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>ASAMBLEA GENERAL DE ESTADOS PARTES EN LA CONVENCIÓN</w:t>
      </w:r>
    </w:p>
    <w:p w:rsidR="00D95C4C" w:rsidRPr="00442559" w:rsidRDefault="00763A0D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>Sexta reunión</w:t>
      </w:r>
    </w:p>
    <w:p w:rsidR="00D95C4C" w:rsidRPr="00442559" w:rsidRDefault="00D95C4C" w:rsidP="00D95C4C">
      <w:pPr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>Sede de la UNESCO, Sala II</w:t>
      </w:r>
    </w:p>
    <w:p w:rsidR="00655736" w:rsidRPr="00442559" w:rsidRDefault="00763A0D" w:rsidP="00D95C4C">
      <w:pPr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 xml:space="preserve">30 de </w:t>
      </w:r>
      <w:r w:rsidR="0019195E">
        <w:rPr>
          <w:rFonts w:ascii="Arial" w:hAnsi="Arial"/>
          <w:b/>
          <w:sz w:val="22"/>
        </w:rPr>
        <w:t>m</w:t>
      </w:r>
      <w:r w:rsidR="0019195E" w:rsidRPr="00442559">
        <w:rPr>
          <w:rFonts w:ascii="Arial" w:hAnsi="Arial"/>
          <w:b/>
          <w:sz w:val="22"/>
        </w:rPr>
        <w:t xml:space="preserve">ayo </w:t>
      </w:r>
      <w:r w:rsidRPr="00442559">
        <w:rPr>
          <w:rFonts w:ascii="Arial" w:hAnsi="Arial"/>
          <w:b/>
          <w:sz w:val="22"/>
        </w:rPr>
        <w:t xml:space="preserve">a 1 de </w:t>
      </w:r>
      <w:r w:rsidR="0019195E">
        <w:rPr>
          <w:rFonts w:ascii="Arial" w:hAnsi="Arial"/>
          <w:b/>
          <w:sz w:val="22"/>
        </w:rPr>
        <w:t>j</w:t>
      </w:r>
      <w:r w:rsidR="0019195E" w:rsidRPr="00442559">
        <w:rPr>
          <w:rFonts w:ascii="Arial" w:hAnsi="Arial"/>
          <w:b/>
          <w:sz w:val="22"/>
        </w:rPr>
        <w:t xml:space="preserve">unio </w:t>
      </w:r>
      <w:r w:rsidRPr="00442559">
        <w:rPr>
          <w:rFonts w:ascii="Arial" w:hAnsi="Arial"/>
          <w:b/>
          <w:sz w:val="22"/>
        </w:rPr>
        <w:t>de 2016</w:t>
      </w:r>
    </w:p>
    <w:p w:rsidR="00655736" w:rsidRPr="0044255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  <w:u w:val="single"/>
        </w:rPr>
        <w:t xml:space="preserve">Punto 5 del </w:t>
      </w:r>
      <w:r w:rsidR="0019195E">
        <w:rPr>
          <w:rFonts w:ascii="Arial" w:hAnsi="Arial"/>
          <w:b/>
          <w:sz w:val="22"/>
          <w:u w:val="single"/>
        </w:rPr>
        <w:t>o</w:t>
      </w:r>
      <w:r w:rsidR="0019195E" w:rsidRPr="00442559">
        <w:rPr>
          <w:rFonts w:ascii="Arial" w:hAnsi="Arial"/>
          <w:b/>
          <w:sz w:val="22"/>
          <w:u w:val="single"/>
        </w:rPr>
        <w:t xml:space="preserve">rden </w:t>
      </w:r>
      <w:r w:rsidRPr="00442559">
        <w:rPr>
          <w:rFonts w:ascii="Arial" w:hAnsi="Arial"/>
          <w:b/>
          <w:sz w:val="22"/>
          <w:u w:val="single"/>
        </w:rPr>
        <w:t xml:space="preserve">del </w:t>
      </w:r>
      <w:r w:rsidR="0019195E">
        <w:rPr>
          <w:rFonts w:ascii="Arial" w:hAnsi="Arial"/>
          <w:b/>
          <w:sz w:val="22"/>
          <w:u w:val="single"/>
        </w:rPr>
        <w:t>d</w:t>
      </w:r>
      <w:r w:rsidR="0019195E" w:rsidRPr="00442559">
        <w:rPr>
          <w:rFonts w:ascii="Arial" w:hAnsi="Arial"/>
          <w:b/>
          <w:sz w:val="22"/>
          <w:u w:val="single"/>
        </w:rPr>
        <w:t xml:space="preserve">ía </w:t>
      </w:r>
      <w:r w:rsidR="0019195E">
        <w:rPr>
          <w:rFonts w:ascii="Arial" w:hAnsi="Arial"/>
          <w:b/>
          <w:sz w:val="22"/>
          <w:u w:val="single"/>
        </w:rPr>
        <w:t>p</w:t>
      </w:r>
      <w:r w:rsidR="0019195E" w:rsidRPr="00442559">
        <w:rPr>
          <w:rFonts w:ascii="Arial" w:hAnsi="Arial"/>
          <w:b/>
          <w:sz w:val="22"/>
          <w:u w:val="single"/>
        </w:rPr>
        <w:t>rovisional</w:t>
      </w:r>
      <w:r w:rsidRPr="00442559">
        <w:rPr>
          <w:rFonts w:ascii="Arial" w:hAnsi="Arial"/>
          <w:b/>
          <w:sz w:val="22"/>
          <w:u w:val="single"/>
        </w:rPr>
        <w:t>:</w:t>
      </w:r>
    </w:p>
    <w:p w:rsidR="00DD21FB" w:rsidRPr="00C86966" w:rsidRDefault="00DD21FB" w:rsidP="00DD21FB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86966">
        <w:rPr>
          <w:rFonts w:ascii="Arial" w:hAnsi="Arial"/>
          <w:b/>
          <w:sz w:val="22"/>
          <w:lang w:val="it-IT"/>
        </w:rPr>
        <w:t>Informe del Comité a la Asamblea General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442559">
        <w:trPr>
          <w:jc w:val="center"/>
        </w:trPr>
        <w:tc>
          <w:tcPr>
            <w:tcW w:w="7825" w:type="dxa"/>
            <w:vAlign w:val="center"/>
          </w:tcPr>
          <w:p w:rsidR="0057439C" w:rsidRPr="0044255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559">
              <w:rPr>
                <w:rFonts w:ascii="Arial" w:hAnsi="Arial"/>
                <w:b/>
                <w:sz w:val="22"/>
              </w:rPr>
              <w:t>Resumen</w:t>
            </w:r>
          </w:p>
          <w:p w:rsidR="00DD21FB" w:rsidRPr="00442559" w:rsidRDefault="00DD21FB" w:rsidP="005B7A35">
            <w:pPr>
              <w:pStyle w:val="Sansinterligne2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559">
              <w:rPr>
                <w:rFonts w:ascii="Arial" w:hAnsi="Arial"/>
                <w:sz w:val="22"/>
              </w:rPr>
              <w:t>El Artículo 30.1 de la Convención para la Salvaguardia del Patrimonio Cultural Inmaterial estipula que «</w:t>
            </w:r>
            <w:r w:rsidR="0019195E">
              <w:rPr>
                <w:rFonts w:ascii="Arial" w:hAnsi="Arial"/>
                <w:sz w:val="22"/>
              </w:rPr>
              <w:t> </w:t>
            </w:r>
            <w:r w:rsidRPr="00442559">
              <w:rPr>
                <w:rFonts w:ascii="Arial" w:hAnsi="Arial"/>
                <w:sz w:val="22"/>
              </w:rPr>
              <w:t>basándose en sus actividades y en los informes de los Estados Partes [...], el Comité presentará un informe a la Asamblea General en cada una de sus reuniones</w:t>
            </w:r>
            <w:r w:rsidR="0019195E">
              <w:rPr>
                <w:rFonts w:ascii="Arial" w:hAnsi="Arial"/>
                <w:sz w:val="22"/>
              </w:rPr>
              <w:t> </w:t>
            </w:r>
            <w:r w:rsidRPr="00442559">
              <w:rPr>
                <w:rFonts w:ascii="Arial" w:hAnsi="Arial"/>
                <w:sz w:val="22"/>
              </w:rPr>
              <w:t>»</w:t>
            </w:r>
            <w:r w:rsidR="0019195E">
              <w:rPr>
                <w:rFonts w:ascii="Arial" w:hAnsi="Arial"/>
                <w:sz w:val="22"/>
              </w:rPr>
              <w:t>.</w:t>
            </w:r>
            <w:r w:rsidRPr="00442559">
              <w:rPr>
                <w:rFonts w:ascii="Arial" w:hAnsi="Arial"/>
                <w:sz w:val="22"/>
              </w:rPr>
              <w:t xml:space="preserve"> Este documento contiene el informe del Comité basado en sus actividades entre </w:t>
            </w:r>
            <w:r w:rsidR="0019195E">
              <w:rPr>
                <w:rFonts w:ascii="Arial" w:hAnsi="Arial"/>
                <w:sz w:val="22"/>
              </w:rPr>
              <w:t>j</w:t>
            </w:r>
            <w:r w:rsidR="0019195E" w:rsidRPr="00442559">
              <w:rPr>
                <w:rFonts w:ascii="Arial" w:hAnsi="Arial"/>
                <w:sz w:val="22"/>
              </w:rPr>
              <w:t xml:space="preserve">unio </w:t>
            </w:r>
            <w:r w:rsidRPr="00442559">
              <w:rPr>
                <w:rFonts w:ascii="Arial" w:hAnsi="Arial"/>
                <w:sz w:val="22"/>
              </w:rPr>
              <w:t xml:space="preserve">de 2014 y </w:t>
            </w:r>
            <w:r w:rsidR="0019195E">
              <w:rPr>
                <w:rFonts w:ascii="Arial" w:hAnsi="Arial"/>
                <w:sz w:val="22"/>
              </w:rPr>
              <w:t>j</w:t>
            </w:r>
            <w:r w:rsidR="0019195E" w:rsidRPr="00442559">
              <w:rPr>
                <w:rFonts w:ascii="Arial" w:hAnsi="Arial"/>
                <w:sz w:val="22"/>
              </w:rPr>
              <w:t xml:space="preserve">unio </w:t>
            </w:r>
            <w:r w:rsidRPr="00442559">
              <w:rPr>
                <w:rFonts w:ascii="Arial" w:hAnsi="Arial"/>
                <w:sz w:val="22"/>
              </w:rPr>
              <w:t xml:space="preserve">de 2016 y </w:t>
            </w:r>
            <w:r w:rsidR="0019195E">
              <w:rPr>
                <w:rFonts w:ascii="Arial" w:hAnsi="Arial"/>
                <w:sz w:val="22"/>
              </w:rPr>
              <w:t xml:space="preserve">en </w:t>
            </w:r>
            <w:r w:rsidRPr="00442559">
              <w:rPr>
                <w:rFonts w:ascii="Arial" w:hAnsi="Arial"/>
                <w:sz w:val="22"/>
              </w:rPr>
              <w:t>los informes de los Estados Partes que adoptó durante su novena y décima reunión.</w:t>
            </w:r>
          </w:p>
          <w:p w:rsidR="00655736" w:rsidRPr="00442559" w:rsidRDefault="0057439C" w:rsidP="00DD21FB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2559">
              <w:rPr>
                <w:rFonts w:ascii="Arial" w:hAnsi="Arial"/>
                <w:b/>
                <w:sz w:val="22"/>
              </w:rPr>
              <w:t xml:space="preserve">Decisión requerida: </w:t>
            </w:r>
            <w:r w:rsidRPr="00442559">
              <w:rPr>
                <w:rFonts w:ascii="Arial" w:hAnsi="Arial"/>
                <w:sz w:val="22"/>
              </w:rPr>
              <w:t xml:space="preserve">párrafo </w:t>
            </w:r>
            <w:r w:rsidRPr="00C86966">
              <w:rPr>
                <w:rFonts w:ascii="Arial" w:hAnsi="Arial"/>
                <w:sz w:val="22"/>
              </w:rPr>
              <w:t>3</w:t>
            </w:r>
          </w:p>
        </w:tc>
      </w:tr>
    </w:tbl>
    <w:p w:rsidR="000E5A52" w:rsidRPr="00442559" w:rsidRDefault="00655736" w:rsidP="00AB7F28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  <w:rPr>
          <w:rFonts w:eastAsia="Arial" w:cs="Arial"/>
          <w:szCs w:val="22"/>
        </w:rPr>
      </w:pPr>
      <w:r w:rsidRPr="00442559">
        <w:br w:type="page"/>
      </w:r>
      <w:r w:rsidRPr="00442559">
        <w:lastRenderedPageBreak/>
        <w:t>El Artículo 30.1 de la Convención de 2003 para la Salvaguardia del Patrimonio Cultural Inmaterial estipula que «basándose en sus actividades y en los informes de los Estados Partes [...] el Comité presentará un informe a la Asamblea General en cada una de sus reuniones.» El Artículo 30.2 confirma que «El Informe debe ser transmitido a la Conferencia General de la UNESCO». Este documento contiene el informe del Comité basado en sus actividades entre Junio de 2014 y Junio de 2016 y los informes de los Estados Partes que adoptó durante su novena y décima reunión, en el anexo al proyecto de resolución.</w:t>
      </w:r>
    </w:p>
    <w:p w:rsidR="002A72B0" w:rsidRPr="00442559" w:rsidRDefault="002A72B0" w:rsidP="00852351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</w:pPr>
      <w:r w:rsidRPr="00442559">
        <w:t>Este informe debe ser leído junto al informe de la Secretaría sobre sus actividades y sus anexos relativos al seguimiento de auditorías y evaluaciones (documento ITH/16/6.GA/6) y el estado financiero del Fondo para la Salvaguardia del Patrimonio Cultural Inmaterial (documento ITH/16/6.GA/INF.9.1).</w:t>
      </w:r>
    </w:p>
    <w:p w:rsidR="00D95C4C" w:rsidRPr="00442559" w:rsidRDefault="00D95C4C" w:rsidP="003743B1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</w:pPr>
      <w:r w:rsidRPr="00442559">
        <w:t>La Asamblea General podría aprobar la siguiente resolución:</w:t>
      </w:r>
    </w:p>
    <w:p w:rsidR="00D95C4C" w:rsidRPr="00442559" w:rsidRDefault="004A34A0" w:rsidP="00041A66">
      <w:pPr>
        <w:pStyle w:val="GATitleResolution"/>
        <w:rPr>
          <w:rFonts w:eastAsia="SimSun"/>
        </w:rPr>
      </w:pPr>
      <w:r w:rsidRPr="00442559">
        <w:t>PROYECTO DE RESOLUCIÓN 6.GA 5</w:t>
      </w:r>
    </w:p>
    <w:p w:rsidR="00D95C4C" w:rsidRPr="00442559" w:rsidRDefault="00D95C4C" w:rsidP="00041A66">
      <w:pPr>
        <w:pStyle w:val="GAPreambulaResolution"/>
        <w:rPr>
          <w:rFonts w:eastAsia="SimSun"/>
        </w:rPr>
      </w:pPr>
      <w:r w:rsidRPr="00442559">
        <w:t>La Asamblea General,</w:t>
      </w:r>
    </w:p>
    <w:p w:rsidR="0057439C" w:rsidRPr="00442559" w:rsidRDefault="00D95C4C" w:rsidP="00345CB4">
      <w:pPr>
        <w:pStyle w:val="GAParaResolution"/>
      </w:pPr>
      <w:r w:rsidRPr="00442559">
        <w:t>Habiendo examinado</w:t>
      </w:r>
      <w:r w:rsidRPr="00442559">
        <w:rPr>
          <w:u w:val="none"/>
        </w:rPr>
        <w:t xml:space="preserve"> el documento ITH/16/6.GA/5,</w:t>
      </w:r>
    </w:p>
    <w:p w:rsidR="002A72B0" w:rsidRPr="00442559" w:rsidRDefault="002A72B0" w:rsidP="002A72B0">
      <w:pPr>
        <w:pStyle w:val="5GAParaResolution"/>
        <w:numPr>
          <w:ilvl w:val="0"/>
          <w:numId w:val="10"/>
        </w:numPr>
        <w:ind w:left="1134" w:hanging="567"/>
      </w:pPr>
      <w:r w:rsidRPr="00442559">
        <w:rPr>
          <w:u w:val="single"/>
        </w:rPr>
        <w:t>Recordando</w:t>
      </w:r>
      <w:r w:rsidRPr="00442559">
        <w:t xml:space="preserve"> el Artículo 30 de la Convención,</w:t>
      </w:r>
    </w:p>
    <w:p w:rsidR="002A72B0" w:rsidRPr="00C86966" w:rsidRDefault="0019195E" w:rsidP="0019195E">
      <w:pPr>
        <w:pStyle w:val="GAParaResolution"/>
        <w:rPr>
          <w:u w:val="none"/>
        </w:rPr>
      </w:pPr>
      <w:r>
        <w:t>Da la bienvenida</w:t>
      </w:r>
      <w:r w:rsidRPr="00C86966">
        <w:rPr>
          <w:u w:val="none"/>
        </w:rPr>
        <w:t xml:space="preserve"> </w:t>
      </w:r>
      <w:r w:rsidR="002A72B0" w:rsidRPr="00C86966">
        <w:rPr>
          <w:u w:val="none"/>
        </w:rPr>
        <w:t xml:space="preserve">a los </w:t>
      </w:r>
      <w:r w:rsidRPr="00C86966">
        <w:rPr>
          <w:u w:val="none"/>
        </w:rPr>
        <w:t xml:space="preserve">seis </w:t>
      </w:r>
      <w:r w:rsidR="002A72B0" w:rsidRPr="00C86966">
        <w:rPr>
          <w:u w:val="none"/>
        </w:rPr>
        <w:t xml:space="preserve">Estados – Cabo Verde, Ghana, </w:t>
      </w:r>
      <w:r w:rsidRPr="00C86966">
        <w:rPr>
          <w:u w:val="none"/>
        </w:rPr>
        <w:t xml:space="preserve">Guinea Bissau, </w:t>
      </w:r>
      <w:r w:rsidR="002A72B0" w:rsidRPr="00C86966">
        <w:rPr>
          <w:u w:val="none"/>
        </w:rPr>
        <w:t xml:space="preserve">Irlanda, Kuwait y las Islas Marshall – que han ratificado la Convención desde la quinta reunión de la Asamblea General y expresa su satisfacción con </w:t>
      </w:r>
      <w:r w:rsidR="0063212B">
        <w:rPr>
          <w:u w:val="none"/>
        </w:rPr>
        <w:t>el mantenimiento de un</w:t>
      </w:r>
      <w:r w:rsidR="002A72B0" w:rsidRPr="00C86966">
        <w:rPr>
          <w:u w:val="none"/>
        </w:rPr>
        <w:t xml:space="preserve"> ritmo de ratificación constante;</w:t>
      </w:r>
    </w:p>
    <w:p w:rsidR="00F57D01" w:rsidRPr="00442559" w:rsidRDefault="00F57D01" w:rsidP="00F57D01">
      <w:pPr>
        <w:pStyle w:val="GAParaResolution"/>
      </w:pPr>
      <w:r w:rsidRPr="00442559">
        <w:t>Toma nota</w:t>
      </w:r>
      <w:r w:rsidRPr="00442559">
        <w:rPr>
          <w:u w:val="none"/>
        </w:rPr>
        <w:t xml:space="preserve"> del informe del Comité </w:t>
      </w:r>
      <w:r w:rsidR="0063212B">
        <w:rPr>
          <w:u w:val="none"/>
        </w:rPr>
        <w:t>a</w:t>
      </w:r>
      <w:r w:rsidR="0063212B" w:rsidRPr="00442559">
        <w:rPr>
          <w:u w:val="none"/>
        </w:rPr>
        <w:t xml:space="preserve"> </w:t>
      </w:r>
      <w:r w:rsidRPr="00442559">
        <w:rPr>
          <w:u w:val="none"/>
        </w:rPr>
        <w:t xml:space="preserve">la Asamblea General sobre sus actividades entre </w:t>
      </w:r>
      <w:r w:rsidR="0063212B">
        <w:rPr>
          <w:u w:val="none"/>
        </w:rPr>
        <w:t>j</w:t>
      </w:r>
      <w:r w:rsidRPr="00442559">
        <w:rPr>
          <w:u w:val="none"/>
        </w:rPr>
        <w:t xml:space="preserve">unio de 2014 y </w:t>
      </w:r>
      <w:r w:rsidR="0063212B">
        <w:rPr>
          <w:u w:val="none"/>
        </w:rPr>
        <w:t>j</w:t>
      </w:r>
      <w:r w:rsidRPr="00442559">
        <w:rPr>
          <w:u w:val="none"/>
        </w:rPr>
        <w:t xml:space="preserve">unio de 2016 y </w:t>
      </w:r>
      <w:r w:rsidRPr="00442559">
        <w:t>agradece</w:t>
      </w:r>
      <w:r w:rsidRPr="00442559">
        <w:rPr>
          <w:u w:val="none"/>
        </w:rPr>
        <w:t xml:space="preserve"> al Comité su eficaz trabajo; </w:t>
      </w:r>
    </w:p>
    <w:p w:rsidR="00D6351A" w:rsidRPr="00442559" w:rsidRDefault="00F57D01" w:rsidP="00F57D01">
      <w:pPr>
        <w:pStyle w:val="GAParaResolution"/>
      </w:pPr>
      <w:r w:rsidRPr="00442559">
        <w:t>Felicita</w:t>
      </w:r>
      <w:r w:rsidRPr="00442559">
        <w:rPr>
          <w:u w:val="none"/>
        </w:rPr>
        <w:t xml:space="preserve"> al Comité por el progreso logrado en diversos aspectos </w:t>
      </w:r>
      <w:r w:rsidR="0063212B">
        <w:rPr>
          <w:u w:val="none"/>
        </w:rPr>
        <w:t>estatutarios</w:t>
      </w:r>
      <w:r w:rsidR="0063212B" w:rsidRPr="00442559">
        <w:rPr>
          <w:u w:val="none"/>
        </w:rPr>
        <w:t xml:space="preserve"> </w:t>
      </w:r>
      <w:r w:rsidRPr="00442559">
        <w:rPr>
          <w:u w:val="none"/>
        </w:rPr>
        <w:t xml:space="preserve">de la Convención y por la atención prioritaria otorgada al fortalecimiento de capacidades para la </w:t>
      </w:r>
      <w:r w:rsidR="0063212B">
        <w:rPr>
          <w:u w:val="none"/>
        </w:rPr>
        <w:t>aplicación</w:t>
      </w:r>
      <w:r w:rsidR="0063212B" w:rsidRPr="00442559">
        <w:rPr>
          <w:u w:val="none"/>
        </w:rPr>
        <w:t xml:space="preserve"> </w:t>
      </w:r>
      <w:r w:rsidRPr="00442559">
        <w:rPr>
          <w:u w:val="none"/>
        </w:rPr>
        <w:t>de la Convención a nivel nacional;</w:t>
      </w:r>
    </w:p>
    <w:p w:rsidR="006F6EDA" w:rsidRPr="00442559" w:rsidRDefault="006F6EDA" w:rsidP="006F6EDA">
      <w:pPr>
        <w:pStyle w:val="GAParaResolution"/>
      </w:pPr>
      <w:r w:rsidRPr="00442559">
        <w:t>Reconoce con satisfacción</w:t>
      </w:r>
      <w:r w:rsidRPr="00442559">
        <w:rPr>
          <w:u w:val="none"/>
        </w:rPr>
        <w:t xml:space="preserve"> el constante interés demostrado por los Estados Partes en los mecanismos de cooperación internacional de la Convención y </w:t>
      </w:r>
      <w:r w:rsidRPr="00442559">
        <w:t>alienta</w:t>
      </w:r>
      <w:r w:rsidRPr="00442559">
        <w:rPr>
          <w:u w:val="none"/>
        </w:rPr>
        <w:t xml:space="preserve"> al Comité a continuar </w:t>
      </w:r>
      <w:r w:rsidR="00122E53">
        <w:rPr>
          <w:u w:val="none"/>
        </w:rPr>
        <w:t>sensibilizando</w:t>
      </w:r>
      <w:r w:rsidR="0063212B" w:rsidRPr="00442559">
        <w:rPr>
          <w:u w:val="none"/>
        </w:rPr>
        <w:t xml:space="preserve"> </w:t>
      </w:r>
      <w:r w:rsidR="00122E53">
        <w:rPr>
          <w:u w:val="none"/>
        </w:rPr>
        <w:t>a</w:t>
      </w:r>
      <w:r w:rsidR="00122E53" w:rsidRPr="00442559">
        <w:rPr>
          <w:u w:val="none"/>
        </w:rPr>
        <w:t xml:space="preserve"> </w:t>
      </w:r>
      <w:r w:rsidRPr="00442559">
        <w:rPr>
          <w:u w:val="none"/>
        </w:rPr>
        <w:t>la importancia del patrimonio cultural inmaterial y a difundir las mejores prácticas de salvaguardia;</w:t>
      </w:r>
    </w:p>
    <w:p w:rsidR="00D6351A" w:rsidRPr="00442559" w:rsidRDefault="002A72B0" w:rsidP="00323F00">
      <w:pPr>
        <w:pStyle w:val="5GAParaResolution"/>
        <w:numPr>
          <w:ilvl w:val="0"/>
          <w:numId w:val="10"/>
        </w:numPr>
        <w:ind w:left="1134" w:hanging="567"/>
      </w:pPr>
      <w:r w:rsidRPr="00442559">
        <w:rPr>
          <w:u w:val="single"/>
        </w:rPr>
        <w:t>Pide</w:t>
      </w:r>
      <w:r w:rsidRPr="00442559">
        <w:t xml:space="preserve"> al Director General que transmita este informe a la Conferencia General de la UNESCO, de conformidad con lo dispuesto por el Artículo 30.2 de la Convención;</w:t>
      </w:r>
    </w:p>
    <w:p w:rsidR="00B906D2" w:rsidRPr="00032FCC" w:rsidRDefault="00194C0E" w:rsidP="00032FCC">
      <w:pPr>
        <w:pStyle w:val="GAParaResolution"/>
        <w:rPr>
          <w:u w:val="none"/>
        </w:rPr>
      </w:pPr>
      <w:r w:rsidRPr="00442559">
        <w:t>Pide también</w:t>
      </w:r>
      <w:r w:rsidRPr="00442559">
        <w:rPr>
          <w:u w:val="none"/>
        </w:rPr>
        <w:t xml:space="preserve"> al Comité que informe sobre sus actividades en el periodo comprendido entre </w:t>
      </w:r>
      <w:r w:rsidR="0090368F">
        <w:rPr>
          <w:u w:val="none"/>
        </w:rPr>
        <w:t>e</w:t>
      </w:r>
      <w:r w:rsidR="0090368F" w:rsidRPr="00442559">
        <w:rPr>
          <w:u w:val="none"/>
        </w:rPr>
        <w:t xml:space="preserve">nero </w:t>
      </w:r>
      <w:r w:rsidRPr="00442559">
        <w:rPr>
          <w:u w:val="none"/>
        </w:rPr>
        <w:t xml:space="preserve">de 2016 y </w:t>
      </w:r>
      <w:r w:rsidR="0090368F">
        <w:rPr>
          <w:u w:val="none"/>
        </w:rPr>
        <w:t>d</w:t>
      </w:r>
      <w:r w:rsidR="0090368F" w:rsidRPr="00442559">
        <w:rPr>
          <w:u w:val="none"/>
        </w:rPr>
        <w:t xml:space="preserve">iciembre </w:t>
      </w:r>
      <w:r w:rsidRPr="00442559">
        <w:rPr>
          <w:u w:val="none"/>
        </w:rPr>
        <w:t xml:space="preserve">de </w:t>
      </w:r>
      <w:r w:rsidR="0090368F" w:rsidRPr="00442559">
        <w:rPr>
          <w:u w:val="none"/>
        </w:rPr>
        <w:t>201</w:t>
      </w:r>
      <w:r w:rsidR="0090368F">
        <w:rPr>
          <w:u w:val="none"/>
        </w:rPr>
        <w:t>7</w:t>
      </w:r>
      <w:r w:rsidR="0090368F" w:rsidRPr="00442559">
        <w:rPr>
          <w:u w:val="none"/>
        </w:rPr>
        <w:t xml:space="preserve"> </w:t>
      </w:r>
      <w:r w:rsidRPr="00442559">
        <w:rPr>
          <w:u w:val="none"/>
        </w:rPr>
        <w:t>para que sean examinadas por la Asamblea General en su séptima reunión, y que utilice un calendario bienal para sus siguientes informes.</w:t>
      </w:r>
    </w:p>
    <w:p w:rsidR="003743B1" w:rsidRPr="00442559" w:rsidRDefault="003743B1" w:rsidP="003743B1">
      <w:pPr>
        <w:pageBreakBefore/>
        <w:jc w:val="center"/>
      </w:pPr>
      <w:r w:rsidRPr="00442559">
        <w:rPr>
          <w:rFonts w:ascii="Arial" w:hAnsi="Arial"/>
          <w:b/>
          <w:sz w:val="22"/>
          <w:u w:val="single"/>
        </w:rPr>
        <w:lastRenderedPageBreak/>
        <w:t>ANEXO</w:t>
      </w:r>
    </w:p>
    <w:p w:rsidR="003743B1" w:rsidRPr="00442559" w:rsidRDefault="0090368F" w:rsidP="003743B1">
      <w:pPr>
        <w:spacing w:after="360"/>
        <w:jc w:val="center"/>
      </w:pPr>
      <w:r>
        <w:rPr>
          <w:rFonts w:ascii="Arial" w:hAnsi="Arial"/>
          <w:b/>
          <w:sz w:val="22"/>
        </w:rPr>
        <w:t>I</w:t>
      </w:r>
      <w:r w:rsidR="003743B1" w:rsidRPr="00442559">
        <w:rPr>
          <w:rFonts w:ascii="Arial" w:hAnsi="Arial"/>
          <w:b/>
          <w:sz w:val="22"/>
        </w:rPr>
        <w:t xml:space="preserve">nforme del Comité </w:t>
      </w:r>
      <w:r>
        <w:rPr>
          <w:rFonts w:ascii="Arial" w:hAnsi="Arial"/>
          <w:b/>
          <w:sz w:val="22"/>
        </w:rPr>
        <w:t>a</w:t>
      </w:r>
      <w:r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>la Asamblea General sobre sus actividades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Las funciones del Comité están establecidas en la Convención de 2003 para la Salvaguardia del Patrimonio Cultural Inmaterial, particularmente en el Artículo 7. El informe </w:t>
      </w:r>
      <w:r w:rsidR="0090368F">
        <w:t>sigue</w:t>
      </w:r>
      <w:r w:rsidR="0090368F" w:rsidRPr="00442559">
        <w:t xml:space="preserve"> </w:t>
      </w:r>
      <w:r w:rsidRPr="00442559">
        <w:t>el orden de las funciones establecidas en el Artículo 7 de la Convención.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En 2014, la Asamblea General renovó la mitad de </w:t>
      </w:r>
      <w:r w:rsidR="0090368F">
        <w:t>los</w:t>
      </w:r>
      <w:r w:rsidR="0090368F" w:rsidRPr="00442559">
        <w:t xml:space="preserve"> </w:t>
      </w:r>
      <w:r w:rsidRPr="00442559">
        <w:t xml:space="preserve">24 miembros del Comité al elegir 12 Estados Partes para </w:t>
      </w:r>
      <w:r w:rsidR="0090368F">
        <w:t>un mandato de</w:t>
      </w:r>
      <w:r w:rsidRPr="00442559">
        <w:t xml:space="preserve"> 4 años. Los 24 miembros del Comité, durante el periodo comprendido entre </w:t>
      </w:r>
      <w:r w:rsidR="0090368F">
        <w:t>j</w:t>
      </w:r>
      <w:r w:rsidR="0090368F" w:rsidRPr="00442559">
        <w:t xml:space="preserve">unio </w:t>
      </w:r>
      <w:r w:rsidRPr="00442559">
        <w:t xml:space="preserve">de 2014 y </w:t>
      </w:r>
      <w:r w:rsidR="0090368F">
        <w:t>j</w:t>
      </w:r>
      <w:r w:rsidR="0090368F" w:rsidRPr="00442559">
        <w:t xml:space="preserve">unio </w:t>
      </w:r>
      <w:r w:rsidRPr="00442559">
        <w:t>de 2016, fueron: Afganistán, Argelia, Bélgica, Brasil, Bulgaria, Congo, Costa de Marfil, Egipto, Etiopía, Grecia, Hungría, India, Kirguistán, Letonia, Mongolia, Namibia, Nigeria, Perú, la República de Corea, Santa Lucía, Tunes, Turquía, Uganda y Uruguay.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Desde su elección por parte de la Asamblea General en </w:t>
      </w:r>
      <w:r w:rsidR="0090368F">
        <w:t>j</w:t>
      </w:r>
      <w:r w:rsidR="0090368F" w:rsidRPr="00442559">
        <w:t xml:space="preserve">unio </w:t>
      </w:r>
      <w:r w:rsidRPr="00442559">
        <w:t xml:space="preserve">de 2014, el Comité se reunió dos veces: en la Sede de la UNESCO, en París, entre el 24 y el 28 de </w:t>
      </w:r>
      <w:r w:rsidR="0090368F">
        <w:t>n</w:t>
      </w:r>
      <w:r w:rsidR="0090368F" w:rsidRPr="00442559">
        <w:t xml:space="preserve">oviembre </w:t>
      </w:r>
      <w:r w:rsidRPr="00442559">
        <w:t xml:space="preserve">de 2014 </w:t>
      </w:r>
      <w:r w:rsidR="0090368F">
        <w:t>en</w:t>
      </w:r>
      <w:r w:rsidR="0090368F" w:rsidRPr="00442559">
        <w:t xml:space="preserve"> </w:t>
      </w:r>
      <w:r w:rsidRPr="00442559">
        <w:t xml:space="preserve">su novena reunión (9.COM) y en Windhoek, Namibia, entre el 30 de </w:t>
      </w:r>
      <w:r w:rsidR="0090368F">
        <w:t>n</w:t>
      </w:r>
      <w:r w:rsidR="0090368F" w:rsidRPr="00442559">
        <w:t xml:space="preserve">oviembre </w:t>
      </w:r>
      <w:r w:rsidRPr="00442559">
        <w:t xml:space="preserve">y el 4 de </w:t>
      </w:r>
      <w:r w:rsidR="0090368F">
        <w:t>d</w:t>
      </w:r>
      <w:r w:rsidR="0090368F" w:rsidRPr="00442559">
        <w:t xml:space="preserve">iciembre </w:t>
      </w:r>
      <w:r w:rsidRPr="00442559">
        <w:t xml:space="preserve">de 2015 </w:t>
      </w:r>
      <w:r w:rsidR="0090368F">
        <w:t>en</w:t>
      </w:r>
      <w:r w:rsidR="0090368F" w:rsidRPr="00442559">
        <w:t xml:space="preserve"> </w:t>
      </w:r>
      <w:r w:rsidRPr="00442559">
        <w:t>su décima reunión (10.COM).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La Mesa de la novena reunión fue elegida por la octava reunión en </w:t>
      </w:r>
      <w:r w:rsidR="0090368F">
        <w:t>d</w:t>
      </w:r>
      <w:r w:rsidR="0090368F" w:rsidRPr="00442559">
        <w:t xml:space="preserve">iciembre </w:t>
      </w:r>
      <w:r w:rsidRPr="00442559">
        <w:t xml:space="preserve">de 2013 en Bakú, Azerbaiyán, y estaba integrada por el Excmo. Sr. José Manuel Rodríguez Cuadros (Perú) como Presidente; Bélgica, Letonia, Kirguistán, Namibia y Egipto como Vicepresidentes y la Sra. Anita </w:t>
      </w:r>
      <w:proofErr w:type="spellStart"/>
      <w:r w:rsidRPr="00442559">
        <w:t>Vaivade</w:t>
      </w:r>
      <w:proofErr w:type="spellEnd"/>
      <w:r w:rsidRPr="00442559">
        <w:t xml:space="preserve"> (Letonia) como Relatora.</w:t>
      </w:r>
    </w:p>
    <w:p w:rsidR="003743B1" w:rsidRPr="00442559" w:rsidRDefault="003743B1" w:rsidP="0090368F">
      <w:pPr>
        <w:pStyle w:val="Marge"/>
        <w:numPr>
          <w:ilvl w:val="0"/>
          <w:numId w:val="14"/>
        </w:numPr>
        <w:spacing w:after="120"/>
      </w:pPr>
      <w:r w:rsidRPr="00442559">
        <w:t xml:space="preserve">La Mesa de la décima reunión fue elegida por la novena reunión en </w:t>
      </w:r>
      <w:r w:rsidR="0090368F">
        <w:t>n</w:t>
      </w:r>
      <w:r w:rsidR="0090368F" w:rsidRPr="00442559">
        <w:t xml:space="preserve">oviembre </w:t>
      </w:r>
      <w:r w:rsidRPr="00442559">
        <w:t xml:space="preserve">de 2014 en la Sede de la UNESCO y estaba integrada por la Excma. Sra. </w:t>
      </w:r>
      <w:proofErr w:type="spellStart"/>
      <w:r w:rsidRPr="00442559">
        <w:t>Trudie</w:t>
      </w:r>
      <w:proofErr w:type="spellEnd"/>
      <w:r w:rsidRPr="00442559">
        <w:t xml:space="preserve"> </w:t>
      </w:r>
      <w:proofErr w:type="spellStart"/>
      <w:r w:rsidRPr="00442559">
        <w:t>Amulungu</w:t>
      </w:r>
      <w:proofErr w:type="spellEnd"/>
      <w:r w:rsidRPr="00442559">
        <w:t xml:space="preserve"> (Namibia) como Presidenta; Bélgica, Hungría, Brasil, India y </w:t>
      </w:r>
      <w:r w:rsidR="0090368F" w:rsidRPr="0090368F">
        <w:t>Túnez</w:t>
      </w:r>
      <w:r w:rsidRPr="00442559">
        <w:t xml:space="preserve"> como Vicepresidentes y el Sr. Ahmed </w:t>
      </w:r>
      <w:proofErr w:type="spellStart"/>
      <w:r w:rsidRPr="00442559">
        <w:t>Aly</w:t>
      </w:r>
      <w:proofErr w:type="spellEnd"/>
      <w:r w:rsidRPr="00442559">
        <w:t xml:space="preserve"> </w:t>
      </w:r>
      <w:proofErr w:type="spellStart"/>
      <w:r w:rsidRPr="00442559">
        <w:t>Morsi</w:t>
      </w:r>
      <w:proofErr w:type="spellEnd"/>
      <w:r w:rsidRPr="00442559">
        <w:t xml:space="preserve"> (Egipto) como Relator.</w:t>
      </w:r>
    </w:p>
    <w:p w:rsidR="003743B1" w:rsidRPr="00C86966" w:rsidRDefault="003743B1" w:rsidP="00DD21FB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La Mesa de la undécima reunión del Comité fue elegida al final de la décima reunión en </w:t>
      </w:r>
      <w:r w:rsidR="0090368F">
        <w:t>d</w:t>
      </w:r>
      <w:r w:rsidR="0090368F" w:rsidRPr="00442559">
        <w:t xml:space="preserve">iciembre </w:t>
      </w:r>
      <w:r w:rsidRPr="00442559">
        <w:t xml:space="preserve">de 2015 en Windhoek, </w:t>
      </w:r>
      <w:r w:rsidRPr="00C86966">
        <w:t xml:space="preserve">Namibia y está integrada por el Sr. </w:t>
      </w:r>
      <w:proofErr w:type="spellStart"/>
      <w:r w:rsidRPr="00C86966">
        <w:t>Yonas</w:t>
      </w:r>
      <w:proofErr w:type="spellEnd"/>
      <w:r w:rsidRPr="00C86966">
        <w:t xml:space="preserve"> </w:t>
      </w:r>
      <w:proofErr w:type="spellStart"/>
      <w:r w:rsidRPr="00C86966">
        <w:t>Desta</w:t>
      </w:r>
      <w:proofErr w:type="spellEnd"/>
      <w:r w:rsidRPr="00C86966">
        <w:t xml:space="preserve"> </w:t>
      </w:r>
      <w:proofErr w:type="spellStart"/>
      <w:r w:rsidRPr="00C86966">
        <w:t>Tsegaye</w:t>
      </w:r>
      <w:proofErr w:type="spellEnd"/>
      <w:r w:rsidRPr="00C86966">
        <w:t xml:space="preserve"> (Etiopía) Presidente</w:t>
      </w:r>
      <w:r w:rsidR="0090368F" w:rsidRPr="00C86966">
        <w:t xml:space="preserve">; </w:t>
      </w:r>
      <w:r w:rsidRPr="00C86966">
        <w:t>Turquía, Bulgaria, Santa Luc</w:t>
      </w:r>
      <w:r w:rsidR="0090368F" w:rsidRPr="00C86966">
        <w:t>í</w:t>
      </w:r>
      <w:r w:rsidRPr="00C86966">
        <w:t xml:space="preserve">a, la República de Corea y Argelia como Vicepresidentes y el Sr. Murat </w:t>
      </w:r>
      <w:proofErr w:type="spellStart"/>
      <w:r w:rsidRPr="00C86966">
        <w:t>Soğangöz</w:t>
      </w:r>
      <w:proofErr w:type="spellEnd"/>
      <w:r w:rsidRPr="00C86966">
        <w:t xml:space="preserve"> (Turquía) como Relator.</w:t>
      </w:r>
    </w:p>
    <w:p w:rsidR="003743B1" w:rsidRPr="00C86966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C86966">
        <w:t xml:space="preserve">La Mesa se reunió diariamente durante las reuniones del Comité para ajustar el calendario de la reunión en función del progreso </w:t>
      </w:r>
      <w:r w:rsidR="0090368F" w:rsidRPr="00C86966">
        <w:t>realizado</w:t>
      </w:r>
      <w:r w:rsidRPr="00C86966">
        <w:t xml:space="preserve">. Desde la quinta reunión de la Asamblea General, se ha reunido tres veces más; dos en la Sede de la UNESCO: el 13 de </w:t>
      </w:r>
      <w:r w:rsidR="0090368F" w:rsidRPr="00C86966">
        <w:t xml:space="preserve">octubre </w:t>
      </w:r>
      <w:r w:rsidRPr="00C86966">
        <w:t xml:space="preserve">de 2014 (9.COM 3.BUR) y el 6 de </w:t>
      </w:r>
      <w:r w:rsidR="0090368F" w:rsidRPr="00C86966">
        <w:t xml:space="preserve">octubre </w:t>
      </w:r>
      <w:r w:rsidRPr="00C86966">
        <w:t xml:space="preserve">de 2015 (10.COM 2.BUR) y una vez en Windhoek, Namibia, el 4 de </w:t>
      </w:r>
      <w:r w:rsidR="0090368F" w:rsidRPr="00C86966">
        <w:t xml:space="preserve">diciembre </w:t>
      </w:r>
      <w:r w:rsidRPr="00C86966">
        <w:t xml:space="preserve">de 2015 (10.COM 3.BUR). Además, se realizaron consultas electrónicas en </w:t>
      </w:r>
      <w:r w:rsidR="0090368F" w:rsidRPr="00C86966">
        <w:t xml:space="preserve">junio </w:t>
      </w:r>
      <w:r w:rsidRPr="00C86966">
        <w:t xml:space="preserve">de 2014 (9.COM 2.BUR), </w:t>
      </w:r>
      <w:r w:rsidR="0090368F" w:rsidRPr="00C86966">
        <w:t xml:space="preserve">noviembre </w:t>
      </w:r>
      <w:r w:rsidRPr="00C86966">
        <w:t xml:space="preserve">de 2014 (9.COM 4.BUR), </w:t>
      </w:r>
      <w:r w:rsidR="0090368F" w:rsidRPr="00C86966">
        <w:t xml:space="preserve">junio </w:t>
      </w:r>
      <w:r w:rsidRPr="00C86966">
        <w:t xml:space="preserve">de 2015 (10.COM 1.BUR) y en </w:t>
      </w:r>
      <w:r w:rsidR="0090368F" w:rsidRPr="00C86966">
        <w:t xml:space="preserve">abril </w:t>
      </w:r>
      <w:r w:rsidRPr="00C86966">
        <w:t xml:space="preserve">de 2016 (11.COM 1 BUR). </w:t>
      </w:r>
    </w:p>
    <w:p w:rsidR="003743B1" w:rsidRPr="00C86966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C86966">
        <w:t xml:space="preserve">Durante el periodo de informe, el Comité y su Mesa examinaron un total de 76 puntos y </w:t>
      </w:r>
      <w:proofErr w:type="spellStart"/>
      <w:r w:rsidRPr="00C86966">
        <w:t>subpuntos</w:t>
      </w:r>
      <w:proofErr w:type="spellEnd"/>
      <w:r w:rsidRPr="00C86966">
        <w:t xml:space="preserve"> incluidos en sus órdenes del día, que estaban acompañados por 75 documentos de trabajo o documentos informativos y 306 </w:t>
      </w:r>
      <w:r w:rsidR="0090368F" w:rsidRPr="00C86966">
        <w:t>candidaturas</w:t>
      </w:r>
      <w:r w:rsidRPr="00C86966">
        <w:t xml:space="preserve">, solicitudes de asistencia internacional, informes presentados por los Estados Partes o solicitudes de acreditación de nuevas organizaciones no gubernamentales (ONG) </w:t>
      </w:r>
      <w:r w:rsidR="008F30C4" w:rsidRPr="00C86966">
        <w:t>e informes</w:t>
      </w:r>
      <w:r w:rsidRPr="00C86966">
        <w:t xml:space="preserve"> de las ONG acreditadas. El Comité también examinó un informe presentado por un Estado que no </w:t>
      </w:r>
      <w:r w:rsidR="0090368F" w:rsidRPr="00C86966">
        <w:t xml:space="preserve">Parte en </w:t>
      </w:r>
      <w:r w:rsidRPr="00C86966">
        <w:t xml:space="preserve">la Convención, La Federación Rusa, relativo a dos elementos declarados originalmente como Obras Maestras del Patrimonio Oral e Inmaterial de la Humanidad y que luego fueron incorporados a la Lista Representativa del Patrimonio Cultural Inmaterial de la Humanidad en 2008. </w:t>
      </w:r>
    </w:p>
    <w:p w:rsidR="003743B1" w:rsidRPr="00442559" w:rsidRDefault="003743B1" w:rsidP="003743B1">
      <w:pPr>
        <w:rPr>
          <w:rFonts w:ascii="Arial" w:hAnsi="Arial" w:cs="Arial"/>
          <w:b/>
          <w:sz w:val="22"/>
          <w:szCs w:val="22"/>
        </w:rPr>
      </w:pPr>
      <w:r w:rsidRPr="00442559">
        <w:br w:type="page"/>
      </w:r>
    </w:p>
    <w:p w:rsidR="003743B1" w:rsidRPr="00442559" w:rsidRDefault="0090368F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Promoción de</w:t>
      </w:r>
      <w:r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 xml:space="preserve">los objetivos de la Convención, </w:t>
      </w:r>
      <w:proofErr w:type="spellStart"/>
      <w:r w:rsidR="008F30C4">
        <w:rPr>
          <w:rFonts w:ascii="Arial" w:hAnsi="Arial"/>
          <w:b/>
          <w:sz w:val="22"/>
        </w:rPr>
        <w:t>fomenti</w:t>
      </w:r>
      <w:proofErr w:type="spellEnd"/>
      <w:r w:rsidR="008F30C4"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 xml:space="preserve">y </w:t>
      </w:r>
      <w:r w:rsidR="008F30C4">
        <w:rPr>
          <w:rFonts w:ascii="Arial" w:hAnsi="Arial"/>
          <w:b/>
          <w:sz w:val="22"/>
        </w:rPr>
        <w:t>seguimiento de</w:t>
      </w:r>
      <w:r w:rsidR="008F30C4"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 xml:space="preserve">su </w:t>
      </w:r>
      <w:r w:rsidR="008F30C4">
        <w:rPr>
          <w:rFonts w:ascii="Arial" w:hAnsi="Arial"/>
          <w:b/>
          <w:sz w:val="22"/>
        </w:rPr>
        <w:t>aplicación</w:t>
      </w:r>
      <w:r w:rsidR="008F30C4"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sz w:val="22"/>
        </w:rPr>
        <w:t>(Artículo 7[a])</w:t>
      </w:r>
    </w:p>
    <w:p w:rsidR="003743B1" w:rsidRPr="00442559" w:rsidRDefault="003743B1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cs="Arial"/>
          <w:b/>
          <w:szCs w:val="22"/>
        </w:rPr>
      </w:pPr>
      <w:r w:rsidRPr="00442559">
        <w:rPr>
          <w:rFonts w:ascii="Arial" w:hAnsi="Arial"/>
          <w:b/>
          <w:sz w:val="22"/>
        </w:rPr>
        <w:t>Ratificación</w:t>
      </w:r>
    </w:p>
    <w:p w:rsidR="003743B1" w:rsidRPr="00C86966" w:rsidRDefault="008F30C4" w:rsidP="00685F89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C86966">
        <w:t xml:space="preserve">Seis </w:t>
      </w:r>
      <w:r w:rsidR="00DD21FB" w:rsidRPr="00C86966">
        <w:t xml:space="preserve">Estados – Cabo Verde, Ghana, </w:t>
      </w:r>
      <w:r w:rsidRPr="00C86966">
        <w:t xml:space="preserve">Guinea Bissau, </w:t>
      </w:r>
      <w:r w:rsidR="00DD21FB" w:rsidRPr="00C86966">
        <w:t>Irlanda, Kuwait y las Islas Marshall,</w:t>
      </w:r>
      <w:r w:rsidRPr="00C86966">
        <w:t xml:space="preserve"> </w:t>
      </w:r>
      <w:r w:rsidR="00DD21FB" w:rsidRPr="00C86966">
        <w:t xml:space="preserve">ratificaron la Convención entre </w:t>
      </w:r>
      <w:r w:rsidRPr="00C86966">
        <w:t xml:space="preserve">junio </w:t>
      </w:r>
      <w:r w:rsidR="00DD21FB" w:rsidRPr="00C86966">
        <w:t xml:space="preserve">de 2014 y </w:t>
      </w:r>
      <w:r w:rsidRPr="00C86966">
        <w:t xml:space="preserve">junio </w:t>
      </w:r>
      <w:r w:rsidR="00DD21FB" w:rsidRPr="00C86966">
        <w:t xml:space="preserve">de 2016. Para la sexta reunión de la Asamblea General, 166 Estados son partes </w:t>
      </w:r>
      <w:r w:rsidRPr="00C86966">
        <w:t xml:space="preserve">en </w:t>
      </w:r>
      <w:r w:rsidR="00DD21FB" w:rsidRPr="00C86966">
        <w:t xml:space="preserve">la Convención. </w:t>
      </w:r>
    </w:p>
    <w:p w:rsidR="003743B1" w:rsidRPr="00442559" w:rsidRDefault="008F30C4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cs="Arial"/>
          <w:b/>
          <w:szCs w:val="22"/>
        </w:rPr>
      </w:pPr>
      <w:r>
        <w:rPr>
          <w:rFonts w:ascii="Arial" w:hAnsi="Arial"/>
          <w:b/>
          <w:sz w:val="22"/>
        </w:rPr>
        <w:t>Fortalecimiento de</w:t>
      </w:r>
      <w:r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>capacidades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El Comité sigue considerando </w:t>
      </w:r>
      <w:r w:rsidR="008F30C4">
        <w:t>el fortalecimiento</w:t>
      </w:r>
      <w:r w:rsidRPr="00442559">
        <w:t xml:space="preserve"> de capacidades como una prioridad, y está convencido de que la </w:t>
      </w:r>
      <w:r w:rsidR="008F30C4">
        <w:t>aplicación</w:t>
      </w:r>
      <w:r w:rsidR="008F30C4" w:rsidRPr="00442559">
        <w:t xml:space="preserve"> </w:t>
      </w:r>
      <w:r w:rsidRPr="00442559">
        <w:t xml:space="preserve">eficaz </w:t>
      </w:r>
      <w:r w:rsidR="008F30C4" w:rsidRPr="00442559">
        <w:t xml:space="preserve">de la Convención </w:t>
      </w:r>
      <w:r w:rsidRPr="00442559">
        <w:t xml:space="preserve">depende de un conocimiento y entendimiento profundos de </w:t>
      </w:r>
      <w:r w:rsidR="008F30C4">
        <w:t xml:space="preserve">ésta, de </w:t>
      </w:r>
      <w:r w:rsidRPr="00442559">
        <w:t xml:space="preserve">sus conceptos, medidas y mecanismos. En su quinta reunión, la Asamblea General autorizó el uso del Fondo del Patrimonio Cultural Inmaterial para continuar la estrategia general de </w:t>
      </w:r>
      <w:r w:rsidR="008F30C4">
        <w:t>fortalecimiento</w:t>
      </w:r>
      <w:r w:rsidR="008F30C4" w:rsidRPr="00442559">
        <w:t xml:space="preserve"> </w:t>
      </w:r>
      <w:r w:rsidRPr="00442559">
        <w:t>de capacidades utilizando la línea presupuestaria «</w:t>
      </w:r>
      <w:r w:rsidR="008F30C4">
        <w:t> </w:t>
      </w:r>
      <w:r w:rsidRPr="00442559">
        <w:t>Otras funciones del Comité</w:t>
      </w:r>
      <w:r w:rsidR="008F30C4">
        <w:t> </w:t>
      </w:r>
      <w:r w:rsidRPr="00442559">
        <w:t xml:space="preserve">». En su Decisión 8.COM 11, el Comité delegó a su Mesa la autoridad para decidir sobre la utilización de los fondos asignados a esta línea del </w:t>
      </w:r>
      <w:r w:rsidR="00DE4E13">
        <w:t>Proyecto de utilización de los recursos del Fondo</w:t>
      </w:r>
      <w:r w:rsidRPr="00442559">
        <w:t xml:space="preserve">, sobre la base de proposiciones específicas que deben ser preparadas por la Secretaría. Para informar a los donantes de las necesidades de financiamiento del programa, la Secretaría ha desarrollado una </w:t>
      </w:r>
      <w:hyperlink r:id="rId9">
        <w:r w:rsidRPr="00442559">
          <w:rPr>
            <w:rStyle w:val="Hyperlink"/>
          </w:rPr>
          <w:t>Nota Conceptual</w:t>
        </w:r>
      </w:hyperlink>
      <w:r w:rsidRPr="00442559">
        <w:t xml:space="preserve"> para el Programa Adicional Complementario 2014-2017 titulado </w:t>
      </w:r>
      <w:r w:rsidR="008F30C4">
        <w:t>Fortalecimiento de</w:t>
      </w:r>
      <w:r w:rsidR="008F30C4" w:rsidRPr="00442559">
        <w:t xml:space="preserve"> </w:t>
      </w:r>
      <w:r w:rsidRPr="00442559">
        <w:t xml:space="preserve">capacidades para salvaguardar el patrimonio cultural inmaterial para el desarrollo sostenible, </w:t>
      </w:r>
      <w:r w:rsidRPr="00DE4E13">
        <w:t xml:space="preserve">disponible para consulta en </w:t>
      </w:r>
      <w:r w:rsidR="00DE4E13" w:rsidRPr="00C86966">
        <w:t>la página</w:t>
      </w:r>
      <w:r w:rsidRPr="00DE4E13">
        <w:t xml:space="preserve"> web </w:t>
      </w:r>
      <w:r w:rsidR="00DE4E13" w:rsidRPr="00C86966">
        <w:t>Asociarse con la</w:t>
      </w:r>
      <w:r w:rsidRPr="00DE4E13">
        <w:t xml:space="preserve"> UNESCO. La Nota Conceptual fue aprobada por el Comité en su novena reunión en Noviembre de 2014 (Decisión 9.</w:t>
      </w:r>
      <w:r w:rsidR="00DE4E13" w:rsidRPr="00DE4E13">
        <w:t>COM </w:t>
      </w:r>
      <w:r w:rsidRPr="00DE4E13">
        <w:t xml:space="preserve">7) como el marco en el cual puede aceptar contribuciones voluntarias </w:t>
      </w:r>
      <w:r w:rsidR="008F30C4" w:rsidRPr="00DE4E13">
        <w:t>c</w:t>
      </w:r>
      <w:r w:rsidR="008F30C4" w:rsidRPr="001A620E">
        <w:t xml:space="preserve">omplementarias </w:t>
      </w:r>
      <w:r w:rsidRPr="001A620E">
        <w:t>sin necesidad de una aprobación explícita.</w:t>
      </w:r>
    </w:p>
    <w:p w:rsidR="003743B1" w:rsidRPr="00442559" w:rsidRDefault="003743B1" w:rsidP="00C86966">
      <w:pPr>
        <w:pStyle w:val="Marge"/>
        <w:numPr>
          <w:ilvl w:val="0"/>
          <w:numId w:val="14"/>
        </w:numPr>
        <w:spacing w:after="120"/>
        <w:ind w:left="567" w:hanging="567"/>
        <w:rPr>
          <w:rFonts w:cs="Arial"/>
          <w:szCs w:val="22"/>
        </w:rPr>
      </w:pPr>
      <w:r w:rsidRPr="00442559">
        <w:t>Las actividades aprobadas por la Mesa alcanzaron un monto de 785</w:t>
      </w:r>
      <w:r w:rsidR="00CE5A42">
        <w:t>.</w:t>
      </w:r>
      <w:r w:rsidRPr="00442559">
        <w:t xml:space="preserve">097 USD para el periodo comprendido entre </w:t>
      </w:r>
      <w:r w:rsidR="00DE4E13">
        <w:t>e</w:t>
      </w:r>
      <w:r w:rsidR="00CE5A42" w:rsidRPr="00442559">
        <w:t xml:space="preserve">nero </w:t>
      </w:r>
      <w:r w:rsidRPr="00442559">
        <w:t xml:space="preserve">de 2014 y </w:t>
      </w:r>
      <w:r w:rsidR="00DE4E13">
        <w:t>d</w:t>
      </w:r>
      <w:r w:rsidR="00CE5A42" w:rsidRPr="00442559">
        <w:t xml:space="preserve">iciembre </w:t>
      </w:r>
      <w:r w:rsidRPr="00442559">
        <w:t xml:space="preserve">de 2015, y </w:t>
      </w:r>
      <w:r w:rsidR="00CE5A42">
        <w:t> </w:t>
      </w:r>
      <w:r w:rsidR="00CE5A42" w:rsidRPr="00442559">
        <w:t>196</w:t>
      </w:r>
      <w:r w:rsidR="00CE5A42">
        <w:t>.</w:t>
      </w:r>
      <w:r w:rsidRPr="00442559">
        <w:t xml:space="preserve">772 USD para el periodo comprendido entre </w:t>
      </w:r>
      <w:r w:rsidR="00CE5A42">
        <w:t>e</w:t>
      </w:r>
      <w:r w:rsidR="00CE5A42" w:rsidRPr="00442559">
        <w:t xml:space="preserve">nero </w:t>
      </w:r>
      <w:r w:rsidRPr="00442559">
        <w:t xml:space="preserve">y </w:t>
      </w:r>
      <w:r w:rsidR="00CE5A42">
        <w:t>j</w:t>
      </w:r>
      <w:r w:rsidR="00CE5A42" w:rsidRPr="00442559">
        <w:t xml:space="preserve">unio </w:t>
      </w:r>
      <w:r w:rsidRPr="00442559">
        <w:t xml:space="preserve">de 2016. Estas sumas se destinaron a apoyar una variedad de necesidades transversales, entre las cuales se destacan: (i) desarrollar contenidos y materiales de formación; (ii) reforzar la red de </w:t>
      </w:r>
      <w:r w:rsidR="00CE5A42">
        <w:t>expertos facilitadores</w:t>
      </w:r>
      <w:r w:rsidRPr="00442559">
        <w:t xml:space="preserve">; y (iii) supervisar, evaluar y adaptar la estrategia en </w:t>
      </w:r>
      <w:r w:rsidRPr="000B3B73">
        <w:t>consecuencia</w:t>
      </w:r>
      <w:r w:rsidRPr="000B3B73">
        <w:rPr>
          <w:rStyle w:val="FootnoteReference"/>
        </w:rPr>
        <w:footnoteReference w:id="1"/>
      </w:r>
      <w:r w:rsidRPr="000B3B73">
        <w:t>.</w:t>
      </w:r>
      <w:r w:rsidRPr="00442559">
        <w:t xml:space="preserve"> </w:t>
      </w:r>
      <w:r w:rsidRPr="00C86966">
        <w:t xml:space="preserve">El informe de la Secretaría sobre sus actividades (documento ITH/16/6.GA/6), contiene información detallada sobre los resultados de las actividades relacionadas con estos temas entre </w:t>
      </w:r>
      <w:r w:rsidR="00CE5A42" w:rsidRPr="00C86966">
        <w:t xml:space="preserve">junio </w:t>
      </w:r>
      <w:r w:rsidRPr="00C86966">
        <w:t xml:space="preserve">de 2014 y </w:t>
      </w:r>
      <w:r w:rsidR="00CE5A42" w:rsidRPr="00C86966">
        <w:t xml:space="preserve">junio </w:t>
      </w:r>
      <w:r w:rsidRPr="00C86966">
        <w:t>de 2016.</w:t>
      </w:r>
      <w:r w:rsidRPr="00442559">
        <w:t xml:space="preserve"> Dicho informe también evalúa la situación de la </w:t>
      </w:r>
      <w:r w:rsidR="00CE5A42">
        <w:t>ejecución</w:t>
      </w:r>
      <w:r w:rsidR="00CE5A42" w:rsidRPr="00442559">
        <w:t xml:space="preserve"> </w:t>
      </w:r>
      <w:r w:rsidRPr="00442559">
        <w:t xml:space="preserve">de programas de </w:t>
      </w:r>
      <w:r w:rsidR="00CE5A42">
        <w:t>fortalecimiento</w:t>
      </w:r>
      <w:r w:rsidR="00CE5A42" w:rsidRPr="00442559">
        <w:t xml:space="preserve"> </w:t>
      </w:r>
      <w:r w:rsidRPr="00442559">
        <w:t xml:space="preserve">de capacidades a nivel nacional, que fueron posibles gracias a contribuciones al Fondo del Patrimonio Cultural Inmaterial </w:t>
      </w:r>
      <w:r w:rsidR="00CE5A42" w:rsidRPr="00442559">
        <w:t>asignadas</w:t>
      </w:r>
      <w:r w:rsidR="00CE5A42">
        <w:t xml:space="preserve"> a proyectos específicos</w:t>
      </w:r>
      <w:r w:rsidR="00CE5A42" w:rsidRPr="00442559">
        <w:t xml:space="preserve"> </w:t>
      </w:r>
      <w:r w:rsidRPr="00442559">
        <w:t xml:space="preserve">y de acuerdos de </w:t>
      </w:r>
      <w:r w:rsidR="00CE5A42" w:rsidRPr="00CE5A42">
        <w:t>fondos fiduciarios</w:t>
      </w:r>
      <w:proofErr w:type="gramStart"/>
      <w:r w:rsidR="00CE5A42" w:rsidRPr="00CE5A42">
        <w:t>.</w:t>
      </w:r>
      <w:r w:rsidRPr="00442559">
        <w:t>.</w:t>
      </w:r>
      <w:proofErr w:type="gramEnd"/>
      <w:r w:rsidRPr="00442559">
        <w:t xml:space="preserve"> </w:t>
      </w:r>
    </w:p>
    <w:p w:rsidR="003743B1" w:rsidRPr="00442559" w:rsidRDefault="003743B1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cs="Arial"/>
          <w:b/>
          <w:szCs w:val="22"/>
        </w:rPr>
      </w:pPr>
      <w:r w:rsidRPr="00442559">
        <w:rPr>
          <w:rFonts w:ascii="Arial" w:hAnsi="Arial"/>
          <w:b/>
          <w:sz w:val="22"/>
        </w:rPr>
        <w:t>Servicios de gestión del conocimiento</w:t>
      </w:r>
    </w:p>
    <w:p w:rsidR="003743B1" w:rsidRPr="00442559" w:rsidRDefault="003743B1" w:rsidP="00C86966">
      <w:pPr>
        <w:pStyle w:val="Marge"/>
        <w:numPr>
          <w:ilvl w:val="0"/>
          <w:numId w:val="14"/>
        </w:numPr>
        <w:spacing w:after="120"/>
        <w:ind w:left="567" w:hanging="567"/>
        <w:rPr>
          <w:rFonts w:cs="Arial"/>
          <w:szCs w:val="22"/>
        </w:rPr>
      </w:pPr>
      <w:r w:rsidRPr="00442559">
        <w:t xml:space="preserve">La gestión del conocimiento se ha vuelto cada vez más indispensable a medida que la Convención sigue desarrollándose y la red de partes interesadas sigue expandiéndose. Sólo un mejoramiento permanente en la gestión del conocimiento y de la información permite a la Secretaría asistir </w:t>
      </w:r>
      <w:r w:rsidR="00CE5A42" w:rsidRPr="00CE5A42">
        <w:t>de manera oportuna y con precisión</w:t>
      </w:r>
      <w:r w:rsidR="00CE5A42" w:rsidRPr="00CE5A42" w:rsidDel="00CE5A42">
        <w:t xml:space="preserve"> </w:t>
      </w:r>
      <w:r w:rsidRPr="00442559">
        <w:t xml:space="preserve">a los Estados Partes, a los órganos rectores de la Convención y a la comunidad internacional.  La Mesa aprobó actividades para mejorar la accesibilidad, la utilización y las funcionalidades del sistema de gestión del conocimiento de la Convención por un monto de </w:t>
      </w:r>
      <w:r w:rsidR="00CE5A42">
        <w:t> </w:t>
      </w:r>
      <w:r w:rsidR="00CE5A42" w:rsidRPr="00442559">
        <w:t>304</w:t>
      </w:r>
      <w:r w:rsidR="00CE5A42">
        <w:t>.</w:t>
      </w:r>
      <w:r w:rsidRPr="00442559">
        <w:t xml:space="preserve">000 USD para el periodo comprendido entre </w:t>
      </w:r>
      <w:r w:rsidR="00CE5A42">
        <w:t>e</w:t>
      </w:r>
      <w:r w:rsidR="00CE5A42" w:rsidRPr="00442559">
        <w:t xml:space="preserve">nero </w:t>
      </w:r>
      <w:r w:rsidRPr="00442559">
        <w:t xml:space="preserve">de 2014 y </w:t>
      </w:r>
      <w:r w:rsidR="00CE5A42">
        <w:t>d</w:t>
      </w:r>
      <w:r w:rsidR="00CE5A42" w:rsidRPr="00442559">
        <w:t xml:space="preserve">iciembre </w:t>
      </w:r>
      <w:r w:rsidRPr="00442559">
        <w:t xml:space="preserve">de 2015, y </w:t>
      </w:r>
      <w:r w:rsidR="00CE5A42" w:rsidRPr="00442559">
        <w:t>80</w:t>
      </w:r>
      <w:r w:rsidR="00CE5A42">
        <w:t>.</w:t>
      </w:r>
      <w:r w:rsidRPr="00442559">
        <w:t xml:space="preserve">000 USD para el periodo comprendido entre </w:t>
      </w:r>
      <w:r w:rsidR="00CE5A42">
        <w:t>e</w:t>
      </w:r>
      <w:r w:rsidR="00CE5A42" w:rsidRPr="00442559">
        <w:t xml:space="preserve">nero </w:t>
      </w:r>
      <w:r w:rsidRPr="00442559">
        <w:t xml:space="preserve">de 2016 y </w:t>
      </w:r>
      <w:r w:rsidR="00CE5A42">
        <w:t>j</w:t>
      </w:r>
      <w:r w:rsidR="00CE5A42" w:rsidRPr="00442559">
        <w:t xml:space="preserve">unio </w:t>
      </w:r>
      <w:r w:rsidRPr="00442559">
        <w:t xml:space="preserve">de 2016. Nuevamente, el informe de la Secretaría previamente mencionado detalla las mejoras logradas y </w:t>
      </w:r>
      <w:r w:rsidR="00276279">
        <w:t>aún previstas</w:t>
      </w:r>
      <w:r w:rsidRPr="00442559">
        <w:t xml:space="preserve"> en el </w:t>
      </w:r>
      <w:r w:rsidR="00276279">
        <w:t>ámbito</w:t>
      </w:r>
      <w:r w:rsidR="00276279" w:rsidRPr="00442559">
        <w:t xml:space="preserve"> </w:t>
      </w:r>
      <w:r w:rsidRPr="00442559">
        <w:t>de los servicios de gestión del conocimiento.</w:t>
      </w:r>
    </w:p>
    <w:p w:rsidR="003743B1" w:rsidRPr="00442559" w:rsidRDefault="0058565F" w:rsidP="00C86966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cs="Arial"/>
          <w:szCs w:val="22"/>
        </w:rPr>
      </w:pPr>
      <w:r>
        <w:rPr>
          <w:rFonts w:ascii="Arial" w:hAnsi="Arial"/>
          <w:b/>
          <w:sz w:val="22"/>
        </w:rPr>
        <w:lastRenderedPageBreak/>
        <w:t>Asesoramiento</w:t>
      </w:r>
      <w:r w:rsidRPr="00442559">
        <w:rPr>
          <w:rFonts w:ascii="Arial" w:hAnsi="Arial"/>
          <w:b/>
          <w:sz w:val="22"/>
        </w:rPr>
        <w:t xml:space="preserve"> </w:t>
      </w:r>
      <w:r w:rsidR="003743B1" w:rsidRPr="00442559">
        <w:rPr>
          <w:rFonts w:ascii="Arial" w:hAnsi="Arial"/>
          <w:b/>
          <w:sz w:val="22"/>
        </w:rPr>
        <w:t xml:space="preserve">sobre las mejores prácticas y recomendaciones sobre medidas de salvaguardia </w:t>
      </w:r>
      <w:r w:rsidR="003743B1" w:rsidRPr="00442559">
        <w:rPr>
          <w:rFonts w:ascii="Arial" w:hAnsi="Arial"/>
          <w:sz w:val="22"/>
        </w:rPr>
        <w:t>(Artículo 7[b])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Style w:val="hps"/>
          <w:rFonts w:cs="Arial"/>
          <w:szCs w:val="22"/>
        </w:rPr>
      </w:pPr>
      <w:r w:rsidRPr="00442559">
        <w:rPr>
          <w:rStyle w:val="hps"/>
        </w:rPr>
        <w:t xml:space="preserve">El Comité invitó a todas las partes interesadas a desarrollar medios alternativos y más sencillos de compartir experiencias de salvaguardia </w:t>
      </w:r>
      <w:r w:rsidRPr="00C86966">
        <w:rPr>
          <w:rStyle w:val="hps"/>
        </w:rPr>
        <w:t xml:space="preserve">en lugar de depender exclusivamente del Registro de Mejores Prácticas de Salvaguardia </w:t>
      </w:r>
      <w:r w:rsidRPr="00C86966">
        <w:t xml:space="preserve">(Decisión 8.COM 5.c.1). Es en este contexto que la Mesa asignó un total de </w:t>
      </w:r>
      <w:r w:rsidR="0058565F" w:rsidRPr="00C86966">
        <w:t> 133.</w:t>
      </w:r>
      <w:r w:rsidRPr="00C86966">
        <w:t xml:space="preserve">000 USD para el periodo comprendido entre </w:t>
      </w:r>
      <w:r w:rsidR="0058565F" w:rsidRPr="00C86966">
        <w:t xml:space="preserve">enero </w:t>
      </w:r>
      <w:r w:rsidRPr="00C86966">
        <w:t xml:space="preserve">de 2014 y </w:t>
      </w:r>
      <w:r w:rsidR="0058565F" w:rsidRPr="00C86966">
        <w:t xml:space="preserve">diciembre </w:t>
      </w:r>
      <w:r w:rsidRPr="00C86966">
        <w:t xml:space="preserve">de 2015, y </w:t>
      </w:r>
      <w:r w:rsidR="0058565F" w:rsidRPr="00C86966">
        <w:t>43.</w:t>
      </w:r>
      <w:r w:rsidRPr="00C86966">
        <w:t xml:space="preserve">000 USD para el periodo comprendido entre </w:t>
      </w:r>
      <w:r w:rsidR="0058565F" w:rsidRPr="00C86966">
        <w:t xml:space="preserve">enero </w:t>
      </w:r>
      <w:r w:rsidRPr="00C86966">
        <w:t xml:space="preserve">de 2016 y </w:t>
      </w:r>
      <w:r w:rsidR="0058565F" w:rsidRPr="00C86966">
        <w:t xml:space="preserve">junio </w:t>
      </w:r>
      <w:r w:rsidRPr="00C86966">
        <w:t xml:space="preserve">de 2016 a fin de ayudar a la Secretaría a identificar y compartir ejemplos interesantes e innovadores, particularmente aquellos que involucren códigos éticos y otros temas. </w:t>
      </w:r>
      <w:r w:rsidRPr="00C86966">
        <w:rPr>
          <w:rStyle w:val="hps"/>
        </w:rPr>
        <w:t xml:space="preserve">También solicitó reforzar la cooperación con </w:t>
      </w:r>
      <w:r w:rsidR="0058565F" w:rsidRPr="00C86966">
        <w:rPr>
          <w:rStyle w:val="hps"/>
        </w:rPr>
        <w:t xml:space="preserve">la OMPI </w:t>
      </w:r>
      <w:r w:rsidRPr="00C86966">
        <w:rPr>
          <w:rStyle w:val="hps"/>
        </w:rPr>
        <w:t xml:space="preserve">en el campo del saber tradicional y las expresiones culturales. </w:t>
      </w:r>
      <w:r w:rsidRPr="00C86966">
        <w:t>El informe de la Secretaría previamente mencionado y sus anexos</w:t>
      </w:r>
      <w:r w:rsidRPr="00442559">
        <w:t xml:space="preserve"> sobre el seguimiento de auditorías y evaluaciones detallan las mejoras logradas.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Style w:val="hps"/>
        </w:rPr>
      </w:pPr>
      <w:r w:rsidRPr="00442559">
        <w:rPr>
          <w:rStyle w:val="hps"/>
        </w:rPr>
        <w:t xml:space="preserve">La </w:t>
      </w:r>
      <w:r w:rsidRPr="00442559">
        <w:t xml:space="preserve">Mesa también asignó un total </w:t>
      </w:r>
      <w:r w:rsidR="0058565F" w:rsidRPr="00442559">
        <w:t>de</w:t>
      </w:r>
      <w:r w:rsidR="0058565F" w:rsidRPr="00442559">
        <w:rPr>
          <w:rStyle w:val="hps"/>
        </w:rPr>
        <w:t>129</w:t>
      </w:r>
      <w:r w:rsidR="0058565F">
        <w:rPr>
          <w:rStyle w:val="hps"/>
        </w:rPr>
        <w:t>.</w:t>
      </w:r>
      <w:r w:rsidR="0058565F" w:rsidRPr="00442559">
        <w:rPr>
          <w:rStyle w:val="hps"/>
        </w:rPr>
        <w:t>000</w:t>
      </w:r>
      <w:r w:rsidR="0058565F">
        <w:rPr>
          <w:rStyle w:val="hps"/>
        </w:rPr>
        <w:t> </w:t>
      </w:r>
      <w:r w:rsidRPr="00442559">
        <w:rPr>
          <w:rStyle w:val="hps"/>
        </w:rPr>
        <w:t xml:space="preserve">USD </w:t>
      </w:r>
      <w:r w:rsidRPr="00442559">
        <w:t xml:space="preserve">para el periodo comprendido entre </w:t>
      </w:r>
      <w:r w:rsidR="0058565F">
        <w:t>e</w:t>
      </w:r>
      <w:r w:rsidR="0058565F" w:rsidRPr="00442559">
        <w:t xml:space="preserve">nero </w:t>
      </w:r>
      <w:r w:rsidRPr="00442559">
        <w:t xml:space="preserve">de 2014 y </w:t>
      </w:r>
      <w:r w:rsidR="0058565F">
        <w:t>d</w:t>
      </w:r>
      <w:r w:rsidR="0058565F" w:rsidRPr="00442559">
        <w:t xml:space="preserve">iciembre </w:t>
      </w:r>
      <w:r w:rsidRPr="00442559">
        <w:t xml:space="preserve">de 2015 y </w:t>
      </w:r>
      <w:r w:rsidR="0058565F" w:rsidRPr="00442559">
        <w:rPr>
          <w:rStyle w:val="hps"/>
        </w:rPr>
        <w:t>18</w:t>
      </w:r>
      <w:r w:rsidR="0058565F">
        <w:rPr>
          <w:rStyle w:val="hps"/>
        </w:rPr>
        <w:t>.</w:t>
      </w:r>
      <w:r w:rsidR="0058565F" w:rsidRPr="00442559">
        <w:rPr>
          <w:rStyle w:val="hps"/>
        </w:rPr>
        <w:t>000</w:t>
      </w:r>
      <w:r w:rsidR="0058565F">
        <w:rPr>
          <w:rStyle w:val="hps"/>
        </w:rPr>
        <w:t> </w:t>
      </w:r>
      <w:r w:rsidRPr="00442559">
        <w:rPr>
          <w:rStyle w:val="hps"/>
        </w:rPr>
        <w:t xml:space="preserve">USD </w:t>
      </w:r>
      <w:r w:rsidRPr="00442559">
        <w:t xml:space="preserve">para el periodo comprendido entre </w:t>
      </w:r>
      <w:r w:rsidR="0058565F">
        <w:t>e</w:t>
      </w:r>
      <w:r w:rsidR="0058565F" w:rsidRPr="00442559">
        <w:t xml:space="preserve">nero </w:t>
      </w:r>
      <w:r w:rsidRPr="00442559">
        <w:t xml:space="preserve">de 2016 y </w:t>
      </w:r>
      <w:r w:rsidR="0058565F">
        <w:t>j</w:t>
      </w:r>
      <w:r w:rsidR="0058565F" w:rsidRPr="00442559">
        <w:t xml:space="preserve">unio </w:t>
      </w:r>
      <w:r w:rsidRPr="00442559">
        <w:t xml:space="preserve">de 2016 para publicar diversos materiales de comunicación: </w:t>
      </w:r>
      <w:r w:rsidRPr="00442559">
        <w:rPr>
          <w:rStyle w:val="hps"/>
        </w:rPr>
        <w:t xml:space="preserve">la versión de 2014 de los Textos Fundamentales en seis idiomas, tanto en formato impreso como digital; folletos digitales de los elementos inscritos en 2012 y 2013 en la Lista de Salvaguardia Urgente, así como los programas seleccionados para el Registro de las Mejores Prácticas de Salvaguardia; un prospecto sobre igualdad de género y patrimonio cultural inmaterial, y otro sobre patrimonio cultural inmaterial para el desarrollo sostenible en inglés, francés y español para completar el Kit de patrimonio cultural inmaterial, que también fue reimpreso para la ocasión en inglés y francés; y la </w:t>
      </w:r>
      <w:r w:rsidR="0058565F">
        <w:rPr>
          <w:rStyle w:val="hps"/>
        </w:rPr>
        <w:t>disponibilidad de información</w:t>
      </w:r>
      <w:r w:rsidR="0058565F" w:rsidRPr="00442559">
        <w:rPr>
          <w:rStyle w:val="hps"/>
        </w:rPr>
        <w:t xml:space="preserve"> </w:t>
      </w:r>
      <w:r w:rsidRPr="00442559">
        <w:rPr>
          <w:rStyle w:val="hps"/>
        </w:rPr>
        <w:t xml:space="preserve">multilingüe </w:t>
      </w:r>
      <w:r w:rsidR="0058565F">
        <w:rPr>
          <w:rStyle w:val="hps"/>
        </w:rPr>
        <w:t>en</w:t>
      </w:r>
      <w:r w:rsidR="0058565F" w:rsidRPr="00442559">
        <w:rPr>
          <w:rStyle w:val="hps"/>
        </w:rPr>
        <w:t xml:space="preserve"> </w:t>
      </w:r>
      <w:r w:rsidRPr="00442559">
        <w:rPr>
          <w:rStyle w:val="hps"/>
        </w:rPr>
        <w:t>sitio web de la Convención en inglés, francés y español.</w:t>
      </w:r>
    </w:p>
    <w:p w:rsidR="003743B1" w:rsidRPr="00442559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sz w:val="22"/>
          <w:szCs w:val="22"/>
        </w:rPr>
      </w:pPr>
      <w:r w:rsidRPr="00442559">
        <w:rPr>
          <w:rFonts w:ascii="Arial" w:hAnsi="Arial"/>
          <w:b/>
          <w:sz w:val="22"/>
        </w:rPr>
        <w:t xml:space="preserve">Preparación de un </w:t>
      </w:r>
      <w:r w:rsidR="00173B9B">
        <w:rPr>
          <w:rFonts w:ascii="Arial" w:hAnsi="Arial"/>
          <w:b/>
          <w:sz w:val="22"/>
        </w:rPr>
        <w:t>proyecto</w:t>
      </w:r>
      <w:r w:rsidR="00173B9B" w:rsidRPr="00442559">
        <w:rPr>
          <w:rFonts w:ascii="Arial" w:hAnsi="Arial"/>
          <w:b/>
          <w:sz w:val="22"/>
        </w:rPr>
        <w:t xml:space="preserve"> </w:t>
      </w:r>
      <w:r w:rsidRPr="00442559">
        <w:rPr>
          <w:rFonts w:ascii="Arial" w:hAnsi="Arial"/>
          <w:b/>
          <w:sz w:val="22"/>
        </w:rPr>
        <w:t xml:space="preserve">preliminar para la utilización de los recursos del Fondo del Patrimonio Cultural Inmaterial e incrementar los recursos del Fondo </w:t>
      </w:r>
      <w:r w:rsidRPr="00442559">
        <w:rPr>
          <w:rFonts w:ascii="Arial" w:hAnsi="Arial"/>
          <w:sz w:val="22"/>
        </w:rPr>
        <w:t>(Artículos 7[c] y 7[d])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El </w:t>
      </w:r>
      <w:r w:rsidRPr="00C86966">
        <w:t xml:space="preserve">Comité presenta </w:t>
      </w:r>
      <w:r w:rsidR="00173B9B">
        <w:t>a</w:t>
      </w:r>
      <w:r w:rsidR="00173B9B" w:rsidRPr="00442559">
        <w:t xml:space="preserve"> </w:t>
      </w:r>
      <w:r w:rsidRPr="00442559">
        <w:t xml:space="preserve">la sexta reunión de la Asamblea General un </w:t>
      </w:r>
      <w:r w:rsidR="00173B9B">
        <w:t>proyecto</w:t>
      </w:r>
      <w:r w:rsidR="00173B9B" w:rsidRPr="00442559">
        <w:t xml:space="preserve"> </w:t>
      </w:r>
      <w:r w:rsidRPr="00442559">
        <w:t xml:space="preserve">para la utilización de los recursos del Fondo en el periodo comprendido entre el 1 de </w:t>
      </w:r>
      <w:r w:rsidR="00173B9B">
        <w:t>e</w:t>
      </w:r>
      <w:r w:rsidR="00173B9B" w:rsidRPr="00442559">
        <w:t xml:space="preserve">nero </w:t>
      </w:r>
      <w:r w:rsidRPr="00442559">
        <w:t xml:space="preserve">de 2016 y el 31 de </w:t>
      </w:r>
      <w:r w:rsidR="00173B9B">
        <w:t>d</w:t>
      </w:r>
      <w:r w:rsidR="00173B9B" w:rsidRPr="00442559">
        <w:t xml:space="preserve">iciembre </w:t>
      </w:r>
      <w:r w:rsidRPr="00442559">
        <w:t xml:space="preserve">de 2017, que es </w:t>
      </w:r>
      <w:r w:rsidR="00173B9B">
        <w:t xml:space="preserve">básicamente el mismo que el </w:t>
      </w:r>
      <w:r w:rsidRPr="00442559">
        <w:t>l propuesto y adoptado para el periodo 2014</w:t>
      </w:r>
      <w:r w:rsidRPr="00442559">
        <w:noBreakHyphen/>
        <w:t>15, en el cual la mayoría de los recursos asignados están destinados</w:t>
      </w:r>
      <w:r w:rsidR="00173B9B">
        <w:t>, como antes,</w:t>
      </w:r>
      <w:r w:rsidRPr="00442559">
        <w:t xml:space="preserve"> a la asistencia internacional.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</w:pPr>
      <w:r w:rsidRPr="00442559">
        <w:t xml:space="preserve">Desde la última Asamblea General en </w:t>
      </w:r>
      <w:r w:rsidR="00173B9B">
        <w:t>j</w:t>
      </w:r>
      <w:r w:rsidR="00173B9B" w:rsidRPr="00442559">
        <w:t xml:space="preserve">unio </w:t>
      </w:r>
      <w:r w:rsidRPr="00442559">
        <w:t xml:space="preserve">de 2014, el Fondo recibió contribuciones voluntarias </w:t>
      </w:r>
      <w:r w:rsidR="00173B9B">
        <w:t>complementarias</w:t>
      </w:r>
      <w:r w:rsidR="00173B9B" w:rsidRPr="00442559">
        <w:t xml:space="preserve"> </w:t>
      </w:r>
      <w:r w:rsidRPr="00442559">
        <w:t xml:space="preserve">de Azerbaiyán, los Países Bajos, Noruega y España para apoyar el desarrollo de siete </w:t>
      </w:r>
      <w:r w:rsidR="00173B9B">
        <w:t>proyectos</w:t>
      </w:r>
      <w:r w:rsidR="00173B9B" w:rsidRPr="00442559">
        <w:t xml:space="preserve"> </w:t>
      </w:r>
      <w:r w:rsidRPr="00442559">
        <w:t xml:space="preserve">de </w:t>
      </w:r>
      <w:r w:rsidR="00173B9B">
        <w:t>fortalecimiento</w:t>
      </w:r>
      <w:r w:rsidR="00173B9B" w:rsidRPr="00442559">
        <w:t xml:space="preserve"> </w:t>
      </w:r>
      <w:r w:rsidRPr="00442559">
        <w:t xml:space="preserve">de capacidades. El </w:t>
      </w:r>
      <w:proofErr w:type="spellStart"/>
      <w:r w:rsidRPr="00442559">
        <w:t>Subfondo</w:t>
      </w:r>
      <w:proofErr w:type="spellEnd"/>
      <w:r w:rsidRPr="00442559">
        <w:t xml:space="preserve"> del Fondo del Patrimonio Cultural Inmaterial, dedicado exclusivamente a incrementar las capacidades humanas de la Secretaría, también ha recibido contribuciones por un monto de</w:t>
      </w:r>
      <w:r w:rsidR="00173B9B">
        <w:t> </w:t>
      </w:r>
      <w:r w:rsidR="00173B9B" w:rsidRPr="00442559">
        <w:t>417</w:t>
      </w:r>
      <w:r w:rsidR="00173B9B">
        <w:t>.</w:t>
      </w:r>
      <w:r w:rsidRPr="00442559">
        <w:t>345 USD durante el periodo de informe.</w:t>
      </w:r>
    </w:p>
    <w:p w:rsidR="003743B1" w:rsidRPr="00442559" w:rsidRDefault="003743B1" w:rsidP="003C6F8A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Arial" w:cs="Arial"/>
          <w:szCs w:val="22"/>
        </w:rPr>
      </w:pPr>
      <w:r w:rsidRPr="00442559">
        <w:t xml:space="preserve">El documento ITH/16/6.GA/INF.9.2 incluye una lista de dichas contribuciones para el periodo comprendido entre el 1 de </w:t>
      </w:r>
      <w:r w:rsidR="00173B9B">
        <w:t>j</w:t>
      </w:r>
      <w:r w:rsidR="00173B9B" w:rsidRPr="00442559">
        <w:t xml:space="preserve">unio </w:t>
      </w:r>
      <w:r w:rsidRPr="00442559">
        <w:t xml:space="preserve">de 2014 y </w:t>
      </w:r>
      <w:r w:rsidR="00173B9B">
        <w:t>marzo</w:t>
      </w:r>
      <w:r w:rsidR="00173B9B" w:rsidRPr="00442559">
        <w:t xml:space="preserve"> </w:t>
      </w:r>
      <w:r w:rsidRPr="00442559">
        <w:t xml:space="preserve">de 2016. El documento ITH/16/6.GA/INF.9.1 incluye el Informe Financiero para el Fondo del Patrimonio Cultural Inmaterial para el periodo comprendido entre el 1 de </w:t>
      </w:r>
      <w:r w:rsidR="00173B9B">
        <w:t>e</w:t>
      </w:r>
      <w:r w:rsidR="00173B9B" w:rsidRPr="00442559">
        <w:t xml:space="preserve">nero </w:t>
      </w:r>
      <w:r w:rsidRPr="00442559">
        <w:t xml:space="preserve">de 2014 y el 31 de </w:t>
      </w:r>
      <w:r w:rsidR="00173B9B">
        <w:t>d</w:t>
      </w:r>
      <w:r w:rsidR="00173B9B" w:rsidRPr="00442559">
        <w:t xml:space="preserve">iciembre </w:t>
      </w:r>
      <w:r w:rsidRPr="00442559">
        <w:t xml:space="preserve">de 2015, establecido por la Oficina de Gestión Financiera, precedido por una breve nota explicativa. </w:t>
      </w:r>
    </w:p>
    <w:p w:rsidR="003743B1" w:rsidRPr="00442559" w:rsidRDefault="003743B1" w:rsidP="003743B1">
      <w:pPr>
        <w:keepNext/>
        <w:pageBreakBefore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lastRenderedPageBreak/>
        <w:t xml:space="preserve">Preparación de las Directrices Operativas para la implementación de la Convención </w:t>
      </w:r>
      <w:r w:rsidRPr="00442559">
        <w:rPr>
          <w:rFonts w:ascii="Arial" w:hAnsi="Arial"/>
          <w:sz w:val="22"/>
        </w:rPr>
        <w:t>(Artículo 7[e])</w:t>
      </w:r>
    </w:p>
    <w:p w:rsidR="003743B1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Arial" w:cs="Arial"/>
          <w:i/>
          <w:szCs w:val="22"/>
        </w:rPr>
      </w:pPr>
      <w:r w:rsidRPr="00442559">
        <w:t xml:space="preserve">Durante el periodo de informe, el Comité </w:t>
      </w:r>
      <w:r w:rsidR="00DE4E13">
        <w:t>recomend</w:t>
      </w:r>
      <w:r w:rsidR="00DE4E13" w:rsidRPr="00C86966">
        <w:t>ó</w:t>
      </w:r>
      <w:r w:rsidR="00DE4E13" w:rsidRPr="00442559">
        <w:t xml:space="preserve"> </w:t>
      </w:r>
      <w:r w:rsidRPr="00442559">
        <w:t xml:space="preserve">a la Asamblea general aprobar nuevas directrices o enmiendas a las Directrices Operativas para la </w:t>
      </w:r>
      <w:r w:rsidR="00DE4E13">
        <w:t>aplicación</w:t>
      </w:r>
      <w:r w:rsidR="00DE4E13" w:rsidRPr="00442559">
        <w:t xml:space="preserve"> </w:t>
      </w:r>
      <w:r w:rsidRPr="00442559">
        <w:t>de la Convención relativas a los siguientes temas:</w:t>
      </w:r>
    </w:p>
    <w:p w:rsidR="003743B1" w:rsidRPr="00442559" w:rsidRDefault="003743B1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</w:rPr>
      </w:pPr>
      <w:r w:rsidRPr="00442559">
        <w:t>informes periódicos</w:t>
      </w:r>
    </w:p>
    <w:p w:rsidR="003743B1" w:rsidRPr="00442559" w:rsidRDefault="003743B1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</w:rPr>
      </w:pPr>
      <w:r w:rsidRPr="00442559">
        <w:t>salvaguardia del patrimonio cultural inmaterial y desarrollo sostenible</w:t>
      </w:r>
    </w:p>
    <w:p w:rsidR="003743B1" w:rsidRPr="00442559" w:rsidRDefault="003743B1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</w:rPr>
      </w:pPr>
      <w:r w:rsidRPr="00442559">
        <w:t xml:space="preserve">opción de </w:t>
      </w:r>
      <w:r w:rsidR="00DE4E13">
        <w:t>remitir</w:t>
      </w:r>
    </w:p>
    <w:p w:rsidR="00DE4E13" w:rsidRPr="00C86966" w:rsidRDefault="00DE4E13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</w:rPr>
      </w:pPr>
      <w:r>
        <w:t>calendario</w:t>
      </w:r>
      <w:r w:rsidRPr="00442559">
        <w:t xml:space="preserve"> </w:t>
      </w:r>
      <w:r w:rsidR="003743B1" w:rsidRPr="00442559">
        <w:t>de evaluación para organizaciones no gubernamentales</w:t>
      </w:r>
    </w:p>
    <w:p w:rsidR="00013133" w:rsidRPr="00C86966" w:rsidRDefault="00013133" w:rsidP="00DE4E13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</w:rPr>
      </w:pPr>
      <w:r w:rsidRPr="00C86966">
        <w:t xml:space="preserve">examen de </w:t>
      </w:r>
      <w:r w:rsidR="00DE4E13" w:rsidRPr="00C86966">
        <w:t xml:space="preserve">solicitudes </w:t>
      </w:r>
      <w:r w:rsidRPr="00C86966">
        <w:t>de asistencia internacional</w:t>
      </w:r>
    </w:p>
    <w:p w:rsidR="003743B1" w:rsidRPr="00442559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>Examen de informes periódicos</w:t>
      </w:r>
      <w:r w:rsidRPr="00442559">
        <w:rPr>
          <w:rFonts w:ascii="Arial" w:hAnsi="Arial"/>
          <w:sz w:val="22"/>
        </w:rPr>
        <w:t xml:space="preserve"> (Artículo 7[f])</w:t>
      </w:r>
    </w:p>
    <w:p w:rsidR="009144E3" w:rsidRPr="00442559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Arial"/>
        </w:rPr>
      </w:pPr>
      <w:r w:rsidRPr="00442559">
        <w:t xml:space="preserve">La </w:t>
      </w:r>
      <w:hyperlink r:id="rId10">
        <w:r w:rsidRPr="00442559">
          <w:rPr>
            <w:color w:val="0000FF"/>
            <w:u w:val="single"/>
          </w:rPr>
          <w:t>Convención</w:t>
        </w:r>
      </w:hyperlink>
      <w:r w:rsidRPr="00442559">
        <w:t xml:space="preserve"> estipula en el Artículo 29 que los Estados Partes deben presentar al Comité informes sobre todas las medidas, incluyendo legislativas y regulatorias, </w:t>
      </w:r>
      <w:r w:rsidR="00DE4E13">
        <w:t>que hayan adoptado para aplicar</w:t>
      </w:r>
      <w:r w:rsidRPr="00442559">
        <w:t xml:space="preserve"> la Convención y, en el Artículo 30, que «</w:t>
      </w:r>
      <w:r w:rsidR="00DE4E13">
        <w:t> </w:t>
      </w:r>
      <w:r w:rsidRPr="00442559">
        <w:t>Basándose en sus actividades y en los informes de los Estados Partes […] el Comité presentará un informe en cada reunión de la Asamblea General</w:t>
      </w:r>
      <w:r w:rsidR="00DE4E13">
        <w:t> </w:t>
      </w:r>
      <w:r w:rsidR="00DE4E13" w:rsidRPr="00442559">
        <w:t>»</w:t>
      </w:r>
      <w:r w:rsidR="00DE4E13">
        <w:t>.</w:t>
      </w:r>
      <w:r w:rsidR="00DE4E13" w:rsidRPr="00442559">
        <w:t xml:space="preserve"> </w:t>
      </w:r>
      <w:r w:rsidRPr="00442559">
        <w:t xml:space="preserve">Durante el periodo de informe, el Comité examinó 51 informes de los Estados Partes sobre la </w:t>
      </w:r>
      <w:r w:rsidR="00DE4E13">
        <w:t>aplicación</w:t>
      </w:r>
      <w:r w:rsidR="00DE4E13" w:rsidRPr="00442559">
        <w:t xml:space="preserve"> </w:t>
      </w:r>
      <w:r w:rsidRPr="00442559">
        <w:t>de la Convención a nivel nacional (</w:t>
      </w:r>
      <w:hyperlink r:id="rId11">
        <w:r w:rsidRPr="00442559">
          <w:rPr>
            <w:rStyle w:val="Hyperlink"/>
          </w:rPr>
          <w:t>27</w:t>
        </w:r>
      </w:hyperlink>
      <w:r w:rsidRPr="00442559">
        <w:t xml:space="preserve"> en 2014 y</w:t>
      </w:r>
      <w:hyperlink r:id="rId12">
        <w:r w:rsidRPr="00442559">
          <w:rPr>
            <w:rStyle w:val="Hyperlink"/>
          </w:rPr>
          <w:t>24</w:t>
        </w:r>
      </w:hyperlink>
      <w:r w:rsidRPr="00442559">
        <w:t xml:space="preserve"> en 2015) y 11 informes sobre el estado de los elementos inscritos en la Lista del </w:t>
      </w:r>
      <w:r w:rsidR="00DE4E13">
        <w:t>p</w:t>
      </w:r>
      <w:r w:rsidR="00DE4E13" w:rsidRPr="00442559">
        <w:t xml:space="preserve">atrimonio </w:t>
      </w:r>
      <w:r w:rsidR="00DE4E13">
        <w:t>c</w:t>
      </w:r>
      <w:r w:rsidR="00DE4E13" w:rsidRPr="00442559">
        <w:t xml:space="preserve">ultural </w:t>
      </w:r>
      <w:r w:rsidR="00DE4E13">
        <w:t>i</w:t>
      </w:r>
      <w:r w:rsidR="00DE4E13" w:rsidRPr="00442559">
        <w:t xml:space="preserve">nmaterial </w:t>
      </w:r>
      <w:r w:rsidR="00DE4E13">
        <w:t>que requiere medidas urgentes de salvaguardia</w:t>
      </w:r>
      <w:r w:rsidRPr="00442559">
        <w:t xml:space="preserve"> (</w:t>
      </w:r>
      <w:hyperlink r:id="rId13">
        <w:r w:rsidRPr="00442559">
          <w:rPr>
            <w:rStyle w:val="Hyperlink"/>
          </w:rPr>
          <w:t>8</w:t>
        </w:r>
      </w:hyperlink>
      <w:r w:rsidRPr="00442559">
        <w:t xml:space="preserve"> en 2014 y</w:t>
      </w:r>
      <w:hyperlink r:id="rId14">
        <w:r w:rsidRPr="00442559">
          <w:rPr>
            <w:rStyle w:val="Hyperlink"/>
          </w:rPr>
          <w:t>3</w:t>
        </w:r>
      </w:hyperlink>
      <w:r w:rsidRPr="00442559">
        <w:t xml:space="preserve"> en 2015).</w:t>
      </w:r>
    </w:p>
    <w:p w:rsidR="00DA133B" w:rsidRPr="0042719A" w:rsidRDefault="00DA133B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Arial"/>
        </w:rPr>
      </w:pPr>
      <w:r w:rsidRPr="0042719A">
        <w:t xml:space="preserve">Un repaso general y un resumen de los informes periódicos, como fueron adoptados por el Comité en sus Decisiones </w:t>
      </w:r>
      <w:hyperlink r:id="rId15">
        <w:r w:rsidRPr="0042719A">
          <w:rPr>
            <w:rStyle w:val="Hyperlink"/>
          </w:rPr>
          <w:t>9.COM 5.a</w:t>
        </w:r>
      </w:hyperlink>
      <w:r w:rsidRPr="0042719A">
        <w:t xml:space="preserve"> y</w:t>
      </w:r>
      <w:r w:rsidR="0042719A">
        <w:t xml:space="preserve"> </w:t>
      </w:r>
      <w:bookmarkStart w:id="0" w:name="_GoBack"/>
      <w:bookmarkEnd w:id="0"/>
      <w:r w:rsidR="0042719A" w:rsidRPr="0042719A">
        <w:fldChar w:fldCharType="begin"/>
      </w:r>
      <w:r w:rsidR="0042719A" w:rsidRPr="0042719A">
        <w:instrText xml:space="preserve"> HYPERLINK "http://www.unesco.org/culture/ich/en/Decisions/9.COM/5.b" \h </w:instrText>
      </w:r>
      <w:r w:rsidR="0042719A" w:rsidRPr="0042719A">
        <w:fldChar w:fldCharType="separate"/>
      </w:r>
      <w:r w:rsidRPr="0042719A">
        <w:rPr>
          <w:rStyle w:val="Hyperlink"/>
        </w:rPr>
        <w:t>9.COM 5.b</w:t>
      </w:r>
      <w:r w:rsidR="0042719A" w:rsidRPr="0042719A">
        <w:rPr>
          <w:rStyle w:val="Hyperlink"/>
        </w:rPr>
        <w:fldChar w:fldCharType="end"/>
      </w:r>
      <w:r w:rsidRPr="0042719A">
        <w:t xml:space="preserve"> (par los informes de 2014) y en las Decisiones </w:t>
      </w:r>
      <w:hyperlink r:id="rId16">
        <w:r w:rsidRPr="0042719A">
          <w:rPr>
            <w:rStyle w:val="Hyperlink"/>
          </w:rPr>
          <w:t>10.COM 6.a</w:t>
        </w:r>
      </w:hyperlink>
      <w:r w:rsidRPr="0042719A">
        <w:t>,</w:t>
      </w:r>
      <w:r w:rsidR="0042719A">
        <w:t xml:space="preserve"> 11.COM 1.BUR 2 Rev</w:t>
      </w:r>
      <w:r w:rsidR="00C86966" w:rsidRPr="0042719A">
        <w:t>.</w:t>
      </w:r>
      <w:r w:rsidRPr="0042719A">
        <w:t xml:space="preserve"> y </w:t>
      </w:r>
      <w:hyperlink r:id="rId17">
        <w:r w:rsidRPr="0042719A">
          <w:rPr>
            <w:rStyle w:val="Hyperlink"/>
          </w:rPr>
          <w:t>10.COM 6.b</w:t>
        </w:r>
      </w:hyperlink>
      <w:r w:rsidRPr="0042719A">
        <w:t xml:space="preserve"> (para los informes de 2015), se incluyen en los documentos de trabajo </w:t>
      </w:r>
      <w:r w:rsidR="009A5CA3" w:rsidRPr="0042719A">
        <w:t xml:space="preserve">correspondientes </w:t>
      </w:r>
      <w:r w:rsidRPr="0042719A">
        <w:t>del Comité (y de la Mesa, únicamente sobre los 24 informes de la implementación de la Convención examinados en 2015) de la siguiente manera: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6380"/>
        <w:gridCol w:w="2760"/>
      </w:tblGrid>
      <w:tr w:rsidR="00DA133B" w:rsidRPr="00442559" w:rsidTr="001A620E">
        <w:tc>
          <w:tcPr>
            <w:tcW w:w="6675" w:type="dxa"/>
            <w:vAlign w:val="center"/>
            <w:hideMark/>
          </w:tcPr>
          <w:p w:rsidR="00DA133B" w:rsidRPr="00442559" w:rsidRDefault="00DA133B" w:rsidP="009A5C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42559">
              <w:rPr>
                <w:rFonts w:ascii="Arial" w:hAnsi="Arial"/>
                <w:sz w:val="22"/>
              </w:rPr>
              <w:t xml:space="preserve">Examen de los informes de los Estados Partes sobre la </w:t>
            </w:r>
            <w:r w:rsidR="009A5CA3">
              <w:rPr>
                <w:rFonts w:ascii="Arial" w:hAnsi="Arial"/>
                <w:sz w:val="22"/>
              </w:rPr>
              <w:t>aplicación</w:t>
            </w:r>
            <w:r w:rsidR="009A5CA3" w:rsidRPr="00442559">
              <w:rPr>
                <w:rFonts w:ascii="Arial" w:hAnsi="Arial"/>
                <w:sz w:val="22"/>
              </w:rPr>
              <w:t xml:space="preserve"> </w:t>
            </w:r>
            <w:r w:rsidRPr="00442559">
              <w:rPr>
                <w:rFonts w:ascii="Arial" w:hAnsi="Arial"/>
                <w:sz w:val="22"/>
              </w:rPr>
              <w:t xml:space="preserve">de la Convención y sobre el estado actual de los elementos inscritos en la Lista </w:t>
            </w:r>
            <w:r w:rsidR="009A5CA3">
              <w:rPr>
                <w:rFonts w:ascii="Arial" w:hAnsi="Arial"/>
                <w:sz w:val="22"/>
              </w:rPr>
              <w:t>r</w:t>
            </w:r>
            <w:r w:rsidR="009A5CA3" w:rsidRPr="00442559">
              <w:rPr>
                <w:rFonts w:ascii="Arial" w:hAnsi="Arial"/>
                <w:sz w:val="22"/>
              </w:rPr>
              <w:t xml:space="preserve">epresentativa </w:t>
            </w:r>
            <w:r w:rsidRPr="00442559">
              <w:rPr>
                <w:rFonts w:ascii="Arial" w:hAnsi="Arial"/>
                <w:sz w:val="22"/>
              </w:rPr>
              <w:t xml:space="preserve">del </w:t>
            </w:r>
            <w:r w:rsidR="009A5CA3">
              <w:rPr>
                <w:rFonts w:ascii="Arial" w:hAnsi="Arial"/>
                <w:sz w:val="22"/>
              </w:rPr>
              <w:t>p</w:t>
            </w:r>
            <w:r w:rsidR="009A5CA3" w:rsidRPr="00442559">
              <w:rPr>
                <w:rFonts w:ascii="Arial" w:hAnsi="Arial"/>
                <w:sz w:val="22"/>
              </w:rPr>
              <w:t xml:space="preserve">atrimonio </w:t>
            </w:r>
            <w:r w:rsidR="009A5CA3">
              <w:rPr>
                <w:rFonts w:ascii="Arial" w:hAnsi="Arial"/>
                <w:sz w:val="22"/>
              </w:rPr>
              <w:t>c</w:t>
            </w:r>
            <w:r w:rsidR="009A5CA3" w:rsidRPr="00442559">
              <w:rPr>
                <w:rFonts w:ascii="Arial" w:hAnsi="Arial"/>
                <w:sz w:val="22"/>
              </w:rPr>
              <w:t xml:space="preserve">ultural </w:t>
            </w:r>
            <w:r w:rsidR="009A5CA3">
              <w:rPr>
                <w:rFonts w:ascii="Arial" w:hAnsi="Arial"/>
                <w:sz w:val="22"/>
              </w:rPr>
              <w:t>i</w:t>
            </w:r>
            <w:r w:rsidR="009A5CA3" w:rsidRPr="00442559">
              <w:rPr>
                <w:rFonts w:ascii="Arial" w:hAnsi="Arial"/>
                <w:sz w:val="22"/>
              </w:rPr>
              <w:t xml:space="preserve">nmaterial </w:t>
            </w:r>
            <w:r w:rsidRPr="00442559">
              <w:rPr>
                <w:rFonts w:ascii="Arial" w:hAnsi="Arial"/>
                <w:sz w:val="22"/>
              </w:rPr>
              <w:t xml:space="preserve">de la </w:t>
            </w:r>
            <w:r w:rsidR="009A5CA3">
              <w:rPr>
                <w:rFonts w:ascii="Arial" w:hAnsi="Arial"/>
                <w:sz w:val="22"/>
              </w:rPr>
              <w:t>h</w:t>
            </w:r>
            <w:r w:rsidR="009A5CA3" w:rsidRPr="00442559">
              <w:rPr>
                <w:rFonts w:ascii="Arial" w:hAnsi="Arial"/>
                <w:sz w:val="22"/>
              </w:rPr>
              <w:t xml:space="preserve">umanidad </w:t>
            </w:r>
            <w:r w:rsidRPr="00442559">
              <w:rPr>
                <w:rFonts w:ascii="Arial" w:hAnsi="Arial"/>
                <w:sz w:val="22"/>
              </w:rPr>
              <w:t>(ciclo 2014)</w:t>
            </w:r>
          </w:p>
        </w:tc>
        <w:tc>
          <w:tcPr>
            <w:tcW w:w="2465" w:type="dxa"/>
            <w:vAlign w:val="center"/>
            <w:hideMark/>
          </w:tcPr>
          <w:p w:rsidR="00DA133B" w:rsidRPr="00442559" w:rsidRDefault="00DA133B" w:rsidP="001A620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559">
              <w:rPr>
                <w:rFonts w:ascii="Arial" w:hAnsi="Arial"/>
                <w:b/>
                <w:sz w:val="20"/>
              </w:rPr>
              <w:t xml:space="preserve">ITH/14/9.COM/5.a: </w:t>
            </w:r>
            <w:hyperlink r:id="rId18">
              <w:proofErr w:type="spellStart"/>
              <w:r w:rsidRPr="00442559">
                <w:rPr>
                  <w:rStyle w:val="Hyperlink"/>
                  <w:rFonts w:ascii="Arial" w:hAnsi="Arial"/>
                  <w:sz w:val="20"/>
                </w:rPr>
                <w:t>Inglés</w:t>
              </w:r>
            </w:hyperlink>
            <w:r w:rsidRPr="00442559">
              <w:rPr>
                <w:rFonts w:ascii="Arial" w:hAnsi="Arial"/>
                <w:sz w:val="20"/>
              </w:rPr>
              <w:t>|</w:t>
            </w:r>
            <w:hyperlink r:id="rId19">
              <w:r w:rsidRPr="00442559">
                <w:rPr>
                  <w:rStyle w:val="Hyperlink"/>
                  <w:rFonts w:ascii="Arial" w:hAnsi="Arial"/>
                  <w:sz w:val="20"/>
                </w:rPr>
                <w:t>Francés</w:t>
              </w:r>
              <w:proofErr w:type="spellEnd"/>
            </w:hyperlink>
            <w:r w:rsidRPr="00442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42559">
              <w:rPr>
                <w:rFonts w:ascii="Arial" w:hAnsi="Arial"/>
                <w:i/>
                <w:sz w:val="20"/>
              </w:rPr>
              <w:t xml:space="preserve">Ver los </w:t>
            </w:r>
            <w:hyperlink r:id="rId20">
              <w:r w:rsidRPr="00442559">
                <w:rPr>
                  <w:rStyle w:val="Hyperlink"/>
                  <w:rFonts w:ascii="Arial" w:hAnsi="Arial"/>
                  <w:i/>
                  <w:sz w:val="20"/>
                </w:rPr>
                <w:t>27 informes</w:t>
              </w:r>
            </w:hyperlink>
            <w:r w:rsidRPr="00442559">
              <w:rPr>
                <w:rFonts w:ascii="Arial" w:hAnsi="Arial"/>
                <w:b/>
                <w:sz w:val="20"/>
              </w:rPr>
              <w:t xml:space="preserve"> </w:t>
            </w:r>
            <w:r w:rsidRPr="00442559">
              <w:rPr>
                <w:rFonts w:ascii="Arial" w:hAnsi="Arial"/>
                <w:i/>
                <w:sz w:val="20"/>
              </w:rPr>
              <w:t>presentados</w:t>
            </w:r>
          </w:p>
        </w:tc>
      </w:tr>
      <w:tr w:rsidR="00DA133B" w:rsidRPr="00442559" w:rsidTr="001A620E">
        <w:tc>
          <w:tcPr>
            <w:tcW w:w="6675" w:type="dxa"/>
            <w:vAlign w:val="center"/>
          </w:tcPr>
          <w:p w:rsidR="00DA133B" w:rsidRPr="00442559" w:rsidRDefault="00DA133B" w:rsidP="009A5C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42559">
              <w:rPr>
                <w:rFonts w:ascii="Arial" w:hAnsi="Arial"/>
                <w:sz w:val="22"/>
              </w:rPr>
              <w:t xml:space="preserve">Examen de los informes de los Estados Partes sobre el estado actual de los elementos inscritos en la Lista </w:t>
            </w:r>
            <w:r w:rsidR="009A5CA3">
              <w:rPr>
                <w:rFonts w:ascii="Arial" w:hAnsi="Arial"/>
                <w:sz w:val="22"/>
              </w:rPr>
              <w:t>del</w:t>
            </w:r>
            <w:r w:rsidR="009A5CA3" w:rsidRPr="009A5CA3">
              <w:rPr>
                <w:rFonts w:ascii="Arial" w:hAnsi="Arial"/>
                <w:sz w:val="22"/>
              </w:rPr>
              <w:t xml:space="preserve"> patrimonio cultural inmaterial requiere medidas urgentes de salvaguardia </w:t>
            </w:r>
            <w:r w:rsidRPr="00442559">
              <w:rPr>
                <w:rFonts w:ascii="Arial" w:hAnsi="Arial"/>
                <w:sz w:val="22"/>
              </w:rPr>
              <w:t>(ciclo 2014)</w:t>
            </w:r>
          </w:p>
        </w:tc>
        <w:tc>
          <w:tcPr>
            <w:tcW w:w="2465" w:type="dxa"/>
            <w:vAlign w:val="center"/>
          </w:tcPr>
          <w:p w:rsidR="00DA133B" w:rsidRPr="00442559" w:rsidRDefault="00DA133B" w:rsidP="00DA133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559">
              <w:rPr>
                <w:rFonts w:ascii="Arial" w:hAnsi="Arial"/>
                <w:b/>
                <w:sz w:val="20"/>
              </w:rPr>
              <w:t xml:space="preserve">ITH/14/9.COM/5.b: </w:t>
            </w:r>
            <w:hyperlink r:id="rId21">
              <w:proofErr w:type="spellStart"/>
              <w:r w:rsidRPr="00442559">
                <w:rPr>
                  <w:rStyle w:val="Hyperlink"/>
                  <w:rFonts w:ascii="Arial" w:hAnsi="Arial"/>
                  <w:sz w:val="20"/>
                </w:rPr>
                <w:t>Inglés</w:t>
              </w:r>
            </w:hyperlink>
            <w:r w:rsidRPr="00442559">
              <w:rPr>
                <w:rFonts w:ascii="Arial" w:hAnsi="Arial"/>
                <w:sz w:val="20"/>
              </w:rPr>
              <w:t>|</w:t>
            </w:r>
            <w:hyperlink r:id="rId22">
              <w:r w:rsidRPr="00442559">
                <w:rPr>
                  <w:rStyle w:val="Hyperlink"/>
                  <w:rFonts w:ascii="Arial" w:hAnsi="Arial"/>
                  <w:sz w:val="20"/>
                </w:rPr>
                <w:t>Francés</w:t>
              </w:r>
              <w:proofErr w:type="spellEnd"/>
            </w:hyperlink>
            <w:r w:rsidRPr="00442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42559">
              <w:rPr>
                <w:rFonts w:ascii="Arial" w:hAnsi="Arial"/>
                <w:i/>
                <w:sz w:val="20"/>
              </w:rPr>
              <w:t xml:space="preserve">Ver los </w:t>
            </w:r>
            <w:hyperlink r:id="rId23">
              <w:r w:rsidRPr="00442559">
                <w:rPr>
                  <w:rStyle w:val="Hyperlink"/>
                  <w:rFonts w:ascii="Arial" w:hAnsi="Arial"/>
                  <w:i/>
                  <w:sz w:val="20"/>
                </w:rPr>
                <w:t>8 informes</w:t>
              </w:r>
            </w:hyperlink>
            <w:r w:rsidRPr="00442559">
              <w:rPr>
                <w:rFonts w:ascii="Arial" w:hAnsi="Arial"/>
                <w:sz w:val="20"/>
              </w:rPr>
              <w:t xml:space="preserve"> </w:t>
            </w:r>
            <w:r w:rsidRPr="00442559">
              <w:rPr>
                <w:rFonts w:ascii="Arial" w:hAnsi="Arial"/>
                <w:i/>
                <w:sz w:val="20"/>
              </w:rPr>
              <w:t>presentados</w:t>
            </w:r>
          </w:p>
        </w:tc>
      </w:tr>
      <w:tr w:rsidR="00DA133B" w:rsidRPr="00442559" w:rsidTr="001A620E">
        <w:tc>
          <w:tcPr>
            <w:tcW w:w="6675" w:type="dxa"/>
            <w:vAlign w:val="center"/>
            <w:hideMark/>
          </w:tcPr>
          <w:p w:rsidR="00DA133B" w:rsidRPr="00442559" w:rsidRDefault="00DA133B" w:rsidP="009A5C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42559">
              <w:rPr>
                <w:rFonts w:ascii="Arial" w:hAnsi="Arial"/>
                <w:sz w:val="22"/>
              </w:rPr>
              <w:t xml:space="preserve">Examen de los informes de los Estados Partes sobre la </w:t>
            </w:r>
            <w:r w:rsidR="009A5CA3">
              <w:rPr>
                <w:rFonts w:ascii="Arial" w:hAnsi="Arial"/>
                <w:sz w:val="22"/>
              </w:rPr>
              <w:t>aplicación</w:t>
            </w:r>
            <w:r w:rsidR="009A5CA3" w:rsidRPr="00442559">
              <w:rPr>
                <w:rFonts w:ascii="Arial" w:hAnsi="Arial"/>
                <w:sz w:val="22"/>
              </w:rPr>
              <w:t xml:space="preserve"> </w:t>
            </w:r>
            <w:r w:rsidRPr="00442559">
              <w:rPr>
                <w:rFonts w:ascii="Arial" w:hAnsi="Arial"/>
                <w:sz w:val="22"/>
              </w:rPr>
              <w:t xml:space="preserve">de la Convención y sobre el estado actual de los elementos inscritos en la Lista </w:t>
            </w:r>
            <w:r w:rsidR="009A5CA3">
              <w:rPr>
                <w:rFonts w:ascii="Arial" w:hAnsi="Arial"/>
                <w:sz w:val="22"/>
              </w:rPr>
              <w:t>r</w:t>
            </w:r>
            <w:r w:rsidR="009A5CA3" w:rsidRPr="00442559">
              <w:rPr>
                <w:rFonts w:ascii="Arial" w:hAnsi="Arial"/>
                <w:sz w:val="22"/>
              </w:rPr>
              <w:t xml:space="preserve">epresentativa </w:t>
            </w:r>
            <w:r w:rsidRPr="00442559">
              <w:rPr>
                <w:rFonts w:ascii="Arial" w:hAnsi="Arial"/>
                <w:sz w:val="22"/>
              </w:rPr>
              <w:t xml:space="preserve">del </w:t>
            </w:r>
            <w:r w:rsidR="009A5CA3">
              <w:rPr>
                <w:rFonts w:ascii="Arial" w:hAnsi="Arial"/>
                <w:sz w:val="22"/>
              </w:rPr>
              <w:t>p</w:t>
            </w:r>
            <w:r w:rsidR="009A5CA3" w:rsidRPr="00442559">
              <w:rPr>
                <w:rFonts w:ascii="Arial" w:hAnsi="Arial"/>
                <w:sz w:val="22"/>
              </w:rPr>
              <w:t xml:space="preserve">atrimonio </w:t>
            </w:r>
            <w:r w:rsidR="009A5CA3">
              <w:rPr>
                <w:rFonts w:ascii="Arial" w:hAnsi="Arial"/>
                <w:sz w:val="22"/>
              </w:rPr>
              <w:t>c</w:t>
            </w:r>
            <w:r w:rsidR="009A5CA3" w:rsidRPr="00442559">
              <w:rPr>
                <w:rFonts w:ascii="Arial" w:hAnsi="Arial"/>
                <w:sz w:val="22"/>
              </w:rPr>
              <w:t xml:space="preserve">ultural </w:t>
            </w:r>
            <w:r w:rsidR="009A5CA3">
              <w:rPr>
                <w:rFonts w:ascii="Arial" w:hAnsi="Arial"/>
                <w:sz w:val="22"/>
              </w:rPr>
              <w:t>i</w:t>
            </w:r>
            <w:r w:rsidR="009A5CA3" w:rsidRPr="00442559">
              <w:rPr>
                <w:rFonts w:ascii="Arial" w:hAnsi="Arial"/>
                <w:sz w:val="22"/>
              </w:rPr>
              <w:t xml:space="preserve">nmaterial </w:t>
            </w:r>
            <w:r w:rsidRPr="00442559">
              <w:rPr>
                <w:rFonts w:ascii="Arial" w:hAnsi="Arial"/>
                <w:sz w:val="22"/>
              </w:rPr>
              <w:t xml:space="preserve">de la </w:t>
            </w:r>
            <w:r w:rsidR="009A5CA3">
              <w:rPr>
                <w:rFonts w:ascii="Arial" w:hAnsi="Arial"/>
                <w:sz w:val="22"/>
              </w:rPr>
              <w:t>h</w:t>
            </w:r>
            <w:r w:rsidR="009A5CA3" w:rsidRPr="00442559">
              <w:rPr>
                <w:rFonts w:ascii="Arial" w:hAnsi="Arial"/>
                <w:sz w:val="22"/>
              </w:rPr>
              <w:t xml:space="preserve">umanidad </w:t>
            </w:r>
            <w:r w:rsidRPr="00442559">
              <w:rPr>
                <w:rFonts w:ascii="Arial" w:hAnsi="Arial"/>
                <w:sz w:val="22"/>
              </w:rPr>
              <w:t>(ciclo 2015)</w:t>
            </w:r>
          </w:p>
        </w:tc>
        <w:tc>
          <w:tcPr>
            <w:tcW w:w="2465" w:type="dxa"/>
            <w:vAlign w:val="center"/>
            <w:hideMark/>
          </w:tcPr>
          <w:p w:rsidR="00DA133B" w:rsidRPr="00442559" w:rsidRDefault="00C86966" w:rsidP="00C8696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ITH/16/11.COM 1.BUR/2 </w:t>
            </w:r>
            <w:proofErr w:type="spellStart"/>
            <w:r>
              <w:rPr>
                <w:rFonts w:ascii="Arial" w:hAnsi="Arial"/>
                <w:b/>
                <w:sz w:val="20"/>
              </w:rPr>
              <w:t>Rev</w:t>
            </w:r>
            <w:proofErr w:type="spellEnd"/>
            <w:r w:rsidR="00DA133B" w:rsidRPr="00442559">
              <w:rPr>
                <w:rFonts w:ascii="Arial" w:hAnsi="Arial"/>
                <w:b/>
                <w:sz w:val="20"/>
              </w:rPr>
              <w:t xml:space="preserve"> </w:t>
            </w:r>
            <w:hyperlink r:id="rId24" w:history="1">
              <w:proofErr w:type="spellStart"/>
              <w:r w:rsidR="00DA133B" w:rsidRPr="00270042">
                <w:rPr>
                  <w:rStyle w:val="Hyperlink"/>
                  <w:rFonts w:ascii="Arial" w:hAnsi="Arial"/>
                  <w:sz w:val="20"/>
                </w:rPr>
                <w:t>Inglés</w:t>
              </w:r>
            </w:hyperlink>
            <w:r w:rsidR="00DA133B" w:rsidRPr="00C865E3">
              <w:rPr>
                <w:rFonts w:ascii="Arial" w:hAnsi="Arial"/>
                <w:sz w:val="20"/>
              </w:rPr>
              <w:t>|</w:t>
            </w:r>
            <w:hyperlink r:id="rId25" w:history="1">
              <w:r w:rsidR="00DA133B" w:rsidRPr="00270042">
                <w:rPr>
                  <w:rStyle w:val="Hyperlink"/>
                  <w:rFonts w:ascii="Arial" w:hAnsi="Arial"/>
                  <w:sz w:val="20"/>
                </w:rPr>
                <w:t>Francés</w:t>
              </w:r>
              <w:proofErr w:type="spellEnd"/>
            </w:hyperlink>
            <w:r w:rsidR="00DA133B" w:rsidRPr="00442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DA133B" w:rsidRPr="00442559">
              <w:rPr>
                <w:rFonts w:ascii="Arial" w:hAnsi="Arial"/>
                <w:i/>
                <w:sz w:val="20"/>
              </w:rPr>
              <w:t xml:space="preserve">Ver los </w:t>
            </w:r>
            <w:hyperlink r:id="rId26">
              <w:r w:rsidR="00DA133B" w:rsidRPr="00442559">
                <w:rPr>
                  <w:rStyle w:val="Hyperlink"/>
                  <w:rFonts w:ascii="Arial" w:hAnsi="Arial"/>
                  <w:i/>
                  <w:sz w:val="20"/>
                </w:rPr>
                <w:t>24 informes</w:t>
              </w:r>
            </w:hyperlink>
            <w:r w:rsidR="00DA133B" w:rsidRPr="00442559">
              <w:t xml:space="preserve"> </w:t>
            </w:r>
            <w:r w:rsidR="00DA133B" w:rsidRPr="00442559">
              <w:rPr>
                <w:rFonts w:ascii="Arial" w:hAnsi="Arial"/>
                <w:i/>
                <w:sz w:val="20"/>
              </w:rPr>
              <w:t>presentados</w:t>
            </w:r>
          </w:p>
        </w:tc>
      </w:tr>
      <w:tr w:rsidR="00DA133B" w:rsidRPr="00442559" w:rsidTr="001A620E">
        <w:tc>
          <w:tcPr>
            <w:tcW w:w="6675" w:type="dxa"/>
            <w:vAlign w:val="center"/>
          </w:tcPr>
          <w:p w:rsidR="00DA133B" w:rsidRPr="00442559" w:rsidRDefault="00DA133B" w:rsidP="009A5C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42559">
              <w:rPr>
                <w:rFonts w:ascii="Arial" w:hAnsi="Arial"/>
                <w:sz w:val="22"/>
              </w:rPr>
              <w:t xml:space="preserve">Examen de los informes de los Estados Partes sobre el estado actual de los elementos inscritos en la Lista del </w:t>
            </w:r>
            <w:r w:rsidR="009A5CA3" w:rsidRPr="009A5CA3">
              <w:rPr>
                <w:rFonts w:ascii="Arial" w:hAnsi="Arial"/>
                <w:sz w:val="22"/>
              </w:rPr>
              <w:t xml:space="preserve">patrimonio cultural inmaterial requiere medidas urgentes de salvaguardia </w:t>
            </w:r>
            <w:r w:rsidRPr="00442559">
              <w:rPr>
                <w:rFonts w:ascii="Arial" w:hAnsi="Arial"/>
                <w:sz w:val="22"/>
              </w:rPr>
              <w:t>(ciclo 2015)</w:t>
            </w:r>
          </w:p>
        </w:tc>
        <w:tc>
          <w:tcPr>
            <w:tcW w:w="2465" w:type="dxa"/>
            <w:vAlign w:val="center"/>
          </w:tcPr>
          <w:p w:rsidR="00DA133B" w:rsidRPr="00442559" w:rsidRDefault="00DA133B" w:rsidP="00DA133B">
            <w:pPr>
              <w:spacing w:before="120" w:after="12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42559">
              <w:rPr>
                <w:rFonts w:ascii="Arial" w:hAnsi="Arial"/>
                <w:b/>
                <w:sz w:val="20"/>
              </w:rPr>
              <w:t xml:space="preserve">ITH/15/10.COM/6.b: </w:t>
            </w:r>
            <w:hyperlink r:id="rId27">
              <w:proofErr w:type="spellStart"/>
              <w:r w:rsidRPr="00442559">
                <w:rPr>
                  <w:rStyle w:val="Hyperlink"/>
                  <w:rFonts w:ascii="Arial" w:hAnsi="Arial"/>
                  <w:sz w:val="20"/>
                </w:rPr>
                <w:t>Inglés</w:t>
              </w:r>
            </w:hyperlink>
            <w:r w:rsidRPr="00442559">
              <w:rPr>
                <w:rFonts w:ascii="Arial" w:hAnsi="Arial"/>
                <w:sz w:val="20"/>
              </w:rPr>
              <w:t>|</w:t>
            </w:r>
            <w:hyperlink r:id="rId28">
              <w:r w:rsidRPr="00442559">
                <w:rPr>
                  <w:rStyle w:val="Hyperlink"/>
                  <w:rFonts w:ascii="Arial" w:hAnsi="Arial"/>
                  <w:sz w:val="20"/>
                </w:rPr>
                <w:t>Francés</w:t>
              </w:r>
              <w:proofErr w:type="spellEnd"/>
            </w:hyperlink>
            <w:r w:rsidRPr="0044255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42559">
              <w:rPr>
                <w:rFonts w:ascii="Arial" w:hAnsi="Arial"/>
                <w:i/>
                <w:sz w:val="20"/>
              </w:rPr>
              <w:t xml:space="preserve">Ver los </w:t>
            </w:r>
            <w:hyperlink r:id="rId29">
              <w:r w:rsidRPr="00442559">
                <w:rPr>
                  <w:rStyle w:val="Hyperlink"/>
                  <w:rFonts w:ascii="Arial" w:hAnsi="Arial"/>
                  <w:i/>
                  <w:sz w:val="20"/>
                </w:rPr>
                <w:t>3 informes</w:t>
              </w:r>
            </w:hyperlink>
            <w:r w:rsidRPr="00442559">
              <w:rPr>
                <w:rFonts w:ascii="Arial" w:hAnsi="Arial"/>
                <w:i/>
                <w:sz w:val="20"/>
              </w:rPr>
              <w:t xml:space="preserve"> presentados</w:t>
            </w:r>
          </w:p>
        </w:tc>
      </w:tr>
    </w:tbl>
    <w:p w:rsidR="004534E4" w:rsidRPr="00442559" w:rsidRDefault="004534E4" w:rsidP="00F57D01">
      <w:pPr>
        <w:pStyle w:val="Marge"/>
        <w:numPr>
          <w:ilvl w:val="0"/>
          <w:numId w:val="14"/>
        </w:numPr>
        <w:tabs>
          <w:tab w:val="clear" w:pos="720"/>
        </w:tabs>
        <w:spacing w:before="240" w:after="120"/>
        <w:ind w:left="567" w:hanging="567"/>
        <w:rPr>
          <w:rFonts w:eastAsia="Arial"/>
        </w:rPr>
      </w:pPr>
      <w:r w:rsidRPr="00442559">
        <w:t xml:space="preserve">En el periodo de informe se produjeron dos cambios importantes en el tratamiento de </w:t>
      </w:r>
      <w:r w:rsidR="009A5CA3">
        <w:t xml:space="preserve">los </w:t>
      </w:r>
      <w:r w:rsidRPr="00442559">
        <w:t xml:space="preserve">informes periódicos </w:t>
      </w:r>
      <w:r w:rsidR="009A5CA3">
        <w:t>sobre la aplicación</w:t>
      </w:r>
      <w:r w:rsidRPr="00442559">
        <w:t xml:space="preserve"> de la Convención, que fueron celebrados y </w:t>
      </w:r>
      <w:r w:rsidR="009A5CA3">
        <w:t>avalados</w:t>
      </w:r>
      <w:r w:rsidR="009A5CA3" w:rsidRPr="00442559">
        <w:t xml:space="preserve"> </w:t>
      </w:r>
      <w:r w:rsidRPr="00442559">
        <w:lastRenderedPageBreak/>
        <w:t xml:space="preserve">por el Comité: la inclusión en el repaso general de un estudio profundo y un enfoque acumulativo sobre un tema específico cada año </w:t>
      </w:r>
      <w:proofErr w:type="gramStart"/>
      <w:r w:rsidRPr="00442559">
        <w:t>(</w:t>
      </w:r>
      <w:r w:rsidR="009A5CA3" w:rsidRPr="00442559">
        <w:t xml:space="preserve"> </w:t>
      </w:r>
      <w:r w:rsidRPr="00442559">
        <w:t>de</w:t>
      </w:r>
      <w:proofErr w:type="gramEnd"/>
      <w:r w:rsidRPr="00442559">
        <w:t xml:space="preserve"> inventario</w:t>
      </w:r>
      <w:r w:rsidR="009A5CA3">
        <w:t>s</w:t>
      </w:r>
      <w:r w:rsidRPr="00442559">
        <w:t xml:space="preserve"> en 2014 y transmisión y educación en 2015</w:t>
      </w:r>
      <w:r w:rsidR="009A5CA3" w:rsidRPr="00442559">
        <w:t>)</w:t>
      </w:r>
      <w:r w:rsidR="009A5CA3">
        <w:t xml:space="preserve"> así como</w:t>
      </w:r>
      <w:r w:rsidR="009A5CA3" w:rsidRPr="00442559">
        <w:t xml:space="preserve"> </w:t>
      </w:r>
      <w:r w:rsidRPr="00442559">
        <w:t xml:space="preserve">y la preparación de un resumen para cada informe presentado que </w:t>
      </w:r>
      <w:r w:rsidR="009A5CA3">
        <w:t>se introdujo</w:t>
      </w:r>
      <w:r w:rsidRPr="00442559">
        <w:t xml:space="preserve"> por primera vez en 2015.</w:t>
      </w:r>
    </w:p>
    <w:p w:rsidR="003743B1" w:rsidRPr="00442559" w:rsidRDefault="003743B1" w:rsidP="00C86966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</w:rPr>
      </w:pPr>
      <w:r w:rsidRPr="00442559">
        <w:t xml:space="preserve">El Comité sigue </w:t>
      </w:r>
      <w:r w:rsidR="009A5CA3">
        <w:t xml:space="preserve">haciendo frente a </w:t>
      </w:r>
      <w:r w:rsidR="009A5CA3" w:rsidRPr="009A5CA3">
        <w:t xml:space="preserve">un gran número de Estados Partes cuyos informes </w:t>
      </w:r>
      <w:r w:rsidR="009A5CA3">
        <w:t>están atrasados</w:t>
      </w:r>
      <w:r w:rsidRPr="00442559">
        <w:t xml:space="preserve">: por ejemplo, en el ciclo 2015 sólo se presentaron 24 informes sobre 48 relativos a la </w:t>
      </w:r>
      <w:r w:rsidR="009A5CA3">
        <w:t>aplicación</w:t>
      </w:r>
      <w:r w:rsidR="009A5CA3" w:rsidRPr="00442559">
        <w:t xml:space="preserve"> </w:t>
      </w:r>
      <w:r w:rsidRPr="00442559">
        <w:t xml:space="preserve">de la Convención. A fin de </w:t>
      </w:r>
      <w:r w:rsidR="009A5CA3">
        <w:t>tratar de resolver esta situación</w:t>
      </w:r>
      <w:r w:rsidRPr="00442559">
        <w:t xml:space="preserve">, por primera vez en la décima reunión, el Comité </w:t>
      </w:r>
      <w:r w:rsidR="001A620E">
        <w:t>en</w:t>
      </w:r>
      <w:r w:rsidR="001A620E" w:rsidRPr="00442559">
        <w:t xml:space="preserve"> </w:t>
      </w:r>
      <w:r w:rsidRPr="00442559">
        <w:t xml:space="preserve">sus decisiones sobre los informes periódicos de 2015, </w:t>
      </w:r>
      <w:r w:rsidR="004572A3">
        <w:t xml:space="preserve">alentó </w:t>
      </w:r>
      <w:r w:rsidRPr="00442559">
        <w:t xml:space="preserve">a los Estados Partes </w:t>
      </w:r>
      <w:r w:rsidR="004572A3">
        <w:t>a</w:t>
      </w:r>
      <w:r w:rsidR="004572A3" w:rsidRPr="00442559">
        <w:t xml:space="preserve"> </w:t>
      </w:r>
      <w:r w:rsidR="00D5061B">
        <w:t>que cumplan</w:t>
      </w:r>
      <w:r w:rsidR="00D5061B" w:rsidRPr="00442559">
        <w:t xml:space="preserve"> </w:t>
      </w:r>
      <w:r w:rsidRPr="00442559">
        <w:t xml:space="preserve">con sus </w:t>
      </w:r>
      <w:r w:rsidR="00D5061B">
        <w:t>obligaciones</w:t>
      </w:r>
      <w:r w:rsidR="00D5061B" w:rsidRPr="00442559">
        <w:t xml:space="preserve"> </w:t>
      </w:r>
      <w:r w:rsidR="00D5061B">
        <w:t>de presentación de informes</w:t>
      </w:r>
      <w:r w:rsidR="00D5061B" w:rsidRPr="00442559">
        <w:t xml:space="preserve"> </w:t>
      </w:r>
      <w:r w:rsidRPr="00442559">
        <w:t xml:space="preserve">antes de presentar nuevas </w:t>
      </w:r>
      <w:r w:rsidR="00D5061B">
        <w:t>candidaturas</w:t>
      </w:r>
      <w:r w:rsidRPr="00442559">
        <w:t>.</w:t>
      </w:r>
    </w:p>
    <w:p w:rsidR="003743B1" w:rsidRPr="00442559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 w:rsidRPr="00442559">
        <w:rPr>
          <w:rFonts w:ascii="Arial" w:hAnsi="Arial"/>
          <w:b/>
          <w:sz w:val="22"/>
        </w:rPr>
        <w:t xml:space="preserve">Inscripciones en las Listas de la Convención, selección de mejores prácticas de salvaguardia y concesión de asistencia internacional </w:t>
      </w:r>
      <w:r w:rsidRPr="00442559">
        <w:rPr>
          <w:rFonts w:ascii="Arial" w:hAnsi="Arial"/>
          <w:sz w:val="22"/>
        </w:rPr>
        <w:t>(Artículo 7[g])</w:t>
      </w:r>
    </w:p>
    <w:p w:rsidR="003743B1" w:rsidRPr="00C865E3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i/>
        </w:rPr>
      </w:pPr>
      <w:r w:rsidRPr="00442559">
        <w:t xml:space="preserve">Durante el periodo de informe, el Comité inscribió un total </w:t>
      </w:r>
      <w:r w:rsidRPr="00C865E3">
        <w:t xml:space="preserve">de 65 elementos en las Listas de la Convención: 8 elementos de la Lista </w:t>
      </w:r>
      <w:r w:rsidR="004572A3" w:rsidRPr="00C865E3">
        <w:t>del patrimonio cultural inmaterial requiere medidas urgentes de salvaguardia</w:t>
      </w:r>
      <w:r w:rsidRPr="00C865E3">
        <w:t xml:space="preserve"> y 57 elementos en la Lista </w:t>
      </w:r>
      <w:r w:rsidR="004572A3" w:rsidRPr="00C865E3">
        <w:t xml:space="preserve">representativa </w:t>
      </w:r>
      <w:r w:rsidRPr="00C865E3">
        <w:t xml:space="preserve">del </w:t>
      </w:r>
      <w:r w:rsidR="004572A3" w:rsidRPr="00C865E3">
        <w:t xml:space="preserve">patrimonio cultural inmaterial </w:t>
      </w:r>
      <w:r w:rsidRPr="00C865E3">
        <w:t xml:space="preserve">de la </w:t>
      </w:r>
      <w:r w:rsidR="004572A3" w:rsidRPr="00C865E3">
        <w:t>humanidad</w:t>
      </w:r>
      <w:r w:rsidRPr="00C865E3">
        <w:t xml:space="preserve">. Durante el periodo de informe, el Comité también seleccionó </w:t>
      </w:r>
      <w:r w:rsidR="004572A3" w:rsidRPr="00C865E3">
        <w:t xml:space="preserve">una </w:t>
      </w:r>
      <w:r w:rsidRPr="00C865E3">
        <w:t>mejor práctica de salvaguardia.</w:t>
      </w:r>
    </w:p>
    <w:p w:rsidR="003743B1" w:rsidRPr="00C865E3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Arial" w:cs="Arial"/>
          <w:szCs w:val="22"/>
        </w:rPr>
      </w:pPr>
      <w:r w:rsidRPr="00C865E3">
        <w:t xml:space="preserve">Luego de la aprobación en 2014 por parte de la Asamblea General de las enmiendas a las Directrices Operativas para la creación de un único </w:t>
      </w:r>
      <w:r w:rsidR="004572A3" w:rsidRPr="00C865E3">
        <w:t>« </w:t>
      </w:r>
      <w:r w:rsidRPr="00C865E3">
        <w:t xml:space="preserve">Órgano de </w:t>
      </w:r>
      <w:r w:rsidR="004572A3" w:rsidRPr="00C865E3">
        <w:t>evaluación </w:t>
      </w:r>
      <w:r w:rsidRPr="00C865E3">
        <w:t xml:space="preserve">» (conformado por seis expertos representantes de Estados Partes de la Convención que no sean miembros del Comité y seis organizaciones no gubernamentales acreditadas), el Comité estableció el primer Órgano de </w:t>
      </w:r>
      <w:r w:rsidR="004572A3" w:rsidRPr="00C865E3">
        <w:t xml:space="preserve">evaluación </w:t>
      </w:r>
      <w:r w:rsidRPr="00C865E3">
        <w:t>en su novena reunión y renovó tres puestos en su décima reunión.</w:t>
      </w:r>
    </w:p>
    <w:p w:rsidR="00F71A02" w:rsidRPr="00C865E3" w:rsidRDefault="003743B1" w:rsidP="00685F89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i/>
        </w:rPr>
      </w:pPr>
      <w:r w:rsidRPr="00C865E3">
        <w:t xml:space="preserve">El Comité (para </w:t>
      </w:r>
      <w:r w:rsidR="004572A3" w:rsidRPr="00C865E3">
        <w:t xml:space="preserve">solicitudes </w:t>
      </w:r>
      <w:r w:rsidRPr="00C865E3">
        <w:t xml:space="preserve">superiores a </w:t>
      </w:r>
      <w:r w:rsidR="004572A3" w:rsidRPr="00C865E3">
        <w:t>25.000 </w:t>
      </w:r>
      <w:r w:rsidRPr="00C865E3">
        <w:t xml:space="preserve">USD) o la Mesa (para </w:t>
      </w:r>
      <w:r w:rsidR="004572A3" w:rsidRPr="00C865E3">
        <w:t xml:space="preserve">solicitudes </w:t>
      </w:r>
      <w:r w:rsidRPr="00C865E3">
        <w:t xml:space="preserve">que no </w:t>
      </w:r>
      <w:r w:rsidR="004572A3" w:rsidRPr="00C865E3">
        <w:t>excedan de 25.000 </w:t>
      </w:r>
      <w:r w:rsidRPr="00C865E3">
        <w:t xml:space="preserve">USD y </w:t>
      </w:r>
      <w:r w:rsidR="004572A3" w:rsidRPr="00C865E3">
        <w:t>solicitudes urgentes</w:t>
      </w:r>
      <w:r w:rsidRPr="00C865E3">
        <w:t xml:space="preserve">) aprobaron un total de </w:t>
      </w:r>
      <w:r w:rsidR="004572A3" w:rsidRPr="00C865E3">
        <w:t xml:space="preserve">15 solicitudes </w:t>
      </w:r>
      <w:r w:rsidRPr="00C865E3">
        <w:t xml:space="preserve">de asistencia internacional por un monto total de </w:t>
      </w:r>
      <w:r w:rsidR="004572A3" w:rsidRPr="00C865E3">
        <w:t> 831.561 </w:t>
      </w:r>
      <w:r w:rsidRPr="00C865E3">
        <w:t xml:space="preserve">USD (ver también el </w:t>
      </w:r>
      <w:hyperlink r:id="rId30">
        <w:r w:rsidRPr="00C865E3">
          <w:rPr>
            <w:rStyle w:val="Hyperlink"/>
          </w:rPr>
          <w:t>documento ITH/15/10.COM/6.c</w:t>
        </w:r>
      </w:hyperlink>
      <w:r w:rsidRPr="00C865E3">
        <w:t xml:space="preserve"> para el informe sobre el uso de la asistencia internacional por los Estados Partes). Un total de </w:t>
      </w:r>
      <w:r w:rsidR="004572A3" w:rsidRPr="00C865E3">
        <w:t>14 </w:t>
      </w:r>
      <w:r w:rsidRPr="00C865E3">
        <w:t xml:space="preserve">países recibieron asistencia financiera por parte del Fondo </w:t>
      </w:r>
      <w:r w:rsidR="004572A3" w:rsidRPr="00C865E3">
        <w:t xml:space="preserve">del </w:t>
      </w:r>
      <w:r w:rsidRPr="00C865E3">
        <w:t xml:space="preserve">PCI durante el periodo de informe. </w:t>
      </w:r>
    </w:p>
    <w:sectPr w:rsidR="00F71A02" w:rsidRPr="00C865E3" w:rsidSect="0065573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0E" w:rsidRDefault="001A620E" w:rsidP="00655736">
      <w:r>
        <w:separator/>
      </w:r>
    </w:p>
  </w:endnote>
  <w:endnote w:type="continuationSeparator" w:id="0">
    <w:p w:rsidR="001A620E" w:rsidRDefault="001A620E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EA" w:rsidRDefault="00FA4E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EA" w:rsidRDefault="00FA4E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EA" w:rsidRDefault="00FA4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0E" w:rsidRDefault="001A620E" w:rsidP="00655736">
      <w:r>
        <w:separator/>
      </w:r>
    </w:p>
  </w:footnote>
  <w:footnote w:type="continuationSeparator" w:id="0">
    <w:p w:rsidR="001A620E" w:rsidRDefault="001A620E" w:rsidP="00655736">
      <w:r>
        <w:continuationSeparator/>
      </w:r>
    </w:p>
  </w:footnote>
  <w:footnote w:id="1">
    <w:p w:rsidR="001A620E" w:rsidRPr="00C86966" w:rsidRDefault="001A620E" w:rsidP="003743B1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>.</w:t>
      </w:r>
      <w:r>
        <w:tab/>
        <w:t xml:space="preserve">Para más detalles sobre productos e indicadores, véase el documento </w:t>
      </w:r>
      <w:hyperlink r:id="rId1">
        <w:r>
          <w:rPr>
            <w:rStyle w:val="Hyperlink"/>
          </w:rPr>
          <w:t>ITH/14/9.COM 2.BUR/1</w:t>
        </w:r>
      </w:hyperlink>
      <w:r>
        <w:rPr>
          <w:rStyle w:val="Hyperlin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E" w:rsidRPr="00C23A97" w:rsidRDefault="001A620E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ITH/16/6.GA/5 – página </w:t>
    </w:r>
    <w:r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42719A">
      <w:rPr>
        <w:rStyle w:val="PageNumber"/>
        <w:rFonts w:ascii="Arial" w:hAnsi="Arial" w:cs="Arial"/>
        <w:noProof/>
        <w:sz w:val="20"/>
        <w:szCs w:val="20"/>
      </w:rPr>
      <w:t>6</w:t>
    </w:r>
    <w:r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E" w:rsidRPr="0063300C" w:rsidRDefault="001A620E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ITH/14/6.GA/5 – página </w:t>
    </w:r>
    <w:r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42719A">
      <w:rPr>
        <w:rStyle w:val="PageNumber"/>
        <w:rFonts w:ascii="Arial" w:hAnsi="Arial" w:cs="Arial"/>
        <w:noProof/>
        <w:sz w:val="20"/>
        <w:szCs w:val="20"/>
      </w:rPr>
      <w:t>5</w:t>
    </w:r>
    <w:r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E" w:rsidRPr="008724E5" w:rsidRDefault="001A620E">
    <w:pPr>
      <w:pStyle w:val="Header"/>
    </w:pPr>
    <w:r>
      <w:rPr>
        <w:noProof/>
        <w:lang w:val="fr-FR" w:eastAsia="fr-FR" w:bidi="ar-SA"/>
      </w:rPr>
      <w:drawing>
        <wp:anchor distT="0" distB="0" distL="114300" distR="114300" simplePos="0" relativeHeight="251657728" behindDoc="0" locked="0" layoutInCell="1" allowOverlap="1" wp14:anchorId="54C8B16F" wp14:editId="324BCEA2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20E" w:rsidRPr="00442559" w:rsidRDefault="001A620E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NL"/>
      </w:rPr>
    </w:pPr>
    <w:r w:rsidRPr="00442559">
      <w:rPr>
        <w:rFonts w:ascii="Arial" w:hAnsi="Arial"/>
        <w:b/>
        <w:sz w:val="44"/>
        <w:lang w:val="nl-NL"/>
      </w:rPr>
      <w:t>6 GA</w:t>
    </w:r>
  </w:p>
  <w:p w:rsidR="001A620E" w:rsidRPr="00442559" w:rsidRDefault="001A620E" w:rsidP="00655736">
    <w:pPr>
      <w:jc w:val="right"/>
      <w:rPr>
        <w:rFonts w:ascii="Arial" w:hAnsi="Arial" w:cs="Arial"/>
        <w:b/>
        <w:sz w:val="22"/>
        <w:szCs w:val="22"/>
        <w:lang w:val="nl-NL"/>
      </w:rPr>
    </w:pPr>
    <w:r w:rsidRPr="00442559">
      <w:rPr>
        <w:rFonts w:ascii="Arial" w:hAnsi="Arial"/>
        <w:b/>
        <w:sz w:val="22"/>
        <w:lang w:val="nl-NL"/>
      </w:rPr>
      <w:t>ITH/16/6</w:t>
    </w:r>
    <w:proofErr w:type="gramStart"/>
    <w:r w:rsidRPr="00442559">
      <w:rPr>
        <w:rFonts w:ascii="Arial" w:hAnsi="Arial"/>
        <w:b/>
        <w:sz w:val="22"/>
        <w:lang w:val="nl-NL"/>
      </w:rPr>
      <w:t>.GA</w:t>
    </w:r>
    <w:proofErr w:type="gramEnd"/>
    <w:r w:rsidRPr="00442559">
      <w:rPr>
        <w:rFonts w:ascii="Arial" w:hAnsi="Arial"/>
        <w:b/>
        <w:sz w:val="22"/>
        <w:lang w:val="nl-NL"/>
      </w:rPr>
      <w:t>/5</w:t>
    </w:r>
  </w:p>
  <w:p w:rsidR="001A620E" w:rsidRPr="00442559" w:rsidRDefault="001A620E" w:rsidP="00655736">
    <w:pPr>
      <w:jc w:val="right"/>
      <w:rPr>
        <w:rFonts w:ascii="Arial" w:hAnsi="Arial" w:cs="Arial"/>
        <w:b/>
        <w:sz w:val="22"/>
        <w:szCs w:val="22"/>
        <w:lang w:val="nl-NL"/>
      </w:rPr>
    </w:pPr>
    <w:r w:rsidRPr="00442559">
      <w:rPr>
        <w:rFonts w:ascii="Arial" w:hAnsi="Arial"/>
        <w:b/>
        <w:sz w:val="22"/>
        <w:lang w:val="nl-NL"/>
      </w:rPr>
      <w:t xml:space="preserve">París, </w:t>
    </w:r>
    <w:r>
      <w:rPr>
        <w:rFonts w:ascii="Arial" w:hAnsi="Arial"/>
        <w:b/>
        <w:sz w:val="22"/>
        <w:lang w:val="nl-NL"/>
      </w:rPr>
      <w:t>29 </w:t>
    </w:r>
    <w:r w:rsidR="00FA4EEA">
      <w:rPr>
        <w:rFonts w:ascii="Arial" w:hAnsi="Arial"/>
        <w:b/>
        <w:sz w:val="22"/>
        <w:lang w:val="nl-NL"/>
      </w:rPr>
      <w:t xml:space="preserve">de </w:t>
    </w:r>
    <w:proofErr w:type="spellStart"/>
    <w:r>
      <w:rPr>
        <w:rFonts w:ascii="Arial" w:hAnsi="Arial"/>
        <w:b/>
        <w:sz w:val="22"/>
        <w:lang w:val="nl-NL"/>
      </w:rPr>
      <w:t>abril</w:t>
    </w:r>
    <w:proofErr w:type="spellEnd"/>
    <w:r>
      <w:rPr>
        <w:rFonts w:ascii="Arial" w:hAnsi="Arial"/>
        <w:b/>
        <w:sz w:val="22"/>
        <w:lang w:val="nl-NL"/>
      </w:rPr>
      <w:t xml:space="preserve"> de</w:t>
    </w:r>
    <w:r w:rsidRPr="00442559">
      <w:rPr>
        <w:rFonts w:ascii="Arial" w:hAnsi="Arial"/>
        <w:b/>
        <w:sz w:val="22"/>
        <w:lang w:val="nl-NL"/>
      </w:rPr>
      <w:t xml:space="preserve"> 2016</w:t>
    </w:r>
  </w:p>
  <w:p w:rsidR="001A620E" w:rsidRPr="00C23A97" w:rsidRDefault="001A620E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Original: Inglés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multilevel"/>
    <w:tmpl w:val="406820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2E411C8"/>
    <w:multiLevelType w:val="hybridMultilevel"/>
    <w:tmpl w:val="37FE8E4C"/>
    <w:lvl w:ilvl="0" w:tplc="BFBAD99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7B6D05"/>
    <w:multiLevelType w:val="hybridMultilevel"/>
    <w:tmpl w:val="4C4EE242"/>
    <w:lvl w:ilvl="0" w:tplc="42E60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B35019"/>
    <w:multiLevelType w:val="multilevel"/>
    <w:tmpl w:val="F4A2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6"/>
  </w:num>
  <w:num w:numId="5">
    <w:abstractNumId w:val="15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7"/>
  </w:num>
  <w:num w:numId="15">
    <w:abstractNumId w:val="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13133"/>
    <w:rsid w:val="000231EF"/>
    <w:rsid w:val="00023BCC"/>
    <w:rsid w:val="00032FCC"/>
    <w:rsid w:val="00041A66"/>
    <w:rsid w:val="0005176E"/>
    <w:rsid w:val="000765F7"/>
    <w:rsid w:val="00077AB7"/>
    <w:rsid w:val="00081CD8"/>
    <w:rsid w:val="000A7F0E"/>
    <w:rsid w:val="000B3B73"/>
    <w:rsid w:val="000C0D61"/>
    <w:rsid w:val="000C49D6"/>
    <w:rsid w:val="000E5A52"/>
    <w:rsid w:val="000F3A3F"/>
    <w:rsid w:val="00102557"/>
    <w:rsid w:val="00122E53"/>
    <w:rsid w:val="00135F0C"/>
    <w:rsid w:val="00164D56"/>
    <w:rsid w:val="00167B10"/>
    <w:rsid w:val="00173B9B"/>
    <w:rsid w:val="0017402F"/>
    <w:rsid w:val="00176D2C"/>
    <w:rsid w:val="0019195E"/>
    <w:rsid w:val="00194C0E"/>
    <w:rsid w:val="00196C1B"/>
    <w:rsid w:val="001A620E"/>
    <w:rsid w:val="001B0F73"/>
    <w:rsid w:val="001C60C0"/>
    <w:rsid w:val="001D5C04"/>
    <w:rsid w:val="00222A2D"/>
    <w:rsid w:val="00223029"/>
    <w:rsid w:val="00234745"/>
    <w:rsid w:val="002407AF"/>
    <w:rsid w:val="00270042"/>
    <w:rsid w:val="00276279"/>
    <w:rsid w:val="002A72B0"/>
    <w:rsid w:val="002C09E3"/>
    <w:rsid w:val="00323F00"/>
    <w:rsid w:val="00345CB4"/>
    <w:rsid w:val="003743B1"/>
    <w:rsid w:val="003B6D63"/>
    <w:rsid w:val="003C6F8A"/>
    <w:rsid w:val="003D069C"/>
    <w:rsid w:val="003D7646"/>
    <w:rsid w:val="003F113A"/>
    <w:rsid w:val="003F36BB"/>
    <w:rsid w:val="00414643"/>
    <w:rsid w:val="0042433D"/>
    <w:rsid w:val="0042719A"/>
    <w:rsid w:val="004324CD"/>
    <w:rsid w:val="004421E5"/>
    <w:rsid w:val="00442559"/>
    <w:rsid w:val="00444B59"/>
    <w:rsid w:val="00452284"/>
    <w:rsid w:val="004534E4"/>
    <w:rsid w:val="004552F8"/>
    <w:rsid w:val="004572A3"/>
    <w:rsid w:val="004856CA"/>
    <w:rsid w:val="00492A17"/>
    <w:rsid w:val="0049705E"/>
    <w:rsid w:val="004A313B"/>
    <w:rsid w:val="004A34A0"/>
    <w:rsid w:val="004A4A3D"/>
    <w:rsid w:val="00504F89"/>
    <w:rsid w:val="005128F8"/>
    <w:rsid w:val="00526B7B"/>
    <w:rsid w:val="005308CE"/>
    <w:rsid w:val="0057439C"/>
    <w:rsid w:val="0058565F"/>
    <w:rsid w:val="005B0127"/>
    <w:rsid w:val="005B7A35"/>
    <w:rsid w:val="005C20EF"/>
    <w:rsid w:val="005C4B73"/>
    <w:rsid w:val="005E1D2B"/>
    <w:rsid w:val="00600D93"/>
    <w:rsid w:val="0063212B"/>
    <w:rsid w:val="0063300C"/>
    <w:rsid w:val="00655736"/>
    <w:rsid w:val="00663B8D"/>
    <w:rsid w:val="00685F89"/>
    <w:rsid w:val="00693B63"/>
    <w:rsid w:val="00696C8D"/>
    <w:rsid w:val="006A2AC2"/>
    <w:rsid w:val="006A3617"/>
    <w:rsid w:val="006C47F5"/>
    <w:rsid w:val="006E46E4"/>
    <w:rsid w:val="006F6EDA"/>
    <w:rsid w:val="00717DA5"/>
    <w:rsid w:val="0073032C"/>
    <w:rsid w:val="00744484"/>
    <w:rsid w:val="00763A0D"/>
    <w:rsid w:val="00773188"/>
    <w:rsid w:val="00780D19"/>
    <w:rsid w:val="00783782"/>
    <w:rsid w:val="00784B8C"/>
    <w:rsid w:val="007B5D64"/>
    <w:rsid w:val="00823A11"/>
    <w:rsid w:val="00852351"/>
    <w:rsid w:val="00852866"/>
    <w:rsid w:val="0085414A"/>
    <w:rsid w:val="0086269D"/>
    <w:rsid w:val="0086543A"/>
    <w:rsid w:val="008724E5"/>
    <w:rsid w:val="00884A9D"/>
    <w:rsid w:val="0088512B"/>
    <w:rsid w:val="0089069C"/>
    <w:rsid w:val="008A2B2D"/>
    <w:rsid w:val="008A3F0D"/>
    <w:rsid w:val="008A4E1E"/>
    <w:rsid w:val="008C296C"/>
    <w:rsid w:val="008D4305"/>
    <w:rsid w:val="008E5107"/>
    <w:rsid w:val="008F30C4"/>
    <w:rsid w:val="008F5670"/>
    <w:rsid w:val="0090368F"/>
    <w:rsid w:val="009144E3"/>
    <w:rsid w:val="009163A7"/>
    <w:rsid w:val="00946D0B"/>
    <w:rsid w:val="009701FD"/>
    <w:rsid w:val="009A18CD"/>
    <w:rsid w:val="009A5CA3"/>
    <w:rsid w:val="009C376A"/>
    <w:rsid w:val="009D0487"/>
    <w:rsid w:val="009D605C"/>
    <w:rsid w:val="00A12558"/>
    <w:rsid w:val="00A13903"/>
    <w:rsid w:val="00A1571F"/>
    <w:rsid w:val="00A34ED5"/>
    <w:rsid w:val="00A45DBF"/>
    <w:rsid w:val="00A47488"/>
    <w:rsid w:val="00A56316"/>
    <w:rsid w:val="00A67015"/>
    <w:rsid w:val="00A71701"/>
    <w:rsid w:val="00A755A2"/>
    <w:rsid w:val="00A77DD1"/>
    <w:rsid w:val="00AA6660"/>
    <w:rsid w:val="00AB2C36"/>
    <w:rsid w:val="00AB411F"/>
    <w:rsid w:val="00AB70B6"/>
    <w:rsid w:val="00AB7F28"/>
    <w:rsid w:val="00AC32C6"/>
    <w:rsid w:val="00AD1A86"/>
    <w:rsid w:val="00AE103E"/>
    <w:rsid w:val="00AF0A07"/>
    <w:rsid w:val="00AF4AEC"/>
    <w:rsid w:val="00AF625E"/>
    <w:rsid w:val="00B15218"/>
    <w:rsid w:val="00B25F99"/>
    <w:rsid w:val="00B74209"/>
    <w:rsid w:val="00B819DA"/>
    <w:rsid w:val="00B906D2"/>
    <w:rsid w:val="00B97994"/>
    <w:rsid w:val="00BA70EC"/>
    <w:rsid w:val="00BB04AF"/>
    <w:rsid w:val="00BB262F"/>
    <w:rsid w:val="00BD52C9"/>
    <w:rsid w:val="00BE6354"/>
    <w:rsid w:val="00C01AEA"/>
    <w:rsid w:val="00C23A97"/>
    <w:rsid w:val="00C24EF6"/>
    <w:rsid w:val="00C52711"/>
    <w:rsid w:val="00C70EA7"/>
    <w:rsid w:val="00C73FD7"/>
    <w:rsid w:val="00C7516E"/>
    <w:rsid w:val="00C75770"/>
    <w:rsid w:val="00C865E3"/>
    <w:rsid w:val="00C86966"/>
    <w:rsid w:val="00CA3852"/>
    <w:rsid w:val="00CC4A67"/>
    <w:rsid w:val="00CD43EF"/>
    <w:rsid w:val="00CE5A42"/>
    <w:rsid w:val="00D00B2B"/>
    <w:rsid w:val="00D02523"/>
    <w:rsid w:val="00D148DA"/>
    <w:rsid w:val="00D24877"/>
    <w:rsid w:val="00D353B3"/>
    <w:rsid w:val="00D353BF"/>
    <w:rsid w:val="00D5061B"/>
    <w:rsid w:val="00D6351A"/>
    <w:rsid w:val="00D80A11"/>
    <w:rsid w:val="00D95C4C"/>
    <w:rsid w:val="00DA133B"/>
    <w:rsid w:val="00DA36ED"/>
    <w:rsid w:val="00DB1842"/>
    <w:rsid w:val="00DC2DF3"/>
    <w:rsid w:val="00DD21FB"/>
    <w:rsid w:val="00DD22E9"/>
    <w:rsid w:val="00DE34F1"/>
    <w:rsid w:val="00DE4E13"/>
    <w:rsid w:val="00DE6FAC"/>
    <w:rsid w:val="00DF4942"/>
    <w:rsid w:val="00E209D7"/>
    <w:rsid w:val="00E371F3"/>
    <w:rsid w:val="00E46E8F"/>
    <w:rsid w:val="00E627B1"/>
    <w:rsid w:val="00E7442D"/>
    <w:rsid w:val="00E76F76"/>
    <w:rsid w:val="00E9376C"/>
    <w:rsid w:val="00E96F2E"/>
    <w:rsid w:val="00EA335E"/>
    <w:rsid w:val="00EA528C"/>
    <w:rsid w:val="00EA639E"/>
    <w:rsid w:val="00ED7697"/>
    <w:rsid w:val="00EE5009"/>
    <w:rsid w:val="00EF34E2"/>
    <w:rsid w:val="00F47DBB"/>
    <w:rsid w:val="00F53DE9"/>
    <w:rsid w:val="00F576CB"/>
    <w:rsid w:val="00F57D01"/>
    <w:rsid w:val="00F71A02"/>
    <w:rsid w:val="00F71B9B"/>
    <w:rsid w:val="00FA4EEA"/>
    <w:rsid w:val="00FD1226"/>
    <w:rsid w:val="00FD30C4"/>
    <w:rsid w:val="00FD3D98"/>
    <w:rsid w:val="00FD585B"/>
    <w:rsid w:val="00FF24F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s-ES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s-E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uiPriority w:val="99"/>
    <w:unhideWhenUsed/>
    <w:rsid w:val="002A72B0"/>
    <w:rPr>
      <w:color w:val="0000FF"/>
      <w:u w:val="single"/>
    </w:rPr>
  </w:style>
  <w:style w:type="paragraph" w:customStyle="1" w:styleId="5GAParaResolution">
    <w:name w:val="5GA Para Resolution"/>
    <w:basedOn w:val="Normal"/>
    <w:qFormat/>
    <w:rsid w:val="002A72B0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</w:rPr>
  </w:style>
  <w:style w:type="paragraph" w:styleId="ListParagraph">
    <w:name w:val="List Paragraph"/>
    <w:basedOn w:val="Normal"/>
    <w:qFormat/>
    <w:rsid w:val="00374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43B1"/>
    <w:p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3B1"/>
    <w:rPr>
      <w:rFonts w:ascii="Arial" w:eastAsia="Times New Roman" w:hAnsi="Arial"/>
      <w:lang w:eastAsia="es-ES"/>
    </w:rPr>
  </w:style>
  <w:style w:type="character" w:styleId="FootnoteReference">
    <w:name w:val="footnote reference"/>
    <w:uiPriority w:val="99"/>
    <w:unhideWhenUsed/>
    <w:rsid w:val="003743B1"/>
    <w:rPr>
      <w:vertAlign w:val="superscript"/>
    </w:rPr>
  </w:style>
  <w:style w:type="character" w:customStyle="1" w:styleId="hps">
    <w:name w:val="hps"/>
    <w:rsid w:val="003743B1"/>
  </w:style>
  <w:style w:type="character" w:styleId="CommentReference">
    <w:name w:val="annotation reference"/>
    <w:basedOn w:val="DefaultParagraphFont"/>
    <w:uiPriority w:val="99"/>
    <w:semiHidden/>
    <w:unhideWhenUsed/>
    <w:rsid w:val="00E7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42D"/>
    <w:rPr>
      <w:rFonts w:ascii="Times New Roman" w:eastAsia="Times New Roman" w:hAnsi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2D"/>
    <w:rPr>
      <w:rFonts w:ascii="Times New Roman" w:eastAsia="Times New Roman" w:hAnsi="Times New Roman"/>
      <w:b/>
      <w:bCs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E7442D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A133B"/>
    <w:rPr>
      <w:b/>
      <w:bCs/>
    </w:rPr>
  </w:style>
  <w:style w:type="character" w:styleId="Emphasis">
    <w:name w:val="Emphasis"/>
    <w:uiPriority w:val="20"/>
    <w:qFormat/>
    <w:rsid w:val="00DA133B"/>
    <w:rPr>
      <w:i/>
      <w:iCs/>
    </w:rPr>
  </w:style>
  <w:style w:type="paragraph" w:styleId="Revision">
    <w:name w:val="Revision"/>
    <w:hidden/>
    <w:uiPriority w:val="99"/>
    <w:semiHidden/>
    <w:rsid w:val="00135F0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s-ES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s-E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uiPriority w:val="99"/>
    <w:unhideWhenUsed/>
    <w:rsid w:val="002A72B0"/>
    <w:rPr>
      <w:color w:val="0000FF"/>
      <w:u w:val="single"/>
    </w:rPr>
  </w:style>
  <w:style w:type="paragraph" w:customStyle="1" w:styleId="5GAParaResolution">
    <w:name w:val="5GA Para Resolution"/>
    <w:basedOn w:val="Normal"/>
    <w:qFormat/>
    <w:rsid w:val="002A72B0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</w:rPr>
  </w:style>
  <w:style w:type="paragraph" w:styleId="ListParagraph">
    <w:name w:val="List Paragraph"/>
    <w:basedOn w:val="Normal"/>
    <w:qFormat/>
    <w:rsid w:val="00374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43B1"/>
    <w:p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3B1"/>
    <w:rPr>
      <w:rFonts w:ascii="Arial" w:eastAsia="Times New Roman" w:hAnsi="Arial"/>
      <w:lang w:eastAsia="es-ES"/>
    </w:rPr>
  </w:style>
  <w:style w:type="character" w:styleId="FootnoteReference">
    <w:name w:val="footnote reference"/>
    <w:uiPriority w:val="99"/>
    <w:unhideWhenUsed/>
    <w:rsid w:val="003743B1"/>
    <w:rPr>
      <w:vertAlign w:val="superscript"/>
    </w:rPr>
  </w:style>
  <w:style w:type="character" w:customStyle="1" w:styleId="hps">
    <w:name w:val="hps"/>
    <w:rsid w:val="003743B1"/>
  </w:style>
  <w:style w:type="character" w:styleId="CommentReference">
    <w:name w:val="annotation reference"/>
    <w:basedOn w:val="DefaultParagraphFont"/>
    <w:uiPriority w:val="99"/>
    <w:semiHidden/>
    <w:unhideWhenUsed/>
    <w:rsid w:val="00E7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42D"/>
    <w:rPr>
      <w:rFonts w:ascii="Times New Roman" w:eastAsia="Times New Roman" w:hAnsi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2D"/>
    <w:rPr>
      <w:rFonts w:ascii="Times New Roman" w:eastAsia="Times New Roman" w:hAnsi="Times New Roman"/>
      <w:b/>
      <w:bCs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E7442D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A133B"/>
    <w:rPr>
      <w:b/>
      <w:bCs/>
    </w:rPr>
  </w:style>
  <w:style w:type="character" w:styleId="Emphasis">
    <w:name w:val="Emphasis"/>
    <w:uiPriority w:val="20"/>
    <w:qFormat/>
    <w:rsid w:val="00DA133B"/>
    <w:rPr>
      <w:i/>
      <w:iCs/>
    </w:rPr>
  </w:style>
  <w:style w:type="paragraph" w:styleId="Revision">
    <w:name w:val="Revision"/>
    <w:hidden/>
    <w:uiPriority w:val="99"/>
    <w:semiHidden/>
    <w:rsid w:val="00135F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/index.php?lg=en&amp;pg=708" TargetMode="External"/><Relationship Id="rId18" Type="http://schemas.openxmlformats.org/officeDocument/2006/relationships/hyperlink" Target="http://www.unesco.org/culture/ich/doc/src/ITH-14-9.COM-5.a-EN_.doc" TargetMode="External"/><Relationship Id="rId26" Type="http://schemas.openxmlformats.org/officeDocument/2006/relationships/hyperlink" Target="http://www.unesco.org/culture/ich/index.php?lg=en&amp;pg=768" TargetMode="External"/><Relationship Id="rId21" Type="http://schemas.openxmlformats.org/officeDocument/2006/relationships/hyperlink" Target="http://www.unesco.org/culture/ich/doc/src/ITH-14-9.COM-5.b-EN.doc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unesco.org/culture/ich/index.php?lg=en&amp;pg=768" TargetMode="External"/><Relationship Id="rId17" Type="http://schemas.openxmlformats.org/officeDocument/2006/relationships/hyperlink" Target="http://www.unesco.org/culture/ich/en/Decisions/10.COM/6.b" TargetMode="External"/><Relationship Id="rId25" Type="http://schemas.openxmlformats.org/officeDocument/2006/relationships/hyperlink" Target="http://www.unesco.org/culture/ich/doc/src/ITH-16-11.COM_1.BUR-2_Rev.-FR.docx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en/Decisions/10.COM/6.a" TargetMode="External"/><Relationship Id="rId20" Type="http://schemas.openxmlformats.org/officeDocument/2006/relationships/hyperlink" Target="http://www.unesco.org/culture/ich/index.php?lg=en&amp;pg=00707" TargetMode="External"/><Relationship Id="rId29" Type="http://schemas.openxmlformats.org/officeDocument/2006/relationships/hyperlink" Target="http://www.unesco.org/culture/ich/index.php?lg=en&amp;pg=7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esco.org/culture/ich/index.php?lg=en&amp;pg=707" TargetMode="External"/><Relationship Id="rId24" Type="http://schemas.openxmlformats.org/officeDocument/2006/relationships/hyperlink" Target="http://www.unesco.org/culture/ich/doc/src/ITH-16-11.COM_1.BUR-2_Rev.-EN.docx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nesco.org/culture/ich/en/Decisions/9.COM/5.a" TargetMode="External"/><Relationship Id="rId23" Type="http://schemas.openxmlformats.org/officeDocument/2006/relationships/hyperlink" Target="http://www.unesco.org/culture/ich/index.php?lg=en&amp;pg=00708" TargetMode="External"/><Relationship Id="rId28" Type="http://schemas.openxmlformats.org/officeDocument/2006/relationships/hyperlink" Target="http://www.unesco.org/culture/ich/doc/src/ITH-15-10.COM-6.b_FR.doc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unesco.org/culture/ich/index.php?lg=en&amp;pg=00022" TargetMode="External"/><Relationship Id="rId19" Type="http://schemas.openxmlformats.org/officeDocument/2006/relationships/hyperlink" Target="http://www.unesco.org/culture/ich/doc/src/ITH-14-9.COM-5.a-FR__.doc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n.unesco.org/system/files/Strengthening%20capacities%20to%20safeguard%20intangible%20cultural%20heritage%20for%20sustainable%20development_0.pdf" TargetMode="External"/><Relationship Id="rId14" Type="http://schemas.openxmlformats.org/officeDocument/2006/relationships/hyperlink" Target="http://www.unesco.org/culture/ich/index.php?lg=en&amp;pg=769" TargetMode="External"/><Relationship Id="rId22" Type="http://schemas.openxmlformats.org/officeDocument/2006/relationships/hyperlink" Target="http://www.unesco.org/culture/ich/doc/src/ITH-14-9.COM-5.b-FR.doc" TargetMode="External"/><Relationship Id="rId27" Type="http://schemas.openxmlformats.org/officeDocument/2006/relationships/hyperlink" Target="http://www.unesco.org/culture/ich/doc/src/ITH-15-10.COM-6.b_EN.docx" TargetMode="External"/><Relationship Id="rId30" Type="http://schemas.openxmlformats.org/officeDocument/2006/relationships/hyperlink" Target="http://www.unesco.org/culture/ich/doc/src/ITH-15-10.COM-6.c_EN.docx" TargetMode="External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doc/src/ITH-14-9.COM_2.BUR-1_EN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100E-8B14-4D8F-8176-5E2345ED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10</TotalTime>
  <Pages>7</Pages>
  <Words>3237</Words>
  <Characters>17808</Characters>
  <Application>Microsoft Office Word</Application>
  <DocSecurity>0</DocSecurity>
  <Lines>148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7</cp:revision>
  <cp:lastPrinted>2016-02-29T16:12:00Z</cp:lastPrinted>
  <dcterms:created xsi:type="dcterms:W3CDTF">2016-04-28T10:35:00Z</dcterms:created>
  <dcterms:modified xsi:type="dcterms:W3CDTF">2016-04-29T10:28:00Z</dcterms:modified>
</cp:coreProperties>
</file>