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736" w:rsidRPr="003E6EA4" w:rsidRDefault="00655736" w:rsidP="00655736">
      <w:pPr>
        <w:spacing w:before="1440"/>
        <w:jc w:val="center"/>
        <w:rPr>
          <w:rFonts w:ascii="Arial" w:hAnsi="Arial" w:cs="Arial"/>
          <w:b/>
          <w:sz w:val="22"/>
          <w:szCs w:val="22"/>
          <w:lang w:val="en-GB"/>
        </w:rPr>
      </w:pPr>
      <w:r w:rsidRPr="003E6EA4">
        <w:rPr>
          <w:rFonts w:ascii="Arial" w:hAnsi="Arial" w:cs="Arial"/>
          <w:b/>
          <w:sz w:val="22"/>
          <w:szCs w:val="22"/>
          <w:lang w:val="en-GB"/>
        </w:rPr>
        <w:t xml:space="preserve">CONVENTION FOR THE SAFEGUARDING OF THE </w:t>
      </w:r>
      <w:r w:rsidRPr="003E6EA4">
        <w:rPr>
          <w:rFonts w:ascii="Arial" w:hAnsi="Arial" w:cs="Arial"/>
          <w:b/>
          <w:sz w:val="22"/>
          <w:szCs w:val="22"/>
          <w:lang w:val="en-GB"/>
        </w:rPr>
        <w:br/>
        <w:t>INTANGIBLE CULTURAL HERITAGE</w:t>
      </w:r>
    </w:p>
    <w:p w:rsidR="00655736" w:rsidRPr="003E6EA4" w:rsidRDefault="00D95C4C" w:rsidP="00655736">
      <w:pPr>
        <w:spacing w:before="1200"/>
        <w:jc w:val="center"/>
        <w:rPr>
          <w:rFonts w:ascii="Arial" w:hAnsi="Arial" w:cs="Arial"/>
          <w:b/>
          <w:sz w:val="22"/>
          <w:szCs w:val="22"/>
          <w:lang w:val="en-GB"/>
        </w:rPr>
      </w:pPr>
      <w:r w:rsidRPr="003E6EA4">
        <w:rPr>
          <w:rFonts w:ascii="Arial" w:hAnsi="Arial" w:cs="Arial"/>
          <w:b/>
          <w:sz w:val="22"/>
          <w:szCs w:val="22"/>
          <w:lang w:val="en-GB"/>
        </w:rPr>
        <w:t>GENERAL ASSEMBLY OF THE S</w:t>
      </w:r>
      <w:r w:rsidR="00C23A97" w:rsidRPr="003E6EA4">
        <w:rPr>
          <w:rFonts w:ascii="Arial" w:hAnsi="Arial" w:cs="Arial"/>
          <w:b/>
          <w:sz w:val="22"/>
          <w:szCs w:val="22"/>
          <w:lang w:val="en-GB"/>
        </w:rPr>
        <w:t>TATES PARTIES TO THE CONVENTION</w:t>
      </w:r>
    </w:p>
    <w:p w:rsidR="00D95C4C" w:rsidRPr="003E6EA4" w:rsidRDefault="00763A0D" w:rsidP="00D95C4C">
      <w:pPr>
        <w:spacing w:before="840"/>
        <w:jc w:val="center"/>
        <w:rPr>
          <w:rFonts w:ascii="Arial" w:hAnsi="Arial" w:cs="Arial"/>
          <w:b/>
          <w:sz w:val="22"/>
          <w:szCs w:val="22"/>
          <w:lang w:val="en-GB"/>
        </w:rPr>
      </w:pPr>
      <w:r w:rsidRPr="003E6EA4">
        <w:rPr>
          <w:rFonts w:ascii="Arial" w:hAnsi="Arial" w:cs="Arial"/>
          <w:b/>
          <w:sz w:val="22"/>
          <w:szCs w:val="22"/>
          <w:lang w:val="en-GB"/>
        </w:rPr>
        <w:t>Six</w:t>
      </w:r>
      <w:r w:rsidR="000765F7" w:rsidRPr="003E6EA4">
        <w:rPr>
          <w:rFonts w:ascii="Arial" w:hAnsi="Arial" w:cs="Arial"/>
          <w:b/>
          <w:sz w:val="22"/>
          <w:szCs w:val="22"/>
          <w:lang w:val="en-GB"/>
        </w:rPr>
        <w:t>th</w:t>
      </w:r>
      <w:r w:rsidR="00D95C4C" w:rsidRPr="003E6EA4">
        <w:rPr>
          <w:rFonts w:ascii="Arial" w:hAnsi="Arial" w:cs="Arial"/>
          <w:b/>
          <w:sz w:val="22"/>
          <w:szCs w:val="22"/>
          <w:lang w:val="en-GB"/>
        </w:rPr>
        <w:t xml:space="preserve"> session</w:t>
      </w:r>
    </w:p>
    <w:p w:rsidR="00D95C4C" w:rsidRPr="003E6EA4" w:rsidRDefault="00D95C4C" w:rsidP="00D95C4C">
      <w:pPr>
        <w:jc w:val="center"/>
        <w:rPr>
          <w:rFonts w:ascii="Arial" w:hAnsi="Arial" w:cs="Arial"/>
          <w:b/>
          <w:sz w:val="22"/>
          <w:szCs w:val="22"/>
          <w:lang w:val="en-GB"/>
        </w:rPr>
      </w:pPr>
      <w:r w:rsidRPr="003E6EA4">
        <w:rPr>
          <w:rFonts w:ascii="Arial" w:hAnsi="Arial" w:cs="Arial"/>
          <w:b/>
          <w:sz w:val="22"/>
          <w:szCs w:val="22"/>
          <w:lang w:val="en-GB"/>
        </w:rPr>
        <w:t xml:space="preserve">UNESCO Headquarters, Room </w:t>
      </w:r>
      <w:r w:rsidR="00A77DD1" w:rsidRPr="003E6EA4">
        <w:rPr>
          <w:rFonts w:ascii="Arial" w:hAnsi="Arial" w:cs="Arial"/>
          <w:b/>
          <w:sz w:val="22"/>
          <w:szCs w:val="22"/>
          <w:lang w:val="en-GB"/>
        </w:rPr>
        <w:t>II</w:t>
      </w:r>
    </w:p>
    <w:p w:rsidR="00655736" w:rsidRPr="003E6EA4" w:rsidRDefault="00763A0D" w:rsidP="00D95C4C">
      <w:pPr>
        <w:jc w:val="center"/>
        <w:rPr>
          <w:rFonts w:ascii="Arial" w:hAnsi="Arial" w:cs="Arial"/>
          <w:b/>
          <w:sz w:val="22"/>
          <w:szCs w:val="22"/>
          <w:lang w:val="en-GB"/>
        </w:rPr>
      </w:pPr>
      <w:r w:rsidRPr="003E6EA4">
        <w:rPr>
          <w:rFonts w:ascii="Arial" w:hAnsi="Arial" w:cs="Arial"/>
          <w:b/>
          <w:sz w:val="22"/>
          <w:szCs w:val="22"/>
          <w:lang w:val="en-GB"/>
        </w:rPr>
        <w:t xml:space="preserve">30 May to </w:t>
      </w:r>
      <w:r w:rsidR="000C49D6" w:rsidRPr="003E6EA4">
        <w:rPr>
          <w:rFonts w:ascii="Arial" w:hAnsi="Arial" w:cs="Arial"/>
          <w:b/>
          <w:sz w:val="22"/>
          <w:szCs w:val="22"/>
          <w:lang w:val="en-GB"/>
        </w:rPr>
        <w:t>1</w:t>
      </w:r>
      <w:r w:rsidR="00D95C4C" w:rsidRPr="003E6EA4">
        <w:rPr>
          <w:rFonts w:ascii="Arial" w:hAnsi="Arial" w:cs="Arial"/>
          <w:b/>
          <w:sz w:val="22"/>
          <w:szCs w:val="22"/>
          <w:lang w:val="en-GB"/>
        </w:rPr>
        <w:t xml:space="preserve"> J</w:t>
      </w:r>
      <w:r w:rsidRPr="003E6EA4">
        <w:rPr>
          <w:rFonts w:ascii="Arial" w:hAnsi="Arial" w:cs="Arial"/>
          <w:b/>
          <w:sz w:val="22"/>
          <w:szCs w:val="22"/>
          <w:lang w:val="en-GB"/>
        </w:rPr>
        <w:t>une 2016</w:t>
      </w:r>
    </w:p>
    <w:p w:rsidR="00655736" w:rsidRPr="003E6EA4" w:rsidRDefault="00655736" w:rsidP="00655736">
      <w:pPr>
        <w:pStyle w:val="Sansinterligne2"/>
        <w:spacing w:before="1200"/>
        <w:jc w:val="center"/>
        <w:rPr>
          <w:rFonts w:ascii="Arial" w:hAnsi="Arial" w:cs="Arial"/>
          <w:b/>
          <w:sz w:val="22"/>
          <w:szCs w:val="22"/>
          <w:lang w:val="en-GB"/>
        </w:rPr>
      </w:pPr>
      <w:r w:rsidRPr="003E6EA4">
        <w:rPr>
          <w:rFonts w:ascii="Arial" w:hAnsi="Arial" w:cs="Arial"/>
          <w:b/>
          <w:sz w:val="22"/>
          <w:szCs w:val="22"/>
          <w:u w:val="single"/>
          <w:lang w:val="en-GB"/>
        </w:rPr>
        <w:t xml:space="preserve">Item </w:t>
      </w:r>
      <w:r w:rsidR="002A72B0" w:rsidRPr="003E6EA4">
        <w:rPr>
          <w:rFonts w:ascii="Arial" w:hAnsi="Arial" w:cs="Arial"/>
          <w:b/>
          <w:sz w:val="22"/>
          <w:szCs w:val="22"/>
          <w:u w:val="single"/>
          <w:lang w:val="en-GB"/>
        </w:rPr>
        <w:t>5</w:t>
      </w:r>
      <w:r w:rsidRPr="003E6EA4">
        <w:rPr>
          <w:rFonts w:ascii="Arial" w:hAnsi="Arial" w:cs="Arial"/>
          <w:b/>
          <w:sz w:val="22"/>
          <w:szCs w:val="22"/>
          <w:u w:val="single"/>
          <w:lang w:val="en-GB"/>
        </w:rPr>
        <w:t xml:space="preserve"> of the Provisional Agenda:</w:t>
      </w:r>
    </w:p>
    <w:p w:rsidR="00DD21FB" w:rsidRPr="003E6EA4" w:rsidRDefault="00DD21FB" w:rsidP="00DD21FB">
      <w:pPr>
        <w:pStyle w:val="Sansinterligne2"/>
        <w:spacing w:after="1200"/>
        <w:jc w:val="center"/>
        <w:rPr>
          <w:rFonts w:ascii="Arial" w:hAnsi="Arial" w:cs="Arial"/>
          <w:b/>
          <w:sz w:val="22"/>
          <w:szCs w:val="22"/>
          <w:lang w:val="en-GB"/>
        </w:rPr>
      </w:pPr>
      <w:r w:rsidRPr="003E6EA4">
        <w:rPr>
          <w:rFonts w:ascii="Arial" w:hAnsi="Arial" w:cs="Arial"/>
          <w:b/>
          <w:sz w:val="22"/>
          <w:szCs w:val="22"/>
          <w:lang w:val="en-GB"/>
        </w:rPr>
        <w:t>Report of the Committee to the Gen</w:t>
      </w:r>
      <w:r w:rsidR="00023BCC" w:rsidRPr="003E6EA4">
        <w:rPr>
          <w:rFonts w:ascii="Arial" w:hAnsi="Arial" w:cs="Arial"/>
          <w:b/>
          <w:sz w:val="22"/>
          <w:szCs w:val="22"/>
          <w:lang w:val="en-GB"/>
        </w:rPr>
        <w:t>eral Assembly</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3E6EA4">
        <w:trPr>
          <w:jc w:val="center"/>
        </w:trPr>
        <w:tc>
          <w:tcPr>
            <w:tcW w:w="7825" w:type="dxa"/>
            <w:vAlign w:val="center"/>
          </w:tcPr>
          <w:p w:rsidR="0057439C" w:rsidRPr="003E6EA4" w:rsidRDefault="0057439C" w:rsidP="005B7A35">
            <w:pPr>
              <w:pStyle w:val="Sansinterligne1"/>
              <w:spacing w:before="200" w:after="200"/>
              <w:jc w:val="center"/>
              <w:rPr>
                <w:rFonts w:ascii="Arial" w:hAnsi="Arial" w:cs="Arial"/>
                <w:b/>
                <w:sz w:val="22"/>
                <w:szCs w:val="22"/>
                <w:lang w:val="en-GB"/>
              </w:rPr>
            </w:pPr>
            <w:r w:rsidRPr="003E6EA4">
              <w:rPr>
                <w:rFonts w:ascii="Arial" w:hAnsi="Arial" w:cs="Arial"/>
                <w:b/>
                <w:sz w:val="22"/>
                <w:szCs w:val="22"/>
                <w:lang w:val="en-GB"/>
              </w:rPr>
              <w:t>Summary</w:t>
            </w:r>
          </w:p>
          <w:p w:rsidR="00DD21FB" w:rsidRPr="003E6EA4" w:rsidRDefault="00DD21FB" w:rsidP="005B7A35">
            <w:pPr>
              <w:pStyle w:val="Sansinterligne2"/>
              <w:spacing w:after="120"/>
              <w:jc w:val="both"/>
              <w:rPr>
                <w:rFonts w:ascii="Arial" w:hAnsi="Arial" w:cs="Arial"/>
                <w:sz w:val="22"/>
                <w:szCs w:val="22"/>
                <w:lang w:val="en-GB"/>
              </w:rPr>
            </w:pPr>
            <w:r w:rsidRPr="003E6EA4">
              <w:rPr>
                <w:rFonts w:ascii="Arial" w:hAnsi="Arial" w:cs="Arial"/>
                <w:sz w:val="22"/>
                <w:szCs w:val="22"/>
                <w:lang w:val="en-GB"/>
              </w:rPr>
              <w:t>Article 30.1 of the Convention for the Safeguarding of the Intangible Cultural Heritage states that ‘on the basis of its activities</w:t>
            </w:r>
            <w:r w:rsidR="004A4A3D" w:rsidRPr="003E6EA4">
              <w:rPr>
                <w:rFonts w:ascii="Arial" w:hAnsi="Arial" w:cs="Arial"/>
                <w:sz w:val="22"/>
                <w:szCs w:val="22"/>
                <w:lang w:val="en-GB"/>
              </w:rPr>
              <w:t xml:space="preserve"> and the reports by States Parties</w:t>
            </w:r>
            <w:r w:rsidRPr="003E6EA4">
              <w:rPr>
                <w:rFonts w:ascii="Arial" w:hAnsi="Arial" w:cs="Arial"/>
                <w:sz w:val="22"/>
                <w:szCs w:val="22"/>
                <w:lang w:val="en-GB"/>
              </w:rPr>
              <w:t xml:space="preserve"> [...], the Committee shall submit a report to the General Assembly at each of its sessions.’ This document contains the report of the Committee </w:t>
            </w:r>
            <w:r w:rsidR="00852351" w:rsidRPr="003E6EA4">
              <w:rPr>
                <w:rFonts w:ascii="Arial" w:hAnsi="Arial" w:cs="Arial"/>
                <w:sz w:val="22"/>
                <w:szCs w:val="22"/>
                <w:lang w:val="en-GB"/>
              </w:rPr>
              <w:t>based</w:t>
            </w:r>
            <w:r w:rsidRPr="003E6EA4">
              <w:rPr>
                <w:rFonts w:ascii="Arial" w:hAnsi="Arial" w:cs="Arial"/>
                <w:sz w:val="22"/>
                <w:szCs w:val="22"/>
                <w:lang w:val="en-GB"/>
              </w:rPr>
              <w:t xml:space="preserve"> </w:t>
            </w:r>
            <w:r w:rsidR="00A77DD1" w:rsidRPr="003E6EA4">
              <w:rPr>
                <w:rFonts w:ascii="Arial" w:hAnsi="Arial" w:cs="Arial"/>
                <w:sz w:val="22"/>
                <w:szCs w:val="22"/>
                <w:lang w:val="en-GB"/>
              </w:rPr>
              <w:t xml:space="preserve">on </w:t>
            </w:r>
            <w:r w:rsidR="00023BCC" w:rsidRPr="003E6EA4">
              <w:rPr>
                <w:rFonts w:ascii="Arial" w:hAnsi="Arial" w:cs="Arial"/>
                <w:sz w:val="22"/>
                <w:szCs w:val="22"/>
                <w:lang w:val="en-GB"/>
              </w:rPr>
              <w:t>its activities between June 2014 and June 2016</w:t>
            </w:r>
            <w:r w:rsidR="004A4A3D" w:rsidRPr="003E6EA4">
              <w:rPr>
                <w:rFonts w:ascii="Arial" w:hAnsi="Arial" w:cs="Arial"/>
                <w:sz w:val="22"/>
                <w:szCs w:val="22"/>
                <w:lang w:val="en-GB"/>
              </w:rPr>
              <w:t xml:space="preserve"> </w:t>
            </w:r>
            <w:r w:rsidR="00852351" w:rsidRPr="003E6EA4">
              <w:rPr>
                <w:rFonts w:ascii="Arial" w:hAnsi="Arial" w:cs="Arial"/>
                <w:sz w:val="22"/>
                <w:szCs w:val="22"/>
                <w:lang w:val="en-GB"/>
              </w:rPr>
              <w:t>and</w:t>
            </w:r>
            <w:r w:rsidR="004A4A3D" w:rsidRPr="003E6EA4">
              <w:rPr>
                <w:rFonts w:ascii="Arial" w:hAnsi="Arial" w:cs="Arial"/>
                <w:sz w:val="22"/>
                <w:szCs w:val="22"/>
                <w:lang w:val="en-GB"/>
              </w:rPr>
              <w:t xml:space="preserve"> the reports</w:t>
            </w:r>
            <w:r w:rsidR="00852351" w:rsidRPr="003E6EA4">
              <w:rPr>
                <w:rFonts w:ascii="Arial" w:hAnsi="Arial" w:cs="Arial"/>
                <w:sz w:val="22"/>
                <w:szCs w:val="22"/>
                <w:lang w:val="en-GB"/>
              </w:rPr>
              <w:t xml:space="preserve"> by States Parties</w:t>
            </w:r>
            <w:r w:rsidR="004A4A3D" w:rsidRPr="003E6EA4">
              <w:rPr>
                <w:rFonts w:ascii="Arial" w:hAnsi="Arial" w:cs="Arial"/>
                <w:sz w:val="22"/>
                <w:szCs w:val="22"/>
                <w:lang w:val="en-GB"/>
              </w:rPr>
              <w:t xml:space="preserve"> it adopted during its ninth and tenth sessions.</w:t>
            </w:r>
          </w:p>
          <w:p w:rsidR="00655736" w:rsidRPr="003E6EA4" w:rsidRDefault="0057439C" w:rsidP="00DD21FB">
            <w:pPr>
              <w:pStyle w:val="Sansinterligne2"/>
              <w:spacing w:after="120"/>
              <w:jc w:val="both"/>
              <w:rPr>
                <w:rFonts w:ascii="Arial" w:hAnsi="Arial" w:cs="Arial"/>
                <w:b/>
                <w:sz w:val="22"/>
                <w:szCs w:val="22"/>
                <w:lang w:val="en-GB"/>
              </w:rPr>
            </w:pPr>
            <w:r w:rsidRPr="003E6EA4">
              <w:rPr>
                <w:rFonts w:ascii="Arial" w:hAnsi="Arial" w:cs="Arial"/>
                <w:b/>
                <w:sz w:val="22"/>
                <w:szCs w:val="22"/>
                <w:lang w:val="en-GB"/>
              </w:rPr>
              <w:t xml:space="preserve">Decision required: </w:t>
            </w:r>
            <w:r w:rsidRPr="003E6EA4">
              <w:rPr>
                <w:rFonts w:ascii="Arial" w:hAnsi="Arial" w:cs="Arial"/>
                <w:bCs/>
                <w:sz w:val="22"/>
                <w:szCs w:val="22"/>
                <w:lang w:val="en-GB"/>
              </w:rPr>
              <w:t xml:space="preserve">paragraph </w:t>
            </w:r>
            <w:r w:rsidR="00DD21FB" w:rsidRPr="003E6EA4">
              <w:rPr>
                <w:rFonts w:ascii="Arial" w:hAnsi="Arial" w:cs="Arial"/>
                <w:bCs/>
                <w:sz w:val="22"/>
                <w:szCs w:val="22"/>
                <w:lang w:val="en-GB"/>
              </w:rPr>
              <w:t>3</w:t>
            </w:r>
          </w:p>
        </w:tc>
      </w:tr>
    </w:tbl>
    <w:p w:rsidR="000E5A52" w:rsidRPr="003E6EA4" w:rsidRDefault="00655736" w:rsidP="00AB7F28">
      <w:pPr>
        <w:pStyle w:val="Marge"/>
        <w:numPr>
          <w:ilvl w:val="0"/>
          <w:numId w:val="13"/>
        </w:numPr>
        <w:tabs>
          <w:tab w:val="clear" w:pos="720"/>
        </w:tabs>
        <w:spacing w:after="120"/>
        <w:ind w:left="567" w:hanging="567"/>
        <w:rPr>
          <w:rFonts w:eastAsia="Arial" w:cs="Arial"/>
          <w:szCs w:val="22"/>
          <w:lang w:val="en-GB"/>
        </w:rPr>
      </w:pPr>
      <w:r w:rsidRPr="003E6EA4">
        <w:rPr>
          <w:lang w:val="en-US"/>
        </w:rPr>
        <w:br w:type="page"/>
      </w:r>
      <w:r w:rsidR="002A72B0" w:rsidRPr="003E6EA4">
        <w:rPr>
          <w:rFonts w:eastAsia="Arial" w:cs="Arial"/>
          <w:szCs w:val="22"/>
          <w:lang w:val="en-GB"/>
        </w:rPr>
        <w:lastRenderedPageBreak/>
        <w:t>Article 30.1 of the 2003 Convention</w:t>
      </w:r>
      <w:r w:rsidR="002A72B0" w:rsidRPr="003E6EA4">
        <w:rPr>
          <w:lang w:val="en-GB"/>
        </w:rPr>
        <w:t xml:space="preserve"> </w:t>
      </w:r>
      <w:r w:rsidR="002A72B0" w:rsidRPr="003E6EA4">
        <w:rPr>
          <w:rFonts w:eastAsia="Arial" w:cs="Arial"/>
          <w:szCs w:val="22"/>
          <w:lang w:val="en-GB"/>
        </w:rPr>
        <w:t>for the Safeguarding of the Intangible Cultural Heritage states that ‘on the basis of its activities</w:t>
      </w:r>
      <w:r w:rsidR="004A4A3D" w:rsidRPr="003E6EA4">
        <w:rPr>
          <w:rFonts w:eastAsia="Arial" w:cs="Arial"/>
          <w:szCs w:val="22"/>
          <w:lang w:val="en-GB"/>
        </w:rPr>
        <w:t xml:space="preserve"> and the reports by States Parties</w:t>
      </w:r>
      <w:r w:rsidR="002A72B0" w:rsidRPr="003E6EA4">
        <w:rPr>
          <w:rFonts w:eastAsia="Arial" w:cs="Arial"/>
          <w:szCs w:val="22"/>
          <w:lang w:val="en-GB"/>
        </w:rPr>
        <w:t xml:space="preserve"> [...] the Committee shall submit a report to the General </w:t>
      </w:r>
      <w:r w:rsidR="002A72B0" w:rsidRPr="003E6EA4">
        <w:rPr>
          <w:rFonts w:cs="Arial"/>
          <w:szCs w:val="22"/>
          <w:lang w:val="en-GB"/>
        </w:rPr>
        <w:t>Assembly</w:t>
      </w:r>
      <w:r w:rsidR="002A72B0" w:rsidRPr="003E6EA4">
        <w:rPr>
          <w:rFonts w:eastAsia="Arial" w:cs="Arial"/>
          <w:szCs w:val="22"/>
          <w:lang w:val="en-GB"/>
        </w:rPr>
        <w:t xml:space="preserve"> at each of its sessions.’ Article 30.2 continues that ‘The report shall be brought to the attention of the General Conference of UNESCO.’ </w:t>
      </w:r>
      <w:r w:rsidR="00AB7F28" w:rsidRPr="003E6EA4">
        <w:rPr>
          <w:rFonts w:eastAsia="Arial" w:cs="Arial"/>
          <w:szCs w:val="22"/>
          <w:lang w:val="en-GB"/>
        </w:rPr>
        <w:t xml:space="preserve">This document contains the report of the Committee, based </w:t>
      </w:r>
      <w:r w:rsidR="00A77DD1" w:rsidRPr="003E6EA4">
        <w:rPr>
          <w:rFonts w:eastAsia="Arial" w:cs="Arial"/>
          <w:szCs w:val="22"/>
          <w:lang w:val="en-GB"/>
        </w:rPr>
        <w:t xml:space="preserve">on </w:t>
      </w:r>
      <w:r w:rsidR="00AB7F28" w:rsidRPr="003E6EA4">
        <w:rPr>
          <w:rFonts w:eastAsia="Arial" w:cs="Arial"/>
          <w:szCs w:val="22"/>
          <w:lang w:val="en-GB"/>
        </w:rPr>
        <w:t>its activities between June 2014 and June 2016 and the reports by States Parties it adopted during its ninth and tenth sessions,</w:t>
      </w:r>
      <w:r w:rsidR="000E5A52" w:rsidRPr="003E6EA4">
        <w:rPr>
          <w:rFonts w:eastAsia="Arial" w:cs="Arial"/>
          <w:szCs w:val="22"/>
          <w:lang w:val="en-GB"/>
        </w:rPr>
        <w:t xml:space="preserve"> in the annex to the draft resolution.</w:t>
      </w:r>
    </w:p>
    <w:p w:rsidR="002A72B0" w:rsidRPr="003E6EA4" w:rsidRDefault="002A72B0" w:rsidP="00852351">
      <w:pPr>
        <w:pStyle w:val="Marge"/>
        <w:numPr>
          <w:ilvl w:val="0"/>
          <w:numId w:val="13"/>
        </w:numPr>
        <w:tabs>
          <w:tab w:val="clear" w:pos="720"/>
        </w:tabs>
        <w:spacing w:after="120"/>
        <w:ind w:left="567" w:hanging="567"/>
        <w:rPr>
          <w:lang w:val="en-GB"/>
        </w:rPr>
      </w:pPr>
      <w:r w:rsidRPr="003E6EA4">
        <w:rPr>
          <w:rFonts w:eastAsia="Arial" w:cs="Arial"/>
          <w:szCs w:val="22"/>
          <w:lang w:val="en-GB"/>
        </w:rPr>
        <w:t xml:space="preserve">This report should be read in conjunction with the </w:t>
      </w:r>
      <w:r w:rsidR="004A4A3D" w:rsidRPr="003E6EA4">
        <w:rPr>
          <w:rFonts w:eastAsia="Arial" w:cs="Arial"/>
          <w:szCs w:val="22"/>
          <w:lang w:val="en-GB"/>
        </w:rPr>
        <w:t>r</w:t>
      </w:r>
      <w:r w:rsidRPr="003E6EA4">
        <w:rPr>
          <w:rFonts w:eastAsia="Arial" w:cs="Arial"/>
          <w:szCs w:val="22"/>
          <w:lang w:val="en-GB"/>
        </w:rPr>
        <w:t>eport of the Secretariat on its activi</w:t>
      </w:r>
      <w:r w:rsidR="00AB7F28" w:rsidRPr="003E6EA4">
        <w:rPr>
          <w:rFonts w:eastAsia="Arial" w:cs="Arial"/>
          <w:szCs w:val="22"/>
          <w:lang w:val="en-GB"/>
        </w:rPr>
        <w:t>ties and its annexes</w:t>
      </w:r>
      <w:r w:rsidR="00A77DD1" w:rsidRPr="003E6EA4">
        <w:rPr>
          <w:rFonts w:eastAsia="Arial" w:cs="Arial"/>
          <w:szCs w:val="22"/>
          <w:lang w:val="en-GB"/>
        </w:rPr>
        <w:t xml:space="preserve"> concerning </w:t>
      </w:r>
      <w:r w:rsidR="00F57D01" w:rsidRPr="003E6EA4">
        <w:rPr>
          <w:rFonts w:eastAsia="Arial" w:cs="Arial"/>
          <w:szCs w:val="22"/>
          <w:lang w:val="en-GB"/>
        </w:rPr>
        <w:t xml:space="preserve">follow </w:t>
      </w:r>
      <w:r w:rsidRPr="003E6EA4">
        <w:rPr>
          <w:rFonts w:eastAsia="Arial" w:cs="Arial"/>
          <w:szCs w:val="22"/>
          <w:lang w:val="en-GB"/>
        </w:rPr>
        <w:t>up on audits and evalu</w:t>
      </w:r>
      <w:r w:rsidR="00AB411F" w:rsidRPr="003E6EA4">
        <w:rPr>
          <w:rFonts w:eastAsia="Arial" w:cs="Arial"/>
          <w:szCs w:val="22"/>
          <w:lang w:val="en-GB"/>
        </w:rPr>
        <w:t>ations (document ITH/16/6.GA/6) and</w:t>
      </w:r>
      <w:r w:rsidRPr="003E6EA4">
        <w:rPr>
          <w:rFonts w:eastAsia="Arial" w:cs="Arial"/>
          <w:szCs w:val="22"/>
          <w:lang w:val="en-GB"/>
        </w:rPr>
        <w:t xml:space="preserve"> the financial </w:t>
      </w:r>
      <w:r w:rsidR="00CC4A67" w:rsidRPr="003E6EA4">
        <w:rPr>
          <w:rFonts w:eastAsia="Arial" w:cs="Arial"/>
          <w:szCs w:val="22"/>
          <w:lang w:val="en-GB"/>
        </w:rPr>
        <w:t>statement</w:t>
      </w:r>
      <w:r w:rsidRPr="003E6EA4">
        <w:rPr>
          <w:rFonts w:eastAsia="Arial" w:cs="Arial"/>
          <w:szCs w:val="22"/>
          <w:lang w:val="en-GB"/>
        </w:rPr>
        <w:t xml:space="preserve"> of the Fund for </w:t>
      </w:r>
      <w:r w:rsidRPr="003E6EA4">
        <w:rPr>
          <w:rFonts w:eastAsia="Arial" w:cs="Arial"/>
          <w:spacing w:val="-4"/>
          <w:szCs w:val="22"/>
          <w:lang w:val="en-GB"/>
        </w:rPr>
        <w:t xml:space="preserve">the Safeguarding of the Intangible Cultural Heritage </w:t>
      </w:r>
      <w:r w:rsidRPr="003E6EA4">
        <w:rPr>
          <w:rFonts w:eastAsia="Arial" w:cs="Arial"/>
          <w:szCs w:val="22"/>
          <w:lang w:val="en-GB"/>
        </w:rPr>
        <w:t>(document</w:t>
      </w:r>
      <w:r w:rsidR="00AB7F28" w:rsidRPr="003E6EA4">
        <w:rPr>
          <w:rFonts w:eastAsia="Arial" w:cs="Arial"/>
          <w:szCs w:val="22"/>
          <w:lang w:val="en-GB"/>
        </w:rPr>
        <w:t> </w:t>
      </w:r>
      <w:r w:rsidR="00CC4A67" w:rsidRPr="003E6EA4">
        <w:rPr>
          <w:rFonts w:eastAsia="Arial" w:cs="Arial"/>
          <w:szCs w:val="22"/>
          <w:lang w:val="en-GB"/>
        </w:rPr>
        <w:t>ITH/16/6.GA/INF.9.1</w:t>
      </w:r>
      <w:r w:rsidRPr="003E6EA4">
        <w:rPr>
          <w:rFonts w:eastAsia="Arial" w:cs="Arial"/>
          <w:szCs w:val="22"/>
          <w:lang w:val="en-GB"/>
        </w:rPr>
        <w:t>).</w:t>
      </w:r>
    </w:p>
    <w:p w:rsidR="00D95C4C" w:rsidRPr="003E6EA4" w:rsidRDefault="00D95C4C" w:rsidP="003743B1">
      <w:pPr>
        <w:pStyle w:val="Marge"/>
        <w:numPr>
          <w:ilvl w:val="0"/>
          <w:numId w:val="13"/>
        </w:numPr>
        <w:tabs>
          <w:tab w:val="clear" w:pos="720"/>
        </w:tabs>
        <w:spacing w:after="120"/>
        <w:ind w:left="567" w:hanging="567"/>
        <w:rPr>
          <w:lang w:val="en-US"/>
        </w:rPr>
      </w:pPr>
      <w:r w:rsidRPr="003E6EA4">
        <w:rPr>
          <w:lang w:val="en-US"/>
        </w:rPr>
        <w:t xml:space="preserve">The </w:t>
      </w:r>
      <w:r w:rsidRPr="003E6EA4">
        <w:rPr>
          <w:rFonts w:eastAsia="Arial" w:cs="Arial"/>
          <w:szCs w:val="22"/>
          <w:lang w:val="en-GB"/>
        </w:rPr>
        <w:t>General</w:t>
      </w:r>
      <w:r w:rsidRPr="003E6EA4">
        <w:rPr>
          <w:lang w:val="en-US"/>
        </w:rPr>
        <w:t xml:space="preserve"> Assembly may wish to adopt the following resolution:</w:t>
      </w:r>
    </w:p>
    <w:p w:rsidR="00D95C4C" w:rsidRPr="003E6EA4" w:rsidRDefault="004A34A0" w:rsidP="00041A66">
      <w:pPr>
        <w:pStyle w:val="GATitleResolution"/>
        <w:rPr>
          <w:rFonts w:eastAsia="SimSun"/>
        </w:rPr>
      </w:pPr>
      <w:r w:rsidRPr="003E6EA4">
        <w:t>DRAFT RESOLUTION</w:t>
      </w:r>
      <w:r w:rsidR="00763A0D" w:rsidRPr="003E6EA4">
        <w:t xml:space="preserve"> 6</w:t>
      </w:r>
      <w:r w:rsidR="00D95C4C" w:rsidRPr="003E6EA4">
        <w:t xml:space="preserve">.GA </w:t>
      </w:r>
      <w:r w:rsidR="002A72B0" w:rsidRPr="003E6EA4">
        <w:t>5</w:t>
      </w:r>
    </w:p>
    <w:p w:rsidR="00D95C4C" w:rsidRPr="003E6EA4" w:rsidRDefault="00D95C4C" w:rsidP="00041A66">
      <w:pPr>
        <w:pStyle w:val="GAPreambulaResolution"/>
        <w:rPr>
          <w:rFonts w:eastAsia="SimSun"/>
        </w:rPr>
      </w:pPr>
      <w:r w:rsidRPr="003E6EA4">
        <w:t>The General Assembly,</w:t>
      </w:r>
    </w:p>
    <w:p w:rsidR="0057439C" w:rsidRPr="003E6EA4" w:rsidRDefault="00D95C4C" w:rsidP="00345CB4">
      <w:pPr>
        <w:pStyle w:val="GAParaResolution"/>
      </w:pPr>
      <w:r w:rsidRPr="003E6EA4">
        <w:t>Having examined</w:t>
      </w:r>
      <w:r w:rsidRPr="003E6EA4">
        <w:rPr>
          <w:u w:val="none"/>
        </w:rPr>
        <w:t xml:space="preserve"> doc</w:t>
      </w:r>
      <w:r w:rsidR="00763A0D" w:rsidRPr="003E6EA4">
        <w:rPr>
          <w:u w:val="none"/>
        </w:rPr>
        <w:t>ument ITH/16/6</w:t>
      </w:r>
      <w:r w:rsidR="004A34A0" w:rsidRPr="003E6EA4">
        <w:rPr>
          <w:u w:val="none"/>
        </w:rPr>
        <w:t>.GA/</w:t>
      </w:r>
      <w:r w:rsidR="002A72B0" w:rsidRPr="003E6EA4">
        <w:rPr>
          <w:u w:val="none"/>
        </w:rPr>
        <w:t>5</w:t>
      </w:r>
      <w:r w:rsidRPr="003E6EA4">
        <w:rPr>
          <w:u w:val="none"/>
        </w:rPr>
        <w:t>,</w:t>
      </w:r>
    </w:p>
    <w:p w:rsidR="002A72B0" w:rsidRPr="003E6EA4" w:rsidRDefault="002A72B0" w:rsidP="002A72B0">
      <w:pPr>
        <w:pStyle w:val="5GAParaResolution"/>
        <w:numPr>
          <w:ilvl w:val="0"/>
          <w:numId w:val="10"/>
        </w:numPr>
        <w:ind w:left="1134" w:hanging="567"/>
      </w:pPr>
      <w:r w:rsidRPr="003E6EA4">
        <w:rPr>
          <w:u w:val="single"/>
        </w:rPr>
        <w:t>Recalling</w:t>
      </w:r>
      <w:r w:rsidRPr="003E6EA4">
        <w:t xml:space="preserve"> Article 30 of the Convention,</w:t>
      </w:r>
    </w:p>
    <w:p w:rsidR="002A72B0" w:rsidRPr="003E6EA4" w:rsidRDefault="002A72B0" w:rsidP="002A72B0">
      <w:pPr>
        <w:pStyle w:val="5GAParaResolution"/>
        <w:numPr>
          <w:ilvl w:val="0"/>
          <w:numId w:val="10"/>
        </w:numPr>
        <w:ind w:left="1134" w:hanging="567"/>
      </w:pPr>
      <w:r w:rsidRPr="003E6EA4">
        <w:rPr>
          <w:u w:val="single"/>
        </w:rPr>
        <w:t>Welcomes</w:t>
      </w:r>
      <w:r w:rsidRPr="003E6EA4">
        <w:t xml:space="preserve"> the </w:t>
      </w:r>
      <w:r w:rsidR="00EE57B7" w:rsidRPr="003E6EA4">
        <w:t>six</w:t>
      </w:r>
      <w:r w:rsidRPr="003E6EA4">
        <w:t xml:space="preserve"> States</w:t>
      </w:r>
      <w:r w:rsidR="00693B63" w:rsidRPr="003E6EA4">
        <w:t xml:space="preserve"> </w:t>
      </w:r>
      <w:r w:rsidR="00147378" w:rsidRPr="003E6EA4">
        <w:t>– </w:t>
      </w:r>
      <w:r w:rsidR="00693B63" w:rsidRPr="003E6EA4">
        <w:rPr>
          <w:rFonts w:eastAsia="Arial"/>
        </w:rPr>
        <w:t>Cabo Verde, Ghana</w:t>
      </w:r>
      <w:r w:rsidR="0042433D" w:rsidRPr="003E6EA4">
        <w:rPr>
          <w:rFonts w:eastAsia="Arial"/>
        </w:rPr>
        <w:t>,</w:t>
      </w:r>
      <w:r w:rsidR="00EE57B7" w:rsidRPr="003E6EA4">
        <w:rPr>
          <w:rFonts w:eastAsia="Arial"/>
        </w:rPr>
        <w:t xml:space="preserve"> Guinea-Bissau</w:t>
      </w:r>
      <w:r w:rsidR="00C3433B" w:rsidRPr="003E6EA4">
        <w:rPr>
          <w:rFonts w:eastAsia="Arial"/>
        </w:rPr>
        <w:t>,</w:t>
      </w:r>
      <w:r w:rsidR="00693B63" w:rsidRPr="003E6EA4">
        <w:rPr>
          <w:rFonts w:eastAsia="Arial"/>
        </w:rPr>
        <w:t xml:space="preserve"> Ireland,</w:t>
      </w:r>
      <w:r w:rsidR="00693B63" w:rsidRPr="003E6EA4">
        <w:rPr>
          <w:lang w:val="en-US"/>
        </w:rPr>
        <w:t xml:space="preserve"> </w:t>
      </w:r>
      <w:r w:rsidR="00693B63" w:rsidRPr="003E6EA4">
        <w:rPr>
          <w:rFonts w:eastAsia="Arial"/>
        </w:rPr>
        <w:t>Kuwait and Marshall Islands</w:t>
      </w:r>
      <w:r w:rsidR="00147378" w:rsidRPr="003E6EA4">
        <w:rPr>
          <w:rFonts w:eastAsia="Arial"/>
        </w:rPr>
        <w:t> </w:t>
      </w:r>
      <w:r w:rsidR="00444B59" w:rsidRPr="003E6EA4">
        <w:t>–</w:t>
      </w:r>
      <w:r w:rsidR="00D148DA" w:rsidRPr="003E6EA4">
        <w:rPr>
          <w:rFonts w:eastAsia="Arial"/>
        </w:rPr>
        <w:t xml:space="preserve"> </w:t>
      </w:r>
      <w:r w:rsidRPr="003E6EA4">
        <w:t>that have ratified the Convention since the fifth session of the General Assembly</w:t>
      </w:r>
      <w:r w:rsidR="00DE6FAC" w:rsidRPr="003E6EA4">
        <w:t xml:space="preserve"> and expresses satisfaction with the continued </w:t>
      </w:r>
      <w:r w:rsidR="00ED7697" w:rsidRPr="003E6EA4">
        <w:t>steady</w:t>
      </w:r>
      <w:r w:rsidR="00DE6FAC" w:rsidRPr="003E6EA4">
        <w:t xml:space="preserve"> pace of ratification</w:t>
      </w:r>
      <w:r w:rsidR="00A77DD1" w:rsidRPr="003E6EA4">
        <w:t>;</w:t>
      </w:r>
    </w:p>
    <w:p w:rsidR="00F57D01" w:rsidRPr="003E6EA4" w:rsidRDefault="00F57D01" w:rsidP="00F57D01">
      <w:pPr>
        <w:pStyle w:val="GAParaResolution"/>
      </w:pPr>
      <w:r w:rsidRPr="003E6EA4">
        <w:t>Takes note</w:t>
      </w:r>
      <w:r w:rsidRPr="003E6EA4">
        <w:rPr>
          <w:u w:val="none"/>
        </w:rPr>
        <w:t xml:space="preserve"> of the report of the Committee to the General Assembly </w:t>
      </w:r>
      <w:r w:rsidR="00B15218" w:rsidRPr="003E6EA4">
        <w:rPr>
          <w:u w:val="none"/>
        </w:rPr>
        <w:t xml:space="preserve">on its activities between June 2014 and June 2016 </w:t>
      </w:r>
      <w:r w:rsidRPr="003E6EA4">
        <w:rPr>
          <w:u w:val="none"/>
        </w:rPr>
        <w:t xml:space="preserve">and </w:t>
      </w:r>
      <w:r w:rsidRPr="003E6EA4">
        <w:t>thanks</w:t>
      </w:r>
      <w:r w:rsidRPr="003E6EA4">
        <w:rPr>
          <w:u w:val="none"/>
        </w:rPr>
        <w:t xml:space="preserve"> the Committee for its effective work</w:t>
      </w:r>
      <w:r w:rsidR="00A77DD1" w:rsidRPr="003E6EA4">
        <w:rPr>
          <w:u w:val="none"/>
        </w:rPr>
        <w:t>;</w:t>
      </w:r>
      <w:r w:rsidRPr="003E6EA4">
        <w:rPr>
          <w:u w:val="none"/>
        </w:rPr>
        <w:t xml:space="preserve"> </w:t>
      </w:r>
    </w:p>
    <w:p w:rsidR="00D6351A" w:rsidRPr="003E6EA4" w:rsidRDefault="00F57D01" w:rsidP="00F57D01">
      <w:pPr>
        <w:pStyle w:val="GAParaResolution"/>
      </w:pPr>
      <w:r w:rsidRPr="003E6EA4">
        <w:t>C</w:t>
      </w:r>
      <w:r w:rsidR="002A72B0" w:rsidRPr="003E6EA4">
        <w:t>ommends</w:t>
      </w:r>
      <w:r w:rsidR="002A72B0" w:rsidRPr="003E6EA4">
        <w:rPr>
          <w:u w:val="none"/>
        </w:rPr>
        <w:t xml:space="preserve"> </w:t>
      </w:r>
      <w:r w:rsidRPr="003E6EA4">
        <w:rPr>
          <w:u w:val="none"/>
        </w:rPr>
        <w:t>the Committee</w:t>
      </w:r>
      <w:r w:rsidR="002A72B0" w:rsidRPr="003E6EA4">
        <w:rPr>
          <w:u w:val="none"/>
        </w:rPr>
        <w:t xml:space="preserve"> </w:t>
      </w:r>
      <w:r w:rsidR="001C60C0" w:rsidRPr="003E6EA4">
        <w:rPr>
          <w:u w:val="none"/>
        </w:rPr>
        <w:t>for progress made on various statutory aspects of the implementation of Convention</w:t>
      </w:r>
      <w:r w:rsidR="006F6EDA" w:rsidRPr="003E6EA4">
        <w:rPr>
          <w:u w:val="none"/>
        </w:rPr>
        <w:t xml:space="preserve"> as well as</w:t>
      </w:r>
      <w:r w:rsidR="001C60C0" w:rsidRPr="003E6EA4">
        <w:rPr>
          <w:u w:val="none"/>
        </w:rPr>
        <w:t xml:space="preserve"> for </w:t>
      </w:r>
      <w:r w:rsidR="002A72B0" w:rsidRPr="003E6EA4">
        <w:rPr>
          <w:u w:val="none"/>
        </w:rPr>
        <w:t xml:space="preserve">its </w:t>
      </w:r>
      <w:r w:rsidR="002A72B0" w:rsidRPr="003E6EA4">
        <w:rPr>
          <w:rFonts w:eastAsia="Arial"/>
          <w:u w:val="none"/>
        </w:rPr>
        <w:t xml:space="preserve">priority attention </w:t>
      </w:r>
      <w:r w:rsidR="001C60C0" w:rsidRPr="003E6EA4">
        <w:rPr>
          <w:rFonts w:eastAsia="Arial"/>
          <w:u w:val="none"/>
        </w:rPr>
        <w:t xml:space="preserve">given </w:t>
      </w:r>
      <w:r w:rsidR="002A72B0" w:rsidRPr="003E6EA4">
        <w:rPr>
          <w:rFonts w:eastAsia="Arial"/>
          <w:u w:val="none"/>
        </w:rPr>
        <w:t>to capacity building for the implementation of the Convention at the national leve</w:t>
      </w:r>
      <w:r w:rsidR="002A72B0" w:rsidRPr="003E6EA4">
        <w:rPr>
          <w:u w:val="none"/>
        </w:rPr>
        <w:t>l</w:t>
      </w:r>
      <w:r w:rsidR="00A77DD1" w:rsidRPr="003E6EA4">
        <w:rPr>
          <w:u w:val="none"/>
        </w:rPr>
        <w:t>;</w:t>
      </w:r>
    </w:p>
    <w:p w:rsidR="006F6EDA" w:rsidRPr="003E6EA4" w:rsidRDefault="006F6EDA" w:rsidP="006F6EDA">
      <w:pPr>
        <w:pStyle w:val="GAParaResolution"/>
      </w:pPr>
      <w:r w:rsidRPr="003E6EA4">
        <w:t>Acknowledge</w:t>
      </w:r>
      <w:r w:rsidR="004C114A" w:rsidRPr="003E6EA4">
        <w:t>s</w:t>
      </w:r>
      <w:r w:rsidRPr="003E6EA4">
        <w:t xml:space="preserve"> with satisfaction</w:t>
      </w:r>
      <w:r w:rsidRPr="003E6EA4">
        <w:rPr>
          <w:u w:val="none"/>
        </w:rPr>
        <w:t xml:space="preserve"> the continued interest shown by States Parties in the Convention’s mechanisms for international cooperation, and </w:t>
      </w:r>
      <w:r w:rsidRPr="003E6EA4">
        <w:t>encourages</w:t>
      </w:r>
      <w:r w:rsidRPr="003E6EA4">
        <w:rPr>
          <w:u w:val="none"/>
        </w:rPr>
        <w:t xml:space="preserve"> the Committee to continue raising awareness </w:t>
      </w:r>
      <w:r w:rsidR="00ED7697" w:rsidRPr="003E6EA4">
        <w:rPr>
          <w:u w:val="none"/>
        </w:rPr>
        <w:t>on the importance of intangible cultural heritage</w:t>
      </w:r>
      <w:r w:rsidRPr="003E6EA4">
        <w:rPr>
          <w:u w:val="none"/>
        </w:rPr>
        <w:t xml:space="preserve"> and to disseminate best safeguarding practices;</w:t>
      </w:r>
    </w:p>
    <w:p w:rsidR="00D6351A" w:rsidRPr="003E6EA4" w:rsidRDefault="002A72B0" w:rsidP="00323F00">
      <w:pPr>
        <w:pStyle w:val="5GAParaResolution"/>
        <w:numPr>
          <w:ilvl w:val="0"/>
          <w:numId w:val="10"/>
        </w:numPr>
        <w:ind w:left="1134" w:hanging="567"/>
      </w:pPr>
      <w:r w:rsidRPr="003E6EA4">
        <w:rPr>
          <w:u w:val="single"/>
        </w:rPr>
        <w:t>Requests</w:t>
      </w:r>
      <w:r w:rsidRPr="003E6EA4">
        <w:t xml:space="preserve"> the Director-General to bring this report to the attention of the General Conference of UNESCO, in conformity with Article 30</w:t>
      </w:r>
      <w:r w:rsidR="00CC4A67" w:rsidRPr="003E6EA4">
        <w:t xml:space="preserve">.2 </w:t>
      </w:r>
      <w:r w:rsidR="00F57D01" w:rsidRPr="003E6EA4">
        <w:t>of the Convention;</w:t>
      </w:r>
    </w:p>
    <w:p w:rsidR="00B906D2" w:rsidRPr="003E6EA4" w:rsidRDefault="00194C0E" w:rsidP="00EE57B7">
      <w:pPr>
        <w:pStyle w:val="GAParaResolution"/>
        <w:rPr>
          <w:u w:val="none"/>
        </w:rPr>
      </w:pPr>
      <w:r w:rsidRPr="003E6EA4">
        <w:t>Further r</w:t>
      </w:r>
      <w:r w:rsidR="00F57D01" w:rsidRPr="003E6EA4">
        <w:t>equests</w:t>
      </w:r>
      <w:r w:rsidR="00F57D01" w:rsidRPr="003E6EA4">
        <w:rPr>
          <w:u w:val="none"/>
        </w:rPr>
        <w:t xml:space="preserve"> the Committee to report on its activities for the period between January</w:t>
      </w:r>
      <w:r w:rsidR="00AB411F" w:rsidRPr="003E6EA4">
        <w:rPr>
          <w:u w:val="none"/>
        </w:rPr>
        <w:t> </w:t>
      </w:r>
      <w:r w:rsidR="00F57D01" w:rsidRPr="003E6EA4">
        <w:rPr>
          <w:u w:val="none"/>
        </w:rPr>
        <w:t xml:space="preserve">2016 and </w:t>
      </w:r>
      <w:r w:rsidR="00AB411F" w:rsidRPr="003E6EA4">
        <w:rPr>
          <w:u w:val="none"/>
        </w:rPr>
        <w:t>December </w:t>
      </w:r>
      <w:r w:rsidR="00D239AF" w:rsidRPr="003E6EA4">
        <w:rPr>
          <w:u w:val="none"/>
        </w:rPr>
        <w:t xml:space="preserve">2017 </w:t>
      </w:r>
      <w:r w:rsidR="00D6351A" w:rsidRPr="003E6EA4">
        <w:rPr>
          <w:u w:val="none"/>
        </w:rPr>
        <w:t xml:space="preserve">for examination by the General Assembly </w:t>
      </w:r>
      <w:r w:rsidR="00F57D01" w:rsidRPr="003E6EA4">
        <w:rPr>
          <w:u w:val="none"/>
        </w:rPr>
        <w:t>at its seventh session</w:t>
      </w:r>
      <w:r w:rsidR="00B97994" w:rsidRPr="003E6EA4">
        <w:rPr>
          <w:u w:val="none"/>
        </w:rPr>
        <w:t>,</w:t>
      </w:r>
      <w:r w:rsidR="00F57D01" w:rsidRPr="003E6EA4">
        <w:rPr>
          <w:u w:val="none"/>
        </w:rPr>
        <w:t xml:space="preserve"> and </w:t>
      </w:r>
      <w:r w:rsidR="009D605C" w:rsidRPr="003E6EA4">
        <w:rPr>
          <w:u w:val="none"/>
        </w:rPr>
        <w:t xml:space="preserve">to use a biennium calendar </w:t>
      </w:r>
      <w:r w:rsidR="00A67015" w:rsidRPr="003E6EA4">
        <w:rPr>
          <w:u w:val="none"/>
        </w:rPr>
        <w:t>year</w:t>
      </w:r>
      <w:r w:rsidR="009D605C" w:rsidRPr="003E6EA4">
        <w:rPr>
          <w:u w:val="none"/>
        </w:rPr>
        <w:t xml:space="preserve"> for future reports thereafter</w:t>
      </w:r>
      <w:r w:rsidR="00F57D01" w:rsidRPr="003E6EA4">
        <w:rPr>
          <w:u w:val="none"/>
        </w:rPr>
        <w:t>.</w:t>
      </w:r>
    </w:p>
    <w:p w:rsidR="003743B1" w:rsidRPr="003E6EA4" w:rsidRDefault="003743B1" w:rsidP="003743B1">
      <w:pPr>
        <w:pageBreakBefore/>
        <w:jc w:val="center"/>
        <w:rPr>
          <w:lang w:val="en-GB"/>
        </w:rPr>
      </w:pPr>
      <w:r w:rsidRPr="003E6EA4">
        <w:rPr>
          <w:rFonts w:ascii="Arial" w:eastAsia="Arial" w:hAnsi="Arial" w:cs="Arial"/>
          <w:b/>
          <w:bCs/>
          <w:sz w:val="22"/>
          <w:szCs w:val="22"/>
          <w:u w:val="single"/>
          <w:lang w:val="en-GB"/>
        </w:rPr>
        <w:lastRenderedPageBreak/>
        <w:t>ANNEX</w:t>
      </w:r>
    </w:p>
    <w:p w:rsidR="003743B1" w:rsidRPr="003E6EA4" w:rsidRDefault="00D33024" w:rsidP="003743B1">
      <w:pPr>
        <w:spacing w:after="360"/>
        <w:jc w:val="center"/>
        <w:rPr>
          <w:lang w:val="en-GB"/>
        </w:rPr>
      </w:pPr>
      <w:r w:rsidRPr="003E6EA4">
        <w:rPr>
          <w:rFonts w:ascii="Arial" w:eastAsia="Arial" w:hAnsi="Arial" w:cs="Arial"/>
          <w:b/>
          <w:bCs/>
          <w:sz w:val="22"/>
          <w:szCs w:val="22"/>
          <w:lang w:val="en-GB"/>
        </w:rPr>
        <w:t>R</w:t>
      </w:r>
      <w:r w:rsidR="003743B1" w:rsidRPr="003E6EA4">
        <w:rPr>
          <w:rFonts w:ascii="Arial" w:eastAsia="Arial" w:hAnsi="Arial" w:cs="Arial"/>
          <w:b/>
          <w:bCs/>
          <w:sz w:val="22"/>
          <w:szCs w:val="22"/>
          <w:lang w:val="en-GB"/>
        </w:rPr>
        <w:t>eport by the Committee to the General Assembly on its activities</w:t>
      </w:r>
    </w:p>
    <w:p w:rsidR="003743B1" w:rsidRPr="003E6EA4" w:rsidRDefault="003743B1" w:rsidP="003743B1">
      <w:pPr>
        <w:pStyle w:val="Marge"/>
        <w:numPr>
          <w:ilvl w:val="0"/>
          <w:numId w:val="14"/>
        </w:numPr>
        <w:tabs>
          <w:tab w:val="clear" w:pos="720"/>
        </w:tabs>
        <w:spacing w:after="120"/>
        <w:ind w:left="567" w:hanging="567"/>
        <w:rPr>
          <w:lang w:val="en-GB"/>
        </w:rPr>
      </w:pPr>
      <w:r w:rsidRPr="003E6EA4">
        <w:rPr>
          <w:rFonts w:eastAsia="Arial" w:cs="Arial"/>
          <w:szCs w:val="22"/>
          <w:lang w:val="en-GB"/>
        </w:rPr>
        <w:t>T</w:t>
      </w:r>
      <w:r w:rsidRPr="003E6EA4">
        <w:rPr>
          <w:lang w:val="en-GB"/>
        </w:rPr>
        <w:t>he functions of the Committee are set out in the 2003 Convention for the Safeguarding of the Intangible Cultural Heritage, in particular in Article 7. This report follows the order of functions set out in Article 7 of the Convention.</w:t>
      </w:r>
    </w:p>
    <w:p w:rsidR="003743B1" w:rsidRPr="003E6EA4" w:rsidRDefault="003743B1" w:rsidP="003743B1">
      <w:pPr>
        <w:pStyle w:val="Marge"/>
        <w:numPr>
          <w:ilvl w:val="0"/>
          <w:numId w:val="14"/>
        </w:numPr>
        <w:tabs>
          <w:tab w:val="clear" w:pos="720"/>
        </w:tabs>
        <w:spacing w:after="120"/>
        <w:ind w:left="567" w:hanging="567"/>
        <w:rPr>
          <w:lang w:val="en-GB"/>
        </w:rPr>
      </w:pPr>
      <w:r w:rsidRPr="003E6EA4">
        <w:rPr>
          <w:lang w:val="en-GB"/>
        </w:rPr>
        <w:t>In 2014, the General Assembly renewed half of the 24 members of the Committee, by electing 12 States Parties to serve a term of four years. The 24 members of the Committee, during the period June 2014 to June 2016, were: Afghanistan, Algeria, Belgium, Brazil, Bulgaria, Congo, Côte d’Ivoire, Egypt, Ethiopia, Greece, Hungary, India, Kyrgyzstan, Latvia, Mongolia, Namibia, Nigeria, Peru, Republic of Korea, Saint Lucia, Tunisia, Turkey, Uganda and Uruguay.</w:t>
      </w:r>
    </w:p>
    <w:p w:rsidR="003743B1" w:rsidRPr="003E6EA4" w:rsidRDefault="003743B1" w:rsidP="003743B1">
      <w:pPr>
        <w:pStyle w:val="Marge"/>
        <w:numPr>
          <w:ilvl w:val="0"/>
          <w:numId w:val="14"/>
        </w:numPr>
        <w:tabs>
          <w:tab w:val="clear" w:pos="720"/>
        </w:tabs>
        <w:spacing w:after="120"/>
        <w:ind w:left="567" w:hanging="567"/>
        <w:rPr>
          <w:lang w:val="en-GB"/>
        </w:rPr>
      </w:pPr>
      <w:r w:rsidRPr="003E6EA4">
        <w:rPr>
          <w:lang w:val="en-GB"/>
        </w:rPr>
        <w:t>Since its election by the General Assembly in June 2014, the Committee has met twice: at UNESCO Headquarters, Paris, from 24 to 28 November 2014 for its ninth session (9.COM) and in Windhoek, Namibia, from 30 November to 4 December 2015 for its tenth session (10.COM).</w:t>
      </w:r>
    </w:p>
    <w:p w:rsidR="003743B1" w:rsidRPr="003E6EA4" w:rsidRDefault="003743B1" w:rsidP="003743B1">
      <w:pPr>
        <w:pStyle w:val="Marge"/>
        <w:numPr>
          <w:ilvl w:val="0"/>
          <w:numId w:val="14"/>
        </w:numPr>
        <w:tabs>
          <w:tab w:val="clear" w:pos="720"/>
        </w:tabs>
        <w:spacing w:after="120"/>
        <w:ind w:left="567" w:hanging="567"/>
        <w:rPr>
          <w:lang w:val="en-GB"/>
        </w:rPr>
      </w:pPr>
      <w:r w:rsidRPr="003E6EA4">
        <w:rPr>
          <w:lang w:val="en-GB"/>
        </w:rPr>
        <w:t xml:space="preserve">The Bureau of the ninth session was elected by the eighth session in December 2013 in Baku, Azerbaijan and was composed of H.E. Mr José Manuel Rodríguez Cuadros (Peru) as Chairperson; Belgium, </w:t>
      </w:r>
      <w:r w:rsidRPr="003E6EA4">
        <w:rPr>
          <w:rFonts w:cs="Arial"/>
          <w:lang w:val="en-GB"/>
        </w:rPr>
        <w:t>Latvia, Kyrgyzstan</w:t>
      </w:r>
      <w:r w:rsidRPr="003E6EA4">
        <w:rPr>
          <w:lang w:val="en-GB"/>
        </w:rPr>
        <w:t xml:space="preserve">, Namibia and Egypt as Vice-Chairs; and Ms Anita </w:t>
      </w:r>
      <w:proofErr w:type="spellStart"/>
      <w:r w:rsidRPr="003E6EA4">
        <w:rPr>
          <w:lang w:val="en-GB"/>
        </w:rPr>
        <w:t>Vaivade</w:t>
      </w:r>
      <w:proofErr w:type="spellEnd"/>
      <w:r w:rsidRPr="003E6EA4">
        <w:rPr>
          <w:lang w:val="en-GB"/>
        </w:rPr>
        <w:t xml:space="preserve"> (Latvia) as Rapporteur.</w:t>
      </w:r>
    </w:p>
    <w:p w:rsidR="003743B1" w:rsidRPr="003E6EA4" w:rsidRDefault="003743B1" w:rsidP="003743B1">
      <w:pPr>
        <w:pStyle w:val="Marge"/>
        <w:numPr>
          <w:ilvl w:val="0"/>
          <w:numId w:val="14"/>
        </w:numPr>
        <w:tabs>
          <w:tab w:val="clear" w:pos="720"/>
        </w:tabs>
        <w:spacing w:after="120"/>
        <w:ind w:left="567" w:hanging="567"/>
        <w:rPr>
          <w:lang w:val="en-GB"/>
        </w:rPr>
      </w:pPr>
      <w:r w:rsidRPr="003E6EA4">
        <w:rPr>
          <w:lang w:val="en-GB"/>
        </w:rPr>
        <w:t xml:space="preserve">The Bureau of the tenth session was elected by the ninth session in November 2014 at UNESCO Headquarters and was composed of H.E. Ms </w:t>
      </w:r>
      <w:proofErr w:type="spellStart"/>
      <w:r w:rsidRPr="003E6EA4">
        <w:rPr>
          <w:lang w:val="en-GB"/>
        </w:rPr>
        <w:t>Trudie</w:t>
      </w:r>
      <w:proofErr w:type="spellEnd"/>
      <w:r w:rsidRPr="003E6EA4">
        <w:rPr>
          <w:lang w:val="en-GB"/>
        </w:rPr>
        <w:t xml:space="preserve"> </w:t>
      </w:r>
      <w:proofErr w:type="spellStart"/>
      <w:r w:rsidRPr="003E6EA4">
        <w:rPr>
          <w:lang w:val="en-GB"/>
        </w:rPr>
        <w:t>Amulungu</w:t>
      </w:r>
      <w:proofErr w:type="spellEnd"/>
      <w:r w:rsidRPr="003E6EA4">
        <w:rPr>
          <w:lang w:val="en-GB"/>
        </w:rPr>
        <w:t xml:space="preserve"> (Namibia) as Chairperson; Belgium, Hungary, Brazil</w:t>
      </w:r>
      <w:r w:rsidRPr="003E6EA4">
        <w:rPr>
          <w:rFonts w:cs="Arial"/>
          <w:lang w:val="en-GB"/>
        </w:rPr>
        <w:t>,</w:t>
      </w:r>
      <w:r w:rsidRPr="003E6EA4">
        <w:rPr>
          <w:lang w:val="en-GB"/>
        </w:rPr>
        <w:t xml:space="preserve"> India and Tunisia as Vice-Chairs; and Mr Ahmed Aly Morsi (Egypt) as Rapporteur.</w:t>
      </w:r>
    </w:p>
    <w:p w:rsidR="003743B1" w:rsidRPr="003E6EA4" w:rsidRDefault="003743B1" w:rsidP="00DD21FB">
      <w:pPr>
        <w:pStyle w:val="Marge"/>
        <w:numPr>
          <w:ilvl w:val="0"/>
          <w:numId w:val="14"/>
        </w:numPr>
        <w:tabs>
          <w:tab w:val="clear" w:pos="720"/>
        </w:tabs>
        <w:spacing w:after="120"/>
        <w:ind w:left="567" w:hanging="567"/>
        <w:rPr>
          <w:lang w:val="en-GB"/>
        </w:rPr>
      </w:pPr>
      <w:r w:rsidRPr="003E6EA4">
        <w:rPr>
          <w:lang w:val="en-GB"/>
        </w:rPr>
        <w:t>The Bureau of the eleventh</w:t>
      </w:r>
      <w:r w:rsidRPr="003E6EA4">
        <w:rPr>
          <w:rFonts w:eastAsia="Arial" w:cs="Arial"/>
          <w:szCs w:val="22"/>
          <w:lang w:val="en-GB"/>
        </w:rPr>
        <w:t xml:space="preserve"> session of the Committee was elected at the end of the tenth session in December 2015 in Windhoek, Namibia and is </w:t>
      </w:r>
      <w:r w:rsidRPr="003E6EA4">
        <w:rPr>
          <w:lang w:val="en-GB"/>
        </w:rPr>
        <w:t xml:space="preserve">composed of Mr </w:t>
      </w:r>
      <w:proofErr w:type="spellStart"/>
      <w:r w:rsidRPr="003E6EA4">
        <w:rPr>
          <w:lang w:val="en-GB"/>
        </w:rPr>
        <w:t>Yonas</w:t>
      </w:r>
      <w:proofErr w:type="spellEnd"/>
      <w:r w:rsidRPr="003E6EA4">
        <w:rPr>
          <w:lang w:val="en-GB"/>
        </w:rPr>
        <w:t xml:space="preserve"> Desta </w:t>
      </w:r>
      <w:proofErr w:type="spellStart"/>
      <w:r w:rsidRPr="003E6EA4">
        <w:rPr>
          <w:lang w:val="en-GB"/>
        </w:rPr>
        <w:t>Ts</w:t>
      </w:r>
      <w:r w:rsidR="0029674D" w:rsidRPr="003E6EA4">
        <w:rPr>
          <w:lang w:val="en-GB"/>
        </w:rPr>
        <w:t>egaye</w:t>
      </w:r>
      <w:proofErr w:type="spellEnd"/>
      <w:r w:rsidR="0029674D" w:rsidRPr="003E6EA4">
        <w:rPr>
          <w:lang w:val="en-GB"/>
        </w:rPr>
        <w:t xml:space="preserve"> (Ethiopia) as Chairperson;</w:t>
      </w:r>
      <w:r w:rsidRPr="003E6EA4">
        <w:rPr>
          <w:lang w:val="en-US"/>
        </w:rPr>
        <w:t xml:space="preserve"> </w:t>
      </w:r>
      <w:r w:rsidRPr="003E6EA4">
        <w:rPr>
          <w:lang w:val="en-GB"/>
        </w:rPr>
        <w:t>Turkey, Bulgaria, Saint Lucia, Republic of Korea and Algeria as Vice-Chairpersons</w:t>
      </w:r>
      <w:r w:rsidR="0029674D" w:rsidRPr="003E6EA4">
        <w:rPr>
          <w:lang w:val="en-GB"/>
        </w:rPr>
        <w:t>;</w:t>
      </w:r>
      <w:r w:rsidRPr="003E6EA4">
        <w:rPr>
          <w:lang w:val="en-GB"/>
        </w:rPr>
        <w:t xml:space="preserve"> and Mr Murat </w:t>
      </w:r>
      <w:proofErr w:type="spellStart"/>
      <w:r w:rsidRPr="003E6EA4">
        <w:rPr>
          <w:lang w:val="en-GB"/>
        </w:rPr>
        <w:t>Soğangöz</w:t>
      </w:r>
      <w:proofErr w:type="spellEnd"/>
      <w:r w:rsidRPr="003E6EA4">
        <w:rPr>
          <w:lang w:val="en-GB"/>
        </w:rPr>
        <w:t xml:space="preserve"> (Turkey) as Rapporteur.</w:t>
      </w:r>
    </w:p>
    <w:p w:rsidR="003743B1" w:rsidRPr="003E6EA4" w:rsidRDefault="003743B1" w:rsidP="003743B1">
      <w:pPr>
        <w:pStyle w:val="Marge"/>
        <w:numPr>
          <w:ilvl w:val="0"/>
          <w:numId w:val="14"/>
        </w:numPr>
        <w:tabs>
          <w:tab w:val="clear" w:pos="720"/>
        </w:tabs>
        <w:spacing w:after="120"/>
        <w:ind w:left="567" w:hanging="567"/>
        <w:rPr>
          <w:lang w:val="en-GB"/>
        </w:rPr>
      </w:pPr>
      <w:r w:rsidRPr="003E6EA4">
        <w:rPr>
          <w:rFonts w:eastAsia="Arial" w:cs="Arial"/>
          <w:szCs w:val="22"/>
          <w:lang w:val="en-GB"/>
        </w:rPr>
        <w:t>The Bureau met daily during the sessions of the Committee</w:t>
      </w:r>
      <w:r w:rsidR="00E7442D" w:rsidRPr="003E6EA4">
        <w:rPr>
          <w:rFonts w:eastAsia="Arial" w:cs="Arial"/>
          <w:szCs w:val="22"/>
          <w:lang w:val="en-GB"/>
        </w:rPr>
        <w:t xml:space="preserve"> to adjust the timetable of the session according to the progress made</w:t>
      </w:r>
      <w:r w:rsidRPr="003E6EA4">
        <w:rPr>
          <w:rFonts w:eastAsia="Arial" w:cs="Arial"/>
          <w:szCs w:val="22"/>
          <w:lang w:val="en-GB"/>
        </w:rPr>
        <w:t xml:space="preserve">. </w:t>
      </w:r>
      <w:r w:rsidRPr="003E6EA4">
        <w:rPr>
          <w:lang w:val="en-GB"/>
        </w:rPr>
        <w:t xml:space="preserve">Since the fifth session of the General Assembly, it has also met three times, </w:t>
      </w:r>
      <w:r w:rsidR="005128F8" w:rsidRPr="003E6EA4">
        <w:rPr>
          <w:lang w:val="en-GB"/>
        </w:rPr>
        <w:t xml:space="preserve">twice </w:t>
      </w:r>
      <w:r w:rsidRPr="003E6EA4">
        <w:rPr>
          <w:lang w:val="en-GB"/>
        </w:rPr>
        <w:t xml:space="preserve">at UNESCO Headquarters: on </w:t>
      </w:r>
      <w:r w:rsidRPr="003E6EA4">
        <w:rPr>
          <w:rFonts w:eastAsia="Arial" w:cs="Arial"/>
          <w:szCs w:val="22"/>
          <w:lang w:val="en-GB"/>
        </w:rPr>
        <w:t>13 October 2014 (9.COM 3.BUR) and 6 October 2015 (10.COM 2.BUR) and once in Windhoek</w:t>
      </w:r>
      <w:r w:rsidR="005C20EF" w:rsidRPr="003E6EA4">
        <w:rPr>
          <w:rFonts w:eastAsia="Arial" w:cs="Arial"/>
          <w:szCs w:val="22"/>
          <w:lang w:val="en-GB"/>
        </w:rPr>
        <w:t>,</w:t>
      </w:r>
      <w:r w:rsidRPr="003E6EA4">
        <w:rPr>
          <w:rFonts w:eastAsia="Arial" w:cs="Arial"/>
          <w:szCs w:val="22"/>
          <w:lang w:val="en-GB"/>
        </w:rPr>
        <w:t xml:space="preserve"> Namibia</w:t>
      </w:r>
      <w:r w:rsidR="005C20EF" w:rsidRPr="003E6EA4">
        <w:rPr>
          <w:rFonts w:eastAsia="Arial" w:cs="Arial"/>
          <w:szCs w:val="22"/>
          <w:lang w:val="en-GB"/>
        </w:rPr>
        <w:t>,</w:t>
      </w:r>
      <w:r w:rsidR="00CC4A67" w:rsidRPr="003E6EA4">
        <w:rPr>
          <w:rFonts w:eastAsia="Arial" w:cs="Arial"/>
          <w:szCs w:val="22"/>
          <w:lang w:val="en-GB"/>
        </w:rPr>
        <w:t xml:space="preserve"> on 4</w:t>
      </w:r>
      <w:r w:rsidR="008E5107" w:rsidRPr="003E6EA4">
        <w:rPr>
          <w:rFonts w:eastAsia="Arial" w:cs="Arial"/>
          <w:szCs w:val="22"/>
          <w:lang w:val="en-GB"/>
        </w:rPr>
        <w:t> </w:t>
      </w:r>
      <w:r w:rsidR="00CC4A67" w:rsidRPr="003E6EA4">
        <w:rPr>
          <w:rFonts w:eastAsia="Arial" w:cs="Arial"/>
          <w:szCs w:val="22"/>
          <w:lang w:val="en-GB"/>
        </w:rPr>
        <w:t>December</w:t>
      </w:r>
      <w:r w:rsidR="008E5107" w:rsidRPr="003E6EA4">
        <w:rPr>
          <w:rFonts w:eastAsia="Arial" w:cs="Arial"/>
          <w:szCs w:val="22"/>
          <w:lang w:val="en-GB"/>
        </w:rPr>
        <w:t xml:space="preserve"> 2015</w:t>
      </w:r>
      <w:r w:rsidRPr="003E6EA4">
        <w:rPr>
          <w:rFonts w:eastAsia="Arial" w:cs="Arial"/>
          <w:szCs w:val="22"/>
          <w:lang w:val="en-GB"/>
        </w:rPr>
        <w:t xml:space="preserve"> (10.COM 3.BUR)</w:t>
      </w:r>
      <w:r w:rsidRPr="003E6EA4">
        <w:rPr>
          <w:lang w:val="en-GB"/>
        </w:rPr>
        <w:t xml:space="preserve">. In addition, </w:t>
      </w:r>
      <w:r w:rsidRPr="003E6EA4">
        <w:rPr>
          <w:rFonts w:eastAsia="Arial" w:cs="Arial"/>
          <w:szCs w:val="22"/>
          <w:lang w:val="en-GB"/>
        </w:rPr>
        <w:t>electronic consultations were held in</w:t>
      </w:r>
      <w:r w:rsidRPr="003E6EA4">
        <w:rPr>
          <w:lang w:val="en-GB"/>
        </w:rPr>
        <w:t xml:space="preserve"> June 2014 (9.</w:t>
      </w:r>
      <w:r w:rsidRPr="003E6EA4">
        <w:rPr>
          <w:rFonts w:eastAsia="Arial" w:cs="Arial"/>
          <w:szCs w:val="22"/>
          <w:lang w:val="en-GB"/>
        </w:rPr>
        <w:t xml:space="preserve">COM 2.BUR), November 2014 (9.COM 4.BUR), June 2015 (10.COM 1.BUR) and </w:t>
      </w:r>
      <w:r w:rsidR="005128F8" w:rsidRPr="003E6EA4">
        <w:rPr>
          <w:rFonts w:eastAsia="Arial" w:cs="Arial"/>
          <w:szCs w:val="22"/>
          <w:lang w:val="en-GB"/>
        </w:rPr>
        <w:t xml:space="preserve">in </w:t>
      </w:r>
      <w:r w:rsidRPr="003E6EA4">
        <w:rPr>
          <w:rFonts w:eastAsia="Arial" w:cs="Arial"/>
          <w:szCs w:val="22"/>
          <w:lang w:val="en-GB"/>
        </w:rPr>
        <w:t>April</w:t>
      </w:r>
      <w:r w:rsidR="0089069C" w:rsidRPr="003E6EA4">
        <w:rPr>
          <w:rFonts w:eastAsia="Arial" w:cs="Arial"/>
          <w:szCs w:val="22"/>
          <w:lang w:val="en-GB"/>
        </w:rPr>
        <w:t> </w:t>
      </w:r>
      <w:r w:rsidR="004C114A" w:rsidRPr="003E6EA4">
        <w:rPr>
          <w:rFonts w:eastAsia="Arial" w:cs="Arial"/>
          <w:szCs w:val="22"/>
          <w:lang w:val="en-GB"/>
        </w:rPr>
        <w:t>2016 (11.COM 1.</w:t>
      </w:r>
      <w:r w:rsidRPr="003E6EA4">
        <w:rPr>
          <w:rFonts w:eastAsia="Arial" w:cs="Arial"/>
          <w:szCs w:val="22"/>
          <w:lang w:val="en-GB"/>
        </w:rPr>
        <w:t>BUR).</w:t>
      </w:r>
      <w:r w:rsidRPr="003E6EA4">
        <w:rPr>
          <w:lang w:val="en-GB"/>
        </w:rPr>
        <w:t xml:space="preserve"> </w:t>
      </w:r>
    </w:p>
    <w:p w:rsidR="003743B1" w:rsidRPr="003E6EA4" w:rsidRDefault="003743B1" w:rsidP="003743B1">
      <w:pPr>
        <w:pStyle w:val="Marge"/>
        <w:numPr>
          <w:ilvl w:val="0"/>
          <w:numId w:val="14"/>
        </w:numPr>
        <w:tabs>
          <w:tab w:val="clear" w:pos="720"/>
        </w:tabs>
        <w:spacing w:after="120"/>
        <w:ind w:left="567" w:hanging="567"/>
        <w:rPr>
          <w:lang w:val="en-GB"/>
        </w:rPr>
      </w:pPr>
      <w:r w:rsidRPr="003E6EA4">
        <w:rPr>
          <w:rFonts w:eastAsia="Arial" w:cs="Arial"/>
          <w:szCs w:val="22"/>
          <w:lang w:val="en-GB"/>
        </w:rPr>
        <w:t xml:space="preserve">During the reporting period, the Committee and its Bureau examined a total of </w:t>
      </w:r>
      <w:r w:rsidR="00C01AEA" w:rsidRPr="003E6EA4">
        <w:rPr>
          <w:rFonts w:eastAsia="Arial" w:cs="Arial"/>
          <w:szCs w:val="22"/>
          <w:lang w:val="en-GB"/>
        </w:rPr>
        <w:t>7</w:t>
      </w:r>
      <w:r w:rsidR="00D02523" w:rsidRPr="003E6EA4">
        <w:rPr>
          <w:rFonts w:eastAsia="Arial" w:cs="Arial"/>
          <w:szCs w:val="22"/>
          <w:lang w:val="en-GB"/>
        </w:rPr>
        <w:t>6</w:t>
      </w:r>
      <w:r w:rsidRPr="003E6EA4">
        <w:rPr>
          <w:rFonts w:eastAsia="Arial" w:cs="Arial"/>
          <w:szCs w:val="22"/>
          <w:lang w:val="en-GB"/>
        </w:rPr>
        <w:t xml:space="preserve"> items</w:t>
      </w:r>
      <w:r w:rsidR="00D02523" w:rsidRPr="003E6EA4">
        <w:rPr>
          <w:rFonts w:eastAsia="Arial" w:cs="Arial"/>
          <w:szCs w:val="22"/>
          <w:lang w:val="en-GB"/>
        </w:rPr>
        <w:t xml:space="preserve"> and sub-items </w:t>
      </w:r>
      <w:r w:rsidRPr="003E6EA4">
        <w:rPr>
          <w:rFonts w:eastAsia="Arial" w:cs="Arial"/>
          <w:szCs w:val="22"/>
          <w:lang w:val="en-GB"/>
        </w:rPr>
        <w:t xml:space="preserve">inscribed on their agendas, which were accompanied by </w:t>
      </w:r>
      <w:r w:rsidR="00D02523" w:rsidRPr="003E6EA4">
        <w:rPr>
          <w:rFonts w:eastAsia="Arial" w:cs="Arial"/>
          <w:szCs w:val="22"/>
          <w:lang w:val="en-GB"/>
        </w:rPr>
        <w:t>75</w:t>
      </w:r>
      <w:r w:rsidRPr="003E6EA4">
        <w:rPr>
          <w:rFonts w:eastAsia="Arial" w:cs="Arial"/>
          <w:szCs w:val="22"/>
          <w:lang w:val="en-GB"/>
        </w:rPr>
        <w:t xml:space="preserve"> working documents or information documents and </w:t>
      </w:r>
      <w:r w:rsidR="00D353B3" w:rsidRPr="003E6EA4">
        <w:rPr>
          <w:rFonts w:eastAsia="Arial" w:cs="Arial"/>
          <w:szCs w:val="22"/>
          <w:lang w:val="en-GB"/>
        </w:rPr>
        <w:t>30</w:t>
      </w:r>
      <w:r w:rsidR="00F57D01" w:rsidRPr="003E6EA4">
        <w:rPr>
          <w:rFonts w:eastAsia="Arial" w:cs="Arial"/>
          <w:szCs w:val="22"/>
          <w:lang w:val="en-GB"/>
        </w:rPr>
        <w:t>6</w:t>
      </w:r>
      <w:r w:rsidR="00C73FD7" w:rsidRPr="003E6EA4">
        <w:rPr>
          <w:rFonts w:eastAsia="Arial" w:cs="Arial"/>
          <w:szCs w:val="22"/>
          <w:lang w:val="en-GB"/>
        </w:rPr>
        <w:t xml:space="preserve"> </w:t>
      </w:r>
      <w:r w:rsidRPr="003E6EA4">
        <w:rPr>
          <w:rFonts w:eastAsia="Arial" w:cs="Arial"/>
          <w:szCs w:val="22"/>
          <w:lang w:val="en-GB"/>
        </w:rPr>
        <w:t>nominations, requests for international assistance, reports submitted by States Parties or requests for accreditation of</w:t>
      </w:r>
      <w:r w:rsidR="00D353B3" w:rsidRPr="003E6EA4">
        <w:rPr>
          <w:rFonts w:eastAsia="Arial" w:cs="Arial"/>
          <w:szCs w:val="22"/>
          <w:lang w:val="en-GB"/>
        </w:rPr>
        <w:t xml:space="preserve"> new</w:t>
      </w:r>
      <w:r w:rsidRPr="003E6EA4">
        <w:rPr>
          <w:rFonts w:eastAsia="Arial" w:cs="Arial"/>
          <w:szCs w:val="22"/>
          <w:lang w:val="en-GB"/>
        </w:rPr>
        <w:t xml:space="preserve"> non-governmental organizations</w:t>
      </w:r>
      <w:r w:rsidR="005C20EF" w:rsidRPr="003E6EA4">
        <w:rPr>
          <w:rFonts w:eastAsia="Arial" w:cs="Arial"/>
          <w:szCs w:val="22"/>
          <w:lang w:val="en-GB"/>
        </w:rPr>
        <w:t xml:space="preserve"> (NGOs)</w:t>
      </w:r>
      <w:r w:rsidR="00D353B3" w:rsidRPr="003E6EA4">
        <w:rPr>
          <w:rFonts w:eastAsia="Arial" w:cs="Arial"/>
          <w:szCs w:val="22"/>
          <w:lang w:val="en-GB"/>
        </w:rPr>
        <w:t xml:space="preserve"> </w:t>
      </w:r>
      <w:r w:rsidR="00693B63" w:rsidRPr="003E6EA4">
        <w:rPr>
          <w:rFonts w:eastAsia="Arial" w:cs="Arial"/>
          <w:szCs w:val="22"/>
          <w:lang w:val="en-GB"/>
        </w:rPr>
        <w:t xml:space="preserve">as well as the </w:t>
      </w:r>
      <w:r w:rsidR="00D239AF" w:rsidRPr="003E6EA4">
        <w:rPr>
          <w:rFonts w:eastAsia="Arial" w:cs="Arial"/>
          <w:szCs w:val="22"/>
          <w:lang w:val="en-GB"/>
        </w:rPr>
        <w:t xml:space="preserve">reports </w:t>
      </w:r>
      <w:r w:rsidR="00D353B3" w:rsidRPr="003E6EA4">
        <w:rPr>
          <w:rFonts w:eastAsia="Arial" w:cs="Arial"/>
          <w:szCs w:val="22"/>
          <w:lang w:val="en-GB"/>
        </w:rPr>
        <w:t xml:space="preserve">of accredited </w:t>
      </w:r>
      <w:r w:rsidR="005C20EF" w:rsidRPr="003E6EA4">
        <w:rPr>
          <w:rFonts w:eastAsia="Arial" w:cs="Arial"/>
          <w:szCs w:val="22"/>
          <w:lang w:val="en-GB"/>
        </w:rPr>
        <w:t>NGOs</w:t>
      </w:r>
      <w:r w:rsidRPr="003E6EA4">
        <w:rPr>
          <w:rFonts w:eastAsia="Arial" w:cs="Arial"/>
          <w:szCs w:val="22"/>
          <w:lang w:val="en-GB"/>
        </w:rPr>
        <w:t>.</w:t>
      </w:r>
      <w:r w:rsidR="00F57D01" w:rsidRPr="003E6EA4">
        <w:rPr>
          <w:rFonts w:eastAsia="Arial" w:cs="Arial"/>
          <w:szCs w:val="22"/>
          <w:lang w:val="en-GB"/>
        </w:rPr>
        <w:t xml:space="preserve"> </w:t>
      </w:r>
      <w:r w:rsidR="00F57D01" w:rsidRPr="003E6EA4">
        <w:rPr>
          <w:rFonts w:cs="Arial"/>
          <w:szCs w:val="22"/>
          <w:lang w:val="en-GB"/>
        </w:rPr>
        <w:t xml:space="preserve">The Committee also examined a report submitted by a State </w:t>
      </w:r>
      <w:proofErr w:type="spellStart"/>
      <w:r w:rsidR="00F57D01" w:rsidRPr="003E6EA4">
        <w:rPr>
          <w:rFonts w:cs="Arial"/>
          <w:szCs w:val="22"/>
          <w:lang w:val="en-GB"/>
        </w:rPr>
        <w:t>non party</w:t>
      </w:r>
      <w:proofErr w:type="spellEnd"/>
      <w:r w:rsidR="00F57D01" w:rsidRPr="003E6EA4">
        <w:rPr>
          <w:rFonts w:cs="Arial"/>
          <w:szCs w:val="22"/>
          <w:lang w:val="en-GB"/>
        </w:rPr>
        <w:t xml:space="preserve"> to the Convention, namely the Russian Federation, on two elements originally proclaimed Masterpieces of the Oral and Intangible Heritage of Humanity and then incorporated in the Representative List of the Intangible Cultural Heritage of Humanity</w:t>
      </w:r>
      <w:r w:rsidR="00693B63" w:rsidRPr="003E6EA4">
        <w:rPr>
          <w:rFonts w:cs="Arial"/>
          <w:szCs w:val="22"/>
          <w:lang w:val="en-GB"/>
        </w:rPr>
        <w:t xml:space="preserve"> in 2008</w:t>
      </w:r>
      <w:r w:rsidR="00F57D01" w:rsidRPr="003E6EA4">
        <w:rPr>
          <w:rFonts w:cs="Arial"/>
          <w:szCs w:val="22"/>
          <w:lang w:val="en-GB"/>
        </w:rPr>
        <w:t>.</w:t>
      </w:r>
    </w:p>
    <w:p w:rsidR="003743B1" w:rsidRPr="003E6EA4" w:rsidRDefault="003743B1" w:rsidP="003743B1">
      <w:pPr>
        <w:rPr>
          <w:rFonts w:ascii="Arial" w:hAnsi="Arial" w:cs="Arial"/>
          <w:b/>
          <w:sz w:val="22"/>
          <w:szCs w:val="22"/>
          <w:lang w:val="en-GB"/>
        </w:rPr>
      </w:pPr>
      <w:r w:rsidRPr="003E6EA4">
        <w:rPr>
          <w:rFonts w:ascii="Arial" w:hAnsi="Arial" w:cs="Arial"/>
          <w:b/>
          <w:sz w:val="22"/>
          <w:szCs w:val="22"/>
          <w:lang w:val="en-GB"/>
        </w:rPr>
        <w:br w:type="page"/>
      </w:r>
    </w:p>
    <w:p w:rsidR="003743B1" w:rsidRPr="003E6EA4" w:rsidRDefault="003743B1" w:rsidP="003743B1">
      <w:pPr>
        <w:keepNext/>
        <w:numPr>
          <w:ilvl w:val="0"/>
          <w:numId w:val="15"/>
        </w:numPr>
        <w:tabs>
          <w:tab w:val="clear" w:pos="720"/>
        </w:tabs>
        <w:spacing w:before="360" w:after="240"/>
        <w:ind w:left="567" w:hanging="567"/>
        <w:rPr>
          <w:rFonts w:ascii="Arial" w:hAnsi="Arial" w:cs="Arial"/>
          <w:b/>
          <w:sz w:val="22"/>
          <w:szCs w:val="22"/>
          <w:lang w:val="en-GB"/>
        </w:rPr>
      </w:pPr>
      <w:r w:rsidRPr="003E6EA4">
        <w:rPr>
          <w:rFonts w:ascii="Arial" w:hAnsi="Arial" w:cs="Arial"/>
          <w:b/>
          <w:sz w:val="22"/>
          <w:szCs w:val="22"/>
          <w:lang w:val="en-GB"/>
        </w:rPr>
        <w:lastRenderedPageBreak/>
        <w:t xml:space="preserve">Promoting the objectives of the Convention, encouraging and monitoring its implementation </w:t>
      </w:r>
      <w:r w:rsidRPr="003E6EA4">
        <w:rPr>
          <w:rFonts w:ascii="Arial" w:hAnsi="Arial" w:cs="Arial"/>
          <w:sz w:val="22"/>
          <w:szCs w:val="22"/>
          <w:lang w:val="en-GB"/>
        </w:rPr>
        <w:t>(Article 7[a])</w:t>
      </w:r>
    </w:p>
    <w:p w:rsidR="003743B1" w:rsidRPr="003E6EA4" w:rsidRDefault="003743B1" w:rsidP="003743B1">
      <w:pPr>
        <w:pStyle w:val="ListParagraph"/>
        <w:keepNext/>
        <w:numPr>
          <w:ilvl w:val="0"/>
          <w:numId w:val="17"/>
        </w:numPr>
        <w:spacing w:before="240" w:after="120"/>
        <w:ind w:left="567" w:hanging="567"/>
        <w:rPr>
          <w:rFonts w:cs="Arial"/>
          <w:b/>
          <w:szCs w:val="22"/>
          <w:lang w:val="en-GB"/>
        </w:rPr>
      </w:pPr>
      <w:r w:rsidRPr="003E6EA4">
        <w:rPr>
          <w:rFonts w:ascii="Arial" w:hAnsi="Arial" w:cs="Arial"/>
          <w:b/>
          <w:sz w:val="22"/>
          <w:szCs w:val="22"/>
          <w:lang w:val="en-GB"/>
        </w:rPr>
        <w:t>Ratification</w:t>
      </w:r>
    </w:p>
    <w:p w:rsidR="003743B1" w:rsidRPr="003E6EA4" w:rsidRDefault="00EE57B7" w:rsidP="00EE57B7">
      <w:pPr>
        <w:pStyle w:val="Marge"/>
        <w:numPr>
          <w:ilvl w:val="0"/>
          <w:numId w:val="14"/>
        </w:numPr>
        <w:tabs>
          <w:tab w:val="clear" w:pos="720"/>
        </w:tabs>
        <w:spacing w:after="120"/>
        <w:ind w:left="567" w:hanging="567"/>
        <w:rPr>
          <w:lang w:val="en-GB"/>
        </w:rPr>
      </w:pPr>
      <w:r w:rsidRPr="003E6EA4">
        <w:rPr>
          <w:rFonts w:eastAsia="Arial" w:cs="Arial"/>
          <w:szCs w:val="22"/>
          <w:lang w:val="en-GB"/>
        </w:rPr>
        <w:t>Six</w:t>
      </w:r>
      <w:r w:rsidR="003743B1" w:rsidRPr="003E6EA4">
        <w:rPr>
          <w:rFonts w:eastAsia="Arial" w:cs="Arial"/>
          <w:szCs w:val="22"/>
          <w:lang w:val="en-GB"/>
        </w:rPr>
        <w:t xml:space="preserve"> </w:t>
      </w:r>
      <w:r w:rsidR="003743B1" w:rsidRPr="003E6EA4">
        <w:rPr>
          <w:rFonts w:cs="Arial"/>
          <w:szCs w:val="22"/>
          <w:lang w:val="en-GB"/>
        </w:rPr>
        <w:t>States</w:t>
      </w:r>
      <w:r w:rsidR="003743B1" w:rsidRPr="003E6EA4">
        <w:rPr>
          <w:rFonts w:eastAsia="Arial" w:cs="Arial"/>
          <w:szCs w:val="22"/>
          <w:lang w:val="en-GB"/>
        </w:rPr>
        <w:t xml:space="preserve"> </w:t>
      </w:r>
      <w:r w:rsidR="00DB1842" w:rsidRPr="003E6EA4">
        <w:rPr>
          <w:rFonts w:eastAsia="Arial" w:cs="Arial"/>
          <w:szCs w:val="22"/>
          <w:lang w:val="en-GB"/>
        </w:rPr>
        <w:t xml:space="preserve">– </w:t>
      </w:r>
      <w:r w:rsidR="00693B63" w:rsidRPr="003E6EA4">
        <w:rPr>
          <w:rFonts w:eastAsia="Arial" w:cs="Arial"/>
          <w:szCs w:val="22"/>
          <w:lang w:val="en-GB"/>
        </w:rPr>
        <w:t>Cabo</w:t>
      </w:r>
      <w:r w:rsidR="00DB1842" w:rsidRPr="003E6EA4">
        <w:rPr>
          <w:rFonts w:eastAsia="Arial" w:cs="Arial"/>
          <w:szCs w:val="22"/>
          <w:lang w:val="en-GB"/>
        </w:rPr>
        <w:t xml:space="preserve"> </w:t>
      </w:r>
      <w:r w:rsidR="00693B63" w:rsidRPr="003E6EA4">
        <w:rPr>
          <w:rFonts w:eastAsia="Arial" w:cs="Arial"/>
          <w:szCs w:val="22"/>
          <w:lang w:val="en-GB"/>
        </w:rPr>
        <w:t>Verde, Ghana</w:t>
      </w:r>
      <w:r w:rsidR="004C114A" w:rsidRPr="003E6EA4">
        <w:rPr>
          <w:rFonts w:eastAsia="Arial" w:cs="Arial"/>
          <w:szCs w:val="22"/>
          <w:lang w:val="en-GB"/>
        </w:rPr>
        <w:t>,</w:t>
      </w:r>
      <w:r w:rsidR="00693B63" w:rsidRPr="003E6EA4">
        <w:rPr>
          <w:rFonts w:eastAsia="Arial" w:cs="Arial"/>
          <w:szCs w:val="22"/>
          <w:lang w:val="en-GB"/>
        </w:rPr>
        <w:t xml:space="preserve"> </w:t>
      </w:r>
      <w:r w:rsidRPr="003E6EA4">
        <w:rPr>
          <w:rFonts w:eastAsia="Arial" w:cs="Arial"/>
          <w:szCs w:val="22"/>
          <w:lang w:val="en-GB"/>
        </w:rPr>
        <w:t xml:space="preserve">Guinea-Bissau, </w:t>
      </w:r>
      <w:r w:rsidR="00693B63" w:rsidRPr="003E6EA4">
        <w:rPr>
          <w:rFonts w:eastAsia="Arial" w:cs="Arial"/>
          <w:szCs w:val="22"/>
          <w:lang w:val="en-GB"/>
        </w:rPr>
        <w:t>Ireland,</w:t>
      </w:r>
      <w:r w:rsidR="00693B63" w:rsidRPr="003E6EA4">
        <w:rPr>
          <w:lang w:val="en-US"/>
        </w:rPr>
        <w:t xml:space="preserve"> </w:t>
      </w:r>
      <w:r w:rsidR="00693B63" w:rsidRPr="003E6EA4">
        <w:rPr>
          <w:rFonts w:eastAsia="Arial" w:cs="Arial"/>
          <w:szCs w:val="22"/>
          <w:lang w:val="en-GB"/>
        </w:rPr>
        <w:t>Kuwait and Marshall Islands</w:t>
      </w:r>
      <w:r w:rsidR="00147378" w:rsidRPr="003E6EA4">
        <w:rPr>
          <w:rFonts w:eastAsia="Arial" w:cs="Arial"/>
          <w:szCs w:val="22"/>
          <w:lang w:val="en-GB"/>
        </w:rPr>
        <w:t xml:space="preserve"> – </w:t>
      </w:r>
      <w:r w:rsidR="003743B1" w:rsidRPr="003E6EA4">
        <w:rPr>
          <w:rFonts w:eastAsia="Arial" w:cs="Arial"/>
          <w:szCs w:val="22"/>
          <w:lang w:val="en-GB"/>
        </w:rPr>
        <w:t xml:space="preserve">ratified the Convention between June 2014 and June 2016. At the time of the sixth session of the General Assembly, </w:t>
      </w:r>
      <w:r w:rsidR="00DD21FB" w:rsidRPr="003E6EA4">
        <w:rPr>
          <w:rFonts w:eastAsia="Arial" w:cs="Arial"/>
          <w:szCs w:val="22"/>
          <w:lang w:val="en-GB"/>
        </w:rPr>
        <w:t>166</w:t>
      </w:r>
      <w:r w:rsidR="003743B1" w:rsidRPr="003E6EA4">
        <w:rPr>
          <w:rFonts w:eastAsia="Arial" w:cs="Arial"/>
          <w:szCs w:val="22"/>
          <w:lang w:val="en-GB"/>
        </w:rPr>
        <w:t xml:space="preserve"> States</w:t>
      </w:r>
      <w:r w:rsidR="003743B1" w:rsidRPr="003E6EA4">
        <w:rPr>
          <w:lang w:val="en-GB"/>
        </w:rPr>
        <w:t xml:space="preserve"> </w:t>
      </w:r>
      <w:r w:rsidR="00AB7F28" w:rsidRPr="003E6EA4">
        <w:rPr>
          <w:rFonts w:eastAsia="Arial" w:cs="Arial"/>
          <w:szCs w:val="22"/>
          <w:lang w:val="en-GB"/>
        </w:rPr>
        <w:t>are</w:t>
      </w:r>
      <w:r w:rsidR="003743B1" w:rsidRPr="003E6EA4">
        <w:rPr>
          <w:rFonts w:eastAsia="Arial" w:cs="Arial"/>
          <w:szCs w:val="22"/>
          <w:lang w:val="en-GB"/>
        </w:rPr>
        <w:t xml:space="preserve"> party to the Convention</w:t>
      </w:r>
      <w:r w:rsidR="000231EF" w:rsidRPr="003E6EA4">
        <w:rPr>
          <w:rFonts w:eastAsia="Arial" w:cs="Arial"/>
          <w:szCs w:val="22"/>
          <w:lang w:val="en-GB"/>
        </w:rPr>
        <w:t>.</w:t>
      </w:r>
    </w:p>
    <w:p w:rsidR="003743B1" w:rsidRPr="003E6EA4" w:rsidRDefault="003743B1" w:rsidP="003743B1">
      <w:pPr>
        <w:pStyle w:val="ListParagraph"/>
        <w:keepNext/>
        <w:numPr>
          <w:ilvl w:val="0"/>
          <w:numId w:val="17"/>
        </w:numPr>
        <w:spacing w:before="240" w:after="120"/>
        <w:ind w:left="567" w:hanging="567"/>
        <w:rPr>
          <w:rFonts w:cs="Arial"/>
          <w:b/>
          <w:szCs w:val="22"/>
          <w:lang w:val="en-GB"/>
        </w:rPr>
      </w:pPr>
      <w:r w:rsidRPr="003E6EA4">
        <w:rPr>
          <w:rFonts w:ascii="Arial" w:hAnsi="Arial" w:cs="Arial"/>
          <w:b/>
          <w:sz w:val="22"/>
          <w:szCs w:val="22"/>
          <w:lang w:val="en-GB"/>
        </w:rPr>
        <w:t>Strengthening capacities</w:t>
      </w:r>
    </w:p>
    <w:p w:rsidR="003743B1" w:rsidRPr="003E6EA4" w:rsidRDefault="003743B1" w:rsidP="003743B1">
      <w:pPr>
        <w:pStyle w:val="Marge"/>
        <w:numPr>
          <w:ilvl w:val="0"/>
          <w:numId w:val="14"/>
        </w:numPr>
        <w:tabs>
          <w:tab w:val="clear" w:pos="720"/>
        </w:tabs>
        <w:spacing w:after="120"/>
        <w:ind w:left="567" w:hanging="567"/>
        <w:rPr>
          <w:lang w:val="en-GB"/>
        </w:rPr>
      </w:pPr>
      <w:r w:rsidRPr="003E6EA4">
        <w:rPr>
          <w:rFonts w:cs="Arial"/>
          <w:szCs w:val="22"/>
          <w:lang w:val="en-GB"/>
        </w:rPr>
        <w:t xml:space="preserve">The Committee continues to consider capacity-building as a </w:t>
      </w:r>
      <w:r w:rsidR="00DD21FB" w:rsidRPr="003E6EA4">
        <w:rPr>
          <w:rFonts w:cs="Arial"/>
          <w:szCs w:val="22"/>
          <w:lang w:val="en-GB"/>
        </w:rPr>
        <w:t>priority,</w:t>
      </w:r>
      <w:r w:rsidRPr="003E6EA4">
        <w:rPr>
          <w:rFonts w:cs="Arial"/>
          <w:szCs w:val="22"/>
          <w:lang w:val="en-GB"/>
        </w:rPr>
        <w:t xml:space="preserve"> convinced that effective implementation depends on a thorough knowledge and understanding of the Convention and its concepts, measures and mechanisms. The General Assembly at its fifth session authorized the use of the Intangible Cultural Heritage Fund to continue the overall strategy of capacity-building using the budget line ‘Other functions of the Committee’. </w:t>
      </w:r>
      <w:r w:rsidRPr="003E6EA4">
        <w:rPr>
          <w:lang w:val="en-GB"/>
        </w:rPr>
        <w:t>In its Decision</w:t>
      </w:r>
      <w:r w:rsidR="00F57D01" w:rsidRPr="003E6EA4">
        <w:rPr>
          <w:lang w:val="en-GB"/>
        </w:rPr>
        <w:t> </w:t>
      </w:r>
      <w:r w:rsidRPr="003E6EA4">
        <w:rPr>
          <w:lang w:val="en-GB"/>
        </w:rPr>
        <w:t>8.COM 11, the Committee delegated to its Bureau the authority to decide upon the utilization of the funds allocated under this line of the Plan</w:t>
      </w:r>
      <w:r w:rsidR="00557C9B" w:rsidRPr="003E6EA4">
        <w:rPr>
          <w:lang w:val="en-GB"/>
        </w:rPr>
        <w:t xml:space="preserve"> for the use of the resources of the Fund</w:t>
      </w:r>
      <w:r w:rsidRPr="003E6EA4">
        <w:rPr>
          <w:lang w:val="en-GB"/>
        </w:rPr>
        <w:t xml:space="preserve">, on the basis of specific proposals to be prepared by the Secretariat. To inform donors of the funding requirements of the global capacity-building programme, the Secretariat developed a </w:t>
      </w:r>
      <w:hyperlink r:id="rId9" w:history="1">
        <w:r w:rsidRPr="003E6EA4">
          <w:rPr>
            <w:rStyle w:val="Hyperlink"/>
            <w:lang w:val="en-GB"/>
          </w:rPr>
          <w:t>Concept Note</w:t>
        </w:r>
      </w:hyperlink>
      <w:r w:rsidRPr="003E6EA4">
        <w:rPr>
          <w:lang w:val="en-GB"/>
        </w:rPr>
        <w:t xml:space="preserve"> for the 2014–2017 Complementary Additional Programme entitled Strengthening capacities to safeguard intangible cultural heritage for sustainable development, available for consultation on </w:t>
      </w:r>
      <w:r w:rsidR="00557C9B" w:rsidRPr="003E6EA4">
        <w:rPr>
          <w:lang w:val="en-GB"/>
        </w:rPr>
        <w:t>Partnering with UNESCO’s</w:t>
      </w:r>
      <w:r w:rsidRPr="003E6EA4">
        <w:rPr>
          <w:lang w:val="en-GB"/>
        </w:rPr>
        <w:t xml:space="preserve"> web page. The Concept Note was approved by the Committee at its ninth session in November 2014 (</w:t>
      </w:r>
      <w:r w:rsidR="00F57D01" w:rsidRPr="003E6EA4">
        <w:rPr>
          <w:lang w:val="en-US"/>
        </w:rPr>
        <w:t>Decision </w:t>
      </w:r>
      <w:r w:rsidRPr="003E6EA4">
        <w:rPr>
          <w:lang w:val="en-US"/>
        </w:rPr>
        <w:t>9.COM 7</w:t>
      </w:r>
      <w:r w:rsidRPr="003E6EA4">
        <w:rPr>
          <w:lang w:val="en-GB"/>
        </w:rPr>
        <w:t>) as the framework within which it can accept voluntary supplementary contributions without express approval.</w:t>
      </w:r>
    </w:p>
    <w:p w:rsidR="003743B1" w:rsidRPr="003E6EA4" w:rsidRDefault="003743B1" w:rsidP="003743B1">
      <w:pPr>
        <w:pStyle w:val="Marge"/>
        <w:numPr>
          <w:ilvl w:val="0"/>
          <w:numId w:val="14"/>
        </w:numPr>
        <w:tabs>
          <w:tab w:val="clear" w:pos="720"/>
        </w:tabs>
        <w:spacing w:after="120"/>
        <w:ind w:left="567" w:hanging="567"/>
        <w:rPr>
          <w:rFonts w:cs="Arial"/>
          <w:szCs w:val="22"/>
          <w:lang w:val="en-GB"/>
        </w:rPr>
      </w:pPr>
      <w:r w:rsidRPr="003E6EA4">
        <w:rPr>
          <w:lang w:val="en-GB"/>
        </w:rPr>
        <w:t xml:space="preserve">Activities approved by the Bureau were </w:t>
      </w:r>
      <w:r w:rsidRPr="003E6EA4">
        <w:rPr>
          <w:rFonts w:cs="Arial"/>
          <w:szCs w:val="22"/>
          <w:lang w:val="en-GB"/>
        </w:rPr>
        <w:t>for a total of US$785,097 for the period January</w:t>
      </w:r>
      <w:r w:rsidR="00F57D01" w:rsidRPr="003E6EA4">
        <w:rPr>
          <w:rFonts w:cs="Arial"/>
          <w:szCs w:val="22"/>
          <w:lang w:val="en-GB"/>
        </w:rPr>
        <w:t> </w:t>
      </w:r>
      <w:r w:rsidRPr="003E6EA4">
        <w:rPr>
          <w:rFonts w:cs="Arial"/>
          <w:szCs w:val="22"/>
          <w:lang w:val="en-GB"/>
        </w:rPr>
        <w:t xml:space="preserve">2014 to December 2015 and US$196,772 for the period January to June 2016, aimed at supporting a number of </w:t>
      </w:r>
      <w:r w:rsidR="004C114A" w:rsidRPr="003E6EA4">
        <w:rPr>
          <w:rFonts w:cs="Arial"/>
          <w:szCs w:val="22"/>
          <w:lang w:val="en-GB"/>
        </w:rPr>
        <w:t>cross-cutting</w:t>
      </w:r>
      <w:r w:rsidRPr="003E6EA4">
        <w:rPr>
          <w:rFonts w:cs="Arial"/>
          <w:szCs w:val="22"/>
          <w:lang w:val="en-GB"/>
        </w:rPr>
        <w:t xml:space="preserve"> needs, in particular: (</w:t>
      </w:r>
      <w:proofErr w:type="spellStart"/>
      <w:r w:rsidRPr="003E6EA4">
        <w:rPr>
          <w:rFonts w:cs="Arial"/>
          <w:szCs w:val="22"/>
          <w:lang w:val="en-GB"/>
        </w:rPr>
        <w:t>i</w:t>
      </w:r>
      <w:proofErr w:type="spellEnd"/>
      <w:r w:rsidRPr="003E6EA4">
        <w:rPr>
          <w:rFonts w:cs="Arial"/>
          <w:szCs w:val="22"/>
          <w:lang w:val="en-GB"/>
        </w:rPr>
        <w:t>) developing training content and materials; (ii) strengthening the network of expert facilitators; and (iii) monitoring, evaluating and adapting the strategy accordingly</w:t>
      </w:r>
      <w:r w:rsidRPr="003E6EA4">
        <w:rPr>
          <w:rStyle w:val="FootnoteReference"/>
          <w:rFonts w:cs="Arial"/>
          <w:szCs w:val="22"/>
          <w:lang w:val="en-GB"/>
        </w:rPr>
        <w:footnoteReference w:id="1"/>
      </w:r>
      <w:r w:rsidRPr="003E6EA4">
        <w:rPr>
          <w:rFonts w:cs="Arial"/>
          <w:szCs w:val="22"/>
          <w:lang w:val="en-GB"/>
        </w:rPr>
        <w:t xml:space="preserve">. Detailed information on results of the activities </w:t>
      </w:r>
      <w:proofErr w:type="gramStart"/>
      <w:r w:rsidR="00CC4A67" w:rsidRPr="003E6EA4">
        <w:rPr>
          <w:rFonts w:cs="Arial"/>
          <w:szCs w:val="22"/>
          <w:lang w:val="en-GB"/>
        </w:rPr>
        <w:t>between June 2014 to June 2016</w:t>
      </w:r>
      <w:r w:rsidRPr="003E6EA4">
        <w:rPr>
          <w:rFonts w:cs="Arial"/>
          <w:szCs w:val="22"/>
          <w:lang w:val="en-GB"/>
        </w:rPr>
        <w:t xml:space="preserve"> concerning these issues</w:t>
      </w:r>
      <w:proofErr w:type="gramEnd"/>
      <w:r w:rsidRPr="003E6EA4">
        <w:rPr>
          <w:rFonts w:cs="Arial"/>
          <w:szCs w:val="22"/>
          <w:lang w:val="en-GB"/>
        </w:rPr>
        <w:t xml:space="preserve"> is included in the report of the Secretariat </w:t>
      </w:r>
      <w:r w:rsidR="00CC4A67" w:rsidRPr="003E6EA4">
        <w:rPr>
          <w:rFonts w:cs="Arial"/>
          <w:szCs w:val="22"/>
          <w:lang w:val="en-GB"/>
        </w:rPr>
        <w:t>on its activities</w:t>
      </w:r>
      <w:r w:rsidRPr="003E6EA4">
        <w:rPr>
          <w:rFonts w:cs="Arial"/>
          <w:szCs w:val="22"/>
          <w:lang w:val="en-GB"/>
        </w:rPr>
        <w:t xml:space="preserve"> (document ITH/</w:t>
      </w:r>
      <w:r w:rsidR="00CC4A67" w:rsidRPr="003E6EA4">
        <w:rPr>
          <w:rFonts w:cs="Arial"/>
          <w:szCs w:val="22"/>
          <w:lang w:val="en-GB"/>
        </w:rPr>
        <w:t>16/6.GA/6</w:t>
      </w:r>
      <w:r w:rsidRPr="003E6EA4">
        <w:rPr>
          <w:rFonts w:cs="Arial"/>
          <w:szCs w:val="22"/>
          <w:lang w:val="en-GB"/>
        </w:rPr>
        <w:t xml:space="preserve">). That report also looks at the situation as regards the implementation of capacity-building programmes at country level, which has been made possible through earmarked contributions to the Intangible Cultural Heritage Fund and Funds-in-Trust arrangements. </w:t>
      </w:r>
    </w:p>
    <w:p w:rsidR="003743B1" w:rsidRPr="003E6EA4" w:rsidRDefault="003743B1" w:rsidP="003743B1">
      <w:pPr>
        <w:pStyle w:val="ListParagraph"/>
        <w:keepNext/>
        <w:numPr>
          <w:ilvl w:val="0"/>
          <w:numId w:val="17"/>
        </w:numPr>
        <w:spacing w:before="240" w:after="120"/>
        <w:ind w:left="567" w:hanging="567"/>
        <w:rPr>
          <w:rFonts w:cs="Arial"/>
          <w:b/>
          <w:szCs w:val="22"/>
          <w:lang w:val="en-GB"/>
        </w:rPr>
      </w:pPr>
      <w:r w:rsidRPr="003E6EA4">
        <w:rPr>
          <w:rFonts w:ascii="Arial" w:hAnsi="Arial" w:cs="Arial"/>
          <w:b/>
          <w:sz w:val="22"/>
          <w:szCs w:val="22"/>
          <w:lang w:val="en-GB"/>
        </w:rPr>
        <w:t>Knowledge management services</w:t>
      </w:r>
    </w:p>
    <w:p w:rsidR="003743B1" w:rsidRPr="003E6EA4" w:rsidRDefault="003743B1" w:rsidP="003743B1">
      <w:pPr>
        <w:pStyle w:val="Marge"/>
        <w:numPr>
          <w:ilvl w:val="0"/>
          <w:numId w:val="14"/>
        </w:numPr>
        <w:tabs>
          <w:tab w:val="clear" w:pos="720"/>
        </w:tabs>
        <w:spacing w:after="120"/>
        <w:ind w:left="567" w:hanging="567"/>
        <w:rPr>
          <w:rFonts w:cs="Arial"/>
          <w:szCs w:val="22"/>
          <w:lang w:val="en-GB"/>
        </w:rPr>
      </w:pPr>
      <w:r w:rsidRPr="003E6EA4">
        <w:rPr>
          <w:rFonts w:cs="Arial"/>
          <w:szCs w:val="22"/>
          <w:lang w:val="en-GB"/>
        </w:rPr>
        <w:t>Knowledge management has become increasingly indispensable as the Convention continues to develop and the network of stakeholders expands. It is only steady improvement in management of knowledge and information that allows the Secretariat to deliver services to States Parties and governing bodies of the Convention, as well as to the international community at large in as timely and accurate manner as possible. Activities for improving accessibility, usability and functionalities of the Convention’s knowledge management system were approved by the Bureau for a total of US$304,000 for the period January 2014 – December 2015 and US$80,000 for the period January 2016 – June 2016. Once again, the above-mentioned report of the Secretariat provides details on the improvements achieved and still envisaged in the field of knowledge management services.</w:t>
      </w:r>
    </w:p>
    <w:p w:rsidR="003743B1" w:rsidRPr="003E6EA4" w:rsidRDefault="003743B1" w:rsidP="003743B1">
      <w:pPr>
        <w:keepNext/>
        <w:pageBreakBefore/>
        <w:numPr>
          <w:ilvl w:val="0"/>
          <w:numId w:val="15"/>
        </w:numPr>
        <w:tabs>
          <w:tab w:val="clear" w:pos="720"/>
        </w:tabs>
        <w:spacing w:before="360" w:after="240"/>
        <w:ind w:left="567" w:hanging="567"/>
        <w:rPr>
          <w:rFonts w:cs="Arial"/>
          <w:szCs w:val="22"/>
          <w:lang w:val="en-GB"/>
        </w:rPr>
      </w:pPr>
      <w:r w:rsidRPr="003E6EA4">
        <w:rPr>
          <w:rFonts w:ascii="Arial" w:hAnsi="Arial" w:cs="Arial"/>
          <w:b/>
          <w:sz w:val="22"/>
          <w:szCs w:val="22"/>
          <w:lang w:val="en-GB"/>
        </w:rPr>
        <w:lastRenderedPageBreak/>
        <w:t>Guidance on best practices and recommendations on safeguarding measures</w:t>
      </w:r>
      <w:r w:rsidRPr="003E6EA4">
        <w:rPr>
          <w:rFonts w:ascii="Arial" w:hAnsi="Arial" w:cs="Arial"/>
          <w:b/>
          <w:sz w:val="22"/>
          <w:szCs w:val="22"/>
          <w:lang w:val="en-GB"/>
        </w:rPr>
        <w:br/>
      </w:r>
      <w:r w:rsidRPr="003E6EA4">
        <w:rPr>
          <w:rFonts w:ascii="Arial" w:hAnsi="Arial" w:cs="Arial"/>
          <w:sz w:val="22"/>
          <w:szCs w:val="22"/>
          <w:lang w:val="en-GB"/>
        </w:rPr>
        <w:t>(Article 7[b])</w:t>
      </w:r>
    </w:p>
    <w:p w:rsidR="003743B1" w:rsidRPr="003E6EA4" w:rsidRDefault="003743B1" w:rsidP="003743B1">
      <w:pPr>
        <w:pStyle w:val="Marge"/>
        <w:numPr>
          <w:ilvl w:val="0"/>
          <w:numId w:val="14"/>
        </w:numPr>
        <w:tabs>
          <w:tab w:val="clear" w:pos="720"/>
        </w:tabs>
        <w:spacing w:after="120"/>
        <w:ind w:left="567" w:hanging="567"/>
        <w:rPr>
          <w:rStyle w:val="hps"/>
          <w:rFonts w:cs="Arial"/>
          <w:szCs w:val="22"/>
          <w:lang w:val="en-GB"/>
        </w:rPr>
      </w:pPr>
      <w:r w:rsidRPr="003E6EA4">
        <w:rPr>
          <w:rStyle w:val="hps"/>
          <w:lang w:val="en-GB"/>
        </w:rPr>
        <w:t xml:space="preserve">The Committee called upon all stakeholders to develop alternate, lighter ways of sharing safeguarding experiences than exclusively </w:t>
      </w:r>
      <w:r w:rsidR="00693B63" w:rsidRPr="003E6EA4">
        <w:rPr>
          <w:rStyle w:val="hps"/>
          <w:lang w:val="en-GB"/>
        </w:rPr>
        <w:t xml:space="preserve">relying on </w:t>
      </w:r>
      <w:r w:rsidRPr="003E6EA4">
        <w:rPr>
          <w:rStyle w:val="hps"/>
          <w:lang w:val="en-GB"/>
        </w:rPr>
        <w:t xml:space="preserve">the Register of Best Safeguarding Practices </w:t>
      </w:r>
      <w:r w:rsidRPr="003E6EA4">
        <w:rPr>
          <w:lang w:val="en-GB"/>
        </w:rPr>
        <w:t>(Decision 8.COM</w:t>
      </w:r>
      <w:r w:rsidR="00693B63" w:rsidRPr="003E6EA4">
        <w:rPr>
          <w:lang w:val="en-GB"/>
        </w:rPr>
        <w:t> </w:t>
      </w:r>
      <w:r w:rsidRPr="003E6EA4">
        <w:rPr>
          <w:lang w:val="en-GB"/>
        </w:rPr>
        <w:t xml:space="preserve">5.c.1). It is in this context that the </w:t>
      </w:r>
      <w:r w:rsidRPr="003E6EA4">
        <w:rPr>
          <w:rFonts w:cs="Arial"/>
          <w:szCs w:val="22"/>
          <w:lang w:val="en-GB"/>
        </w:rPr>
        <w:t>Bureau allocated a total of US$133,00</w:t>
      </w:r>
      <w:r w:rsidR="00F57D01" w:rsidRPr="003E6EA4">
        <w:rPr>
          <w:rFonts w:cs="Arial"/>
          <w:szCs w:val="22"/>
          <w:lang w:val="en-GB"/>
        </w:rPr>
        <w:t>0 for the period January 2014 to December </w:t>
      </w:r>
      <w:r w:rsidRPr="003E6EA4">
        <w:rPr>
          <w:rFonts w:cs="Arial"/>
          <w:szCs w:val="22"/>
          <w:lang w:val="en-GB"/>
        </w:rPr>
        <w:t>2015 and U</w:t>
      </w:r>
      <w:r w:rsidR="00F57D01" w:rsidRPr="003E6EA4">
        <w:rPr>
          <w:rFonts w:cs="Arial"/>
          <w:szCs w:val="22"/>
          <w:lang w:val="en-GB"/>
        </w:rPr>
        <w:t>S$43,000 for the period January </w:t>
      </w:r>
      <w:r w:rsidRPr="003E6EA4">
        <w:rPr>
          <w:rFonts w:cs="Arial"/>
          <w:szCs w:val="22"/>
          <w:lang w:val="en-GB"/>
        </w:rPr>
        <w:t xml:space="preserve">2016 </w:t>
      </w:r>
      <w:r w:rsidR="00F57D01" w:rsidRPr="003E6EA4">
        <w:rPr>
          <w:rFonts w:cs="Arial"/>
          <w:szCs w:val="22"/>
          <w:lang w:val="en-GB"/>
        </w:rPr>
        <w:t>to June </w:t>
      </w:r>
      <w:r w:rsidRPr="003E6EA4">
        <w:rPr>
          <w:rFonts w:cs="Arial"/>
          <w:szCs w:val="22"/>
          <w:lang w:val="en-GB"/>
        </w:rPr>
        <w:t xml:space="preserve">2016 to help the Secretariat identify and share interesting and innovative examples, in particular concerning codes of ethics and other themes. </w:t>
      </w:r>
      <w:r w:rsidRPr="003E6EA4">
        <w:rPr>
          <w:rStyle w:val="hps"/>
          <w:lang w:val="en-GB"/>
        </w:rPr>
        <w:t xml:space="preserve">It also requested to strengthen cooperation with WIPO concerning traditional knowledge and cultural expressions. </w:t>
      </w:r>
      <w:r w:rsidRPr="003E6EA4">
        <w:rPr>
          <w:rFonts w:cs="Arial"/>
          <w:szCs w:val="22"/>
          <w:lang w:val="en-GB"/>
        </w:rPr>
        <w:t xml:space="preserve">The above-mentioned report of the Secretariat and </w:t>
      </w:r>
      <w:r w:rsidR="00F57D01" w:rsidRPr="003E6EA4">
        <w:rPr>
          <w:rFonts w:cs="Arial"/>
          <w:szCs w:val="22"/>
          <w:lang w:val="en-GB"/>
        </w:rPr>
        <w:t>its annexes</w:t>
      </w:r>
      <w:r w:rsidR="008E5107" w:rsidRPr="003E6EA4">
        <w:rPr>
          <w:rFonts w:cs="Arial"/>
          <w:szCs w:val="22"/>
          <w:lang w:val="en-GB"/>
        </w:rPr>
        <w:t xml:space="preserve"> on the </w:t>
      </w:r>
      <w:r w:rsidRPr="003E6EA4">
        <w:rPr>
          <w:rFonts w:cs="Arial"/>
          <w:szCs w:val="22"/>
          <w:lang w:val="en-GB"/>
        </w:rPr>
        <w:t>follow-up on audits and evaluations provide details on the improvements achieved.</w:t>
      </w:r>
    </w:p>
    <w:p w:rsidR="003743B1" w:rsidRPr="003E6EA4" w:rsidRDefault="003743B1" w:rsidP="003743B1">
      <w:pPr>
        <w:pStyle w:val="Marge"/>
        <w:numPr>
          <w:ilvl w:val="0"/>
          <w:numId w:val="14"/>
        </w:numPr>
        <w:tabs>
          <w:tab w:val="clear" w:pos="720"/>
        </w:tabs>
        <w:spacing w:after="120"/>
        <w:ind w:left="567" w:hanging="567"/>
        <w:rPr>
          <w:rStyle w:val="hps"/>
          <w:lang w:val="en-GB"/>
        </w:rPr>
      </w:pPr>
      <w:r w:rsidRPr="003E6EA4">
        <w:rPr>
          <w:rStyle w:val="hps"/>
          <w:lang w:val="en-GB"/>
        </w:rPr>
        <w:t xml:space="preserve">The </w:t>
      </w:r>
      <w:r w:rsidRPr="003E6EA4">
        <w:rPr>
          <w:rFonts w:cs="Arial"/>
          <w:szCs w:val="22"/>
          <w:lang w:val="en-GB"/>
        </w:rPr>
        <w:t>Bureau also allocated a total of US$</w:t>
      </w:r>
      <w:r w:rsidRPr="003E6EA4">
        <w:rPr>
          <w:rStyle w:val="hps"/>
          <w:lang w:val="en-GB"/>
        </w:rPr>
        <w:t xml:space="preserve">129,000 </w:t>
      </w:r>
      <w:r w:rsidR="00F57D01" w:rsidRPr="003E6EA4">
        <w:rPr>
          <w:rFonts w:cs="Arial"/>
          <w:szCs w:val="22"/>
          <w:lang w:val="en-GB"/>
        </w:rPr>
        <w:t>for the period January </w:t>
      </w:r>
      <w:r w:rsidRPr="003E6EA4">
        <w:rPr>
          <w:rFonts w:cs="Arial"/>
          <w:szCs w:val="22"/>
          <w:lang w:val="en-GB"/>
        </w:rPr>
        <w:t xml:space="preserve">2014 </w:t>
      </w:r>
      <w:r w:rsidR="00F57D01" w:rsidRPr="003E6EA4">
        <w:rPr>
          <w:rFonts w:cs="Arial"/>
          <w:szCs w:val="22"/>
          <w:lang w:val="en-GB"/>
        </w:rPr>
        <w:t xml:space="preserve">to </w:t>
      </w:r>
      <w:r w:rsidRPr="003E6EA4">
        <w:rPr>
          <w:rFonts w:cs="Arial"/>
          <w:szCs w:val="22"/>
          <w:lang w:val="en-GB"/>
        </w:rPr>
        <w:t>December</w:t>
      </w:r>
      <w:r w:rsidR="0073032C" w:rsidRPr="003E6EA4">
        <w:rPr>
          <w:rFonts w:cs="Arial"/>
          <w:szCs w:val="22"/>
          <w:lang w:val="en-GB"/>
        </w:rPr>
        <w:t> </w:t>
      </w:r>
      <w:r w:rsidRPr="003E6EA4">
        <w:rPr>
          <w:rFonts w:cs="Arial"/>
          <w:szCs w:val="22"/>
          <w:lang w:val="en-GB"/>
        </w:rPr>
        <w:t>2015 and US$</w:t>
      </w:r>
      <w:r w:rsidRPr="003E6EA4">
        <w:rPr>
          <w:rStyle w:val="hps"/>
          <w:lang w:val="en-GB"/>
        </w:rPr>
        <w:t xml:space="preserve">18,000 </w:t>
      </w:r>
      <w:r w:rsidR="00F57D01" w:rsidRPr="003E6EA4">
        <w:rPr>
          <w:rFonts w:cs="Arial"/>
          <w:szCs w:val="22"/>
          <w:lang w:val="en-GB"/>
        </w:rPr>
        <w:t>for the period January 2016 to June </w:t>
      </w:r>
      <w:r w:rsidRPr="003E6EA4">
        <w:rPr>
          <w:rFonts w:cs="Arial"/>
          <w:szCs w:val="22"/>
          <w:lang w:val="en-GB"/>
        </w:rPr>
        <w:t xml:space="preserve">2016 to publish a number of communication materials: </w:t>
      </w:r>
      <w:r w:rsidRPr="003E6EA4">
        <w:rPr>
          <w:rStyle w:val="hps"/>
          <w:lang w:val="en-GB"/>
        </w:rPr>
        <w:t>the 2014 version of the Basic Text in six languages, both in print and in digital form;</w:t>
      </w:r>
      <w:r w:rsidRPr="003E6EA4" w:rsidDel="00A54E50">
        <w:rPr>
          <w:rStyle w:val="hps"/>
          <w:lang w:val="en-GB"/>
        </w:rPr>
        <w:t xml:space="preserve"> </w:t>
      </w:r>
      <w:r w:rsidRPr="003E6EA4">
        <w:rPr>
          <w:rStyle w:val="hps"/>
          <w:lang w:val="en-GB"/>
        </w:rPr>
        <w:t>digital brochures of elements inscribed in 2012 and 2013 on the Urgent Safeguarding List, as well as the programmes selected for the Register of Best Safeguarding Practices; a leaflet on gender and intangible cultural heritage and another on intangible cultural heritage for sustainable development in English, French and Spanish to complement the Kit on intangible cultural heritage, which was also reprinted on this occasion in English and French; and the multilingual availability of the website of the Convention in English, French and Spanish.</w:t>
      </w:r>
    </w:p>
    <w:p w:rsidR="003743B1" w:rsidRPr="003E6EA4" w:rsidRDefault="003743B1" w:rsidP="003743B1">
      <w:pPr>
        <w:keepNext/>
        <w:numPr>
          <w:ilvl w:val="0"/>
          <w:numId w:val="15"/>
        </w:numPr>
        <w:tabs>
          <w:tab w:val="clear" w:pos="720"/>
        </w:tabs>
        <w:spacing w:before="360" w:after="240"/>
        <w:ind w:left="567" w:hanging="567"/>
        <w:rPr>
          <w:rFonts w:ascii="Arial" w:hAnsi="Arial" w:cs="Arial"/>
          <w:sz w:val="22"/>
          <w:szCs w:val="22"/>
          <w:lang w:val="en-GB"/>
        </w:rPr>
      </w:pPr>
      <w:r w:rsidRPr="003E6EA4">
        <w:rPr>
          <w:rFonts w:ascii="Arial" w:hAnsi="Arial" w:cs="Arial"/>
          <w:b/>
          <w:sz w:val="22"/>
          <w:szCs w:val="22"/>
          <w:lang w:val="en-GB"/>
        </w:rPr>
        <w:t>Preparation of a draft plan for the use of the resources of the Intangible Cultural Heritage Fund and increasing the Fund’s resources</w:t>
      </w:r>
      <w:r w:rsidRPr="003E6EA4">
        <w:rPr>
          <w:rFonts w:ascii="Arial" w:hAnsi="Arial" w:cs="Arial"/>
          <w:sz w:val="22"/>
          <w:szCs w:val="22"/>
          <w:lang w:val="en-GB"/>
        </w:rPr>
        <w:t xml:space="preserve"> (Articles 7[c] and 7[d])</w:t>
      </w:r>
    </w:p>
    <w:p w:rsidR="003743B1" w:rsidRPr="003E6EA4" w:rsidRDefault="003743B1" w:rsidP="003743B1">
      <w:pPr>
        <w:pStyle w:val="Marge"/>
        <w:numPr>
          <w:ilvl w:val="0"/>
          <w:numId w:val="14"/>
        </w:numPr>
        <w:tabs>
          <w:tab w:val="clear" w:pos="720"/>
        </w:tabs>
        <w:spacing w:after="120"/>
        <w:ind w:left="567" w:hanging="567"/>
        <w:rPr>
          <w:lang w:val="en-GB"/>
        </w:rPr>
      </w:pPr>
      <w:r w:rsidRPr="003E6EA4">
        <w:rPr>
          <w:rFonts w:eastAsia="Arial" w:cs="Arial"/>
          <w:szCs w:val="22"/>
          <w:lang w:val="en-GB"/>
        </w:rPr>
        <w:t xml:space="preserve">The Committee </w:t>
      </w:r>
      <w:r w:rsidR="00013133" w:rsidRPr="003E6EA4">
        <w:rPr>
          <w:rFonts w:eastAsia="Arial" w:cs="Arial"/>
          <w:szCs w:val="22"/>
          <w:lang w:val="en-GB"/>
        </w:rPr>
        <w:t>is submitting</w:t>
      </w:r>
      <w:r w:rsidR="000231EF" w:rsidRPr="003E6EA4">
        <w:rPr>
          <w:rFonts w:eastAsia="Arial" w:cs="Arial"/>
          <w:szCs w:val="22"/>
          <w:lang w:val="en-GB"/>
        </w:rPr>
        <w:t xml:space="preserve"> to</w:t>
      </w:r>
      <w:r w:rsidRPr="003E6EA4">
        <w:rPr>
          <w:rFonts w:eastAsia="Arial" w:cs="Arial"/>
          <w:szCs w:val="22"/>
          <w:lang w:val="en-GB"/>
        </w:rPr>
        <w:t xml:space="preserve"> the sixth session of the General Assembly a plan for the use of the resources of the Fund for the period 1 January 2016 to 31 December </w:t>
      </w:r>
      <w:r w:rsidR="00013133" w:rsidRPr="003E6EA4">
        <w:rPr>
          <w:rFonts w:eastAsia="Arial" w:cs="Arial"/>
          <w:szCs w:val="22"/>
          <w:lang w:val="en-GB"/>
        </w:rPr>
        <w:t>2017 that</w:t>
      </w:r>
      <w:r w:rsidRPr="003E6EA4">
        <w:rPr>
          <w:rFonts w:eastAsia="Arial" w:cs="Arial"/>
          <w:szCs w:val="22"/>
          <w:lang w:val="en-GB"/>
        </w:rPr>
        <w:t xml:space="preserve"> is substantially similar to that proposed and adopted for the period 2014</w:t>
      </w:r>
      <w:r w:rsidRPr="003E6EA4">
        <w:rPr>
          <w:rFonts w:eastAsia="Arial" w:cs="Arial"/>
          <w:szCs w:val="22"/>
          <w:lang w:val="en-GB"/>
        </w:rPr>
        <w:noBreakHyphen/>
        <w:t>15, with the majority of the resources allocated, as before, to international assistance.</w:t>
      </w:r>
    </w:p>
    <w:p w:rsidR="003743B1" w:rsidRPr="003E6EA4" w:rsidRDefault="003743B1" w:rsidP="003743B1">
      <w:pPr>
        <w:pStyle w:val="Marge"/>
        <w:numPr>
          <w:ilvl w:val="0"/>
          <w:numId w:val="14"/>
        </w:numPr>
        <w:tabs>
          <w:tab w:val="clear" w:pos="720"/>
        </w:tabs>
        <w:spacing w:after="120"/>
        <w:ind w:left="567" w:hanging="567"/>
        <w:rPr>
          <w:lang w:val="en-GB"/>
        </w:rPr>
      </w:pPr>
      <w:r w:rsidRPr="003E6EA4">
        <w:rPr>
          <w:rFonts w:eastAsia="Arial" w:cs="Arial"/>
          <w:szCs w:val="22"/>
          <w:lang w:val="en-GB"/>
        </w:rPr>
        <w:t>Since the last General Assembly in June 2014, the Fund received supplementary voluntary contributions from Azerbaijan,</w:t>
      </w:r>
      <w:r w:rsidR="00D353BF" w:rsidRPr="003E6EA4">
        <w:rPr>
          <w:rFonts w:eastAsia="Arial" w:cs="Arial"/>
          <w:szCs w:val="22"/>
          <w:lang w:val="en-GB"/>
        </w:rPr>
        <w:t xml:space="preserve"> </w:t>
      </w:r>
      <w:r w:rsidRPr="003E6EA4">
        <w:rPr>
          <w:rFonts w:eastAsia="Arial" w:cs="Arial"/>
          <w:szCs w:val="22"/>
          <w:lang w:val="en-GB"/>
        </w:rPr>
        <w:t>Netherlands</w:t>
      </w:r>
      <w:r w:rsidR="00D353BF" w:rsidRPr="003E6EA4">
        <w:rPr>
          <w:rFonts w:eastAsia="Arial" w:cs="Arial"/>
          <w:szCs w:val="22"/>
          <w:lang w:val="en-GB"/>
        </w:rPr>
        <w:t>, Norway</w:t>
      </w:r>
      <w:r w:rsidRPr="003E6EA4">
        <w:rPr>
          <w:rFonts w:eastAsia="Arial" w:cs="Arial"/>
          <w:szCs w:val="22"/>
          <w:lang w:val="en-GB"/>
        </w:rPr>
        <w:t xml:space="preserve"> </w:t>
      </w:r>
      <w:r w:rsidR="00D353BF" w:rsidRPr="003E6EA4">
        <w:rPr>
          <w:rFonts w:eastAsia="Arial" w:cs="Arial"/>
          <w:szCs w:val="22"/>
          <w:lang w:val="en-GB"/>
        </w:rPr>
        <w:t xml:space="preserve">and Spain </w:t>
      </w:r>
      <w:r w:rsidRPr="003E6EA4">
        <w:rPr>
          <w:rFonts w:eastAsia="Arial" w:cs="Arial"/>
          <w:szCs w:val="22"/>
          <w:lang w:val="en-GB"/>
        </w:rPr>
        <w:t>in support of seven capacity-building projects. The Sub-Fund</w:t>
      </w:r>
      <w:r w:rsidRPr="003E6EA4">
        <w:rPr>
          <w:lang w:val="en-GB"/>
        </w:rPr>
        <w:t xml:space="preserve"> </w:t>
      </w:r>
      <w:r w:rsidRPr="003E6EA4">
        <w:rPr>
          <w:rFonts w:eastAsia="Arial" w:cs="Arial"/>
          <w:szCs w:val="22"/>
          <w:lang w:val="en-GB"/>
        </w:rPr>
        <w:t>of the Intangible Cultural Heritage Fund, devoted exclusively to enhancing the human capacities of the Secretariat, has also received contributions of US$</w:t>
      </w:r>
      <w:r w:rsidR="00D353BF" w:rsidRPr="003E6EA4">
        <w:rPr>
          <w:rFonts w:eastAsia="Arial" w:cs="Arial"/>
          <w:szCs w:val="22"/>
          <w:lang w:val="en-GB"/>
        </w:rPr>
        <w:t>417,345</w:t>
      </w:r>
      <w:r w:rsidR="00013133" w:rsidRPr="003E6EA4">
        <w:rPr>
          <w:rFonts w:eastAsia="Arial" w:cs="Arial"/>
          <w:szCs w:val="22"/>
          <w:lang w:val="en-GB"/>
        </w:rPr>
        <w:t xml:space="preserve"> </w:t>
      </w:r>
      <w:r w:rsidRPr="003E6EA4">
        <w:rPr>
          <w:rFonts w:eastAsia="Arial" w:cs="Arial"/>
          <w:szCs w:val="22"/>
          <w:lang w:val="en-GB"/>
        </w:rPr>
        <w:t>during the reporting period</w:t>
      </w:r>
      <w:r w:rsidR="00685F89" w:rsidRPr="003E6EA4">
        <w:rPr>
          <w:rFonts w:eastAsia="Arial" w:cs="Arial"/>
          <w:szCs w:val="22"/>
          <w:lang w:val="en-GB"/>
        </w:rPr>
        <w:t>.</w:t>
      </w:r>
    </w:p>
    <w:p w:rsidR="003743B1" w:rsidRPr="003E6EA4" w:rsidRDefault="003743B1" w:rsidP="003C6F8A">
      <w:pPr>
        <w:pStyle w:val="Marge"/>
        <w:numPr>
          <w:ilvl w:val="0"/>
          <w:numId w:val="14"/>
        </w:numPr>
        <w:tabs>
          <w:tab w:val="clear" w:pos="720"/>
        </w:tabs>
        <w:spacing w:after="120"/>
        <w:ind w:left="567" w:hanging="567"/>
        <w:rPr>
          <w:rFonts w:eastAsia="Arial" w:cs="Arial"/>
          <w:szCs w:val="22"/>
          <w:lang w:val="en-GB"/>
        </w:rPr>
      </w:pPr>
      <w:r w:rsidRPr="003E6EA4">
        <w:rPr>
          <w:rFonts w:eastAsia="Arial" w:cs="Arial"/>
          <w:szCs w:val="22"/>
          <w:lang w:val="en-GB"/>
        </w:rPr>
        <w:t xml:space="preserve">Document </w:t>
      </w:r>
      <w:r w:rsidR="00E7442D" w:rsidRPr="003E6EA4">
        <w:rPr>
          <w:rFonts w:eastAsia="Arial" w:cs="Arial"/>
          <w:szCs w:val="22"/>
          <w:lang w:val="en-GB"/>
        </w:rPr>
        <w:t>ITH/16/6.GA/INF.9.2</w:t>
      </w:r>
      <w:r w:rsidRPr="003E6EA4">
        <w:rPr>
          <w:rFonts w:eastAsia="Arial" w:cs="Arial"/>
          <w:szCs w:val="22"/>
          <w:lang w:val="en-GB"/>
        </w:rPr>
        <w:t xml:space="preserve"> includes a list of such contributions for the period</w:t>
      </w:r>
      <w:r w:rsidR="005C20EF" w:rsidRPr="003E6EA4">
        <w:rPr>
          <w:rFonts w:eastAsia="Arial" w:cs="Arial"/>
          <w:szCs w:val="22"/>
          <w:lang w:val="en-GB"/>
        </w:rPr>
        <w:br/>
      </w:r>
      <w:r w:rsidR="00C52711" w:rsidRPr="003E6EA4">
        <w:rPr>
          <w:rFonts w:eastAsia="Arial" w:cs="Arial"/>
          <w:szCs w:val="22"/>
          <w:lang w:val="en-GB"/>
        </w:rPr>
        <w:t xml:space="preserve">1 </w:t>
      </w:r>
      <w:r w:rsidR="00A71701" w:rsidRPr="003E6EA4">
        <w:rPr>
          <w:rFonts w:eastAsia="Arial" w:cs="Arial"/>
          <w:szCs w:val="22"/>
          <w:lang w:val="en-GB"/>
        </w:rPr>
        <w:t>June </w:t>
      </w:r>
      <w:r w:rsidRPr="003E6EA4">
        <w:rPr>
          <w:rFonts w:eastAsia="Arial" w:cs="Arial"/>
          <w:szCs w:val="22"/>
          <w:lang w:val="en-GB"/>
        </w:rPr>
        <w:t xml:space="preserve">2014 to </w:t>
      </w:r>
      <w:r w:rsidR="00A71781" w:rsidRPr="003E6EA4">
        <w:rPr>
          <w:rFonts w:eastAsia="Arial" w:cs="Arial"/>
          <w:szCs w:val="22"/>
          <w:lang w:val="en-GB"/>
        </w:rPr>
        <w:t xml:space="preserve">March </w:t>
      </w:r>
      <w:r w:rsidR="003C6F8A" w:rsidRPr="003E6EA4">
        <w:rPr>
          <w:rFonts w:eastAsia="Arial" w:cs="Arial"/>
          <w:szCs w:val="22"/>
          <w:lang w:val="en-GB"/>
        </w:rPr>
        <w:t>2016</w:t>
      </w:r>
      <w:r w:rsidRPr="003E6EA4">
        <w:rPr>
          <w:rFonts w:eastAsia="Arial" w:cs="Arial"/>
          <w:szCs w:val="22"/>
          <w:lang w:val="en-GB"/>
        </w:rPr>
        <w:t xml:space="preserve">. Document </w:t>
      </w:r>
      <w:r w:rsidR="003C6F8A" w:rsidRPr="003E6EA4">
        <w:rPr>
          <w:rFonts w:eastAsia="Arial" w:cs="Arial"/>
          <w:szCs w:val="22"/>
          <w:lang w:val="en-GB"/>
        </w:rPr>
        <w:t>ITH/16/6.GA/INF.9.1</w:t>
      </w:r>
      <w:r w:rsidRPr="003E6EA4">
        <w:rPr>
          <w:rFonts w:eastAsia="Arial" w:cs="Arial"/>
          <w:szCs w:val="22"/>
          <w:lang w:val="en-GB"/>
        </w:rPr>
        <w:t xml:space="preserve"> </w:t>
      </w:r>
      <w:r w:rsidR="003C6F8A" w:rsidRPr="003E6EA4">
        <w:rPr>
          <w:rFonts w:eastAsia="Arial" w:cs="Arial"/>
          <w:szCs w:val="22"/>
          <w:lang w:val="en-GB"/>
        </w:rPr>
        <w:t>includes the Financial Report for the Intangible Cultural Heritage Fund for the period 1</w:t>
      </w:r>
      <w:r w:rsidR="007B5D64" w:rsidRPr="003E6EA4">
        <w:rPr>
          <w:rFonts w:eastAsia="Arial" w:cs="Arial"/>
          <w:szCs w:val="22"/>
          <w:lang w:val="en-GB"/>
        </w:rPr>
        <w:t> </w:t>
      </w:r>
      <w:r w:rsidR="003C6F8A" w:rsidRPr="003E6EA4">
        <w:rPr>
          <w:rFonts w:eastAsia="Arial" w:cs="Arial"/>
          <w:szCs w:val="22"/>
          <w:lang w:val="en-GB"/>
        </w:rPr>
        <w:t>January 2014 to 31</w:t>
      </w:r>
      <w:r w:rsidR="007B5D64" w:rsidRPr="003E6EA4">
        <w:rPr>
          <w:rFonts w:eastAsia="Arial" w:cs="Arial"/>
          <w:szCs w:val="22"/>
          <w:lang w:val="en-GB"/>
        </w:rPr>
        <w:t> </w:t>
      </w:r>
      <w:r w:rsidR="003C6F8A" w:rsidRPr="003E6EA4">
        <w:rPr>
          <w:rFonts w:eastAsia="Arial" w:cs="Arial"/>
          <w:szCs w:val="22"/>
          <w:lang w:val="en-GB"/>
        </w:rPr>
        <w:t>December 2015 established by the Bureau of Financial Management, preceded by a brief explanatory note</w:t>
      </w:r>
      <w:r w:rsidRPr="003E6EA4">
        <w:rPr>
          <w:rFonts w:eastAsia="Arial" w:cs="Arial"/>
          <w:szCs w:val="22"/>
          <w:lang w:val="en-GB"/>
        </w:rPr>
        <w:t xml:space="preserve">. </w:t>
      </w:r>
    </w:p>
    <w:p w:rsidR="003743B1" w:rsidRPr="003E6EA4" w:rsidRDefault="003743B1" w:rsidP="003743B1">
      <w:pPr>
        <w:keepNext/>
        <w:pageBreakBefore/>
        <w:numPr>
          <w:ilvl w:val="0"/>
          <w:numId w:val="15"/>
        </w:numPr>
        <w:tabs>
          <w:tab w:val="clear" w:pos="720"/>
        </w:tabs>
        <w:spacing w:before="360" w:after="240"/>
        <w:ind w:left="567" w:hanging="567"/>
        <w:rPr>
          <w:rFonts w:ascii="Arial" w:hAnsi="Arial" w:cs="Arial"/>
          <w:b/>
          <w:sz w:val="22"/>
          <w:szCs w:val="22"/>
          <w:lang w:val="en-GB"/>
        </w:rPr>
      </w:pPr>
      <w:r w:rsidRPr="003E6EA4">
        <w:rPr>
          <w:rFonts w:ascii="Arial" w:hAnsi="Arial" w:cs="Arial"/>
          <w:b/>
          <w:sz w:val="22"/>
          <w:szCs w:val="22"/>
          <w:lang w:val="en-GB"/>
        </w:rPr>
        <w:lastRenderedPageBreak/>
        <w:t>Preparation of the Operational Directives for the implementation of the Convention</w:t>
      </w:r>
      <w:r w:rsidRPr="003E6EA4">
        <w:rPr>
          <w:rFonts w:ascii="Arial" w:hAnsi="Arial" w:cs="Arial"/>
          <w:sz w:val="22"/>
          <w:szCs w:val="22"/>
          <w:lang w:val="en-GB"/>
        </w:rPr>
        <w:t xml:space="preserve"> (Article 7[e])</w:t>
      </w:r>
    </w:p>
    <w:p w:rsidR="003743B1" w:rsidRPr="003E6EA4" w:rsidRDefault="003743B1" w:rsidP="003743B1">
      <w:pPr>
        <w:pStyle w:val="Marge"/>
        <w:numPr>
          <w:ilvl w:val="0"/>
          <w:numId w:val="14"/>
        </w:numPr>
        <w:tabs>
          <w:tab w:val="clear" w:pos="720"/>
        </w:tabs>
        <w:spacing w:after="120"/>
        <w:ind w:left="567" w:hanging="567"/>
        <w:rPr>
          <w:rFonts w:eastAsia="Arial" w:cs="Arial"/>
          <w:i/>
          <w:szCs w:val="22"/>
          <w:lang w:val="en-GB"/>
        </w:rPr>
      </w:pPr>
      <w:r w:rsidRPr="003E6EA4">
        <w:rPr>
          <w:rFonts w:eastAsia="Arial" w:cs="Arial"/>
          <w:szCs w:val="22"/>
          <w:lang w:val="en-GB"/>
        </w:rPr>
        <w:t>During the reporting period, the Committee recommended to the General Assembly to approve new directives or amendments to the Operational Directives for the implementation of the Convention on the following questions:</w:t>
      </w:r>
    </w:p>
    <w:p w:rsidR="003743B1" w:rsidRPr="003E6EA4" w:rsidRDefault="003743B1" w:rsidP="003743B1">
      <w:pPr>
        <w:pStyle w:val="Marge"/>
        <w:numPr>
          <w:ilvl w:val="0"/>
          <w:numId w:val="16"/>
        </w:numPr>
        <w:spacing w:after="60"/>
        <w:ind w:left="851" w:hanging="284"/>
        <w:rPr>
          <w:rFonts w:eastAsia="Arial" w:cs="Arial"/>
          <w:szCs w:val="22"/>
          <w:lang w:val="en-GB"/>
        </w:rPr>
      </w:pPr>
      <w:r w:rsidRPr="003E6EA4">
        <w:rPr>
          <w:rFonts w:eastAsia="Arial" w:cs="Arial"/>
          <w:szCs w:val="22"/>
          <w:lang w:val="en-GB"/>
        </w:rPr>
        <w:t>periodic reporting</w:t>
      </w:r>
    </w:p>
    <w:p w:rsidR="003743B1" w:rsidRPr="003E6EA4" w:rsidRDefault="003743B1" w:rsidP="003743B1">
      <w:pPr>
        <w:pStyle w:val="Marge"/>
        <w:numPr>
          <w:ilvl w:val="0"/>
          <w:numId w:val="16"/>
        </w:numPr>
        <w:spacing w:after="60"/>
        <w:ind w:left="851" w:hanging="284"/>
        <w:rPr>
          <w:rFonts w:eastAsia="Arial" w:cs="Arial"/>
          <w:szCs w:val="22"/>
          <w:lang w:val="en-GB"/>
        </w:rPr>
      </w:pPr>
      <w:r w:rsidRPr="003E6EA4">
        <w:rPr>
          <w:rFonts w:eastAsia="Arial" w:cs="Arial"/>
          <w:szCs w:val="22"/>
          <w:lang w:val="en-GB"/>
        </w:rPr>
        <w:t>safeguarding intangible cultural heritage and sustainable development</w:t>
      </w:r>
    </w:p>
    <w:p w:rsidR="003743B1" w:rsidRPr="003E6EA4" w:rsidRDefault="003743B1" w:rsidP="003743B1">
      <w:pPr>
        <w:pStyle w:val="Marge"/>
        <w:numPr>
          <w:ilvl w:val="0"/>
          <w:numId w:val="16"/>
        </w:numPr>
        <w:spacing w:after="60"/>
        <w:ind w:left="851" w:hanging="284"/>
        <w:rPr>
          <w:rFonts w:eastAsia="Arial" w:cs="Arial"/>
          <w:szCs w:val="22"/>
          <w:lang w:val="en-GB"/>
        </w:rPr>
      </w:pPr>
      <w:r w:rsidRPr="003E6EA4">
        <w:rPr>
          <w:rFonts w:eastAsia="Arial" w:cs="Arial"/>
          <w:szCs w:val="22"/>
          <w:lang w:val="en-GB"/>
        </w:rPr>
        <w:t>referral option</w:t>
      </w:r>
    </w:p>
    <w:p w:rsidR="003743B1" w:rsidRPr="003E6EA4" w:rsidRDefault="003743B1" w:rsidP="003743B1">
      <w:pPr>
        <w:pStyle w:val="Marge"/>
        <w:numPr>
          <w:ilvl w:val="0"/>
          <w:numId w:val="16"/>
        </w:numPr>
        <w:spacing w:after="60"/>
        <w:ind w:left="851" w:hanging="284"/>
        <w:rPr>
          <w:rFonts w:eastAsia="Arial" w:cs="Arial"/>
          <w:szCs w:val="22"/>
          <w:lang w:val="en-GB"/>
        </w:rPr>
      </w:pPr>
      <w:r w:rsidRPr="003E6EA4">
        <w:rPr>
          <w:rFonts w:eastAsia="Arial" w:cs="Arial"/>
          <w:szCs w:val="22"/>
          <w:lang w:val="en-GB"/>
        </w:rPr>
        <w:t>non-governmental organizations evaluation schedule</w:t>
      </w:r>
    </w:p>
    <w:p w:rsidR="00013133" w:rsidRPr="003E6EA4" w:rsidRDefault="00013133" w:rsidP="003743B1">
      <w:pPr>
        <w:pStyle w:val="Marge"/>
        <w:numPr>
          <w:ilvl w:val="0"/>
          <w:numId w:val="16"/>
        </w:numPr>
        <w:spacing w:after="60"/>
        <w:ind w:left="851" w:hanging="284"/>
        <w:rPr>
          <w:rFonts w:eastAsia="Arial" w:cs="Arial"/>
          <w:szCs w:val="22"/>
          <w:lang w:val="en-GB"/>
        </w:rPr>
      </w:pPr>
      <w:r w:rsidRPr="003E6EA4">
        <w:rPr>
          <w:rFonts w:eastAsia="Arial" w:cs="Arial"/>
          <w:szCs w:val="22"/>
          <w:lang w:val="en-GB"/>
        </w:rPr>
        <w:t>examination of international assistance requests</w:t>
      </w:r>
    </w:p>
    <w:p w:rsidR="003743B1" w:rsidRPr="003E6EA4" w:rsidRDefault="003743B1" w:rsidP="003743B1">
      <w:pPr>
        <w:keepNext/>
        <w:numPr>
          <w:ilvl w:val="0"/>
          <w:numId w:val="15"/>
        </w:numPr>
        <w:tabs>
          <w:tab w:val="clear" w:pos="720"/>
        </w:tabs>
        <w:spacing w:before="360" w:after="240"/>
        <w:ind w:left="567" w:hanging="567"/>
        <w:rPr>
          <w:rFonts w:ascii="Arial" w:hAnsi="Arial" w:cs="Arial"/>
          <w:b/>
          <w:sz w:val="22"/>
          <w:szCs w:val="22"/>
          <w:lang w:val="en-GB"/>
        </w:rPr>
      </w:pPr>
      <w:r w:rsidRPr="003E6EA4">
        <w:rPr>
          <w:rFonts w:ascii="Arial" w:hAnsi="Arial" w:cs="Arial"/>
          <w:b/>
          <w:sz w:val="22"/>
          <w:szCs w:val="22"/>
          <w:lang w:val="en-GB"/>
        </w:rPr>
        <w:t>Examination of periodic reports</w:t>
      </w:r>
      <w:r w:rsidRPr="003E6EA4">
        <w:rPr>
          <w:rFonts w:ascii="Arial" w:hAnsi="Arial" w:cs="Arial"/>
          <w:sz w:val="22"/>
          <w:szCs w:val="22"/>
          <w:lang w:val="en-GB"/>
        </w:rPr>
        <w:t xml:space="preserve"> (Article 7[f])</w:t>
      </w:r>
    </w:p>
    <w:p w:rsidR="009144E3" w:rsidRPr="003E6EA4" w:rsidRDefault="003743B1" w:rsidP="003743B1">
      <w:pPr>
        <w:pStyle w:val="Marge"/>
        <w:numPr>
          <w:ilvl w:val="0"/>
          <w:numId w:val="14"/>
        </w:numPr>
        <w:tabs>
          <w:tab w:val="clear" w:pos="720"/>
        </w:tabs>
        <w:spacing w:after="120"/>
        <w:ind w:left="567" w:hanging="567"/>
        <w:rPr>
          <w:rFonts w:eastAsia="Arial"/>
          <w:lang w:val="en-GB"/>
        </w:rPr>
      </w:pPr>
      <w:r w:rsidRPr="003E6EA4">
        <w:rPr>
          <w:rFonts w:eastAsia="Arial" w:cs="Arial"/>
          <w:szCs w:val="22"/>
          <w:lang w:val="en-GB"/>
        </w:rPr>
        <w:t>The</w:t>
      </w:r>
      <w:r w:rsidRPr="003E6EA4">
        <w:rPr>
          <w:lang w:val="en-GB"/>
        </w:rPr>
        <w:t xml:space="preserve"> </w:t>
      </w:r>
      <w:hyperlink r:id="rId10" w:history="1">
        <w:r w:rsidRPr="003E6EA4">
          <w:rPr>
            <w:rFonts w:eastAsia="Arial" w:cs="Arial"/>
            <w:color w:val="0000FF"/>
            <w:szCs w:val="22"/>
            <w:u w:val="single"/>
            <w:lang w:val="en-GB"/>
          </w:rPr>
          <w:t>Convention</w:t>
        </w:r>
      </w:hyperlink>
      <w:r w:rsidRPr="003E6EA4">
        <w:rPr>
          <w:lang w:val="en-GB"/>
        </w:rPr>
        <w:t xml:space="preserve"> </w:t>
      </w:r>
      <w:r w:rsidRPr="003E6EA4">
        <w:rPr>
          <w:rFonts w:eastAsia="Arial" w:cs="Arial"/>
          <w:szCs w:val="22"/>
          <w:lang w:val="en-GB"/>
        </w:rPr>
        <w:t xml:space="preserve">provides in Article 29 that States Parties shall submit to the Committee reports on legislative, regulatory and other measures taken for the implementation of the Convention, and in Article 30 that ‘On the basis of its activities and the reports by States Parties […] the Committee shall report to the General Assembly.’ </w:t>
      </w:r>
      <w:r w:rsidR="009144E3" w:rsidRPr="003E6EA4">
        <w:rPr>
          <w:rFonts w:eastAsia="Arial" w:cs="Arial"/>
          <w:szCs w:val="22"/>
          <w:lang w:val="en-GB"/>
        </w:rPr>
        <w:t>During the reporting period, t</w:t>
      </w:r>
      <w:r w:rsidRPr="003E6EA4">
        <w:rPr>
          <w:rFonts w:eastAsia="Arial" w:cs="Arial"/>
          <w:szCs w:val="22"/>
          <w:lang w:val="en-GB"/>
        </w:rPr>
        <w:t>h</w:t>
      </w:r>
      <w:r w:rsidR="004324CD" w:rsidRPr="003E6EA4">
        <w:rPr>
          <w:rFonts w:eastAsia="Arial" w:cs="Arial"/>
          <w:szCs w:val="22"/>
          <w:lang w:val="en-GB"/>
        </w:rPr>
        <w:t xml:space="preserve">e Committee examined 51 </w:t>
      </w:r>
      <w:r w:rsidR="009144E3" w:rsidRPr="003E6EA4">
        <w:rPr>
          <w:rFonts w:eastAsia="Arial" w:cs="Arial"/>
          <w:szCs w:val="22"/>
          <w:lang w:val="en-GB"/>
        </w:rPr>
        <w:t xml:space="preserve">reports </w:t>
      </w:r>
      <w:r w:rsidR="00DA133B" w:rsidRPr="003E6EA4">
        <w:rPr>
          <w:rFonts w:eastAsia="Arial" w:cs="Arial"/>
          <w:szCs w:val="22"/>
          <w:lang w:val="en-GB"/>
        </w:rPr>
        <w:t xml:space="preserve">by States Parties </w:t>
      </w:r>
      <w:r w:rsidR="004324CD" w:rsidRPr="003E6EA4">
        <w:rPr>
          <w:rFonts w:eastAsia="Arial" w:cs="Arial"/>
          <w:szCs w:val="22"/>
          <w:lang w:val="en-GB"/>
        </w:rPr>
        <w:t>o</w:t>
      </w:r>
      <w:r w:rsidR="009144E3" w:rsidRPr="003E6EA4">
        <w:rPr>
          <w:rFonts w:eastAsia="Arial" w:cs="Arial"/>
          <w:szCs w:val="22"/>
          <w:lang w:val="en-GB"/>
        </w:rPr>
        <w:t>n</w:t>
      </w:r>
      <w:r w:rsidR="004324CD" w:rsidRPr="003E6EA4">
        <w:rPr>
          <w:rFonts w:eastAsia="Arial" w:cs="Arial"/>
          <w:szCs w:val="22"/>
          <w:lang w:val="en-GB"/>
        </w:rPr>
        <w:t xml:space="preserve"> the implementation of the Convention at the national level</w:t>
      </w:r>
      <w:r w:rsidRPr="003E6EA4">
        <w:rPr>
          <w:rFonts w:eastAsia="Arial" w:cs="Arial"/>
          <w:szCs w:val="22"/>
          <w:lang w:val="en-GB"/>
        </w:rPr>
        <w:t xml:space="preserve"> </w:t>
      </w:r>
      <w:r w:rsidR="009144E3" w:rsidRPr="003E6EA4">
        <w:rPr>
          <w:rFonts w:eastAsia="Arial" w:cs="Arial"/>
          <w:szCs w:val="22"/>
          <w:lang w:val="en-GB"/>
        </w:rPr>
        <w:t>(</w:t>
      </w:r>
      <w:hyperlink r:id="rId11" w:history="1">
        <w:r w:rsidR="00492A17" w:rsidRPr="003E6EA4">
          <w:rPr>
            <w:rStyle w:val="Hyperlink"/>
            <w:rFonts w:eastAsia="Arial" w:cs="Arial"/>
            <w:szCs w:val="22"/>
            <w:lang w:val="en-US"/>
          </w:rPr>
          <w:t>27</w:t>
        </w:r>
      </w:hyperlink>
      <w:r w:rsidR="009144E3" w:rsidRPr="003E6EA4">
        <w:rPr>
          <w:rFonts w:eastAsia="Arial" w:cs="Arial"/>
          <w:szCs w:val="22"/>
          <w:lang w:val="en-GB"/>
        </w:rPr>
        <w:t xml:space="preserve"> in 2014 and </w:t>
      </w:r>
      <w:hyperlink r:id="rId12" w:history="1">
        <w:r w:rsidR="00492A17" w:rsidRPr="003E6EA4">
          <w:rPr>
            <w:rStyle w:val="Hyperlink"/>
            <w:rFonts w:eastAsia="Arial" w:cs="Arial"/>
            <w:szCs w:val="22"/>
            <w:lang w:val="en-US"/>
          </w:rPr>
          <w:t>24</w:t>
        </w:r>
      </w:hyperlink>
      <w:r w:rsidR="009144E3" w:rsidRPr="003E6EA4">
        <w:rPr>
          <w:rFonts w:eastAsia="Arial" w:cs="Arial"/>
          <w:szCs w:val="22"/>
          <w:lang w:val="en-GB"/>
        </w:rPr>
        <w:t xml:space="preserve"> in 2015)</w:t>
      </w:r>
      <w:r w:rsidR="003B6D63" w:rsidRPr="003E6EA4">
        <w:rPr>
          <w:rFonts w:eastAsia="Arial" w:cs="Arial"/>
          <w:szCs w:val="22"/>
          <w:lang w:val="en-GB"/>
        </w:rPr>
        <w:t xml:space="preserve"> </w:t>
      </w:r>
      <w:r w:rsidR="003B6D63" w:rsidRPr="003E6EA4">
        <w:rPr>
          <w:lang w:val="en-GB"/>
        </w:rPr>
        <w:t xml:space="preserve">and </w:t>
      </w:r>
      <w:r w:rsidRPr="003E6EA4">
        <w:rPr>
          <w:rFonts w:eastAsia="Arial" w:cs="Arial"/>
          <w:szCs w:val="22"/>
          <w:lang w:val="en-GB"/>
        </w:rPr>
        <w:t xml:space="preserve">11 reports </w:t>
      </w:r>
      <w:r w:rsidR="004324CD" w:rsidRPr="003E6EA4">
        <w:rPr>
          <w:rFonts w:eastAsia="Arial" w:cs="Arial"/>
          <w:szCs w:val="22"/>
          <w:lang w:val="en-GB"/>
        </w:rPr>
        <w:t>on the status of elements</w:t>
      </w:r>
      <w:r w:rsidRPr="003E6EA4">
        <w:rPr>
          <w:rFonts w:eastAsia="Arial" w:cs="Arial"/>
          <w:szCs w:val="22"/>
          <w:lang w:val="en-GB"/>
        </w:rPr>
        <w:t xml:space="preserve"> inscribed on the List of Intangible Cultural Heritage in Need of Urgent Safeguarding</w:t>
      </w:r>
      <w:r w:rsidR="009144E3" w:rsidRPr="003E6EA4">
        <w:rPr>
          <w:rFonts w:eastAsia="Arial" w:cs="Arial"/>
          <w:szCs w:val="22"/>
          <w:lang w:val="en-GB"/>
        </w:rPr>
        <w:t xml:space="preserve"> (</w:t>
      </w:r>
      <w:hyperlink r:id="rId13" w:history="1">
        <w:r w:rsidR="00492A17" w:rsidRPr="003E6EA4">
          <w:rPr>
            <w:rStyle w:val="Hyperlink"/>
            <w:rFonts w:eastAsia="Arial" w:cs="Arial"/>
            <w:szCs w:val="22"/>
            <w:lang w:val="en-US"/>
          </w:rPr>
          <w:t>8</w:t>
        </w:r>
      </w:hyperlink>
      <w:r w:rsidR="009144E3" w:rsidRPr="003E6EA4">
        <w:rPr>
          <w:rFonts w:eastAsia="Arial" w:cs="Arial"/>
          <w:szCs w:val="22"/>
          <w:lang w:val="en-GB"/>
        </w:rPr>
        <w:t xml:space="preserve"> in 2014 and </w:t>
      </w:r>
      <w:hyperlink r:id="rId14" w:history="1">
        <w:r w:rsidR="00492A17" w:rsidRPr="003E6EA4">
          <w:rPr>
            <w:rStyle w:val="Hyperlink"/>
            <w:rFonts w:eastAsia="Arial" w:cs="Arial"/>
            <w:szCs w:val="22"/>
            <w:lang w:val="en-US"/>
          </w:rPr>
          <w:t>3</w:t>
        </w:r>
      </w:hyperlink>
      <w:r w:rsidR="009144E3" w:rsidRPr="003E6EA4">
        <w:rPr>
          <w:rFonts w:eastAsia="Arial" w:cs="Arial"/>
          <w:szCs w:val="22"/>
          <w:lang w:val="en-GB"/>
        </w:rPr>
        <w:t xml:space="preserve"> in 2015)</w:t>
      </w:r>
      <w:r w:rsidR="00492A17" w:rsidRPr="003E6EA4">
        <w:rPr>
          <w:rFonts w:eastAsia="Arial" w:cs="Arial"/>
          <w:szCs w:val="22"/>
          <w:lang w:val="en-GB"/>
        </w:rPr>
        <w:t>.</w:t>
      </w:r>
    </w:p>
    <w:p w:rsidR="00DA133B" w:rsidRPr="003E6EA4" w:rsidRDefault="00DA133B" w:rsidP="00163F26">
      <w:pPr>
        <w:pStyle w:val="Marge"/>
        <w:numPr>
          <w:ilvl w:val="0"/>
          <w:numId w:val="14"/>
        </w:numPr>
        <w:tabs>
          <w:tab w:val="clear" w:pos="720"/>
        </w:tabs>
        <w:spacing w:after="120"/>
        <w:ind w:left="567" w:hanging="567"/>
        <w:rPr>
          <w:rFonts w:eastAsia="Arial"/>
          <w:lang w:val="en-GB"/>
        </w:rPr>
      </w:pPr>
      <w:r w:rsidRPr="003E6EA4">
        <w:rPr>
          <w:rFonts w:eastAsia="SimSun" w:cs="Arial"/>
          <w:szCs w:val="22"/>
          <w:lang w:val="en-GB"/>
        </w:rPr>
        <w:t>A detailed overview and summary of the periodic reports</w:t>
      </w:r>
      <w:r w:rsidR="00BB262F" w:rsidRPr="003E6EA4">
        <w:rPr>
          <w:rFonts w:eastAsia="SimSun" w:cs="Arial"/>
          <w:szCs w:val="22"/>
          <w:lang w:val="en-GB"/>
        </w:rPr>
        <w:t xml:space="preserve">, as adopted by the Committee in its Decisions </w:t>
      </w:r>
      <w:hyperlink r:id="rId15" w:history="1">
        <w:r w:rsidR="00BB262F" w:rsidRPr="003E6EA4">
          <w:rPr>
            <w:rStyle w:val="Hyperlink"/>
            <w:rFonts w:eastAsia="SimSun" w:cs="Arial"/>
            <w:szCs w:val="22"/>
            <w:lang w:val="en-US"/>
          </w:rPr>
          <w:t>9.COM 5.a</w:t>
        </w:r>
      </w:hyperlink>
      <w:r w:rsidR="00BB262F" w:rsidRPr="003E6EA4">
        <w:rPr>
          <w:rFonts w:eastAsia="SimSun" w:cs="Arial"/>
          <w:szCs w:val="22"/>
          <w:lang w:val="en-GB"/>
        </w:rPr>
        <w:t xml:space="preserve"> and </w:t>
      </w:r>
      <w:hyperlink r:id="rId16" w:history="1">
        <w:r w:rsidR="00BB262F" w:rsidRPr="003E6EA4">
          <w:rPr>
            <w:rStyle w:val="Hyperlink"/>
            <w:rFonts w:eastAsia="SimSun" w:cs="Arial"/>
            <w:szCs w:val="22"/>
            <w:lang w:val="en-US"/>
          </w:rPr>
          <w:t>9.COM 5.b</w:t>
        </w:r>
      </w:hyperlink>
      <w:r w:rsidR="00BB262F" w:rsidRPr="003E6EA4">
        <w:rPr>
          <w:rFonts w:eastAsia="SimSun" w:cs="Arial"/>
          <w:szCs w:val="22"/>
          <w:lang w:val="en-GB"/>
        </w:rPr>
        <w:t xml:space="preserve"> (for the 2014 reports)</w:t>
      </w:r>
      <w:r w:rsidR="00B819DA" w:rsidRPr="003E6EA4">
        <w:rPr>
          <w:rFonts w:eastAsia="SimSun" w:cs="Arial"/>
          <w:szCs w:val="22"/>
          <w:lang w:val="en-GB"/>
        </w:rPr>
        <w:t xml:space="preserve"> as well as in</w:t>
      </w:r>
      <w:r w:rsidR="00BB262F" w:rsidRPr="003E6EA4">
        <w:rPr>
          <w:rFonts w:eastAsia="SimSun" w:cs="Arial"/>
          <w:szCs w:val="22"/>
          <w:lang w:val="en-GB"/>
        </w:rPr>
        <w:t xml:space="preserve"> Decisions</w:t>
      </w:r>
      <w:r w:rsidR="00163F26" w:rsidRPr="003E6EA4">
        <w:rPr>
          <w:rFonts w:eastAsia="SimSun" w:cs="Arial"/>
          <w:szCs w:val="22"/>
          <w:lang w:val="en-GB"/>
        </w:rPr>
        <w:t> </w:t>
      </w:r>
      <w:hyperlink r:id="rId17" w:history="1">
        <w:r w:rsidR="00BB262F" w:rsidRPr="003E6EA4">
          <w:rPr>
            <w:rStyle w:val="Hyperlink"/>
            <w:rFonts w:eastAsia="SimSun" w:cs="Arial"/>
            <w:szCs w:val="22"/>
            <w:lang w:val="en-US"/>
          </w:rPr>
          <w:t>10.COM</w:t>
        </w:r>
        <w:r w:rsidR="0097579A" w:rsidRPr="003E6EA4">
          <w:rPr>
            <w:rStyle w:val="Hyperlink"/>
            <w:rFonts w:eastAsia="SimSun" w:cs="Arial"/>
            <w:szCs w:val="22"/>
            <w:lang w:val="en-US"/>
          </w:rPr>
          <w:t> </w:t>
        </w:r>
        <w:r w:rsidR="00BB262F" w:rsidRPr="003E6EA4">
          <w:rPr>
            <w:rStyle w:val="Hyperlink"/>
            <w:rFonts w:eastAsia="SimSun" w:cs="Arial"/>
            <w:szCs w:val="22"/>
            <w:lang w:val="en-US"/>
          </w:rPr>
          <w:t>6.a</w:t>
        </w:r>
      </w:hyperlink>
      <w:r w:rsidR="00A1571F" w:rsidRPr="003E6EA4">
        <w:rPr>
          <w:rFonts w:eastAsia="SimSun" w:cs="Arial"/>
          <w:szCs w:val="22"/>
          <w:lang w:val="en-GB"/>
        </w:rPr>
        <w:t xml:space="preserve">, </w:t>
      </w:r>
      <w:r w:rsidR="00163F26" w:rsidRPr="003E6EA4">
        <w:rPr>
          <w:rFonts w:eastAsia="SimSun" w:cs="Arial"/>
          <w:szCs w:val="22"/>
          <w:lang w:val="en-GB"/>
        </w:rPr>
        <w:t>11.COM </w:t>
      </w:r>
      <w:r w:rsidR="0097579A" w:rsidRPr="003E6EA4">
        <w:rPr>
          <w:rFonts w:eastAsia="SimSun" w:cs="Arial"/>
          <w:szCs w:val="22"/>
          <w:lang w:val="en-GB"/>
        </w:rPr>
        <w:t>1.BUR </w:t>
      </w:r>
      <w:r w:rsidR="00163F26" w:rsidRPr="003E6EA4">
        <w:rPr>
          <w:rFonts w:eastAsia="SimSun" w:cs="Arial"/>
          <w:szCs w:val="22"/>
          <w:lang w:val="en-GB"/>
        </w:rPr>
        <w:t>2</w:t>
      </w:r>
      <w:r w:rsidR="003017E7" w:rsidRPr="003E6EA4">
        <w:rPr>
          <w:rFonts w:eastAsia="SimSun" w:cs="Arial"/>
          <w:szCs w:val="22"/>
          <w:lang w:val="en-GB" w:eastAsia="zh-CN"/>
        </w:rPr>
        <w:t xml:space="preserve"> Rev.</w:t>
      </w:r>
      <w:r w:rsidR="0097579A" w:rsidRPr="003E6EA4">
        <w:rPr>
          <w:rFonts w:eastAsia="SimSun" w:cs="Arial"/>
          <w:szCs w:val="22"/>
          <w:lang w:val="en-GB"/>
        </w:rPr>
        <w:t xml:space="preserve"> </w:t>
      </w:r>
      <w:r w:rsidR="00BB262F" w:rsidRPr="003E6EA4">
        <w:rPr>
          <w:rFonts w:eastAsia="SimSun" w:cs="Arial"/>
          <w:szCs w:val="22"/>
          <w:lang w:val="en-GB"/>
        </w:rPr>
        <w:t xml:space="preserve">and </w:t>
      </w:r>
      <w:hyperlink r:id="rId18" w:history="1">
        <w:r w:rsidR="00A1571F" w:rsidRPr="003E6EA4">
          <w:rPr>
            <w:rStyle w:val="Hyperlink"/>
            <w:rFonts w:eastAsia="SimSun" w:cs="Arial"/>
            <w:szCs w:val="22"/>
            <w:lang w:val="en-US"/>
          </w:rPr>
          <w:t>10.COM 6.b</w:t>
        </w:r>
      </w:hyperlink>
      <w:r w:rsidR="00A1571F" w:rsidRPr="003E6EA4">
        <w:rPr>
          <w:rFonts w:eastAsia="SimSun" w:cs="Arial"/>
          <w:szCs w:val="22"/>
          <w:lang w:val="en-GB"/>
        </w:rPr>
        <w:t xml:space="preserve"> </w:t>
      </w:r>
      <w:r w:rsidR="00BB262F" w:rsidRPr="003E6EA4">
        <w:rPr>
          <w:rFonts w:eastAsia="SimSun" w:cs="Arial"/>
          <w:szCs w:val="22"/>
          <w:lang w:val="en-GB"/>
        </w:rPr>
        <w:t xml:space="preserve">(for the 2015 reports), </w:t>
      </w:r>
      <w:r w:rsidR="00060601" w:rsidRPr="003E6EA4">
        <w:rPr>
          <w:rFonts w:eastAsia="SimSun" w:cs="Arial"/>
          <w:szCs w:val="22"/>
          <w:lang w:val="en-GB"/>
        </w:rPr>
        <w:t>are</w:t>
      </w:r>
      <w:r w:rsidRPr="003E6EA4">
        <w:rPr>
          <w:rFonts w:eastAsia="SimSun" w:cs="Arial"/>
          <w:szCs w:val="22"/>
          <w:lang w:val="en-GB"/>
        </w:rPr>
        <w:t xml:space="preserve"> included in the related working documents of the Committee </w:t>
      </w:r>
      <w:r w:rsidR="00BB262F" w:rsidRPr="003E6EA4">
        <w:rPr>
          <w:rFonts w:eastAsia="SimSun" w:cs="Arial"/>
          <w:szCs w:val="22"/>
          <w:lang w:val="en-GB"/>
        </w:rPr>
        <w:t>(</w:t>
      </w:r>
      <w:r w:rsidRPr="003E6EA4">
        <w:rPr>
          <w:rFonts w:eastAsia="SimSun" w:cs="Arial"/>
          <w:szCs w:val="22"/>
          <w:lang w:val="en-GB"/>
        </w:rPr>
        <w:t xml:space="preserve">and of the Bureau </w:t>
      </w:r>
      <w:r w:rsidR="00BB262F" w:rsidRPr="003E6EA4">
        <w:rPr>
          <w:rFonts w:eastAsia="SimSun" w:cs="Arial"/>
          <w:szCs w:val="22"/>
          <w:lang w:val="en-GB"/>
        </w:rPr>
        <w:t xml:space="preserve">with regard only to the 24 reports on the implementation of the Convention examined in 2015) </w:t>
      </w:r>
      <w:r w:rsidRPr="003E6EA4">
        <w:rPr>
          <w:rFonts w:eastAsia="SimSun" w:cs="Arial"/>
          <w:szCs w:val="22"/>
          <w:lang w:val="en-GB"/>
        </w:rPr>
        <w:t>as follows:</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6108"/>
        <w:gridCol w:w="3032"/>
      </w:tblGrid>
      <w:tr w:rsidR="00DA133B" w:rsidRPr="00C37FB2" w:rsidTr="003E6EA4">
        <w:tc>
          <w:tcPr>
            <w:tcW w:w="6108" w:type="dxa"/>
            <w:vAlign w:val="center"/>
            <w:hideMark/>
          </w:tcPr>
          <w:p w:rsidR="00DA133B" w:rsidRPr="003E6EA4" w:rsidRDefault="00DA133B" w:rsidP="00957766">
            <w:pPr>
              <w:spacing w:before="120" w:after="120"/>
              <w:rPr>
                <w:rFonts w:ascii="Arial" w:hAnsi="Arial" w:cs="Arial"/>
                <w:sz w:val="22"/>
                <w:szCs w:val="22"/>
                <w:lang w:val="en-GB"/>
              </w:rPr>
            </w:pPr>
            <w:r w:rsidRPr="003E6EA4">
              <w:rPr>
                <w:rFonts w:ascii="Arial" w:hAnsi="Arial" w:cs="Arial"/>
                <w:sz w:val="22"/>
                <w:szCs w:val="22"/>
                <w:lang w:val="en-GB"/>
              </w:rPr>
              <w:t>Examination of the reports of States Parties on the implementation of the Convention and on the current status of elements inscribed on the Representative List of the Intangible Cultural Heritage of Humanity (2014 cycle)</w:t>
            </w:r>
          </w:p>
        </w:tc>
        <w:tc>
          <w:tcPr>
            <w:tcW w:w="3032" w:type="dxa"/>
            <w:vAlign w:val="center"/>
            <w:hideMark/>
          </w:tcPr>
          <w:p w:rsidR="00DA133B" w:rsidRPr="003E6EA4" w:rsidRDefault="00DA133B" w:rsidP="00957766">
            <w:pPr>
              <w:spacing w:before="120" w:after="120"/>
              <w:rPr>
                <w:rFonts w:ascii="Arial" w:hAnsi="Arial" w:cs="Arial"/>
                <w:b/>
                <w:bCs/>
                <w:sz w:val="20"/>
                <w:szCs w:val="20"/>
                <w:lang w:val="en-GB"/>
              </w:rPr>
            </w:pPr>
            <w:r w:rsidRPr="003E6EA4">
              <w:rPr>
                <w:rFonts w:ascii="Arial" w:hAnsi="Arial" w:cs="Arial"/>
                <w:b/>
                <w:bCs/>
                <w:sz w:val="20"/>
                <w:szCs w:val="20"/>
                <w:lang w:val="en-GB"/>
              </w:rPr>
              <w:t xml:space="preserve">ITH/14/9.COM/5.a: </w:t>
            </w:r>
            <w:hyperlink r:id="rId19" w:tgtFrame="_blank" w:history="1">
              <w:r w:rsidRPr="003E6EA4">
                <w:rPr>
                  <w:rStyle w:val="Hyperlink"/>
                  <w:rFonts w:ascii="Arial" w:hAnsi="Arial" w:cs="Arial"/>
                  <w:bCs/>
                  <w:sz w:val="20"/>
                  <w:szCs w:val="20"/>
                  <w:lang w:val="en-GB"/>
                </w:rPr>
                <w:t>English</w:t>
              </w:r>
            </w:hyperlink>
            <w:r w:rsidR="009552ED" w:rsidRPr="003E6EA4">
              <w:rPr>
                <w:rStyle w:val="Hyperlink"/>
                <w:rFonts w:ascii="Arial" w:hAnsi="Arial" w:cs="Arial"/>
                <w:bCs/>
                <w:sz w:val="20"/>
                <w:szCs w:val="20"/>
                <w:lang w:val="en-GB"/>
              </w:rPr>
              <w:t>/</w:t>
            </w:r>
            <w:hyperlink r:id="rId20" w:tgtFrame="_blank" w:history="1">
              <w:r w:rsidRPr="003E6EA4">
                <w:rPr>
                  <w:rStyle w:val="Hyperlink"/>
                  <w:rFonts w:ascii="Arial" w:hAnsi="Arial" w:cs="Arial"/>
                  <w:bCs/>
                  <w:sz w:val="20"/>
                  <w:szCs w:val="20"/>
                  <w:lang w:val="en-GB"/>
                </w:rPr>
                <w:t>French</w:t>
              </w:r>
            </w:hyperlink>
            <w:r w:rsidRPr="003E6EA4">
              <w:rPr>
                <w:rFonts w:ascii="Arial" w:hAnsi="Arial" w:cs="Arial"/>
                <w:bCs/>
                <w:sz w:val="20"/>
                <w:szCs w:val="20"/>
                <w:lang w:val="en-GB"/>
              </w:rPr>
              <w:br/>
            </w:r>
            <w:r w:rsidRPr="003E6EA4">
              <w:rPr>
                <w:rFonts w:ascii="Arial" w:hAnsi="Arial" w:cs="Arial"/>
                <w:bCs/>
                <w:i/>
                <w:iCs/>
                <w:sz w:val="20"/>
                <w:szCs w:val="20"/>
                <w:lang w:val="en-GB"/>
              </w:rPr>
              <w:t xml:space="preserve">See the </w:t>
            </w:r>
            <w:hyperlink r:id="rId21" w:history="1">
              <w:r w:rsidRPr="003E6EA4">
                <w:rPr>
                  <w:rStyle w:val="Hyperlink"/>
                  <w:rFonts w:ascii="Arial" w:hAnsi="Arial" w:cs="Arial"/>
                  <w:bCs/>
                  <w:i/>
                  <w:iCs/>
                  <w:sz w:val="20"/>
                  <w:szCs w:val="20"/>
                  <w:lang w:val="en-GB"/>
                </w:rPr>
                <w:t>27 reports</w:t>
              </w:r>
            </w:hyperlink>
            <w:r w:rsidRPr="003E6EA4">
              <w:rPr>
                <w:rFonts w:ascii="Arial" w:hAnsi="Arial" w:cs="Arial"/>
                <w:b/>
                <w:bCs/>
                <w:sz w:val="20"/>
                <w:szCs w:val="20"/>
                <w:lang w:val="en-GB"/>
              </w:rPr>
              <w:t xml:space="preserve"> </w:t>
            </w:r>
            <w:r w:rsidRPr="003E6EA4">
              <w:rPr>
                <w:rFonts w:ascii="Arial" w:hAnsi="Arial" w:cs="Arial"/>
                <w:bCs/>
                <w:i/>
                <w:sz w:val="20"/>
                <w:szCs w:val="20"/>
                <w:lang w:val="en-GB"/>
              </w:rPr>
              <w:t>submitted</w:t>
            </w:r>
          </w:p>
        </w:tc>
      </w:tr>
      <w:tr w:rsidR="00DA133B" w:rsidRPr="00C37FB2" w:rsidTr="003E6EA4">
        <w:tc>
          <w:tcPr>
            <w:tcW w:w="6108" w:type="dxa"/>
            <w:vAlign w:val="center"/>
          </w:tcPr>
          <w:p w:rsidR="00DA133B" w:rsidRPr="003E6EA4" w:rsidRDefault="00DA133B" w:rsidP="00957766">
            <w:pPr>
              <w:spacing w:before="120" w:after="120"/>
              <w:rPr>
                <w:rFonts w:ascii="Arial" w:hAnsi="Arial" w:cs="Arial"/>
                <w:sz w:val="22"/>
                <w:szCs w:val="22"/>
                <w:lang w:val="en-GB"/>
              </w:rPr>
            </w:pPr>
            <w:r w:rsidRPr="003E6EA4">
              <w:rPr>
                <w:rFonts w:ascii="Arial" w:hAnsi="Arial" w:cs="Arial"/>
                <w:sz w:val="22"/>
                <w:szCs w:val="22"/>
                <w:lang w:val="en-GB"/>
              </w:rPr>
              <w:t>Examination of the reports of States Parties on the current status of elements inscribed on the List of Intangible Cultural Heritage in Need of Urgent Safeguarding (2014 cycle)</w:t>
            </w:r>
          </w:p>
        </w:tc>
        <w:tc>
          <w:tcPr>
            <w:tcW w:w="3032" w:type="dxa"/>
            <w:vAlign w:val="center"/>
          </w:tcPr>
          <w:p w:rsidR="00DA133B" w:rsidRPr="003E6EA4" w:rsidRDefault="00DA133B" w:rsidP="00DA133B">
            <w:pPr>
              <w:spacing w:before="120" w:after="120"/>
              <w:rPr>
                <w:rFonts w:ascii="Arial" w:hAnsi="Arial" w:cs="Arial"/>
                <w:b/>
                <w:bCs/>
                <w:sz w:val="20"/>
                <w:szCs w:val="20"/>
                <w:lang w:val="en-GB"/>
              </w:rPr>
            </w:pPr>
            <w:r w:rsidRPr="003E6EA4">
              <w:rPr>
                <w:rFonts w:ascii="Arial" w:hAnsi="Arial" w:cs="Arial"/>
                <w:b/>
                <w:bCs/>
                <w:sz w:val="20"/>
                <w:szCs w:val="20"/>
                <w:lang w:val="en-GB"/>
              </w:rPr>
              <w:t xml:space="preserve">ITH/14/9.COM/5.b: </w:t>
            </w:r>
            <w:hyperlink r:id="rId22" w:tgtFrame="_blank" w:history="1">
              <w:r w:rsidRPr="003E6EA4">
                <w:rPr>
                  <w:rStyle w:val="Hyperlink"/>
                  <w:rFonts w:ascii="Arial" w:hAnsi="Arial" w:cs="Arial"/>
                  <w:bCs/>
                  <w:sz w:val="20"/>
                  <w:szCs w:val="20"/>
                  <w:lang w:val="en-GB"/>
                </w:rPr>
                <w:t>English</w:t>
              </w:r>
            </w:hyperlink>
            <w:r w:rsidR="009552ED" w:rsidRPr="003E6EA4">
              <w:rPr>
                <w:rFonts w:ascii="Arial" w:hAnsi="Arial" w:cs="Arial"/>
                <w:bCs/>
                <w:sz w:val="20"/>
                <w:szCs w:val="20"/>
                <w:lang w:val="en-GB"/>
              </w:rPr>
              <w:t>/</w:t>
            </w:r>
            <w:hyperlink r:id="rId23" w:tgtFrame="_blank" w:history="1">
              <w:r w:rsidRPr="003E6EA4">
                <w:rPr>
                  <w:rStyle w:val="Hyperlink"/>
                  <w:rFonts w:ascii="Arial" w:hAnsi="Arial" w:cs="Arial"/>
                  <w:bCs/>
                  <w:sz w:val="20"/>
                  <w:szCs w:val="20"/>
                  <w:lang w:val="en-GB"/>
                </w:rPr>
                <w:t>French</w:t>
              </w:r>
              <w:r w:rsidRPr="003E6EA4">
                <w:rPr>
                  <w:rStyle w:val="Hyperlink"/>
                  <w:rFonts w:ascii="Arial" w:hAnsi="Arial" w:cs="Arial"/>
                  <w:bCs/>
                  <w:sz w:val="20"/>
                  <w:szCs w:val="20"/>
                  <w:lang w:val="en-GB"/>
                </w:rPr>
                <w:br/>
              </w:r>
            </w:hyperlink>
            <w:r w:rsidRPr="003E6EA4">
              <w:rPr>
                <w:rFonts w:ascii="Arial" w:hAnsi="Arial" w:cs="Arial"/>
                <w:bCs/>
                <w:i/>
                <w:iCs/>
                <w:sz w:val="20"/>
                <w:szCs w:val="20"/>
                <w:lang w:val="en-GB"/>
              </w:rPr>
              <w:t xml:space="preserve">See the </w:t>
            </w:r>
            <w:hyperlink r:id="rId24" w:history="1">
              <w:r w:rsidRPr="003E6EA4">
                <w:rPr>
                  <w:rStyle w:val="Hyperlink"/>
                  <w:rFonts w:ascii="Arial" w:hAnsi="Arial" w:cs="Arial"/>
                  <w:bCs/>
                  <w:i/>
                  <w:iCs/>
                  <w:sz w:val="20"/>
                  <w:szCs w:val="20"/>
                  <w:lang w:val="en-GB"/>
                </w:rPr>
                <w:t>8 reports</w:t>
              </w:r>
            </w:hyperlink>
            <w:r w:rsidRPr="003E6EA4">
              <w:rPr>
                <w:rFonts w:ascii="Arial" w:hAnsi="Arial" w:cs="Arial"/>
                <w:bCs/>
                <w:sz w:val="20"/>
                <w:szCs w:val="20"/>
                <w:lang w:val="en-GB"/>
              </w:rPr>
              <w:t xml:space="preserve"> </w:t>
            </w:r>
            <w:r w:rsidRPr="003E6EA4">
              <w:rPr>
                <w:rFonts w:ascii="Arial" w:hAnsi="Arial" w:cs="Arial"/>
                <w:bCs/>
                <w:i/>
                <w:sz w:val="20"/>
                <w:szCs w:val="20"/>
                <w:lang w:val="en-GB"/>
              </w:rPr>
              <w:t>submitted</w:t>
            </w:r>
          </w:p>
        </w:tc>
      </w:tr>
      <w:tr w:rsidR="00DA133B" w:rsidRPr="00C37FB2" w:rsidTr="003E6EA4">
        <w:tc>
          <w:tcPr>
            <w:tcW w:w="6108" w:type="dxa"/>
            <w:vAlign w:val="center"/>
            <w:hideMark/>
          </w:tcPr>
          <w:p w:rsidR="00DA133B" w:rsidRPr="003E6EA4" w:rsidRDefault="00DA133B" w:rsidP="00957766">
            <w:pPr>
              <w:spacing w:before="120" w:after="120"/>
              <w:rPr>
                <w:rFonts w:ascii="Arial" w:hAnsi="Arial" w:cs="Arial"/>
                <w:sz w:val="22"/>
                <w:szCs w:val="22"/>
                <w:lang w:val="en-GB" w:eastAsia="en-GB"/>
              </w:rPr>
            </w:pPr>
            <w:r w:rsidRPr="003E6EA4">
              <w:rPr>
                <w:rFonts w:ascii="Arial" w:hAnsi="Arial" w:cs="Arial"/>
                <w:sz w:val="22"/>
                <w:szCs w:val="22"/>
                <w:lang w:val="en-GB"/>
              </w:rPr>
              <w:t>Examination of the reports of States Parties on the implementation of the Convention and on the current status of elements inscribed on the Representative List of the Intangible Cultural Heritage of Humanity (2015 cycle)</w:t>
            </w:r>
          </w:p>
        </w:tc>
        <w:tc>
          <w:tcPr>
            <w:tcW w:w="3032" w:type="dxa"/>
            <w:vAlign w:val="center"/>
            <w:hideMark/>
          </w:tcPr>
          <w:p w:rsidR="00DA133B" w:rsidRPr="003E6EA4" w:rsidRDefault="00163F26" w:rsidP="00DA133B">
            <w:pPr>
              <w:spacing w:before="120" w:after="120"/>
              <w:rPr>
                <w:rFonts w:ascii="Arial" w:hAnsi="Arial" w:cs="Arial"/>
                <w:sz w:val="20"/>
                <w:szCs w:val="20"/>
                <w:lang w:val="en-GB"/>
              </w:rPr>
            </w:pPr>
            <w:r w:rsidRPr="003E6EA4">
              <w:rPr>
                <w:rFonts w:ascii="Arial" w:hAnsi="Arial" w:cs="Arial"/>
                <w:b/>
                <w:bCs/>
                <w:sz w:val="20"/>
                <w:szCs w:val="20"/>
                <w:lang w:val="en-GB"/>
              </w:rPr>
              <w:t>ITH/16/11.COM 1.BUR/2</w:t>
            </w:r>
            <w:r w:rsidR="003017E7" w:rsidRPr="003E6EA4">
              <w:rPr>
                <w:rFonts w:ascii="Arial" w:eastAsia="SimSun" w:hAnsi="Arial" w:cs="Arial"/>
                <w:b/>
                <w:bCs/>
                <w:sz w:val="20"/>
                <w:szCs w:val="20"/>
                <w:lang w:val="en-GB" w:eastAsia="zh-CN"/>
              </w:rPr>
              <w:t xml:space="preserve"> Rev.</w:t>
            </w:r>
            <w:r w:rsidRPr="003E6EA4">
              <w:rPr>
                <w:rFonts w:ascii="Arial" w:hAnsi="Arial" w:cs="Arial"/>
                <w:b/>
                <w:bCs/>
                <w:sz w:val="20"/>
                <w:szCs w:val="20"/>
                <w:lang w:val="en-GB"/>
              </w:rPr>
              <w:t>:</w:t>
            </w:r>
            <w:r w:rsidR="00DA133B" w:rsidRPr="003E6EA4">
              <w:rPr>
                <w:rFonts w:ascii="Arial" w:hAnsi="Arial" w:cs="Arial"/>
                <w:b/>
                <w:bCs/>
                <w:sz w:val="20"/>
                <w:szCs w:val="20"/>
                <w:lang w:val="en-US"/>
              </w:rPr>
              <w:t xml:space="preserve"> </w:t>
            </w:r>
            <w:hyperlink r:id="rId25" w:history="1">
              <w:r w:rsidR="00DA133B" w:rsidRPr="003E6EA4">
                <w:rPr>
                  <w:rStyle w:val="Hyperlink"/>
                  <w:rFonts w:ascii="Arial" w:hAnsi="Arial" w:cs="Arial"/>
                  <w:bCs/>
                  <w:sz w:val="20"/>
                  <w:szCs w:val="20"/>
                  <w:lang w:val="en-US"/>
                </w:rPr>
                <w:t>English</w:t>
              </w:r>
            </w:hyperlink>
            <w:r w:rsidR="009552ED" w:rsidRPr="003E6EA4">
              <w:rPr>
                <w:rFonts w:ascii="Arial" w:hAnsi="Arial" w:cs="Arial"/>
                <w:bCs/>
                <w:sz w:val="20"/>
                <w:szCs w:val="20"/>
                <w:lang w:val="en-US"/>
              </w:rPr>
              <w:t>/</w:t>
            </w:r>
            <w:hyperlink r:id="rId26" w:history="1">
              <w:r w:rsidR="00DA133B" w:rsidRPr="003E6EA4">
                <w:rPr>
                  <w:rStyle w:val="Hyperlink"/>
                  <w:rFonts w:ascii="Arial" w:hAnsi="Arial" w:cs="Arial"/>
                  <w:bCs/>
                  <w:sz w:val="20"/>
                  <w:szCs w:val="20"/>
                  <w:lang w:val="en-US"/>
                </w:rPr>
                <w:t>French</w:t>
              </w:r>
            </w:hyperlink>
            <w:bookmarkStart w:id="0" w:name="_GoBack"/>
            <w:bookmarkEnd w:id="0"/>
            <w:r w:rsidR="00DA133B" w:rsidRPr="003E6EA4">
              <w:rPr>
                <w:rFonts w:ascii="Arial" w:hAnsi="Arial" w:cs="Arial"/>
                <w:bCs/>
                <w:sz w:val="20"/>
                <w:szCs w:val="20"/>
                <w:lang w:val="en-US"/>
              </w:rPr>
              <w:br/>
            </w:r>
            <w:r w:rsidR="00DA133B" w:rsidRPr="003E6EA4">
              <w:rPr>
                <w:rFonts w:ascii="Arial" w:hAnsi="Arial" w:cs="Arial"/>
                <w:bCs/>
                <w:i/>
                <w:iCs/>
                <w:sz w:val="20"/>
                <w:szCs w:val="20"/>
                <w:lang w:val="en-GB"/>
              </w:rPr>
              <w:t xml:space="preserve">See the </w:t>
            </w:r>
            <w:hyperlink r:id="rId27" w:history="1">
              <w:r w:rsidR="00DA133B" w:rsidRPr="003E6EA4">
                <w:rPr>
                  <w:rStyle w:val="Hyperlink"/>
                  <w:rFonts w:ascii="Arial" w:hAnsi="Arial" w:cs="Arial"/>
                  <w:bCs/>
                  <w:i/>
                  <w:iCs/>
                  <w:sz w:val="20"/>
                  <w:szCs w:val="20"/>
                  <w:lang w:val="en-US"/>
                </w:rPr>
                <w:t>24 reports</w:t>
              </w:r>
            </w:hyperlink>
            <w:r w:rsidR="00DA133B" w:rsidRPr="003E6EA4">
              <w:rPr>
                <w:rFonts w:ascii="Arial" w:hAnsi="Arial" w:cs="Arial"/>
                <w:bCs/>
                <w:i/>
                <w:iCs/>
                <w:sz w:val="20"/>
                <w:szCs w:val="20"/>
                <w:lang w:val="en-GB"/>
              </w:rPr>
              <w:t xml:space="preserve"> </w:t>
            </w:r>
            <w:r w:rsidR="00DA133B" w:rsidRPr="003E6EA4">
              <w:rPr>
                <w:rFonts w:ascii="Arial" w:hAnsi="Arial" w:cs="Arial"/>
                <w:bCs/>
                <w:i/>
                <w:sz w:val="20"/>
                <w:szCs w:val="20"/>
                <w:lang w:val="en-GB"/>
              </w:rPr>
              <w:t>submitted</w:t>
            </w:r>
          </w:p>
        </w:tc>
      </w:tr>
      <w:tr w:rsidR="00DA133B" w:rsidRPr="00C37FB2" w:rsidTr="003E6EA4">
        <w:tc>
          <w:tcPr>
            <w:tcW w:w="6108" w:type="dxa"/>
            <w:vAlign w:val="center"/>
          </w:tcPr>
          <w:p w:rsidR="00DA133B" w:rsidRPr="003E6EA4" w:rsidRDefault="00DA133B" w:rsidP="00957766">
            <w:pPr>
              <w:spacing w:before="120" w:after="120"/>
              <w:rPr>
                <w:rFonts w:ascii="Arial" w:hAnsi="Arial" w:cs="Arial"/>
                <w:sz w:val="22"/>
                <w:szCs w:val="22"/>
                <w:lang w:val="en-GB"/>
              </w:rPr>
            </w:pPr>
            <w:r w:rsidRPr="003E6EA4">
              <w:rPr>
                <w:rFonts w:ascii="Arial" w:hAnsi="Arial" w:cs="Arial"/>
                <w:sz w:val="22"/>
                <w:szCs w:val="22"/>
                <w:lang w:val="en-GB"/>
              </w:rPr>
              <w:t>Examination of the reports of States Parties on the current status of elements inscribed on the List of Intangible Cultural Heritage in Need of Urgent Safeguarding (2015 cycle)</w:t>
            </w:r>
          </w:p>
        </w:tc>
        <w:tc>
          <w:tcPr>
            <w:tcW w:w="3032" w:type="dxa"/>
            <w:vAlign w:val="center"/>
          </w:tcPr>
          <w:p w:rsidR="00DA133B" w:rsidRPr="003E6EA4" w:rsidRDefault="00DA133B" w:rsidP="00DA133B">
            <w:pPr>
              <w:spacing w:before="120" w:after="120"/>
              <w:rPr>
                <w:rStyle w:val="Strong"/>
                <w:rFonts w:ascii="Arial" w:hAnsi="Arial" w:cs="Arial"/>
                <w:sz w:val="20"/>
                <w:szCs w:val="20"/>
                <w:lang w:val="en-GB"/>
              </w:rPr>
            </w:pPr>
            <w:r w:rsidRPr="003E6EA4">
              <w:rPr>
                <w:rFonts w:ascii="Arial" w:hAnsi="Arial" w:cs="Arial"/>
                <w:b/>
                <w:bCs/>
                <w:sz w:val="20"/>
                <w:szCs w:val="20"/>
                <w:lang w:val="en-US"/>
              </w:rPr>
              <w:t xml:space="preserve">ITH/15/10.COM/6.b: </w:t>
            </w:r>
            <w:hyperlink r:id="rId28" w:tgtFrame="_blank" w:history="1">
              <w:r w:rsidRPr="003E6EA4">
                <w:rPr>
                  <w:rStyle w:val="Hyperlink"/>
                  <w:rFonts w:ascii="Arial" w:hAnsi="Arial" w:cs="Arial"/>
                  <w:bCs/>
                  <w:sz w:val="20"/>
                  <w:szCs w:val="20"/>
                  <w:lang w:val="en-US"/>
                </w:rPr>
                <w:t>English</w:t>
              </w:r>
            </w:hyperlink>
            <w:r w:rsidR="009552ED" w:rsidRPr="003E6EA4">
              <w:rPr>
                <w:rFonts w:ascii="Arial" w:hAnsi="Arial" w:cs="Arial"/>
                <w:bCs/>
                <w:sz w:val="20"/>
                <w:szCs w:val="20"/>
                <w:lang w:val="en-US"/>
              </w:rPr>
              <w:t>/</w:t>
            </w:r>
            <w:hyperlink r:id="rId29" w:tgtFrame="_blank" w:history="1">
              <w:r w:rsidRPr="003E6EA4">
                <w:rPr>
                  <w:rStyle w:val="Hyperlink"/>
                  <w:rFonts w:ascii="Arial" w:hAnsi="Arial" w:cs="Arial"/>
                  <w:bCs/>
                  <w:sz w:val="20"/>
                  <w:szCs w:val="20"/>
                  <w:lang w:val="en-US"/>
                </w:rPr>
                <w:t>French</w:t>
              </w:r>
            </w:hyperlink>
            <w:r w:rsidRPr="003E6EA4">
              <w:rPr>
                <w:rFonts w:ascii="Arial" w:hAnsi="Arial" w:cs="Arial"/>
                <w:bCs/>
                <w:sz w:val="20"/>
                <w:szCs w:val="20"/>
                <w:lang w:val="en-GB"/>
              </w:rPr>
              <w:br/>
            </w:r>
            <w:r w:rsidRPr="003E6EA4">
              <w:rPr>
                <w:rFonts w:ascii="Arial" w:hAnsi="Arial" w:cs="Arial"/>
                <w:bCs/>
                <w:i/>
                <w:iCs/>
                <w:sz w:val="20"/>
                <w:szCs w:val="20"/>
                <w:lang w:val="en-GB"/>
              </w:rPr>
              <w:t xml:space="preserve">See the </w:t>
            </w:r>
            <w:hyperlink r:id="rId30" w:history="1">
              <w:r w:rsidRPr="003E6EA4">
                <w:rPr>
                  <w:rStyle w:val="Hyperlink"/>
                  <w:rFonts w:ascii="Arial" w:hAnsi="Arial" w:cs="Arial"/>
                  <w:bCs/>
                  <w:i/>
                  <w:iCs/>
                  <w:sz w:val="20"/>
                  <w:szCs w:val="20"/>
                  <w:lang w:val="en-US"/>
                </w:rPr>
                <w:t>3 reports</w:t>
              </w:r>
            </w:hyperlink>
            <w:r w:rsidRPr="003E6EA4">
              <w:rPr>
                <w:rFonts w:ascii="Arial" w:hAnsi="Arial" w:cs="Arial"/>
                <w:bCs/>
                <w:i/>
                <w:iCs/>
                <w:sz w:val="20"/>
                <w:szCs w:val="20"/>
                <w:lang w:val="en-GB"/>
              </w:rPr>
              <w:t xml:space="preserve"> </w:t>
            </w:r>
            <w:r w:rsidRPr="003E6EA4">
              <w:rPr>
                <w:rFonts w:ascii="Arial" w:hAnsi="Arial" w:cs="Arial"/>
                <w:bCs/>
                <w:i/>
                <w:sz w:val="20"/>
                <w:szCs w:val="20"/>
                <w:lang w:val="en-GB"/>
              </w:rPr>
              <w:t>submitted</w:t>
            </w:r>
          </w:p>
        </w:tc>
      </w:tr>
    </w:tbl>
    <w:p w:rsidR="004534E4" w:rsidRPr="003E6EA4" w:rsidRDefault="004534E4" w:rsidP="00F57D01">
      <w:pPr>
        <w:pStyle w:val="Marge"/>
        <w:numPr>
          <w:ilvl w:val="0"/>
          <w:numId w:val="14"/>
        </w:numPr>
        <w:tabs>
          <w:tab w:val="clear" w:pos="720"/>
        </w:tabs>
        <w:spacing w:before="240" w:after="120"/>
        <w:ind w:left="567" w:hanging="567"/>
        <w:rPr>
          <w:rFonts w:eastAsia="Arial"/>
          <w:lang w:val="en-GB"/>
        </w:rPr>
      </w:pPr>
      <w:r w:rsidRPr="003E6EA4">
        <w:rPr>
          <w:rFonts w:eastAsia="Arial"/>
          <w:lang w:val="en-GB"/>
        </w:rPr>
        <w:t xml:space="preserve">In the reporting period </w:t>
      </w:r>
      <w:r w:rsidR="00A56316" w:rsidRPr="003E6EA4">
        <w:rPr>
          <w:lang w:val="en-GB"/>
        </w:rPr>
        <w:t xml:space="preserve">two major changes in the treatment of periodic reports on the implementation of the Convention were welcomed and endorsed by the Committee: the inclusion in the overview of an in-depth study and cumulative focus on a specific topic every year (inventorying in 2014 and transmission and education in 2015), as well as the preparation of an abstract for each report submitted that was introduced </w:t>
      </w:r>
      <w:r w:rsidR="00E76F76" w:rsidRPr="003E6EA4">
        <w:rPr>
          <w:lang w:val="en-GB"/>
        </w:rPr>
        <w:t xml:space="preserve">for the first time </w:t>
      </w:r>
      <w:r w:rsidR="00A56316" w:rsidRPr="003E6EA4">
        <w:rPr>
          <w:lang w:val="en-GB"/>
        </w:rPr>
        <w:t>in 2015.</w:t>
      </w:r>
    </w:p>
    <w:p w:rsidR="003743B1" w:rsidRPr="003E6EA4" w:rsidRDefault="003743B1" w:rsidP="00E46E8F">
      <w:pPr>
        <w:pStyle w:val="Marge"/>
        <w:numPr>
          <w:ilvl w:val="0"/>
          <w:numId w:val="14"/>
        </w:numPr>
        <w:tabs>
          <w:tab w:val="clear" w:pos="720"/>
        </w:tabs>
        <w:spacing w:after="120"/>
        <w:ind w:left="567" w:hanging="567"/>
        <w:rPr>
          <w:rFonts w:eastAsia="Arial"/>
          <w:lang w:val="en-GB"/>
        </w:rPr>
      </w:pPr>
      <w:r w:rsidRPr="003E6EA4">
        <w:rPr>
          <w:rFonts w:eastAsia="Arial" w:cs="Arial"/>
          <w:szCs w:val="22"/>
          <w:lang w:val="en-GB"/>
        </w:rPr>
        <w:lastRenderedPageBreak/>
        <w:t>The Committee continues to be confronted with a high number of States Pa</w:t>
      </w:r>
      <w:r w:rsidR="00E46E8F" w:rsidRPr="003E6EA4">
        <w:rPr>
          <w:rFonts w:eastAsia="Arial" w:cs="Arial"/>
          <w:szCs w:val="22"/>
          <w:lang w:val="en-GB"/>
        </w:rPr>
        <w:t>rties whose reports are overdue:</w:t>
      </w:r>
      <w:r w:rsidR="004324CD" w:rsidRPr="003E6EA4">
        <w:rPr>
          <w:rFonts w:eastAsia="Arial" w:cs="Arial"/>
          <w:szCs w:val="22"/>
          <w:lang w:val="en-GB"/>
        </w:rPr>
        <w:t xml:space="preserve"> </w:t>
      </w:r>
      <w:r w:rsidR="00FF24FE" w:rsidRPr="003E6EA4">
        <w:rPr>
          <w:rFonts w:eastAsia="Arial" w:cs="Arial"/>
          <w:szCs w:val="22"/>
          <w:lang w:val="en-GB"/>
        </w:rPr>
        <w:t xml:space="preserve">for example concerning the reports on the implementation of the Convention, </w:t>
      </w:r>
      <w:r w:rsidR="004324CD" w:rsidRPr="003E6EA4">
        <w:rPr>
          <w:rFonts w:eastAsia="Arial" w:cs="Arial"/>
          <w:szCs w:val="22"/>
          <w:lang w:val="en-GB"/>
        </w:rPr>
        <w:t>for the 2015 cycle</w:t>
      </w:r>
      <w:r w:rsidRPr="003E6EA4">
        <w:rPr>
          <w:rFonts w:eastAsia="Arial" w:cs="Arial"/>
          <w:szCs w:val="22"/>
          <w:lang w:val="en-GB"/>
        </w:rPr>
        <w:t xml:space="preserve"> 24 out of 48 expected reports were not submitted</w:t>
      </w:r>
      <w:r w:rsidR="00E46E8F" w:rsidRPr="003E6EA4">
        <w:rPr>
          <w:rFonts w:eastAsia="Arial" w:cs="Arial"/>
          <w:szCs w:val="22"/>
          <w:lang w:val="en-GB"/>
        </w:rPr>
        <w:t xml:space="preserve">. In order to try to solve this situation, for the first time at its tenth session the Committee has included in its decisions on 2015 periodic reports </w:t>
      </w:r>
      <w:proofErr w:type="gramStart"/>
      <w:r w:rsidR="00E46E8F" w:rsidRPr="003E6EA4">
        <w:rPr>
          <w:rFonts w:eastAsia="Arial" w:cs="Arial"/>
          <w:szCs w:val="22"/>
          <w:lang w:val="en-GB"/>
        </w:rPr>
        <w:t>an</w:t>
      </w:r>
      <w:proofErr w:type="gramEnd"/>
      <w:r w:rsidR="00E46E8F" w:rsidRPr="003E6EA4">
        <w:rPr>
          <w:rFonts w:eastAsia="Arial" w:cs="Arial"/>
          <w:szCs w:val="22"/>
          <w:lang w:val="en-GB"/>
        </w:rPr>
        <w:t xml:space="preserve"> encouragement to States Parties to fulfil their reporting requirements before submitting new nominations.</w:t>
      </w:r>
    </w:p>
    <w:p w:rsidR="003743B1" w:rsidRPr="003E6EA4" w:rsidRDefault="003743B1" w:rsidP="003743B1">
      <w:pPr>
        <w:keepNext/>
        <w:numPr>
          <w:ilvl w:val="0"/>
          <w:numId w:val="15"/>
        </w:numPr>
        <w:tabs>
          <w:tab w:val="clear" w:pos="720"/>
        </w:tabs>
        <w:spacing w:before="360" w:after="240"/>
        <w:ind w:left="567" w:hanging="567"/>
        <w:rPr>
          <w:rFonts w:ascii="Arial" w:hAnsi="Arial" w:cs="Arial"/>
          <w:b/>
          <w:sz w:val="22"/>
          <w:szCs w:val="22"/>
          <w:lang w:val="en-GB"/>
        </w:rPr>
      </w:pPr>
      <w:r w:rsidRPr="003E6EA4">
        <w:rPr>
          <w:rFonts w:ascii="Arial" w:hAnsi="Arial" w:cs="Arial"/>
          <w:b/>
          <w:sz w:val="22"/>
          <w:szCs w:val="22"/>
          <w:lang w:val="en-GB"/>
        </w:rPr>
        <w:t>Inscriptions on the Lists of the Convention, selection of best safeguarding practices and granting of international assistance</w:t>
      </w:r>
      <w:r w:rsidRPr="003E6EA4">
        <w:rPr>
          <w:rFonts w:ascii="Arial" w:hAnsi="Arial" w:cs="Arial"/>
          <w:sz w:val="22"/>
          <w:szCs w:val="22"/>
          <w:lang w:val="en-GB"/>
        </w:rPr>
        <w:t xml:space="preserve"> (Article 7[g])</w:t>
      </w:r>
    </w:p>
    <w:p w:rsidR="003743B1" w:rsidRPr="003E6EA4" w:rsidRDefault="003743B1" w:rsidP="003743B1">
      <w:pPr>
        <w:pStyle w:val="Marge"/>
        <w:numPr>
          <w:ilvl w:val="0"/>
          <w:numId w:val="14"/>
        </w:numPr>
        <w:tabs>
          <w:tab w:val="clear" w:pos="720"/>
        </w:tabs>
        <w:spacing w:after="120"/>
        <w:ind w:left="567" w:hanging="567"/>
        <w:rPr>
          <w:i/>
          <w:lang w:val="en-GB"/>
        </w:rPr>
      </w:pPr>
      <w:r w:rsidRPr="003E6EA4">
        <w:rPr>
          <w:rFonts w:eastAsia="Arial" w:cs="Arial"/>
          <w:szCs w:val="22"/>
          <w:lang w:val="en-GB"/>
        </w:rPr>
        <w:t>The Committee inscribed during the reporting period a total of</w:t>
      </w:r>
      <w:r w:rsidRPr="003E6EA4">
        <w:rPr>
          <w:lang w:val="en-GB"/>
        </w:rPr>
        <w:t xml:space="preserve"> </w:t>
      </w:r>
      <w:r w:rsidR="00F71B9B" w:rsidRPr="003E6EA4">
        <w:rPr>
          <w:rFonts w:eastAsia="Arial" w:cs="Arial"/>
          <w:szCs w:val="22"/>
          <w:lang w:val="en-GB"/>
        </w:rPr>
        <w:t>65</w:t>
      </w:r>
      <w:r w:rsidRPr="003E6EA4">
        <w:rPr>
          <w:rFonts w:eastAsia="Arial" w:cs="Arial"/>
          <w:szCs w:val="22"/>
          <w:lang w:val="en-GB"/>
        </w:rPr>
        <w:t xml:space="preserve"> elements on the Lists of the Convention:</w:t>
      </w:r>
      <w:r w:rsidRPr="003E6EA4">
        <w:rPr>
          <w:lang w:val="en-GB"/>
        </w:rPr>
        <w:t xml:space="preserve"> </w:t>
      </w:r>
      <w:r w:rsidR="00F71B9B" w:rsidRPr="003E6EA4">
        <w:rPr>
          <w:rFonts w:eastAsia="Arial" w:cs="Arial"/>
          <w:szCs w:val="22"/>
          <w:lang w:val="en-GB"/>
        </w:rPr>
        <w:t>8</w:t>
      </w:r>
      <w:r w:rsidRPr="003E6EA4">
        <w:rPr>
          <w:rFonts w:eastAsia="Arial" w:cs="Arial"/>
          <w:szCs w:val="22"/>
          <w:lang w:val="en-GB"/>
        </w:rPr>
        <w:t> elements on the List of Intangible Cultural Heritage in Need of Urgent Safeguarding and</w:t>
      </w:r>
      <w:r w:rsidRPr="003E6EA4">
        <w:rPr>
          <w:lang w:val="en-GB"/>
        </w:rPr>
        <w:t xml:space="preserve"> </w:t>
      </w:r>
      <w:r w:rsidR="00F71B9B" w:rsidRPr="003E6EA4">
        <w:rPr>
          <w:rFonts w:eastAsia="Arial" w:cs="Arial"/>
          <w:szCs w:val="22"/>
          <w:lang w:val="en-GB"/>
        </w:rPr>
        <w:t>57</w:t>
      </w:r>
      <w:r w:rsidRPr="003E6EA4">
        <w:rPr>
          <w:rFonts w:eastAsia="Arial" w:cs="Arial"/>
          <w:szCs w:val="22"/>
          <w:lang w:val="en-GB"/>
        </w:rPr>
        <w:t xml:space="preserve"> elements on the Representative List of the Intangible Cultural Heritage of Humanity. During the reporting period, the Committee also selected one best safeguarding practice.</w:t>
      </w:r>
    </w:p>
    <w:p w:rsidR="003743B1" w:rsidRPr="003E6EA4" w:rsidRDefault="003743B1" w:rsidP="003743B1">
      <w:pPr>
        <w:pStyle w:val="Marge"/>
        <w:numPr>
          <w:ilvl w:val="0"/>
          <w:numId w:val="14"/>
        </w:numPr>
        <w:tabs>
          <w:tab w:val="clear" w:pos="720"/>
        </w:tabs>
        <w:spacing w:after="120"/>
        <w:ind w:left="567" w:hanging="567"/>
        <w:rPr>
          <w:rFonts w:eastAsia="Arial" w:cs="Arial"/>
          <w:szCs w:val="22"/>
          <w:lang w:val="en-GB"/>
        </w:rPr>
      </w:pPr>
      <w:r w:rsidRPr="003E6EA4">
        <w:rPr>
          <w:lang w:val="en-GB"/>
        </w:rPr>
        <w:t>Following the approval by the General Assembly in 2014 of the amendments to the Operational Directives for the creation of a single 'Evaluation Body' (numbering six experts representing States Parties to the Convention non-members of the Committee and six accredited non-governmental organizations), the Committee established the first Evaluation Body during its ninth session and renewed three seats during its tenth session</w:t>
      </w:r>
      <w:r w:rsidR="003C6F8A" w:rsidRPr="003E6EA4">
        <w:rPr>
          <w:lang w:val="en-GB"/>
        </w:rPr>
        <w:t>.</w:t>
      </w:r>
    </w:p>
    <w:p w:rsidR="00F71A02" w:rsidRPr="003E6EA4" w:rsidRDefault="003743B1" w:rsidP="00685F89">
      <w:pPr>
        <w:pStyle w:val="Marge"/>
        <w:numPr>
          <w:ilvl w:val="0"/>
          <w:numId w:val="14"/>
        </w:numPr>
        <w:tabs>
          <w:tab w:val="clear" w:pos="720"/>
        </w:tabs>
        <w:spacing w:after="120"/>
        <w:ind w:left="567" w:hanging="567"/>
        <w:rPr>
          <w:i/>
          <w:lang w:val="en-GB"/>
        </w:rPr>
      </w:pPr>
      <w:r w:rsidRPr="003E6EA4">
        <w:rPr>
          <w:rFonts w:eastAsia="Arial" w:cs="Arial"/>
          <w:szCs w:val="22"/>
          <w:lang w:val="en-GB"/>
        </w:rPr>
        <w:t xml:space="preserve">The Committee (for requests greater than US$25,000) or the Bureau (for requests up to US$25,000 and emergency requests) approved a total of </w:t>
      </w:r>
      <w:r w:rsidR="005C20EF" w:rsidRPr="003E6EA4">
        <w:rPr>
          <w:rFonts w:eastAsia="Arial" w:cs="Arial"/>
          <w:szCs w:val="22"/>
          <w:lang w:val="en-GB"/>
        </w:rPr>
        <w:t xml:space="preserve">15 </w:t>
      </w:r>
      <w:r w:rsidRPr="003E6EA4">
        <w:rPr>
          <w:rFonts w:eastAsia="Arial" w:cs="Arial"/>
          <w:szCs w:val="22"/>
          <w:lang w:val="en-GB"/>
        </w:rPr>
        <w:t>requests for international assistance for a total amount of US$</w:t>
      </w:r>
      <w:r w:rsidR="00F57D01" w:rsidRPr="003E6EA4">
        <w:rPr>
          <w:rFonts w:eastAsia="Arial" w:cs="Arial"/>
          <w:szCs w:val="22"/>
          <w:lang w:val="en-GB"/>
        </w:rPr>
        <w:t>831</w:t>
      </w:r>
      <w:r w:rsidRPr="003E6EA4">
        <w:rPr>
          <w:rFonts w:eastAsia="Arial" w:cs="Arial"/>
          <w:szCs w:val="22"/>
          <w:lang w:val="en-GB"/>
        </w:rPr>
        <w:t>,</w:t>
      </w:r>
      <w:r w:rsidR="00F57D01" w:rsidRPr="003E6EA4">
        <w:rPr>
          <w:rFonts w:eastAsia="Arial" w:cs="Arial"/>
          <w:szCs w:val="22"/>
          <w:lang w:val="en-GB"/>
        </w:rPr>
        <w:t>561</w:t>
      </w:r>
      <w:r w:rsidRPr="003E6EA4">
        <w:rPr>
          <w:rFonts w:eastAsia="Arial" w:cs="Arial"/>
          <w:szCs w:val="22"/>
          <w:lang w:val="en-GB"/>
        </w:rPr>
        <w:t xml:space="preserve"> (see also </w:t>
      </w:r>
      <w:hyperlink r:id="rId31" w:history="1">
        <w:r w:rsidRPr="003E6EA4">
          <w:rPr>
            <w:rStyle w:val="Hyperlink"/>
            <w:rFonts w:eastAsia="Arial" w:cs="Arial"/>
            <w:szCs w:val="22"/>
            <w:lang w:val="en-GB"/>
          </w:rPr>
          <w:t>document</w:t>
        </w:r>
        <w:r w:rsidRPr="003E6EA4">
          <w:rPr>
            <w:rStyle w:val="Hyperlink"/>
            <w:lang w:val="en-GB"/>
          </w:rPr>
          <w:t xml:space="preserve"> </w:t>
        </w:r>
        <w:r w:rsidRPr="003E6EA4">
          <w:rPr>
            <w:rStyle w:val="Hyperlink"/>
            <w:rFonts w:eastAsia="Arial" w:cs="Arial"/>
            <w:szCs w:val="22"/>
            <w:lang w:val="en-GB"/>
          </w:rPr>
          <w:t>ITH/15/10.COM/6.c</w:t>
        </w:r>
      </w:hyperlink>
      <w:r w:rsidRPr="003E6EA4">
        <w:rPr>
          <w:lang w:val="en-GB"/>
        </w:rPr>
        <w:t xml:space="preserve"> </w:t>
      </w:r>
      <w:r w:rsidRPr="003E6EA4">
        <w:rPr>
          <w:rFonts w:eastAsia="Arial" w:cs="Arial"/>
          <w:szCs w:val="22"/>
          <w:lang w:val="en-GB"/>
        </w:rPr>
        <w:t xml:space="preserve">for the report on the use of international assistance by States Parties). A total of </w:t>
      </w:r>
      <w:r w:rsidR="005C20EF" w:rsidRPr="003E6EA4">
        <w:rPr>
          <w:rFonts w:eastAsia="Arial" w:cs="Arial"/>
          <w:szCs w:val="22"/>
          <w:lang w:val="en-GB"/>
        </w:rPr>
        <w:t xml:space="preserve">14 </w:t>
      </w:r>
      <w:r w:rsidRPr="003E6EA4">
        <w:rPr>
          <w:rFonts w:eastAsia="Arial" w:cs="Arial"/>
          <w:szCs w:val="22"/>
          <w:lang w:val="en-GB"/>
        </w:rPr>
        <w:t xml:space="preserve">countries received financial assistance from the ICH Fund during the </w:t>
      </w:r>
      <w:r w:rsidR="00B819DA" w:rsidRPr="003E6EA4">
        <w:rPr>
          <w:rFonts w:eastAsia="Arial" w:cs="Arial"/>
          <w:szCs w:val="22"/>
          <w:lang w:val="en-GB"/>
        </w:rPr>
        <w:t xml:space="preserve">reporting </w:t>
      </w:r>
      <w:r w:rsidRPr="003E6EA4">
        <w:rPr>
          <w:rFonts w:eastAsia="Arial" w:cs="Arial"/>
          <w:szCs w:val="22"/>
          <w:lang w:val="en-GB"/>
        </w:rPr>
        <w:t>period.</w:t>
      </w:r>
      <w:r w:rsidRPr="003E6EA4">
        <w:rPr>
          <w:lang w:val="en-GB"/>
        </w:rPr>
        <w:t xml:space="preserve"> </w:t>
      </w:r>
    </w:p>
    <w:sectPr w:rsidR="00F71A02" w:rsidRPr="003E6EA4" w:rsidSect="00655736">
      <w:headerReference w:type="even" r:id="rId32"/>
      <w:headerReference w:type="default" r:id="rId33"/>
      <w:headerReference w:type="first" r:id="rId34"/>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766" w:rsidRDefault="00957766" w:rsidP="00655736">
      <w:r>
        <w:separator/>
      </w:r>
    </w:p>
  </w:endnote>
  <w:endnote w:type="continuationSeparator" w:id="0">
    <w:p w:rsidR="00957766" w:rsidRDefault="00957766"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766" w:rsidRDefault="00957766" w:rsidP="00655736">
      <w:r>
        <w:separator/>
      </w:r>
    </w:p>
  </w:footnote>
  <w:footnote w:type="continuationSeparator" w:id="0">
    <w:p w:rsidR="00957766" w:rsidRDefault="00957766" w:rsidP="00655736">
      <w:r>
        <w:continuationSeparator/>
      </w:r>
    </w:p>
  </w:footnote>
  <w:footnote w:id="1">
    <w:p w:rsidR="003743B1" w:rsidRPr="005E2351" w:rsidRDefault="003743B1" w:rsidP="003743B1">
      <w:pPr>
        <w:pStyle w:val="FootnoteText"/>
        <w:tabs>
          <w:tab w:val="left" w:pos="284"/>
        </w:tabs>
        <w:rPr>
          <w:lang w:val="en-US"/>
        </w:rPr>
      </w:pPr>
      <w:r w:rsidRPr="002929AE">
        <w:rPr>
          <w:rStyle w:val="FootnoteReference"/>
        </w:rPr>
        <w:footnoteRef/>
      </w:r>
      <w:r>
        <w:t>.</w:t>
      </w:r>
      <w:r>
        <w:tab/>
      </w:r>
      <w:r w:rsidRPr="005E2351">
        <w:rPr>
          <w:lang w:val="en-US"/>
        </w:rPr>
        <w:t>For further details</w:t>
      </w:r>
      <w:r>
        <w:rPr>
          <w:lang w:val="en-US"/>
        </w:rPr>
        <w:t xml:space="preserve"> on outputs and indicators</w:t>
      </w:r>
      <w:r w:rsidRPr="005E2351">
        <w:rPr>
          <w:lang w:val="en-US"/>
        </w:rPr>
        <w:t xml:space="preserve"> refer to document </w:t>
      </w:r>
      <w:hyperlink r:id="rId1" w:history="1">
        <w:r w:rsidRPr="005E2351">
          <w:rPr>
            <w:rStyle w:val="Hyperlink"/>
            <w:lang w:val="en-US"/>
          </w:rPr>
          <w:t>ITH/14/9.COM 2.BUR/1</w:t>
        </w:r>
      </w:hyperlink>
      <w:r w:rsidRPr="00D0711E">
        <w:rPr>
          <w:rStyle w:val="Hyperlink"/>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4C" w:rsidRPr="00C23A97" w:rsidRDefault="00763A0D">
    <w:pPr>
      <w:pStyle w:val="Header"/>
      <w:rPr>
        <w:rFonts w:ascii="Arial" w:hAnsi="Arial" w:cs="Arial"/>
        <w:lang w:val="en-GB"/>
      </w:rPr>
    </w:pPr>
    <w:r>
      <w:rPr>
        <w:rFonts w:ascii="Arial" w:hAnsi="Arial" w:cs="Arial"/>
        <w:sz w:val="20"/>
        <w:szCs w:val="20"/>
        <w:lang w:val="en-GB"/>
      </w:rPr>
      <w:t>ITH/16/6</w:t>
    </w:r>
    <w:r w:rsidR="00BB04AF" w:rsidRPr="00C23A97">
      <w:rPr>
        <w:rFonts w:ascii="Arial" w:hAnsi="Arial" w:cs="Arial"/>
        <w:sz w:val="20"/>
        <w:szCs w:val="20"/>
        <w:lang w:val="en-GB"/>
      </w:rPr>
      <w:t>.GA</w:t>
    </w:r>
    <w:r w:rsidR="00D95C4C" w:rsidRPr="00C23A97">
      <w:rPr>
        <w:rFonts w:ascii="Arial" w:hAnsi="Arial" w:cs="Arial"/>
        <w:sz w:val="20"/>
        <w:szCs w:val="20"/>
        <w:lang w:val="en-GB"/>
      </w:rPr>
      <w:t>/</w:t>
    </w:r>
    <w:r w:rsidR="002A72B0">
      <w:rPr>
        <w:rFonts w:ascii="Arial" w:hAnsi="Arial" w:cs="Arial"/>
        <w:sz w:val="20"/>
        <w:szCs w:val="20"/>
        <w:lang w:val="en-GB"/>
      </w:rPr>
      <w:t>5</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CD225D">
      <w:rPr>
        <w:rStyle w:val="PageNumber"/>
        <w:rFonts w:ascii="Arial" w:hAnsi="Arial" w:cs="Arial"/>
        <w:sz w:val="20"/>
        <w:szCs w:val="20"/>
        <w:lang w:val="en-GB"/>
      </w:rPr>
      <w:t>6</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4C" w:rsidRPr="0063300C" w:rsidRDefault="00060601" w:rsidP="0063300C">
    <w:pPr>
      <w:pStyle w:val="Header"/>
      <w:jc w:val="right"/>
      <w:rPr>
        <w:rFonts w:ascii="Arial" w:hAnsi="Arial" w:cs="Arial"/>
        <w:lang w:val="en-GB"/>
      </w:rPr>
    </w:pPr>
    <w:r>
      <w:rPr>
        <w:rFonts w:ascii="Arial" w:hAnsi="Arial" w:cs="Arial"/>
        <w:sz w:val="20"/>
        <w:szCs w:val="20"/>
        <w:lang w:val="en-GB"/>
      </w:rPr>
      <w:t>ITH/16</w:t>
    </w:r>
    <w:r w:rsidR="004A34A0" w:rsidRPr="0063300C">
      <w:rPr>
        <w:rFonts w:ascii="Arial" w:hAnsi="Arial" w:cs="Arial"/>
        <w:sz w:val="20"/>
        <w:szCs w:val="20"/>
        <w:lang w:val="en-GB"/>
      </w:rPr>
      <w:t>/</w:t>
    </w:r>
    <w:r w:rsidR="000C49D6">
      <w:rPr>
        <w:rFonts w:ascii="Arial" w:hAnsi="Arial" w:cs="Arial"/>
        <w:sz w:val="20"/>
        <w:szCs w:val="20"/>
        <w:lang w:val="en-GB"/>
      </w:rPr>
      <w:t>6</w:t>
    </w:r>
    <w:r w:rsidR="004A34A0" w:rsidRPr="0063300C">
      <w:rPr>
        <w:rFonts w:ascii="Arial" w:hAnsi="Arial" w:cs="Arial"/>
        <w:sz w:val="20"/>
        <w:szCs w:val="20"/>
        <w:lang w:val="en-GB"/>
      </w:rPr>
      <w:t>.GA/</w:t>
    </w:r>
    <w:r w:rsidR="003743B1">
      <w:rPr>
        <w:rFonts w:ascii="Arial" w:hAnsi="Arial" w:cs="Arial"/>
        <w:sz w:val="20"/>
        <w:szCs w:val="20"/>
        <w:lang w:val="en-GB"/>
      </w:rPr>
      <w:t>5</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CD225D">
      <w:rPr>
        <w:rStyle w:val="PageNumber"/>
        <w:rFonts w:ascii="Arial" w:hAnsi="Arial" w:cs="Arial"/>
        <w:sz w:val="20"/>
        <w:szCs w:val="20"/>
        <w:lang w:val="en-GB"/>
      </w:rPr>
      <w:t>7</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4C" w:rsidRPr="008724E5" w:rsidRDefault="00AA6660">
    <w:pPr>
      <w:pStyle w:val="Header"/>
    </w:pPr>
    <w:r>
      <w:rPr>
        <w:noProof/>
      </w:rPr>
      <w:drawing>
        <wp:anchor distT="0" distB="0" distL="114300" distR="114300" simplePos="0" relativeHeight="251657728" behindDoc="0" locked="0" layoutInCell="1" allowOverlap="1" wp14:anchorId="54C8B16F" wp14:editId="324BCEA2">
          <wp:simplePos x="0" y="0"/>
          <wp:positionH relativeFrom="column">
            <wp:posOffset>-651510</wp:posOffset>
          </wp:positionH>
          <wp:positionV relativeFrom="paragraph">
            <wp:posOffset>-201930</wp:posOffset>
          </wp:positionV>
          <wp:extent cx="2228215" cy="1367790"/>
          <wp:effectExtent l="0" t="0" r="635" b="3810"/>
          <wp:wrapNone/>
          <wp:docPr id="6"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5C4C" w:rsidRPr="00AB439C" w:rsidRDefault="00763A0D" w:rsidP="00655736">
    <w:pPr>
      <w:pStyle w:val="Header"/>
      <w:spacing w:after="520"/>
      <w:jc w:val="right"/>
      <w:rPr>
        <w:rFonts w:ascii="Arial" w:hAnsi="Arial" w:cs="Arial"/>
        <w:b/>
        <w:sz w:val="44"/>
        <w:szCs w:val="44"/>
        <w:lang w:val="en-US"/>
      </w:rPr>
    </w:pPr>
    <w:r w:rsidRPr="00AB439C">
      <w:rPr>
        <w:rFonts w:ascii="Arial" w:hAnsi="Arial" w:cs="Arial"/>
        <w:b/>
        <w:sz w:val="44"/>
        <w:szCs w:val="44"/>
        <w:lang w:val="en-US"/>
      </w:rPr>
      <w:t>6</w:t>
    </w:r>
    <w:r w:rsidR="00D95C4C" w:rsidRPr="00AB439C">
      <w:rPr>
        <w:rFonts w:ascii="Arial" w:hAnsi="Arial" w:cs="Arial"/>
        <w:b/>
        <w:sz w:val="44"/>
        <w:szCs w:val="44"/>
        <w:lang w:val="en-US"/>
      </w:rPr>
      <w:t xml:space="preserve"> GA</w:t>
    </w:r>
  </w:p>
  <w:p w:rsidR="00D95C4C" w:rsidRPr="00AB439C" w:rsidRDefault="00763A0D" w:rsidP="00655736">
    <w:pPr>
      <w:jc w:val="right"/>
      <w:rPr>
        <w:rFonts w:ascii="Arial" w:hAnsi="Arial" w:cs="Arial"/>
        <w:b/>
        <w:sz w:val="22"/>
        <w:szCs w:val="22"/>
        <w:lang w:val="en-US"/>
      </w:rPr>
    </w:pPr>
    <w:r w:rsidRPr="00AB439C">
      <w:rPr>
        <w:rFonts w:ascii="Arial" w:hAnsi="Arial" w:cs="Arial"/>
        <w:b/>
        <w:sz w:val="22"/>
        <w:szCs w:val="22"/>
        <w:lang w:val="en-US"/>
      </w:rPr>
      <w:t>ITH/16</w:t>
    </w:r>
    <w:r w:rsidR="00D95C4C" w:rsidRPr="00AB439C">
      <w:rPr>
        <w:rFonts w:ascii="Arial" w:hAnsi="Arial" w:cs="Arial"/>
        <w:b/>
        <w:sz w:val="22"/>
        <w:szCs w:val="22"/>
        <w:lang w:val="en-US"/>
      </w:rPr>
      <w:t>/</w:t>
    </w:r>
    <w:r w:rsidRPr="00AB439C">
      <w:rPr>
        <w:rFonts w:ascii="Arial" w:hAnsi="Arial" w:cs="Arial"/>
        <w:b/>
        <w:sz w:val="22"/>
        <w:szCs w:val="22"/>
        <w:lang w:val="en-US"/>
      </w:rPr>
      <w:t>6</w:t>
    </w:r>
    <w:r w:rsidR="00D95C4C" w:rsidRPr="00AB439C">
      <w:rPr>
        <w:rFonts w:ascii="Arial" w:hAnsi="Arial" w:cs="Arial"/>
        <w:b/>
        <w:sz w:val="22"/>
        <w:szCs w:val="22"/>
        <w:lang w:val="en-US"/>
      </w:rPr>
      <w:t>.</w:t>
    </w:r>
    <w:r w:rsidR="00BB04AF" w:rsidRPr="00AB439C">
      <w:rPr>
        <w:rFonts w:ascii="Arial" w:hAnsi="Arial" w:cs="Arial"/>
        <w:b/>
        <w:sz w:val="22"/>
        <w:szCs w:val="22"/>
        <w:lang w:val="en-US"/>
      </w:rPr>
      <w:t>GA</w:t>
    </w:r>
    <w:r w:rsidR="00D95C4C" w:rsidRPr="00AB439C">
      <w:rPr>
        <w:rFonts w:ascii="Arial" w:hAnsi="Arial" w:cs="Arial"/>
        <w:b/>
        <w:sz w:val="22"/>
        <w:szCs w:val="22"/>
        <w:lang w:val="en-US"/>
      </w:rPr>
      <w:t>/</w:t>
    </w:r>
    <w:r w:rsidR="002A72B0" w:rsidRPr="00AB439C">
      <w:rPr>
        <w:rFonts w:ascii="Arial" w:hAnsi="Arial" w:cs="Arial"/>
        <w:b/>
        <w:sz w:val="22"/>
        <w:szCs w:val="22"/>
        <w:lang w:val="en-US"/>
      </w:rPr>
      <w:t>5</w:t>
    </w:r>
  </w:p>
  <w:p w:rsidR="00D95C4C" w:rsidRPr="00AB439C" w:rsidRDefault="00D95C4C" w:rsidP="00655736">
    <w:pPr>
      <w:jc w:val="right"/>
      <w:rPr>
        <w:rFonts w:ascii="Arial" w:hAnsi="Arial" w:cs="Arial"/>
        <w:b/>
        <w:sz w:val="22"/>
        <w:szCs w:val="22"/>
        <w:lang w:val="en-US"/>
      </w:rPr>
    </w:pPr>
    <w:r w:rsidRPr="00AB439C">
      <w:rPr>
        <w:rFonts w:ascii="Arial" w:hAnsi="Arial" w:cs="Arial"/>
        <w:b/>
        <w:sz w:val="22"/>
        <w:szCs w:val="22"/>
        <w:lang w:val="en-US"/>
      </w:rPr>
      <w:t>Paris</w:t>
    </w:r>
    <w:r w:rsidR="00091CF7">
      <w:rPr>
        <w:rFonts w:ascii="Arial" w:hAnsi="Arial" w:cs="Arial"/>
        <w:b/>
        <w:sz w:val="22"/>
        <w:szCs w:val="22"/>
        <w:lang w:val="en-US"/>
      </w:rPr>
      <w:t>, 29 April 2016</w:t>
    </w:r>
  </w:p>
  <w:p w:rsidR="00D95C4C" w:rsidRPr="00D33024" w:rsidRDefault="003E6EA4" w:rsidP="000048ED">
    <w:pPr>
      <w:jc w:val="right"/>
      <w:rPr>
        <w:rFonts w:ascii="Arial" w:hAnsi="Arial" w:cs="Arial"/>
        <w:b/>
        <w:sz w:val="22"/>
        <w:szCs w:val="22"/>
        <w:lang w:val="en-US"/>
      </w:rPr>
    </w:pPr>
    <w:r w:rsidRPr="00D33024">
      <w:rPr>
        <w:rFonts w:ascii="Arial" w:hAnsi="Arial" w:cs="Arial"/>
        <w:b/>
        <w:sz w:val="22"/>
        <w:szCs w:val="22"/>
        <w:lang w:val="en-US"/>
      </w:rPr>
      <w:t>Original:</w:t>
    </w:r>
    <w:r w:rsidR="00D95C4C" w:rsidRPr="00D33024">
      <w:rPr>
        <w:rFonts w:ascii="Arial" w:hAnsi="Arial" w:cs="Arial"/>
        <w:b/>
        <w:sz w:val="22"/>
        <w:szCs w:val="22"/>
        <w:lang w:val="en-US"/>
      </w:rPr>
      <w:t xml:space="preserve"> </w:t>
    </w:r>
    <w:r w:rsidR="00A46EF5" w:rsidRPr="00D33024">
      <w:rPr>
        <w:rFonts w:ascii="Arial" w:hAnsi="Arial" w:cs="Arial"/>
        <w:b/>
        <w:sz w:val="22"/>
        <w:szCs w:val="22"/>
        <w:lang w:val="en-US"/>
      </w:rPr>
      <w:t>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B"/>
    <w:multiLevelType w:val="multilevel"/>
    <w:tmpl w:val="406820A0"/>
    <w:lvl w:ilvl="0">
      <w:start w:val="1"/>
      <w:numFmt w:val="upperRoman"/>
      <w:lvlText w:val="%1."/>
      <w:lvlJc w:val="right"/>
      <w:pPr>
        <w:tabs>
          <w:tab w:val="num" w:pos="720"/>
        </w:tabs>
        <w:ind w:left="720" w:hanging="360"/>
      </w:pPr>
      <w:rPr>
        <w:rFonts w:ascii="Arial" w:eastAsia="Arial" w:hAnsi="Arial" w:cs="Arial" w:hint="default"/>
        <w:b/>
        <w:bCs/>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2E411C8"/>
    <w:multiLevelType w:val="hybridMultilevel"/>
    <w:tmpl w:val="37FE8E4C"/>
    <w:lvl w:ilvl="0" w:tplc="BFBAD998">
      <w:start w:val="1"/>
      <w:numFmt w:val="lowerLetter"/>
      <w:lvlText w:val="%1)"/>
      <w:lvlJc w:val="left"/>
      <w:pPr>
        <w:ind w:left="720" w:hanging="360"/>
      </w:pPr>
      <w:rPr>
        <w:rFonts w:ascii="Arial" w:hAnsi="Arial"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F7B6D05"/>
    <w:multiLevelType w:val="hybridMultilevel"/>
    <w:tmpl w:val="4C4EE242"/>
    <w:lvl w:ilvl="0" w:tplc="42E600FC">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nsid w:val="2AB35019"/>
    <w:multiLevelType w:val="multilevel"/>
    <w:tmpl w:val="F4A297D4"/>
    <w:lvl w:ilvl="0">
      <w:start w:val="1"/>
      <w:numFmt w:val="decimal"/>
      <w:lvlText w:val="%1."/>
      <w:lvlJc w:val="left"/>
      <w:pPr>
        <w:tabs>
          <w:tab w:val="num" w:pos="720"/>
        </w:tabs>
        <w:ind w:left="720" w:hanging="360"/>
      </w:pPr>
      <w:rPr>
        <w:rFonts w:ascii="Arial" w:eastAsia="Arial" w:hAnsi="Arial" w:cs="Arial"/>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3">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5">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9"/>
  </w:num>
  <w:num w:numId="3">
    <w:abstractNumId w:val="4"/>
  </w:num>
  <w:num w:numId="4">
    <w:abstractNumId w:val="16"/>
  </w:num>
  <w:num w:numId="5">
    <w:abstractNumId w:val="15"/>
  </w:num>
  <w:num w:numId="6">
    <w:abstractNumId w:val="3"/>
  </w:num>
  <w:num w:numId="7">
    <w:abstractNumId w:val="5"/>
  </w:num>
  <w:num w:numId="8">
    <w:abstractNumId w:val="13"/>
  </w:num>
  <w:num w:numId="9">
    <w:abstractNumId w:val="8"/>
  </w:num>
  <w:num w:numId="10">
    <w:abstractNumId w:val="10"/>
  </w:num>
  <w:num w:numId="11">
    <w:abstractNumId w:val="12"/>
  </w:num>
  <w:num w:numId="12">
    <w:abstractNumId w:val="11"/>
  </w:num>
  <w:num w:numId="13">
    <w:abstractNumId w:val="0"/>
  </w:num>
  <w:num w:numId="14">
    <w:abstractNumId w:val="7"/>
  </w:num>
  <w:num w:numId="15">
    <w:abstractNumId w:val="1"/>
  </w:num>
  <w:num w:numId="16">
    <w:abstractNumId w:val="6"/>
  </w:num>
  <w:num w:numId="1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Sancristobal, Berta">
    <w15:presenceInfo w15:providerId="AD" w15:userId="S-1-5-21-1606980848-1958367476-725345543-23812"/>
  </w15:person>
  <w15:person w15:author="Delsol, Christine">
    <w15:presenceInfo w15:providerId="AD" w15:userId="S-1-5-21-1606980848-1958367476-725345543-6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66"/>
    <w:rsid w:val="000048ED"/>
    <w:rsid w:val="00013133"/>
    <w:rsid w:val="00016AB3"/>
    <w:rsid w:val="000231EF"/>
    <w:rsid w:val="00023BCC"/>
    <w:rsid w:val="00041A66"/>
    <w:rsid w:val="0005176E"/>
    <w:rsid w:val="00060601"/>
    <w:rsid w:val="000765F7"/>
    <w:rsid w:val="00077AB7"/>
    <w:rsid w:val="00081CD8"/>
    <w:rsid w:val="00091CF7"/>
    <w:rsid w:val="000A7F0E"/>
    <w:rsid w:val="000C0D61"/>
    <w:rsid w:val="000C49D6"/>
    <w:rsid w:val="000E5A52"/>
    <w:rsid w:val="000F3A3F"/>
    <w:rsid w:val="00102557"/>
    <w:rsid w:val="00135F0C"/>
    <w:rsid w:val="00147378"/>
    <w:rsid w:val="00163F26"/>
    <w:rsid w:val="00164D56"/>
    <w:rsid w:val="00167B10"/>
    <w:rsid w:val="0017402F"/>
    <w:rsid w:val="00176D2C"/>
    <w:rsid w:val="00194C0E"/>
    <w:rsid w:val="00196C1B"/>
    <w:rsid w:val="001B0F73"/>
    <w:rsid w:val="001C60C0"/>
    <w:rsid w:val="001D5C04"/>
    <w:rsid w:val="00222A2D"/>
    <w:rsid w:val="00223029"/>
    <w:rsid w:val="00234745"/>
    <w:rsid w:val="002407AF"/>
    <w:rsid w:val="0029674D"/>
    <w:rsid w:val="002A06A8"/>
    <w:rsid w:val="002A72B0"/>
    <w:rsid w:val="002B5DD0"/>
    <w:rsid w:val="002C09E3"/>
    <w:rsid w:val="002C1393"/>
    <w:rsid w:val="003017E7"/>
    <w:rsid w:val="00323F00"/>
    <w:rsid w:val="00345CB4"/>
    <w:rsid w:val="003743B1"/>
    <w:rsid w:val="003B6D63"/>
    <w:rsid w:val="003C6F8A"/>
    <w:rsid w:val="003D069C"/>
    <w:rsid w:val="003D7646"/>
    <w:rsid w:val="003E6EA4"/>
    <w:rsid w:val="003F113A"/>
    <w:rsid w:val="003F36BB"/>
    <w:rsid w:val="00414643"/>
    <w:rsid w:val="0042433D"/>
    <w:rsid w:val="004324CD"/>
    <w:rsid w:val="004421E5"/>
    <w:rsid w:val="00444B59"/>
    <w:rsid w:val="00452284"/>
    <w:rsid w:val="004534E4"/>
    <w:rsid w:val="004856CA"/>
    <w:rsid w:val="00492A17"/>
    <w:rsid w:val="0049705E"/>
    <w:rsid w:val="004A34A0"/>
    <w:rsid w:val="004A4A3D"/>
    <w:rsid w:val="004C114A"/>
    <w:rsid w:val="004D1AD6"/>
    <w:rsid w:val="00504F89"/>
    <w:rsid w:val="005128F8"/>
    <w:rsid w:val="00526B7B"/>
    <w:rsid w:val="005308CE"/>
    <w:rsid w:val="00557C9B"/>
    <w:rsid w:val="0057439C"/>
    <w:rsid w:val="0059372F"/>
    <w:rsid w:val="005B0127"/>
    <w:rsid w:val="005B2AC1"/>
    <w:rsid w:val="005B7A35"/>
    <w:rsid w:val="005C20EF"/>
    <w:rsid w:val="005C4B73"/>
    <w:rsid w:val="005E1D2B"/>
    <w:rsid w:val="00600D93"/>
    <w:rsid w:val="0063300C"/>
    <w:rsid w:val="00655736"/>
    <w:rsid w:val="00663B8D"/>
    <w:rsid w:val="00684B36"/>
    <w:rsid w:val="00685F89"/>
    <w:rsid w:val="00693B63"/>
    <w:rsid w:val="00696C8D"/>
    <w:rsid w:val="006A2AC2"/>
    <w:rsid w:val="006A3617"/>
    <w:rsid w:val="006B6225"/>
    <w:rsid w:val="006C47F5"/>
    <w:rsid w:val="006E46E4"/>
    <w:rsid w:val="006F6EDA"/>
    <w:rsid w:val="00717DA5"/>
    <w:rsid w:val="0073032C"/>
    <w:rsid w:val="00744484"/>
    <w:rsid w:val="00754A4C"/>
    <w:rsid w:val="00763A0D"/>
    <w:rsid w:val="00773188"/>
    <w:rsid w:val="00780D19"/>
    <w:rsid w:val="00783782"/>
    <w:rsid w:val="00784B8C"/>
    <w:rsid w:val="007B5D64"/>
    <w:rsid w:val="00823A11"/>
    <w:rsid w:val="00852351"/>
    <w:rsid w:val="00852866"/>
    <w:rsid w:val="0085414A"/>
    <w:rsid w:val="0086269D"/>
    <w:rsid w:val="0086543A"/>
    <w:rsid w:val="008724E5"/>
    <w:rsid w:val="00884A9D"/>
    <w:rsid w:val="0088512B"/>
    <w:rsid w:val="0089069C"/>
    <w:rsid w:val="008A2B2D"/>
    <w:rsid w:val="008A3F0D"/>
    <w:rsid w:val="008A4E1E"/>
    <w:rsid w:val="008C296C"/>
    <w:rsid w:val="008D4305"/>
    <w:rsid w:val="008E5107"/>
    <w:rsid w:val="008F5670"/>
    <w:rsid w:val="009144E3"/>
    <w:rsid w:val="009163A7"/>
    <w:rsid w:val="00946D0B"/>
    <w:rsid w:val="009552ED"/>
    <w:rsid w:val="00957766"/>
    <w:rsid w:val="0097579A"/>
    <w:rsid w:val="0099560A"/>
    <w:rsid w:val="009A18CD"/>
    <w:rsid w:val="009C376A"/>
    <w:rsid w:val="009D0487"/>
    <w:rsid w:val="009D605C"/>
    <w:rsid w:val="00A12558"/>
    <w:rsid w:val="00A13903"/>
    <w:rsid w:val="00A1571F"/>
    <w:rsid w:val="00A34ED5"/>
    <w:rsid w:val="00A45DBF"/>
    <w:rsid w:val="00A46EF5"/>
    <w:rsid w:val="00A47488"/>
    <w:rsid w:val="00A56316"/>
    <w:rsid w:val="00A67015"/>
    <w:rsid w:val="00A71701"/>
    <w:rsid w:val="00A71781"/>
    <w:rsid w:val="00A755A2"/>
    <w:rsid w:val="00A77DD1"/>
    <w:rsid w:val="00AA6660"/>
    <w:rsid w:val="00AB2C36"/>
    <w:rsid w:val="00AB411F"/>
    <w:rsid w:val="00AB439C"/>
    <w:rsid w:val="00AB70B6"/>
    <w:rsid w:val="00AB7F28"/>
    <w:rsid w:val="00AC32C6"/>
    <w:rsid w:val="00AD1A86"/>
    <w:rsid w:val="00AE103E"/>
    <w:rsid w:val="00AF0A07"/>
    <w:rsid w:val="00AF4AEC"/>
    <w:rsid w:val="00AF625E"/>
    <w:rsid w:val="00B15218"/>
    <w:rsid w:val="00B25F99"/>
    <w:rsid w:val="00B575C1"/>
    <w:rsid w:val="00B74209"/>
    <w:rsid w:val="00B819DA"/>
    <w:rsid w:val="00B906D2"/>
    <w:rsid w:val="00B97994"/>
    <w:rsid w:val="00BA70EC"/>
    <w:rsid w:val="00BB04AF"/>
    <w:rsid w:val="00BB262F"/>
    <w:rsid w:val="00BD52C9"/>
    <w:rsid w:val="00BE6354"/>
    <w:rsid w:val="00C01AEA"/>
    <w:rsid w:val="00C23A97"/>
    <w:rsid w:val="00C24EF6"/>
    <w:rsid w:val="00C3433B"/>
    <w:rsid w:val="00C37FB2"/>
    <w:rsid w:val="00C52711"/>
    <w:rsid w:val="00C70EA7"/>
    <w:rsid w:val="00C73FD7"/>
    <w:rsid w:val="00C7516E"/>
    <w:rsid w:val="00C75770"/>
    <w:rsid w:val="00CA3852"/>
    <w:rsid w:val="00CC4A67"/>
    <w:rsid w:val="00CD225D"/>
    <w:rsid w:val="00CD43EF"/>
    <w:rsid w:val="00D00B2B"/>
    <w:rsid w:val="00D02523"/>
    <w:rsid w:val="00D148DA"/>
    <w:rsid w:val="00D239AF"/>
    <w:rsid w:val="00D24877"/>
    <w:rsid w:val="00D33024"/>
    <w:rsid w:val="00D353B3"/>
    <w:rsid w:val="00D353BF"/>
    <w:rsid w:val="00D42962"/>
    <w:rsid w:val="00D6351A"/>
    <w:rsid w:val="00D80A11"/>
    <w:rsid w:val="00D95C4C"/>
    <w:rsid w:val="00DA133B"/>
    <w:rsid w:val="00DA36ED"/>
    <w:rsid w:val="00DB1842"/>
    <w:rsid w:val="00DC2DF3"/>
    <w:rsid w:val="00DC7880"/>
    <w:rsid w:val="00DD21FB"/>
    <w:rsid w:val="00DD22E9"/>
    <w:rsid w:val="00DE34F1"/>
    <w:rsid w:val="00DE6FAC"/>
    <w:rsid w:val="00DF4942"/>
    <w:rsid w:val="00E07D98"/>
    <w:rsid w:val="00E209D7"/>
    <w:rsid w:val="00E26726"/>
    <w:rsid w:val="00E371F3"/>
    <w:rsid w:val="00E46E8F"/>
    <w:rsid w:val="00E627B1"/>
    <w:rsid w:val="00E7442D"/>
    <w:rsid w:val="00E76F76"/>
    <w:rsid w:val="00E9376C"/>
    <w:rsid w:val="00E96F2E"/>
    <w:rsid w:val="00EA335E"/>
    <w:rsid w:val="00EA528C"/>
    <w:rsid w:val="00EA639E"/>
    <w:rsid w:val="00ED7697"/>
    <w:rsid w:val="00EE57B7"/>
    <w:rsid w:val="00EF34E2"/>
    <w:rsid w:val="00F46FFC"/>
    <w:rsid w:val="00F47DBB"/>
    <w:rsid w:val="00F53DE9"/>
    <w:rsid w:val="00F576CB"/>
    <w:rsid w:val="00F57D01"/>
    <w:rsid w:val="00F71A02"/>
    <w:rsid w:val="00F71B9B"/>
    <w:rsid w:val="00FD1226"/>
    <w:rsid w:val="00FD30C4"/>
    <w:rsid w:val="00FD3D98"/>
    <w:rsid w:val="00FD585B"/>
    <w:rsid w:val="00FF24FE"/>
    <w:rsid w:val="00FF48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Hyperlink">
    <w:name w:val="Hyperlink"/>
    <w:uiPriority w:val="99"/>
    <w:unhideWhenUsed/>
    <w:rsid w:val="002A72B0"/>
    <w:rPr>
      <w:color w:val="0000FF"/>
      <w:u w:val="single"/>
    </w:rPr>
  </w:style>
  <w:style w:type="paragraph" w:customStyle="1" w:styleId="5GAParaResolution">
    <w:name w:val="5GA Para Resolution"/>
    <w:basedOn w:val="Normal"/>
    <w:qFormat/>
    <w:rsid w:val="002A72B0"/>
    <w:pPr>
      <w:autoSpaceDE w:val="0"/>
      <w:autoSpaceDN w:val="0"/>
      <w:adjustRightInd w:val="0"/>
      <w:spacing w:after="120"/>
      <w:ind w:left="1134" w:hanging="567"/>
      <w:jc w:val="both"/>
    </w:pPr>
    <w:rPr>
      <w:rFonts w:ascii="Arial" w:eastAsia="SimSun" w:hAnsi="Arial" w:cs="Arial"/>
      <w:sz w:val="22"/>
      <w:szCs w:val="22"/>
      <w:lang w:val="en-GB"/>
    </w:rPr>
  </w:style>
  <w:style w:type="paragraph" w:styleId="ListParagraph">
    <w:name w:val="List Paragraph"/>
    <w:basedOn w:val="Normal"/>
    <w:qFormat/>
    <w:rsid w:val="003743B1"/>
    <w:pPr>
      <w:ind w:left="720"/>
      <w:contextualSpacing/>
    </w:pPr>
  </w:style>
  <w:style w:type="paragraph" w:styleId="FootnoteText">
    <w:name w:val="footnote text"/>
    <w:basedOn w:val="Normal"/>
    <w:link w:val="FootnoteTextChar"/>
    <w:uiPriority w:val="99"/>
    <w:unhideWhenUsed/>
    <w:rsid w:val="003743B1"/>
    <w:pPr>
      <w:spacing w:before="60" w:after="60"/>
      <w:jc w:val="both"/>
    </w:pPr>
    <w:rPr>
      <w:rFonts w:ascii="Arial" w:hAnsi="Arial"/>
      <w:sz w:val="20"/>
      <w:szCs w:val="20"/>
      <w:lang w:val="en-GB"/>
    </w:rPr>
  </w:style>
  <w:style w:type="character" w:customStyle="1" w:styleId="FootnoteTextChar">
    <w:name w:val="Footnote Text Char"/>
    <w:basedOn w:val="DefaultParagraphFont"/>
    <w:link w:val="FootnoteText"/>
    <w:uiPriority w:val="99"/>
    <w:rsid w:val="003743B1"/>
    <w:rPr>
      <w:rFonts w:ascii="Arial" w:eastAsia="Times New Roman" w:hAnsi="Arial"/>
      <w:lang w:eastAsia="fr-FR"/>
    </w:rPr>
  </w:style>
  <w:style w:type="character" w:styleId="FootnoteReference">
    <w:name w:val="footnote reference"/>
    <w:uiPriority w:val="99"/>
    <w:unhideWhenUsed/>
    <w:rsid w:val="003743B1"/>
    <w:rPr>
      <w:vertAlign w:val="superscript"/>
    </w:rPr>
  </w:style>
  <w:style w:type="character" w:customStyle="1" w:styleId="hps">
    <w:name w:val="hps"/>
    <w:rsid w:val="003743B1"/>
  </w:style>
  <w:style w:type="character" w:styleId="CommentReference">
    <w:name w:val="annotation reference"/>
    <w:basedOn w:val="DefaultParagraphFont"/>
    <w:uiPriority w:val="99"/>
    <w:semiHidden/>
    <w:unhideWhenUsed/>
    <w:rsid w:val="00E7442D"/>
    <w:rPr>
      <w:sz w:val="16"/>
      <w:szCs w:val="16"/>
    </w:rPr>
  </w:style>
  <w:style w:type="paragraph" w:styleId="CommentText">
    <w:name w:val="annotation text"/>
    <w:basedOn w:val="Normal"/>
    <w:link w:val="CommentTextChar"/>
    <w:uiPriority w:val="99"/>
    <w:semiHidden/>
    <w:unhideWhenUsed/>
    <w:rsid w:val="00E7442D"/>
    <w:rPr>
      <w:sz w:val="20"/>
      <w:szCs w:val="20"/>
    </w:rPr>
  </w:style>
  <w:style w:type="character" w:customStyle="1" w:styleId="CommentTextChar">
    <w:name w:val="Comment Text Char"/>
    <w:basedOn w:val="DefaultParagraphFont"/>
    <w:link w:val="CommentText"/>
    <w:uiPriority w:val="99"/>
    <w:semiHidden/>
    <w:rsid w:val="00E7442D"/>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E7442D"/>
    <w:rPr>
      <w:b/>
      <w:bCs/>
    </w:rPr>
  </w:style>
  <w:style w:type="character" w:customStyle="1" w:styleId="CommentSubjectChar">
    <w:name w:val="Comment Subject Char"/>
    <w:basedOn w:val="CommentTextChar"/>
    <w:link w:val="CommentSubject"/>
    <w:uiPriority w:val="99"/>
    <w:semiHidden/>
    <w:rsid w:val="00E7442D"/>
    <w:rPr>
      <w:rFonts w:ascii="Times New Roman" w:eastAsia="Times New Roman" w:hAnsi="Times New Roman"/>
      <w:b/>
      <w:bCs/>
      <w:lang w:val="fr-FR" w:eastAsia="fr-FR"/>
    </w:rPr>
  </w:style>
  <w:style w:type="character" w:styleId="FollowedHyperlink">
    <w:name w:val="FollowedHyperlink"/>
    <w:basedOn w:val="DefaultParagraphFont"/>
    <w:uiPriority w:val="99"/>
    <w:semiHidden/>
    <w:unhideWhenUsed/>
    <w:rsid w:val="00E7442D"/>
    <w:rPr>
      <w:color w:val="954F72" w:themeColor="followedHyperlink"/>
      <w:u w:val="single"/>
    </w:rPr>
  </w:style>
  <w:style w:type="character" w:styleId="Strong">
    <w:name w:val="Strong"/>
    <w:uiPriority w:val="22"/>
    <w:qFormat/>
    <w:rsid w:val="00DA133B"/>
    <w:rPr>
      <w:b/>
      <w:bCs/>
    </w:rPr>
  </w:style>
  <w:style w:type="character" w:styleId="Emphasis">
    <w:name w:val="Emphasis"/>
    <w:uiPriority w:val="20"/>
    <w:qFormat/>
    <w:rsid w:val="00DA133B"/>
    <w:rPr>
      <w:i/>
      <w:iCs/>
    </w:rPr>
  </w:style>
  <w:style w:type="paragraph" w:styleId="Revision">
    <w:name w:val="Revision"/>
    <w:hidden/>
    <w:uiPriority w:val="99"/>
    <w:semiHidden/>
    <w:rsid w:val="00135F0C"/>
    <w:rPr>
      <w:rFonts w:ascii="Times New Roman" w:eastAsia="Times New Roman" w:hAnsi="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Hyperlink">
    <w:name w:val="Hyperlink"/>
    <w:uiPriority w:val="99"/>
    <w:unhideWhenUsed/>
    <w:rsid w:val="002A72B0"/>
    <w:rPr>
      <w:color w:val="0000FF"/>
      <w:u w:val="single"/>
    </w:rPr>
  </w:style>
  <w:style w:type="paragraph" w:customStyle="1" w:styleId="5GAParaResolution">
    <w:name w:val="5GA Para Resolution"/>
    <w:basedOn w:val="Normal"/>
    <w:qFormat/>
    <w:rsid w:val="002A72B0"/>
    <w:pPr>
      <w:autoSpaceDE w:val="0"/>
      <w:autoSpaceDN w:val="0"/>
      <w:adjustRightInd w:val="0"/>
      <w:spacing w:after="120"/>
      <w:ind w:left="1134" w:hanging="567"/>
      <w:jc w:val="both"/>
    </w:pPr>
    <w:rPr>
      <w:rFonts w:ascii="Arial" w:eastAsia="SimSun" w:hAnsi="Arial" w:cs="Arial"/>
      <w:sz w:val="22"/>
      <w:szCs w:val="22"/>
      <w:lang w:val="en-GB"/>
    </w:rPr>
  </w:style>
  <w:style w:type="paragraph" w:styleId="ListParagraph">
    <w:name w:val="List Paragraph"/>
    <w:basedOn w:val="Normal"/>
    <w:qFormat/>
    <w:rsid w:val="003743B1"/>
    <w:pPr>
      <w:ind w:left="720"/>
      <w:contextualSpacing/>
    </w:pPr>
  </w:style>
  <w:style w:type="paragraph" w:styleId="FootnoteText">
    <w:name w:val="footnote text"/>
    <w:basedOn w:val="Normal"/>
    <w:link w:val="FootnoteTextChar"/>
    <w:uiPriority w:val="99"/>
    <w:unhideWhenUsed/>
    <w:rsid w:val="003743B1"/>
    <w:pPr>
      <w:spacing w:before="60" w:after="60"/>
      <w:jc w:val="both"/>
    </w:pPr>
    <w:rPr>
      <w:rFonts w:ascii="Arial" w:hAnsi="Arial"/>
      <w:sz w:val="20"/>
      <w:szCs w:val="20"/>
      <w:lang w:val="en-GB"/>
    </w:rPr>
  </w:style>
  <w:style w:type="character" w:customStyle="1" w:styleId="FootnoteTextChar">
    <w:name w:val="Footnote Text Char"/>
    <w:basedOn w:val="DefaultParagraphFont"/>
    <w:link w:val="FootnoteText"/>
    <w:uiPriority w:val="99"/>
    <w:rsid w:val="003743B1"/>
    <w:rPr>
      <w:rFonts w:ascii="Arial" w:eastAsia="Times New Roman" w:hAnsi="Arial"/>
      <w:lang w:eastAsia="fr-FR"/>
    </w:rPr>
  </w:style>
  <w:style w:type="character" w:styleId="FootnoteReference">
    <w:name w:val="footnote reference"/>
    <w:uiPriority w:val="99"/>
    <w:unhideWhenUsed/>
    <w:rsid w:val="003743B1"/>
    <w:rPr>
      <w:vertAlign w:val="superscript"/>
    </w:rPr>
  </w:style>
  <w:style w:type="character" w:customStyle="1" w:styleId="hps">
    <w:name w:val="hps"/>
    <w:rsid w:val="003743B1"/>
  </w:style>
  <w:style w:type="character" w:styleId="CommentReference">
    <w:name w:val="annotation reference"/>
    <w:basedOn w:val="DefaultParagraphFont"/>
    <w:uiPriority w:val="99"/>
    <w:semiHidden/>
    <w:unhideWhenUsed/>
    <w:rsid w:val="00E7442D"/>
    <w:rPr>
      <w:sz w:val="16"/>
      <w:szCs w:val="16"/>
    </w:rPr>
  </w:style>
  <w:style w:type="paragraph" w:styleId="CommentText">
    <w:name w:val="annotation text"/>
    <w:basedOn w:val="Normal"/>
    <w:link w:val="CommentTextChar"/>
    <w:uiPriority w:val="99"/>
    <w:semiHidden/>
    <w:unhideWhenUsed/>
    <w:rsid w:val="00E7442D"/>
    <w:rPr>
      <w:sz w:val="20"/>
      <w:szCs w:val="20"/>
    </w:rPr>
  </w:style>
  <w:style w:type="character" w:customStyle="1" w:styleId="CommentTextChar">
    <w:name w:val="Comment Text Char"/>
    <w:basedOn w:val="DefaultParagraphFont"/>
    <w:link w:val="CommentText"/>
    <w:uiPriority w:val="99"/>
    <w:semiHidden/>
    <w:rsid w:val="00E7442D"/>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E7442D"/>
    <w:rPr>
      <w:b/>
      <w:bCs/>
    </w:rPr>
  </w:style>
  <w:style w:type="character" w:customStyle="1" w:styleId="CommentSubjectChar">
    <w:name w:val="Comment Subject Char"/>
    <w:basedOn w:val="CommentTextChar"/>
    <w:link w:val="CommentSubject"/>
    <w:uiPriority w:val="99"/>
    <w:semiHidden/>
    <w:rsid w:val="00E7442D"/>
    <w:rPr>
      <w:rFonts w:ascii="Times New Roman" w:eastAsia="Times New Roman" w:hAnsi="Times New Roman"/>
      <w:b/>
      <w:bCs/>
      <w:lang w:val="fr-FR" w:eastAsia="fr-FR"/>
    </w:rPr>
  </w:style>
  <w:style w:type="character" w:styleId="FollowedHyperlink">
    <w:name w:val="FollowedHyperlink"/>
    <w:basedOn w:val="DefaultParagraphFont"/>
    <w:uiPriority w:val="99"/>
    <w:semiHidden/>
    <w:unhideWhenUsed/>
    <w:rsid w:val="00E7442D"/>
    <w:rPr>
      <w:color w:val="954F72" w:themeColor="followedHyperlink"/>
      <w:u w:val="single"/>
    </w:rPr>
  </w:style>
  <w:style w:type="character" w:styleId="Strong">
    <w:name w:val="Strong"/>
    <w:uiPriority w:val="22"/>
    <w:qFormat/>
    <w:rsid w:val="00DA133B"/>
    <w:rPr>
      <w:b/>
      <w:bCs/>
    </w:rPr>
  </w:style>
  <w:style w:type="character" w:styleId="Emphasis">
    <w:name w:val="Emphasis"/>
    <w:uiPriority w:val="20"/>
    <w:qFormat/>
    <w:rsid w:val="00DA133B"/>
    <w:rPr>
      <w:i/>
      <w:iCs/>
    </w:rPr>
  </w:style>
  <w:style w:type="paragraph" w:styleId="Revision">
    <w:name w:val="Revision"/>
    <w:hidden/>
    <w:uiPriority w:val="99"/>
    <w:semiHidden/>
    <w:rsid w:val="00135F0C"/>
    <w:rPr>
      <w:rFonts w:ascii="Times New Roman" w:eastAsia="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nesco.org/culture/ich/index.php?lg=en&amp;pg=708" TargetMode="External"/><Relationship Id="rId18" Type="http://schemas.openxmlformats.org/officeDocument/2006/relationships/hyperlink" Target="http://www.unesco.org/culture/ich/en/Decisions/10.COM/6.b" TargetMode="External"/><Relationship Id="rId26" Type="http://schemas.openxmlformats.org/officeDocument/2006/relationships/hyperlink" Target="http://www.unesco.org/culture/ich/doc/src/ITH-16-11.COM_1.BUR-2_Rev.-FR.docx" TargetMode="External"/><Relationship Id="rId21" Type="http://schemas.openxmlformats.org/officeDocument/2006/relationships/hyperlink" Target="http://www.unesco.org/culture/ich/index.php?lg=en&amp;pg=00707"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unesco.org/culture/ich/index.php?lg=en&amp;pg=768" TargetMode="External"/><Relationship Id="rId17" Type="http://schemas.openxmlformats.org/officeDocument/2006/relationships/hyperlink" Target="http://www.unesco.org/culture/ich/en/Decisions/10.COM/6.a" TargetMode="External"/><Relationship Id="rId25" Type="http://schemas.openxmlformats.org/officeDocument/2006/relationships/hyperlink" Target="http://www.unesco.org/culture/ich/doc/src/ITH-16-11.COM_1.BUR-2_Rev.-EN.docx"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nesco.org/culture/ich/en/Decisions/9.COM/5.b" TargetMode="External"/><Relationship Id="rId20" Type="http://schemas.openxmlformats.org/officeDocument/2006/relationships/hyperlink" Target="http://www.unesco.org/culture/ich/doc/src/ITH-14-9.COM-5.a-FR__.doc" TargetMode="External"/><Relationship Id="rId29" Type="http://schemas.openxmlformats.org/officeDocument/2006/relationships/hyperlink" Target="http://www.unesco.org/culture/ich/doc/src/ITH-15-10.COM-6.b_FR.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sco.org/culture/ich/index.php?lg=en&amp;pg=707" TargetMode="External"/><Relationship Id="rId24" Type="http://schemas.openxmlformats.org/officeDocument/2006/relationships/hyperlink" Target="http://www.unesco.org/culture/ich/index.php?lg=en&amp;pg=00708" TargetMode="External"/><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unesco.org/culture/ich/en/Decisions/9.COM/5.a" TargetMode="External"/><Relationship Id="rId23" Type="http://schemas.openxmlformats.org/officeDocument/2006/relationships/hyperlink" Target="http://www.unesco.org/culture/ich/doc/src/ITH-14-9.COM-5.b-FR.doc" TargetMode="External"/><Relationship Id="rId28" Type="http://schemas.openxmlformats.org/officeDocument/2006/relationships/hyperlink" Target="http://www.unesco.org/culture/ich/doc/src/ITH-15-10.COM-6.b_EN.docx" TargetMode="External"/><Relationship Id="rId36" Type="http://schemas.openxmlformats.org/officeDocument/2006/relationships/theme" Target="theme/theme1.xml"/><Relationship Id="rId10" Type="http://schemas.openxmlformats.org/officeDocument/2006/relationships/hyperlink" Target="http://www.unesco.org/culture/ich/index.php?lg=en&amp;pg=00022" TargetMode="External"/><Relationship Id="rId19" Type="http://schemas.openxmlformats.org/officeDocument/2006/relationships/hyperlink" Target="http://www.unesco.org/culture/ich/doc/src/ITH-14-9.COM-5.a-EN_.doc" TargetMode="External"/><Relationship Id="rId31" Type="http://schemas.openxmlformats.org/officeDocument/2006/relationships/hyperlink" Target="http://www.unesco.org/culture/ich/doc/src/ITH-15-10.COM-6.c_EN.docx" TargetMode="External"/><Relationship Id="rId4" Type="http://schemas.microsoft.com/office/2007/relationships/stylesWithEffects" Target="stylesWithEffects.xml"/><Relationship Id="rId9" Type="http://schemas.openxmlformats.org/officeDocument/2006/relationships/hyperlink" Target="http://en.unesco.org/system/files/Strengthening%20capacities%20to%20safeguard%20intangible%20cultural%20heritage%20for%20sustainable%20development_0.pdf" TargetMode="External"/><Relationship Id="rId14" Type="http://schemas.openxmlformats.org/officeDocument/2006/relationships/hyperlink" Target="http://www.unesco.org/culture/ich/index.php?lg=en&amp;pg=769" TargetMode="External"/><Relationship Id="rId22" Type="http://schemas.openxmlformats.org/officeDocument/2006/relationships/hyperlink" Target="http://www.unesco.org/culture/ich/doc/src/ITH-14-9.COM-5.b-EN.doc" TargetMode="External"/><Relationship Id="rId27" Type="http://schemas.openxmlformats.org/officeDocument/2006/relationships/hyperlink" Target="http://www.unesco.org/culture/ich/index.php?lg=en&amp;pg=768" TargetMode="External"/><Relationship Id="rId30" Type="http://schemas.openxmlformats.org/officeDocument/2006/relationships/hyperlink" Target="http://www.unesco.org/culture/ich/index.php?lg=en&amp;pg=769"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doc/src/ITH-14-9.COM_2.BUR-1_EN.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7E443-E579-491D-B6F1-8DD859E5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195</TotalTime>
  <Pages>7</Pages>
  <Words>3044</Words>
  <Characters>16744</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Elena Constantinou</cp:lastModifiedBy>
  <cp:revision>12</cp:revision>
  <cp:lastPrinted>2016-04-18T08:25:00Z</cp:lastPrinted>
  <dcterms:created xsi:type="dcterms:W3CDTF">2016-04-18T08:19:00Z</dcterms:created>
  <dcterms:modified xsi:type="dcterms:W3CDTF">2016-04-29T10:24:00Z</dcterms:modified>
</cp:coreProperties>
</file>