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E6" w:rsidRPr="007968EC" w:rsidRDefault="00CB35E6" w:rsidP="00CB45BF">
      <w:pPr>
        <w:spacing w:before="1440"/>
        <w:jc w:val="center"/>
        <w:rPr>
          <w:rFonts w:eastAsia="Times New Roman"/>
          <w:b/>
          <w:lang w:val="en-GB"/>
        </w:rPr>
      </w:pPr>
      <w:r w:rsidRPr="007968EC">
        <w:rPr>
          <w:bCs/>
          <w:rtl/>
          <w:lang w:bidi="ar-QA"/>
        </w:rPr>
        <w:t>اتفاقية صون التراث الثقافي غير المادي</w:t>
      </w:r>
    </w:p>
    <w:p w:rsidR="00CB35E6" w:rsidRPr="007968EC" w:rsidRDefault="00CB35E6" w:rsidP="00CB45BF">
      <w:pPr>
        <w:spacing w:before="1200"/>
        <w:jc w:val="center"/>
        <w:rPr>
          <w:rFonts w:eastAsia="Times New Roman"/>
          <w:b/>
          <w:lang w:val="en-GB"/>
        </w:rPr>
      </w:pPr>
      <w:r w:rsidRPr="007968EC">
        <w:rPr>
          <w:bCs/>
          <w:rtl/>
          <w:lang w:bidi="ar-QA"/>
        </w:rPr>
        <w:t>الجمعية العامة للدول الأطراف في الاتفاقية</w:t>
      </w:r>
    </w:p>
    <w:p w:rsidR="00CB35E6" w:rsidRPr="007968EC" w:rsidRDefault="00CB35E6" w:rsidP="00CB45BF">
      <w:pPr>
        <w:spacing w:before="840"/>
        <w:jc w:val="center"/>
        <w:rPr>
          <w:rFonts w:eastAsia="Times New Roman"/>
          <w:b/>
          <w:lang w:val="en-GB"/>
        </w:rPr>
      </w:pPr>
      <w:r w:rsidRPr="007968EC">
        <w:rPr>
          <w:bCs/>
          <w:rtl/>
          <w:lang w:bidi="ar-QA"/>
        </w:rPr>
        <w:t>الدورة السادسة</w:t>
      </w:r>
    </w:p>
    <w:p w:rsidR="00CB35E6" w:rsidRPr="007968EC" w:rsidRDefault="00CB35E6" w:rsidP="00CB45BF">
      <w:pPr>
        <w:jc w:val="center"/>
        <w:rPr>
          <w:rFonts w:eastAsia="Times New Roman"/>
          <w:b/>
          <w:lang w:val="en-GB"/>
        </w:rPr>
      </w:pPr>
      <w:r w:rsidRPr="007968EC">
        <w:rPr>
          <w:bCs/>
          <w:rtl/>
          <w:lang w:bidi="ar-QA"/>
        </w:rPr>
        <w:t>مقر اليونسكو، القاعة 2</w:t>
      </w:r>
    </w:p>
    <w:p w:rsidR="00CB35E6" w:rsidRPr="007968EC" w:rsidRDefault="00CB35E6" w:rsidP="00CB45BF">
      <w:pPr>
        <w:jc w:val="center"/>
        <w:rPr>
          <w:rFonts w:eastAsia="Times New Roman"/>
          <w:b/>
          <w:lang w:val="en-GB"/>
        </w:rPr>
      </w:pPr>
      <w:r w:rsidRPr="007968EC">
        <w:rPr>
          <w:bCs/>
          <w:rtl/>
          <w:lang w:bidi="ar-QA"/>
        </w:rPr>
        <w:t>30 ايار/مايو - 1 حزيران/يونيو 2016</w:t>
      </w:r>
    </w:p>
    <w:p w:rsidR="00CB35E6" w:rsidRPr="007968EC" w:rsidRDefault="00CB35E6" w:rsidP="00CB45BF">
      <w:pPr>
        <w:pStyle w:val="Sansinterligne2"/>
        <w:spacing w:before="1200"/>
        <w:jc w:val="center"/>
        <w:rPr>
          <w:rFonts w:eastAsia="Times New Roman"/>
          <w:b/>
          <w:lang w:val="en-GB"/>
        </w:rPr>
      </w:pPr>
      <w:r w:rsidRPr="007968EC">
        <w:rPr>
          <w:bCs/>
          <w:u w:val="single"/>
          <w:rtl/>
          <w:lang w:bidi="ar-QA"/>
        </w:rPr>
        <w:t>البند 5 من جدول الأعمال المؤقت:</w:t>
      </w:r>
    </w:p>
    <w:p w:rsidR="00CB35E6" w:rsidRPr="007968EC" w:rsidRDefault="00CB35E6" w:rsidP="00CB45BF">
      <w:pPr>
        <w:pStyle w:val="Sansinterligne2"/>
        <w:spacing w:after="1200"/>
        <w:jc w:val="center"/>
        <w:rPr>
          <w:bCs/>
          <w:rtl/>
          <w:lang w:bidi="ar-TN"/>
        </w:rPr>
      </w:pPr>
      <w:r w:rsidRPr="007968EC">
        <w:rPr>
          <w:bCs/>
          <w:rtl/>
          <w:lang w:bidi="ar-QA"/>
        </w:rPr>
        <w:t>تقرير اللجنة إلى الجمعية العامة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CB35E6" w:rsidRPr="007968EC" w:rsidTr="00A320C4">
        <w:trPr>
          <w:jc w:val="center"/>
        </w:trPr>
        <w:tc>
          <w:tcPr>
            <w:tcW w:w="7825" w:type="dxa"/>
            <w:vAlign w:val="center"/>
          </w:tcPr>
          <w:p w:rsidR="00CB35E6" w:rsidRPr="007968EC" w:rsidRDefault="00CB35E6" w:rsidP="00A320C4">
            <w:pPr>
              <w:pStyle w:val="Sansinterligne1"/>
              <w:spacing w:before="200" w:after="200"/>
              <w:jc w:val="center"/>
              <w:rPr>
                <w:rFonts w:eastAsia="Times New Roman"/>
                <w:b/>
                <w:lang w:val="en-GB"/>
              </w:rPr>
            </w:pPr>
            <w:r w:rsidRPr="007968EC">
              <w:rPr>
                <w:bCs/>
                <w:rtl/>
                <w:lang w:bidi="ar-QA"/>
              </w:rPr>
              <w:t>الملخّص</w:t>
            </w:r>
          </w:p>
          <w:p w:rsidR="00CB35E6" w:rsidRPr="007968EC" w:rsidRDefault="00CB35E6" w:rsidP="00A320C4">
            <w:pPr>
              <w:pStyle w:val="Sansinterligne2"/>
              <w:spacing w:after="120"/>
              <w:jc w:val="both"/>
              <w:rPr>
                <w:rFonts w:eastAsia="Times New Roman"/>
                <w:lang w:val="en-GB"/>
              </w:rPr>
            </w:pPr>
            <w:r w:rsidRPr="007968EC">
              <w:rPr>
                <w:rtl/>
                <w:lang w:bidi="ar-QA"/>
              </w:rPr>
              <w:t>تنص المادة 30.1 من اتفاقية صون التراث الثقافي غير المادي على أن "ترفع اللجنة إلى كل دورة من دورات الجمعية العامة تقريراً تعده بالاستناد إلى أنشطتها [...]".</w:t>
            </w:r>
            <w:r w:rsidRPr="007968EC">
              <w:rPr>
                <w:rFonts w:eastAsia="Times New Roman"/>
                <w:lang w:val="en-GB"/>
              </w:rPr>
              <w:t xml:space="preserve"> </w:t>
            </w:r>
            <w:r w:rsidRPr="007968EC">
              <w:rPr>
                <w:rtl/>
                <w:lang w:bidi="ar-QA"/>
              </w:rPr>
              <w:t xml:space="preserve">تتضمّن هذه الوثيقة تقرير اللجنة على أساس أنشطتها في الفترة الممتدة من حزيران/يونيو 2014 إلى حزيران/يونيو 2016 وتقارير الدول الأطراف التي اعتمدتها خلال دورتيها التاسعة والعاشرة. </w:t>
            </w:r>
          </w:p>
          <w:p w:rsidR="00CB35E6" w:rsidRPr="007968EC" w:rsidRDefault="00CB35E6" w:rsidP="00A320C4">
            <w:pPr>
              <w:pStyle w:val="Sansinterligne2"/>
              <w:spacing w:after="120"/>
              <w:jc w:val="both"/>
              <w:rPr>
                <w:highlight w:val="yellow"/>
                <w:rtl/>
                <w:lang w:bidi="ar-TN"/>
              </w:rPr>
            </w:pPr>
            <w:r w:rsidRPr="007968EC">
              <w:rPr>
                <w:bCs/>
                <w:rtl/>
                <w:lang w:bidi="ar-QA"/>
              </w:rPr>
              <w:t>القرار المطلوب:</w:t>
            </w:r>
            <w:r w:rsidRPr="007968EC">
              <w:rPr>
                <w:rFonts w:eastAsia="Times New Roman"/>
                <w:b/>
                <w:lang w:val="en-GB"/>
              </w:rPr>
              <w:t xml:space="preserve"> </w:t>
            </w:r>
            <w:r w:rsidRPr="00314E5B">
              <w:rPr>
                <w:b/>
                <w:rtl/>
                <w:lang w:bidi="ar-QA"/>
              </w:rPr>
              <w:t xml:space="preserve">الفقرة </w:t>
            </w:r>
            <w:r w:rsidRPr="005E5DAA">
              <w:rPr>
                <w:b/>
                <w:rtl/>
                <w:lang w:bidi="ar-QA"/>
              </w:rPr>
              <w:t>3</w:t>
            </w:r>
          </w:p>
        </w:tc>
      </w:tr>
    </w:tbl>
    <w:p w:rsidR="00CB35E6" w:rsidRPr="00934F74" w:rsidRDefault="00CB35E6" w:rsidP="00CB45BF">
      <w:pPr>
        <w:pStyle w:val="Marge"/>
        <w:numPr>
          <w:ilvl w:val="0"/>
          <w:numId w:val="13"/>
        </w:numPr>
        <w:tabs>
          <w:tab w:val="clear" w:pos="720"/>
        </w:tabs>
        <w:spacing w:after="120"/>
        <w:ind w:left="567" w:hanging="567"/>
        <w:rPr>
          <w:rFonts w:ascii="Times New Roman" w:hAnsi="Times New Roman"/>
          <w:sz w:val="24"/>
        </w:rPr>
      </w:pPr>
      <w:r w:rsidRPr="007968EC">
        <w:rPr>
          <w:rFonts w:ascii="Times New Roman" w:hAnsi="Times New Roman"/>
          <w:sz w:val="24"/>
        </w:rPr>
        <w:br w:type="page"/>
      </w:r>
      <w:r w:rsidRPr="007968EC">
        <w:rPr>
          <w:sz w:val="24"/>
          <w:rtl/>
          <w:lang w:bidi="ar-QA"/>
        </w:rPr>
        <w:lastRenderedPageBreak/>
        <w:t>تنص المادة 30.1 من اتفاقية صون التراث الثقافي غير المادي على أن "ترفع اللجنة إلى كل</w:t>
      </w:r>
      <w:r>
        <w:rPr>
          <w:sz w:val="24"/>
          <w:rtl/>
          <w:lang w:bidi="ar-QA"/>
        </w:rPr>
        <w:t>ّ</w:t>
      </w:r>
      <w:r w:rsidRPr="007968EC">
        <w:rPr>
          <w:sz w:val="24"/>
          <w:rtl/>
          <w:lang w:bidi="ar-QA"/>
        </w:rPr>
        <w:t xml:space="preserve"> دورة من دورات الجمعية العامة تقريراً تعد</w:t>
      </w:r>
      <w:r>
        <w:rPr>
          <w:sz w:val="24"/>
          <w:rtl/>
          <w:lang w:bidi="ar-QA"/>
        </w:rPr>
        <w:t>ّ</w:t>
      </w:r>
      <w:r w:rsidRPr="007968EC">
        <w:rPr>
          <w:sz w:val="24"/>
          <w:rtl/>
          <w:lang w:bidi="ar-QA"/>
        </w:rPr>
        <w:t>ه بالاستناد إلى أنشطتها [...]".</w:t>
      </w:r>
      <w:r w:rsidRPr="007968EC">
        <w:rPr>
          <w:rFonts w:ascii="Times New Roman" w:hAnsi="Times New Roman"/>
          <w:sz w:val="24"/>
        </w:rPr>
        <w:t xml:space="preserve"> </w:t>
      </w:r>
      <w:r w:rsidRPr="007968EC">
        <w:rPr>
          <w:sz w:val="24"/>
          <w:rtl/>
          <w:lang w:bidi="ar-QA"/>
        </w:rPr>
        <w:t>وتستطرد المادة 30.2 قائلة "ي</w:t>
      </w:r>
      <w:r>
        <w:rPr>
          <w:sz w:val="24"/>
          <w:rtl/>
          <w:lang w:bidi="ar-QA"/>
        </w:rPr>
        <w:t>ُ</w:t>
      </w:r>
      <w:r w:rsidRPr="007968EC">
        <w:rPr>
          <w:sz w:val="24"/>
          <w:rtl/>
          <w:lang w:bidi="ar-QA"/>
        </w:rPr>
        <w:t>عرض هذا التقرير على المؤتمر العام لليونسكو ليأخذ علماً به".</w:t>
      </w:r>
      <w:r w:rsidRPr="007968EC">
        <w:rPr>
          <w:rFonts w:ascii="Times New Roman" w:hAnsi="Times New Roman"/>
          <w:sz w:val="24"/>
        </w:rPr>
        <w:t xml:space="preserve"> </w:t>
      </w:r>
      <w:r w:rsidRPr="007968EC">
        <w:rPr>
          <w:sz w:val="24"/>
          <w:rtl/>
          <w:lang w:bidi="ar-QA"/>
        </w:rPr>
        <w:t>تتضمّن هذه الوثيقة تقرير اللجنة على أساس أنشطتها في الفترة الممتد</w:t>
      </w:r>
      <w:r>
        <w:rPr>
          <w:sz w:val="24"/>
          <w:rtl/>
          <w:lang w:bidi="ar-TN"/>
        </w:rPr>
        <w:t>ّ</w:t>
      </w:r>
      <w:r w:rsidRPr="007968EC">
        <w:rPr>
          <w:sz w:val="24"/>
          <w:rtl/>
          <w:lang w:bidi="ar-QA"/>
        </w:rPr>
        <w:t xml:space="preserve">ة من حزيران/يونيو 2014 إلى حزيران/يونيو 2016 وتقارير الدول الأطراف التي اعتمدتها خلال دورتيها التاسعة والعاشرة في ملحق مشروع القرار. </w:t>
      </w:r>
    </w:p>
    <w:p w:rsidR="00CB35E6" w:rsidRPr="00934F74" w:rsidRDefault="00CB35E6" w:rsidP="00A416CC">
      <w:pPr>
        <w:pStyle w:val="Marge"/>
        <w:numPr>
          <w:ilvl w:val="0"/>
          <w:numId w:val="13"/>
        </w:numPr>
        <w:tabs>
          <w:tab w:val="clear" w:pos="720"/>
        </w:tabs>
        <w:spacing w:after="120"/>
        <w:ind w:left="567" w:hanging="567"/>
        <w:rPr>
          <w:rFonts w:ascii="Times New Roman" w:hAnsi="Times New Roman"/>
          <w:sz w:val="24"/>
        </w:rPr>
      </w:pPr>
      <w:r w:rsidRPr="007968EC">
        <w:rPr>
          <w:sz w:val="24"/>
          <w:rtl/>
          <w:lang w:bidi="ar-QA"/>
        </w:rPr>
        <w:t xml:space="preserve">ويتعيّن </w:t>
      </w:r>
      <w:r>
        <w:rPr>
          <w:sz w:val="24"/>
          <w:rtl/>
          <w:lang w:bidi="ar-QA"/>
        </w:rPr>
        <w:t>قراءة</w:t>
      </w:r>
      <w:r w:rsidRPr="007968EC">
        <w:rPr>
          <w:sz w:val="24"/>
          <w:rtl/>
          <w:lang w:bidi="ar-QA"/>
        </w:rPr>
        <w:t xml:space="preserve"> هذا التقرير بالتزامن مع التقرير الذي قدّمته الأمانة عن أنشطتها وملحقاته المتعلّقة بمتابعة عمليات التدقيق والتقييم (الوثيقة </w:t>
      </w:r>
      <w:r w:rsidRPr="00934F74">
        <w:rPr>
          <w:rFonts w:ascii="Times New Roman" w:hAnsi="Times New Roman"/>
          <w:sz w:val="24"/>
          <w:lang w:bidi="ar-QA"/>
        </w:rPr>
        <w:t>ITH/16/6.GA/6</w:t>
      </w:r>
      <w:r w:rsidRPr="007968EC">
        <w:rPr>
          <w:sz w:val="24"/>
          <w:rtl/>
          <w:lang w:bidi="ar-QA"/>
        </w:rPr>
        <w:t xml:space="preserve">) والتقرير المالي لصندوق صون التراث الثقافي غير المادي (الوثيقة </w:t>
      </w:r>
      <w:r w:rsidRPr="00934F74">
        <w:rPr>
          <w:rFonts w:ascii="Times New Roman" w:hAnsi="Times New Roman"/>
          <w:sz w:val="24"/>
          <w:lang w:bidi="ar-QA"/>
        </w:rPr>
        <w:t>ITH/16/6.GA/INF.9.1</w:t>
      </w:r>
      <w:r w:rsidRPr="007968EC">
        <w:rPr>
          <w:sz w:val="24"/>
          <w:rtl/>
          <w:lang w:bidi="ar-QA"/>
        </w:rPr>
        <w:t>).</w:t>
      </w:r>
    </w:p>
    <w:p w:rsidR="00CB35E6" w:rsidRPr="00934F74" w:rsidRDefault="00CB35E6" w:rsidP="00CB45BF">
      <w:pPr>
        <w:pStyle w:val="Marge"/>
        <w:numPr>
          <w:ilvl w:val="0"/>
          <w:numId w:val="13"/>
        </w:numPr>
        <w:tabs>
          <w:tab w:val="clear" w:pos="720"/>
        </w:tabs>
        <w:spacing w:after="120"/>
        <w:ind w:left="567" w:hanging="567"/>
        <w:rPr>
          <w:rFonts w:ascii="Times New Roman" w:hAnsi="Times New Roman"/>
          <w:sz w:val="24"/>
        </w:rPr>
      </w:pPr>
      <w:r w:rsidRPr="007968EC">
        <w:rPr>
          <w:sz w:val="24"/>
          <w:rtl/>
          <w:lang w:bidi="ar-QA"/>
        </w:rPr>
        <w:t>وقد ترغب الجمعية العامة في اعتماد القرار الآتي:</w:t>
      </w:r>
    </w:p>
    <w:p w:rsidR="00CB35E6" w:rsidRPr="00934F74" w:rsidRDefault="00CB35E6" w:rsidP="00CB45BF">
      <w:pPr>
        <w:pStyle w:val="GATitleResolution"/>
        <w:rPr>
          <w:rFonts w:ascii="Times New Roman" w:hAnsi="Times New Roman" w:cs="Times New Roman"/>
          <w:sz w:val="24"/>
          <w:szCs w:val="24"/>
          <w:lang w:val="fr-FR"/>
        </w:rPr>
      </w:pPr>
      <w:r w:rsidRPr="007968EC">
        <w:rPr>
          <w:rFonts w:cs="Times New Roman"/>
          <w:bCs/>
          <w:sz w:val="24"/>
          <w:szCs w:val="24"/>
          <w:rtl/>
          <w:lang w:bidi="ar-QA"/>
        </w:rPr>
        <w:t xml:space="preserve">مشروع القرار </w:t>
      </w:r>
      <w:r w:rsidRPr="007968EC">
        <w:rPr>
          <w:rFonts w:ascii="Times New Roman" w:hAnsi="Times New Roman" w:cs="Times New Roman"/>
          <w:bCs/>
          <w:sz w:val="24"/>
          <w:szCs w:val="24"/>
          <w:lang w:val="fr-FR" w:bidi="ar-QA"/>
        </w:rPr>
        <w:t>6.GA 5</w:t>
      </w:r>
    </w:p>
    <w:p w:rsidR="00CB35E6" w:rsidRPr="00934F74" w:rsidRDefault="00CB35E6" w:rsidP="00CB45BF">
      <w:pPr>
        <w:pStyle w:val="GAPreambulaResolution"/>
        <w:rPr>
          <w:rFonts w:ascii="Times New Roman" w:hAnsi="Times New Roman" w:cs="Times New Roman"/>
          <w:sz w:val="24"/>
          <w:szCs w:val="24"/>
          <w:lang w:val="fr-FR"/>
        </w:rPr>
      </w:pPr>
      <w:r w:rsidRPr="007968EC">
        <w:rPr>
          <w:rFonts w:cs="Times New Roman"/>
          <w:sz w:val="24"/>
          <w:szCs w:val="24"/>
          <w:rtl/>
          <w:lang w:bidi="ar-QA"/>
        </w:rPr>
        <w:t>إنّ الجمعية العامة،</w:t>
      </w:r>
    </w:p>
    <w:p w:rsidR="00CB35E6" w:rsidRPr="00934F74" w:rsidRDefault="00CB35E6" w:rsidP="00CB45BF">
      <w:pPr>
        <w:pStyle w:val="GAParaResolution"/>
        <w:rPr>
          <w:rFonts w:ascii="Times New Roman" w:hAnsi="Times New Roman" w:cs="Times New Roman"/>
          <w:sz w:val="24"/>
          <w:szCs w:val="24"/>
          <w:lang w:val="fr-FR"/>
        </w:rPr>
      </w:pPr>
      <w:r w:rsidRPr="007968EC">
        <w:rPr>
          <w:rFonts w:cs="Times New Roman"/>
          <w:sz w:val="24"/>
          <w:szCs w:val="24"/>
          <w:rtl/>
          <w:lang w:bidi="ar-QA"/>
        </w:rPr>
        <w:t>وقد درست الوثيقة</w:t>
      </w:r>
      <w:r w:rsidRPr="007D477B">
        <w:rPr>
          <w:rFonts w:cs="Times New Roman"/>
          <w:sz w:val="24"/>
          <w:szCs w:val="24"/>
          <w:u w:val="none"/>
          <w:rtl/>
          <w:lang w:bidi="ar-QA"/>
        </w:rPr>
        <w:t xml:space="preserve"> </w:t>
      </w:r>
      <w:r w:rsidRPr="007D477B">
        <w:rPr>
          <w:rFonts w:ascii="Times New Roman" w:hAnsi="Times New Roman" w:cs="Times New Roman"/>
          <w:sz w:val="24"/>
          <w:szCs w:val="24"/>
          <w:u w:val="none"/>
          <w:lang w:val="fr-FR" w:bidi="ar-QA"/>
        </w:rPr>
        <w:t>ITH/16/6.GA/5</w:t>
      </w:r>
      <w:r w:rsidRPr="007D477B">
        <w:rPr>
          <w:rFonts w:cs="Times New Roman"/>
          <w:sz w:val="24"/>
          <w:szCs w:val="24"/>
          <w:u w:val="none"/>
          <w:rtl/>
          <w:lang w:bidi="ar-QA"/>
        </w:rPr>
        <w:t>،</w:t>
      </w:r>
    </w:p>
    <w:p w:rsidR="00CB35E6" w:rsidRPr="00934F74" w:rsidRDefault="00CB35E6" w:rsidP="007D477B">
      <w:pPr>
        <w:pStyle w:val="5GAParaResolution"/>
        <w:numPr>
          <w:ilvl w:val="0"/>
          <w:numId w:val="10"/>
        </w:numPr>
        <w:bidi/>
        <w:ind w:left="1134" w:hanging="567"/>
        <w:rPr>
          <w:rFonts w:ascii="Times New Roman" w:hAnsi="Times New Roman" w:cs="Times New Roman"/>
          <w:sz w:val="24"/>
          <w:szCs w:val="24"/>
          <w:lang w:val="fr-FR"/>
        </w:rPr>
      </w:pPr>
      <w:r w:rsidRPr="007D477B">
        <w:rPr>
          <w:rFonts w:cs="Times New Roman"/>
          <w:sz w:val="24"/>
          <w:szCs w:val="24"/>
          <w:u w:val="single"/>
          <w:rtl/>
          <w:lang w:bidi="ar-QA"/>
        </w:rPr>
        <w:t>وإذ تذكّر</w:t>
      </w:r>
      <w:r w:rsidRPr="007968EC">
        <w:rPr>
          <w:rFonts w:cs="Times New Roman"/>
          <w:sz w:val="24"/>
          <w:szCs w:val="24"/>
          <w:rtl/>
          <w:lang w:bidi="ar-QA"/>
        </w:rPr>
        <w:t xml:space="preserve"> بال</w:t>
      </w:r>
      <w:r>
        <w:rPr>
          <w:rFonts w:cs="Times New Roman"/>
          <w:sz w:val="24"/>
          <w:szCs w:val="24"/>
          <w:rtl/>
          <w:lang w:bidi="ar-QA"/>
        </w:rPr>
        <w:t>مادة</w:t>
      </w:r>
      <w:r w:rsidRPr="007968EC">
        <w:rPr>
          <w:rFonts w:cs="Times New Roman"/>
          <w:sz w:val="24"/>
          <w:szCs w:val="24"/>
          <w:rtl/>
          <w:lang w:bidi="ar-QA"/>
        </w:rPr>
        <w:t xml:space="preserve"> 30 من الاتفاقية، </w:t>
      </w:r>
    </w:p>
    <w:p w:rsidR="00CB35E6" w:rsidRPr="00934F74" w:rsidRDefault="00CB35E6" w:rsidP="00CB45BF">
      <w:pPr>
        <w:pStyle w:val="5GAParaResolution"/>
        <w:numPr>
          <w:ilvl w:val="0"/>
          <w:numId w:val="10"/>
        </w:numPr>
        <w:bidi/>
        <w:ind w:left="1134" w:hanging="567"/>
        <w:rPr>
          <w:rFonts w:ascii="Times New Roman" w:hAnsi="Times New Roman" w:cs="Times New Roman"/>
          <w:sz w:val="24"/>
          <w:szCs w:val="24"/>
          <w:lang w:val="fr-FR"/>
        </w:rPr>
      </w:pPr>
      <w:r w:rsidRPr="007D477B">
        <w:rPr>
          <w:rFonts w:cs="Times New Roman"/>
          <w:sz w:val="24"/>
          <w:szCs w:val="24"/>
          <w:u w:val="single"/>
          <w:rtl/>
          <w:lang w:bidi="ar-QA"/>
        </w:rPr>
        <w:t>وترحّب</w:t>
      </w:r>
      <w:r>
        <w:rPr>
          <w:rFonts w:cs="Times New Roman"/>
          <w:sz w:val="24"/>
          <w:szCs w:val="24"/>
          <w:rtl/>
          <w:lang w:bidi="ar-QA"/>
        </w:rPr>
        <w:t xml:space="preserve"> </w:t>
      </w:r>
      <w:r w:rsidRPr="00934F74">
        <w:rPr>
          <w:rFonts w:cs="Times New Roman"/>
          <w:sz w:val="24"/>
          <w:szCs w:val="24"/>
          <w:rtl/>
          <w:lang w:bidi="ar-QA"/>
        </w:rPr>
        <w:t>ب</w:t>
      </w:r>
      <w:r w:rsidRPr="005E5DAA">
        <w:rPr>
          <w:rFonts w:cs="Times New Roman"/>
          <w:sz w:val="24"/>
          <w:szCs w:val="24"/>
          <w:rtl/>
          <w:lang w:bidi="ar-QA"/>
        </w:rPr>
        <w:t xml:space="preserve">الدول </w:t>
      </w:r>
      <w:r w:rsidR="00934F74" w:rsidRPr="00934F74">
        <w:rPr>
          <w:rStyle w:val="shorttext"/>
          <w:rFonts w:hint="cs"/>
          <w:color w:val="222222"/>
          <w:rtl/>
        </w:rPr>
        <w:t>الست</w:t>
      </w:r>
      <w:r w:rsidRPr="005E5DAA">
        <w:rPr>
          <w:rFonts w:cs="Times New Roman"/>
          <w:sz w:val="24"/>
          <w:szCs w:val="24"/>
          <w:rtl/>
          <w:lang w:bidi="ar-QA"/>
        </w:rPr>
        <w:t xml:space="preserve"> – الرأس الأخضر وغانا و</w:t>
      </w:r>
      <w:r w:rsidR="00934F74" w:rsidRPr="005E5DAA">
        <w:rPr>
          <w:rFonts w:cs="Times New Roman"/>
          <w:sz w:val="24"/>
          <w:szCs w:val="24"/>
          <w:rtl/>
          <w:lang w:bidi="ar-QA"/>
        </w:rPr>
        <w:t>غينيا</w:t>
      </w:r>
      <w:r w:rsidR="00934F74" w:rsidRPr="005E5DAA">
        <w:rPr>
          <w:rFonts w:cs="Times New Roman"/>
          <w:sz w:val="24"/>
          <w:szCs w:val="24"/>
          <w:rtl/>
        </w:rPr>
        <w:t xml:space="preserve"> </w:t>
      </w:r>
      <w:r w:rsidR="00934F74" w:rsidRPr="005E5DAA">
        <w:rPr>
          <w:rFonts w:cs="Times New Roman"/>
          <w:sz w:val="24"/>
          <w:szCs w:val="24"/>
          <w:rtl/>
          <w:lang w:bidi="ar-QA"/>
        </w:rPr>
        <w:t>بيساو وجزر مارشال</w:t>
      </w:r>
      <w:r w:rsidR="00934F74" w:rsidRPr="00934F74">
        <w:rPr>
          <w:rFonts w:cs="Times New Roman" w:hint="cs"/>
          <w:sz w:val="24"/>
          <w:szCs w:val="24"/>
          <w:rtl/>
          <w:lang w:bidi="ar-QA"/>
        </w:rPr>
        <w:t xml:space="preserve"> </w:t>
      </w:r>
      <w:r w:rsidR="00934F74" w:rsidRPr="005E5DAA">
        <w:rPr>
          <w:rFonts w:cs="Times New Roman"/>
          <w:sz w:val="24"/>
          <w:szCs w:val="24"/>
          <w:rtl/>
          <w:lang w:bidi="ar-QA"/>
        </w:rPr>
        <w:t>و</w:t>
      </w:r>
      <w:r w:rsidRPr="005E5DAA">
        <w:rPr>
          <w:rFonts w:cs="Times New Roman"/>
          <w:sz w:val="24"/>
          <w:szCs w:val="24"/>
          <w:rtl/>
          <w:lang w:bidi="ar-QA"/>
        </w:rPr>
        <w:t>ايرلندا والكويت</w:t>
      </w:r>
      <w:r w:rsidR="00934F74">
        <w:rPr>
          <w:rFonts w:cs="Times New Roman" w:hint="cs"/>
          <w:sz w:val="24"/>
          <w:szCs w:val="24"/>
          <w:rtl/>
          <w:lang w:bidi="ar-QA"/>
        </w:rPr>
        <w:t xml:space="preserve"> </w:t>
      </w:r>
      <w:r w:rsidRPr="005E5DAA">
        <w:rPr>
          <w:rFonts w:cs="Times New Roman"/>
          <w:sz w:val="24"/>
          <w:szCs w:val="24"/>
          <w:rtl/>
          <w:lang w:bidi="ar-QA"/>
        </w:rPr>
        <w:t>–</w:t>
      </w:r>
      <w:r w:rsidRPr="00934F74">
        <w:rPr>
          <w:rFonts w:cs="Times New Roman"/>
          <w:sz w:val="24"/>
          <w:szCs w:val="24"/>
          <w:rtl/>
          <w:lang w:bidi="ar-QA"/>
        </w:rPr>
        <w:t xml:space="preserve"> التي صدقت على الاتفاقية منذ الدورة الخامسة للجمعية العامة </w:t>
      </w:r>
      <w:r w:rsidRPr="005E5DAA">
        <w:rPr>
          <w:rFonts w:cs="Times New Roman"/>
          <w:sz w:val="24"/>
          <w:szCs w:val="24"/>
          <w:u w:val="single"/>
          <w:rtl/>
          <w:lang w:bidi="ar-QA"/>
        </w:rPr>
        <w:t>وتلاحظ</w:t>
      </w:r>
      <w:r w:rsidRPr="00934F74">
        <w:rPr>
          <w:rFonts w:cs="Times New Roman"/>
          <w:sz w:val="24"/>
          <w:szCs w:val="24"/>
          <w:rtl/>
          <w:lang w:bidi="ar-QA"/>
        </w:rPr>
        <w:t xml:space="preserve"> بارتياح الوتيرة السريعة والمتواصلة لل</w:t>
      </w:r>
      <w:r w:rsidRPr="007968EC">
        <w:rPr>
          <w:rFonts w:cs="Times New Roman"/>
          <w:sz w:val="24"/>
          <w:szCs w:val="24"/>
          <w:rtl/>
          <w:lang w:bidi="ar-QA"/>
        </w:rPr>
        <w:t>تصديق؛</w:t>
      </w:r>
    </w:p>
    <w:p w:rsidR="00CB35E6" w:rsidRPr="00934F74" w:rsidRDefault="00CB35E6" w:rsidP="00CB45BF">
      <w:pPr>
        <w:pStyle w:val="GAParaResolution"/>
        <w:rPr>
          <w:rFonts w:ascii="Times New Roman" w:hAnsi="Times New Roman" w:cs="Times New Roman"/>
          <w:sz w:val="24"/>
          <w:szCs w:val="24"/>
          <w:u w:val="none"/>
          <w:lang w:val="fr-FR"/>
        </w:rPr>
      </w:pPr>
      <w:r w:rsidRPr="007D477B">
        <w:rPr>
          <w:rFonts w:cs="Times New Roman"/>
          <w:sz w:val="24"/>
          <w:szCs w:val="24"/>
          <w:rtl/>
          <w:lang w:bidi="ar-QA"/>
        </w:rPr>
        <w:t>تحيط علماً</w:t>
      </w:r>
      <w:r w:rsidRPr="007968EC">
        <w:rPr>
          <w:rFonts w:cs="Times New Roman"/>
          <w:sz w:val="24"/>
          <w:szCs w:val="24"/>
          <w:u w:val="none"/>
          <w:rtl/>
          <w:lang w:bidi="ar-QA"/>
        </w:rPr>
        <w:t xml:space="preserve"> بتقرير اللجنة إلى الجمعية العامة بشأن أنشطتها خلال الفترة الممتدّة بين حزيران/يونيو 2014 وحزيران/يونيو 2016 </w:t>
      </w:r>
      <w:r w:rsidRPr="007D477B">
        <w:rPr>
          <w:rFonts w:cs="Times New Roman"/>
          <w:sz w:val="24"/>
          <w:szCs w:val="24"/>
          <w:rtl/>
          <w:lang w:bidi="ar-QA"/>
        </w:rPr>
        <w:t>وتشكر</w:t>
      </w:r>
      <w:r w:rsidRPr="007968EC">
        <w:rPr>
          <w:rFonts w:cs="Times New Roman"/>
          <w:sz w:val="24"/>
          <w:szCs w:val="24"/>
          <w:u w:val="none"/>
          <w:rtl/>
          <w:lang w:bidi="ar-QA"/>
        </w:rPr>
        <w:t xml:space="preserve"> اللجنة على عملها الفعال؛</w:t>
      </w:r>
    </w:p>
    <w:p w:rsidR="00CB35E6" w:rsidRPr="00934F74" w:rsidRDefault="00CB35E6" w:rsidP="00CB45BF">
      <w:pPr>
        <w:pStyle w:val="GAParaResolution"/>
        <w:rPr>
          <w:rFonts w:ascii="Times New Roman" w:hAnsi="Times New Roman" w:cs="Times New Roman"/>
          <w:sz w:val="24"/>
          <w:szCs w:val="24"/>
          <w:u w:val="none"/>
          <w:lang w:val="fr-FR"/>
        </w:rPr>
      </w:pPr>
      <w:r w:rsidRPr="007D477B">
        <w:rPr>
          <w:rFonts w:cs="Times New Roman"/>
          <w:sz w:val="24"/>
          <w:szCs w:val="24"/>
          <w:rtl/>
          <w:lang w:bidi="ar-QA"/>
        </w:rPr>
        <w:t>وتهنئ</w:t>
      </w:r>
      <w:r w:rsidRPr="007968EC">
        <w:rPr>
          <w:rFonts w:cs="Times New Roman"/>
          <w:sz w:val="24"/>
          <w:szCs w:val="24"/>
          <w:u w:val="none"/>
          <w:rtl/>
          <w:lang w:bidi="ar-QA"/>
        </w:rPr>
        <w:t xml:space="preserve"> الأمانة على ال</w:t>
      </w:r>
      <w:r>
        <w:rPr>
          <w:rFonts w:cs="Times New Roman"/>
          <w:sz w:val="24"/>
          <w:szCs w:val="24"/>
          <w:u w:val="none"/>
          <w:rtl/>
          <w:lang w:bidi="ar-QA"/>
        </w:rPr>
        <w:t>ت</w:t>
      </w:r>
      <w:r w:rsidRPr="007968EC">
        <w:rPr>
          <w:rFonts w:cs="Times New Roman"/>
          <w:sz w:val="24"/>
          <w:szCs w:val="24"/>
          <w:u w:val="none"/>
          <w:rtl/>
          <w:lang w:bidi="ar-QA"/>
        </w:rPr>
        <w:t>قدّم المحرز في مختلف الجوانب القانونية لتنفيذ الاتفاقية وكذلك لما أولته من عناية لبناء القدرات في مجال تنفيذ الاتفاقية على الصعيد الوطني؛</w:t>
      </w:r>
    </w:p>
    <w:p w:rsidR="00CB35E6" w:rsidRPr="00934F74" w:rsidRDefault="00CB35E6" w:rsidP="00CB45BF">
      <w:pPr>
        <w:pStyle w:val="GAParaResolution"/>
        <w:rPr>
          <w:rFonts w:ascii="Times New Roman" w:hAnsi="Times New Roman" w:cs="Times New Roman"/>
          <w:sz w:val="24"/>
          <w:szCs w:val="24"/>
          <w:u w:val="none"/>
          <w:lang w:val="fr-FR"/>
        </w:rPr>
      </w:pPr>
      <w:r w:rsidRPr="001B384C">
        <w:rPr>
          <w:rFonts w:cs="Times New Roman"/>
          <w:sz w:val="24"/>
          <w:szCs w:val="24"/>
          <w:rtl/>
          <w:lang w:bidi="ar-QA"/>
        </w:rPr>
        <w:t>وتقرّ بارتياح</w:t>
      </w:r>
      <w:r w:rsidRPr="007968EC">
        <w:rPr>
          <w:rFonts w:cs="Times New Roman"/>
          <w:sz w:val="24"/>
          <w:szCs w:val="24"/>
          <w:u w:val="none"/>
          <w:rtl/>
          <w:lang w:bidi="ar-QA"/>
        </w:rPr>
        <w:t xml:space="preserve"> بالأهمية المتواصلة التي أبدتها الدول الأطراف لآليات الاتفاقية الخاصة بالتعاون الدولي </w:t>
      </w:r>
      <w:r w:rsidRPr="001B384C">
        <w:rPr>
          <w:rFonts w:cs="Times New Roman"/>
          <w:sz w:val="24"/>
          <w:szCs w:val="24"/>
          <w:rtl/>
          <w:lang w:bidi="ar-QA"/>
        </w:rPr>
        <w:t>وتشجّع</w:t>
      </w:r>
      <w:r w:rsidRPr="007968EC">
        <w:rPr>
          <w:rFonts w:cs="Times New Roman"/>
          <w:sz w:val="24"/>
          <w:szCs w:val="24"/>
          <w:u w:val="none"/>
          <w:rtl/>
          <w:lang w:bidi="ar-QA"/>
        </w:rPr>
        <w:t xml:space="preserve"> اللجنة على مواصلة الت</w:t>
      </w:r>
      <w:r>
        <w:rPr>
          <w:rFonts w:cs="Times New Roman"/>
          <w:sz w:val="24"/>
          <w:szCs w:val="24"/>
          <w:u w:val="none"/>
          <w:rtl/>
          <w:lang w:bidi="ar-QA"/>
        </w:rPr>
        <w:t>وعية</w:t>
      </w:r>
      <w:r w:rsidRPr="007968EC">
        <w:rPr>
          <w:rFonts w:cs="Times New Roman"/>
          <w:sz w:val="24"/>
          <w:szCs w:val="24"/>
          <w:u w:val="none"/>
          <w:rtl/>
          <w:lang w:bidi="ar-QA"/>
        </w:rPr>
        <w:t xml:space="preserve"> بأهمية التراث الثقافي غير المادي ونشر أفضل ممارسات الصون؛</w:t>
      </w:r>
    </w:p>
    <w:p w:rsidR="00CB35E6" w:rsidRPr="00934F74" w:rsidRDefault="00CB35E6" w:rsidP="00CB45BF">
      <w:pPr>
        <w:pStyle w:val="5GAParaResolution"/>
        <w:numPr>
          <w:ilvl w:val="0"/>
          <w:numId w:val="10"/>
        </w:numPr>
        <w:bidi/>
        <w:ind w:left="1134" w:hanging="567"/>
        <w:rPr>
          <w:rFonts w:ascii="Times New Roman" w:hAnsi="Times New Roman" w:cs="Times New Roman"/>
          <w:sz w:val="24"/>
          <w:szCs w:val="24"/>
          <w:lang w:val="fr-FR"/>
        </w:rPr>
      </w:pPr>
      <w:r w:rsidRPr="001B384C">
        <w:rPr>
          <w:rFonts w:cs="Times New Roman"/>
          <w:sz w:val="24"/>
          <w:szCs w:val="24"/>
          <w:u w:val="single"/>
          <w:rtl/>
          <w:lang w:bidi="ar-QA"/>
        </w:rPr>
        <w:t>وتطلب</w:t>
      </w:r>
      <w:r>
        <w:rPr>
          <w:rFonts w:cs="Times New Roman"/>
          <w:sz w:val="24"/>
          <w:szCs w:val="24"/>
          <w:rtl/>
          <w:lang w:bidi="ar-QA"/>
        </w:rPr>
        <w:t xml:space="preserve"> من المدير العام </w:t>
      </w:r>
      <w:r w:rsidRPr="007968EC">
        <w:rPr>
          <w:rFonts w:cs="Times New Roman"/>
          <w:sz w:val="24"/>
          <w:szCs w:val="24"/>
          <w:rtl/>
          <w:lang w:bidi="ar-QA"/>
        </w:rPr>
        <w:t>عرض هذا التقرير على المؤتمر العام لليونسكو وفقاً للفقرة 2 من المادة 30 من الاتفاقية؛</w:t>
      </w:r>
    </w:p>
    <w:p w:rsidR="00CB35E6" w:rsidRPr="00934F74" w:rsidRDefault="00CB35E6" w:rsidP="00C539DE">
      <w:pPr>
        <w:pStyle w:val="GAParaResolution"/>
        <w:rPr>
          <w:rFonts w:ascii="Times New Roman" w:hAnsi="Times New Roman" w:cs="Times New Roman"/>
          <w:sz w:val="24"/>
          <w:szCs w:val="24"/>
          <w:u w:val="none"/>
          <w:lang w:val="fr-FR"/>
        </w:rPr>
      </w:pPr>
      <w:r w:rsidRPr="001B384C">
        <w:rPr>
          <w:rFonts w:cs="Times New Roman"/>
          <w:sz w:val="24"/>
          <w:szCs w:val="24"/>
          <w:rtl/>
          <w:lang w:bidi="ar-QA"/>
        </w:rPr>
        <w:t>كما تطلب</w:t>
      </w:r>
      <w:r>
        <w:rPr>
          <w:rFonts w:cs="Times New Roman"/>
          <w:sz w:val="24"/>
          <w:szCs w:val="24"/>
          <w:u w:val="none"/>
          <w:rtl/>
          <w:lang w:bidi="ar-QA"/>
        </w:rPr>
        <w:t xml:space="preserve"> من اللجنة تقديم تق</w:t>
      </w:r>
      <w:r w:rsidRPr="007968EC">
        <w:rPr>
          <w:rFonts w:cs="Times New Roman"/>
          <w:sz w:val="24"/>
          <w:szCs w:val="24"/>
          <w:u w:val="none"/>
          <w:rtl/>
          <w:lang w:bidi="ar-QA"/>
        </w:rPr>
        <w:t xml:space="preserve">رير بشأن أنشطتها خلال الفترة الممتدّة من كانون الثاني/يناير 2016 إلى كانون الأول/ديسمبر </w:t>
      </w:r>
      <w:r w:rsidR="00C539DE" w:rsidRPr="005E5DAA">
        <w:rPr>
          <w:rFonts w:cs="Times New Roman"/>
          <w:sz w:val="24"/>
          <w:szCs w:val="24"/>
          <w:u w:val="none"/>
          <w:lang w:val="fr-FR" w:bidi="ar-QA"/>
        </w:rPr>
        <w:t>2017</w:t>
      </w:r>
      <w:r w:rsidRPr="007968EC">
        <w:rPr>
          <w:rFonts w:cs="Times New Roman"/>
          <w:sz w:val="24"/>
          <w:szCs w:val="24"/>
          <w:u w:val="none"/>
          <w:rtl/>
          <w:lang w:bidi="ar-QA"/>
        </w:rPr>
        <w:t xml:space="preserve"> لعرضه على الجمعية العامة خلال دورتها السابعة وتقديم التقارير المستقبلية كلّ سنتين بعد ذلك. </w:t>
      </w:r>
    </w:p>
    <w:p w:rsidR="00CB35E6" w:rsidRPr="00934F74" w:rsidRDefault="00CB35E6" w:rsidP="00CB45BF">
      <w:pPr>
        <w:pageBreakBefore/>
        <w:jc w:val="center"/>
        <w:rPr>
          <w:rFonts w:eastAsia="Times New Roman"/>
        </w:rPr>
      </w:pPr>
      <w:r w:rsidRPr="007968EC">
        <w:rPr>
          <w:bCs/>
          <w:u w:val="single"/>
          <w:rtl/>
          <w:lang w:bidi="ar-QA"/>
        </w:rPr>
        <w:lastRenderedPageBreak/>
        <w:t>الملحق</w:t>
      </w:r>
    </w:p>
    <w:p w:rsidR="00CB35E6" w:rsidRPr="00934F74" w:rsidRDefault="00CB35E6" w:rsidP="00CB45BF">
      <w:pPr>
        <w:spacing w:after="360"/>
        <w:jc w:val="center"/>
        <w:rPr>
          <w:rFonts w:eastAsia="Times New Roman"/>
        </w:rPr>
      </w:pPr>
      <w:r w:rsidRPr="007968EC">
        <w:rPr>
          <w:bCs/>
          <w:rtl/>
          <w:lang w:bidi="ar-QA"/>
        </w:rPr>
        <w:t>مشروع تقرير اللجنة إلى الجمعية العامة عن أنشطتها</w:t>
      </w:r>
    </w:p>
    <w:p w:rsidR="00CB35E6" w:rsidRPr="00934F74" w:rsidRDefault="00CB35E6" w:rsidP="00CB45BF">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إنّ مهام اللجنة منصوص عليها في اتفاقية صون التراث الثقافي غير المادي، ولا سيما في المادة 7. ومن ثم</w:t>
      </w:r>
      <w:r>
        <w:rPr>
          <w:sz w:val="24"/>
          <w:rtl/>
          <w:lang w:bidi="ar-QA"/>
        </w:rPr>
        <w:t>ّ</w:t>
      </w:r>
      <w:r w:rsidRPr="007968EC">
        <w:rPr>
          <w:sz w:val="24"/>
          <w:rtl/>
          <w:lang w:bidi="ar-QA"/>
        </w:rPr>
        <w:t>، يتبع هذا التقرير ترتيب المهام الواردة في المادة 7 من الاتفاقية.</w:t>
      </w:r>
    </w:p>
    <w:p w:rsidR="00CB35E6" w:rsidRPr="00934F74" w:rsidRDefault="00CB35E6" w:rsidP="001B384C">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جد</w:t>
      </w:r>
      <w:r>
        <w:rPr>
          <w:sz w:val="24"/>
          <w:rtl/>
          <w:lang w:bidi="ar-QA"/>
        </w:rPr>
        <w:t>ّ</w:t>
      </w:r>
      <w:r w:rsidRPr="007968EC">
        <w:rPr>
          <w:sz w:val="24"/>
          <w:rtl/>
          <w:lang w:bidi="ar-QA"/>
        </w:rPr>
        <w:t>دت الجمعية العامة في عام 2014 نصف أعضاء اللجنة الأربعة والعشرين، من خلال انتخاب اثنتي عشرة دولة طرفاً كي تشغل هذا المنصب لمدة أربعة أعوام.</w:t>
      </w:r>
      <w:r w:rsidRPr="00934F74">
        <w:rPr>
          <w:rFonts w:ascii="Times New Roman" w:hAnsi="Times New Roman"/>
          <w:sz w:val="24"/>
        </w:rPr>
        <w:t xml:space="preserve"> </w:t>
      </w:r>
      <w:r w:rsidRPr="007968EC">
        <w:rPr>
          <w:sz w:val="24"/>
          <w:rtl/>
          <w:lang w:bidi="ar-QA"/>
        </w:rPr>
        <w:t>وتألفت اللجنة في الفترة من حزيران/يونيو 2014 إلى حزيران/يونيو 2016 من الأعضاء الأربعة والعشرين التالية أسماؤهم:</w:t>
      </w:r>
      <w:r w:rsidRPr="00934F74">
        <w:rPr>
          <w:rFonts w:ascii="Times New Roman" w:hAnsi="Times New Roman"/>
          <w:sz w:val="24"/>
        </w:rPr>
        <w:t xml:space="preserve"> </w:t>
      </w:r>
      <w:r w:rsidRPr="007968EC">
        <w:rPr>
          <w:sz w:val="24"/>
          <w:rtl/>
          <w:lang w:bidi="ar-QA"/>
        </w:rPr>
        <w:t xml:space="preserve">أفغانستان، الجزائر، بلجيكا، البرازيل، بلغاريا، الكونغو، </w:t>
      </w:r>
      <w:r w:rsidRPr="00CB45BF">
        <w:rPr>
          <w:sz w:val="24"/>
          <w:rtl/>
          <w:lang w:bidi="ar-QA"/>
        </w:rPr>
        <w:t>كوت ديفوار،</w:t>
      </w:r>
      <w:r w:rsidRPr="007968EC">
        <w:rPr>
          <w:sz w:val="24"/>
          <w:rtl/>
          <w:lang w:bidi="ar-QA"/>
        </w:rPr>
        <w:t xml:space="preserve"> مصر، اثيوبيا، اليونان، المجر، الهند، </w:t>
      </w:r>
      <w:r w:rsidRPr="001B384C">
        <w:rPr>
          <w:sz w:val="24"/>
          <w:rtl/>
        </w:rPr>
        <w:t>قيرغيزستان</w:t>
      </w:r>
      <w:r w:rsidRPr="007968EC">
        <w:rPr>
          <w:sz w:val="24"/>
          <w:rtl/>
          <w:lang w:bidi="ar-QA"/>
        </w:rPr>
        <w:t xml:space="preserve">، لاتفيا، منغوليا، ناميبيا، نيجيريا، بيرو، جمهورية </w:t>
      </w:r>
      <w:r w:rsidRPr="00CB45BF">
        <w:rPr>
          <w:sz w:val="24"/>
          <w:rtl/>
          <w:lang w:bidi="ar-QA"/>
        </w:rPr>
        <w:t>كوريا، سانت لوسيا،</w:t>
      </w:r>
      <w:r>
        <w:rPr>
          <w:sz w:val="24"/>
          <w:rtl/>
          <w:lang w:bidi="ar-QA"/>
        </w:rPr>
        <w:t xml:space="preserve"> تونس، تركيا، أوغندا و</w:t>
      </w:r>
      <w:r w:rsidRPr="007968EC">
        <w:rPr>
          <w:sz w:val="24"/>
          <w:rtl/>
          <w:lang w:bidi="ar-QA"/>
        </w:rPr>
        <w:t>أوروغواي.</w:t>
      </w:r>
    </w:p>
    <w:p w:rsidR="00CB35E6" w:rsidRPr="00934F74" w:rsidRDefault="00CB35E6" w:rsidP="00CB45BF">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واجتمعت اللجنة مرّتين منذ انتخاب الجمعية العامة لها في حزيران/يونيو 2014:</w:t>
      </w:r>
      <w:r w:rsidRPr="00934F74">
        <w:rPr>
          <w:rFonts w:ascii="Times New Roman" w:hAnsi="Times New Roman"/>
          <w:sz w:val="24"/>
        </w:rPr>
        <w:t xml:space="preserve"> </w:t>
      </w:r>
      <w:r w:rsidRPr="007968EC">
        <w:rPr>
          <w:sz w:val="24"/>
          <w:rtl/>
          <w:lang w:bidi="ar-QA"/>
        </w:rPr>
        <w:t>إذ عقدت دورتها التاسعة (</w:t>
      </w:r>
      <w:r w:rsidRPr="00934F74">
        <w:rPr>
          <w:rFonts w:ascii="Times New Roman" w:hAnsi="Times New Roman"/>
          <w:sz w:val="24"/>
          <w:lang w:bidi="ar-QA"/>
        </w:rPr>
        <w:t>9.COM</w:t>
      </w:r>
      <w:r w:rsidRPr="007968EC">
        <w:rPr>
          <w:sz w:val="24"/>
          <w:rtl/>
          <w:lang w:bidi="ar-QA"/>
        </w:rPr>
        <w:t xml:space="preserve">) في الفترة الممتدّة من 24 إلى 28 </w:t>
      </w:r>
      <w:r>
        <w:rPr>
          <w:sz w:val="24"/>
          <w:rtl/>
          <w:lang w:bidi="ar-QA"/>
        </w:rPr>
        <w:t>تشرين الثاني/</w:t>
      </w:r>
      <w:r w:rsidRPr="00CB45BF">
        <w:rPr>
          <w:sz w:val="24"/>
          <w:rtl/>
          <w:lang w:bidi="ar-QA"/>
        </w:rPr>
        <w:t>نوفمبر</w:t>
      </w:r>
      <w:r w:rsidRPr="007968EC">
        <w:rPr>
          <w:sz w:val="24"/>
          <w:rtl/>
          <w:lang w:bidi="ar-QA"/>
        </w:rPr>
        <w:t xml:space="preserve"> 2014 بمقرّ اليونسكو؛ ودورتها العاشرة في الفترة الممتدّة من 7 </w:t>
      </w:r>
      <w:r>
        <w:rPr>
          <w:sz w:val="24"/>
          <w:rtl/>
          <w:lang w:bidi="ar-QA"/>
        </w:rPr>
        <w:t>تشرين الثاني/</w:t>
      </w:r>
      <w:r w:rsidRPr="007968EC">
        <w:rPr>
          <w:sz w:val="24"/>
          <w:rtl/>
          <w:lang w:bidi="ar-QA"/>
        </w:rPr>
        <w:t>نوفمبر إلى 7 كانون الأول/ديسمبر 2015 في وينهوك بناميبيا (</w:t>
      </w:r>
      <w:r w:rsidRPr="00934F74">
        <w:rPr>
          <w:rFonts w:ascii="Times New Roman" w:hAnsi="Times New Roman"/>
          <w:sz w:val="24"/>
          <w:lang w:bidi="ar-QA"/>
        </w:rPr>
        <w:t>10.COM</w:t>
      </w:r>
      <w:r w:rsidRPr="007968EC">
        <w:rPr>
          <w:sz w:val="24"/>
          <w:rtl/>
          <w:lang w:bidi="ar-QA"/>
        </w:rPr>
        <w:t>).</w:t>
      </w:r>
    </w:p>
    <w:p w:rsidR="00CB35E6" w:rsidRPr="00934F74" w:rsidRDefault="00CB35E6" w:rsidP="00CB45BF">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 xml:space="preserve">وانتخبت اللجنة في دورتها الثامنة التي عُقدت في كانون الأول/ديسمبر 2013 بباكو، </w:t>
      </w:r>
      <w:r w:rsidRPr="00CB45BF">
        <w:rPr>
          <w:sz w:val="24"/>
          <w:rtl/>
          <w:lang w:bidi="ar-QA"/>
        </w:rPr>
        <w:t>اذربيجان</w:t>
      </w:r>
      <w:r w:rsidRPr="007968EC">
        <w:rPr>
          <w:sz w:val="24"/>
          <w:rtl/>
          <w:lang w:bidi="ar-QA"/>
        </w:rPr>
        <w:t xml:space="preserve">، أعضاء مكتب الدورة التاسعة. إذ انتُخب سعادة السيد خوسيه مانويل </w:t>
      </w:r>
      <w:proofErr w:type="spellStart"/>
      <w:r w:rsidRPr="007968EC">
        <w:rPr>
          <w:sz w:val="24"/>
          <w:rtl/>
          <w:lang w:bidi="ar-QA"/>
        </w:rPr>
        <w:t>رودر</w:t>
      </w:r>
      <w:r>
        <w:rPr>
          <w:sz w:val="24"/>
          <w:rtl/>
          <w:lang w:bidi="ar-QA"/>
        </w:rPr>
        <w:t>يغيز</w:t>
      </w:r>
      <w:proofErr w:type="spellEnd"/>
      <w:r>
        <w:rPr>
          <w:sz w:val="24"/>
          <w:rtl/>
          <w:lang w:bidi="ar-QA"/>
        </w:rPr>
        <w:t xml:space="preserve"> كوادر(بيرو) رئيساً؛ وانتُخب</w:t>
      </w:r>
      <w:r w:rsidRPr="007968EC">
        <w:rPr>
          <w:sz w:val="24"/>
          <w:rtl/>
          <w:lang w:bidi="ar-QA"/>
        </w:rPr>
        <w:t xml:space="preserve"> نوابه من بلجيكا ولاتفيا وقيرغيزستان وناميبيا ومصر؛ كما انتخبت السيدة أنيتا </w:t>
      </w:r>
      <w:proofErr w:type="spellStart"/>
      <w:r w:rsidRPr="007968EC">
        <w:rPr>
          <w:sz w:val="24"/>
          <w:rtl/>
          <w:lang w:bidi="ar-QA"/>
        </w:rPr>
        <w:t>فايفاد</w:t>
      </w:r>
      <w:proofErr w:type="spellEnd"/>
      <w:r>
        <w:rPr>
          <w:sz w:val="24"/>
          <w:rtl/>
          <w:lang w:bidi="ar-QA"/>
        </w:rPr>
        <w:t xml:space="preserve"> </w:t>
      </w:r>
      <w:r w:rsidRPr="007968EC">
        <w:rPr>
          <w:sz w:val="24"/>
          <w:rtl/>
          <w:lang w:bidi="ar-QA"/>
        </w:rPr>
        <w:t>(لاتفيا) مقررا.</w:t>
      </w:r>
    </w:p>
    <w:p w:rsidR="00CB35E6" w:rsidRPr="00934F74" w:rsidRDefault="00CB35E6" w:rsidP="002B02A3">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 xml:space="preserve">وانتخبت اللجنة في دورتها التاسعة التي عُقدت في </w:t>
      </w:r>
      <w:r>
        <w:rPr>
          <w:sz w:val="24"/>
          <w:rtl/>
          <w:lang w:bidi="ar-QA"/>
        </w:rPr>
        <w:t>تشرين الثاني/</w:t>
      </w:r>
      <w:r w:rsidRPr="007968EC">
        <w:rPr>
          <w:sz w:val="24"/>
          <w:rtl/>
          <w:lang w:bidi="ar-QA"/>
        </w:rPr>
        <w:t xml:space="preserve">نوفمبر 2014 بمقرّ اليونسكو أعضاء مكتب الدورة العاشرة. إذ انتُخب سعادة السيدة ترودي </w:t>
      </w:r>
      <w:proofErr w:type="spellStart"/>
      <w:r w:rsidRPr="007968EC">
        <w:rPr>
          <w:sz w:val="24"/>
          <w:rtl/>
          <w:lang w:bidi="ar-QA"/>
        </w:rPr>
        <w:t>أمولونغو</w:t>
      </w:r>
      <w:proofErr w:type="spellEnd"/>
      <w:r w:rsidRPr="007968EC">
        <w:rPr>
          <w:sz w:val="24"/>
          <w:rtl/>
          <w:lang w:bidi="ar-QA"/>
        </w:rPr>
        <w:t xml:space="preserve"> (ناميبيا) رئيساً؛ و</w:t>
      </w:r>
      <w:r>
        <w:rPr>
          <w:sz w:val="24"/>
          <w:rtl/>
          <w:lang w:bidi="ar-QA"/>
        </w:rPr>
        <w:t>انتُخب</w:t>
      </w:r>
      <w:r w:rsidRPr="007968EC">
        <w:rPr>
          <w:sz w:val="24"/>
          <w:rtl/>
          <w:lang w:bidi="ar-QA"/>
        </w:rPr>
        <w:t xml:space="preserve"> نوابه من بلجيكا والمجر والبرازيل والهند وتونس؛ كما انتخب السيد أحمد علي مرسي (مصر) مقررا</w:t>
      </w:r>
      <w:r>
        <w:rPr>
          <w:sz w:val="24"/>
          <w:rtl/>
          <w:lang w:bidi="ar-QA"/>
        </w:rPr>
        <w:t>ً</w:t>
      </w:r>
      <w:r w:rsidRPr="007968EC">
        <w:rPr>
          <w:sz w:val="24"/>
          <w:rtl/>
          <w:lang w:bidi="ar-QA"/>
        </w:rPr>
        <w:t>.</w:t>
      </w:r>
    </w:p>
    <w:p w:rsidR="00CB35E6" w:rsidRPr="005E5DAA" w:rsidRDefault="00CB35E6" w:rsidP="00835500">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وانتخبت اللجنة في دورتها العاشرة التي عُقدت في كانون الأول/ديسمبر</w:t>
      </w:r>
      <w:r w:rsidR="00835500">
        <w:rPr>
          <w:rFonts w:hint="cs"/>
          <w:sz w:val="24"/>
          <w:rtl/>
          <w:lang w:bidi="ar-QA"/>
        </w:rPr>
        <w:t xml:space="preserve"> 2015 </w:t>
      </w:r>
      <w:proofErr w:type="spellStart"/>
      <w:r w:rsidRPr="007968EC">
        <w:rPr>
          <w:sz w:val="24"/>
          <w:rtl/>
          <w:lang w:bidi="ar-QA"/>
        </w:rPr>
        <w:t>بويندهوك</w:t>
      </w:r>
      <w:proofErr w:type="spellEnd"/>
      <w:r w:rsidRPr="007968EC">
        <w:rPr>
          <w:sz w:val="24"/>
          <w:rtl/>
          <w:lang w:bidi="ar-QA"/>
        </w:rPr>
        <w:t xml:space="preserve">، ناميبيا، أعضاء مكتب </w:t>
      </w:r>
      <w:r w:rsidRPr="005E5DAA">
        <w:rPr>
          <w:sz w:val="24"/>
          <w:rtl/>
          <w:lang w:bidi="ar-QA"/>
        </w:rPr>
        <w:t xml:space="preserve">الدورة الحادية عشرة. إذ انتُخب السيد </w:t>
      </w:r>
      <w:proofErr w:type="spellStart"/>
      <w:r w:rsidRPr="005E5DAA">
        <w:rPr>
          <w:sz w:val="24"/>
          <w:rtl/>
          <w:lang w:bidi="ar-QA"/>
        </w:rPr>
        <w:t>يوناس</w:t>
      </w:r>
      <w:proofErr w:type="spellEnd"/>
      <w:r w:rsidRPr="005E5DAA">
        <w:rPr>
          <w:sz w:val="24"/>
          <w:rtl/>
          <w:lang w:bidi="ar-QA"/>
        </w:rPr>
        <w:t xml:space="preserve"> ديستا </w:t>
      </w:r>
      <w:proofErr w:type="spellStart"/>
      <w:r w:rsidRPr="005E5DAA">
        <w:rPr>
          <w:sz w:val="24"/>
          <w:rtl/>
          <w:lang w:bidi="ar-QA"/>
        </w:rPr>
        <w:t>تسيغاي</w:t>
      </w:r>
      <w:proofErr w:type="spellEnd"/>
      <w:r w:rsidRPr="005E5DAA">
        <w:rPr>
          <w:sz w:val="24"/>
          <w:rtl/>
          <w:lang w:bidi="ar-QA"/>
        </w:rPr>
        <w:t xml:space="preserve"> (أثيوبيا) رئيساً؛ وانتُخب نوابه من تركيا </w:t>
      </w:r>
      <w:r w:rsidR="00835500" w:rsidRPr="005E5DAA">
        <w:rPr>
          <w:rFonts w:hint="cs"/>
          <w:sz w:val="24"/>
          <w:rtl/>
          <w:lang w:bidi="ar-QA"/>
        </w:rPr>
        <w:t xml:space="preserve">وبلغاريا </w:t>
      </w:r>
      <w:r w:rsidRPr="005E5DAA">
        <w:rPr>
          <w:sz w:val="24"/>
          <w:rtl/>
          <w:lang w:bidi="ar-QA"/>
        </w:rPr>
        <w:t xml:space="preserve">وسانت لوسيا وجهورية كوريا والجزائر؛ كما انتخب السيد مراد </w:t>
      </w:r>
      <w:proofErr w:type="spellStart"/>
      <w:r w:rsidRPr="005E5DAA">
        <w:rPr>
          <w:sz w:val="24"/>
          <w:rtl/>
          <w:lang w:bidi="ar-QA"/>
        </w:rPr>
        <w:t>سوغانغوز</w:t>
      </w:r>
      <w:proofErr w:type="spellEnd"/>
      <w:r w:rsidRPr="005E5DAA">
        <w:rPr>
          <w:sz w:val="24"/>
          <w:rtl/>
          <w:lang w:bidi="ar-QA"/>
        </w:rPr>
        <w:t xml:space="preserve"> (تركيا) مقرراً.</w:t>
      </w:r>
    </w:p>
    <w:p w:rsidR="00CB35E6" w:rsidRPr="005E5DAA" w:rsidRDefault="00CB35E6" w:rsidP="00A416CC">
      <w:pPr>
        <w:pStyle w:val="Marge"/>
        <w:numPr>
          <w:ilvl w:val="0"/>
          <w:numId w:val="14"/>
        </w:numPr>
        <w:tabs>
          <w:tab w:val="clear" w:pos="720"/>
        </w:tabs>
        <w:spacing w:after="120"/>
        <w:ind w:left="567" w:hanging="567"/>
        <w:rPr>
          <w:rFonts w:ascii="Times New Roman" w:hAnsi="Times New Roman"/>
          <w:sz w:val="24"/>
        </w:rPr>
      </w:pPr>
      <w:r w:rsidRPr="005E5DAA">
        <w:rPr>
          <w:sz w:val="24"/>
          <w:rtl/>
          <w:lang w:bidi="ar-QA"/>
        </w:rPr>
        <w:t>واجتمع المكتب يومياً خلال دورات اللجنة لضبط الجدول الزمني للدورة وفقا للتقدّم المحرز.</w:t>
      </w:r>
      <w:r w:rsidRPr="005E5DAA">
        <w:rPr>
          <w:rFonts w:ascii="Times New Roman" w:hAnsi="Times New Roman"/>
          <w:sz w:val="24"/>
        </w:rPr>
        <w:t xml:space="preserve"> </w:t>
      </w:r>
      <w:r w:rsidRPr="005E5DAA">
        <w:rPr>
          <w:sz w:val="24"/>
          <w:rtl/>
          <w:lang w:bidi="ar-QA"/>
        </w:rPr>
        <w:t>كما اجتمع ثلاث مرات منذ الجمعية العامة الخامسة</w:t>
      </w:r>
      <w:r w:rsidRPr="005E5DAA">
        <w:rPr>
          <w:sz w:val="24"/>
          <w:rtl/>
          <w:lang w:bidi="ar-TN"/>
        </w:rPr>
        <w:t>، مرتين</w:t>
      </w:r>
      <w:r w:rsidRPr="005E5DAA">
        <w:rPr>
          <w:sz w:val="24"/>
          <w:rtl/>
          <w:lang w:bidi="ar-QA"/>
        </w:rPr>
        <w:t xml:space="preserve"> في مقر اليونسكو في 13 تشرين الأول/أكتوبر 2014 (</w:t>
      </w:r>
      <w:r w:rsidRPr="005E5DAA">
        <w:rPr>
          <w:rFonts w:ascii="Times New Roman" w:hAnsi="Times New Roman"/>
          <w:sz w:val="24"/>
          <w:lang w:bidi="ar-QA"/>
        </w:rPr>
        <w:t>9.COM 3.BUR</w:t>
      </w:r>
      <w:r w:rsidRPr="005E5DAA">
        <w:rPr>
          <w:sz w:val="24"/>
          <w:rtl/>
          <w:lang w:bidi="ar-QA"/>
        </w:rPr>
        <w:t>) و6 تشرين الأول/أكتوبر 2015 (</w:t>
      </w:r>
      <w:r w:rsidRPr="005E5DAA">
        <w:rPr>
          <w:rFonts w:ascii="Times New Roman" w:hAnsi="Times New Roman"/>
          <w:sz w:val="24"/>
          <w:lang w:bidi="ar-QA"/>
        </w:rPr>
        <w:t>10.COM 2.BUR</w:t>
      </w:r>
      <w:r w:rsidRPr="005E5DAA">
        <w:rPr>
          <w:sz w:val="24"/>
          <w:rtl/>
          <w:lang w:bidi="ar-QA"/>
        </w:rPr>
        <w:t>) ومرّة واحدة في و</w:t>
      </w:r>
      <w:r w:rsidRPr="005E5DAA">
        <w:rPr>
          <w:sz w:val="24"/>
          <w:rtl/>
          <w:lang w:bidi="ar-TN"/>
        </w:rPr>
        <w:t>ي</w:t>
      </w:r>
      <w:proofErr w:type="spellStart"/>
      <w:r w:rsidRPr="005E5DAA">
        <w:rPr>
          <w:sz w:val="24"/>
          <w:rtl/>
          <w:lang w:bidi="ar-QA"/>
        </w:rPr>
        <w:t>ندهوك</w:t>
      </w:r>
      <w:proofErr w:type="spellEnd"/>
      <w:r w:rsidRPr="005E5DAA">
        <w:rPr>
          <w:sz w:val="24"/>
          <w:rtl/>
          <w:lang w:bidi="ar-QA"/>
        </w:rPr>
        <w:t>، ناميبيا، في 4 كانون الأول/ديسمبر 2015 (</w:t>
      </w:r>
      <w:r w:rsidRPr="005E5DAA">
        <w:rPr>
          <w:rFonts w:ascii="Times New Roman" w:hAnsi="Times New Roman"/>
          <w:sz w:val="24"/>
          <w:lang w:bidi="ar-QA"/>
        </w:rPr>
        <w:t>10.COM 3.BUR</w:t>
      </w:r>
      <w:r w:rsidRPr="005E5DAA">
        <w:rPr>
          <w:sz w:val="24"/>
          <w:rtl/>
          <w:lang w:bidi="ar-QA"/>
        </w:rPr>
        <w:t>).</w:t>
      </w:r>
      <w:r w:rsidRPr="005E5DAA">
        <w:rPr>
          <w:rFonts w:ascii="Times New Roman" w:hAnsi="Times New Roman"/>
          <w:sz w:val="24"/>
        </w:rPr>
        <w:t xml:space="preserve"> </w:t>
      </w:r>
      <w:r w:rsidRPr="005E5DAA">
        <w:rPr>
          <w:sz w:val="24"/>
          <w:rtl/>
          <w:lang w:bidi="ar-QA"/>
        </w:rPr>
        <w:t>كما عقد المكتب مشاورات بالوسائل الإلكترونية في حزيران/يونيو 2014 (</w:t>
      </w:r>
      <w:r w:rsidRPr="005E5DAA">
        <w:rPr>
          <w:rFonts w:ascii="Times New Roman" w:hAnsi="Times New Roman"/>
          <w:sz w:val="24"/>
          <w:lang w:bidi="ar-QA"/>
        </w:rPr>
        <w:t>9.COM 2.BUR</w:t>
      </w:r>
      <w:r w:rsidRPr="005E5DAA">
        <w:rPr>
          <w:sz w:val="24"/>
          <w:rtl/>
          <w:lang w:bidi="ar-QA"/>
        </w:rPr>
        <w:t>) وفي نوفمبر 2014 (</w:t>
      </w:r>
      <w:r w:rsidRPr="005E5DAA">
        <w:rPr>
          <w:rFonts w:ascii="Times New Roman" w:hAnsi="Times New Roman"/>
          <w:sz w:val="24"/>
          <w:lang w:bidi="ar-QA"/>
        </w:rPr>
        <w:t>9.COM 4.BUR</w:t>
      </w:r>
      <w:r w:rsidRPr="005E5DAA">
        <w:rPr>
          <w:sz w:val="24"/>
          <w:rtl/>
          <w:lang w:bidi="ar-QA"/>
        </w:rPr>
        <w:t>) وفي حزيران/يونيو 2015 (</w:t>
      </w:r>
      <w:r w:rsidRPr="005E5DAA">
        <w:rPr>
          <w:rFonts w:ascii="Times New Roman" w:hAnsi="Times New Roman"/>
          <w:sz w:val="24"/>
          <w:lang w:bidi="ar-QA"/>
        </w:rPr>
        <w:t>10.COM 1.BUR</w:t>
      </w:r>
      <w:r w:rsidRPr="005E5DAA">
        <w:rPr>
          <w:sz w:val="24"/>
          <w:rtl/>
          <w:lang w:bidi="ar-QA"/>
        </w:rPr>
        <w:t>) وفي نيسان/ابريل 2016 (</w:t>
      </w:r>
      <w:r w:rsidRPr="005E5DAA">
        <w:rPr>
          <w:rFonts w:ascii="Times New Roman" w:hAnsi="Times New Roman"/>
          <w:sz w:val="24"/>
          <w:lang w:bidi="ar-QA"/>
        </w:rPr>
        <w:t>11.COM 1 BUR</w:t>
      </w:r>
      <w:r w:rsidRPr="005E5DAA">
        <w:rPr>
          <w:sz w:val="24"/>
          <w:rtl/>
          <w:lang w:bidi="ar-QA"/>
        </w:rPr>
        <w:t xml:space="preserve">). </w:t>
      </w:r>
    </w:p>
    <w:p w:rsidR="00CB35E6" w:rsidRPr="005E5DAA" w:rsidRDefault="00CB35E6" w:rsidP="00FF274A">
      <w:pPr>
        <w:pStyle w:val="Marge"/>
        <w:numPr>
          <w:ilvl w:val="0"/>
          <w:numId w:val="14"/>
        </w:numPr>
        <w:tabs>
          <w:tab w:val="clear" w:pos="720"/>
        </w:tabs>
        <w:spacing w:after="120"/>
        <w:ind w:left="567" w:hanging="567"/>
        <w:rPr>
          <w:rFonts w:ascii="Times New Roman" w:hAnsi="Times New Roman"/>
          <w:sz w:val="24"/>
        </w:rPr>
      </w:pPr>
      <w:r w:rsidRPr="005E5DAA">
        <w:rPr>
          <w:sz w:val="24"/>
          <w:rtl/>
          <w:lang w:bidi="ar-QA"/>
        </w:rPr>
        <w:t xml:space="preserve">ودرست اللجنة ومكتبها ما مجموعه 76 بنداً وبنداً فرعياً مدرجاً في جدولي أعمالهما خلال هذه الفترة بالإضافة إلى 75 وثيقة عمل أو وثيقة إعلامية و306 ترشيحاً، وطلبات مساعدة دولية وتقارير قدمتها الدول الأطراف أو طلبات اعتماد منظمات غير حكومية بالإضافة إلى </w:t>
      </w:r>
      <w:r w:rsidR="00FF274A" w:rsidRPr="005E5DAA">
        <w:rPr>
          <w:rFonts w:hint="cs"/>
          <w:sz w:val="24"/>
          <w:rtl/>
          <w:lang w:bidi="ar-QA"/>
        </w:rPr>
        <w:t>تقارير</w:t>
      </w:r>
      <w:r w:rsidR="00FF274A" w:rsidRPr="005E5DAA">
        <w:rPr>
          <w:sz w:val="24"/>
          <w:rtl/>
          <w:lang w:bidi="ar-QA"/>
        </w:rPr>
        <w:t xml:space="preserve"> </w:t>
      </w:r>
      <w:r w:rsidRPr="005E5DAA">
        <w:rPr>
          <w:sz w:val="24"/>
          <w:rtl/>
          <w:lang w:bidi="ar-QA"/>
        </w:rPr>
        <w:t>المنظمات غير الحكومية المعتمدة. كما درست اللجنة تقريراً قدّمته دولة غير طرف في الاتفاقية وهي روسيا الاتحادية بخصوص عنصرين اعتبرا من روائع التراث الشفاهي وغير المادي للبشرية وتمّ أدراجهما لاحقاً في القائمة التمثيلية للتراث الثقافي غير المادي للبشرية في عام 2008.</w:t>
      </w:r>
    </w:p>
    <w:p w:rsidR="00CB35E6" w:rsidRPr="00934F74" w:rsidRDefault="00CB35E6" w:rsidP="00CB45BF">
      <w:pPr>
        <w:rPr>
          <w:rFonts w:eastAsia="Times New Roman"/>
          <w:b/>
        </w:rPr>
      </w:pPr>
      <w:r w:rsidRPr="00934F74">
        <w:rPr>
          <w:rFonts w:eastAsia="Times New Roman"/>
          <w:b/>
        </w:rPr>
        <w:br w:type="page"/>
      </w:r>
    </w:p>
    <w:p w:rsidR="00CB35E6" w:rsidRPr="00934F74" w:rsidRDefault="00CB35E6" w:rsidP="001B384C">
      <w:pPr>
        <w:keepNext/>
        <w:spacing w:before="360" w:after="240"/>
        <w:ind w:left="360"/>
        <w:rPr>
          <w:rFonts w:eastAsia="Times New Roman"/>
          <w:b/>
        </w:rPr>
      </w:pPr>
      <w:r>
        <w:rPr>
          <w:bCs/>
          <w:rtl/>
          <w:lang w:bidi="ar-QA"/>
        </w:rPr>
        <w:lastRenderedPageBreak/>
        <w:t xml:space="preserve">أوّلاً – </w:t>
      </w:r>
      <w:r w:rsidRPr="007968EC">
        <w:rPr>
          <w:bCs/>
          <w:rtl/>
          <w:lang w:bidi="ar-QA"/>
        </w:rPr>
        <w:t>الترويج لأهداف الاتفاقية، ودعم ورصد تنفيذها</w:t>
      </w:r>
      <w:r w:rsidRPr="007968EC">
        <w:rPr>
          <w:rtl/>
          <w:lang w:bidi="ar-QA"/>
        </w:rPr>
        <w:t xml:space="preserve"> (المادة 7[أ])</w:t>
      </w:r>
    </w:p>
    <w:p w:rsidR="00CB35E6" w:rsidRPr="007968EC" w:rsidRDefault="00CB35E6" w:rsidP="00CB45BF">
      <w:pPr>
        <w:pStyle w:val="ListParagraph"/>
        <w:keepNext/>
        <w:numPr>
          <w:ilvl w:val="0"/>
          <w:numId w:val="17"/>
        </w:numPr>
        <w:bidi/>
        <w:spacing w:before="240" w:after="120"/>
        <w:ind w:left="567" w:hanging="567"/>
        <w:rPr>
          <w:rFonts w:eastAsia="Times New Roman"/>
          <w:b/>
          <w:lang w:val="en-GB"/>
        </w:rPr>
      </w:pPr>
      <w:r w:rsidRPr="007968EC">
        <w:rPr>
          <w:bCs/>
          <w:rtl/>
          <w:lang w:bidi="ar-QA"/>
        </w:rPr>
        <w:t>التصديق</w:t>
      </w:r>
    </w:p>
    <w:p w:rsidR="00CB35E6" w:rsidRPr="005E5DAA" w:rsidRDefault="00CB35E6" w:rsidP="00C539DE">
      <w:pPr>
        <w:pStyle w:val="Marge"/>
        <w:numPr>
          <w:ilvl w:val="0"/>
          <w:numId w:val="14"/>
        </w:numPr>
        <w:tabs>
          <w:tab w:val="clear" w:pos="720"/>
        </w:tabs>
        <w:spacing w:after="120"/>
        <w:ind w:left="567" w:hanging="567"/>
        <w:rPr>
          <w:rFonts w:ascii="Times New Roman" w:hAnsi="Times New Roman"/>
          <w:sz w:val="24"/>
          <w:lang w:val="en-GB"/>
        </w:rPr>
      </w:pPr>
      <w:r w:rsidRPr="001B384C">
        <w:rPr>
          <w:sz w:val="24"/>
          <w:rtl/>
          <w:lang w:bidi="ar-QA"/>
        </w:rPr>
        <w:t xml:space="preserve">صدقت </w:t>
      </w:r>
      <w:r w:rsidR="00C539DE" w:rsidRPr="005E5DAA">
        <w:rPr>
          <w:sz w:val="24"/>
          <w:lang w:val="en-GB" w:bidi="ar-QA"/>
        </w:rPr>
        <w:t>6</w:t>
      </w:r>
      <w:r w:rsidRPr="005E5DAA">
        <w:rPr>
          <w:sz w:val="24"/>
          <w:rtl/>
          <w:lang w:bidi="ar-QA"/>
        </w:rPr>
        <w:t xml:space="preserve"> دول – الرأس الأخضر وغانا </w:t>
      </w:r>
      <w:r w:rsidR="00C539DE" w:rsidRPr="005E5DAA">
        <w:rPr>
          <w:sz w:val="24"/>
          <w:rtl/>
          <w:lang w:bidi="ar-QA"/>
        </w:rPr>
        <w:t>وغينيا</w:t>
      </w:r>
      <w:r w:rsidR="00C539DE" w:rsidRPr="005E5DAA">
        <w:rPr>
          <w:sz w:val="24"/>
          <w:rtl/>
        </w:rPr>
        <w:t xml:space="preserve"> </w:t>
      </w:r>
      <w:r w:rsidR="00C539DE" w:rsidRPr="005E5DAA">
        <w:rPr>
          <w:sz w:val="24"/>
          <w:rtl/>
          <w:lang w:bidi="ar-QA"/>
        </w:rPr>
        <w:t xml:space="preserve">بيساو </w:t>
      </w:r>
      <w:r w:rsidRPr="005E5DAA">
        <w:rPr>
          <w:sz w:val="24"/>
          <w:rtl/>
          <w:lang w:bidi="ar-QA"/>
        </w:rPr>
        <w:t>وايرلندا والكويت وجزر مارشال</w:t>
      </w:r>
      <w:r w:rsidRPr="001B384C">
        <w:rPr>
          <w:sz w:val="24"/>
          <w:rtl/>
          <w:lang w:bidi="ar-QA"/>
        </w:rPr>
        <w:t xml:space="preserve"> </w:t>
      </w:r>
      <w:r w:rsidRPr="005E5DAA">
        <w:rPr>
          <w:sz w:val="24"/>
          <w:rtl/>
          <w:lang w:bidi="ar-QA"/>
        </w:rPr>
        <w:t xml:space="preserve">– في الفترة الممتدة من حزيران/يونيو 2014 إلى حزيران/يونيو 2016 على الاتفاقية. أصبحت 166 دولة طرفاً في الاتفاقية عند انعقاد الدورة السادسة للجمعية العامة. </w:t>
      </w:r>
    </w:p>
    <w:p w:rsidR="00CB35E6" w:rsidRPr="007968EC" w:rsidRDefault="00CB35E6" w:rsidP="00CB45BF">
      <w:pPr>
        <w:pStyle w:val="ListParagraph"/>
        <w:keepNext/>
        <w:numPr>
          <w:ilvl w:val="0"/>
          <w:numId w:val="17"/>
        </w:numPr>
        <w:bidi/>
        <w:spacing w:before="240" w:after="120"/>
        <w:ind w:left="567" w:hanging="567"/>
        <w:rPr>
          <w:rFonts w:eastAsia="Times New Roman"/>
          <w:b/>
          <w:lang w:val="en-GB"/>
        </w:rPr>
      </w:pPr>
      <w:r w:rsidRPr="007968EC">
        <w:rPr>
          <w:bCs/>
          <w:rtl/>
          <w:lang w:bidi="ar-QA"/>
        </w:rPr>
        <w:t>تعزيز القدرات</w:t>
      </w:r>
    </w:p>
    <w:p w:rsidR="00CB35E6" w:rsidRPr="00CB45BF" w:rsidRDefault="00CB35E6" w:rsidP="00FF274A">
      <w:pPr>
        <w:pStyle w:val="Marge"/>
        <w:numPr>
          <w:ilvl w:val="0"/>
          <w:numId w:val="14"/>
        </w:numPr>
        <w:tabs>
          <w:tab w:val="clear" w:pos="720"/>
        </w:tabs>
        <w:spacing w:after="0"/>
        <w:ind w:left="567" w:hanging="567"/>
        <w:rPr>
          <w:rFonts w:ascii="Times New Roman" w:hAnsi="Times New Roman"/>
          <w:sz w:val="24"/>
          <w:lang w:val="en-GB"/>
        </w:rPr>
      </w:pPr>
      <w:r w:rsidRPr="007968EC">
        <w:rPr>
          <w:sz w:val="24"/>
          <w:rtl/>
          <w:lang w:bidi="ar-QA"/>
        </w:rPr>
        <w:t>تواصل اللجنة اعطاء الأولوية لبناء القدرات، باعتبار أن التنفيذ الفعال يقوم على معرفة وفهم دقيقين للاتفاقية ومفاهيمها وتدابيرها وآلياتها.</w:t>
      </w:r>
      <w:r w:rsidRPr="007968EC">
        <w:rPr>
          <w:rFonts w:ascii="Times New Roman" w:hAnsi="Times New Roman"/>
          <w:sz w:val="24"/>
          <w:lang w:val="en-GB"/>
        </w:rPr>
        <w:t xml:space="preserve"> </w:t>
      </w:r>
      <w:r w:rsidRPr="007968EC">
        <w:rPr>
          <w:sz w:val="24"/>
          <w:rtl/>
          <w:lang w:bidi="ar-QA"/>
        </w:rPr>
        <w:t xml:space="preserve">وأذنت الجمعية العامة في دورتها الخامسة باستخدام صندوق التراث الثقافي غير المادي لمواصلة تنفيذ الاستراتيجية الشاملة المتمثلة في بناء القدرات باستخدام بند الميزانية "مهام </w:t>
      </w:r>
      <w:r>
        <w:rPr>
          <w:sz w:val="24"/>
          <w:rtl/>
          <w:lang w:bidi="ar-QA"/>
        </w:rPr>
        <w:t>اللجنة الأخرى</w:t>
      </w:r>
      <w:r w:rsidRPr="007968EC">
        <w:rPr>
          <w:sz w:val="24"/>
          <w:rtl/>
          <w:lang w:bidi="ar-QA"/>
        </w:rPr>
        <w:t xml:space="preserve">". وفي قرارها </w:t>
      </w:r>
      <w:r w:rsidRPr="00934F74">
        <w:rPr>
          <w:rFonts w:ascii="Times New Roman" w:hAnsi="Times New Roman"/>
          <w:sz w:val="24"/>
          <w:lang w:val="en-GB" w:bidi="ar-QA"/>
        </w:rPr>
        <w:t>8.COM 11</w:t>
      </w:r>
      <w:r w:rsidRPr="007968EC">
        <w:rPr>
          <w:sz w:val="24"/>
          <w:rtl/>
          <w:lang w:bidi="ar-QA"/>
        </w:rPr>
        <w:t xml:space="preserve">، فوّضت اللجنة لمكتبها سلطة تقرير كيفية استعمال الأموال المخصّص لهذا البند من الخطة </w:t>
      </w:r>
      <w:r w:rsidR="00F74B92" w:rsidRPr="007968EC">
        <w:rPr>
          <w:sz w:val="24"/>
          <w:rtl/>
          <w:lang w:bidi="ar-QA"/>
        </w:rPr>
        <w:t xml:space="preserve">لاستخدام موارد صندوق، </w:t>
      </w:r>
      <w:r w:rsidRPr="007968EC">
        <w:rPr>
          <w:sz w:val="24"/>
          <w:rtl/>
          <w:lang w:bidi="ar-QA"/>
        </w:rPr>
        <w:t>استنادا</w:t>
      </w:r>
      <w:r>
        <w:rPr>
          <w:sz w:val="24"/>
          <w:rtl/>
          <w:lang w:bidi="ar-QA"/>
        </w:rPr>
        <w:t>ً</w:t>
      </w:r>
      <w:r w:rsidRPr="007968EC">
        <w:rPr>
          <w:sz w:val="24"/>
          <w:rtl/>
          <w:lang w:bidi="ar-QA"/>
        </w:rPr>
        <w:t xml:space="preserve"> إلى مقترحات محّددة تقوم الأمانة بإعدادها.</w:t>
      </w:r>
      <w:r w:rsidRPr="007968EC">
        <w:rPr>
          <w:rFonts w:ascii="Times New Roman" w:hAnsi="Times New Roman"/>
          <w:sz w:val="24"/>
          <w:lang w:val="en-GB"/>
        </w:rPr>
        <w:t xml:space="preserve"> </w:t>
      </w:r>
      <w:r w:rsidRPr="007968EC">
        <w:rPr>
          <w:sz w:val="24"/>
          <w:rtl/>
          <w:lang w:bidi="ar-QA"/>
        </w:rPr>
        <w:t xml:space="preserve">ولإعلام المانحين بشروط التمويل الخاصة ببرنامج بناء القدرات على الصعيد العالمي، طوّرت الأمانة </w:t>
      </w:r>
      <w:hyperlink r:id="rId8" w:history="1">
        <w:r w:rsidRPr="001E519E">
          <w:rPr>
            <w:rStyle w:val="Hyperlink"/>
            <w:sz w:val="24"/>
            <w:rtl/>
            <w:lang w:bidi="ar-QA"/>
          </w:rPr>
          <w:t xml:space="preserve">مذكرة </w:t>
        </w:r>
        <w:proofErr w:type="spellStart"/>
        <w:r w:rsidRPr="001E519E">
          <w:rPr>
            <w:rStyle w:val="Hyperlink"/>
            <w:sz w:val="24"/>
            <w:rtl/>
            <w:lang w:bidi="ar-QA"/>
          </w:rPr>
          <w:t>مفاهيمية</w:t>
        </w:r>
        <w:proofErr w:type="spellEnd"/>
      </w:hyperlink>
      <w:r w:rsidRPr="007968EC">
        <w:rPr>
          <w:sz w:val="24"/>
          <w:rtl/>
          <w:lang w:bidi="ar-QA"/>
        </w:rPr>
        <w:t xml:space="preserve"> في إطار البرنامج الإضافي التكميلي 2014-</w:t>
      </w:r>
      <w:r w:rsidRPr="00CB45BF">
        <w:rPr>
          <w:sz w:val="24"/>
          <w:rtl/>
          <w:lang w:bidi="ar-QA"/>
        </w:rPr>
        <w:t>2017 بعنوان تعزيز القدرات لصون التراث الثقافي غير المادي في خدمة التنمية المستدامة، والتي يمكن الاطلاع عليها بصفحة</w:t>
      </w:r>
      <w:r w:rsidR="00F74B92" w:rsidRPr="005E5DAA">
        <w:rPr>
          <w:sz w:val="24"/>
          <w:lang w:val="en-GB" w:bidi="ar-QA"/>
        </w:rPr>
        <w:t xml:space="preserve"> </w:t>
      </w:r>
      <w:r w:rsidR="00FF274A" w:rsidRPr="007968EC">
        <w:rPr>
          <w:sz w:val="24"/>
          <w:rtl/>
          <w:lang w:bidi="ar-QA"/>
        </w:rPr>
        <w:t>الالكتروني</w:t>
      </w:r>
      <w:r w:rsidR="00FF274A">
        <w:rPr>
          <w:rFonts w:hint="cs"/>
          <w:sz w:val="24"/>
          <w:rtl/>
          <w:lang w:bidi="ar-QA"/>
        </w:rPr>
        <w:t>ة</w:t>
      </w:r>
      <w:r w:rsidR="00FF274A" w:rsidRPr="00CB45BF">
        <w:rPr>
          <w:sz w:val="24"/>
          <w:rtl/>
          <w:lang w:bidi="ar-QA"/>
        </w:rPr>
        <w:t xml:space="preserve"> </w:t>
      </w:r>
      <w:r w:rsidR="00046B0B" w:rsidRPr="00CB45BF">
        <w:rPr>
          <w:sz w:val="24"/>
          <w:rtl/>
          <w:lang w:bidi="ar-QA"/>
        </w:rPr>
        <w:t>الشراكة</w:t>
      </w:r>
      <w:r w:rsidR="00046B0B">
        <w:rPr>
          <w:rFonts w:hint="cs"/>
          <w:sz w:val="24"/>
          <w:rtl/>
          <w:lang w:bidi="ar-QA"/>
        </w:rPr>
        <w:t xml:space="preserve"> مع</w:t>
      </w:r>
      <w:r w:rsidR="00046B0B" w:rsidRPr="007968EC">
        <w:rPr>
          <w:sz w:val="24"/>
          <w:rtl/>
          <w:lang w:bidi="ar-QA"/>
        </w:rPr>
        <w:t xml:space="preserve"> </w:t>
      </w:r>
      <w:r w:rsidRPr="00CB45BF">
        <w:rPr>
          <w:sz w:val="24"/>
          <w:rtl/>
          <w:lang w:bidi="ar-QA"/>
        </w:rPr>
        <w:t xml:space="preserve">التابعة لليونسكو. ووافقت اللجنة في دورتها التاسعة المنعقدة في تشرين الثاني/نوفمبر 2014 على المذكرة </w:t>
      </w:r>
      <w:proofErr w:type="spellStart"/>
      <w:r w:rsidRPr="00CB45BF">
        <w:rPr>
          <w:sz w:val="24"/>
          <w:rtl/>
          <w:lang w:bidi="ar-QA"/>
        </w:rPr>
        <w:t>المفاهيمية</w:t>
      </w:r>
      <w:proofErr w:type="spellEnd"/>
      <w:r w:rsidRPr="00CB45BF">
        <w:rPr>
          <w:sz w:val="24"/>
          <w:rtl/>
          <w:lang w:bidi="ar-QA"/>
        </w:rPr>
        <w:t xml:space="preserve"> كإطار لقبول المساهمات الطوعية الإضافية دون موافقة صريحة. </w:t>
      </w:r>
    </w:p>
    <w:p w:rsidR="00CB35E6" w:rsidRPr="007968EC" w:rsidRDefault="00CB35E6" w:rsidP="00CB45BF">
      <w:pPr>
        <w:pStyle w:val="Marge"/>
        <w:numPr>
          <w:ilvl w:val="0"/>
          <w:numId w:val="14"/>
        </w:numPr>
        <w:tabs>
          <w:tab w:val="clear" w:pos="720"/>
        </w:tabs>
        <w:spacing w:after="0"/>
        <w:ind w:left="567" w:hanging="567"/>
        <w:rPr>
          <w:rFonts w:ascii="Times New Roman" w:hAnsi="Times New Roman"/>
          <w:sz w:val="24"/>
          <w:lang w:val="en-GB"/>
        </w:rPr>
      </w:pPr>
      <w:r w:rsidRPr="007968EC">
        <w:rPr>
          <w:sz w:val="24"/>
          <w:rtl/>
          <w:lang w:bidi="ar-QA"/>
        </w:rPr>
        <w:t>ووافق المكتب على أنشطة بلغ</w:t>
      </w:r>
      <w:r>
        <w:rPr>
          <w:sz w:val="24"/>
          <w:rtl/>
          <w:lang w:bidi="ar-QA"/>
        </w:rPr>
        <w:t>ت قيمتها الإجمالية 785097 دولار أمريكي</w:t>
      </w:r>
      <w:r w:rsidRPr="007968EC">
        <w:rPr>
          <w:sz w:val="24"/>
          <w:rtl/>
          <w:lang w:bidi="ar-QA"/>
        </w:rPr>
        <w:t xml:space="preserve"> خلال الفترة الممتدّة من كانون الثاني/يناير 2014 إلى كانون الأول</w:t>
      </w:r>
      <w:r>
        <w:rPr>
          <w:sz w:val="24"/>
          <w:rtl/>
          <w:lang w:bidi="ar-QA"/>
        </w:rPr>
        <w:t>/</w:t>
      </w:r>
      <w:r w:rsidRPr="007968EC">
        <w:rPr>
          <w:sz w:val="24"/>
          <w:rtl/>
          <w:lang w:bidi="ar-QA"/>
        </w:rPr>
        <w:t>ديسمبر 2015 ومبلغ 196772 بالنسبة للفترة الفترة الممتدّة من كانون الثاني/يناير إلى حزيران/يونيو 2016 والتي تهدف إلى دعم عدد من الحاجيات المستعرضة، وخاصة: (</w:t>
      </w:r>
      <w:proofErr w:type="spellStart"/>
      <w:r w:rsidRPr="007968EC">
        <w:rPr>
          <w:rFonts w:ascii="Times New Roman" w:hAnsi="Times New Roman"/>
          <w:sz w:val="24"/>
          <w:lang w:val="en-GB" w:bidi="ar-QA"/>
        </w:rPr>
        <w:t>i</w:t>
      </w:r>
      <w:proofErr w:type="spellEnd"/>
      <w:r w:rsidRPr="007968EC">
        <w:rPr>
          <w:sz w:val="24"/>
          <w:rtl/>
          <w:lang w:bidi="ar-QA"/>
        </w:rPr>
        <w:t>) تطوير مواد ومحتوى تدريب؛ (</w:t>
      </w:r>
      <w:r w:rsidRPr="007968EC">
        <w:rPr>
          <w:rFonts w:ascii="Times New Roman" w:hAnsi="Times New Roman"/>
          <w:sz w:val="24"/>
          <w:lang w:val="en-GB" w:bidi="ar-QA"/>
        </w:rPr>
        <w:t>ii</w:t>
      </w:r>
      <w:r w:rsidRPr="007968EC">
        <w:rPr>
          <w:sz w:val="24"/>
          <w:rtl/>
          <w:lang w:bidi="ar-QA"/>
        </w:rPr>
        <w:t>) تعزيز شبكة الميسرين الخبراء؛ و(</w:t>
      </w:r>
      <w:r w:rsidRPr="007968EC">
        <w:rPr>
          <w:rFonts w:ascii="Times New Roman" w:hAnsi="Times New Roman"/>
          <w:sz w:val="24"/>
          <w:lang w:val="en-GB" w:bidi="ar-QA"/>
        </w:rPr>
        <w:t>iii</w:t>
      </w:r>
      <w:r w:rsidRPr="007968EC">
        <w:rPr>
          <w:sz w:val="24"/>
          <w:rtl/>
          <w:lang w:bidi="ar-QA"/>
        </w:rPr>
        <w:t xml:space="preserve">) متابعة وتقييم تكييف الاستراتيجية </w:t>
      </w:r>
      <w:r w:rsidRPr="005E5DAA">
        <w:rPr>
          <w:sz w:val="24"/>
          <w:rtl/>
          <w:lang w:bidi="ar-QA"/>
        </w:rPr>
        <w:t>وفقا لذلك</w:t>
      </w:r>
      <w:r w:rsidRPr="005E5DAA">
        <w:rPr>
          <w:rStyle w:val="FootnoteReference"/>
          <w:sz w:val="24"/>
          <w:rtl/>
          <w:lang w:bidi="ar-QA"/>
        </w:rPr>
        <w:footnoteReference w:id="1"/>
      </w:r>
      <w:r w:rsidRPr="005E5DAA">
        <w:rPr>
          <w:sz w:val="24"/>
          <w:rtl/>
          <w:lang w:bidi="ar-QA"/>
        </w:rPr>
        <w:t>.</w:t>
      </w:r>
      <w:r w:rsidRPr="005E5DAA">
        <w:rPr>
          <w:rFonts w:ascii="Times New Roman" w:hAnsi="Times New Roman"/>
          <w:sz w:val="24"/>
          <w:lang w:val="en-GB"/>
        </w:rPr>
        <w:t xml:space="preserve"> </w:t>
      </w:r>
      <w:r w:rsidRPr="005E5DAA">
        <w:rPr>
          <w:sz w:val="24"/>
          <w:rtl/>
          <w:lang w:bidi="ar-QA"/>
        </w:rPr>
        <w:t xml:space="preserve">يضمّ تقرير الأمانة بشأن أنشطتها معلومات مفصّلة عن نتائج هذه الأنشطة خلال الفترة الممتدّة من حزيران/يونيو 2014 وحزيران/يونيو 2016 بخصوص هذه المسائل (الوثيقة </w:t>
      </w:r>
      <w:r w:rsidRPr="005E5DAA">
        <w:rPr>
          <w:rFonts w:ascii="Times New Roman" w:hAnsi="Times New Roman"/>
          <w:sz w:val="24"/>
          <w:lang w:val="en-GB" w:bidi="ar-QA"/>
        </w:rPr>
        <w:t>ITH/16/6.GA/6</w:t>
      </w:r>
      <w:r w:rsidRPr="005E5DAA">
        <w:rPr>
          <w:sz w:val="24"/>
          <w:rtl/>
          <w:lang w:bidi="ar-QA"/>
        </w:rPr>
        <w:t>).</w:t>
      </w:r>
      <w:r w:rsidRPr="005E5DAA">
        <w:rPr>
          <w:rFonts w:ascii="Times New Roman" w:hAnsi="Times New Roman"/>
          <w:sz w:val="24"/>
          <w:lang w:val="en-GB"/>
        </w:rPr>
        <w:t xml:space="preserve"> </w:t>
      </w:r>
      <w:r w:rsidRPr="005E5DAA">
        <w:rPr>
          <w:sz w:val="24"/>
          <w:rtl/>
          <w:lang w:bidi="ar-QA"/>
        </w:rPr>
        <w:t>كما يشير التقرير إلى وضعية تطبيق برامج بناء القدرات على الصعيد الوطني</w:t>
      </w:r>
      <w:r w:rsidRPr="007968EC">
        <w:rPr>
          <w:sz w:val="24"/>
          <w:rtl/>
          <w:lang w:bidi="ar-QA"/>
        </w:rPr>
        <w:t xml:space="preserve"> والتي أصبحت ممكنة بفضل المساهمات المرصودة لصندوق الموروث الثقافي غير المادي وترتيبات الصندوق الائتماني. </w:t>
      </w:r>
    </w:p>
    <w:p w:rsidR="00CB35E6" w:rsidRPr="007968EC" w:rsidRDefault="00CB35E6" w:rsidP="001B384C">
      <w:pPr>
        <w:pStyle w:val="ListParagraph"/>
        <w:keepNext/>
        <w:numPr>
          <w:ilvl w:val="0"/>
          <w:numId w:val="17"/>
        </w:numPr>
        <w:bidi/>
        <w:spacing w:before="240" w:after="120"/>
        <w:rPr>
          <w:rFonts w:eastAsia="Times New Roman"/>
          <w:b/>
          <w:lang w:val="en-GB"/>
        </w:rPr>
      </w:pPr>
      <w:r w:rsidRPr="007968EC">
        <w:rPr>
          <w:bCs/>
          <w:rtl/>
          <w:lang w:bidi="ar-QA"/>
        </w:rPr>
        <w:t>خدمات إدارة المعارف</w:t>
      </w:r>
    </w:p>
    <w:p w:rsidR="00CB35E6" w:rsidRPr="007968EC" w:rsidRDefault="00CB35E6" w:rsidP="00CB45BF">
      <w:pPr>
        <w:pStyle w:val="Marge"/>
        <w:numPr>
          <w:ilvl w:val="0"/>
          <w:numId w:val="14"/>
        </w:numPr>
        <w:tabs>
          <w:tab w:val="clear" w:pos="720"/>
        </w:tabs>
        <w:spacing w:after="120"/>
        <w:ind w:left="567" w:hanging="567"/>
        <w:rPr>
          <w:rFonts w:ascii="Times New Roman" w:hAnsi="Times New Roman"/>
          <w:sz w:val="24"/>
          <w:lang w:val="en-GB"/>
        </w:rPr>
      </w:pPr>
      <w:r w:rsidRPr="007968EC">
        <w:rPr>
          <w:sz w:val="24"/>
          <w:rtl/>
          <w:lang w:bidi="ar-QA"/>
        </w:rPr>
        <w:t>أصبحت إدارة المعرفة أمراً لا غنى عنه مع تواصل تطوّر الاتفاقية وتوسّع شبكة لأصحاب المصلحة.</w:t>
      </w:r>
      <w:r w:rsidRPr="007968EC">
        <w:rPr>
          <w:rFonts w:ascii="Times New Roman" w:hAnsi="Times New Roman"/>
          <w:sz w:val="24"/>
          <w:lang w:val="en-GB"/>
        </w:rPr>
        <w:t xml:space="preserve"> </w:t>
      </w:r>
      <w:r w:rsidRPr="007968EC">
        <w:rPr>
          <w:sz w:val="24"/>
          <w:rtl/>
          <w:lang w:bidi="ar-QA"/>
        </w:rPr>
        <w:t>فالتحسّن المطرّد في إدارة المعارف والمعلومات هو ما يمكّن الأمانة من تقديم خدمات للدول الأطراف والهيئات ا</w:t>
      </w:r>
      <w:r>
        <w:rPr>
          <w:sz w:val="24"/>
          <w:rtl/>
          <w:lang w:bidi="ar-QA"/>
        </w:rPr>
        <w:t>لإدارية للاتفاقية</w:t>
      </w:r>
      <w:r w:rsidRPr="007968EC">
        <w:rPr>
          <w:sz w:val="24"/>
          <w:rtl/>
          <w:lang w:bidi="ar-QA"/>
        </w:rPr>
        <w:t xml:space="preserve"> وللمجتمع الدولي بأسره بطريقة دقيقة وفي توقيت مناسب قدر الإمكان.</w:t>
      </w:r>
      <w:r w:rsidRPr="007968EC">
        <w:rPr>
          <w:rFonts w:ascii="Times New Roman" w:hAnsi="Times New Roman"/>
          <w:sz w:val="24"/>
          <w:lang w:val="en-GB"/>
        </w:rPr>
        <w:t xml:space="preserve"> </w:t>
      </w:r>
      <w:r w:rsidRPr="007968EC">
        <w:rPr>
          <w:sz w:val="24"/>
          <w:rtl/>
          <w:lang w:bidi="ar-QA"/>
        </w:rPr>
        <w:t xml:space="preserve">ووافق المكتب على أنشطة ترمي لتحسين الوصول واستعمال </w:t>
      </w:r>
      <w:r w:rsidRPr="001B384C">
        <w:rPr>
          <w:sz w:val="24"/>
          <w:rtl/>
          <w:lang w:bidi="ar-QA"/>
        </w:rPr>
        <w:t>ووظائف</w:t>
      </w:r>
      <w:r w:rsidRPr="007968EC">
        <w:rPr>
          <w:sz w:val="24"/>
          <w:rtl/>
          <w:lang w:bidi="ar-QA"/>
        </w:rPr>
        <w:t xml:space="preserve"> نظام ادارة المعارف التابع للاتفاقية بقيمة اجمالية قدرها 304000 دولار أمريكي خلال المفترة الممتدّة من كانون الثاني/يناير 2014 إلى كانون الأول/ديسمبر 2015 وبقيمة 80000 دولار </w:t>
      </w:r>
      <w:r>
        <w:rPr>
          <w:sz w:val="24"/>
          <w:rtl/>
          <w:lang w:bidi="ar-QA"/>
        </w:rPr>
        <w:t xml:space="preserve">أمريكي </w:t>
      </w:r>
      <w:r w:rsidRPr="007968EC">
        <w:rPr>
          <w:sz w:val="24"/>
          <w:rtl/>
          <w:lang w:bidi="ar-QA"/>
        </w:rPr>
        <w:t>بالنسبة للفترة الممتدّة من كانون الثاني/يناير 2016 إلى حزيران</w:t>
      </w:r>
      <w:r>
        <w:rPr>
          <w:sz w:val="24"/>
          <w:rtl/>
          <w:lang w:bidi="ar-QA"/>
        </w:rPr>
        <w:t>/</w:t>
      </w:r>
      <w:r w:rsidRPr="007968EC">
        <w:rPr>
          <w:sz w:val="24"/>
          <w:rtl/>
          <w:lang w:bidi="ar-QA"/>
        </w:rPr>
        <w:t xml:space="preserve">يونيو 2016. ويقدّم تقرير الأمانة، مرّة أخرى، تفاصيل حول التحسينات المحقّقة والمنتظرة في مجال خدمات إدارة المعارف. </w:t>
      </w:r>
    </w:p>
    <w:p w:rsidR="00CB35E6" w:rsidRPr="007968EC" w:rsidRDefault="00CB35E6" w:rsidP="006756E8">
      <w:pPr>
        <w:keepNext/>
        <w:pageBreakBefore/>
        <w:spacing w:before="360" w:after="240"/>
        <w:ind w:left="360"/>
        <w:rPr>
          <w:rFonts w:eastAsia="Times New Roman"/>
          <w:lang w:val="en-GB"/>
        </w:rPr>
      </w:pPr>
      <w:r>
        <w:rPr>
          <w:b/>
          <w:bCs/>
          <w:rtl/>
          <w:lang w:bidi="ar-QA"/>
        </w:rPr>
        <w:lastRenderedPageBreak/>
        <w:t xml:space="preserve">ثانياً – </w:t>
      </w:r>
      <w:r w:rsidRPr="00314E5B">
        <w:rPr>
          <w:b/>
          <w:bCs/>
          <w:rtl/>
          <w:lang w:bidi="ar-QA"/>
        </w:rPr>
        <w:t>المشورة بشأن أفضل الممارسات والتوصيات بشأن تدابير الصون</w:t>
      </w:r>
      <w:r w:rsidRPr="007968EC">
        <w:rPr>
          <w:rtl/>
          <w:lang w:bidi="ar-QA"/>
        </w:rPr>
        <w:t xml:space="preserve"> (المادة 7 [ب])</w:t>
      </w:r>
    </w:p>
    <w:p w:rsidR="00CB35E6" w:rsidRPr="00934F74" w:rsidRDefault="00CB35E6" w:rsidP="00A779EC">
      <w:pPr>
        <w:pStyle w:val="Marge"/>
        <w:numPr>
          <w:ilvl w:val="0"/>
          <w:numId w:val="14"/>
        </w:numPr>
        <w:tabs>
          <w:tab w:val="clear" w:pos="720"/>
        </w:tabs>
        <w:spacing w:after="120"/>
        <w:ind w:left="567" w:hanging="567"/>
        <w:rPr>
          <w:rStyle w:val="hps"/>
          <w:rFonts w:ascii="Times New Roman" w:hAnsi="Times New Roman"/>
          <w:sz w:val="24"/>
          <w:lang w:val="en-GB"/>
        </w:rPr>
      </w:pPr>
      <w:r w:rsidRPr="007968EC">
        <w:rPr>
          <w:sz w:val="24"/>
          <w:rtl/>
          <w:lang w:bidi="ar-QA"/>
        </w:rPr>
        <w:t xml:space="preserve">ودعت اللجنة جميع أصحاب المصلحة إلى تطوير طرق </w:t>
      </w:r>
      <w:r w:rsidRPr="005E5DAA">
        <w:rPr>
          <w:sz w:val="24"/>
          <w:rtl/>
          <w:lang w:bidi="ar-QA"/>
        </w:rPr>
        <w:t xml:space="preserve">بديلة وأقلّ كلفة لتقاسم التجارب في مجال الصون بدل الاعتماد حصرياً على سجل أفضل ممارسات الصون (القرار </w:t>
      </w:r>
      <w:r w:rsidRPr="005E5DAA">
        <w:rPr>
          <w:rFonts w:ascii="Times New Roman" w:hAnsi="Times New Roman"/>
          <w:sz w:val="24"/>
          <w:lang w:val="en-GB" w:bidi="ar-QA"/>
        </w:rPr>
        <w:t>8.COM 5.c.1</w:t>
      </w:r>
      <w:r w:rsidRPr="005E5DAA">
        <w:rPr>
          <w:sz w:val="24"/>
          <w:rtl/>
          <w:lang w:bidi="ar-QA"/>
        </w:rPr>
        <w:t>).</w:t>
      </w:r>
      <w:r w:rsidRPr="005E5DAA">
        <w:rPr>
          <w:rFonts w:ascii="Times New Roman" w:hAnsi="Times New Roman"/>
          <w:sz w:val="24"/>
          <w:lang w:val="en-GB"/>
        </w:rPr>
        <w:t xml:space="preserve"> </w:t>
      </w:r>
      <w:r w:rsidRPr="005E5DAA">
        <w:rPr>
          <w:sz w:val="24"/>
          <w:rtl/>
          <w:lang w:bidi="ar-QA"/>
        </w:rPr>
        <w:t>وفي هذا الإطار خصّص المكتب مبلغاً اجمالياً قدره</w:t>
      </w:r>
      <w:r w:rsidRPr="007968EC">
        <w:rPr>
          <w:sz w:val="24"/>
          <w:rtl/>
          <w:lang w:bidi="ar-QA"/>
        </w:rPr>
        <w:t xml:space="preserve"> 133000 دولار أمريكي للفترة الممتدّة من كانون الثاني/يناير 2014 إلى كانون الأول/ديسمبر 2015 ومبلغا قيمته 43000 دولار أمريكي خلال الفترة الممتدّة من كانون الثاني/يناير 2016 إلى حزيران/يونيو 2016 لمساعدة الأمانة على تحديد وت</w:t>
      </w:r>
      <w:r>
        <w:rPr>
          <w:sz w:val="24"/>
          <w:rtl/>
          <w:lang w:bidi="ar-QA"/>
        </w:rPr>
        <w:t>بادل</w:t>
      </w:r>
      <w:r w:rsidRPr="007968EC">
        <w:rPr>
          <w:sz w:val="24"/>
          <w:rtl/>
          <w:lang w:bidi="ar-QA"/>
        </w:rPr>
        <w:t xml:space="preserve"> الأمثلة المبتكرة والمثيرة للاهتمام، لا سيما بخصوص مدونات قواعد السلوك ومواضيع أخرى. كما طلبت اللجنة تعزيز التعاون مع المنظمة العالمية للملكية الفكرية بشأن المعرفة التقليدية والتعبيرات الثقافية. ويقدّ</w:t>
      </w:r>
      <w:r>
        <w:rPr>
          <w:sz w:val="24"/>
          <w:rtl/>
          <w:lang w:bidi="ar-QA"/>
        </w:rPr>
        <w:t>م</w:t>
      </w:r>
      <w:r w:rsidRPr="007968EC">
        <w:rPr>
          <w:sz w:val="24"/>
          <w:rtl/>
          <w:lang w:bidi="ar-QA"/>
        </w:rPr>
        <w:t xml:space="preserve"> تقرير </w:t>
      </w:r>
      <w:r w:rsidRPr="005E5DAA">
        <w:rPr>
          <w:sz w:val="24"/>
          <w:rtl/>
          <w:lang w:bidi="ar-QA"/>
        </w:rPr>
        <w:t xml:space="preserve">الأمانة </w:t>
      </w:r>
      <w:r w:rsidR="00A779EC" w:rsidRPr="005E5DAA">
        <w:rPr>
          <w:sz w:val="24"/>
          <w:rtl/>
          <w:lang w:bidi="ar-QA"/>
        </w:rPr>
        <w:t>وملحقاته</w:t>
      </w:r>
      <w:r w:rsidR="00A779EC" w:rsidRPr="007968EC">
        <w:rPr>
          <w:sz w:val="24"/>
          <w:rtl/>
          <w:lang w:bidi="ar-QA"/>
        </w:rPr>
        <w:t xml:space="preserve"> </w:t>
      </w:r>
      <w:r w:rsidRPr="007968EC">
        <w:rPr>
          <w:sz w:val="24"/>
          <w:rtl/>
          <w:lang w:bidi="ar-QA"/>
        </w:rPr>
        <w:t xml:space="preserve">بشأن متابعة عمليات التدقيق والتقييم تفاصيل عن التحسينات المحقّقة. </w:t>
      </w:r>
    </w:p>
    <w:p w:rsidR="00CB35E6" w:rsidRPr="007968EC" w:rsidRDefault="00CB35E6" w:rsidP="00CB45BF">
      <w:pPr>
        <w:pStyle w:val="Marge"/>
        <w:numPr>
          <w:ilvl w:val="0"/>
          <w:numId w:val="14"/>
        </w:numPr>
        <w:tabs>
          <w:tab w:val="clear" w:pos="720"/>
        </w:tabs>
        <w:spacing w:after="120"/>
        <w:ind w:left="567" w:hanging="567"/>
        <w:rPr>
          <w:rStyle w:val="hps"/>
          <w:rFonts w:ascii="Times New Roman" w:hAnsi="Times New Roman"/>
          <w:sz w:val="24"/>
          <w:lang w:val="en-GB"/>
        </w:rPr>
      </w:pPr>
      <w:r w:rsidRPr="007968EC">
        <w:rPr>
          <w:sz w:val="24"/>
          <w:rtl/>
          <w:lang w:bidi="ar-QA"/>
        </w:rPr>
        <w:t>كما خصّص المكتب مبلغا</w:t>
      </w:r>
      <w:r>
        <w:rPr>
          <w:sz w:val="24"/>
          <w:rtl/>
          <w:lang w:bidi="ar-QA"/>
        </w:rPr>
        <w:t>ً</w:t>
      </w:r>
      <w:r w:rsidRPr="007968EC">
        <w:rPr>
          <w:sz w:val="24"/>
          <w:rtl/>
          <w:lang w:bidi="ar-QA"/>
        </w:rPr>
        <w:t xml:space="preserve"> اجماليا</w:t>
      </w:r>
      <w:r>
        <w:rPr>
          <w:sz w:val="24"/>
          <w:rtl/>
          <w:lang w:bidi="ar-QA"/>
        </w:rPr>
        <w:t>ً</w:t>
      </w:r>
      <w:r w:rsidRPr="007968EC">
        <w:rPr>
          <w:sz w:val="24"/>
          <w:rtl/>
          <w:lang w:bidi="ar-QA"/>
        </w:rPr>
        <w:t xml:space="preserve"> قدره 129000 دولار أمريكي للفترة الممتدّة من كانون الثاني/يناير 2014 إلى كانون الأول/ديسمبر 2015 ومبلغا قيمته 18000 دولار أمريكي خلال الفترة الممتدّة من كانون الثاني/يناير 2016 إلى حزيران/يونيو 2016 لنشر عدد من وثائق التواصل: نسخة 2014 من النصوص الأساسية للاتفاقية باللغات الست وذلك في نسخة رقمية وأخرى مطبوعة؛ </w:t>
      </w:r>
      <w:r>
        <w:rPr>
          <w:sz w:val="24"/>
          <w:rtl/>
          <w:lang w:bidi="ar-QA"/>
        </w:rPr>
        <w:t>و</w:t>
      </w:r>
      <w:r w:rsidRPr="007968EC">
        <w:rPr>
          <w:sz w:val="24"/>
          <w:rtl/>
          <w:lang w:bidi="ar-QA"/>
        </w:rPr>
        <w:t>كتيبات رقمية تضم</w:t>
      </w:r>
      <w:r>
        <w:rPr>
          <w:sz w:val="24"/>
          <w:rtl/>
          <w:lang w:bidi="ar-QA"/>
        </w:rPr>
        <w:t>ّ</w:t>
      </w:r>
      <w:r w:rsidRPr="007968EC">
        <w:rPr>
          <w:sz w:val="24"/>
          <w:rtl/>
          <w:lang w:bidi="ar-QA"/>
        </w:rPr>
        <w:t xml:space="preserve"> العناصر المدرجة في قائمة الصون العاجل في عامي 2012 و2013 والبرامج التي اختيرت كي تدرج في سجل أفضل ممارسات الصون؛ </w:t>
      </w:r>
      <w:r>
        <w:rPr>
          <w:sz w:val="24"/>
          <w:rtl/>
          <w:lang w:bidi="ar-QA"/>
        </w:rPr>
        <w:t>و</w:t>
      </w:r>
      <w:r w:rsidRPr="007968EC">
        <w:rPr>
          <w:sz w:val="24"/>
          <w:rtl/>
          <w:lang w:bidi="ar-QA"/>
        </w:rPr>
        <w:t>كتيب حول الجنسانية والموروث الثق</w:t>
      </w:r>
      <w:r>
        <w:rPr>
          <w:sz w:val="24"/>
          <w:rtl/>
          <w:lang w:bidi="ar-QA"/>
        </w:rPr>
        <w:t>ا</w:t>
      </w:r>
      <w:r w:rsidRPr="007968EC">
        <w:rPr>
          <w:sz w:val="24"/>
          <w:rtl/>
          <w:lang w:bidi="ar-QA"/>
        </w:rPr>
        <w:t xml:space="preserve">في غير المادي وكتيب آخر حول الموروث الثقافي غير المادي </w:t>
      </w:r>
      <w:r>
        <w:rPr>
          <w:sz w:val="24"/>
          <w:rtl/>
          <w:lang w:bidi="ar-QA"/>
        </w:rPr>
        <w:t>في خدمة ا</w:t>
      </w:r>
      <w:r w:rsidRPr="007968EC">
        <w:rPr>
          <w:sz w:val="24"/>
          <w:rtl/>
          <w:lang w:bidi="ar-QA"/>
        </w:rPr>
        <w:t>لتنمية المستد</w:t>
      </w:r>
      <w:r>
        <w:rPr>
          <w:sz w:val="24"/>
          <w:rtl/>
          <w:lang w:bidi="ar-QA"/>
        </w:rPr>
        <w:t>ا</w:t>
      </w:r>
      <w:r w:rsidRPr="007968EC">
        <w:rPr>
          <w:sz w:val="24"/>
          <w:rtl/>
          <w:lang w:bidi="ar-QA"/>
        </w:rPr>
        <w:t xml:space="preserve">مة </w:t>
      </w:r>
      <w:proofErr w:type="spellStart"/>
      <w:r w:rsidRPr="007968EC">
        <w:rPr>
          <w:sz w:val="24"/>
          <w:rtl/>
          <w:lang w:bidi="ar-QA"/>
        </w:rPr>
        <w:t>بالانجليزية</w:t>
      </w:r>
      <w:proofErr w:type="spellEnd"/>
      <w:r w:rsidRPr="007968EC">
        <w:rPr>
          <w:sz w:val="24"/>
          <w:rtl/>
          <w:lang w:bidi="ar-QA"/>
        </w:rPr>
        <w:t xml:space="preserve"> والفرنسية والإسبانية لتكملة مجموعة المواد حول الموروث الثقافي غير المادي والتي تمّت اعادة طباعتها ب</w:t>
      </w:r>
      <w:r>
        <w:rPr>
          <w:sz w:val="24"/>
          <w:rtl/>
          <w:lang w:bidi="ar-QA"/>
        </w:rPr>
        <w:t xml:space="preserve">هذه </w:t>
      </w:r>
      <w:r w:rsidRPr="007968EC">
        <w:rPr>
          <w:sz w:val="24"/>
          <w:rtl/>
          <w:lang w:bidi="ar-QA"/>
        </w:rPr>
        <w:t xml:space="preserve">المناسبة </w:t>
      </w:r>
      <w:proofErr w:type="spellStart"/>
      <w:r w:rsidRPr="007968EC">
        <w:rPr>
          <w:sz w:val="24"/>
          <w:rtl/>
          <w:lang w:bidi="ar-QA"/>
        </w:rPr>
        <w:t>بالانجليزية</w:t>
      </w:r>
      <w:proofErr w:type="spellEnd"/>
      <w:r w:rsidRPr="007968EC">
        <w:rPr>
          <w:sz w:val="24"/>
          <w:rtl/>
          <w:lang w:bidi="ar-QA"/>
        </w:rPr>
        <w:t xml:space="preserve"> والفرنسية؛ </w:t>
      </w:r>
      <w:r>
        <w:rPr>
          <w:sz w:val="24"/>
          <w:rtl/>
          <w:lang w:bidi="ar-QA"/>
        </w:rPr>
        <w:t xml:space="preserve">إلى جانب </w:t>
      </w:r>
      <w:r w:rsidRPr="007968EC">
        <w:rPr>
          <w:sz w:val="24"/>
          <w:rtl/>
          <w:lang w:bidi="ar-QA"/>
        </w:rPr>
        <w:t>توفّر الموقع الالكتروني للاتفاقية باللغة الانجليزية والفرنسية والإسبانية.</w:t>
      </w:r>
    </w:p>
    <w:p w:rsidR="00CB35E6" w:rsidRPr="007968EC" w:rsidRDefault="00CB35E6" w:rsidP="006756E8">
      <w:pPr>
        <w:keepNext/>
        <w:spacing w:before="360" w:after="240"/>
        <w:ind w:left="360"/>
        <w:rPr>
          <w:rFonts w:eastAsia="Times New Roman"/>
          <w:lang w:val="en-GB"/>
        </w:rPr>
      </w:pPr>
      <w:r>
        <w:rPr>
          <w:bCs/>
          <w:rtl/>
          <w:lang w:bidi="ar-QA"/>
        </w:rPr>
        <w:t xml:space="preserve">ثالثاً – </w:t>
      </w:r>
      <w:proofErr w:type="gramStart"/>
      <w:r w:rsidRPr="007968EC">
        <w:rPr>
          <w:bCs/>
          <w:rtl/>
          <w:lang w:bidi="ar-QA"/>
        </w:rPr>
        <w:t>إعداد</w:t>
      </w:r>
      <w:proofErr w:type="gramEnd"/>
      <w:r w:rsidRPr="007968EC">
        <w:rPr>
          <w:bCs/>
          <w:rtl/>
          <w:lang w:bidi="ar-QA"/>
        </w:rPr>
        <w:t xml:space="preserve"> خطة لاستخدام موارد صندوق التراث الثقافي غير المادي وزيادتها</w:t>
      </w:r>
      <w:r w:rsidRPr="007968EC">
        <w:rPr>
          <w:rtl/>
          <w:lang w:bidi="ar-QA"/>
        </w:rPr>
        <w:t xml:space="preserve"> (المادة 7 [ت] و[ث] )</w:t>
      </w:r>
    </w:p>
    <w:p w:rsidR="00CB35E6" w:rsidRPr="007968EC" w:rsidRDefault="00CB35E6" w:rsidP="00CB45BF">
      <w:pPr>
        <w:pStyle w:val="Marge"/>
        <w:numPr>
          <w:ilvl w:val="0"/>
          <w:numId w:val="14"/>
        </w:numPr>
        <w:tabs>
          <w:tab w:val="clear" w:pos="720"/>
        </w:tabs>
        <w:spacing w:after="120"/>
        <w:ind w:left="567" w:hanging="567"/>
        <w:rPr>
          <w:rFonts w:ascii="Times New Roman" w:hAnsi="Times New Roman"/>
          <w:sz w:val="24"/>
          <w:lang w:val="en-GB"/>
        </w:rPr>
      </w:pPr>
      <w:r w:rsidRPr="005E5DAA">
        <w:rPr>
          <w:sz w:val="24"/>
          <w:rtl/>
          <w:lang w:bidi="ar-QA"/>
        </w:rPr>
        <w:t>تقدّم</w:t>
      </w:r>
      <w:r w:rsidRPr="007968EC">
        <w:rPr>
          <w:sz w:val="24"/>
          <w:rtl/>
          <w:lang w:bidi="ar-QA"/>
        </w:rPr>
        <w:t xml:space="preserve"> اللجنة إلى دورة الجمعية العامة السادسة خطة لاستخدام موارد صندوق التراث الثقافي غير المادي للفترة الممتدة من 1 كانون الثاني/يناير 2016 إلى 31 كانون الأول/ديسمبر 2017، وهي تتشابه إلى حد</w:t>
      </w:r>
      <w:r>
        <w:rPr>
          <w:sz w:val="24"/>
          <w:rtl/>
          <w:lang w:bidi="ar-QA"/>
        </w:rPr>
        <w:t>ّ</w:t>
      </w:r>
      <w:r w:rsidRPr="007968EC">
        <w:rPr>
          <w:sz w:val="24"/>
          <w:rtl/>
          <w:lang w:bidi="ar-QA"/>
        </w:rPr>
        <w:t xml:space="preserve"> بعيد مع الخطة التي اقت</w:t>
      </w:r>
      <w:r>
        <w:rPr>
          <w:sz w:val="24"/>
          <w:rtl/>
          <w:lang w:bidi="ar-QA"/>
        </w:rPr>
        <w:t>ُ</w:t>
      </w:r>
      <w:r w:rsidRPr="007968EC">
        <w:rPr>
          <w:sz w:val="24"/>
          <w:rtl/>
          <w:lang w:bidi="ar-QA"/>
        </w:rPr>
        <w:t>رحت واعت</w:t>
      </w:r>
      <w:r>
        <w:rPr>
          <w:sz w:val="24"/>
          <w:rtl/>
          <w:lang w:bidi="ar-QA"/>
        </w:rPr>
        <w:t>ُ</w:t>
      </w:r>
      <w:r w:rsidRPr="007968EC">
        <w:rPr>
          <w:sz w:val="24"/>
          <w:rtl/>
          <w:lang w:bidi="ar-QA"/>
        </w:rPr>
        <w:t>مدت للفترة 2014-2015، مع تخصيص معظم الموارد للمساعدة الدولية، على نحو ما تم في السابق.</w:t>
      </w:r>
    </w:p>
    <w:p w:rsidR="00CB35E6" w:rsidRPr="007968EC" w:rsidRDefault="00CB35E6" w:rsidP="00CB45BF">
      <w:pPr>
        <w:pStyle w:val="Marge"/>
        <w:numPr>
          <w:ilvl w:val="0"/>
          <w:numId w:val="14"/>
        </w:numPr>
        <w:tabs>
          <w:tab w:val="clear" w:pos="720"/>
        </w:tabs>
        <w:spacing w:after="120"/>
        <w:ind w:left="567" w:hanging="567"/>
        <w:rPr>
          <w:rFonts w:ascii="Times New Roman" w:hAnsi="Times New Roman"/>
          <w:sz w:val="24"/>
          <w:lang w:val="en-GB"/>
        </w:rPr>
      </w:pPr>
      <w:r w:rsidRPr="007968EC">
        <w:rPr>
          <w:sz w:val="24"/>
          <w:rtl/>
          <w:lang w:bidi="ar-QA"/>
        </w:rPr>
        <w:t>ومنذ الجمعية العامة الأخيرة المنعقدة في حزيران/يونيو 2014، تلقى الصندوق مساهمات طوعية إضافية لسبعة مشاريع بناء قدرات من أذربيجان وهولندا والنرويج وإسبانيا.</w:t>
      </w:r>
      <w:r w:rsidRPr="007968EC">
        <w:rPr>
          <w:rFonts w:ascii="Times New Roman" w:hAnsi="Times New Roman"/>
          <w:sz w:val="24"/>
          <w:lang w:val="en-GB"/>
        </w:rPr>
        <w:t xml:space="preserve"> </w:t>
      </w:r>
      <w:r w:rsidRPr="007968EC">
        <w:rPr>
          <w:sz w:val="24"/>
          <w:rtl/>
          <w:lang w:bidi="ar-QA"/>
        </w:rPr>
        <w:t>ووردت كذلك مساهمات للصندوق الفرعي المخصص حصراً لتعزيز القدرات البشرية في الأمانة والتابع لصندوق التراث الثقافي غير المادي خلال ف</w:t>
      </w:r>
      <w:r>
        <w:rPr>
          <w:sz w:val="24"/>
          <w:rtl/>
          <w:lang w:bidi="ar-QA"/>
        </w:rPr>
        <w:t>ترة التقييم بقيمة 417 345 دولار أمريكي</w:t>
      </w:r>
      <w:r w:rsidRPr="007968EC">
        <w:rPr>
          <w:sz w:val="24"/>
          <w:rtl/>
          <w:lang w:bidi="ar-QA"/>
        </w:rPr>
        <w:t xml:space="preserve">. </w:t>
      </w:r>
    </w:p>
    <w:p w:rsidR="00CB35E6" w:rsidRPr="007968EC" w:rsidRDefault="00CB35E6" w:rsidP="00046B0B">
      <w:pPr>
        <w:pStyle w:val="Marge"/>
        <w:numPr>
          <w:ilvl w:val="0"/>
          <w:numId w:val="14"/>
        </w:numPr>
        <w:tabs>
          <w:tab w:val="clear" w:pos="720"/>
        </w:tabs>
        <w:spacing w:after="120"/>
        <w:ind w:left="567" w:hanging="567"/>
        <w:rPr>
          <w:rFonts w:ascii="Times New Roman" w:hAnsi="Times New Roman"/>
          <w:sz w:val="24"/>
          <w:lang w:val="en-GB"/>
        </w:rPr>
      </w:pPr>
      <w:r w:rsidRPr="007968EC">
        <w:rPr>
          <w:sz w:val="24"/>
          <w:rtl/>
          <w:lang w:bidi="ar-QA"/>
        </w:rPr>
        <w:t xml:space="preserve">وتعرض الوثيقة </w:t>
      </w:r>
      <w:r w:rsidRPr="00934F74">
        <w:rPr>
          <w:rFonts w:ascii="Times New Roman" w:hAnsi="Times New Roman"/>
          <w:sz w:val="24"/>
          <w:lang w:val="en-GB" w:bidi="ar-QA"/>
        </w:rPr>
        <w:t>ITH/16/6.GA/INF.9.2</w:t>
      </w:r>
      <w:r w:rsidRPr="007968EC">
        <w:rPr>
          <w:sz w:val="24"/>
          <w:rtl/>
          <w:lang w:bidi="ar-QA"/>
        </w:rPr>
        <w:t xml:space="preserve"> قائمة هذه المساهمات خلال الفترة الممتدّة من 1 حزيران/يونيو 2014 إلى </w:t>
      </w:r>
      <w:r w:rsidR="00046B0B" w:rsidRPr="00046B0B">
        <w:rPr>
          <w:sz w:val="24"/>
          <w:rtl/>
          <w:lang w:bidi="ar-QA"/>
        </w:rPr>
        <w:t>آذار</w:t>
      </w:r>
      <w:r w:rsidR="00046B0B">
        <w:rPr>
          <w:rFonts w:hint="cs"/>
          <w:sz w:val="24"/>
          <w:rtl/>
          <w:lang w:bidi="ar-QA"/>
        </w:rPr>
        <w:t>/مارس</w:t>
      </w:r>
      <w:r w:rsidRPr="007968EC">
        <w:rPr>
          <w:sz w:val="24"/>
          <w:rtl/>
          <w:lang w:bidi="ar-QA"/>
        </w:rPr>
        <w:t xml:space="preserve"> 2016. وتتضمّن الوثيقة </w:t>
      </w:r>
      <w:r w:rsidRPr="00934F74">
        <w:rPr>
          <w:rFonts w:ascii="Times New Roman" w:hAnsi="Times New Roman"/>
          <w:sz w:val="24"/>
          <w:lang w:val="en-GB" w:bidi="ar-QA"/>
        </w:rPr>
        <w:t>ITH/16/6.GA/INF.9.1</w:t>
      </w:r>
      <w:r w:rsidRPr="007968EC">
        <w:rPr>
          <w:sz w:val="24"/>
          <w:rtl/>
          <w:lang w:bidi="ar-QA"/>
        </w:rPr>
        <w:t xml:space="preserve"> التقرير المالي لصندوق التراث الثقافي غير المادي بالنسبة للفترة الممتدّة بين 1 كانون الثاني/يناير 2014 و31 كانون الأول/ديسمبر 2015 المعدّ من طرف مكتب الإدارة المالية مسبوقا</w:t>
      </w:r>
      <w:r>
        <w:rPr>
          <w:sz w:val="24"/>
          <w:rtl/>
          <w:lang w:bidi="ar-QA"/>
        </w:rPr>
        <w:t>ً</w:t>
      </w:r>
      <w:r w:rsidRPr="007968EC">
        <w:rPr>
          <w:sz w:val="24"/>
          <w:rtl/>
          <w:lang w:bidi="ar-QA"/>
        </w:rPr>
        <w:t xml:space="preserve"> بمذكرة توضيحية </w:t>
      </w:r>
      <w:r>
        <w:rPr>
          <w:sz w:val="24"/>
          <w:rtl/>
          <w:lang w:bidi="ar-QA"/>
        </w:rPr>
        <w:t>وجيزة</w:t>
      </w:r>
      <w:r w:rsidRPr="007968EC">
        <w:rPr>
          <w:sz w:val="24"/>
          <w:rtl/>
          <w:lang w:bidi="ar-QA"/>
        </w:rPr>
        <w:t xml:space="preserve">. </w:t>
      </w:r>
    </w:p>
    <w:p w:rsidR="00CB35E6" w:rsidRPr="007968EC" w:rsidRDefault="00CB35E6" w:rsidP="006756E8">
      <w:pPr>
        <w:keepNext/>
        <w:pageBreakBefore/>
        <w:spacing w:before="360" w:after="240"/>
        <w:ind w:left="360"/>
        <w:rPr>
          <w:rFonts w:eastAsia="Times New Roman"/>
          <w:b/>
          <w:lang w:val="en-GB"/>
        </w:rPr>
      </w:pPr>
      <w:r>
        <w:rPr>
          <w:bCs/>
          <w:rtl/>
          <w:lang w:bidi="ar-QA"/>
        </w:rPr>
        <w:lastRenderedPageBreak/>
        <w:t xml:space="preserve">رابعاً – </w:t>
      </w:r>
      <w:r w:rsidRPr="007968EC">
        <w:rPr>
          <w:bCs/>
          <w:rtl/>
          <w:lang w:bidi="ar-QA"/>
        </w:rPr>
        <w:t>اعداد التوجيهات التنفيذية لتطبيق الاتفاقية</w:t>
      </w:r>
      <w:r w:rsidRPr="007968EC">
        <w:rPr>
          <w:rtl/>
          <w:lang w:bidi="ar-QA"/>
        </w:rPr>
        <w:t xml:space="preserve"> (المادة 7 [ج])</w:t>
      </w:r>
    </w:p>
    <w:p w:rsidR="00CB35E6" w:rsidRPr="007968EC" w:rsidRDefault="00CB35E6" w:rsidP="00CB45BF">
      <w:pPr>
        <w:pStyle w:val="Marge"/>
        <w:numPr>
          <w:ilvl w:val="0"/>
          <w:numId w:val="14"/>
        </w:numPr>
        <w:tabs>
          <w:tab w:val="clear" w:pos="720"/>
        </w:tabs>
        <w:spacing w:after="120"/>
        <w:ind w:left="567" w:hanging="567"/>
        <w:rPr>
          <w:rFonts w:ascii="Times New Roman" w:hAnsi="Times New Roman"/>
          <w:i/>
          <w:sz w:val="24"/>
          <w:lang w:val="en-GB"/>
        </w:rPr>
      </w:pPr>
      <w:r w:rsidRPr="007968EC">
        <w:rPr>
          <w:sz w:val="24"/>
          <w:rtl/>
          <w:lang w:bidi="ar-QA"/>
        </w:rPr>
        <w:t>خلال فترة التقييم، أوصت اللجنة الجمعية العامة بأن توافق على وضع توجيهات جديدة أو إدخال تعديلات على التوجيهات التنفيذية لتطبيق الاتفاقية بشأن المسائل التالية:</w:t>
      </w:r>
    </w:p>
    <w:p w:rsidR="00CB35E6" w:rsidRPr="007968EC" w:rsidRDefault="00CB35E6" w:rsidP="00CB45BF">
      <w:pPr>
        <w:pStyle w:val="Marge"/>
        <w:numPr>
          <w:ilvl w:val="0"/>
          <w:numId w:val="16"/>
        </w:numPr>
        <w:spacing w:after="60"/>
        <w:ind w:left="851" w:hanging="284"/>
        <w:rPr>
          <w:rFonts w:ascii="Times New Roman" w:hAnsi="Times New Roman"/>
          <w:sz w:val="24"/>
          <w:lang w:val="en-GB"/>
        </w:rPr>
      </w:pPr>
      <w:r w:rsidRPr="007968EC">
        <w:rPr>
          <w:sz w:val="24"/>
          <w:rtl/>
          <w:lang w:bidi="ar-QA"/>
        </w:rPr>
        <w:t>التقارير الدورية</w:t>
      </w:r>
    </w:p>
    <w:p w:rsidR="00CB35E6" w:rsidRPr="007968EC" w:rsidRDefault="00CB35E6" w:rsidP="00CB45BF">
      <w:pPr>
        <w:pStyle w:val="Marge"/>
        <w:numPr>
          <w:ilvl w:val="0"/>
          <w:numId w:val="16"/>
        </w:numPr>
        <w:spacing w:after="60"/>
        <w:ind w:left="851" w:hanging="284"/>
        <w:rPr>
          <w:rFonts w:ascii="Times New Roman" w:hAnsi="Times New Roman"/>
          <w:sz w:val="24"/>
          <w:lang w:val="en-GB"/>
        </w:rPr>
      </w:pPr>
      <w:r w:rsidRPr="007968EC">
        <w:rPr>
          <w:sz w:val="24"/>
          <w:rtl/>
          <w:lang w:bidi="ar-QA"/>
        </w:rPr>
        <w:t>صون التراث الثقافي غير المادي والتنمية المستديمة</w:t>
      </w:r>
    </w:p>
    <w:p w:rsidR="00CB35E6" w:rsidRPr="007968EC" w:rsidRDefault="00CB35E6" w:rsidP="00CB45BF">
      <w:pPr>
        <w:pStyle w:val="Marge"/>
        <w:numPr>
          <w:ilvl w:val="0"/>
          <w:numId w:val="16"/>
        </w:numPr>
        <w:spacing w:after="60"/>
        <w:ind w:left="851" w:hanging="284"/>
        <w:rPr>
          <w:rFonts w:ascii="Times New Roman" w:hAnsi="Times New Roman"/>
          <w:sz w:val="24"/>
          <w:lang w:val="en-GB"/>
        </w:rPr>
      </w:pPr>
      <w:r w:rsidRPr="007968EC">
        <w:rPr>
          <w:sz w:val="24"/>
          <w:rtl/>
          <w:lang w:bidi="ar-QA"/>
        </w:rPr>
        <w:t>خيار الإحالة</w:t>
      </w:r>
    </w:p>
    <w:p w:rsidR="00CB35E6" w:rsidRPr="007968EC" w:rsidRDefault="00CB35E6" w:rsidP="00CB45BF">
      <w:pPr>
        <w:pStyle w:val="Marge"/>
        <w:numPr>
          <w:ilvl w:val="0"/>
          <w:numId w:val="16"/>
        </w:numPr>
        <w:spacing w:after="60"/>
        <w:ind w:left="851" w:hanging="284"/>
        <w:rPr>
          <w:rFonts w:ascii="Times New Roman" w:hAnsi="Times New Roman"/>
          <w:sz w:val="24"/>
          <w:lang w:val="en-GB"/>
        </w:rPr>
      </w:pPr>
      <w:r w:rsidRPr="007968EC">
        <w:rPr>
          <w:sz w:val="24"/>
          <w:rtl/>
          <w:lang w:bidi="ar-QA"/>
        </w:rPr>
        <w:t>الجدول الزمني لتقييم المنظمات غير الحكومية</w:t>
      </w:r>
    </w:p>
    <w:p w:rsidR="00CB35E6" w:rsidRPr="005E5DAA" w:rsidRDefault="00CB35E6" w:rsidP="00CB45BF">
      <w:pPr>
        <w:pStyle w:val="Marge"/>
        <w:numPr>
          <w:ilvl w:val="0"/>
          <w:numId w:val="16"/>
        </w:numPr>
        <w:spacing w:after="60"/>
        <w:ind w:left="851" w:hanging="284"/>
        <w:rPr>
          <w:rFonts w:ascii="Times New Roman" w:hAnsi="Times New Roman"/>
          <w:sz w:val="24"/>
          <w:lang w:val="en-GB"/>
        </w:rPr>
      </w:pPr>
      <w:r w:rsidRPr="005E5DAA">
        <w:rPr>
          <w:sz w:val="24"/>
          <w:rtl/>
          <w:lang w:bidi="ar-QA"/>
        </w:rPr>
        <w:t>دراسة طلبات المساعدة الدولية</w:t>
      </w:r>
    </w:p>
    <w:p w:rsidR="00CB35E6" w:rsidRPr="007968EC" w:rsidRDefault="00CB35E6" w:rsidP="006756E8">
      <w:pPr>
        <w:keepNext/>
        <w:spacing w:before="360" w:after="240"/>
        <w:ind w:left="360"/>
        <w:rPr>
          <w:rFonts w:eastAsia="Times New Roman"/>
          <w:b/>
          <w:lang w:val="en-GB"/>
        </w:rPr>
      </w:pPr>
      <w:r>
        <w:rPr>
          <w:b/>
          <w:bCs/>
          <w:rtl/>
          <w:lang w:bidi="ar-QA"/>
        </w:rPr>
        <w:t xml:space="preserve">خامساً – </w:t>
      </w:r>
      <w:r w:rsidRPr="004608C9">
        <w:rPr>
          <w:b/>
          <w:bCs/>
          <w:rtl/>
          <w:lang w:bidi="ar-QA"/>
        </w:rPr>
        <w:t>دراسة التقارير الدورية</w:t>
      </w:r>
      <w:r w:rsidRPr="007968EC">
        <w:rPr>
          <w:rtl/>
          <w:lang w:bidi="ar-QA"/>
        </w:rPr>
        <w:t xml:space="preserve"> (المادة 7 [ح])</w:t>
      </w:r>
    </w:p>
    <w:p w:rsidR="00CB35E6" w:rsidRPr="007968EC" w:rsidRDefault="00CB35E6" w:rsidP="00CB45BF">
      <w:pPr>
        <w:pStyle w:val="Marge"/>
        <w:numPr>
          <w:ilvl w:val="0"/>
          <w:numId w:val="14"/>
        </w:numPr>
        <w:tabs>
          <w:tab w:val="clear" w:pos="720"/>
        </w:tabs>
        <w:spacing w:after="120"/>
        <w:ind w:left="567" w:hanging="567"/>
        <w:rPr>
          <w:rFonts w:ascii="Times New Roman" w:hAnsi="Times New Roman"/>
          <w:sz w:val="24"/>
          <w:lang w:val="en-GB"/>
        </w:rPr>
      </w:pPr>
      <w:r w:rsidRPr="007968EC">
        <w:rPr>
          <w:sz w:val="24"/>
          <w:rtl/>
          <w:lang w:bidi="ar-QA"/>
        </w:rPr>
        <w:t>تنص</w:t>
      </w:r>
      <w:r>
        <w:rPr>
          <w:sz w:val="24"/>
          <w:rtl/>
          <w:lang w:bidi="ar-QA"/>
        </w:rPr>
        <w:t>ّ</w:t>
      </w:r>
      <w:r w:rsidRPr="007968EC">
        <w:rPr>
          <w:sz w:val="24"/>
          <w:rtl/>
          <w:lang w:bidi="ar-QA"/>
        </w:rPr>
        <w:t xml:space="preserve"> المادة 29 من </w:t>
      </w:r>
      <w:hyperlink r:id="rId9" w:history="1">
        <w:r w:rsidRPr="007054C4">
          <w:rPr>
            <w:rStyle w:val="Hyperlink"/>
            <w:sz w:val="24"/>
            <w:rtl/>
            <w:lang w:bidi="ar-QA"/>
          </w:rPr>
          <w:t>الاتفاقية</w:t>
        </w:r>
      </w:hyperlink>
      <w:r w:rsidRPr="007968EC">
        <w:rPr>
          <w:sz w:val="24"/>
          <w:rtl/>
          <w:lang w:bidi="ar-QA"/>
        </w:rPr>
        <w:t xml:space="preserve"> على أن تقدم الدول الأطراف إلى اللجنة تقارير عن التدابير التشريعية والتنظيمية وغيرها من التدابير التي تتخذها لتطبيق الاتفاقية وتستطرد المادة 30 قائلة "تقدم اللجنة تقريراً إلى الجمعية العامة على أساس أنشطتها وتقارير الدول الأطراف</w:t>
      </w:r>
      <w:r>
        <w:rPr>
          <w:sz w:val="24"/>
          <w:rtl/>
          <w:lang w:bidi="ar-QA"/>
        </w:rPr>
        <w:t>"</w:t>
      </w:r>
      <w:r w:rsidRPr="007968EC">
        <w:rPr>
          <w:sz w:val="24"/>
          <w:rtl/>
          <w:lang w:bidi="ar-QA"/>
        </w:rPr>
        <w:t>.</w:t>
      </w:r>
      <w:r w:rsidRPr="007968EC">
        <w:rPr>
          <w:rFonts w:ascii="Times New Roman" w:hAnsi="Times New Roman"/>
          <w:sz w:val="24"/>
          <w:lang w:val="en-GB"/>
        </w:rPr>
        <w:t xml:space="preserve"> </w:t>
      </w:r>
      <w:r w:rsidRPr="007968EC">
        <w:rPr>
          <w:sz w:val="24"/>
          <w:rtl/>
          <w:lang w:bidi="ar-QA"/>
        </w:rPr>
        <w:t>وقد درست اللجنة خلال تلك الفترة 51 تقريراً مقدّما</w:t>
      </w:r>
      <w:r>
        <w:rPr>
          <w:sz w:val="24"/>
          <w:rtl/>
          <w:lang w:bidi="ar-QA"/>
        </w:rPr>
        <w:t>ً</w:t>
      </w:r>
      <w:r w:rsidRPr="007968EC">
        <w:rPr>
          <w:sz w:val="24"/>
          <w:rtl/>
          <w:lang w:bidi="ar-QA"/>
        </w:rPr>
        <w:t xml:space="preserve"> من الدول الأطراف بشأن تطبيق الاتفاقية على الصعيد الوطني (</w:t>
      </w:r>
      <w:hyperlink r:id="rId10" w:history="1">
        <w:r w:rsidRPr="007054C4">
          <w:rPr>
            <w:rStyle w:val="Hyperlink"/>
            <w:sz w:val="24"/>
            <w:rtl/>
            <w:lang w:bidi="ar-QA"/>
          </w:rPr>
          <w:t>27</w:t>
        </w:r>
      </w:hyperlink>
      <w:r w:rsidRPr="007968EC">
        <w:rPr>
          <w:sz w:val="24"/>
          <w:rtl/>
          <w:lang w:bidi="ar-QA"/>
        </w:rPr>
        <w:t xml:space="preserve"> في 2014 و</w:t>
      </w:r>
      <w:r w:rsidRPr="00934F74">
        <w:rPr>
          <w:sz w:val="24"/>
          <w:lang w:val="en-GB" w:bidi="ar-QA"/>
        </w:rPr>
        <w:t xml:space="preserve"> </w:t>
      </w:r>
      <w:hyperlink r:id="rId11" w:history="1">
        <w:r w:rsidRPr="007054C4">
          <w:rPr>
            <w:rStyle w:val="Hyperlink"/>
            <w:sz w:val="24"/>
            <w:rtl/>
            <w:lang w:bidi="ar-QA"/>
          </w:rPr>
          <w:t>24</w:t>
        </w:r>
      </w:hyperlink>
      <w:r w:rsidRPr="007968EC">
        <w:rPr>
          <w:sz w:val="24"/>
          <w:rtl/>
          <w:lang w:bidi="ar-QA"/>
        </w:rPr>
        <w:t xml:space="preserve"> في 2015) و11 تقريرا</w:t>
      </w:r>
      <w:r>
        <w:rPr>
          <w:sz w:val="24"/>
          <w:rtl/>
          <w:lang w:bidi="ar-QA"/>
        </w:rPr>
        <w:t>ً</w:t>
      </w:r>
      <w:r w:rsidRPr="007968EC">
        <w:rPr>
          <w:sz w:val="24"/>
          <w:rtl/>
          <w:lang w:bidi="ar-QA"/>
        </w:rPr>
        <w:t xml:space="preserve"> عن حالة عناصر مسجّلة في قائمة التراث الثقافي غير المادي الذي يحتاج إلى صون عاجل (</w:t>
      </w:r>
      <w:hyperlink r:id="rId12" w:history="1">
        <w:r w:rsidRPr="00F82A82">
          <w:rPr>
            <w:rStyle w:val="Hyperlink"/>
            <w:sz w:val="24"/>
            <w:rtl/>
            <w:lang w:bidi="ar-QA"/>
          </w:rPr>
          <w:t>8</w:t>
        </w:r>
      </w:hyperlink>
      <w:r w:rsidRPr="007968EC">
        <w:rPr>
          <w:sz w:val="24"/>
          <w:rtl/>
          <w:lang w:bidi="ar-QA"/>
        </w:rPr>
        <w:t xml:space="preserve"> في 2014 و</w:t>
      </w:r>
      <w:r w:rsidRPr="00934F74">
        <w:rPr>
          <w:sz w:val="24"/>
          <w:lang w:val="en-GB" w:bidi="ar-QA"/>
        </w:rPr>
        <w:t xml:space="preserve"> </w:t>
      </w:r>
      <w:hyperlink r:id="rId13" w:history="1">
        <w:r w:rsidRPr="00F82A82">
          <w:rPr>
            <w:rStyle w:val="Hyperlink"/>
            <w:sz w:val="24"/>
            <w:rtl/>
            <w:lang w:bidi="ar-QA"/>
          </w:rPr>
          <w:t>3</w:t>
        </w:r>
      </w:hyperlink>
      <w:r w:rsidRPr="007968EC">
        <w:rPr>
          <w:sz w:val="24"/>
          <w:rtl/>
          <w:lang w:bidi="ar-QA"/>
        </w:rPr>
        <w:t xml:space="preserve"> في 2015). </w:t>
      </w:r>
    </w:p>
    <w:p w:rsidR="00CB35E6" w:rsidRPr="007968EC" w:rsidRDefault="00CB35E6" w:rsidP="00046B0B">
      <w:pPr>
        <w:pStyle w:val="Marge"/>
        <w:numPr>
          <w:ilvl w:val="0"/>
          <w:numId w:val="14"/>
        </w:numPr>
        <w:tabs>
          <w:tab w:val="clear" w:pos="720"/>
        </w:tabs>
        <w:spacing w:after="120"/>
        <w:ind w:left="567" w:hanging="567"/>
        <w:rPr>
          <w:rFonts w:ascii="Times New Roman" w:hAnsi="Times New Roman"/>
          <w:sz w:val="24"/>
          <w:lang w:val="en-GB"/>
        </w:rPr>
      </w:pPr>
      <w:r w:rsidRPr="007968EC">
        <w:rPr>
          <w:sz w:val="24"/>
          <w:rtl/>
          <w:lang w:bidi="ar-QA"/>
        </w:rPr>
        <w:t>وتضم وثائق عمل اللجنة (والمكتب في ما يخص</w:t>
      </w:r>
      <w:r>
        <w:rPr>
          <w:sz w:val="24"/>
          <w:rtl/>
          <w:lang w:bidi="ar-QA"/>
        </w:rPr>
        <w:t>ّ</w:t>
      </w:r>
      <w:r w:rsidRPr="007968EC">
        <w:rPr>
          <w:sz w:val="24"/>
          <w:rtl/>
          <w:lang w:bidi="ar-QA"/>
        </w:rPr>
        <w:t xml:space="preserve"> 24 تقريرا</w:t>
      </w:r>
      <w:r>
        <w:rPr>
          <w:sz w:val="24"/>
          <w:rtl/>
          <w:lang w:bidi="ar-QA"/>
        </w:rPr>
        <w:t>ً</w:t>
      </w:r>
      <w:r w:rsidRPr="007968EC">
        <w:rPr>
          <w:sz w:val="24"/>
          <w:rtl/>
          <w:lang w:bidi="ar-QA"/>
        </w:rPr>
        <w:t xml:space="preserve"> حول تطبيق الاتفاقية وقع درسها في 2015) عرضاً مفصلاً وملخصاً للتقارير الدورية، بالصيغة التي اعتمدتها اللجنة في قراراتها </w:t>
      </w:r>
      <w:hyperlink r:id="rId14" w:history="1">
        <w:r w:rsidRPr="007968EC">
          <w:rPr>
            <w:rStyle w:val="Hyperlink"/>
            <w:rFonts w:ascii="Times New Roman" w:hAnsi="Times New Roman"/>
            <w:sz w:val="24"/>
            <w:lang w:val="en-US" w:bidi="ar-QA"/>
          </w:rPr>
          <w:t>9.COM 5.a</w:t>
        </w:r>
      </w:hyperlink>
      <w:r w:rsidRPr="007968EC">
        <w:rPr>
          <w:sz w:val="24"/>
          <w:rtl/>
          <w:lang w:bidi="ar-QA"/>
        </w:rPr>
        <w:t xml:space="preserve"> و</w:t>
      </w:r>
      <w:hyperlink r:id="rId15" w:history="1">
        <w:r w:rsidRPr="007968EC">
          <w:rPr>
            <w:rStyle w:val="Hyperlink"/>
            <w:rFonts w:ascii="Times New Roman" w:hAnsi="Times New Roman"/>
            <w:sz w:val="24"/>
            <w:lang w:val="en-US" w:bidi="ar-QA"/>
          </w:rPr>
          <w:t>9.COM 5.b</w:t>
        </w:r>
      </w:hyperlink>
      <w:r w:rsidRPr="007968EC">
        <w:rPr>
          <w:sz w:val="24"/>
          <w:rtl/>
          <w:lang w:bidi="ar-QA"/>
        </w:rPr>
        <w:t xml:space="preserve"> (بشأن تقارير عام 2014) وقراراتها </w:t>
      </w:r>
      <w:hyperlink r:id="rId16" w:history="1">
        <w:r w:rsidRPr="007968EC">
          <w:rPr>
            <w:rStyle w:val="Hyperlink"/>
            <w:rFonts w:ascii="Times New Roman" w:hAnsi="Times New Roman"/>
            <w:sz w:val="24"/>
            <w:lang w:val="en-US" w:bidi="ar-QA"/>
          </w:rPr>
          <w:t>10.COM 6.a</w:t>
        </w:r>
      </w:hyperlink>
      <w:r w:rsidRPr="007968EC">
        <w:rPr>
          <w:sz w:val="24"/>
          <w:rtl/>
          <w:lang w:bidi="ar-QA"/>
        </w:rPr>
        <w:t xml:space="preserve"> </w:t>
      </w:r>
      <w:r w:rsidRPr="00605C97">
        <w:rPr>
          <w:sz w:val="24"/>
          <w:rtl/>
          <w:lang w:bidi="ar-QA"/>
        </w:rPr>
        <w:t>و</w:t>
      </w:r>
      <w:r w:rsidR="00046B0B" w:rsidRPr="00605C97">
        <w:rPr>
          <w:rFonts w:cs="Arial"/>
          <w:szCs w:val="22"/>
          <w:lang w:val="en-GB"/>
        </w:rPr>
        <w:t>11.COM 1.BUR 2</w:t>
      </w:r>
      <w:r w:rsidR="003C6486" w:rsidRPr="00605C97">
        <w:rPr>
          <w:rFonts w:cs="Arial"/>
          <w:szCs w:val="22"/>
          <w:lang w:val="en-GB"/>
        </w:rPr>
        <w:t xml:space="preserve"> Rev.</w:t>
      </w:r>
      <w:r w:rsidR="00046B0B" w:rsidRPr="00605C97">
        <w:rPr>
          <w:rFonts w:cs="Arial"/>
          <w:szCs w:val="22"/>
          <w:lang w:val="en-GB"/>
        </w:rPr>
        <w:t xml:space="preserve"> </w:t>
      </w:r>
      <w:bookmarkStart w:id="0" w:name="_GoBack"/>
      <w:bookmarkEnd w:id="0"/>
      <w:r w:rsidRPr="007968EC">
        <w:rPr>
          <w:sz w:val="24"/>
          <w:rtl/>
          <w:lang w:bidi="ar-QA"/>
        </w:rPr>
        <w:t>و</w:t>
      </w:r>
      <w:hyperlink r:id="rId17" w:history="1">
        <w:r w:rsidRPr="007968EC">
          <w:rPr>
            <w:rStyle w:val="Hyperlink"/>
            <w:rFonts w:ascii="Times New Roman" w:hAnsi="Times New Roman"/>
            <w:sz w:val="24"/>
            <w:lang w:val="en-US" w:bidi="ar-QA"/>
          </w:rPr>
          <w:t>10.COM 6.b</w:t>
        </w:r>
      </w:hyperlink>
      <w:r w:rsidRPr="007968EC">
        <w:rPr>
          <w:sz w:val="24"/>
          <w:rtl/>
          <w:lang w:bidi="ar-QA"/>
        </w:rPr>
        <w:t xml:space="preserve"> (بشأن تقارير عام 2015) على النحو التالي:</w:t>
      </w:r>
    </w:p>
    <w:tbl>
      <w:tblPr>
        <w:tblW w:w="91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57" w:type="dxa"/>
          <w:bottom w:w="15" w:type="dxa"/>
          <w:right w:w="57" w:type="dxa"/>
        </w:tblCellMar>
        <w:tblLook w:val="00A0" w:firstRow="1" w:lastRow="0" w:firstColumn="1" w:lastColumn="0" w:noHBand="0" w:noVBand="0"/>
      </w:tblPr>
      <w:tblGrid>
        <w:gridCol w:w="3636"/>
        <w:gridCol w:w="5504"/>
      </w:tblGrid>
      <w:tr w:rsidR="00CB35E6" w:rsidRPr="007968EC" w:rsidTr="00C26D3A">
        <w:tc>
          <w:tcPr>
            <w:tcW w:w="3636" w:type="dxa"/>
            <w:vAlign w:val="center"/>
          </w:tcPr>
          <w:p w:rsidR="00CB35E6" w:rsidRPr="007968EC" w:rsidRDefault="00CB35E6" w:rsidP="00A320C4">
            <w:pPr>
              <w:spacing w:before="120" w:after="120"/>
              <w:rPr>
                <w:rtl/>
                <w:lang w:bidi="ar-QA"/>
              </w:rPr>
            </w:pPr>
            <w:r w:rsidRPr="007968EC">
              <w:rPr>
                <w:rFonts w:eastAsia="Times New Roman"/>
                <w:bCs/>
                <w:lang w:val="en-GB" w:bidi="ar-QA"/>
              </w:rPr>
              <w:t>ITH/14/9.COM/5.a</w:t>
            </w:r>
            <w:r w:rsidRPr="007968EC">
              <w:rPr>
                <w:bCs/>
                <w:rtl/>
                <w:lang w:bidi="ar-QA"/>
              </w:rPr>
              <w:t>:</w:t>
            </w:r>
            <w:r w:rsidRPr="007968EC">
              <w:rPr>
                <w:rFonts w:eastAsia="Times New Roman"/>
                <w:b/>
                <w:lang w:val="en-GB"/>
              </w:rPr>
              <w:t xml:space="preserve"> </w:t>
            </w:r>
            <w:hyperlink r:id="rId18" w:tgtFrame="_blank" w:history="1">
              <w:r>
                <w:rPr>
                  <w:rStyle w:val="Hyperlink"/>
                  <w:b/>
                  <w:noProof/>
                  <w:rtl/>
                  <w:lang w:val="en-GB"/>
                </w:rPr>
                <w:t>انجليزي</w:t>
              </w:r>
            </w:hyperlink>
            <w:r w:rsidRPr="007968EC">
              <w:rPr>
                <w:rFonts w:eastAsia="Times New Roman"/>
                <w:b/>
                <w:noProof/>
                <w:lang w:val="en-GB"/>
              </w:rPr>
              <w:t>|</w:t>
            </w:r>
            <w:hyperlink r:id="rId19" w:tgtFrame="_blank" w:history="1">
              <w:r>
                <w:rPr>
                  <w:rStyle w:val="Hyperlink"/>
                  <w:b/>
                  <w:noProof/>
                  <w:rtl/>
                  <w:lang w:val="en-GB"/>
                </w:rPr>
                <w:t>فرنسي</w:t>
              </w:r>
            </w:hyperlink>
            <w:r w:rsidRPr="007968EC">
              <w:rPr>
                <w:rFonts w:eastAsia="Times New Roman"/>
                <w:b/>
                <w:noProof/>
                <w:lang w:val="en-GB"/>
              </w:rPr>
              <w:br/>
            </w:r>
            <w:r w:rsidRPr="007968EC">
              <w:rPr>
                <w:bCs/>
                <w:rtl/>
              </w:rPr>
              <w:t>انظر التقارير المقدمة</w:t>
            </w:r>
            <w:r w:rsidRPr="007968EC">
              <w:rPr>
                <w:rFonts w:eastAsia="Times New Roman"/>
                <w:b/>
                <w:lang w:val="en-GB"/>
              </w:rPr>
              <w:t xml:space="preserve"> </w:t>
            </w:r>
            <w:r>
              <w:rPr>
                <w:b/>
                <w:rtl/>
                <w:lang w:val="en-GB"/>
              </w:rPr>
              <w:t>:</w:t>
            </w:r>
            <w:r w:rsidRPr="007968EC">
              <w:rPr>
                <w:rFonts w:eastAsia="Times New Roman"/>
                <w:b/>
                <w:i/>
                <w:noProof/>
                <w:lang w:val="en-GB"/>
              </w:rPr>
              <w:t xml:space="preserve"> </w:t>
            </w:r>
            <w:hyperlink r:id="rId20" w:history="1">
              <w:r w:rsidRPr="006756E8">
                <w:rPr>
                  <w:rStyle w:val="Hyperlink"/>
                  <w:b/>
                  <w:iCs/>
                  <w:noProof/>
                  <w:rtl/>
                  <w:lang w:val="en-GB"/>
                </w:rPr>
                <w:t>27</w:t>
              </w:r>
            </w:hyperlink>
            <w:r w:rsidRPr="006756E8">
              <w:rPr>
                <w:rStyle w:val="Hyperlink"/>
                <w:b/>
                <w:iCs/>
                <w:rtl/>
                <w:lang w:val="en-GB"/>
              </w:rPr>
              <w:t xml:space="preserve"> تقريرا</w:t>
            </w:r>
            <w:r w:rsidRPr="00934F74">
              <w:rPr>
                <w:rStyle w:val="Hyperlink"/>
                <w:iCs/>
                <w:lang w:val="en-GB"/>
              </w:rPr>
              <w:t xml:space="preserve"> </w:t>
            </w:r>
          </w:p>
        </w:tc>
        <w:tc>
          <w:tcPr>
            <w:tcW w:w="5504" w:type="dxa"/>
            <w:vAlign w:val="center"/>
          </w:tcPr>
          <w:p w:rsidR="00CB35E6" w:rsidRPr="007968EC" w:rsidRDefault="00CB35E6" w:rsidP="00A320C4">
            <w:pPr>
              <w:spacing w:before="120" w:after="120"/>
              <w:rPr>
                <w:rFonts w:eastAsia="Times New Roman"/>
                <w:bCs/>
                <w:lang w:bidi="ar-QA"/>
              </w:rPr>
            </w:pPr>
            <w:r w:rsidRPr="007968EC">
              <w:rPr>
                <w:rtl/>
                <w:lang w:bidi="ar-QA"/>
              </w:rPr>
              <w:t>دراسة تقارير الدول الأطراف عن تطبيق الاتفاقية وعن الوضع الراهن لجميع العناصر المدرجة في القائمة التمثيلية للتراث الثقافي غير المادي للبشرية (دورة 2014)</w:t>
            </w:r>
          </w:p>
        </w:tc>
      </w:tr>
      <w:tr w:rsidR="00CB35E6" w:rsidRPr="007968EC" w:rsidTr="00C26D3A">
        <w:tc>
          <w:tcPr>
            <w:tcW w:w="3636" w:type="dxa"/>
            <w:vAlign w:val="center"/>
          </w:tcPr>
          <w:p w:rsidR="00CB35E6" w:rsidRPr="00934F74" w:rsidRDefault="00CB35E6" w:rsidP="00A320C4">
            <w:pPr>
              <w:spacing w:before="120" w:after="120"/>
              <w:rPr>
                <w:rFonts w:eastAsia="Times New Roman"/>
                <w:bCs/>
                <w:lang w:bidi="ar-QA"/>
              </w:rPr>
            </w:pPr>
            <w:r w:rsidRPr="007968EC">
              <w:rPr>
                <w:rFonts w:eastAsia="Times New Roman"/>
                <w:bCs/>
                <w:lang w:bidi="ar-QA"/>
              </w:rPr>
              <w:t>ITH/14/9.COM/5.b</w:t>
            </w:r>
            <w:r w:rsidRPr="007968EC">
              <w:rPr>
                <w:bCs/>
                <w:rtl/>
                <w:lang w:bidi="ar-QA"/>
              </w:rPr>
              <w:t>:</w:t>
            </w:r>
            <w:r w:rsidRPr="00934F74">
              <w:rPr>
                <w:rFonts w:eastAsia="Times New Roman"/>
                <w:b/>
              </w:rPr>
              <w:t xml:space="preserve"> </w:t>
            </w:r>
            <w:hyperlink r:id="rId21" w:tgtFrame="_blank" w:history="1">
              <w:r w:rsidRPr="00DC7031">
                <w:rPr>
                  <w:rStyle w:val="Hyperlink"/>
                  <w:rtl/>
                </w:rPr>
                <w:t>انجليزي</w:t>
              </w:r>
            </w:hyperlink>
            <w:r w:rsidRPr="00934F74">
              <w:rPr>
                <w:rFonts w:eastAsia="Times New Roman"/>
              </w:rPr>
              <w:t>|</w:t>
            </w:r>
            <w:hyperlink r:id="rId22" w:tgtFrame="_blank" w:history="1">
              <w:r w:rsidRPr="00DC7031">
                <w:rPr>
                  <w:rStyle w:val="Hyperlink"/>
                  <w:rtl/>
                </w:rPr>
                <w:t>فرنسي</w:t>
              </w:r>
            </w:hyperlink>
            <w:r w:rsidRPr="00934F74">
              <w:rPr>
                <w:rFonts w:eastAsia="Times New Roman"/>
                <w:b/>
              </w:rPr>
              <w:br/>
            </w:r>
            <w:r w:rsidRPr="007968EC">
              <w:rPr>
                <w:bCs/>
                <w:rtl/>
              </w:rPr>
              <w:t>انظر التقارير المقدمة</w:t>
            </w:r>
            <w:r>
              <w:rPr>
                <w:bCs/>
                <w:rtl/>
              </w:rPr>
              <w:t>:</w:t>
            </w:r>
            <w:r w:rsidRPr="00934F74">
              <w:rPr>
                <w:rFonts w:eastAsia="Times New Roman"/>
                <w:b/>
              </w:rPr>
              <w:t xml:space="preserve"> </w:t>
            </w:r>
            <w:hyperlink r:id="rId23" w:history="1">
              <w:r w:rsidRPr="006756E8">
                <w:rPr>
                  <w:rStyle w:val="Hyperlink"/>
                  <w:b/>
                  <w:iCs/>
                  <w:rtl/>
                </w:rPr>
                <w:t>8</w:t>
              </w:r>
              <w:r w:rsidRPr="006756E8">
                <w:rPr>
                  <w:rStyle w:val="Hyperlink"/>
                  <w:iCs/>
                  <w:rtl/>
                  <w:lang w:val="en-GB"/>
                </w:rPr>
                <w:t xml:space="preserve"> تقارير</w:t>
              </w:r>
            </w:hyperlink>
            <w:r w:rsidRPr="00934F74">
              <w:rPr>
                <w:rFonts w:eastAsia="Times New Roman"/>
                <w:b/>
                <w:iCs/>
              </w:rPr>
              <w:t xml:space="preserve"> </w:t>
            </w:r>
          </w:p>
        </w:tc>
        <w:tc>
          <w:tcPr>
            <w:tcW w:w="5504" w:type="dxa"/>
            <w:vAlign w:val="center"/>
          </w:tcPr>
          <w:p w:rsidR="00CB35E6" w:rsidRPr="007968EC" w:rsidRDefault="00CB35E6" w:rsidP="00A779EC">
            <w:pPr>
              <w:spacing w:before="120" w:after="120"/>
              <w:rPr>
                <w:rtl/>
                <w:lang w:bidi="ar-QA"/>
              </w:rPr>
            </w:pPr>
            <w:r w:rsidRPr="007968EC">
              <w:rPr>
                <w:rtl/>
                <w:lang w:bidi="ar-QA"/>
              </w:rPr>
              <w:t xml:space="preserve">دراسة تقارير الدول الأطراف عن الوضع الراهن للعناصر المدرجة في قائمة </w:t>
            </w:r>
            <w:r w:rsidR="00A779EC">
              <w:rPr>
                <w:rFonts w:hint="cs"/>
                <w:rtl/>
                <w:lang w:bidi="ar-QA"/>
              </w:rPr>
              <w:t xml:space="preserve">التراث </w:t>
            </w:r>
            <w:r w:rsidRPr="007968EC">
              <w:rPr>
                <w:rtl/>
                <w:lang w:bidi="ar-QA"/>
              </w:rPr>
              <w:t xml:space="preserve">الثقافي غير المادي </w:t>
            </w:r>
            <w:r w:rsidR="00A779EC">
              <w:rPr>
                <w:rFonts w:hint="cs"/>
                <w:rtl/>
                <w:lang w:bidi="ar-QA"/>
              </w:rPr>
              <w:t xml:space="preserve">الذي يحتاج </w:t>
            </w:r>
            <w:r w:rsidR="00A779EC" w:rsidRPr="007968EC">
              <w:rPr>
                <w:rtl/>
                <w:lang w:bidi="ar-QA"/>
              </w:rPr>
              <w:t xml:space="preserve">إلى صون عاجل </w:t>
            </w:r>
            <w:r w:rsidRPr="007968EC">
              <w:rPr>
                <w:rtl/>
                <w:lang w:bidi="ar-QA"/>
              </w:rPr>
              <w:t>(دورة 2014)</w:t>
            </w:r>
          </w:p>
        </w:tc>
      </w:tr>
      <w:tr w:rsidR="00CB35E6" w:rsidRPr="007968EC" w:rsidTr="00C26D3A">
        <w:tc>
          <w:tcPr>
            <w:tcW w:w="3636" w:type="dxa"/>
            <w:vAlign w:val="center"/>
          </w:tcPr>
          <w:p w:rsidR="00CB35E6" w:rsidRPr="007968EC" w:rsidRDefault="00CB35E6" w:rsidP="00835500">
            <w:pPr>
              <w:spacing w:before="120" w:after="120"/>
              <w:rPr>
                <w:rFonts w:eastAsia="Times New Roman"/>
                <w:bCs/>
                <w:lang w:bidi="ar-QA"/>
              </w:rPr>
            </w:pPr>
            <w:r w:rsidRPr="007968EC">
              <w:rPr>
                <w:rFonts w:eastAsia="Times New Roman"/>
                <w:bCs/>
                <w:lang w:bidi="ar-QA"/>
              </w:rPr>
              <w:t>ITH/16/11.COM</w:t>
            </w:r>
            <w:r w:rsidR="00835500">
              <w:rPr>
                <w:rFonts w:eastAsia="Times New Roman"/>
                <w:bCs/>
                <w:lang w:bidi="ar-QA"/>
              </w:rPr>
              <w:t xml:space="preserve"> </w:t>
            </w:r>
            <w:r w:rsidR="00046B0B" w:rsidRPr="005E5DAA">
              <w:rPr>
                <w:rFonts w:eastAsia="Times New Roman"/>
                <w:bCs/>
                <w:lang w:bidi="ar-QA"/>
              </w:rPr>
              <w:t>1.BUR/2</w:t>
            </w:r>
            <w:r w:rsidR="003C6486">
              <w:rPr>
                <w:rFonts w:eastAsia="Times New Roman"/>
                <w:bCs/>
                <w:lang w:bidi="ar-QA"/>
              </w:rPr>
              <w:t xml:space="preserve"> </w:t>
            </w:r>
            <w:proofErr w:type="spellStart"/>
            <w:r w:rsidR="003C6486">
              <w:rPr>
                <w:rFonts w:eastAsia="Times New Roman"/>
                <w:bCs/>
                <w:lang w:bidi="ar-QA"/>
              </w:rPr>
              <w:t>Rev</w:t>
            </w:r>
            <w:proofErr w:type="spellEnd"/>
            <w:r w:rsidR="003C6486">
              <w:rPr>
                <w:rFonts w:eastAsia="Times New Roman"/>
                <w:bCs/>
                <w:lang w:bidi="ar-QA"/>
              </w:rPr>
              <w:t>.</w:t>
            </w:r>
            <w:r w:rsidR="00046B0B" w:rsidRPr="005E5DAA">
              <w:rPr>
                <w:rFonts w:eastAsia="Times New Roman"/>
                <w:bCs/>
                <w:lang w:bidi="ar-QA"/>
              </w:rPr>
              <w:t>:</w:t>
            </w:r>
            <w:r w:rsidRPr="005E5DAA">
              <w:rPr>
                <w:bCs/>
                <w:rtl/>
                <w:lang w:bidi="ar-QA"/>
              </w:rPr>
              <w:t>:</w:t>
            </w:r>
            <w:r w:rsidRPr="005E5DAA">
              <w:rPr>
                <w:rFonts w:eastAsia="Times New Roman"/>
                <w:b/>
              </w:rPr>
              <w:t xml:space="preserve"> </w:t>
            </w:r>
            <w:hyperlink r:id="rId24" w:history="1">
              <w:r w:rsidRPr="00C26D3A">
                <w:rPr>
                  <w:rStyle w:val="Hyperlink"/>
                  <w:bCs/>
                  <w:rtl/>
                </w:rPr>
                <w:t>انجليزي</w:t>
              </w:r>
            </w:hyperlink>
            <w:r w:rsidRPr="005E5DAA">
              <w:rPr>
                <w:rFonts w:eastAsia="Times New Roman"/>
                <w:b/>
              </w:rPr>
              <w:t>|</w:t>
            </w:r>
            <w:hyperlink r:id="rId25" w:history="1">
              <w:r w:rsidRPr="00C26D3A">
                <w:rPr>
                  <w:rStyle w:val="Hyperlink"/>
                  <w:bCs/>
                  <w:rtl/>
                </w:rPr>
                <w:t>فرنسي</w:t>
              </w:r>
            </w:hyperlink>
            <w:r w:rsidRPr="005E5DAA">
              <w:rPr>
                <w:rFonts w:eastAsia="Times New Roman"/>
                <w:b/>
              </w:rPr>
              <w:br/>
            </w:r>
            <w:r w:rsidRPr="005E5DAA">
              <w:rPr>
                <w:bCs/>
                <w:rtl/>
              </w:rPr>
              <w:t>انظر</w:t>
            </w:r>
            <w:r w:rsidRPr="007968EC">
              <w:rPr>
                <w:bCs/>
                <w:rtl/>
              </w:rPr>
              <w:t xml:space="preserve"> التقارير المقدمة</w:t>
            </w:r>
            <w:r>
              <w:rPr>
                <w:bCs/>
                <w:rtl/>
              </w:rPr>
              <w:t>:</w:t>
            </w:r>
            <w:r w:rsidRPr="007968EC">
              <w:rPr>
                <w:bCs/>
                <w:rtl/>
              </w:rPr>
              <w:t xml:space="preserve"> </w:t>
            </w:r>
            <w:hyperlink r:id="rId26" w:history="1">
              <w:r w:rsidRPr="006756E8">
                <w:rPr>
                  <w:rStyle w:val="Hyperlink"/>
                  <w:b/>
                  <w:iCs/>
                  <w:rtl/>
                </w:rPr>
                <w:t>24</w:t>
              </w:r>
              <w:r w:rsidRPr="006756E8">
                <w:rPr>
                  <w:rStyle w:val="Hyperlink"/>
                  <w:iCs/>
                  <w:rtl/>
                </w:rPr>
                <w:t xml:space="preserve"> تقريرا</w:t>
              </w:r>
            </w:hyperlink>
            <w:r w:rsidRPr="006756E8">
              <w:rPr>
                <w:iCs/>
                <w:rtl/>
              </w:rPr>
              <w:t xml:space="preserve"> </w:t>
            </w:r>
          </w:p>
        </w:tc>
        <w:tc>
          <w:tcPr>
            <w:tcW w:w="5504" w:type="dxa"/>
            <w:vAlign w:val="center"/>
          </w:tcPr>
          <w:p w:rsidR="00CB35E6" w:rsidRPr="007968EC" w:rsidRDefault="00CB35E6" w:rsidP="00A320C4">
            <w:pPr>
              <w:spacing w:before="120" w:after="120"/>
              <w:rPr>
                <w:rtl/>
                <w:lang w:bidi="ar-QA"/>
              </w:rPr>
            </w:pPr>
            <w:r w:rsidRPr="007968EC">
              <w:rPr>
                <w:rtl/>
                <w:lang w:bidi="ar-QA"/>
              </w:rPr>
              <w:t>دراسة تقارير الدول الأطراف عن تطبيق الاتفاقية وعن الوضع الراهن لجميع العناصر المدرجة في القائمة التمثيلية للتراث الثقافي غير المادي للبشرية (دورة 2015)</w:t>
            </w:r>
          </w:p>
        </w:tc>
      </w:tr>
      <w:tr w:rsidR="00CB35E6" w:rsidRPr="007968EC" w:rsidTr="00C26D3A">
        <w:tc>
          <w:tcPr>
            <w:tcW w:w="3636" w:type="dxa"/>
            <w:vAlign w:val="center"/>
          </w:tcPr>
          <w:p w:rsidR="00CB35E6" w:rsidRPr="007968EC" w:rsidRDefault="00CB35E6" w:rsidP="00A320C4">
            <w:pPr>
              <w:spacing w:before="120" w:after="120"/>
              <w:rPr>
                <w:rFonts w:eastAsia="Times New Roman"/>
                <w:bCs/>
                <w:lang w:bidi="ar-QA"/>
              </w:rPr>
            </w:pPr>
            <w:r w:rsidRPr="007968EC">
              <w:rPr>
                <w:rFonts w:eastAsia="Times New Roman"/>
                <w:bCs/>
                <w:lang w:bidi="ar-QA"/>
              </w:rPr>
              <w:t>ITH/15/10.COM/6.b</w:t>
            </w:r>
            <w:r w:rsidRPr="007968EC">
              <w:rPr>
                <w:bCs/>
                <w:rtl/>
                <w:lang w:bidi="ar-QA"/>
              </w:rPr>
              <w:t>:</w:t>
            </w:r>
            <w:r w:rsidRPr="00934F74">
              <w:rPr>
                <w:rFonts w:eastAsia="Times New Roman"/>
                <w:b/>
              </w:rPr>
              <w:t xml:space="preserve"> </w:t>
            </w:r>
            <w:hyperlink r:id="rId27" w:tgtFrame="_blank" w:history="1">
              <w:r w:rsidRPr="007968EC">
                <w:rPr>
                  <w:rStyle w:val="Hyperlink"/>
                  <w:bCs/>
                  <w:rtl/>
                </w:rPr>
                <w:t>انجليزي</w:t>
              </w:r>
            </w:hyperlink>
            <w:r w:rsidRPr="00934F74">
              <w:rPr>
                <w:rFonts w:eastAsia="Times New Roman"/>
                <w:b/>
              </w:rPr>
              <w:t>|</w:t>
            </w:r>
            <w:hyperlink r:id="rId28" w:tgtFrame="_blank" w:history="1">
              <w:r w:rsidRPr="007968EC">
                <w:rPr>
                  <w:rStyle w:val="Hyperlink"/>
                  <w:bCs/>
                  <w:rtl/>
                </w:rPr>
                <w:t>فرنسي</w:t>
              </w:r>
            </w:hyperlink>
            <w:r w:rsidRPr="00934F74">
              <w:rPr>
                <w:rFonts w:eastAsia="Times New Roman"/>
                <w:b/>
              </w:rPr>
              <w:br/>
            </w:r>
            <w:r w:rsidRPr="007968EC">
              <w:rPr>
                <w:bCs/>
                <w:rtl/>
              </w:rPr>
              <w:t>انظر التقارير المقدمة</w:t>
            </w:r>
            <w:r>
              <w:rPr>
                <w:bCs/>
                <w:rtl/>
              </w:rPr>
              <w:t>:</w:t>
            </w:r>
            <w:r w:rsidRPr="007968EC">
              <w:rPr>
                <w:bCs/>
                <w:rtl/>
              </w:rPr>
              <w:t xml:space="preserve"> </w:t>
            </w:r>
            <w:hyperlink r:id="rId29" w:history="1">
              <w:r w:rsidRPr="006756E8">
                <w:rPr>
                  <w:rStyle w:val="Hyperlink"/>
                  <w:b/>
                  <w:iCs/>
                  <w:rtl/>
                </w:rPr>
                <w:t>3 تقارير</w:t>
              </w:r>
            </w:hyperlink>
            <w:r w:rsidRPr="007968EC">
              <w:rPr>
                <w:rtl/>
              </w:rPr>
              <w:t xml:space="preserve"> </w:t>
            </w:r>
          </w:p>
        </w:tc>
        <w:tc>
          <w:tcPr>
            <w:tcW w:w="5504" w:type="dxa"/>
            <w:vAlign w:val="center"/>
          </w:tcPr>
          <w:p w:rsidR="00CB35E6" w:rsidRPr="007968EC" w:rsidRDefault="00CB35E6" w:rsidP="00A779EC">
            <w:pPr>
              <w:spacing w:before="120" w:after="120"/>
              <w:rPr>
                <w:rtl/>
                <w:lang w:bidi="ar-QA"/>
              </w:rPr>
            </w:pPr>
            <w:r w:rsidRPr="007968EC">
              <w:rPr>
                <w:rtl/>
                <w:lang w:bidi="ar-QA"/>
              </w:rPr>
              <w:t xml:space="preserve">دراسة تقارير الدول الأطراف عن الوضع الراهن للعناصر المدرجة في قائمة </w:t>
            </w:r>
            <w:r w:rsidR="00A779EC">
              <w:rPr>
                <w:rFonts w:hint="cs"/>
                <w:rtl/>
                <w:lang w:bidi="ar-QA"/>
              </w:rPr>
              <w:t>التراث</w:t>
            </w:r>
            <w:r w:rsidR="00A779EC" w:rsidRPr="007968EC">
              <w:rPr>
                <w:rtl/>
                <w:lang w:bidi="ar-QA"/>
              </w:rPr>
              <w:t xml:space="preserve"> </w:t>
            </w:r>
            <w:r w:rsidRPr="007968EC">
              <w:rPr>
                <w:rtl/>
                <w:lang w:bidi="ar-QA"/>
              </w:rPr>
              <w:t xml:space="preserve">الثقافي غير المادي </w:t>
            </w:r>
            <w:r w:rsidR="00A779EC">
              <w:rPr>
                <w:rFonts w:hint="cs"/>
                <w:rtl/>
                <w:lang w:bidi="ar-QA"/>
              </w:rPr>
              <w:t xml:space="preserve">الذي يحتاج </w:t>
            </w:r>
            <w:r w:rsidR="00A779EC" w:rsidRPr="007968EC">
              <w:rPr>
                <w:rtl/>
                <w:lang w:bidi="ar-QA"/>
              </w:rPr>
              <w:t xml:space="preserve">إلى صون عاجل </w:t>
            </w:r>
            <w:r w:rsidRPr="007968EC">
              <w:rPr>
                <w:rtl/>
                <w:lang w:bidi="ar-QA"/>
              </w:rPr>
              <w:t>(دورة 2015)</w:t>
            </w:r>
          </w:p>
        </w:tc>
      </w:tr>
    </w:tbl>
    <w:p w:rsidR="00CB35E6" w:rsidRPr="00934F74" w:rsidRDefault="00CB35E6" w:rsidP="00D1048A">
      <w:pPr>
        <w:pStyle w:val="Marge"/>
        <w:numPr>
          <w:ilvl w:val="0"/>
          <w:numId w:val="14"/>
        </w:numPr>
        <w:tabs>
          <w:tab w:val="clear" w:pos="720"/>
        </w:tabs>
        <w:spacing w:before="240" w:after="120"/>
        <w:ind w:left="567" w:hanging="567"/>
        <w:rPr>
          <w:rFonts w:ascii="Times New Roman" w:hAnsi="Times New Roman"/>
          <w:sz w:val="24"/>
        </w:rPr>
      </w:pPr>
      <w:r w:rsidRPr="007968EC">
        <w:rPr>
          <w:sz w:val="24"/>
          <w:rtl/>
          <w:lang w:bidi="ar-QA"/>
        </w:rPr>
        <w:t xml:space="preserve">في فترة التقرير، رحّبت اللجنة وأقرّت تغييرين كبيرين في معالجة التقارير الدورية عن تطبيق الاتفاقية: تضمين لمحة عن دراسة معمّقة وتركيز تراكمي على موضوع محدّد كلّ سنة (الجرد في 2014 والنشر </w:t>
      </w:r>
      <w:r w:rsidR="00D1048A" w:rsidRPr="007968EC">
        <w:rPr>
          <w:sz w:val="24"/>
          <w:rtl/>
          <w:lang w:bidi="ar-QA"/>
        </w:rPr>
        <w:t>و</w:t>
      </w:r>
      <w:r w:rsidR="00D1048A">
        <w:rPr>
          <w:rFonts w:hint="cs"/>
          <w:sz w:val="24"/>
          <w:rtl/>
          <w:lang w:bidi="ar-QA"/>
        </w:rPr>
        <w:t>التعليم</w:t>
      </w:r>
      <w:r w:rsidR="00D1048A" w:rsidRPr="007968EC">
        <w:rPr>
          <w:sz w:val="24"/>
          <w:rtl/>
          <w:lang w:bidi="ar-QA"/>
        </w:rPr>
        <w:t xml:space="preserve"> </w:t>
      </w:r>
      <w:r w:rsidRPr="007968EC">
        <w:rPr>
          <w:sz w:val="24"/>
          <w:rtl/>
          <w:lang w:bidi="ar-QA"/>
        </w:rPr>
        <w:t xml:space="preserve">في 2015) بالإضافة إلى اعداد ملخّص لكلّ تقرير مقدّم لأوّل مرة في 2015. </w:t>
      </w:r>
    </w:p>
    <w:p w:rsidR="00CB35E6" w:rsidRPr="00934F74" w:rsidRDefault="00CB35E6" w:rsidP="00D1048A">
      <w:pPr>
        <w:pStyle w:val="Marge"/>
        <w:numPr>
          <w:ilvl w:val="0"/>
          <w:numId w:val="14"/>
        </w:numPr>
        <w:tabs>
          <w:tab w:val="clear" w:pos="720"/>
        </w:tabs>
        <w:spacing w:after="120"/>
        <w:ind w:left="567" w:hanging="567"/>
        <w:rPr>
          <w:rFonts w:ascii="Times New Roman" w:hAnsi="Times New Roman"/>
          <w:sz w:val="24"/>
        </w:rPr>
      </w:pPr>
      <w:proofErr w:type="gramStart"/>
      <w:r w:rsidRPr="007968EC">
        <w:rPr>
          <w:sz w:val="24"/>
          <w:rtl/>
          <w:lang w:bidi="ar-QA"/>
        </w:rPr>
        <w:t>ولا</w:t>
      </w:r>
      <w:proofErr w:type="gramEnd"/>
      <w:r w:rsidRPr="007968EC">
        <w:rPr>
          <w:sz w:val="24"/>
          <w:rtl/>
          <w:lang w:bidi="ar-QA"/>
        </w:rPr>
        <w:t xml:space="preserve"> تزال اللجنة تواجه عدم تقديم الكثير من </w:t>
      </w:r>
      <w:r>
        <w:rPr>
          <w:sz w:val="24"/>
          <w:rtl/>
          <w:lang w:bidi="ar-QA"/>
        </w:rPr>
        <w:t>الدول الأطراف تقاريرها المتوقعة</w:t>
      </w:r>
      <w:r w:rsidRPr="007968EC">
        <w:rPr>
          <w:sz w:val="24"/>
          <w:rtl/>
          <w:lang w:bidi="ar-QA"/>
        </w:rPr>
        <w:t>: على سبيل المثال، في ما يخصّ التقارير عن تطبيق الاتفاقية، 24 من أصل 48 تقريرا</w:t>
      </w:r>
      <w:r>
        <w:rPr>
          <w:sz w:val="24"/>
          <w:rtl/>
          <w:lang w:bidi="ar-QA"/>
        </w:rPr>
        <w:t>ً</w:t>
      </w:r>
      <w:r w:rsidRPr="007968EC">
        <w:rPr>
          <w:sz w:val="24"/>
          <w:rtl/>
          <w:lang w:bidi="ar-QA"/>
        </w:rPr>
        <w:t xml:space="preserve"> متوقّعا</w:t>
      </w:r>
      <w:r>
        <w:rPr>
          <w:sz w:val="24"/>
          <w:rtl/>
          <w:lang w:bidi="ar-QA"/>
        </w:rPr>
        <w:t>ً</w:t>
      </w:r>
      <w:r w:rsidRPr="007968EC">
        <w:rPr>
          <w:sz w:val="24"/>
          <w:rtl/>
          <w:lang w:bidi="ar-QA"/>
        </w:rPr>
        <w:t xml:space="preserve"> لم يتمّ تقديمها بالنسبة لدورة 2015. وبهدف حلّ هذه الوضعية، ضمّنت اللجنة للمرّة الأولى خلال دورتها العاشرة صلب قراراتها المتعلّقة بالتقارير الدورية لسنة 2015 تشجيعا</w:t>
      </w:r>
      <w:r>
        <w:rPr>
          <w:sz w:val="24"/>
          <w:rtl/>
          <w:lang w:bidi="ar-QA"/>
        </w:rPr>
        <w:t>ً</w:t>
      </w:r>
      <w:r w:rsidRPr="007968EC">
        <w:rPr>
          <w:sz w:val="24"/>
          <w:rtl/>
          <w:lang w:bidi="ar-QA"/>
        </w:rPr>
        <w:t xml:space="preserve"> للدول الأطراف للاستجابة لمتطلّبات التقرير قبل تقديم </w:t>
      </w:r>
      <w:r w:rsidR="00D1048A">
        <w:rPr>
          <w:rFonts w:hint="cs"/>
          <w:sz w:val="24"/>
          <w:rtl/>
          <w:lang w:bidi="ar-QA"/>
        </w:rPr>
        <w:t xml:space="preserve">ترشيحات </w:t>
      </w:r>
      <w:r w:rsidRPr="007968EC">
        <w:rPr>
          <w:sz w:val="24"/>
          <w:rtl/>
          <w:lang w:bidi="ar-QA"/>
        </w:rPr>
        <w:t xml:space="preserve">جديدة. </w:t>
      </w:r>
    </w:p>
    <w:p w:rsidR="00CB35E6" w:rsidRPr="005E5DAA" w:rsidRDefault="00CB35E6" w:rsidP="006756E8">
      <w:pPr>
        <w:keepNext/>
        <w:spacing w:before="360" w:after="240"/>
        <w:ind w:left="360"/>
        <w:rPr>
          <w:rFonts w:eastAsia="Times New Roman"/>
          <w:b/>
        </w:rPr>
      </w:pPr>
      <w:r>
        <w:rPr>
          <w:bCs/>
          <w:rtl/>
          <w:lang w:bidi="ar-QA"/>
        </w:rPr>
        <w:lastRenderedPageBreak/>
        <w:t xml:space="preserve">سادساً – </w:t>
      </w:r>
      <w:r w:rsidRPr="007968EC">
        <w:rPr>
          <w:bCs/>
          <w:rtl/>
          <w:lang w:bidi="ar-QA"/>
        </w:rPr>
        <w:t>إدراج البنود في قائمتي الاتفاقية، واختيار أفضل ممارسات الصون وتقديم المساعدة الدول</w:t>
      </w:r>
      <w:r w:rsidRPr="005E5DAA">
        <w:rPr>
          <w:bCs/>
          <w:rtl/>
          <w:lang w:bidi="ar-QA"/>
        </w:rPr>
        <w:t>ية</w:t>
      </w:r>
      <w:r w:rsidRPr="005E5DAA">
        <w:rPr>
          <w:rtl/>
          <w:lang w:bidi="ar-QA"/>
        </w:rPr>
        <w:t xml:space="preserve"> (المادة 7 [خ])</w:t>
      </w:r>
    </w:p>
    <w:p w:rsidR="00CB35E6" w:rsidRPr="00934F74" w:rsidRDefault="00CB35E6" w:rsidP="00CB45BF">
      <w:pPr>
        <w:pStyle w:val="Marge"/>
        <w:numPr>
          <w:ilvl w:val="0"/>
          <w:numId w:val="14"/>
        </w:numPr>
        <w:tabs>
          <w:tab w:val="clear" w:pos="720"/>
        </w:tabs>
        <w:spacing w:after="120"/>
        <w:ind w:left="567" w:hanging="567"/>
        <w:rPr>
          <w:rFonts w:ascii="Times New Roman" w:hAnsi="Times New Roman"/>
          <w:i/>
          <w:sz w:val="24"/>
        </w:rPr>
      </w:pPr>
      <w:r w:rsidRPr="005E5DAA">
        <w:rPr>
          <w:sz w:val="24"/>
          <w:rtl/>
          <w:lang w:bidi="ar-QA"/>
        </w:rPr>
        <w:t>أدرجت اللجنة خلال فترة التقرير ما مجموعه 65 عنصراً تراثياً في قائمتي الاتفاقية: 8 عناصر في قائمة التراث الثقافي غير المادي الذي يحتاج إلى صون عاجل</w:t>
      </w:r>
      <w:r w:rsidRPr="007968EC">
        <w:rPr>
          <w:sz w:val="24"/>
          <w:rtl/>
          <w:lang w:bidi="ar-QA"/>
        </w:rPr>
        <w:t xml:space="preserve"> </w:t>
      </w:r>
      <w:r w:rsidRPr="005E5DAA">
        <w:rPr>
          <w:sz w:val="24"/>
          <w:rtl/>
          <w:lang w:bidi="ar-QA"/>
        </w:rPr>
        <w:t>و57 عنصراً</w:t>
      </w:r>
      <w:r w:rsidRPr="007968EC">
        <w:rPr>
          <w:sz w:val="24"/>
          <w:rtl/>
          <w:lang w:bidi="ar-QA"/>
        </w:rPr>
        <w:t xml:space="preserve"> في القائمة التمثيلية للتراث الثقافي غير المادي للبشرية.</w:t>
      </w:r>
      <w:r w:rsidRPr="00934F74">
        <w:rPr>
          <w:rFonts w:ascii="Times New Roman" w:hAnsi="Times New Roman"/>
          <w:sz w:val="24"/>
        </w:rPr>
        <w:t xml:space="preserve"> </w:t>
      </w:r>
      <w:r w:rsidRPr="007968EC">
        <w:rPr>
          <w:sz w:val="24"/>
          <w:rtl/>
          <w:lang w:bidi="ar-QA"/>
        </w:rPr>
        <w:t>كما قامت اللجنة خلال هذه الفترة باختيار ممارسة واحدة من أفضل ممارسات الصون.</w:t>
      </w:r>
    </w:p>
    <w:p w:rsidR="00CB35E6" w:rsidRPr="00934F74" w:rsidRDefault="00CB35E6" w:rsidP="00CB45BF">
      <w:pPr>
        <w:pStyle w:val="Marge"/>
        <w:numPr>
          <w:ilvl w:val="0"/>
          <w:numId w:val="14"/>
        </w:numPr>
        <w:tabs>
          <w:tab w:val="clear" w:pos="720"/>
        </w:tabs>
        <w:spacing w:after="120"/>
        <w:ind w:left="567" w:hanging="567"/>
        <w:rPr>
          <w:rFonts w:ascii="Times New Roman" w:hAnsi="Times New Roman"/>
          <w:sz w:val="24"/>
        </w:rPr>
      </w:pPr>
      <w:r w:rsidRPr="007968EC">
        <w:rPr>
          <w:sz w:val="24"/>
          <w:rtl/>
          <w:lang w:bidi="ar-QA"/>
        </w:rPr>
        <w:t>اثر موافقة الجمعية العامة في 2014 على تعديلات التوجيهات التنفيذية بهدف انشاء "هيئة تقييم" واحدة (تتكوّن من ستة خبراء ممثلين للدول الأطراف غير الأعضاء في اللجنة وست منظمات غير حكومية معتمدة)، أنشأت اللجنة أوّل هيئة تقييم خلال دورته</w:t>
      </w:r>
      <w:r>
        <w:rPr>
          <w:sz w:val="24"/>
          <w:rtl/>
          <w:lang w:bidi="ar-QA"/>
        </w:rPr>
        <w:t>ا</w:t>
      </w:r>
      <w:r w:rsidRPr="007968EC">
        <w:rPr>
          <w:sz w:val="24"/>
          <w:rtl/>
          <w:lang w:bidi="ar-QA"/>
        </w:rPr>
        <w:t xml:space="preserve"> التاسعة وجدّدت ثلاثة مقاعد خلال دورتها العاشرة. </w:t>
      </w:r>
    </w:p>
    <w:p w:rsidR="00CB35E6" w:rsidRPr="00934F74" w:rsidRDefault="00CB35E6" w:rsidP="00D1048A">
      <w:pPr>
        <w:pStyle w:val="Marge"/>
        <w:numPr>
          <w:ilvl w:val="0"/>
          <w:numId w:val="14"/>
        </w:numPr>
        <w:tabs>
          <w:tab w:val="clear" w:pos="720"/>
        </w:tabs>
        <w:spacing w:after="120"/>
        <w:ind w:left="567" w:hanging="567"/>
        <w:rPr>
          <w:rFonts w:ascii="Times New Roman" w:hAnsi="Times New Roman"/>
          <w:i/>
          <w:sz w:val="24"/>
        </w:rPr>
      </w:pPr>
      <w:r w:rsidRPr="007968EC">
        <w:rPr>
          <w:sz w:val="24"/>
          <w:rtl/>
          <w:lang w:bidi="ar-QA"/>
        </w:rPr>
        <w:t>وأقرت اللجنة (فيما يتعلق بالطلبات التي تزيد عن 000 25 دولار أمريكي) أو المكتب (فيما يتعلق بالطلبات التي لا تتجاوز ذلك المبلغ وبالمساعدة الطارئة) ما مجموع</w:t>
      </w:r>
      <w:r w:rsidRPr="005E5DAA">
        <w:rPr>
          <w:sz w:val="24"/>
          <w:rtl/>
          <w:lang w:bidi="ar-QA"/>
        </w:rPr>
        <w:t>ه 15 طلباً للم</w:t>
      </w:r>
      <w:r w:rsidRPr="007968EC">
        <w:rPr>
          <w:sz w:val="24"/>
          <w:rtl/>
          <w:lang w:bidi="ar-QA"/>
        </w:rPr>
        <w:t xml:space="preserve">ساعدة الدولية بقيمة اجمالية </w:t>
      </w:r>
      <w:r w:rsidRPr="005E5DAA">
        <w:rPr>
          <w:sz w:val="24"/>
          <w:rtl/>
          <w:lang w:bidi="ar-QA"/>
        </w:rPr>
        <w:t>قدرها 831561 دولار أمريكي (</w:t>
      </w:r>
      <w:r w:rsidRPr="007968EC">
        <w:rPr>
          <w:sz w:val="24"/>
          <w:rtl/>
          <w:lang w:bidi="ar-QA"/>
        </w:rPr>
        <w:t xml:space="preserve">انظر أيضاً الوثيقة </w:t>
      </w:r>
      <w:hyperlink r:id="rId30" w:history="1">
        <w:r w:rsidRPr="00934F74">
          <w:rPr>
            <w:rStyle w:val="Hyperlink"/>
            <w:rFonts w:ascii="Times New Roman" w:hAnsi="Times New Roman"/>
            <w:sz w:val="24"/>
            <w:lang w:bidi="ar-QA"/>
          </w:rPr>
          <w:t>document ITH/15/10.COM/6.c</w:t>
        </w:r>
      </w:hyperlink>
      <w:r w:rsidRPr="007968EC">
        <w:rPr>
          <w:sz w:val="24"/>
          <w:rtl/>
          <w:lang w:bidi="ar-QA"/>
        </w:rPr>
        <w:t xml:space="preserve"> </w:t>
      </w:r>
      <w:proofErr w:type="spellStart"/>
      <w:r w:rsidRPr="007968EC">
        <w:rPr>
          <w:sz w:val="24"/>
          <w:rtl/>
          <w:lang w:bidi="ar-QA"/>
        </w:rPr>
        <w:t>للإطلاع</w:t>
      </w:r>
      <w:proofErr w:type="spellEnd"/>
      <w:r w:rsidRPr="007968EC">
        <w:rPr>
          <w:sz w:val="24"/>
          <w:rtl/>
          <w:lang w:bidi="ar-QA"/>
        </w:rPr>
        <w:t xml:space="preserve"> على التقرير عن المساعدة الدولية من الدول الأطراف).</w:t>
      </w:r>
      <w:r w:rsidRPr="00934F74">
        <w:rPr>
          <w:rFonts w:ascii="Times New Roman" w:hAnsi="Times New Roman"/>
          <w:sz w:val="24"/>
        </w:rPr>
        <w:t xml:space="preserve"> </w:t>
      </w:r>
      <w:r w:rsidRPr="007968EC">
        <w:rPr>
          <w:sz w:val="24"/>
          <w:rtl/>
          <w:lang w:bidi="ar-QA"/>
        </w:rPr>
        <w:t xml:space="preserve">وبلغ مجموع البلدان التي استفادت خلال فترة التقرير من المساعدة الدولية التي أتاحها الصندوق </w:t>
      </w:r>
      <w:r w:rsidRPr="005E5DAA">
        <w:rPr>
          <w:sz w:val="24"/>
          <w:rtl/>
          <w:lang w:bidi="ar-QA"/>
        </w:rPr>
        <w:t>14 بلدا</w:t>
      </w:r>
      <w:r w:rsidRPr="009C6E82">
        <w:rPr>
          <w:sz w:val="24"/>
          <w:highlight w:val="yellow"/>
          <w:rtl/>
          <w:lang w:bidi="ar-QA"/>
        </w:rPr>
        <w:t>ً</w:t>
      </w:r>
      <w:r w:rsidRPr="007968EC">
        <w:rPr>
          <w:sz w:val="24"/>
          <w:rtl/>
          <w:lang w:bidi="ar-QA"/>
        </w:rPr>
        <w:t>.</w:t>
      </w:r>
      <w:r w:rsidRPr="00934F74">
        <w:rPr>
          <w:rFonts w:ascii="Times New Roman" w:hAnsi="Times New Roman"/>
          <w:sz w:val="24"/>
        </w:rPr>
        <w:t xml:space="preserve"> </w:t>
      </w:r>
    </w:p>
    <w:p w:rsidR="00CB35E6" w:rsidRPr="00934F74" w:rsidRDefault="00CB35E6" w:rsidP="00CB45BF"/>
    <w:sectPr w:rsidR="00CB35E6" w:rsidRPr="00934F74" w:rsidSect="0018093B">
      <w:headerReference w:type="even" r:id="rId31"/>
      <w:headerReference w:type="default" r:id="rId32"/>
      <w:head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E6" w:rsidRDefault="00CB35E6" w:rsidP="0018093B">
      <w:r>
        <w:rPr>
          <w:rtl/>
        </w:rPr>
        <w:separator/>
      </w:r>
    </w:p>
  </w:endnote>
  <w:endnote w:type="continuationSeparator" w:id="0">
    <w:p w:rsidR="00CB35E6" w:rsidRDefault="00CB35E6"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E6" w:rsidRDefault="00CB35E6" w:rsidP="0018093B">
      <w:r>
        <w:rPr>
          <w:rtl/>
        </w:rPr>
        <w:separator/>
      </w:r>
    </w:p>
  </w:footnote>
  <w:footnote w:type="continuationSeparator" w:id="0">
    <w:p w:rsidR="00CB35E6" w:rsidRDefault="00CB35E6" w:rsidP="0018093B">
      <w:r>
        <w:rPr>
          <w:rtl/>
        </w:rPr>
        <w:continuationSeparator/>
      </w:r>
    </w:p>
  </w:footnote>
  <w:footnote w:id="1">
    <w:p w:rsidR="00CB35E6" w:rsidRDefault="00CB35E6" w:rsidP="00CB45BF">
      <w:pPr>
        <w:pStyle w:val="FootnoteText"/>
        <w:pBdr>
          <w:top w:val="single" w:sz="6" w:space="1" w:color="C0C0C0"/>
          <w:left w:val="single" w:sz="6" w:space="1" w:color="C0C0C0"/>
          <w:bottom w:val="single" w:sz="6" w:space="1" w:color="C0C0C0"/>
          <w:right w:val="single" w:sz="6" w:space="1" w:color="C0C0C0"/>
        </w:pBdr>
        <w:bidi/>
      </w:pPr>
      <w:r w:rsidRPr="007968EC">
        <w:rPr>
          <w:rStyle w:val="FootnoteReference"/>
          <w:rFonts w:ascii="Times New Roman" w:hAnsi="Times New Roman"/>
        </w:rPr>
        <w:footnoteRef/>
      </w:r>
      <w:r w:rsidRPr="007968EC">
        <w:rPr>
          <w:rFonts w:ascii="Times New Roman" w:hAnsi="Times New Roman"/>
        </w:rPr>
        <w:t xml:space="preserve"> </w:t>
      </w:r>
      <w:r w:rsidRPr="007968EC">
        <w:rPr>
          <w:rtl/>
          <w:lang w:bidi="ar-TN"/>
        </w:rPr>
        <w:t>لمزيد</w:t>
      </w:r>
      <w:r w:rsidRPr="007968EC">
        <w:rPr>
          <w:rFonts w:cs="SimSun"/>
          <w:rtl/>
          <w:lang w:bidi="ar-TN"/>
        </w:rPr>
        <w:t xml:space="preserve"> </w:t>
      </w:r>
      <w:r w:rsidRPr="007968EC">
        <w:rPr>
          <w:rtl/>
          <w:lang w:bidi="ar-TN"/>
        </w:rPr>
        <w:t>من</w:t>
      </w:r>
      <w:r w:rsidRPr="007968EC">
        <w:rPr>
          <w:rFonts w:cs="SimSun"/>
          <w:rtl/>
          <w:lang w:bidi="ar-TN"/>
        </w:rPr>
        <w:t xml:space="preserve"> </w:t>
      </w:r>
      <w:r w:rsidRPr="007968EC">
        <w:rPr>
          <w:rtl/>
          <w:lang w:bidi="ar-TN"/>
        </w:rPr>
        <w:t>التفاصيل</w:t>
      </w:r>
      <w:r w:rsidRPr="007968EC">
        <w:rPr>
          <w:rFonts w:cs="SimSun"/>
          <w:rtl/>
          <w:lang w:bidi="ar-TN"/>
        </w:rPr>
        <w:t xml:space="preserve"> </w:t>
      </w:r>
      <w:r w:rsidRPr="007968EC">
        <w:rPr>
          <w:rtl/>
          <w:lang w:bidi="ar-TN"/>
        </w:rPr>
        <w:t>والمخرجات،</w:t>
      </w:r>
      <w:r w:rsidRPr="007968EC">
        <w:rPr>
          <w:rFonts w:cs="SimSun"/>
          <w:rtl/>
          <w:lang w:bidi="ar-TN"/>
        </w:rPr>
        <w:t xml:space="preserve"> </w:t>
      </w:r>
      <w:r w:rsidRPr="007968EC">
        <w:rPr>
          <w:rtl/>
          <w:lang w:bidi="ar-TN"/>
        </w:rPr>
        <w:t>يرجى</w:t>
      </w:r>
      <w:r w:rsidRPr="007968EC">
        <w:rPr>
          <w:rFonts w:cs="SimSun"/>
          <w:rtl/>
          <w:lang w:bidi="ar-TN"/>
        </w:rPr>
        <w:t xml:space="preserve"> </w:t>
      </w:r>
      <w:r w:rsidRPr="007968EC">
        <w:rPr>
          <w:rtl/>
          <w:lang w:bidi="ar-TN"/>
        </w:rPr>
        <w:t>الاطلاع</w:t>
      </w:r>
      <w:r w:rsidRPr="007968EC">
        <w:rPr>
          <w:rFonts w:cs="SimSun"/>
          <w:rtl/>
          <w:lang w:bidi="ar-TN"/>
        </w:rPr>
        <w:t xml:space="preserve"> </w:t>
      </w:r>
      <w:r w:rsidRPr="007968EC">
        <w:rPr>
          <w:rtl/>
          <w:lang w:bidi="ar-TN"/>
        </w:rPr>
        <w:t>على</w:t>
      </w:r>
      <w:r w:rsidRPr="007968EC">
        <w:rPr>
          <w:rFonts w:cs="SimSun"/>
          <w:rtl/>
          <w:lang w:bidi="ar-TN"/>
        </w:rPr>
        <w:t xml:space="preserve"> </w:t>
      </w:r>
      <w:r w:rsidRPr="007968EC">
        <w:rPr>
          <w:rtl/>
          <w:lang w:bidi="ar-TN"/>
        </w:rPr>
        <w:t>الوثيقة</w:t>
      </w:r>
      <w:r w:rsidRPr="007968EC">
        <w:rPr>
          <w:rFonts w:cs="SimSun"/>
          <w:rtl/>
          <w:lang w:bidi="ar-TN"/>
        </w:rPr>
        <w:t xml:space="preserve"> </w:t>
      </w:r>
      <w:hyperlink r:id="rId1" w:history="1">
        <w:r w:rsidRPr="007968EC">
          <w:rPr>
            <w:rStyle w:val="Hyperlink"/>
            <w:rFonts w:ascii="Times New Roman" w:hAnsi="Times New Roman"/>
            <w:lang w:val="en-US"/>
          </w:rPr>
          <w:t>ITH/14/9.COM 2.BUR/1</w:t>
        </w:r>
      </w:hyperlink>
      <w:r w:rsidRPr="007968EC">
        <w:rPr>
          <w:rFonts w:cs="SimSun"/>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1590721"/>
      <w:docPartObj>
        <w:docPartGallery w:val="Page Numbers (Top of Page)"/>
        <w:docPartUnique/>
      </w:docPartObj>
    </w:sdtPr>
    <w:sdtEndPr/>
    <w:sdtContent>
      <w:p w:rsidR="00CB35E6" w:rsidRPr="00A11F86" w:rsidRDefault="00A11F86" w:rsidP="00A11F86">
        <w:pPr>
          <w:pStyle w:val="Header"/>
        </w:pPr>
        <w:r>
          <w:fldChar w:fldCharType="begin"/>
        </w:r>
        <w:r>
          <w:instrText>PAGE   \* MERGEFORMAT</w:instrText>
        </w:r>
        <w:r>
          <w:fldChar w:fldCharType="separate"/>
        </w:r>
        <w:r w:rsidR="00605C97" w:rsidRPr="00605C97">
          <w:rPr>
            <w:noProof/>
            <w:lang w:val="fr-FR"/>
          </w:rPr>
          <w:t>2</w:t>
        </w:r>
        <w:r>
          <w:fldChar w:fldCharType="end"/>
        </w:r>
        <w:r>
          <w:t xml:space="preserve"> ITH/16/6.GA/5 – page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E6" w:rsidRPr="00A11F86" w:rsidRDefault="00605C97" w:rsidP="00A11F86">
    <w:pPr>
      <w:pStyle w:val="Header"/>
      <w:jc w:val="right"/>
    </w:pPr>
    <w:sdt>
      <w:sdtPr>
        <w:rPr>
          <w:rtl/>
        </w:rPr>
        <w:id w:val="-704707598"/>
        <w:docPartObj>
          <w:docPartGallery w:val="Page Numbers (Top of Page)"/>
          <w:docPartUnique/>
        </w:docPartObj>
      </w:sdtPr>
      <w:sdtEndPr/>
      <w:sdtContent>
        <w:r w:rsidR="00A11F86">
          <w:fldChar w:fldCharType="begin"/>
        </w:r>
        <w:r w:rsidR="00A11F86">
          <w:instrText>PAGE   \* MERGEFORMAT</w:instrText>
        </w:r>
        <w:r w:rsidR="00A11F86">
          <w:fldChar w:fldCharType="separate"/>
        </w:r>
        <w:r w:rsidRPr="00605C97">
          <w:rPr>
            <w:noProof/>
            <w:lang w:val="fr-FR"/>
          </w:rPr>
          <w:t>3</w:t>
        </w:r>
        <w:r w:rsidR="00A11F86">
          <w:fldChar w:fldCharType="end"/>
        </w:r>
        <w:r w:rsidR="00A11F86" w:rsidRPr="00A11F86">
          <w:t xml:space="preserve"> </w:t>
        </w:r>
        <w:r w:rsidR="00A11F86">
          <w:t>ITH/16/6.GA/7- page</w:t>
        </w:r>
      </w:sdtContent>
    </w:sdt>
    <w:r w:rsidR="00A11F8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E6" w:rsidRPr="008724E5" w:rsidRDefault="004535EA">
    <w:pPr>
      <w:pStyle w:val="Header"/>
    </w:pPr>
    <w:r>
      <w:rPr>
        <w:noProof/>
        <w:lang w:val="fr-FR"/>
      </w:rPr>
      <w:drawing>
        <wp:anchor distT="0" distB="0" distL="114300" distR="114300" simplePos="0" relativeHeight="251660288" behindDoc="0" locked="0" layoutInCell="1" allowOverlap="1">
          <wp:simplePos x="0" y="0"/>
          <wp:positionH relativeFrom="column">
            <wp:posOffset>4101465</wp:posOffset>
          </wp:positionH>
          <wp:positionV relativeFrom="paragraph">
            <wp:posOffset>-37465</wp:posOffset>
          </wp:positionV>
          <wp:extent cx="2552065" cy="1454785"/>
          <wp:effectExtent l="0" t="0" r="0"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p>
  <w:p w:rsidR="00CB35E6" w:rsidRPr="00427316" w:rsidRDefault="00CB35E6" w:rsidP="0018093B">
    <w:pPr>
      <w:pStyle w:val="Header"/>
      <w:spacing w:after="520"/>
      <w:jc w:val="right"/>
      <w:rPr>
        <w:rFonts w:ascii="Arial" w:hAnsi="Arial" w:cs="Arial"/>
        <w:b/>
        <w:sz w:val="44"/>
        <w:szCs w:val="44"/>
        <w:lang w:val="en-US"/>
      </w:rPr>
    </w:pPr>
    <w:r w:rsidRPr="00427316">
      <w:rPr>
        <w:rFonts w:ascii="Arial" w:hAnsi="Arial" w:cs="Arial"/>
        <w:b/>
        <w:sz w:val="44"/>
        <w:szCs w:val="44"/>
        <w:lang w:val="en-US"/>
      </w:rPr>
      <w:t>6</w:t>
    </w:r>
    <w:r>
      <w:rPr>
        <w:rFonts w:ascii="Arial" w:hAnsi="Arial" w:cs="Arial"/>
        <w:b/>
        <w:sz w:val="44"/>
        <w:szCs w:val="44"/>
        <w:rtl/>
      </w:rPr>
      <w:t xml:space="preserve"> </w:t>
    </w:r>
    <w:r w:rsidRPr="00427316">
      <w:rPr>
        <w:rFonts w:ascii="Arial" w:hAnsi="Arial" w:cs="Arial"/>
        <w:b/>
        <w:sz w:val="44"/>
        <w:szCs w:val="44"/>
        <w:lang w:val="en-US"/>
      </w:rPr>
      <w:t>GA</w:t>
    </w:r>
  </w:p>
  <w:p w:rsidR="00CB35E6" w:rsidRPr="005E5DAA" w:rsidRDefault="00CB35E6" w:rsidP="0018093B">
    <w:pPr>
      <w:jc w:val="right"/>
      <w:rPr>
        <w:rFonts w:ascii="Arial" w:hAnsi="Arial" w:cs="Arial"/>
        <w:b/>
        <w:lang w:val="en-US"/>
      </w:rPr>
    </w:pPr>
    <w:r w:rsidRPr="005E5DAA">
      <w:rPr>
        <w:rFonts w:eastAsia="Times New Roman"/>
        <w:b/>
        <w:lang w:val="en-GB"/>
      </w:rPr>
      <w:t>ITH/16/6.GA/5</w:t>
    </w:r>
  </w:p>
  <w:p w:rsidR="00CB35E6" w:rsidRPr="00427316" w:rsidRDefault="00CB35E6" w:rsidP="00A27B05">
    <w:pPr>
      <w:jc w:val="right"/>
      <w:rPr>
        <w:rFonts w:ascii="Arial" w:hAnsi="Arial" w:cs="Arial"/>
        <w:b/>
        <w:sz w:val="22"/>
        <w:szCs w:val="22"/>
        <w:lang w:val="en-US"/>
      </w:rPr>
    </w:pPr>
    <w:r w:rsidRPr="00B11628">
      <w:rPr>
        <w:rFonts w:ascii="Arial" w:hAnsi="Arial" w:cs="Arial"/>
        <w:bCs/>
        <w:sz w:val="22"/>
        <w:szCs w:val="22"/>
        <w:rtl/>
      </w:rPr>
      <w:t>باريس</w:t>
    </w:r>
    <w:r>
      <w:rPr>
        <w:rFonts w:ascii="Arial" w:hAnsi="Arial" w:cs="Arial"/>
        <w:bCs/>
        <w:sz w:val="22"/>
        <w:szCs w:val="22"/>
        <w:rtl/>
      </w:rPr>
      <w:t>،</w:t>
    </w:r>
    <w:r>
      <w:rPr>
        <w:rFonts w:ascii="Arial" w:hAnsi="Arial" w:cs="Arial"/>
        <w:b/>
        <w:sz w:val="22"/>
        <w:szCs w:val="22"/>
        <w:rtl/>
      </w:rPr>
      <w:t xml:space="preserve"> </w:t>
    </w:r>
    <w:r w:rsidRPr="005E5DAA">
      <w:rPr>
        <w:rFonts w:ascii="Arial" w:hAnsi="Arial" w:cs="Arial"/>
        <w:b/>
        <w:sz w:val="22"/>
        <w:szCs w:val="22"/>
        <w:lang w:val="en-US"/>
      </w:rPr>
      <w:t>2016/</w:t>
    </w:r>
    <w:r w:rsidR="005E5DAA">
      <w:rPr>
        <w:rFonts w:ascii="Arial" w:hAnsi="Arial" w:cs="Arial"/>
        <w:b/>
        <w:sz w:val="22"/>
        <w:szCs w:val="22"/>
        <w:lang w:val="en-US"/>
      </w:rPr>
      <w:t>04/29</w:t>
    </w:r>
  </w:p>
  <w:p w:rsidR="00CB35E6" w:rsidRPr="005E5DAA" w:rsidRDefault="00CB35E6" w:rsidP="00CB45BF">
    <w:pPr>
      <w:jc w:val="right"/>
      <w:rPr>
        <w:rFonts w:ascii="Arial" w:hAnsi="Arial" w:cs="Arial"/>
        <w:b/>
        <w:sz w:val="22"/>
        <w:szCs w:val="22"/>
        <w:lang w:val="en-GB"/>
      </w:rPr>
    </w:pPr>
    <w:r>
      <w:rPr>
        <w:rFonts w:ascii="Arial" w:hAnsi="Arial" w:cs="Arial"/>
        <w:b/>
        <w:sz w:val="22"/>
        <w:szCs w:val="22"/>
        <w:rtl/>
      </w:rPr>
      <w:t>الأصل: انجليزي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2E411C8"/>
    <w:multiLevelType w:val="hybridMultilevel"/>
    <w:tmpl w:val="FB42B1B4"/>
    <w:lvl w:ilvl="0" w:tplc="D3B422F4">
      <w:start w:val="1"/>
      <w:numFmt w:val="arabicAlpha"/>
      <w:lvlText w:val="%1)"/>
      <w:lvlJc w:val="left"/>
      <w:pPr>
        <w:tabs>
          <w:tab w:val="num" w:pos="720"/>
        </w:tabs>
        <w:ind w:left="720" w:hanging="360"/>
      </w:pPr>
      <w:rPr>
        <w:rFonts w:cs="Times New Roman" w:hint="default"/>
        <w:b w:val="0"/>
        <w:bCs/>
        <w:sz w:val="22"/>
        <w:szCs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F1F530C"/>
    <w:multiLevelType w:val="multilevel"/>
    <w:tmpl w:val="566A8472"/>
    <w:lvl w:ilvl="0">
      <w:start w:val="1"/>
      <w:numFmt w:val="arabicAlpha"/>
      <w:lvlText w:val="%1)"/>
      <w:lvlJc w:val="left"/>
      <w:pPr>
        <w:tabs>
          <w:tab w:val="num" w:pos="720"/>
        </w:tabs>
        <w:ind w:left="720" w:hanging="360"/>
      </w:pPr>
      <w:rPr>
        <w:rFonts w:cs="Times New Roman" w:hint="default"/>
        <w:sz w:val="22"/>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tentative="1">
      <w:start w:val="1"/>
      <w:numFmt w:val="bullet"/>
      <w:lvlText w:val=""/>
      <w:lvlJc w:val="left"/>
      <w:pPr>
        <w:tabs>
          <w:tab w:val="num" w:pos="1877"/>
        </w:tabs>
        <w:ind w:left="1877" w:hanging="360"/>
      </w:pPr>
      <w:rPr>
        <w:rFonts w:ascii="Wingdings" w:hAnsi="Wingdings" w:hint="default"/>
      </w:rPr>
    </w:lvl>
    <w:lvl w:ilvl="3" w:tplc="C3E6FACE" w:tentative="1">
      <w:start w:val="1"/>
      <w:numFmt w:val="bullet"/>
      <w:lvlText w:val=""/>
      <w:lvlJc w:val="left"/>
      <w:pPr>
        <w:tabs>
          <w:tab w:val="num" w:pos="2597"/>
        </w:tabs>
        <w:ind w:left="2597" w:hanging="360"/>
      </w:pPr>
      <w:rPr>
        <w:rFonts w:ascii="Symbol" w:hAnsi="Symbol" w:hint="default"/>
      </w:rPr>
    </w:lvl>
    <w:lvl w:ilvl="4" w:tplc="7826DF56" w:tentative="1">
      <w:start w:val="1"/>
      <w:numFmt w:val="bullet"/>
      <w:lvlText w:val="o"/>
      <w:lvlJc w:val="left"/>
      <w:pPr>
        <w:tabs>
          <w:tab w:val="num" w:pos="3317"/>
        </w:tabs>
        <w:ind w:left="3317" w:hanging="360"/>
      </w:pPr>
      <w:rPr>
        <w:rFonts w:ascii="Courier New" w:hAnsi="Courier New" w:hint="default"/>
      </w:rPr>
    </w:lvl>
    <w:lvl w:ilvl="5" w:tplc="9A427EF6" w:tentative="1">
      <w:start w:val="1"/>
      <w:numFmt w:val="bullet"/>
      <w:lvlText w:val=""/>
      <w:lvlJc w:val="left"/>
      <w:pPr>
        <w:tabs>
          <w:tab w:val="num" w:pos="4037"/>
        </w:tabs>
        <w:ind w:left="4037" w:hanging="360"/>
      </w:pPr>
      <w:rPr>
        <w:rFonts w:ascii="Wingdings" w:hAnsi="Wingdings" w:hint="default"/>
      </w:rPr>
    </w:lvl>
    <w:lvl w:ilvl="6" w:tplc="02AA8A76" w:tentative="1">
      <w:start w:val="1"/>
      <w:numFmt w:val="bullet"/>
      <w:lvlText w:val=""/>
      <w:lvlJc w:val="left"/>
      <w:pPr>
        <w:tabs>
          <w:tab w:val="num" w:pos="4757"/>
        </w:tabs>
        <w:ind w:left="4757" w:hanging="360"/>
      </w:pPr>
      <w:rPr>
        <w:rFonts w:ascii="Symbol" w:hAnsi="Symbol" w:hint="default"/>
      </w:rPr>
    </w:lvl>
    <w:lvl w:ilvl="7" w:tplc="46BAC4E2" w:tentative="1">
      <w:start w:val="1"/>
      <w:numFmt w:val="bullet"/>
      <w:lvlText w:val="o"/>
      <w:lvlJc w:val="left"/>
      <w:pPr>
        <w:tabs>
          <w:tab w:val="num" w:pos="5477"/>
        </w:tabs>
        <w:ind w:left="5477" w:hanging="360"/>
      </w:pPr>
      <w:rPr>
        <w:rFonts w:ascii="Courier New" w:hAnsi="Courier New" w:hint="default"/>
      </w:rPr>
    </w:lvl>
    <w:lvl w:ilvl="8" w:tplc="A5A0948C" w:tentative="1">
      <w:start w:val="1"/>
      <w:numFmt w:val="bullet"/>
      <w:lvlText w:val=""/>
      <w:lvlJc w:val="left"/>
      <w:pPr>
        <w:tabs>
          <w:tab w:val="num" w:pos="6197"/>
        </w:tabs>
        <w:ind w:left="6197" w:hanging="360"/>
      </w:pPr>
      <w:rPr>
        <w:rFonts w:ascii="Wingdings" w:hAnsi="Wingdings" w:hint="default"/>
      </w:rPr>
    </w:lvl>
  </w:abstractNum>
  <w:abstractNum w:abstractNumId="5">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tentative="1">
      <w:start w:val="1"/>
      <w:numFmt w:val="lowerLetter"/>
      <w:lvlText w:val="%2."/>
      <w:lvlJc w:val="left"/>
      <w:pPr>
        <w:ind w:left="1505" w:hanging="360"/>
      </w:pPr>
      <w:rPr>
        <w:rFonts w:cs="Times New Roman"/>
      </w:rPr>
    </w:lvl>
    <w:lvl w:ilvl="2" w:tplc="0B063C76" w:tentative="1">
      <w:start w:val="1"/>
      <w:numFmt w:val="lowerRoman"/>
      <w:lvlText w:val="%3."/>
      <w:lvlJc w:val="right"/>
      <w:pPr>
        <w:ind w:left="2225" w:hanging="180"/>
      </w:pPr>
      <w:rPr>
        <w:rFonts w:cs="Times New Roman"/>
      </w:rPr>
    </w:lvl>
    <w:lvl w:ilvl="3" w:tplc="CA8A91D6" w:tentative="1">
      <w:start w:val="1"/>
      <w:numFmt w:val="decimal"/>
      <w:lvlText w:val="%4."/>
      <w:lvlJc w:val="left"/>
      <w:pPr>
        <w:ind w:left="2945" w:hanging="360"/>
      </w:pPr>
      <w:rPr>
        <w:rFonts w:cs="Times New Roman"/>
      </w:rPr>
    </w:lvl>
    <w:lvl w:ilvl="4" w:tplc="23365A1C" w:tentative="1">
      <w:start w:val="1"/>
      <w:numFmt w:val="lowerLetter"/>
      <w:lvlText w:val="%5."/>
      <w:lvlJc w:val="left"/>
      <w:pPr>
        <w:ind w:left="3665" w:hanging="360"/>
      </w:pPr>
      <w:rPr>
        <w:rFonts w:cs="Times New Roman"/>
      </w:rPr>
    </w:lvl>
    <w:lvl w:ilvl="5" w:tplc="434C0896" w:tentative="1">
      <w:start w:val="1"/>
      <w:numFmt w:val="lowerRoman"/>
      <w:lvlText w:val="%6."/>
      <w:lvlJc w:val="right"/>
      <w:pPr>
        <w:ind w:left="4385" w:hanging="180"/>
      </w:pPr>
      <w:rPr>
        <w:rFonts w:cs="Times New Roman"/>
      </w:rPr>
    </w:lvl>
    <w:lvl w:ilvl="6" w:tplc="ABB837CC" w:tentative="1">
      <w:start w:val="1"/>
      <w:numFmt w:val="decimal"/>
      <w:lvlText w:val="%7."/>
      <w:lvlJc w:val="left"/>
      <w:pPr>
        <w:ind w:left="5105" w:hanging="360"/>
      </w:pPr>
      <w:rPr>
        <w:rFonts w:cs="Times New Roman"/>
      </w:rPr>
    </w:lvl>
    <w:lvl w:ilvl="7" w:tplc="F94A21BC" w:tentative="1">
      <w:start w:val="1"/>
      <w:numFmt w:val="lowerLetter"/>
      <w:lvlText w:val="%8."/>
      <w:lvlJc w:val="left"/>
      <w:pPr>
        <w:ind w:left="5825" w:hanging="360"/>
      </w:pPr>
      <w:rPr>
        <w:rFonts w:cs="Times New Roman"/>
      </w:rPr>
    </w:lvl>
    <w:lvl w:ilvl="8" w:tplc="ABAC6FDE" w:tentative="1">
      <w:start w:val="1"/>
      <w:numFmt w:val="lowerRoman"/>
      <w:lvlText w:val="%9."/>
      <w:lvlJc w:val="right"/>
      <w:pPr>
        <w:ind w:left="6545" w:hanging="180"/>
      </w:pPr>
      <w:rPr>
        <w:rFonts w:cs="Times New Roman"/>
      </w:rPr>
    </w:lvl>
  </w:abstractNum>
  <w:abstractNum w:abstractNumId="6">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tentative="1">
      <w:start w:val="1"/>
      <w:numFmt w:val="lowerLetter"/>
      <w:lvlText w:val="%2."/>
      <w:lvlJc w:val="left"/>
      <w:pPr>
        <w:tabs>
          <w:tab w:val="num" w:pos="1080"/>
        </w:tabs>
        <w:ind w:left="1080" w:hanging="360"/>
      </w:pPr>
      <w:rPr>
        <w:rFonts w:cs="Times New Roman"/>
      </w:rPr>
    </w:lvl>
    <w:lvl w:ilvl="2" w:tplc="764A57E4" w:tentative="1">
      <w:start w:val="1"/>
      <w:numFmt w:val="lowerRoman"/>
      <w:lvlText w:val="%3."/>
      <w:lvlJc w:val="right"/>
      <w:pPr>
        <w:tabs>
          <w:tab w:val="num" w:pos="1800"/>
        </w:tabs>
        <w:ind w:left="1800" w:hanging="180"/>
      </w:pPr>
      <w:rPr>
        <w:rFonts w:cs="Times New Roman"/>
      </w:rPr>
    </w:lvl>
    <w:lvl w:ilvl="3" w:tplc="4C3ABF6C" w:tentative="1">
      <w:start w:val="1"/>
      <w:numFmt w:val="decimal"/>
      <w:lvlText w:val="%4."/>
      <w:lvlJc w:val="left"/>
      <w:pPr>
        <w:tabs>
          <w:tab w:val="num" w:pos="2520"/>
        </w:tabs>
        <w:ind w:left="2520" w:hanging="360"/>
      </w:pPr>
      <w:rPr>
        <w:rFonts w:cs="Times New Roman"/>
      </w:rPr>
    </w:lvl>
    <w:lvl w:ilvl="4" w:tplc="1CECECA4" w:tentative="1">
      <w:start w:val="1"/>
      <w:numFmt w:val="lowerLetter"/>
      <w:lvlText w:val="%5."/>
      <w:lvlJc w:val="left"/>
      <w:pPr>
        <w:tabs>
          <w:tab w:val="num" w:pos="3240"/>
        </w:tabs>
        <w:ind w:left="3240" w:hanging="360"/>
      </w:pPr>
      <w:rPr>
        <w:rFonts w:cs="Times New Roman"/>
      </w:rPr>
    </w:lvl>
    <w:lvl w:ilvl="5" w:tplc="029ED4AA" w:tentative="1">
      <w:start w:val="1"/>
      <w:numFmt w:val="lowerRoman"/>
      <w:lvlText w:val="%6."/>
      <w:lvlJc w:val="right"/>
      <w:pPr>
        <w:tabs>
          <w:tab w:val="num" w:pos="3960"/>
        </w:tabs>
        <w:ind w:left="3960" w:hanging="180"/>
      </w:pPr>
      <w:rPr>
        <w:rFonts w:cs="Times New Roman"/>
      </w:rPr>
    </w:lvl>
    <w:lvl w:ilvl="6" w:tplc="1DC0CFDC" w:tentative="1">
      <w:start w:val="1"/>
      <w:numFmt w:val="decimal"/>
      <w:lvlText w:val="%7."/>
      <w:lvlJc w:val="left"/>
      <w:pPr>
        <w:tabs>
          <w:tab w:val="num" w:pos="4680"/>
        </w:tabs>
        <w:ind w:left="4680" w:hanging="360"/>
      </w:pPr>
      <w:rPr>
        <w:rFonts w:cs="Times New Roman"/>
      </w:rPr>
    </w:lvl>
    <w:lvl w:ilvl="7" w:tplc="D09EE274" w:tentative="1">
      <w:start w:val="1"/>
      <w:numFmt w:val="lowerLetter"/>
      <w:lvlText w:val="%8."/>
      <w:lvlJc w:val="left"/>
      <w:pPr>
        <w:tabs>
          <w:tab w:val="num" w:pos="5400"/>
        </w:tabs>
        <w:ind w:left="5400" w:hanging="360"/>
      </w:pPr>
      <w:rPr>
        <w:rFonts w:cs="Times New Roman"/>
      </w:rPr>
    </w:lvl>
    <w:lvl w:ilvl="8" w:tplc="387AF3C6" w:tentative="1">
      <w:start w:val="1"/>
      <w:numFmt w:val="lowerRoman"/>
      <w:lvlText w:val="%9."/>
      <w:lvlJc w:val="right"/>
      <w:pPr>
        <w:tabs>
          <w:tab w:val="num" w:pos="6120"/>
        </w:tabs>
        <w:ind w:left="6120" w:hanging="180"/>
      </w:pPr>
      <w:rPr>
        <w:rFonts w:cs="Times New Roman"/>
      </w:rPr>
    </w:lvl>
  </w:abstractNum>
  <w:abstractNum w:abstractNumId="7">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Times New Roman" w:hAnsi="Times New Roman"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Times New Roman" w:hAnsi="Times New Roman"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Times New Roman" w:hAnsi="Times New Roman" w:hint="default"/>
      </w:rPr>
    </w:lvl>
  </w:abstractNum>
  <w:abstractNum w:abstractNumId="8">
    <w:nsid w:val="2AB35019"/>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AEB4316"/>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tentative="1">
      <w:start w:val="1"/>
      <w:numFmt w:val="lowerLetter"/>
      <w:lvlText w:val="%5."/>
      <w:lvlJc w:val="left"/>
      <w:pPr>
        <w:ind w:left="3600" w:hanging="360"/>
      </w:pPr>
      <w:rPr>
        <w:rFonts w:cs="Times New Roman"/>
      </w:rPr>
    </w:lvl>
    <w:lvl w:ilvl="5" w:tplc="D9785F20" w:tentative="1">
      <w:start w:val="1"/>
      <w:numFmt w:val="lowerRoman"/>
      <w:lvlText w:val="%6."/>
      <w:lvlJc w:val="right"/>
      <w:pPr>
        <w:ind w:left="4320" w:hanging="180"/>
      </w:pPr>
      <w:rPr>
        <w:rFonts w:cs="Times New Roman"/>
      </w:rPr>
    </w:lvl>
    <w:lvl w:ilvl="6" w:tplc="B02E5EC8" w:tentative="1">
      <w:start w:val="1"/>
      <w:numFmt w:val="decimal"/>
      <w:lvlText w:val="%7."/>
      <w:lvlJc w:val="left"/>
      <w:pPr>
        <w:ind w:left="5040" w:hanging="360"/>
      </w:pPr>
      <w:rPr>
        <w:rFonts w:cs="Times New Roman"/>
      </w:rPr>
    </w:lvl>
    <w:lvl w:ilvl="7" w:tplc="B3B84AFE" w:tentative="1">
      <w:start w:val="1"/>
      <w:numFmt w:val="lowerLetter"/>
      <w:lvlText w:val="%8."/>
      <w:lvlJc w:val="left"/>
      <w:pPr>
        <w:ind w:left="5760" w:hanging="360"/>
      </w:pPr>
      <w:rPr>
        <w:rFonts w:cs="Times New Roman"/>
      </w:rPr>
    </w:lvl>
    <w:lvl w:ilvl="8" w:tplc="58122C7C" w:tentative="1">
      <w:start w:val="1"/>
      <w:numFmt w:val="lowerRoman"/>
      <w:lvlText w:val="%9."/>
      <w:lvlJc w:val="right"/>
      <w:pPr>
        <w:ind w:left="6480" w:hanging="180"/>
      </w:pPr>
      <w:rPr>
        <w:rFonts w:cs="Times New Roman"/>
      </w:rPr>
    </w:lvl>
  </w:abstractNum>
  <w:abstractNum w:abstractNumId="11">
    <w:nsid w:val="36854BE1"/>
    <w:multiLevelType w:val="hybridMultilevel"/>
    <w:tmpl w:val="8766C2DA"/>
    <w:lvl w:ilvl="0" w:tplc="70AE65A0">
      <w:start w:val="1"/>
      <w:numFmt w:val="decimal"/>
      <w:lvlText w:val="%1."/>
      <w:lvlJc w:val="left"/>
      <w:pPr>
        <w:ind w:left="1287" w:hanging="360"/>
      </w:pPr>
      <w:rPr>
        <w:rFonts w:cs="Times New Roman"/>
      </w:rPr>
    </w:lvl>
    <w:lvl w:ilvl="1" w:tplc="4A1A5808" w:tentative="1">
      <w:start w:val="1"/>
      <w:numFmt w:val="lowerLetter"/>
      <w:lvlText w:val="%2."/>
      <w:lvlJc w:val="left"/>
      <w:pPr>
        <w:ind w:left="2007" w:hanging="360"/>
      </w:pPr>
      <w:rPr>
        <w:rFonts w:cs="Times New Roman"/>
      </w:rPr>
    </w:lvl>
    <w:lvl w:ilvl="2" w:tplc="B2CCCBFA" w:tentative="1">
      <w:start w:val="1"/>
      <w:numFmt w:val="lowerRoman"/>
      <w:lvlText w:val="%3."/>
      <w:lvlJc w:val="right"/>
      <w:pPr>
        <w:ind w:left="2727" w:hanging="180"/>
      </w:pPr>
      <w:rPr>
        <w:rFonts w:cs="Times New Roman"/>
      </w:rPr>
    </w:lvl>
    <w:lvl w:ilvl="3" w:tplc="C406C8B2" w:tentative="1">
      <w:start w:val="1"/>
      <w:numFmt w:val="decimal"/>
      <w:lvlText w:val="%4."/>
      <w:lvlJc w:val="left"/>
      <w:pPr>
        <w:ind w:left="3447" w:hanging="360"/>
      </w:pPr>
      <w:rPr>
        <w:rFonts w:cs="Times New Roman"/>
      </w:rPr>
    </w:lvl>
    <w:lvl w:ilvl="4" w:tplc="05E207EA" w:tentative="1">
      <w:start w:val="1"/>
      <w:numFmt w:val="lowerLetter"/>
      <w:lvlText w:val="%5."/>
      <w:lvlJc w:val="left"/>
      <w:pPr>
        <w:ind w:left="4167" w:hanging="360"/>
      </w:pPr>
      <w:rPr>
        <w:rFonts w:cs="Times New Roman"/>
      </w:rPr>
    </w:lvl>
    <w:lvl w:ilvl="5" w:tplc="EEA0193C" w:tentative="1">
      <w:start w:val="1"/>
      <w:numFmt w:val="lowerRoman"/>
      <w:lvlText w:val="%6."/>
      <w:lvlJc w:val="right"/>
      <w:pPr>
        <w:ind w:left="4887" w:hanging="180"/>
      </w:pPr>
      <w:rPr>
        <w:rFonts w:cs="Times New Roman"/>
      </w:rPr>
    </w:lvl>
    <w:lvl w:ilvl="6" w:tplc="6DEC568C" w:tentative="1">
      <w:start w:val="1"/>
      <w:numFmt w:val="decimal"/>
      <w:lvlText w:val="%7."/>
      <w:lvlJc w:val="left"/>
      <w:pPr>
        <w:ind w:left="5607" w:hanging="360"/>
      </w:pPr>
      <w:rPr>
        <w:rFonts w:cs="Times New Roman"/>
      </w:rPr>
    </w:lvl>
    <w:lvl w:ilvl="7" w:tplc="A3547472" w:tentative="1">
      <w:start w:val="1"/>
      <w:numFmt w:val="lowerLetter"/>
      <w:lvlText w:val="%8."/>
      <w:lvlJc w:val="left"/>
      <w:pPr>
        <w:ind w:left="6327" w:hanging="360"/>
      </w:pPr>
      <w:rPr>
        <w:rFonts w:cs="Times New Roman"/>
      </w:rPr>
    </w:lvl>
    <w:lvl w:ilvl="8" w:tplc="BA8C0DCE" w:tentative="1">
      <w:start w:val="1"/>
      <w:numFmt w:val="lowerRoman"/>
      <w:lvlText w:val="%9."/>
      <w:lvlJc w:val="right"/>
      <w:pPr>
        <w:ind w:left="7047" w:hanging="180"/>
      </w:pPr>
      <w:rPr>
        <w:rFonts w:cs="Times New Roman"/>
      </w:rPr>
    </w:lvl>
  </w:abstractNum>
  <w:abstractNum w:abstractNumId="12">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tentative="1">
      <w:start w:val="1"/>
      <w:numFmt w:val="lowerLetter"/>
      <w:lvlText w:val="%2."/>
      <w:lvlJc w:val="left"/>
      <w:pPr>
        <w:ind w:left="2007" w:hanging="360"/>
      </w:pPr>
      <w:rPr>
        <w:rFonts w:cs="Times New Roman"/>
      </w:rPr>
    </w:lvl>
    <w:lvl w:ilvl="2" w:tplc="136A45B4" w:tentative="1">
      <w:start w:val="1"/>
      <w:numFmt w:val="lowerRoman"/>
      <w:lvlText w:val="%3."/>
      <w:lvlJc w:val="right"/>
      <w:pPr>
        <w:ind w:left="2727" w:hanging="180"/>
      </w:pPr>
      <w:rPr>
        <w:rFonts w:cs="Times New Roman"/>
      </w:rPr>
    </w:lvl>
    <w:lvl w:ilvl="3" w:tplc="9904C3CA" w:tentative="1">
      <w:start w:val="1"/>
      <w:numFmt w:val="decimal"/>
      <w:lvlText w:val="%4."/>
      <w:lvlJc w:val="left"/>
      <w:pPr>
        <w:ind w:left="3447" w:hanging="360"/>
      </w:pPr>
      <w:rPr>
        <w:rFonts w:cs="Times New Roman"/>
      </w:rPr>
    </w:lvl>
    <w:lvl w:ilvl="4" w:tplc="A64C2880" w:tentative="1">
      <w:start w:val="1"/>
      <w:numFmt w:val="lowerLetter"/>
      <w:lvlText w:val="%5."/>
      <w:lvlJc w:val="left"/>
      <w:pPr>
        <w:ind w:left="4167" w:hanging="360"/>
      </w:pPr>
      <w:rPr>
        <w:rFonts w:cs="Times New Roman"/>
      </w:rPr>
    </w:lvl>
    <w:lvl w:ilvl="5" w:tplc="03D2D1C4" w:tentative="1">
      <w:start w:val="1"/>
      <w:numFmt w:val="lowerRoman"/>
      <w:lvlText w:val="%6."/>
      <w:lvlJc w:val="right"/>
      <w:pPr>
        <w:ind w:left="4887" w:hanging="180"/>
      </w:pPr>
      <w:rPr>
        <w:rFonts w:cs="Times New Roman"/>
      </w:rPr>
    </w:lvl>
    <w:lvl w:ilvl="6" w:tplc="D2F47628" w:tentative="1">
      <w:start w:val="1"/>
      <w:numFmt w:val="decimal"/>
      <w:lvlText w:val="%7."/>
      <w:lvlJc w:val="left"/>
      <w:pPr>
        <w:ind w:left="5607" w:hanging="360"/>
      </w:pPr>
      <w:rPr>
        <w:rFonts w:cs="Times New Roman"/>
      </w:rPr>
    </w:lvl>
    <w:lvl w:ilvl="7" w:tplc="66C4C5D2" w:tentative="1">
      <w:start w:val="1"/>
      <w:numFmt w:val="lowerLetter"/>
      <w:lvlText w:val="%8."/>
      <w:lvlJc w:val="left"/>
      <w:pPr>
        <w:ind w:left="6327" w:hanging="360"/>
      </w:pPr>
      <w:rPr>
        <w:rFonts w:cs="Times New Roman"/>
      </w:rPr>
    </w:lvl>
    <w:lvl w:ilvl="8" w:tplc="B994E8CA" w:tentative="1">
      <w:start w:val="1"/>
      <w:numFmt w:val="lowerRoman"/>
      <w:lvlText w:val="%9."/>
      <w:lvlJc w:val="right"/>
      <w:pPr>
        <w:ind w:left="7047" w:hanging="180"/>
      </w:pPr>
      <w:rPr>
        <w:rFonts w:cs="Times New Roman"/>
      </w:rPr>
    </w:lvl>
  </w:abstractNum>
  <w:abstractNum w:abstractNumId="13">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tentative="1">
      <w:start w:val="1"/>
      <w:numFmt w:val="lowerLetter"/>
      <w:lvlText w:val="%2."/>
      <w:lvlJc w:val="left"/>
      <w:pPr>
        <w:ind w:left="1440" w:hanging="360"/>
      </w:pPr>
      <w:rPr>
        <w:rFonts w:cs="Times New Roman"/>
      </w:rPr>
    </w:lvl>
    <w:lvl w:ilvl="2" w:tplc="7870E9C8" w:tentative="1">
      <w:start w:val="1"/>
      <w:numFmt w:val="lowerRoman"/>
      <w:lvlText w:val="%3."/>
      <w:lvlJc w:val="right"/>
      <w:pPr>
        <w:ind w:left="2160" w:hanging="180"/>
      </w:pPr>
      <w:rPr>
        <w:rFonts w:cs="Times New Roman"/>
      </w:rPr>
    </w:lvl>
    <w:lvl w:ilvl="3" w:tplc="5F8C118C" w:tentative="1">
      <w:start w:val="1"/>
      <w:numFmt w:val="decimal"/>
      <w:lvlText w:val="%4."/>
      <w:lvlJc w:val="left"/>
      <w:pPr>
        <w:ind w:left="2880" w:hanging="360"/>
      </w:pPr>
      <w:rPr>
        <w:rFonts w:cs="Times New Roman"/>
      </w:rPr>
    </w:lvl>
    <w:lvl w:ilvl="4" w:tplc="A2ECB016" w:tentative="1">
      <w:start w:val="1"/>
      <w:numFmt w:val="lowerLetter"/>
      <w:lvlText w:val="%5."/>
      <w:lvlJc w:val="left"/>
      <w:pPr>
        <w:ind w:left="3600" w:hanging="360"/>
      </w:pPr>
      <w:rPr>
        <w:rFonts w:cs="Times New Roman"/>
      </w:rPr>
    </w:lvl>
    <w:lvl w:ilvl="5" w:tplc="B620642A" w:tentative="1">
      <w:start w:val="1"/>
      <w:numFmt w:val="lowerRoman"/>
      <w:lvlText w:val="%6."/>
      <w:lvlJc w:val="right"/>
      <w:pPr>
        <w:ind w:left="4320" w:hanging="180"/>
      </w:pPr>
      <w:rPr>
        <w:rFonts w:cs="Times New Roman"/>
      </w:rPr>
    </w:lvl>
    <w:lvl w:ilvl="6" w:tplc="20A0DF9E" w:tentative="1">
      <w:start w:val="1"/>
      <w:numFmt w:val="decimal"/>
      <w:lvlText w:val="%7."/>
      <w:lvlJc w:val="left"/>
      <w:pPr>
        <w:ind w:left="5040" w:hanging="360"/>
      </w:pPr>
      <w:rPr>
        <w:rFonts w:cs="Times New Roman"/>
      </w:rPr>
    </w:lvl>
    <w:lvl w:ilvl="7" w:tplc="654814FE" w:tentative="1">
      <w:start w:val="1"/>
      <w:numFmt w:val="lowerLetter"/>
      <w:lvlText w:val="%8."/>
      <w:lvlJc w:val="left"/>
      <w:pPr>
        <w:ind w:left="5760" w:hanging="360"/>
      </w:pPr>
      <w:rPr>
        <w:rFonts w:cs="Times New Roman"/>
      </w:rPr>
    </w:lvl>
    <w:lvl w:ilvl="8" w:tplc="A0CA1294" w:tentative="1">
      <w:start w:val="1"/>
      <w:numFmt w:val="lowerRoman"/>
      <w:lvlText w:val="%9."/>
      <w:lvlJc w:val="right"/>
      <w:pPr>
        <w:ind w:left="6480" w:hanging="180"/>
      </w:pPr>
      <w:rPr>
        <w:rFonts w:cs="Times New Roman"/>
      </w:rPr>
    </w:lvl>
  </w:abstractNum>
  <w:abstractNum w:abstractNumId="14">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tentative="1">
      <w:start w:val="1"/>
      <w:numFmt w:val="lowerLetter"/>
      <w:lvlText w:val="%2."/>
      <w:lvlJc w:val="left"/>
      <w:pPr>
        <w:ind w:left="2499" w:hanging="360"/>
      </w:pPr>
      <w:rPr>
        <w:rFonts w:cs="Times New Roman"/>
      </w:rPr>
    </w:lvl>
    <w:lvl w:ilvl="2" w:tplc="6F34B0CE" w:tentative="1">
      <w:start w:val="1"/>
      <w:numFmt w:val="lowerRoman"/>
      <w:lvlText w:val="%3."/>
      <w:lvlJc w:val="right"/>
      <w:pPr>
        <w:ind w:left="3219" w:hanging="180"/>
      </w:pPr>
      <w:rPr>
        <w:rFonts w:cs="Times New Roman"/>
      </w:rPr>
    </w:lvl>
    <w:lvl w:ilvl="3" w:tplc="62582B34" w:tentative="1">
      <w:start w:val="1"/>
      <w:numFmt w:val="decimal"/>
      <w:lvlText w:val="%4."/>
      <w:lvlJc w:val="left"/>
      <w:pPr>
        <w:ind w:left="3939" w:hanging="360"/>
      </w:pPr>
      <w:rPr>
        <w:rFonts w:cs="Times New Roman"/>
      </w:rPr>
    </w:lvl>
    <w:lvl w:ilvl="4" w:tplc="D14832FC" w:tentative="1">
      <w:start w:val="1"/>
      <w:numFmt w:val="lowerLetter"/>
      <w:lvlText w:val="%5."/>
      <w:lvlJc w:val="left"/>
      <w:pPr>
        <w:ind w:left="4659" w:hanging="360"/>
      </w:pPr>
      <w:rPr>
        <w:rFonts w:cs="Times New Roman"/>
      </w:rPr>
    </w:lvl>
    <w:lvl w:ilvl="5" w:tplc="493A9CD4" w:tentative="1">
      <w:start w:val="1"/>
      <w:numFmt w:val="lowerRoman"/>
      <w:lvlText w:val="%6."/>
      <w:lvlJc w:val="right"/>
      <w:pPr>
        <w:ind w:left="5379" w:hanging="180"/>
      </w:pPr>
      <w:rPr>
        <w:rFonts w:cs="Times New Roman"/>
      </w:rPr>
    </w:lvl>
    <w:lvl w:ilvl="6" w:tplc="F25A1370" w:tentative="1">
      <w:start w:val="1"/>
      <w:numFmt w:val="decimal"/>
      <w:lvlText w:val="%7."/>
      <w:lvlJc w:val="left"/>
      <w:pPr>
        <w:ind w:left="6099" w:hanging="360"/>
      </w:pPr>
      <w:rPr>
        <w:rFonts w:cs="Times New Roman"/>
      </w:rPr>
    </w:lvl>
    <w:lvl w:ilvl="7" w:tplc="27B010DC" w:tentative="1">
      <w:start w:val="1"/>
      <w:numFmt w:val="lowerLetter"/>
      <w:lvlText w:val="%8."/>
      <w:lvlJc w:val="left"/>
      <w:pPr>
        <w:ind w:left="6819" w:hanging="360"/>
      </w:pPr>
      <w:rPr>
        <w:rFonts w:cs="Times New Roman"/>
      </w:rPr>
    </w:lvl>
    <w:lvl w:ilvl="8" w:tplc="4E521DCC" w:tentative="1">
      <w:start w:val="1"/>
      <w:numFmt w:val="lowerRoman"/>
      <w:lvlText w:val="%9."/>
      <w:lvlJc w:val="right"/>
      <w:pPr>
        <w:ind w:left="7539" w:hanging="180"/>
      </w:pPr>
      <w:rPr>
        <w:rFonts w:cs="Times New Roman"/>
      </w:rPr>
    </w:lvl>
  </w:abstractNum>
  <w:abstractNum w:abstractNumId="15">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tentative="1">
      <w:start w:val="1"/>
      <w:numFmt w:val="bullet"/>
      <w:lvlText w:val="o"/>
      <w:lvlJc w:val="left"/>
      <w:pPr>
        <w:ind w:left="2214" w:hanging="360"/>
      </w:pPr>
      <w:rPr>
        <w:rFonts w:ascii="Courier New" w:hAnsi="Courier New" w:hint="default"/>
      </w:rPr>
    </w:lvl>
    <w:lvl w:ilvl="2" w:tplc="19C87F4A" w:tentative="1">
      <w:start w:val="1"/>
      <w:numFmt w:val="bullet"/>
      <w:lvlText w:val=""/>
      <w:lvlJc w:val="left"/>
      <w:pPr>
        <w:ind w:left="2934" w:hanging="360"/>
      </w:pPr>
      <w:rPr>
        <w:rFonts w:ascii="Wingdings" w:hAnsi="Wingdings" w:hint="default"/>
      </w:rPr>
    </w:lvl>
    <w:lvl w:ilvl="3" w:tplc="9ED855CC" w:tentative="1">
      <w:start w:val="1"/>
      <w:numFmt w:val="bullet"/>
      <w:lvlText w:val=""/>
      <w:lvlJc w:val="left"/>
      <w:pPr>
        <w:ind w:left="3654" w:hanging="360"/>
      </w:pPr>
      <w:rPr>
        <w:rFonts w:ascii="Symbol" w:hAnsi="Symbol" w:hint="default"/>
      </w:rPr>
    </w:lvl>
    <w:lvl w:ilvl="4" w:tplc="FA3C6CEA" w:tentative="1">
      <w:start w:val="1"/>
      <w:numFmt w:val="bullet"/>
      <w:lvlText w:val="o"/>
      <w:lvlJc w:val="left"/>
      <w:pPr>
        <w:ind w:left="4374" w:hanging="360"/>
      </w:pPr>
      <w:rPr>
        <w:rFonts w:ascii="Courier New" w:hAnsi="Courier New" w:hint="default"/>
      </w:rPr>
    </w:lvl>
    <w:lvl w:ilvl="5" w:tplc="B2E6BC70" w:tentative="1">
      <w:start w:val="1"/>
      <w:numFmt w:val="bullet"/>
      <w:lvlText w:val=""/>
      <w:lvlJc w:val="left"/>
      <w:pPr>
        <w:ind w:left="5094" w:hanging="360"/>
      </w:pPr>
      <w:rPr>
        <w:rFonts w:ascii="Wingdings" w:hAnsi="Wingdings" w:hint="default"/>
      </w:rPr>
    </w:lvl>
    <w:lvl w:ilvl="6" w:tplc="CBD8B316" w:tentative="1">
      <w:start w:val="1"/>
      <w:numFmt w:val="bullet"/>
      <w:lvlText w:val=""/>
      <w:lvlJc w:val="left"/>
      <w:pPr>
        <w:ind w:left="5814" w:hanging="360"/>
      </w:pPr>
      <w:rPr>
        <w:rFonts w:ascii="Symbol" w:hAnsi="Symbol" w:hint="default"/>
      </w:rPr>
    </w:lvl>
    <w:lvl w:ilvl="7" w:tplc="C270C010" w:tentative="1">
      <w:start w:val="1"/>
      <w:numFmt w:val="bullet"/>
      <w:lvlText w:val="o"/>
      <w:lvlJc w:val="left"/>
      <w:pPr>
        <w:ind w:left="6534" w:hanging="360"/>
      </w:pPr>
      <w:rPr>
        <w:rFonts w:ascii="Courier New" w:hAnsi="Courier New" w:hint="default"/>
      </w:rPr>
    </w:lvl>
    <w:lvl w:ilvl="8" w:tplc="A516C670" w:tentative="1">
      <w:start w:val="1"/>
      <w:numFmt w:val="bullet"/>
      <w:lvlText w:val=""/>
      <w:lvlJc w:val="left"/>
      <w:pPr>
        <w:ind w:left="7254" w:hanging="360"/>
      </w:pPr>
      <w:rPr>
        <w:rFonts w:ascii="Wingdings" w:hAnsi="Wingdings" w:hint="default"/>
      </w:rPr>
    </w:lvl>
  </w:abstractNum>
  <w:abstractNum w:abstractNumId="16">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tentative="1">
      <w:start w:val="1"/>
      <w:numFmt w:val="lowerRoman"/>
      <w:lvlText w:val="%3."/>
      <w:lvlJc w:val="right"/>
      <w:pPr>
        <w:ind w:left="2793" w:hanging="180"/>
      </w:pPr>
      <w:rPr>
        <w:rFonts w:cs="Times New Roman"/>
      </w:rPr>
    </w:lvl>
    <w:lvl w:ilvl="3" w:tplc="2FC8884E" w:tentative="1">
      <w:start w:val="1"/>
      <w:numFmt w:val="decimal"/>
      <w:lvlText w:val="%4."/>
      <w:lvlJc w:val="left"/>
      <w:pPr>
        <w:ind w:left="3513" w:hanging="360"/>
      </w:pPr>
      <w:rPr>
        <w:rFonts w:cs="Times New Roman"/>
      </w:rPr>
    </w:lvl>
    <w:lvl w:ilvl="4" w:tplc="85EAC586" w:tentative="1">
      <w:start w:val="1"/>
      <w:numFmt w:val="lowerLetter"/>
      <w:lvlText w:val="%5."/>
      <w:lvlJc w:val="left"/>
      <w:pPr>
        <w:ind w:left="4233" w:hanging="360"/>
      </w:pPr>
      <w:rPr>
        <w:rFonts w:cs="Times New Roman"/>
      </w:rPr>
    </w:lvl>
    <w:lvl w:ilvl="5" w:tplc="22A0B50E" w:tentative="1">
      <w:start w:val="1"/>
      <w:numFmt w:val="lowerRoman"/>
      <w:lvlText w:val="%6."/>
      <w:lvlJc w:val="right"/>
      <w:pPr>
        <w:ind w:left="4953" w:hanging="180"/>
      </w:pPr>
      <w:rPr>
        <w:rFonts w:cs="Times New Roman"/>
      </w:rPr>
    </w:lvl>
    <w:lvl w:ilvl="6" w:tplc="92821D22" w:tentative="1">
      <w:start w:val="1"/>
      <w:numFmt w:val="decimal"/>
      <w:lvlText w:val="%7."/>
      <w:lvlJc w:val="left"/>
      <w:pPr>
        <w:ind w:left="5673" w:hanging="360"/>
      </w:pPr>
      <w:rPr>
        <w:rFonts w:cs="Times New Roman"/>
      </w:rPr>
    </w:lvl>
    <w:lvl w:ilvl="7" w:tplc="E78A56AE" w:tentative="1">
      <w:start w:val="1"/>
      <w:numFmt w:val="lowerLetter"/>
      <w:lvlText w:val="%8."/>
      <w:lvlJc w:val="left"/>
      <w:pPr>
        <w:ind w:left="6393" w:hanging="360"/>
      </w:pPr>
      <w:rPr>
        <w:rFonts w:cs="Times New Roman"/>
      </w:rPr>
    </w:lvl>
    <w:lvl w:ilvl="8" w:tplc="B69CFF0E" w:tentative="1">
      <w:start w:val="1"/>
      <w:numFmt w:val="lowerRoman"/>
      <w:lvlText w:val="%9."/>
      <w:lvlJc w:val="right"/>
      <w:pPr>
        <w:ind w:left="7113" w:hanging="180"/>
      </w:pPr>
      <w:rPr>
        <w:rFonts w:cs="Times New Roman"/>
      </w:rPr>
    </w:lvl>
  </w:abstractNum>
  <w:abstractNum w:abstractNumId="17">
    <w:nsid w:val="63916F61"/>
    <w:multiLevelType w:val="multilevel"/>
    <w:tmpl w:val="37FE8E4C"/>
    <w:lvl w:ilvl="0">
      <w:start w:val="1"/>
      <w:numFmt w:val="lowerLetter"/>
      <w:lvlText w:val="%1)"/>
      <w:lvlJc w:val="left"/>
      <w:pPr>
        <w:ind w:left="720" w:hanging="360"/>
      </w:pPr>
      <w:rPr>
        <w:rFonts w:ascii="Arial" w:hAnsi="Arial"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6D826C3"/>
    <w:multiLevelType w:val="hybridMultilevel"/>
    <w:tmpl w:val="68B8CC1E"/>
    <w:lvl w:ilvl="0" w:tplc="D1F2A662">
      <w:start w:val="1"/>
      <w:numFmt w:val="decimal"/>
      <w:lvlText w:val="%1."/>
      <w:lvlJc w:val="left"/>
      <w:pPr>
        <w:ind w:left="720" w:hanging="360"/>
      </w:pPr>
      <w:rPr>
        <w:rFonts w:cs="Times New Roman"/>
      </w:rPr>
    </w:lvl>
    <w:lvl w:ilvl="1" w:tplc="6B0E936C" w:tentative="1">
      <w:start w:val="1"/>
      <w:numFmt w:val="lowerLetter"/>
      <w:lvlText w:val="%2."/>
      <w:lvlJc w:val="left"/>
      <w:pPr>
        <w:ind w:left="1440" w:hanging="360"/>
      </w:pPr>
      <w:rPr>
        <w:rFonts w:cs="Times New Roman"/>
      </w:rPr>
    </w:lvl>
    <w:lvl w:ilvl="2" w:tplc="0876D1CC" w:tentative="1">
      <w:start w:val="1"/>
      <w:numFmt w:val="lowerRoman"/>
      <w:lvlText w:val="%3."/>
      <w:lvlJc w:val="right"/>
      <w:pPr>
        <w:ind w:left="2160" w:hanging="180"/>
      </w:pPr>
      <w:rPr>
        <w:rFonts w:cs="Times New Roman"/>
      </w:rPr>
    </w:lvl>
    <w:lvl w:ilvl="3" w:tplc="0B12359A" w:tentative="1">
      <w:start w:val="1"/>
      <w:numFmt w:val="decimal"/>
      <w:lvlText w:val="%4."/>
      <w:lvlJc w:val="left"/>
      <w:pPr>
        <w:ind w:left="2880" w:hanging="360"/>
      </w:pPr>
      <w:rPr>
        <w:rFonts w:cs="Times New Roman"/>
      </w:rPr>
    </w:lvl>
    <w:lvl w:ilvl="4" w:tplc="C812F30C" w:tentative="1">
      <w:start w:val="1"/>
      <w:numFmt w:val="lowerLetter"/>
      <w:lvlText w:val="%5."/>
      <w:lvlJc w:val="left"/>
      <w:pPr>
        <w:ind w:left="3600" w:hanging="360"/>
      </w:pPr>
      <w:rPr>
        <w:rFonts w:cs="Times New Roman"/>
      </w:rPr>
    </w:lvl>
    <w:lvl w:ilvl="5" w:tplc="981256EA" w:tentative="1">
      <w:start w:val="1"/>
      <w:numFmt w:val="lowerRoman"/>
      <w:lvlText w:val="%6."/>
      <w:lvlJc w:val="right"/>
      <w:pPr>
        <w:ind w:left="4320" w:hanging="180"/>
      </w:pPr>
      <w:rPr>
        <w:rFonts w:cs="Times New Roman"/>
      </w:rPr>
    </w:lvl>
    <w:lvl w:ilvl="6" w:tplc="AF805156" w:tentative="1">
      <w:start w:val="1"/>
      <w:numFmt w:val="decimal"/>
      <w:lvlText w:val="%7."/>
      <w:lvlJc w:val="left"/>
      <w:pPr>
        <w:ind w:left="5040" w:hanging="360"/>
      </w:pPr>
      <w:rPr>
        <w:rFonts w:cs="Times New Roman"/>
      </w:rPr>
    </w:lvl>
    <w:lvl w:ilvl="7" w:tplc="D0A6EC24" w:tentative="1">
      <w:start w:val="1"/>
      <w:numFmt w:val="lowerLetter"/>
      <w:lvlText w:val="%8."/>
      <w:lvlJc w:val="left"/>
      <w:pPr>
        <w:ind w:left="5760" w:hanging="360"/>
      </w:pPr>
      <w:rPr>
        <w:rFonts w:cs="Times New Roman"/>
      </w:rPr>
    </w:lvl>
    <w:lvl w:ilvl="8" w:tplc="C888A570" w:tentative="1">
      <w:start w:val="1"/>
      <w:numFmt w:val="lowerRoman"/>
      <w:lvlText w:val="%9."/>
      <w:lvlJc w:val="right"/>
      <w:pPr>
        <w:ind w:left="6480" w:hanging="180"/>
      </w:pPr>
      <w:rPr>
        <w:rFonts w:cs="Times New Roman"/>
      </w:rPr>
    </w:lvl>
  </w:abstractNum>
  <w:abstractNum w:abstractNumId="19">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tentative="1">
      <w:start w:val="1"/>
      <w:numFmt w:val="lowerLetter"/>
      <w:lvlText w:val="%2."/>
      <w:lvlJc w:val="left"/>
      <w:pPr>
        <w:ind w:left="1440" w:hanging="360"/>
      </w:pPr>
      <w:rPr>
        <w:rFonts w:cs="Times New Roman"/>
      </w:rPr>
    </w:lvl>
    <w:lvl w:ilvl="2" w:tplc="366C40D0" w:tentative="1">
      <w:start w:val="1"/>
      <w:numFmt w:val="lowerRoman"/>
      <w:lvlText w:val="%3."/>
      <w:lvlJc w:val="right"/>
      <w:pPr>
        <w:ind w:left="2160" w:hanging="180"/>
      </w:pPr>
      <w:rPr>
        <w:rFonts w:cs="Times New Roman"/>
      </w:rPr>
    </w:lvl>
    <w:lvl w:ilvl="3" w:tplc="F77E5EDE" w:tentative="1">
      <w:start w:val="1"/>
      <w:numFmt w:val="decimal"/>
      <w:lvlText w:val="%4."/>
      <w:lvlJc w:val="left"/>
      <w:pPr>
        <w:ind w:left="2880" w:hanging="360"/>
      </w:pPr>
      <w:rPr>
        <w:rFonts w:cs="Times New Roman"/>
      </w:rPr>
    </w:lvl>
    <w:lvl w:ilvl="4" w:tplc="04CA3C66" w:tentative="1">
      <w:start w:val="1"/>
      <w:numFmt w:val="lowerLetter"/>
      <w:lvlText w:val="%5."/>
      <w:lvlJc w:val="left"/>
      <w:pPr>
        <w:ind w:left="3600" w:hanging="360"/>
      </w:pPr>
      <w:rPr>
        <w:rFonts w:cs="Times New Roman"/>
      </w:rPr>
    </w:lvl>
    <w:lvl w:ilvl="5" w:tplc="85A8ED82" w:tentative="1">
      <w:start w:val="1"/>
      <w:numFmt w:val="lowerRoman"/>
      <w:lvlText w:val="%6."/>
      <w:lvlJc w:val="right"/>
      <w:pPr>
        <w:ind w:left="4320" w:hanging="180"/>
      </w:pPr>
      <w:rPr>
        <w:rFonts w:cs="Times New Roman"/>
      </w:rPr>
    </w:lvl>
    <w:lvl w:ilvl="6" w:tplc="23409014" w:tentative="1">
      <w:start w:val="1"/>
      <w:numFmt w:val="decimal"/>
      <w:lvlText w:val="%7."/>
      <w:lvlJc w:val="left"/>
      <w:pPr>
        <w:ind w:left="5040" w:hanging="360"/>
      </w:pPr>
      <w:rPr>
        <w:rFonts w:cs="Times New Roman"/>
      </w:rPr>
    </w:lvl>
    <w:lvl w:ilvl="7" w:tplc="CDE2EE0E" w:tentative="1">
      <w:start w:val="1"/>
      <w:numFmt w:val="lowerLetter"/>
      <w:lvlText w:val="%8."/>
      <w:lvlJc w:val="left"/>
      <w:pPr>
        <w:ind w:left="5760" w:hanging="360"/>
      </w:pPr>
      <w:rPr>
        <w:rFonts w:cs="Times New Roman"/>
      </w:rPr>
    </w:lvl>
    <w:lvl w:ilvl="8" w:tplc="2E54C292" w:tentative="1">
      <w:start w:val="1"/>
      <w:numFmt w:val="lowerRoman"/>
      <w:lvlText w:val="%9."/>
      <w:lvlJc w:val="right"/>
      <w:pPr>
        <w:ind w:left="6480" w:hanging="180"/>
      </w:pPr>
      <w:rPr>
        <w:rFonts w:cs="Times New Roman"/>
      </w:rPr>
    </w:lvl>
  </w:abstractNum>
  <w:abstractNum w:abstractNumId="20">
    <w:nsid w:val="7C1F0008"/>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6"/>
  </w:num>
  <w:num w:numId="2">
    <w:abstractNumId w:val="11"/>
  </w:num>
  <w:num w:numId="3">
    <w:abstractNumId w:val="5"/>
  </w:num>
  <w:num w:numId="4">
    <w:abstractNumId w:val="19"/>
  </w:num>
  <w:num w:numId="5">
    <w:abstractNumId w:val="18"/>
  </w:num>
  <w:num w:numId="6">
    <w:abstractNumId w:val="4"/>
  </w:num>
  <w:num w:numId="7">
    <w:abstractNumId w:val="6"/>
  </w:num>
  <w:num w:numId="8">
    <w:abstractNumId w:val="15"/>
  </w:num>
  <w:num w:numId="9">
    <w:abstractNumId w:val="10"/>
  </w:num>
  <w:num w:numId="10">
    <w:abstractNumId w:val="12"/>
  </w:num>
  <w:num w:numId="11">
    <w:abstractNumId w:val="14"/>
  </w:num>
  <w:num w:numId="12">
    <w:abstractNumId w:val="13"/>
  </w:num>
  <w:num w:numId="13">
    <w:abstractNumId w:val="0"/>
  </w:num>
  <w:num w:numId="14">
    <w:abstractNumId w:val="8"/>
  </w:num>
  <w:num w:numId="15">
    <w:abstractNumId w:val="1"/>
  </w:num>
  <w:num w:numId="16">
    <w:abstractNumId w:val="7"/>
  </w:num>
  <w:num w:numId="17">
    <w:abstractNumId w:val="2"/>
  </w:num>
  <w:num w:numId="18">
    <w:abstractNumId w:val="17"/>
  </w:num>
  <w:num w:numId="19">
    <w:abstractNumId w:val="2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ED"/>
    <w:rsid w:val="0001325F"/>
    <w:rsid w:val="00041A66"/>
    <w:rsid w:val="00046B0B"/>
    <w:rsid w:val="000936F9"/>
    <w:rsid w:val="000959AD"/>
    <w:rsid w:val="000B413B"/>
    <w:rsid w:val="0018093B"/>
    <w:rsid w:val="001A4C50"/>
    <w:rsid w:val="001B384C"/>
    <w:rsid w:val="001E519E"/>
    <w:rsid w:val="00230E44"/>
    <w:rsid w:val="002B02A3"/>
    <w:rsid w:val="002B68E2"/>
    <w:rsid w:val="002E76D3"/>
    <w:rsid w:val="00313C4C"/>
    <w:rsid w:val="00314E5B"/>
    <w:rsid w:val="003255D9"/>
    <w:rsid w:val="00326014"/>
    <w:rsid w:val="00345CB4"/>
    <w:rsid w:val="00376083"/>
    <w:rsid w:val="0039544F"/>
    <w:rsid w:val="003B0340"/>
    <w:rsid w:val="003C6486"/>
    <w:rsid w:val="00414643"/>
    <w:rsid w:val="004214E7"/>
    <w:rsid w:val="00427316"/>
    <w:rsid w:val="004343BA"/>
    <w:rsid w:val="004535EA"/>
    <w:rsid w:val="004608C9"/>
    <w:rsid w:val="004C5636"/>
    <w:rsid w:val="004E5333"/>
    <w:rsid w:val="005E5DAA"/>
    <w:rsid w:val="00605C97"/>
    <w:rsid w:val="0063300C"/>
    <w:rsid w:val="006363F7"/>
    <w:rsid w:val="006756E8"/>
    <w:rsid w:val="006824B1"/>
    <w:rsid w:val="006902ED"/>
    <w:rsid w:val="006B0CC0"/>
    <w:rsid w:val="006C60E9"/>
    <w:rsid w:val="007054C4"/>
    <w:rsid w:val="00736FF2"/>
    <w:rsid w:val="00794A37"/>
    <w:rsid w:val="007968EC"/>
    <w:rsid w:val="007D477B"/>
    <w:rsid w:val="00835500"/>
    <w:rsid w:val="008724E5"/>
    <w:rsid w:val="008B68DE"/>
    <w:rsid w:val="00934F74"/>
    <w:rsid w:val="009430D0"/>
    <w:rsid w:val="009706E4"/>
    <w:rsid w:val="009B2C07"/>
    <w:rsid w:val="009C6E82"/>
    <w:rsid w:val="00A028C5"/>
    <w:rsid w:val="00A11F86"/>
    <w:rsid w:val="00A27B05"/>
    <w:rsid w:val="00A320C4"/>
    <w:rsid w:val="00A416CC"/>
    <w:rsid w:val="00A43C37"/>
    <w:rsid w:val="00A66B93"/>
    <w:rsid w:val="00A6701C"/>
    <w:rsid w:val="00A779EC"/>
    <w:rsid w:val="00AD29ED"/>
    <w:rsid w:val="00AF5C83"/>
    <w:rsid w:val="00B11628"/>
    <w:rsid w:val="00B1422A"/>
    <w:rsid w:val="00B44D00"/>
    <w:rsid w:val="00BB0601"/>
    <w:rsid w:val="00BE06E1"/>
    <w:rsid w:val="00BF7F9D"/>
    <w:rsid w:val="00C23A97"/>
    <w:rsid w:val="00C26D3A"/>
    <w:rsid w:val="00C403FD"/>
    <w:rsid w:val="00C42AAB"/>
    <w:rsid w:val="00C539DE"/>
    <w:rsid w:val="00C7174E"/>
    <w:rsid w:val="00C73E16"/>
    <w:rsid w:val="00C92F14"/>
    <w:rsid w:val="00CB35E6"/>
    <w:rsid w:val="00CB45BF"/>
    <w:rsid w:val="00CE0ECC"/>
    <w:rsid w:val="00D1048A"/>
    <w:rsid w:val="00D677CC"/>
    <w:rsid w:val="00D7197C"/>
    <w:rsid w:val="00D91A09"/>
    <w:rsid w:val="00DC7031"/>
    <w:rsid w:val="00DD2C63"/>
    <w:rsid w:val="00DF38E1"/>
    <w:rsid w:val="00E55F39"/>
    <w:rsid w:val="00E63828"/>
    <w:rsid w:val="00E838D3"/>
    <w:rsid w:val="00E86EB3"/>
    <w:rsid w:val="00EA528C"/>
    <w:rsid w:val="00EF1210"/>
    <w:rsid w:val="00F74B92"/>
    <w:rsid w:val="00F82A82"/>
    <w:rsid w:val="00F9582B"/>
    <w:rsid w:val="00FD624F"/>
    <w:rsid w:val="00FE6558"/>
    <w:rsid w:val="00FF27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C403FD"/>
    <w:rPr>
      <w:rFonts w:cs="Times New Roman"/>
    </w:rPr>
  </w:style>
  <w:style w:type="paragraph" w:customStyle="1" w:styleId="ColorfulList-Accent11">
    <w:name w:val="Colorful List - Accent 11"/>
    <w:basedOn w:val="Normal"/>
    <w:uiPriority w:val="99"/>
    <w:rsid w:val="00C403FD"/>
    <w:pPr>
      <w:ind w:left="720"/>
      <w:contextualSpacing/>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uiPriority w:val="99"/>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contextualSpacing/>
    </w:pPr>
  </w:style>
  <w:style w:type="paragraph" w:styleId="FootnoteText">
    <w:name w:val="footnote text"/>
    <w:basedOn w:val="Normal"/>
    <w:link w:val="FootnoteTextChar"/>
    <w:uiPriority w:val="99"/>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character" w:customStyle="1" w:styleId="shorttext">
    <w:name w:val="short_text"/>
    <w:rsid w:val="00934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C403FD"/>
    <w:rPr>
      <w:rFonts w:cs="Times New Roman"/>
    </w:rPr>
  </w:style>
  <w:style w:type="paragraph" w:customStyle="1" w:styleId="ColorfulList-Accent11">
    <w:name w:val="Colorful List - Accent 11"/>
    <w:basedOn w:val="Normal"/>
    <w:uiPriority w:val="99"/>
    <w:rsid w:val="00C403FD"/>
    <w:pPr>
      <w:ind w:left="720"/>
      <w:contextualSpacing/>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uiPriority w:val="99"/>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contextualSpacing/>
    </w:pPr>
  </w:style>
  <w:style w:type="paragraph" w:styleId="FootnoteText">
    <w:name w:val="footnote text"/>
    <w:basedOn w:val="Normal"/>
    <w:link w:val="FootnoteTextChar"/>
    <w:uiPriority w:val="99"/>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character" w:customStyle="1" w:styleId="shorttext">
    <w:name w:val="short_text"/>
    <w:rsid w:val="0093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4794">
      <w:bodyDiv w:val="1"/>
      <w:marLeft w:val="0"/>
      <w:marRight w:val="0"/>
      <w:marTop w:val="0"/>
      <w:marBottom w:val="0"/>
      <w:divBdr>
        <w:top w:val="none" w:sz="0" w:space="0" w:color="auto"/>
        <w:left w:val="none" w:sz="0" w:space="0" w:color="auto"/>
        <w:bottom w:val="none" w:sz="0" w:space="0" w:color="auto"/>
        <w:right w:val="none" w:sz="0" w:space="0" w:color="auto"/>
      </w:divBdr>
      <w:divsChild>
        <w:div w:id="1688407145">
          <w:marLeft w:val="0"/>
          <w:marRight w:val="0"/>
          <w:marTop w:val="0"/>
          <w:marBottom w:val="0"/>
          <w:divBdr>
            <w:top w:val="none" w:sz="0" w:space="0" w:color="auto"/>
            <w:left w:val="none" w:sz="0" w:space="0" w:color="auto"/>
            <w:bottom w:val="none" w:sz="0" w:space="0" w:color="auto"/>
            <w:right w:val="none" w:sz="0" w:space="0" w:color="auto"/>
          </w:divBdr>
          <w:divsChild>
            <w:div w:id="1484349463">
              <w:marLeft w:val="0"/>
              <w:marRight w:val="0"/>
              <w:marTop w:val="0"/>
              <w:marBottom w:val="0"/>
              <w:divBdr>
                <w:top w:val="none" w:sz="0" w:space="0" w:color="auto"/>
                <w:left w:val="none" w:sz="0" w:space="0" w:color="auto"/>
                <w:bottom w:val="none" w:sz="0" w:space="0" w:color="auto"/>
                <w:right w:val="none" w:sz="0" w:space="0" w:color="auto"/>
              </w:divBdr>
              <w:divsChild>
                <w:div w:id="19169051">
                  <w:marLeft w:val="0"/>
                  <w:marRight w:val="0"/>
                  <w:marTop w:val="0"/>
                  <w:marBottom w:val="0"/>
                  <w:divBdr>
                    <w:top w:val="none" w:sz="0" w:space="0" w:color="auto"/>
                    <w:left w:val="none" w:sz="0" w:space="0" w:color="auto"/>
                    <w:bottom w:val="none" w:sz="0" w:space="0" w:color="auto"/>
                    <w:right w:val="none" w:sz="0" w:space="0" w:color="auto"/>
                  </w:divBdr>
                  <w:divsChild>
                    <w:div w:id="876308437">
                      <w:marLeft w:val="0"/>
                      <w:marRight w:val="0"/>
                      <w:marTop w:val="0"/>
                      <w:marBottom w:val="0"/>
                      <w:divBdr>
                        <w:top w:val="none" w:sz="0" w:space="0" w:color="auto"/>
                        <w:left w:val="none" w:sz="0" w:space="0" w:color="auto"/>
                        <w:bottom w:val="none" w:sz="0" w:space="0" w:color="auto"/>
                        <w:right w:val="none" w:sz="0" w:space="0" w:color="auto"/>
                      </w:divBdr>
                      <w:divsChild>
                        <w:div w:id="1889605591">
                          <w:marLeft w:val="0"/>
                          <w:marRight w:val="0"/>
                          <w:marTop w:val="0"/>
                          <w:marBottom w:val="0"/>
                          <w:divBdr>
                            <w:top w:val="none" w:sz="0" w:space="0" w:color="auto"/>
                            <w:left w:val="none" w:sz="0" w:space="0" w:color="auto"/>
                            <w:bottom w:val="none" w:sz="0" w:space="0" w:color="auto"/>
                            <w:right w:val="none" w:sz="0" w:space="0" w:color="auto"/>
                          </w:divBdr>
                          <w:divsChild>
                            <w:div w:id="1366296956">
                              <w:marLeft w:val="0"/>
                              <w:marRight w:val="0"/>
                              <w:marTop w:val="0"/>
                              <w:marBottom w:val="0"/>
                              <w:divBdr>
                                <w:top w:val="none" w:sz="0" w:space="0" w:color="auto"/>
                                <w:left w:val="none" w:sz="0" w:space="0" w:color="auto"/>
                                <w:bottom w:val="none" w:sz="0" w:space="0" w:color="auto"/>
                                <w:right w:val="none" w:sz="0" w:space="0" w:color="auto"/>
                              </w:divBdr>
                              <w:divsChild>
                                <w:div w:id="2023507965">
                                  <w:marLeft w:val="0"/>
                                  <w:marRight w:val="0"/>
                                  <w:marTop w:val="180"/>
                                  <w:marBottom w:val="0"/>
                                  <w:divBdr>
                                    <w:top w:val="none" w:sz="0" w:space="0" w:color="auto"/>
                                    <w:left w:val="none" w:sz="0" w:space="0" w:color="auto"/>
                                    <w:bottom w:val="none" w:sz="0" w:space="0" w:color="auto"/>
                                    <w:right w:val="none" w:sz="0" w:space="0" w:color="auto"/>
                                  </w:divBdr>
                                  <w:divsChild>
                                    <w:div w:id="1359506903">
                                      <w:marLeft w:val="0"/>
                                      <w:marRight w:val="0"/>
                                      <w:marTop w:val="0"/>
                                      <w:marBottom w:val="0"/>
                                      <w:divBdr>
                                        <w:top w:val="none" w:sz="0" w:space="0" w:color="auto"/>
                                        <w:left w:val="none" w:sz="0" w:space="0" w:color="auto"/>
                                        <w:bottom w:val="none" w:sz="0" w:space="0" w:color="auto"/>
                                        <w:right w:val="none" w:sz="0" w:space="0" w:color="auto"/>
                                      </w:divBdr>
                                      <w:divsChild>
                                        <w:div w:id="1884556244">
                                          <w:marLeft w:val="0"/>
                                          <w:marRight w:val="0"/>
                                          <w:marTop w:val="0"/>
                                          <w:marBottom w:val="0"/>
                                          <w:divBdr>
                                            <w:top w:val="none" w:sz="0" w:space="0" w:color="auto"/>
                                            <w:left w:val="none" w:sz="0" w:space="0" w:color="auto"/>
                                            <w:bottom w:val="none" w:sz="0" w:space="0" w:color="auto"/>
                                            <w:right w:val="none" w:sz="0" w:space="0" w:color="auto"/>
                                          </w:divBdr>
                                          <w:divsChild>
                                            <w:div w:id="193612711">
                                              <w:marLeft w:val="60"/>
                                              <w:marRight w:val="0"/>
                                              <w:marTop w:val="0"/>
                                              <w:marBottom w:val="0"/>
                                              <w:divBdr>
                                                <w:top w:val="none" w:sz="0" w:space="0" w:color="auto"/>
                                                <w:left w:val="none" w:sz="0" w:space="0" w:color="auto"/>
                                                <w:bottom w:val="none" w:sz="0" w:space="0" w:color="auto"/>
                                                <w:right w:val="none" w:sz="0" w:space="0" w:color="auto"/>
                                              </w:divBdr>
                                              <w:divsChild>
                                                <w:div w:id="805780568">
                                                  <w:marLeft w:val="0"/>
                                                  <w:marRight w:val="0"/>
                                                  <w:marTop w:val="0"/>
                                                  <w:marBottom w:val="240"/>
                                                  <w:divBdr>
                                                    <w:top w:val="none" w:sz="0" w:space="0" w:color="auto"/>
                                                    <w:left w:val="none" w:sz="0" w:space="0" w:color="auto"/>
                                                    <w:bottom w:val="none" w:sz="0" w:space="0" w:color="auto"/>
                                                    <w:right w:val="none" w:sz="0" w:space="0" w:color="auto"/>
                                                  </w:divBdr>
                                                  <w:divsChild>
                                                    <w:div w:id="1806656043">
                                                      <w:marLeft w:val="0"/>
                                                      <w:marRight w:val="0"/>
                                                      <w:marTop w:val="0"/>
                                                      <w:marBottom w:val="0"/>
                                                      <w:divBdr>
                                                        <w:top w:val="none" w:sz="0" w:space="0" w:color="auto"/>
                                                        <w:left w:val="none" w:sz="0" w:space="0" w:color="auto"/>
                                                        <w:bottom w:val="none" w:sz="0" w:space="0" w:color="auto"/>
                                                        <w:right w:val="none" w:sz="0" w:space="0" w:color="auto"/>
                                                      </w:divBdr>
                                                      <w:divsChild>
                                                        <w:div w:id="5787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index.php?lg=en&amp;pg=769" TargetMode="External"/><Relationship Id="rId18" Type="http://schemas.openxmlformats.org/officeDocument/2006/relationships/hyperlink" Target="http://www.unesco.org/culture/ich/doc/src/ITH-14-9.COM-5.a-EN_.doc" TargetMode="External"/><Relationship Id="rId26" Type="http://schemas.openxmlformats.org/officeDocument/2006/relationships/hyperlink" Target="http://www.unesco.org/culture/ich/index.php?lg=en&amp;pg=768" TargetMode="External"/><Relationship Id="rId3" Type="http://schemas.microsoft.com/office/2007/relationships/stylesWithEffects" Target="stylesWithEffects.xml"/><Relationship Id="rId21" Type="http://schemas.openxmlformats.org/officeDocument/2006/relationships/hyperlink" Target="http://www.unesco.org/culture/ich/doc/src/ITH-14-9.COM-5.b-EN.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esco.org/culture/ich/index.php?lg=en&amp;pg=708" TargetMode="External"/><Relationship Id="rId17" Type="http://schemas.openxmlformats.org/officeDocument/2006/relationships/hyperlink" Target="http://www.unesco.org/culture/ich/en/Decisions/10.COM/6.b" TargetMode="External"/><Relationship Id="rId25" Type="http://schemas.openxmlformats.org/officeDocument/2006/relationships/hyperlink" Target="http://www.unesco.org/culture/ich/doc/src/ITH-16-11.COM_1.BUR-2_Rev.-FR.docx"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unesco.org/culture/ich/en/Decisions/10.COM/6.a" TargetMode="External"/><Relationship Id="rId20" Type="http://schemas.openxmlformats.org/officeDocument/2006/relationships/hyperlink" Target="http://www.unesco.org/culture/ich/index.php?lg=en&amp;pg=00707" TargetMode="External"/><Relationship Id="rId29" Type="http://schemas.openxmlformats.org/officeDocument/2006/relationships/hyperlink" Target="http://www.unesco.org/culture/ich/index.php?lg=en&amp;pg=76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esco.org/culture/ich/index.php?lg=en&amp;pg=768" TargetMode="External"/><Relationship Id="rId24" Type="http://schemas.openxmlformats.org/officeDocument/2006/relationships/hyperlink" Target="http://www.unesco.org/culture/ich/doc/src/ITH-16-11.COM_1.BUR-3-EN.doc"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nesco.org/culture/ich/en/Decisions/9.COM/5.b" TargetMode="External"/><Relationship Id="rId23" Type="http://schemas.openxmlformats.org/officeDocument/2006/relationships/hyperlink" Target="http://www.unesco.org/culture/ich/index.php?lg=en&amp;pg=00708" TargetMode="External"/><Relationship Id="rId28" Type="http://schemas.openxmlformats.org/officeDocument/2006/relationships/hyperlink" Target="http://www.unesco.org/culture/ich/doc/src/ITH-15-10.COM-6.b_FR.doc" TargetMode="External"/><Relationship Id="rId10" Type="http://schemas.openxmlformats.org/officeDocument/2006/relationships/hyperlink" Target="http://www.unesco.org/culture/ich/index.php?lg=en&amp;pg=707" TargetMode="External"/><Relationship Id="rId19" Type="http://schemas.openxmlformats.org/officeDocument/2006/relationships/hyperlink" Target="http://www.unesco.org/culture/ich/doc/src/ITH-14-9.COM-5.a-FR__.do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esco.org/culture/ich/index.php?lg=en&amp;pg=00022" TargetMode="External"/><Relationship Id="rId14" Type="http://schemas.openxmlformats.org/officeDocument/2006/relationships/hyperlink" Target="http://www.unesco.org/culture/ich/en/Decisions/9.COM/5.a" TargetMode="External"/><Relationship Id="rId22" Type="http://schemas.openxmlformats.org/officeDocument/2006/relationships/hyperlink" Target="http://www.unesco.org/culture/ich/doc/src/ITH-14-9.COM-5.b-FR.doc" TargetMode="External"/><Relationship Id="rId27" Type="http://schemas.openxmlformats.org/officeDocument/2006/relationships/hyperlink" Target="http://www.unesco.org/culture/ich/doc/src/ITH-15-10.COM-6.b_EN.docx" TargetMode="External"/><Relationship Id="rId30" Type="http://schemas.openxmlformats.org/officeDocument/2006/relationships/hyperlink" Target="http://www.unesco.org/culture/ich/doc/src/ITH-15-10.COM-6.c_EN.docx" TargetMode="External"/><Relationship Id="rId35" Type="http://schemas.openxmlformats.org/officeDocument/2006/relationships/theme" Target="theme/theme1.xml"/><Relationship Id="rId8" Type="http://schemas.openxmlformats.org/officeDocument/2006/relationships/hyperlink" Target="http://en.unesco.org/system/files/Strengthening%20capacities%20to%20safeguard%20intangible%20cultural%20heritage%20for%20sustainable%20development_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ITH-14-9.COM_2.BUR-1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23AF3FA0.dotm</Template>
  <TotalTime>15</TotalTime>
  <Pages>7</Pages>
  <Words>2265</Words>
  <Characters>14268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Chief ITH_______________</vt:lpstr>
    </vt:vector>
  </TitlesOfParts>
  <Company>UNESCO</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ITH_______________</dc:title>
  <dc:subject/>
  <dc:creator>CLT/CEH/ITH-J.Poivre</dc:creator>
  <cp:keywords/>
  <dc:description/>
  <cp:lastModifiedBy>Elena Constantinou</cp:lastModifiedBy>
  <cp:revision>7</cp:revision>
  <cp:lastPrinted>2014-03-06T13:11:00Z</cp:lastPrinted>
  <dcterms:created xsi:type="dcterms:W3CDTF">2016-04-28T10:28:00Z</dcterms:created>
  <dcterms:modified xsi:type="dcterms:W3CDTF">2016-04-29T10:04:00Z</dcterms:modified>
</cp:coreProperties>
</file>