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36" w:rsidRPr="00414643" w:rsidRDefault="00655736" w:rsidP="00655736">
      <w:pPr>
        <w:spacing w:before="1440"/>
        <w:jc w:val="center"/>
        <w:rPr>
          <w:rFonts w:ascii="Arial" w:hAnsi="Arial" w:cs="Arial"/>
          <w:b/>
          <w:sz w:val="22"/>
          <w:szCs w:val="22"/>
        </w:rPr>
      </w:pPr>
      <w:r>
        <w:rPr>
          <w:rFonts w:ascii="Arial" w:hAnsi="Arial"/>
          <w:b/>
          <w:sz w:val="22"/>
        </w:rPr>
        <w:t xml:space="preserve">CONVENTION POUR LA SAUVEGARDE DU </w:t>
      </w:r>
      <w:r>
        <w:rPr>
          <w:rFonts w:ascii="Arial" w:hAnsi="Arial" w:cs="Arial"/>
          <w:b/>
          <w:sz w:val="22"/>
          <w:szCs w:val="22"/>
        </w:rPr>
        <w:br/>
      </w:r>
      <w:r>
        <w:rPr>
          <w:rFonts w:ascii="Arial" w:hAnsi="Arial"/>
          <w:b/>
          <w:sz w:val="22"/>
        </w:rPr>
        <w:t>PATRIMOINE CULTUREL IMMATÉRIEL</w:t>
      </w:r>
    </w:p>
    <w:p w:rsidR="00655736" w:rsidRPr="00414643" w:rsidRDefault="00D95C4C" w:rsidP="00655736">
      <w:pPr>
        <w:spacing w:before="1200"/>
        <w:jc w:val="center"/>
        <w:rPr>
          <w:rFonts w:ascii="Arial" w:hAnsi="Arial" w:cs="Arial"/>
          <w:b/>
          <w:sz w:val="22"/>
          <w:szCs w:val="22"/>
        </w:rPr>
      </w:pPr>
      <w:r>
        <w:rPr>
          <w:rFonts w:ascii="Arial" w:hAnsi="Arial"/>
          <w:b/>
          <w:sz w:val="22"/>
        </w:rPr>
        <w:t>ASSEMBLÉE GÉNÉRALE DES ÉTATS PARTIES À LA CONVENTION</w:t>
      </w:r>
    </w:p>
    <w:p w:rsidR="00D95C4C" w:rsidRPr="00FD624F" w:rsidRDefault="00763A0D" w:rsidP="00D95C4C">
      <w:pPr>
        <w:spacing w:before="840"/>
        <w:jc w:val="center"/>
        <w:rPr>
          <w:rFonts w:ascii="Arial" w:hAnsi="Arial" w:cs="Arial"/>
          <w:b/>
          <w:sz w:val="22"/>
          <w:szCs w:val="22"/>
        </w:rPr>
      </w:pPr>
      <w:r>
        <w:rPr>
          <w:rFonts w:ascii="Arial" w:hAnsi="Arial"/>
          <w:b/>
          <w:sz w:val="22"/>
        </w:rPr>
        <w:t>Sixième session</w:t>
      </w:r>
    </w:p>
    <w:p w:rsidR="00D95C4C" w:rsidRPr="00FD624F" w:rsidRDefault="00D95C4C" w:rsidP="00D95C4C">
      <w:pPr>
        <w:jc w:val="center"/>
        <w:rPr>
          <w:rFonts w:ascii="Arial" w:hAnsi="Arial" w:cs="Arial"/>
          <w:b/>
          <w:sz w:val="22"/>
          <w:szCs w:val="22"/>
        </w:rPr>
      </w:pPr>
      <w:r>
        <w:rPr>
          <w:rFonts w:ascii="Arial" w:hAnsi="Arial"/>
          <w:b/>
          <w:sz w:val="22"/>
        </w:rPr>
        <w:t>Siège de l’UNESCO, Salle II</w:t>
      </w:r>
    </w:p>
    <w:p w:rsidR="00655736" w:rsidRPr="00414643" w:rsidRDefault="00727767" w:rsidP="00D95C4C">
      <w:pPr>
        <w:jc w:val="center"/>
        <w:rPr>
          <w:rFonts w:ascii="Arial" w:hAnsi="Arial" w:cs="Arial"/>
          <w:b/>
          <w:sz w:val="22"/>
          <w:szCs w:val="22"/>
        </w:rPr>
      </w:pPr>
      <w:r>
        <w:rPr>
          <w:rFonts w:ascii="Arial" w:hAnsi="Arial"/>
          <w:b/>
          <w:sz w:val="22"/>
        </w:rPr>
        <w:t>30 </w:t>
      </w:r>
      <w:r w:rsidRPr="00B77EB3">
        <w:rPr>
          <w:rFonts w:ascii="Arial" w:hAnsi="Arial" w:cs="Arial"/>
          <w:b/>
          <w:szCs w:val="22"/>
        </w:rPr>
        <w:t>mai – </w:t>
      </w:r>
      <w:r w:rsidR="005A4A42">
        <w:rPr>
          <w:rFonts w:ascii="Arial" w:hAnsi="Arial"/>
          <w:b/>
          <w:sz w:val="22"/>
        </w:rPr>
        <w:t>1</w:t>
      </w:r>
      <w:r w:rsidR="005A4A42">
        <w:rPr>
          <w:rFonts w:ascii="Arial" w:hAnsi="Arial"/>
          <w:b/>
          <w:sz w:val="22"/>
          <w:vertAlign w:val="superscript"/>
        </w:rPr>
        <w:t>er</w:t>
      </w:r>
      <w:r w:rsidR="005A4A42">
        <w:rPr>
          <w:rFonts w:ascii="Arial" w:hAnsi="Arial"/>
          <w:b/>
          <w:sz w:val="22"/>
        </w:rPr>
        <w:t> juin 2016</w:t>
      </w:r>
    </w:p>
    <w:p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Point 2 de l'ordre du jour provisoire :</w:t>
      </w:r>
    </w:p>
    <w:p w:rsidR="00655736" w:rsidRPr="00414643" w:rsidRDefault="005A4A42" w:rsidP="00655736">
      <w:pPr>
        <w:pStyle w:val="Sansinterligne2"/>
        <w:spacing w:after="1200"/>
        <w:jc w:val="center"/>
        <w:rPr>
          <w:rFonts w:ascii="Arial" w:hAnsi="Arial" w:cs="Arial"/>
          <w:b/>
          <w:sz w:val="22"/>
          <w:szCs w:val="22"/>
        </w:rPr>
      </w:pPr>
      <w:r>
        <w:rPr>
          <w:rFonts w:ascii="Arial" w:hAnsi="Arial"/>
          <w:b/>
          <w:sz w:val="22"/>
        </w:rPr>
        <w:t>Élection du Bureau</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5A4A42">
        <w:trPr>
          <w:jc w:val="center"/>
        </w:trPr>
        <w:tc>
          <w:tcPr>
            <w:tcW w:w="7825" w:type="dxa"/>
            <w:vAlign w:val="center"/>
          </w:tcPr>
          <w:p w:rsidR="00655736" w:rsidRPr="00414643" w:rsidRDefault="0057439C" w:rsidP="005A4A42">
            <w:pPr>
              <w:pStyle w:val="Sansinterligne2"/>
              <w:spacing w:before="200" w:after="200"/>
              <w:jc w:val="center"/>
              <w:rPr>
                <w:rFonts w:ascii="Arial" w:hAnsi="Arial" w:cs="Arial"/>
                <w:b/>
                <w:sz w:val="22"/>
                <w:szCs w:val="22"/>
              </w:rPr>
            </w:pPr>
            <w:r>
              <w:rPr>
                <w:rFonts w:ascii="Arial" w:hAnsi="Arial"/>
                <w:b/>
                <w:sz w:val="22"/>
              </w:rPr>
              <w:t xml:space="preserve">Décision requise : </w:t>
            </w:r>
            <w:r>
              <w:rPr>
                <w:rFonts w:ascii="Arial" w:hAnsi="Arial"/>
                <w:sz w:val="22"/>
              </w:rPr>
              <w:t>paragraphe 4</w:t>
            </w:r>
          </w:p>
        </w:tc>
      </w:tr>
    </w:tbl>
    <w:p w:rsidR="005A4A42" w:rsidRPr="005A4A42" w:rsidRDefault="005A4A42" w:rsidP="005A4A42">
      <w:pPr>
        <w:pStyle w:val="Marge"/>
        <w:pageBreakBefore/>
        <w:numPr>
          <w:ilvl w:val="0"/>
          <w:numId w:val="7"/>
        </w:numPr>
        <w:tabs>
          <w:tab w:val="clear" w:pos="360"/>
          <w:tab w:val="num" w:pos="567"/>
        </w:tabs>
        <w:spacing w:after="120"/>
        <w:ind w:left="567" w:hanging="567"/>
      </w:pPr>
      <w:r>
        <w:lastRenderedPageBreak/>
        <w:t>Conformément à l’article 3 de son Règlement intérieur, l’Assemblée élit un(e) président(e), un(e) ou plusieurs vice-président(e)s et un rapporteur. L’Assemblée générale choisit habituellement des représentants de chacun des six groupes électoraux au sein du Bureau ; le/la président(e) et le rapporteur sont élus nominativement et les vice-président(e)s le sont par État partie.</w:t>
      </w:r>
    </w:p>
    <w:p w:rsidR="005A4A42" w:rsidRPr="005A4A42" w:rsidRDefault="005A4A42" w:rsidP="005A4A42">
      <w:pPr>
        <w:numPr>
          <w:ilvl w:val="0"/>
          <w:numId w:val="7"/>
        </w:numPr>
        <w:tabs>
          <w:tab w:val="clear" w:pos="360"/>
        </w:tabs>
        <w:snapToGrid w:val="0"/>
        <w:spacing w:after="120"/>
        <w:ind w:left="567" w:hanging="567"/>
        <w:jc w:val="both"/>
        <w:rPr>
          <w:rFonts w:ascii="Arial" w:hAnsi="Arial"/>
          <w:snapToGrid w:val="0"/>
          <w:sz w:val="22"/>
        </w:rPr>
      </w:pPr>
      <w:r>
        <w:rPr>
          <w:rFonts w:ascii="Arial" w:hAnsi="Arial"/>
          <w:snapToGrid w:val="0"/>
          <w:sz w:val="22"/>
        </w:rPr>
        <w:t>À sa cinquième session (du 2 au 5 juin 2012), l’Assemblée générale a élu :</w:t>
      </w:r>
    </w:p>
    <w:p w:rsidR="005A4A42" w:rsidRPr="005A4A42" w:rsidRDefault="00C81EAF" w:rsidP="005A4A42">
      <w:pPr>
        <w:numPr>
          <w:ilvl w:val="0"/>
          <w:numId w:val="6"/>
        </w:numPr>
        <w:tabs>
          <w:tab w:val="clear" w:pos="360"/>
          <w:tab w:val="num" w:pos="851"/>
        </w:tabs>
        <w:adjustRightInd w:val="0"/>
        <w:snapToGrid w:val="0"/>
        <w:spacing w:after="120"/>
        <w:ind w:left="851"/>
        <w:jc w:val="both"/>
        <w:rPr>
          <w:rFonts w:ascii="Arial" w:eastAsia="SimSun" w:hAnsi="Arial" w:cs="Arial"/>
          <w:snapToGrid w:val="0"/>
          <w:sz w:val="22"/>
          <w:szCs w:val="22"/>
        </w:rPr>
      </w:pPr>
      <w:r>
        <w:rPr>
          <w:rFonts w:ascii="Arial" w:hAnsi="Arial"/>
          <w:snapToGrid w:val="0"/>
          <w:color w:val="000000"/>
          <w:sz w:val="22"/>
        </w:rPr>
        <w:t xml:space="preserve">Son Excellence M. Awad Ali Saleh (Émirats arabes unis) </w:t>
      </w:r>
      <w:r w:rsidR="00EA539D">
        <w:rPr>
          <w:rFonts w:ascii="Arial" w:hAnsi="Arial"/>
          <w:snapToGrid w:val="0"/>
          <w:sz w:val="22"/>
        </w:rPr>
        <w:t>P</w:t>
      </w:r>
      <w:r>
        <w:rPr>
          <w:rFonts w:ascii="Arial" w:hAnsi="Arial"/>
          <w:snapToGrid w:val="0"/>
          <w:sz w:val="22"/>
        </w:rPr>
        <w:t xml:space="preserve">résident ; </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rPr>
      </w:pPr>
      <w:r>
        <w:rPr>
          <w:rFonts w:ascii="Arial" w:hAnsi="Arial"/>
          <w:snapToGrid w:val="0"/>
          <w:sz w:val="22"/>
        </w:rPr>
        <w:t>La Norvège, la République tchèque, le Brésil, la Malaisie et le Cong</w:t>
      </w:r>
      <w:r w:rsidR="00EA539D">
        <w:rPr>
          <w:rFonts w:ascii="Arial" w:hAnsi="Arial"/>
          <w:snapToGrid w:val="0"/>
          <w:sz w:val="22"/>
        </w:rPr>
        <w:t>o Vice-P</w:t>
      </w:r>
      <w:r>
        <w:rPr>
          <w:rFonts w:ascii="Arial" w:hAnsi="Arial"/>
          <w:snapToGrid w:val="0"/>
          <w:sz w:val="22"/>
        </w:rPr>
        <w:t>résidents ; et</w:t>
      </w:r>
    </w:p>
    <w:p w:rsidR="005A4A42" w:rsidRPr="005A4A42" w:rsidRDefault="005A4A42" w:rsidP="005A4A42">
      <w:pPr>
        <w:numPr>
          <w:ilvl w:val="0"/>
          <w:numId w:val="6"/>
        </w:numPr>
        <w:tabs>
          <w:tab w:val="clear" w:pos="360"/>
          <w:tab w:val="num" w:pos="851"/>
        </w:tabs>
        <w:adjustRightInd w:val="0"/>
        <w:snapToGrid w:val="0"/>
        <w:spacing w:after="120"/>
        <w:ind w:firstLine="283"/>
        <w:jc w:val="both"/>
        <w:rPr>
          <w:rFonts w:ascii="Arial" w:eastAsia="SimSun" w:hAnsi="Arial" w:cs="Arial"/>
          <w:snapToGrid w:val="0"/>
          <w:sz w:val="22"/>
          <w:szCs w:val="22"/>
        </w:rPr>
      </w:pPr>
      <w:r>
        <w:rPr>
          <w:rFonts w:ascii="Arial" w:hAnsi="Arial"/>
          <w:snapToGrid w:val="0"/>
          <w:sz w:val="22"/>
        </w:rPr>
        <w:t>Mme P</w:t>
      </w:r>
      <w:r w:rsidR="00EA539D">
        <w:rPr>
          <w:rFonts w:ascii="Arial" w:hAnsi="Arial"/>
          <w:snapToGrid w:val="0"/>
          <w:sz w:val="22"/>
        </w:rPr>
        <w:t>anagiota Adrianopoulou (Grèce) R</w:t>
      </w:r>
      <w:r>
        <w:rPr>
          <w:rFonts w:ascii="Arial" w:hAnsi="Arial"/>
          <w:snapToGrid w:val="0"/>
          <w:sz w:val="22"/>
        </w:rPr>
        <w:t>apporteur.</w:t>
      </w:r>
    </w:p>
    <w:p w:rsidR="005A4A42" w:rsidRPr="00542D4D" w:rsidRDefault="003A0DF4" w:rsidP="005A4A42">
      <w:pPr>
        <w:numPr>
          <w:ilvl w:val="0"/>
          <w:numId w:val="7"/>
        </w:numPr>
        <w:tabs>
          <w:tab w:val="clear" w:pos="360"/>
        </w:tabs>
        <w:adjustRightInd w:val="0"/>
        <w:snapToGrid w:val="0"/>
        <w:spacing w:before="120" w:after="240"/>
        <w:ind w:left="567" w:hanging="567"/>
        <w:jc w:val="both"/>
        <w:rPr>
          <w:rFonts w:ascii="Arial" w:eastAsia="SimSun" w:hAnsi="Arial"/>
          <w:snapToGrid w:val="0"/>
          <w:sz w:val="22"/>
        </w:rPr>
      </w:pPr>
      <w:r>
        <w:rPr>
          <w:rFonts w:ascii="Arial" w:hAnsi="Arial"/>
          <w:snapToGrid w:val="0"/>
          <w:sz w:val="22"/>
        </w:rPr>
        <w:t>Au 1</w:t>
      </w:r>
      <w:r>
        <w:rPr>
          <w:rFonts w:ascii="Arial" w:hAnsi="Arial"/>
          <w:snapToGrid w:val="0"/>
          <w:sz w:val="22"/>
          <w:vertAlign w:val="superscript"/>
        </w:rPr>
        <w:t>er</w:t>
      </w:r>
      <w:r>
        <w:rPr>
          <w:rFonts w:ascii="Arial" w:hAnsi="Arial"/>
          <w:snapToGrid w:val="0"/>
          <w:sz w:val="22"/>
        </w:rPr>
        <w:t> mars</w:t>
      </w:r>
      <w:r w:rsidR="00EF6039">
        <w:rPr>
          <w:rFonts w:ascii="Arial" w:hAnsi="Arial"/>
          <w:snapToGrid w:val="0"/>
          <w:sz w:val="22"/>
        </w:rPr>
        <w:t> 2016,</w:t>
      </w:r>
      <w:r>
        <w:rPr>
          <w:rFonts w:ascii="Arial" w:hAnsi="Arial"/>
          <w:snapToGrid w:val="0"/>
          <w:sz w:val="22"/>
        </w:rPr>
        <w:t xml:space="preserve"> les 166 États ci-après avaient déposé leurs instruments respectifs de ratification, d’acceptation ou d’approbation et participent à la sixième session de l’Assemblée générale en tant qu’États parties à la Convention :</w:t>
      </w:r>
    </w:p>
    <w:tbl>
      <w:tblPr>
        <w:tblW w:w="460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5A4A42" w:rsidRPr="00FF0E0F" w:rsidTr="00750239">
        <w:tc>
          <w:tcPr>
            <w:tcW w:w="852" w:type="pct"/>
            <w:tcBorders>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Allemagne, Andorre, Autriche, Belgique, Chypre, Danemark, Espagne, Finlande, France, Grèce, Irlande, Islande, Italie, Luxembourg, Monaco, Norvège, Pays-Bas, Portugal, Suède, Suisse, Turquie</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II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Albanie, Arménie, Azerbaïdjan,</w:t>
            </w:r>
            <w:r w:rsidR="005E7782">
              <w:rPr>
                <w:rFonts w:ascii="Arial" w:hAnsi="Arial"/>
                <w:snapToGrid w:val="0"/>
                <w:sz w:val="22"/>
              </w:rPr>
              <w:t xml:space="preserve"> </w:t>
            </w:r>
            <w:r>
              <w:rPr>
                <w:rFonts w:ascii="Arial" w:hAnsi="Arial"/>
                <w:snapToGrid w:val="0"/>
                <w:sz w:val="22"/>
              </w:rPr>
              <w:t>Bélarus, Bosnie-Herzégovine, Bulgarie, Croatie, Estonie, ex-République yougoslave de Macédoine,</w:t>
            </w:r>
            <w:r w:rsidR="005E7782">
              <w:rPr>
                <w:rFonts w:ascii="Arial" w:hAnsi="Arial"/>
                <w:snapToGrid w:val="0"/>
                <w:sz w:val="22"/>
              </w:rPr>
              <w:t xml:space="preserve"> </w:t>
            </w:r>
            <w:r>
              <w:rPr>
                <w:rFonts w:ascii="Arial" w:hAnsi="Arial"/>
                <w:snapToGrid w:val="0"/>
                <w:sz w:val="22"/>
              </w:rPr>
              <w:t>Géorgie, Hongrie, Lettonie, Lituanie, Monténégro, Ouzbékistan, Pologne, République de Moldova, République tchèque, Roumanie, Serbie, Slovaquie, Slovénie, Tadjikistan, Ukraine</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III </w:t>
            </w:r>
          </w:p>
        </w:tc>
        <w:tc>
          <w:tcPr>
            <w:tcW w:w="4148" w:type="pct"/>
          </w:tcPr>
          <w:p w:rsidR="005A4A42" w:rsidRPr="005A2FC3"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Antigua-et-Barbuda, Argentine, Bahamas, Barbade, Belize, Bolivie (État plurinational de), Brésil, Chili, Colombie, Costa Rica, Cuba, Dominique, El Salvador, Équateur, Grenade, Guatemala, Haïti, Honduras, Jamaïque, Mexique, Nicaragua, Panama, Paraguay, Pérou, République dominicaine, Saint-Vincent-et-les Grenadines, Sainte-Lucie, Trinité-et-Tobago, Uruguay, Venezuela (République bolivarienne du)</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IV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 xml:space="preserve">Afghanistan, Bangladesh, Bhoutan, Brunéi Darussalam, Cambodge, Chine, Fidji, Îles Marshall, Inde, Indonésie, Iran (République islamique d’), Japon, Kazakhstan, Kirghizistan, Malaisie, Micronésie (États Fédérés de), Mongolie, Myanmar, Nauru, Népal, Pakistan, Palaos, Papouasie-Nouvelle-Guinée, Philippines, République de Corée, République démocratique populaire lao, République populaire démocratique de Corée, Samoa, Sri Lanka, Tonga, </w:t>
            </w:r>
            <w:r w:rsidR="005E7782">
              <w:rPr>
                <w:rFonts w:ascii="Arial" w:hAnsi="Arial"/>
                <w:snapToGrid w:val="0"/>
                <w:sz w:val="22"/>
              </w:rPr>
              <w:t>Turkménistan, Vanuatu, Viet Nam</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V(a)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Bénin, Botswana, Burkina Faso, Burundi, Cabo Verde, Cameroun, Comores, Congo, Côte d'Ivoire, Djibouti, Érythrée, Éthiopie, Gabon, Gambie, Ghana, Guinée, Guinée équatoriale, Kenya, Lesotho Madagascar, Malawi, Mali, Maurice, Mozambique, Namibie, Niger, Nigéria, Ouganda, République centrafricaine, République démocratique du Congo, République-Unie de Tanzanie, Rwanda, Sao Tomé-et-Principe, Sénégal, Seychelles, Swaziland, Tchad, Togo, Zambie, Zimbabwe</w:t>
            </w:r>
          </w:p>
        </w:tc>
      </w:tr>
      <w:tr w:rsidR="005A4A42" w:rsidRPr="00FF0E0F" w:rsidTr="00750239">
        <w:tc>
          <w:tcPr>
            <w:tcW w:w="852" w:type="pct"/>
            <w:tcBorders>
              <w:top w:val="single" w:sz="4" w:space="0" w:color="auto"/>
              <w:bottom w:val="single" w:sz="4" w:space="0" w:color="auto"/>
            </w:tcBorders>
            <w:shd w:val="clear" w:color="auto" w:fill="F3F3F3"/>
          </w:tcPr>
          <w:p w:rsidR="005A4A42" w:rsidRPr="005A4A42" w:rsidRDefault="005A4A42" w:rsidP="005A4A42">
            <w:pPr>
              <w:tabs>
                <w:tab w:val="left" w:pos="567"/>
              </w:tabs>
              <w:snapToGrid w:val="0"/>
              <w:spacing w:before="240" w:after="240"/>
              <w:jc w:val="both"/>
              <w:rPr>
                <w:rFonts w:ascii="Arial" w:hAnsi="Arial" w:cs="Arial"/>
                <w:b/>
                <w:snapToGrid w:val="0"/>
                <w:spacing w:val="-3"/>
                <w:sz w:val="22"/>
                <w:szCs w:val="22"/>
              </w:rPr>
            </w:pPr>
            <w:r>
              <w:rPr>
                <w:rFonts w:ascii="Arial" w:hAnsi="Arial"/>
                <w:b/>
                <w:snapToGrid w:val="0"/>
                <w:sz w:val="22"/>
              </w:rPr>
              <w:t xml:space="preserve">Groupe V(b) </w:t>
            </w:r>
          </w:p>
        </w:tc>
        <w:tc>
          <w:tcPr>
            <w:tcW w:w="4148" w:type="pct"/>
          </w:tcPr>
          <w:p w:rsidR="005A4A42" w:rsidRPr="005A4A42" w:rsidRDefault="005A4A42" w:rsidP="005A4A42">
            <w:pPr>
              <w:tabs>
                <w:tab w:val="left" w:pos="567"/>
              </w:tabs>
              <w:snapToGrid w:val="0"/>
              <w:spacing w:before="60" w:after="60"/>
              <w:jc w:val="both"/>
              <w:rPr>
                <w:rFonts w:ascii="Arial" w:hAnsi="Arial" w:cs="Arial"/>
                <w:snapToGrid w:val="0"/>
                <w:spacing w:val="-3"/>
                <w:sz w:val="22"/>
                <w:szCs w:val="22"/>
              </w:rPr>
            </w:pPr>
            <w:r>
              <w:rPr>
                <w:rFonts w:ascii="Arial" w:hAnsi="Arial"/>
                <w:snapToGrid w:val="0"/>
                <w:sz w:val="22"/>
              </w:rPr>
              <w:t>Algérie, Arabie saoudite, Bahreïn, Égypte, Émirats arabes unis, Iraq, Jordanie, Koweït, Liban, Maroc, Mauritanie, Oman, Palestine, Qatar, République arabe syrienne, Soudan, Tunisie, Yémen</w:t>
            </w:r>
          </w:p>
        </w:tc>
      </w:tr>
    </w:tbl>
    <w:p w:rsidR="005A4A42" w:rsidRPr="005A4A42" w:rsidRDefault="005A4A42" w:rsidP="005A4A42">
      <w:pPr>
        <w:pageBreakBefore/>
        <w:numPr>
          <w:ilvl w:val="0"/>
          <w:numId w:val="7"/>
        </w:numPr>
        <w:tabs>
          <w:tab w:val="clear" w:pos="360"/>
        </w:tabs>
        <w:ind w:left="567" w:hanging="567"/>
        <w:jc w:val="both"/>
        <w:rPr>
          <w:rFonts w:ascii="Arial" w:eastAsia="SimSun" w:hAnsi="Arial" w:cs="Arial"/>
          <w:sz w:val="22"/>
          <w:szCs w:val="22"/>
        </w:rPr>
      </w:pPr>
      <w:r>
        <w:rPr>
          <w:rFonts w:ascii="Arial" w:hAnsi="Arial"/>
          <w:sz w:val="22"/>
        </w:rPr>
        <w:lastRenderedPageBreak/>
        <w:t>L'Assemblée générale souhaitera peut-être adopter la décision suivante :</w:t>
      </w:r>
    </w:p>
    <w:p w:rsidR="005A4A42" w:rsidRPr="005A4A42" w:rsidRDefault="00E14F26" w:rsidP="005A2FC3">
      <w:pPr>
        <w:pStyle w:val="GATitleResolution"/>
        <w:rPr>
          <w:rFonts w:eastAsia="SimSun"/>
        </w:rPr>
      </w:pPr>
      <w:r>
        <w:t>PROJET DE RÉSOLUTION 6.GA 2</w:t>
      </w:r>
    </w:p>
    <w:p w:rsidR="005A4A42" w:rsidRPr="005A4A42" w:rsidRDefault="005A4A42" w:rsidP="005A2FC3">
      <w:pPr>
        <w:pStyle w:val="GAPreambulaResolution"/>
        <w:rPr>
          <w:rFonts w:eastAsia="SimSun"/>
        </w:rPr>
      </w:pPr>
      <w:r>
        <w:t>L'Assemblée générale,</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Ayant examiné</w:t>
      </w:r>
      <w:r>
        <w:rPr>
          <w:rFonts w:ascii="Arial" w:hAnsi="Arial"/>
          <w:sz w:val="22"/>
        </w:rPr>
        <w:t xml:space="preserve"> le document ITH/16/6.GA/2,</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Rappelant</w:t>
      </w:r>
      <w:r>
        <w:rPr>
          <w:rFonts w:ascii="Arial" w:hAnsi="Arial"/>
          <w:sz w:val="22"/>
        </w:rPr>
        <w:t xml:space="preserve"> l’article 3 de son Règlement intérieur,</w:t>
      </w:r>
    </w:p>
    <w:p w:rsidR="005A4A42" w:rsidRPr="005A4A42" w:rsidRDefault="005A4A42" w:rsidP="005A4A42">
      <w:pPr>
        <w:numPr>
          <w:ilvl w:val="0"/>
          <w:numId w:val="5"/>
        </w:numPr>
        <w:spacing w:after="120"/>
        <w:ind w:left="1134" w:hanging="567"/>
        <w:jc w:val="both"/>
        <w:rPr>
          <w:rFonts w:ascii="Arial" w:eastAsia="SimSun" w:hAnsi="Arial" w:cs="Arial"/>
          <w:sz w:val="22"/>
          <w:szCs w:val="22"/>
        </w:rPr>
      </w:pPr>
      <w:r>
        <w:rPr>
          <w:rFonts w:ascii="Arial" w:hAnsi="Arial"/>
          <w:sz w:val="22"/>
          <w:u w:val="single"/>
        </w:rPr>
        <w:t>Élit</w:t>
      </w:r>
      <w:r>
        <w:rPr>
          <w:rFonts w:ascii="Arial" w:hAnsi="Arial"/>
          <w:sz w:val="22"/>
        </w:rPr>
        <w:t xml:space="preserve"> *** (nom/État partie) Président(e) de l'Assemblée générale ;</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rPr>
      </w:pPr>
      <w:r>
        <w:rPr>
          <w:rFonts w:ascii="Arial" w:hAnsi="Arial"/>
          <w:snapToGrid w:val="0"/>
          <w:sz w:val="22"/>
          <w:u w:val="single"/>
        </w:rPr>
        <w:t>Élit</w:t>
      </w:r>
      <w:r>
        <w:rPr>
          <w:rFonts w:ascii="Arial" w:hAnsi="Arial"/>
          <w:snapToGrid w:val="0"/>
          <w:sz w:val="22"/>
        </w:rPr>
        <w:t xml:space="preserve"> *** (nom/État partie) Rapporteur de l'Assemblée générale ;</w:t>
      </w:r>
    </w:p>
    <w:p w:rsidR="005A4A42" w:rsidRPr="005A4A42" w:rsidRDefault="005A4A42" w:rsidP="005A4A42">
      <w:pPr>
        <w:numPr>
          <w:ilvl w:val="0"/>
          <w:numId w:val="5"/>
        </w:numPr>
        <w:tabs>
          <w:tab w:val="left" w:pos="-737"/>
          <w:tab w:val="left" w:pos="1134"/>
        </w:tabs>
        <w:snapToGrid w:val="0"/>
        <w:spacing w:after="120"/>
        <w:ind w:left="1134" w:hanging="567"/>
        <w:jc w:val="both"/>
        <w:rPr>
          <w:rFonts w:ascii="Arial" w:hAnsi="Arial" w:cs="Arial"/>
          <w:snapToGrid w:val="0"/>
          <w:sz w:val="22"/>
          <w:szCs w:val="22"/>
        </w:rPr>
      </w:pPr>
      <w:r>
        <w:rPr>
          <w:rFonts w:ascii="Arial" w:hAnsi="Arial"/>
          <w:snapToGrid w:val="0"/>
          <w:sz w:val="22"/>
          <w:u w:val="single"/>
        </w:rPr>
        <w:t>Élit</w:t>
      </w:r>
      <w:r>
        <w:rPr>
          <w:rFonts w:ascii="Arial" w:hAnsi="Arial"/>
          <w:snapToGrid w:val="0"/>
          <w:sz w:val="22"/>
        </w:rPr>
        <w:t xml:space="preserve"> *** (État partie), *** (État partie), *** (État partie), *** (État partie) et *** (État partie) Vice-Président(e)s de l'Assemblée générale.</w:t>
      </w:r>
      <w:bookmarkStart w:id="0" w:name="_GoBack"/>
      <w:bookmarkEnd w:id="0"/>
    </w:p>
    <w:sectPr w:rsidR="005A4A42" w:rsidRPr="005A4A42"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6" w:rsidRDefault="00852866" w:rsidP="00655736">
      <w:r>
        <w:separator/>
      </w:r>
    </w:p>
  </w:endnote>
  <w:endnote w:type="continuationSeparator" w:id="0">
    <w:p w:rsidR="00852866" w:rsidRDefault="0085286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6" w:rsidRDefault="00852866" w:rsidP="00655736">
      <w:r>
        <w:separator/>
      </w:r>
    </w:p>
  </w:footnote>
  <w:footnote w:type="continuationSeparator" w:id="0">
    <w:p w:rsidR="00852866" w:rsidRDefault="0085286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C23A97" w:rsidRDefault="00763A0D">
    <w:pPr>
      <w:pStyle w:val="Header"/>
      <w:rPr>
        <w:rFonts w:ascii="Arial" w:hAnsi="Arial" w:cs="Arial"/>
      </w:rPr>
    </w:pPr>
    <w:r>
      <w:rPr>
        <w:rFonts w:ascii="Arial" w:hAnsi="Arial"/>
        <w:sz w:val="20"/>
      </w:rPr>
      <w:t xml:space="preserve">ITH/16/6.GA/2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E0794C">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63300C" w:rsidRDefault="00E14F26" w:rsidP="0063300C">
    <w:pPr>
      <w:pStyle w:val="Header"/>
      <w:jc w:val="right"/>
      <w:rPr>
        <w:rFonts w:ascii="Arial" w:hAnsi="Arial" w:cs="Arial"/>
      </w:rPr>
    </w:pPr>
    <w:r>
      <w:rPr>
        <w:rFonts w:ascii="Arial" w:hAnsi="Arial"/>
        <w:sz w:val="20"/>
      </w:rPr>
      <w:t xml:space="preserve">ITH/16/6.GA/2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E0794C">
      <w:rPr>
        <w:rStyle w:val="PageNumber"/>
        <w:rFonts w:ascii="Arial" w:hAnsi="Arial" w:cs="Arial"/>
        <w:noProof/>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C4C" w:rsidRPr="008724E5" w:rsidRDefault="002730FD">
    <w:pPr>
      <w:pStyle w:val="Header"/>
    </w:pPr>
    <w:r>
      <w:rPr>
        <w:noProof/>
        <w:lang w:bidi="ar-SA"/>
      </w:rPr>
      <w:drawing>
        <wp:anchor distT="0" distB="0" distL="114300" distR="114300" simplePos="0" relativeHeight="251659264" behindDoc="0" locked="0" layoutInCell="1" allowOverlap="1" wp14:anchorId="5142D804" wp14:editId="0C65E71A">
          <wp:simplePos x="0" y="0"/>
          <wp:positionH relativeFrom="column">
            <wp:posOffset>0</wp:posOffset>
          </wp:positionH>
          <wp:positionV relativeFrom="paragraph">
            <wp:posOffset>0</wp:posOffset>
          </wp:positionV>
          <wp:extent cx="2038350" cy="1529080"/>
          <wp:effectExtent l="0" t="0" r="0"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C4C" w:rsidRPr="00C23A97" w:rsidRDefault="00763A0D" w:rsidP="00655736">
    <w:pPr>
      <w:pStyle w:val="Header"/>
      <w:spacing w:after="520"/>
      <w:jc w:val="right"/>
      <w:rPr>
        <w:rFonts w:ascii="Arial" w:hAnsi="Arial" w:cs="Arial"/>
        <w:b/>
        <w:sz w:val="44"/>
        <w:szCs w:val="44"/>
      </w:rPr>
    </w:pPr>
    <w:r>
      <w:rPr>
        <w:rFonts w:ascii="Arial" w:hAnsi="Arial"/>
        <w:b/>
        <w:sz w:val="44"/>
      </w:rPr>
      <w:t>6 GA</w:t>
    </w:r>
  </w:p>
  <w:p w:rsidR="00D95C4C" w:rsidRPr="00C23A97" w:rsidRDefault="00763A0D" w:rsidP="00655736">
    <w:pPr>
      <w:jc w:val="right"/>
      <w:rPr>
        <w:rFonts w:ascii="Arial" w:hAnsi="Arial" w:cs="Arial"/>
        <w:b/>
        <w:sz w:val="22"/>
        <w:szCs w:val="22"/>
      </w:rPr>
    </w:pPr>
    <w:r>
      <w:rPr>
        <w:rFonts w:ascii="Arial" w:hAnsi="Arial"/>
        <w:b/>
        <w:sz w:val="22"/>
      </w:rPr>
      <w:t>ITH/16/6.GA/2</w:t>
    </w:r>
  </w:p>
  <w:p w:rsidR="00D95C4C" w:rsidRPr="00C23A97" w:rsidRDefault="00D95C4C" w:rsidP="00655736">
    <w:pPr>
      <w:jc w:val="right"/>
      <w:rPr>
        <w:rFonts w:ascii="Arial" w:hAnsi="Arial" w:cs="Arial"/>
        <w:b/>
        <w:sz w:val="22"/>
        <w:szCs w:val="22"/>
      </w:rPr>
    </w:pPr>
    <w:r>
      <w:rPr>
        <w:rFonts w:ascii="Arial" w:hAnsi="Arial"/>
        <w:b/>
        <w:sz w:val="22"/>
      </w:rPr>
      <w:t xml:space="preserve">Paris, </w:t>
    </w:r>
    <w:r w:rsidR="00EF6039">
      <w:rPr>
        <w:rFonts w:ascii="Arial" w:hAnsi="Arial"/>
        <w:b/>
        <w:sz w:val="22"/>
      </w:rPr>
      <w:t>le 14 avril</w:t>
    </w:r>
    <w:r>
      <w:rPr>
        <w:rFonts w:ascii="Arial" w:hAnsi="Arial"/>
        <w:b/>
        <w:sz w:val="22"/>
      </w:rPr>
      <w:t xml:space="preserve"> 2016</w:t>
    </w:r>
  </w:p>
  <w:p w:rsidR="00D95C4C" w:rsidRPr="00C23A97" w:rsidRDefault="00D95C4C" w:rsidP="000048ED">
    <w:pPr>
      <w:jc w:val="right"/>
      <w:rPr>
        <w:rFonts w:ascii="Arial" w:hAnsi="Arial" w:cs="Arial"/>
        <w:b/>
        <w:sz w:val="22"/>
        <w:szCs w:val="22"/>
      </w:rPr>
    </w:pPr>
    <w:r>
      <w:rPr>
        <w:rFonts w:ascii="Arial" w:hAnsi="Arial"/>
        <w:b/>
        <w:sz w:val="22"/>
      </w:rPr>
      <w:t>Original : anglais</w:t>
    </w:r>
  </w:p>
  <w:p w:rsidR="00D95C4C" w:rsidRPr="00C23A97" w:rsidRDefault="00D95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0BEA5BB0"/>
    <w:lvl w:ilvl="0" w:tplc="D6283A46">
      <w:start w:val="1"/>
      <w:numFmt w:val="decimal"/>
      <w:lvlText w:val="%1."/>
      <w:lvlJc w:val="left"/>
      <w:pPr>
        <w:tabs>
          <w:tab w:val="num" w:pos="360"/>
        </w:tabs>
        <w:ind w:left="360" w:hanging="360"/>
      </w:pPr>
      <w:rPr>
        <w:rFonts w:ascii="Arial" w:eastAsia="Times New Roman" w:hAnsi="Arial"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1"/>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41A66"/>
    <w:rsid w:val="0005176E"/>
    <w:rsid w:val="000765F7"/>
    <w:rsid w:val="00077AB7"/>
    <w:rsid w:val="00081CD8"/>
    <w:rsid w:val="000A7F0E"/>
    <w:rsid w:val="000C0D61"/>
    <w:rsid w:val="000F3A3F"/>
    <w:rsid w:val="00102557"/>
    <w:rsid w:val="00164D56"/>
    <w:rsid w:val="00167B10"/>
    <w:rsid w:val="0017402F"/>
    <w:rsid w:val="00196C1B"/>
    <w:rsid w:val="001B0F73"/>
    <w:rsid w:val="001D5C04"/>
    <w:rsid w:val="00222A2D"/>
    <w:rsid w:val="00223029"/>
    <w:rsid w:val="00234745"/>
    <w:rsid w:val="002407AF"/>
    <w:rsid w:val="002730FD"/>
    <w:rsid w:val="002869CE"/>
    <w:rsid w:val="002C09E3"/>
    <w:rsid w:val="00345CB4"/>
    <w:rsid w:val="003A0DF4"/>
    <w:rsid w:val="003D069C"/>
    <w:rsid w:val="003D7646"/>
    <w:rsid w:val="003F113A"/>
    <w:rsid w:val="00414643"/>
    <w:rsid w:val="004421E5"/>
    <w:rsid w:val="00452284"/>
    <w:rsid w:val="004856CA"/>
    <w:rsid w:val="0049705E"/>
    <w:rsid w:val="004A34A0"/>
    <w:rsid w:val="00526B7B"/>
    <w:rsid w:val="005308CE"/>
    <w:rsid w:val="00542D4D"/>
    <w:rsid w:val="0057439C"/>
    <w:rsid w:val="005A2FC3"/>
    <w:rsid w:val="005A4A42"/>
    <w:rsid w:val="005B0127"/>
    <w:rsid w:val="005B7A35"/>
    <w:rsid w:val="005C4B73"/>
    <w:rsid w:val="005E1D2B"/>
    <w:rsid w:val="005E7782"/>
    <w:rsid w:val="00600D93"/>
    <w:rsid w:val="0063300C"/>
    <w:rsid w:val="00655736"/>
    <w:rsid w:val="00663B8D"/>
    <w:rsid w:val="00696C8D"/>
    <w:rsid w:val="006A2AC2"/>
    <w:rsid w:val="006A3617"/>
    <w:rsid w:val="006E46E4"/>
    <w:rsid w:val="00717DA5"/>
    <w:rsid w:val="00727767"/>
    <w:rsid w:val="00744484"/>
    <w:rsid w:val="00763A0D"/>
    <w:rsid w:val="00773188"/>
    <w:rsid w:val="00783782"/>
    <w:rsid w:val="00784B8C"/>
    <w:rsid w:val="00823A11"/>
    <w:rsid w:val="00852866"/>
    <w:rsid w:val="0085414A"/>
    <w:rsid w:val="0086269D"/>
    <w:rsid w:val="0086543A"/>
    <w:rsid w:val="008724E5"/>
    <w:rsid w:val="00884A9D"/>
    <w:rsid w:val="0088512B"/>
    <w:rsid w:val="008A2B2D"/>
    <w:rsid w:val="008A4E1E"/>
    <w:rsid w:val="008C296C"/>
    <w:rsid w:val="008D4305"/>
    <w:rsid w:val="009163A7"/>
    <w:rsid w:val="00940A67"/>
    <w:rsid w:val="00946D0B"/>
    <w:rsid w:val="0099499A"/>
    <w:rsid w:val="009A18CD"/>
    <w:rsid w:val="00A12558"/>
    <w:rsid w:val="00A13903"/>
    <w:rsid w:val="00A34ED5"/>
    <w:rsid w:val="00A45DBF"/>
    <w:rsid w:val="00A755A2"/>
    <w:rsid w:val="00AA6660"/>
    <w:rsid w:val="00AB2C36"/>
    <w:rsid w:val="00AB70B6"/>
    <w:rsid w:val="00AD1A86"/>
    <w:rsid w:val="00AE103E"/>
    <w:rsid w:val="00AF0A07"/>
    <w:rsid w:val="00AF4AEC"/>
    <w:rsid w:val="00AF625E"/>
    <w:rsid w:val="00BB04AF"/>
    <w:rsid w:val="00BD52C9"/>
    <w:rsid w:val="00BE6354"/>
    <w:rsid w:val="00C23A97"/>
    <w:rsid w:val="00C65721"/>
    <w:rsid w:val="00C70EA7"/>
    <w:rsid w:val="00C7516E"/>
    <w:rsid w:val="00C75770"/>
    <w:rsid w:val="00C81EAF"/>
    <w:rsid w:val="00D00B2B"/>
    <w:rsid w:val="00D24877"/>
    <w:rsid w:val="00D35141"/>
    <w:rsid w:val="00D95C4C"/>
    <w:rsid w:val="00DA36ED"/>
    <w:rsid w:val="00DE34F1"/>
    <w:rsid w:val="00DF4942"/>
    <w:rsid w:val="00E0794C"/>
    <w:rsid w:val="00E14F26"/>
    <w:rsid w:val="00E627B1"/>
    <w:rsid w:val="00E9376C"/>
    <w:rsid w:val="00EA335E"/>
    <w:rsid w:val="00EA528C"/>
    <w:rsid w:val="00EA539D"/>
    <w:rsid w:val="00EF34E2"/>
    <w:rsid w:val="00EF6039"/>
    <w:rsid w:val="00F53DE9"/>
    <w:rsid w:val="00F576CB"/>
    <w:rsid w:val="00F71A02"/>
    <w:rsid w:val="00FB716F"/>
    <w:rsid w:val="00FD1226"/>
    <w:rsid w:val="00FF0E0F"/>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92791BC-9C92-41C2-A99D-564973A1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fr-FR"/>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1B82-353F-429D-9A93-65EE368F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Template>
  <TotalTime>48</TotalTime>
  <Pages>3</Pages>
  <Words>574</Words>
  <Characters>3160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7</cp:revision>
  <cp:lastPrinted>2016-03-24T15:08:00Z</cp:lastPrinted>
  <dcterms:created xsi:type="dcterms:W3CDTF">2016-03-17T14:14:00Z</dcterms:created>
  <dcterms:modified xsi:type="dcterms:W3CDTF">2016-04-14T08:10:00Z</dcterms:modified>
</cp:coreProperties>
</file>