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736" w:rsidRPr="00414643" w:rsidRDefault="00655736" w:rsidP="005C2336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/>
          <w:b/>
          <w:sz w:val="22"/>
        </w:rPr>
        <w:t>CONVENCIÓN PARA LA SALVAGUARDIA</w:t>
      </w:r>
      <w:r w:rsidR="005C2336">
        <w:rPr>
          <w:rFonts w:ascii="Arial" w:hAnsi="Arial"/>
          <w:b/>
          <w:sz w:val="22"/>
        </w:rPr>
        <w:br/>
      </w:r>
      <w:r>
        <w:rPr>
          <w:rFonts w:ascii="Arial" w:hAnsi="Arial"/>
          <w:b/>
          <w:sz w:val="22"/>
        </w:rPr>
        <w:t>DEL PATRIMONIO CULTURAL INMATERIAL</w:t>
      </w:r>
    </w:p>
    <w:p w:rsidR="00655736" w:rsidRPr="00414643" w:rsidRDefault="00D95C4C" w:rsidP="00FE0A03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ASAMBLEA GENERA</w:t>
      </w:r>
      <w:r w:rsidR="00FE0A03">
        <w:rPr>
          <w:rFonts w:ascii="Arial" w:hAnsi="Arial"/>
          <w:b/>
          <w:sz w:val="22"/>
        </w:rPr>
        <w:t>L</w:t>
      </w:r>
      <w:r>
        <w:rPr>
          <w:rFonts w:ascii="Arial" w:hAnsi="Arial"/>
          <w:b/>
          <w:sz w:val="22"/>
        </w:rPr>
        <w:t xml:space="preserve"> DE LOS ESTADOS PARTES </w:t>
      </w:r>
      <w:r w:rsidR="00FE0A03"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z w:val="22"/>
        </w:rPr>
        <w:t xml:space="preserve"> LA CONVENCIÓN</w:t>
      </w:r>
    </w:p>
    <w:p w:rsidR="00D95C4C" w:rsidRPr="00FD624F" w:rsidRDefault="00763A0D" w:rsidP="00D95C4C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Sexta reunión</w:t>
      </w:r>
    </w:p>
    <w:p w:rsidR="00D95C4C" w:rsidRPr="00FD624F" w:rsidRDefault="00D95C4C" w:rsidP="00D95C4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Sede de la UNESCO, Sala II</w:t>
      </w:r>
    </w:p>
    <w:p w:rsidR="00655736" w:rsidRPr="00414643" w:rsidRDefault="00763A0D" w:rsidP="00B429D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30 de mayo a 1 de junio de 2016</w:t>
      </w:r>
    </w:p>
    <w:p w:rsidR="00655736" w:rsidRPr="00414643" w:rsidRDefault="00655736" w:rsidP="00655736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u w:val="single"/>
        </w:rPr>
        <w:t>Punto 10 del orden del día provisional:</w:t>
      </w:r>
    </w:p>
    <w:p w:rsidR="002F312A" w:rsidRPr="00414643" w:rsidRDefault="00FD301B" w:rsidP="0048088C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Elección de los miembros del Comité Intergubernamental</w:t>
      </w:r>
      <w:r w:rsidR="0048088C">
        <w:rPr>
          <w:rFonts w:ascii="Arial" w:hAnsi="Arial"/>
          <w:b/>
          <w:sz w:val="22"/>
        </w:rPr>
        <w:br/>
      </w:r>
      <w:r>
        <w:rPr>
          <w:rFonts w:ascii="Arial" w:hAnsi="Arial"/>
          <w:b/>
          <w:sz w:val="22"/>
        </w:rPr>
        <w:t>para la Salvaguardia del Patrimonio Cultural Inmaterial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655736" w:rsidRPr="00FD301B" w:rsidTr="002F312A">
        <w:trPr>
          <w:jc w:val="center"/>
        </w:trPr>
        <w:tc>
          <w:tcPr>
            <w:tcW w:w="5670" w:type="dxa"/>
            <w:vAlign w:val="center"/>
          </w:tcPr>
          <w:p w:rsidR="0057439C" w:rsidRDefault="0057439C" w:rsidP="005B7A35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Resumen</w:t>
            </w:r>
          </w:p>
          <w:p w:rsidR="00FD301B" w:rsidRPr="00FD301B" w:rsidRDefault="003C7218" w:rsidP="000047F8">
            <w:pPr>
              <w:spacing w:before="200" w:after="240"/>
              <w:ind w:left="284" w:right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El </w:t>
            </w:r>
            <w:r w:rsidR="00291AD7">
              <w:rPr>
                <w:rFonts w:ascii="Arial" w:hAnsi="Arial"/>
                <w:sz w:val="22"/>
              </w:rPr>
              <w:t>Artículo </w:t>
            </w:r>
            <w:r w:rsidR="00FD301B">
              <w:rPr>
                <w:rFonts w:ascii="Arial" w:hAnsi="Arial"/>
                <w:sz w:val="22"/>
              </w:rPr>
              <w:t xml:space="preserve">5 de la Convención dispone que el Comité Intergubernamental para la Salvaguardia del Patrimonio Cultural Inmaterial está establecido por representantes de </w:t>
            </w:r>
            <w:r w:rsidR="00291AD7">
              <w:rPr>
                <w:rFonts w:ascii="Arial" w:hAnsi="Arial"/>
                <w:sz w:val="22"/>
              </w:rPr>
              <w:t>24 </w:t>
            </w:r>
            <w:r w:rsidR="00FD301B">
              <w:rPr>
                <w:rFonts w:ascii="Arial" w:hAnsi="Arial"/>
                <w:sz w:val="22"/>
              </w:rPr>
              <w:t xml:space="preserve">Estados Partes </w:t>
            </w:r>
            <w:r w:rsidR="00291AD7">
              <w:rPr>
                <w:rFonts w:ascii="Arial" w:hAnsi="Arial"/>
                <w:sz w:val="22"/>
              </w:rPr>
              <w:t xml:space="preserve">en </w:t>
            </w:r>
            <w:r w:rsidR="00FD301B">
              <w:rPr>
                <w:rFonts w:ascii="Arial" w:hAnsi="Arial"/>
                <w:sz w:val="22"/>
              </w:rPr>
              <w:t xml:space="preserve">la Convención. El </w:t>
            </w:r>
            <w:r w:rsidR="00291AD7">
              <w:rPr>
                <w:rFonts w:ascii="Arial" w:hAnsi="Arial"/>
                <w:sz w:val="22"/>
              </w:rPr>
              <w:t>Artículo </w:t>
            </w:r>
            <w:r w:rsidR="00FD301B">
              <w:rPr>
                <w:rFonts w:ascii="Arial" w:hAnsi="Arial"/>
                <w:sz w:val="22"/>
              </w:rPr>
              <w:t>6 dispone que la Asamblea General renovará la mitad de los Estados miembros del Comité cada dos años.</w:t>
            </w:r>
          </w:p>
          <w:p w:rsidR="00655736" w:rsidRPr="00414643" w:rsidRDefault="00EE49EE" w:rsidP="00FD301B">
            <w:pPr>
              <w:pStyle w:val="Sansinterligne2"/>
              <w:spacing w:after="120"/>
              <w:ind w:left="31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Decisión</w:t>
            </w:r>
            <w:r w:rsidR="0057439C">
              <w:rPr>
                <w:rFonts w:ascii="Arial" w:hAnsi="Arial"/>
                <w:b/>
                <w:sz w:val="22"/>
              </w:rPr>
              <w:t xml:space="preserve"> requerida: </w:t>
            </w:r>
            <w:r w:rsidR="0057439C">
              <w:rPr>
                <w:rFonts w:ascii="Arial" w:hAnsi="Arial"/>
                <w:sz w:val="22"/>
              </w:rPr>
              <w:t>párrafo 7</w:t>
            </w:r>
          </w:p>
        </w:tc>
      </w:tr>
    </w:tbl>
    <w:p w:rsidR="00176720" w:rsidRDefault="00655736" w:rsidP="00176720">
      <w:pPr>
        <w:pStyle w:val="GAPara"/>
        <w:numPr>
          <w:ilvl w:val="0"/>
          <w:numId w:val="0"/>
        </w:numPr>
        <w:jc w:val="both"/>
      </w:pPr>
      <w:r>
        <w:br w:type="page"/>
      </w:r>
    </w:p>
    <w:p w:rsidR="00653718" w:rsidRDefault="000047F8" w:rsidP="00653718">
      <w:pPr>
        <w:pStyle w:val="Marge"/>
        <w:numPr>
          <w:ilvl w:val="0"/>
          <w:numId w:val="19"/>
        </w:numPr>
        <w:spacing w:after="120"/>
        <w:ind w:left="567" w:hanging="567"/>
        <w:rPr>
          <w:szCs w:val="22"/>
        </w:rPr>
      </w:pPr>
      <w:r>
        <w:lastRenderedPageBreak/>
        <w:t>El A</w:t>
      </w:r>
      <w:r w:rsidR="00653718">
        <w:t xml:space="preserve">rtículo 5 de la Convención dispone que el Comité Intergubernamental para la Salvaguardia del Patrimonio Cultural Inmaterial consistirá de 24 Estados Partes elegidos por la Asamblea General de los Estados Partes. </w:t>
      </w:r>
    </w:p>
    <w:p w:rsidR="00653718" w:rsidRDefault="00653718" w:rsidP="000047F8">
      <w:pPr>
        <w:pStyle w:val="Marge"/>
        <w:numPr>
          <w:ilvl w:val="0"/>
          <w:numId w:val="19"/>
        </w:numPr>
        <w:spacing w:after="120"/>
        <w:ind w:left="567" w:hanging="567"/>
        <w:rPr>
          <w:szCs w:val="22"/>
        </w:rPr>
      </w:pPr>
      <w:r>
        <w:t xml:space="preserve">De conformidad con el </w:t>
      </w:r>
      <w:r w:rsidR="000047F8">
        <w:t xml:space="preserve">Artículo </w:t>
      </w:r>
      <w:r>
        <w:t xml:space="preserve">6 de la Convención, los Estados miembros de Comité serán elegidos por un período de cuatro años. La elección se regirá por los principios de representación geográfica equitativa y la rotación. Cada dos años, la Asamblea General renovará a la mitad de los Estados miembros del Comité. Así mismo, elegirá a tantos Estados miembros en el Comité como vacantes haya. No se puede elegir a un Estado miembro del Comité por dos mandatos consecutivos. </w:t>
      </w:r>
    </w:p>
    <w:p w:rsidR="00CC2875" w:rsidRDefault="00E6066C" w:rsidP="0087570B">
      <w:pPr>
        <w:pStyle w:val="Marge"/>
        <w:numPr>
          <w:ilvl w:val="0"/>
          <w:numId w:val="19"/>
        </w:numPr>
        <w:spacing w:after="120"/>
        <w:ind w:left="567" w:hanging="567"/>
        <w:rPr>
          <w:szCs w:val="22"/>
        </w:rPr>
      </w:pPr>
      <w:r>
        <w:t>Además, según lo estipulado en la Norma 13 del Reglamento de la Asamblea General, la elección de los Miembros del Comité se llevará a cabo en base a los grupos electorales de la UNESCO, teniendo en cuenta que el «Grupo V» estará compuesto por dos grupos separados de los Estados africano y árabe. Los asientos en el Comité se distribuirán entre los grupos electorales en proporción al número de Estados Partes de cada grupo, siempre que una vez hecha la distribución a cada grupo se le atribuyan un mínimo de tres asientos.</w:t>
      </w:r>
    </w:p>
    <w:p w:rsidR="00653718" w:rsidRPr="00C909F2" w:rsidRDefault="00653718" w:rsidP="00653718">
      <w:pPr>
        <w:pStyle w:val="Marge"/>
        <w:numPr>
          <w:ilvl w:val="0"/>
          <w:numId w:val="19"/>
        </w:numPr>
        <w:spacing w:after="120"/>
        <w:ind w:left="567" w:hanging="567"/>
        <w:rPr>
          <w:szCs w:val="22"/>
        </w:rPr>
      </w:pPr>
      <w:r>
        <w:t>De conformidad con la Norma 14 del Reglamento de la Asamblea General, tres meses antes de la apertura de la sexta reunión de la Asamblea General, la Secretaría preguntó a los Estados Partes si querían presentarse a las elecciones del Comité. La lista provisional de Estados Partes candidatos está incluida en el documento ITH/16/6.GA/INF.10.</w:t>
      </w:r>
    </w:p>
    <w:p w:rsidR="00653718" w:rsidRPr="00C909F2" w:rsidRDefault="00653718" w:rsidP="00653718">
      <w:pPr>
        <w:pStyle w:val="Marge"/>
        <w:numPr>
          <w:ilvl w:val="0"/>
          <w:numId w:val="19"/>
        </w:numPr>
        <w:spacing w:after="120"/>
        <w:ind w:left="567" w:hanging="567"/>
        <w:rPr>
          <w:iCs/>
          <w:szCs w:val="22"/>
        </w:rPr>
      </w:pPr>
      <w:r>
        <w:rPr>
          <w:rStyle w:val="Emphasis"/>
          <w:i w:val="0"/>
        </w:rPr>
        <w:t xml:space="preserve">Según el Artículo 26.5 de la Convención, </w:t>
      </w:r>
      <w:r>
        <w:t>«</w:t>
      </w:r>
      <w:r>
        <w:rPr>
          <w:rStyle w:val="Emphasis"/>
          <w:i w:val="0"/>
        </w:rPr>
        <w:t>Ningún Estado Parte en la presente Convención que esté atrasado en el pago de su contribución obligatoria o voluntaria para el año en curso y el año civil inmediatamente anterior podrá ser elegido miembro del Comité» y «El mandato de un Estado Parte que se encuentre en tal situación y que ya sea miembro del Comité finalizará en el momento en que tengan lugar las elecciones previstas».</w:t>
      </w:r>
    </w:p>
    <w:p w:rsidR="00653718" w:rsidRPr="00C909F2" w:rsidRDefault="00653718" w:rsidP="00653718">
      <w:pPr>
        <w:pStyle w:val="Marge"/>
        <w:numPr>
          <w:ilvl w:val="0"/>
          <w:numId w:val="19"/>
        </w:numPr>
        <w:spacing w:after="120"/>
        <w:ind w:left="567" w:hanging="567"/>
        <w:rPr>
          <w:szCs w:val="22"/>
        </w:rPr>
      </w:pPr>
      <w:r>
        <w:t xml:space="preserve">La elección de los Miembros del Comité se lleva a cabo según la Norma 15 del Reglamento de la Asamblea General, en particular la Norma 15.1: «La elección de los Miembros del Comité se llevará a cabo por votación secreta excepto cuando el número de candidatos en la distribución geográfica es igual o menor que el número de vacantes, en cuyo caso los candidatos serán elegidos sin necesidad de votación». </w:t>
      </w:r>
    </w:p>
    <w:p w:rsidR="00653718" w:rsidRPr="00C909F2" w:rsidRDefault="00653718" w:rsidP="00653718">
      <w:pPr>
        <w:pStyle w:val="Marge"/>
        <w:numPr>
          <w:ilvl w:val="0"/>
          <w:numId w:val="19"/>
        </w:numPr>
        <w:spacing w:after="120"/>
        <w:ind w:left="567" w:hanging="567"/>
        <w:rPr>
          <w:szCs w:val="22"/>
        </w:rPr>
      </w:pPr>
      <w:r>
        <w:t>La Asamblea General podría adoptar la siguiente resolución:</w:t>
      </w:r>
    </w:p>
    <w:p w:rsidR="00653718" w:rsidRPr="00C909F2" w:rsidRDefault="00653718" w:rsidP="00653718">
      <w:pPr>
        <w:pStyle w:val="alina"/>
        <w:spacing w:before="360"/>
        <w:rPr>
          <w:b/>
          <w:sz w:val="22"/>
          <w:szCs w:val="22"/>
        </w:rPr>
      </w:pPr>
      <w:r>
        <w:rPr>
          <w:b/>
          <w:sz w:val="22"/>
        </w:rPr>
        <w:t>PROYECTO DE RESOLUCIÓN 6.GA 10</w:t>
      </w:r>
    </w:p>
    <w:p w:rsidR="00653718" w:rsidRPr="00C909F2" w:rsidRDefault="00653718" w:rsidP="00653718">
      <w:pPr>
        <w:pStyle w:val="alina"/>
        <w:spacing w:after="120"/>
        <w:rPr>
          <w:sz w:val="22"/>
          <w:szCs w:val="22"/>
        </w:rPr>
      </w:pPr>
      <w:r>
        <w:rPr>
          <w:sz w:val="22"/>
        </w:rPr>
        <w:t>La Asamblea General,</w:t>
      </w:r>
    </w:p>
    <w:p w:rsidR="00653718" w:rsidRPr="00C909F2" w:rsidRDefault="00653718" w:rsidP="00653718">
      <w:pPr>
        <w:pStyle w:val="b"/>
        <w:spacing w:after="120"/>
        <w:rPr>
          <w:szCs w:val="22"/>
        </w:rPr>
      </w:pPr>
      <w:r>
        <w:t>1.</w:t>
      </w:r>
      <w:r>
        <w:tab/>
      </w:r>
      <w:r>
        <w:rPr>
          <w:u w:val="single"/>
        </w:rPr>
        <w:t>Habiendo examinado</w:t>
      </w:r>
      <w:r>
        <w:t xml:space="preserve"> el documento ITH/16/6.GA/10,</w:t>
      </w:r>
    </w:p>
    <w:p w:rsidR="00653718" w:rsidRPr="00C909F2" w:rsidRDefault="00653718" w:rsidP="00653718">
      <w:pPr>
        <w:pStyle w:val="b"/>
        <w:spacing w:after="120"/>
        <w:rPr>
          <w:szCs w:val="22"/>
        </w:rPr>
      </w:pPr>
      <w:r>
        <w:t>2.</w:t>
      </w:r>
      <w:r>
        <w:tab/>
      </w:r>
      <w:r>
        <w:rPr>
          <w:u w:val="single"/>
        </w:rPr>
        <w:t>Recordando</w:t>
      </w:r>
      <w:r>
        <w:t xml:space="preserve"> los </w:t>
      </w:r>
      <w:r w:rsidR="00291AD7">
        <w:t>Artículos </w:t>
      </w:r>
      <w:r>
        <w:t xml:space="preserve">5, 6 y 26.5 de la Convención y </w:t>
      </w:r>
      <w:r w:rsidR="00291AD7">
        <w:t>los Artículos </w:t>
      </w:r>
      <w:r>
        <w:t xml:space="preserve">13, 14 y 15 </w:t>
      </w:r>
      <w:r w:rsidR="00291AD7">
        <w:t xml:space="preserve">de su </w:t>
      </w:r>
      <w:r>
        <w:t>Reglamento,</w:t>
      </w:r>
    </w:p>
    <w:p w:rsidR="00653718" w:rsidRPr="00C909F2" w:rsidRDefault="00653718" w:rsidP="00653718">
      <w:pPr>
        <w:pStyle w:val="b"/>
        <w:spacing w:after="120"/>
        <w:rPr>
          <w:szCs w:val="22"/>
        </w:rPr>
      </w:pPr>
      <w:r>
        <w:t>3.</w:t>
      </w:r>
      <w:r>
        <w:tab/>
      </w:r>
      <w:r>
        <w:rPr>
          <w:u w:val="single"/>
        </w:rPr>
        <w:t>Recordando asimismo</w:t>
      </w:r>
      <w:r>
        <w:t xml:space="preserve"> la Resolución 6.</w:t>
      </w:r>
      <w:r w:rsidR="00291AD7">
        <w:t>GA </w:t>
      </w:r>
      <w:r>
        <w:t>4,</w:t>
      </w:r>
    </w:p>
    <w:p w:rsidR="00653718" w:rsidRPr="00C909F2" w:rsidRDefault="00653718" w:rsidP="00653718">
      <w:pPr>
        <w:pStyle w:val="b"/>
        <w:spacing w:after="120"/>
        <w:rPr>
          <w:szCs w:val="22"/>
        </w:rPr>
      </w:pPr>
      <w:r>
        <w:t>4.</w:t>
      </w:r>
      <w:r>
        <w:tab/>
      </w:r>
      <w:r>
        <w:rPr>
          <w:u w:val="single"/>
        </w:rPr>
        <w:t>Elige</w:t>
      </w:r>
      <w:r>
        <w:t xml:space="preserve"> a los siguientes 12 Estados Partes </w:t>
      </w:r>
      <w:r w:rsidR="00291AD7">
        <w:t>miembros d</w:t>
      </w:r>
      <w:r>
        <w:t xml:space="preserve">el Comité Intergubernamental para la Salvaguarda del Patrimonio Cultural Inmaterial por un período de cuatro años </w:t>
      </w:r>
      <w:r w:rsidR="00291AD7">
        <w:t xml:space="preserve">a partir de </w:t>
      </w:r>
      <w:r>
        <w:t>la fecha de elección:</w:t>
      </w:r>
    </w:p>
    <w:p w:rsidR="00653718" w:rsidRPr="00C909F2" w:rsidRDefault="00653718" w:rsidP="00653718">
      <w:pPr>
        <w:pStyle w:val="c"/>
        <w:spacing w:after="120"/>
        <w:rPr>
          <w:sz w:val="22"/>
          <w:szCs w:val="22"/>
        </w:rPr>
      </w:pPr>
      <w:r>
        <w:rPr>
          <w:sz w:val="22"/>
        </w:rPr>
        <w:t>Grupo I:</w:t>
      </w:r>
    </w:p>
    <w:p w:rsidR="00653718" w:rsidRPr="00C909F2" w:rsidRDefault="00653718" w:rsidP="00653718">
      <w:pPr>
        <w:pStyle w:val="c"/>
        <w:spacing w:after="120"/>
        <w:rPr>
          <w:sz w:val="22"/>
          <w:szCs w:val="22"/>
        </w:rPr>
      </w:pPr>
      <w:r>
        <w:rPr>
          <w:sz w:val="22"/>
        </w:rPr>
        <w:t>Grupo II:</w:t>
      </w:r>
    </w:p>
    <w:p w:rsidR="00653718" w:rsidRPr="00C909F2" w:rsidRDefault="00653718" w:rsidP="00653718">
      <w:pPr>
        <w:pStyle w:val="c"/>
        <w:spacing w:after="120"/>
        <w:rPr>
          <w:sz w:val="22"/>
          <w:szCs w:val="22"/>
        </w:rPr>
      </w:pPr>
      <w:r>
        <w:rPr>
          <w:sz w:val="22"/>
        </w:rPr>
        <w:t>Grupo III:</w:t>
      </w:r>
    </w:p>
    <w:p w:rsidR="00653718" w:rsidRPr="00C909F2" w:rsidRDefault="00653718" w:rsidP="00653718">
      <w:pPr>
        <w:pStyle w:val="c"/>
        <w:spacing w:after="120"/>
        <w:rPr>
          <w:sz w:val="22"/>
          <w:szCs w:val="22"/>
        </w:rPr>
      </w:pPr>
      <w:r>
        <w:rPr>
          <w:sz w:val="22"/>
        </w:rPr>
        <w:t>Grupo IV:</w:t>
      </w:r>
    </w:p>
    <w:p w:rsidR="00653718" w:rsidRPr="00C909F2" w:rsidRDefault="00653718" w:rsidP="00653718">
      <w:pPr>
        <w:pStyle w:val="c"/>
        <w:spacing w:after="120"/>
        <w:rPr>
          <w:sz w:val="22"/>
          <w:szCs w:val="22"/>
        </w:rPr>
      </w:pPr>
      <w:r>
        <w:rPr>
          <w:sz w:val="22"/>
        </w:rPr>
        <w:t>Grupo V(a):</w:t>
      </w:r>
    </w:p>
    <w:p w:rsidR="00176720" w:rsidRDefault="00653718" w:rsidP="00966F85">
      <w:pPr>
        <w:pStyle w:val="c"/>
        <w:spacing w:after="120"/>
      </w:pPr>
      <w:r>
        <w:rPr>
          <w:sz w:val="22"/>
        </w:rPr>
        <w:t>Grupo V(b):</w:t>
      </w:r>
    </w:p>
    <w:sectPr w:rsidR="00176720" w:rsidSect="00176720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866" w:rsidRDefault="00852866" w:rsidP="00655736">
      <w:r>
        <w:separator/>
      </w:r>
    </w:p>
  </w:endnote>
  <w:endnote w:type="continuationSeparator" w:id="0">
    <w:p w:rsidR="00852866" w:rsidRDefault="00852866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866" w:rsidRDefault="00852866" w:rsidP="00655736">
      <w:r>
        <w:separator/>
      </w:r>
    </w:p>
  </w:footnote>
  <w:footnote w:type="continuationSeparator" w:id="0">
    <w:p w:rsidR="00852866" w:rsidRDefault="00852866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C4C" w:rsidRPr="00C23A97" w:rsidRDefault="00763A0D">
    <w:pPr>
      <w:pStyle w:val="Header"/>
      <w:rPr>
        <w:rFonts w:ascii="Arial" w:hAnsi="Arial" w:cs="Arial"/>
      </w:rPr>
    </w:pPr>
    <w:r>
      <w:rPr>
        <w:rFonts w:ascii="Arial" w:hAnsi="Arial"/>
        <w:sz w:val="20"/>
      </w:rPr>
      <w:t xml:space="preserve">ITH/16/6.GA/10 – página </w:t>
    </w:r>
    <w:r w:rsidR="00D95C4C" w:rsidRPr="00C23A97">
      <w:rPr>
        <w:rStyle w:val="PageNumber"/>
        <w:rFonts w:ascii="Arial" w:hAnsi="Arial" w:cs="Arial"/>
        <w:sz w:val="20"/>
        <w:szCs w:val="20"/>
      </w:rPr>
      <w:fldChar w:fldCharType="begin"/>
    </w:r>
    <w:r w:rsidR="00D95C4C" w:rsidRPr="00C23A97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  <w:szCs w:val="20"/>
      </w:rPr>
      <w:fldChar w:fldCharType="separate"/>
    </w:r>
    <w:r w:rsidR="003D6146">
      <w:rPr>
        <w:rStyle w:val="PageNumber"/>
        <w:rFonts w:ascii="Arial" w:hAnsi="Arial" w:cs="Arial"/>
        <w:noProof/>
        <w:sz w:val="20"/>
        <w:szCs w:val="20"/>
      </w:rPr>
      <w:t>2</w:t>
    </w:r>
    <w:r w:rsidR="00D95C4C" w:rsidRPr="00C23A97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C4C" w:rsidRPr="0063300C" w:rsidRDefault="00B96B09" w:rsidP="0063300C">
    <w:pPr>
      <w:pStyle w:val="Header"/>
      <w:jc w:val="right"/>
      <w:rPr>
        <w:rFonts w:ascii="Arial" w:hAnsi="Arial" w:cs="Arial"/>
      </w:rPr>
    </w:pPr>
    <w:r>
      <w:rPr>
        <w:rFonts w:ascii="Arial" w:hAnsi="Arial"/>
        <w:sz w:val="20"/>
      </w:rPr>
      <w:t xml:space="preserve">ITH/14/6.GA/XX – página </w:t>
    </w:r>
    <w:r w:rsidR="004A34A0" w:rsidRPr="0063300C">
      <w:rPr>
        <w:rStyle w:val="PageNumber"/>
        <w:rFonts w:ascii="Arial" w:hAnsi="Arial" w:cs="Arial"/>
        <w:sz w:val="20"/>
        <w:szCs w:val="20"/>
      </w:rPr>
      <w:fldChar w:fldCharType="begin"/>
    </w:r>
    <w:r w:rsidR="004A34A0" w:rsidRPr="0063300C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4A34A0" w:rsidRPr="0063300C">
      <w:rPr>
        <w:rStyle w:val="PageNumber"/>
        <w:rFonts w:ascii="Arial" w:hAnsi="Arial" w:cs="Arial"/>
        <w:sz w:val="20"/>
        <w:szCs w:val="20"/>
      </w:rPr>
      <w:fldChar w:fldCharType="separate"/>
    </w:r>
    <w:r w:rsidR="00843B56">
      <w:rPr>
        <w:rStyle w:val="PageNumber"/>
        <w:rFonts w:ascii="Arial" w:hAnsi="Arial" w:cs="Arial"/>
        <w:noProof/>
        <w:sz w:val="20"/>
        <w:szCs w:val="20"/>
      </w:rPr>
      <w:t>3</w:t>
    </w:r>
    <w:r w:rsidR="004A34A0" w:rsidRPr="0063300C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C4C" w:rsidRPr="008724E5" w:rsidRDefault="00FE0A03">
    <w:pPr>
      <w:pStyle w:val="Header"/>
    </w:pPr>
    <w:r>
      <w:rPr>
        <w:noProof/>
        <w:lang w:val="fr-FR" w:eastAsia="fr-FR" w:bidi="ar-SA"/>
      </w:rPr>
      <w:drawing>
        <wp:anchor distT="0" distB="0" distL="114300" distR="114300" simplePos="0" relativeHeight="251659264" behindDoc="1" locked="0" layoutInCell="1" allowOverlap="1" wp14:anchorId="3F74C0C3" wp14:editId="7D13BF32">
          <wp:simplePos x="0" y="0"/>
          <wp:positionH relativeFrom="column">
            <wp:posOffset>-350520</wp:posOffset>
          </wp:positionH>
          <wp:positionV relativeFrom="paragraph">
            <wp:posOffset>0</wp:posOffset>
          </wp:positionV>
          <wp:extent cx="2133600" cy="1438275"/>
          <wp:effectExtent l="0" t="0" r="0" b="9525"/>
          <wp:wrapNone/>
          <wp:docPr id="1" name="Image 1" descr="unesco_logo_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sco_logo_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323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5C4C" w:rsidRPr="00C23A97" w:rsidRDefault="00763A0D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</w:rPr>
    </w:pPr>
    <w:r>
      <w:rPr>
        <w:rFonts w:ascii="Arial" w:hAnsi="Arial"/>
        <w:b/>
        <w:sz w:val="44"/>
      </w:rPr>
      <w:t>6 GA</w:t>
    </w:r>
  </w:p>
  <w:p w:rsidR="00D95C4C" w:rsidRPr="00C23A97" w:rsidRDefault="00763A0D" w:rsidP="00655736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/>
        <w:b/>
        <w:sz w:val="22"/>
      </w:rPr>
      <w:t>ITH/16/6.GA/10</w:t>
    </w:r>
  </w:p>
  <w:p w:rsidR="00D95C4C" w:rsidRPr="00C23A97" w:rsidRDefault="00D95C4C" w:rsidP="00655736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/>
        <w:b/>
        <w:sz w:val="22"/>
      </w:rPr>
      <w:t xml:space="preserve">París, </w:t>
    </w:r>
    <w:r w:rsidR="0020643C">
      <w:rPr>
        <w:rFonts w:ascii="Arial" w:hAnsi="Arial"/>
        <w:b/>
        <w:sz w:val="22"/>
      </w:rPr>
      <w:t>22</w:t>
    </w:r>
    <w:r>
      <w:rPr>
        <w:rFonts w:ascii="Arial" w:hAnsi="Arial"/>
        <w:b/>
        <w:sz w:val="22"/>
      </w:rPr>
      <w:t xml:space="preserve">de </w:t>
    </w:r>
    <w:r w:rsidR="00291AD7">
      <w:rPr>
        <w:rFonts w:ascii="Arial" w:hAnsi="Arial"/>
        <w:b/>
        <w:sz w:val="22"/>
      </w:rPr>
      <w:t xml:space="preserve">abril </w:t>
    </w:r>
    <w:r>
      <w:rPr>
        <w:rFonts w:ascii="Arial" w:hAnsi="Arial"/>
        <w:b/>
        <w:sz w:val="22"/>
      </w:rPr>
      <w:t>de 2016</w:t>
    </w:r>
  </w:p>
  <w:p w:rsidR="00D95C4C" w:rsidRPr="00C23A97" w:rsidRDefault="00D95C4C" w:rsidP="000048ED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/>
        <w:b/>
        <w:sz w:val="22"/>
      </w:rPr>
      <w:t>Original: Inglés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F07BFE"/>
    <w:multiLevelType w:val="hybridMultilevel"/>
    <w:tmpl w:val="E24AD55A"/>
    <w:lvl w:ilvl="0" w:tplc="76CAC304">
      <w:start w:val="1"/>
      <w:numFmt w:val="decimal"/>
      <w:pStyle w:val="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7A4DB1"/>
    <w:multiLevelType w:val="hybridMultilevel"/>
    <w:tmpl w:val="1F36D964"/>
    <w:lvl w:ilvl="0" w:tplc="918ACE6A">
      <w:start w:val="1"/>
      <w:numFmt w:val="decimal"/>
      <w:pStyle w:val="GAParaResolut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55155AE9"/>
    <w:multiLevelType w:val="hybridMultilevel"/>
    <w:tmpl w:val="DFE29FF2"/>
    <w:lvl w:ilvl="0" w:tplc="879837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21DD0"/>
    <w:multiLevelType w:val="hybridMultilevel"/>
    <w:tmpl w:val="DE18BC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E7254"/>
    <w:multiLevelType w:val="hybridMultilevel"/>
    <w:tmpl w:val="49909E62"/>
    <w:lvl w:ilvl="0" w:tplc="5FF6C1A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82F79"/>
    <w:multiLevelType w:val="hybridMultilevel"/>
    <w:tmpl w:val="EE7243B4"/>
    <w:lvl w:ilvl="0" w:tplc="4F7CBCD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15"/>
  </w:num>
  <w:num w:numId="5">
    <w:abstractNumId w:val="13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  <w:num w:numId="13">
    <w:abstractNumId w:val="14"/>
  </w:num>
  <w:num w:numId="14">
    <w:abstractNumId w:val="9"/>
  </w:num>
  <w:num w:numId="15">
    <w:abstractNumId w:val="11"/>
  </w:num>
  <w:num w:numId="16">
    <w:abstractNumId w:val="5"/>
  </w:num>
  <w:num w:numId="17">
    <w:abstractNumId w:val="5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866"/>
    <w:rsid w:val="000047F8"/>
    <w:rsid w:val="000048ED"/>
    <w:rsid w:val="00041A66"/>
    <w:rsid w:val="0005176E"/>
    <w:rsid w:val="000765F7"/>
    <w:rsid w:val="00077AB7"/>
    <w:rsid w:val="00081CD8"/>
    <w:rsid w:val="000A7F0E"/>
    <w:rsid w:val="000C0D61"/>
    <w:rsid w:val="000F3A3F"/>
    <w:rsid w:val="00102557"/>
    <w:rsid w:val="00164D56"/>
    <w:rsid w:val="00167B10"/>
    <w:rsid w:val="0017402F"/>
    <w:rsid w:val="00176720"/>
    <w:rsid w:val="00196C1B"/>
    <w:rsid w:val="001A3D87"/>
    <w:rsid w:val="001B0F73"/>
    <w:rsid w:val="001D5C04"/>
    <w:rsid w:val="0020643C"/>
    <w:rsid w:val="00222A2D"/>
    <w:rsid w:val="00223029"/>
    <w:rsid w:val="00234745"/>
    <w:rsid w:val="002407AF"/>
    <w:rsid w:val="00291AD7"/>
    <w:rsid w:val="002C09E3"/>
    <w:rsid w:val="002F2017"/>
    <w:rsid w:val="002F312A"/>
    <w:rsid w:val="00345CB4"/>
    <w:rsid w:val="003549B8"/>
    <w:rsid w:val="003C7218"/>
    <w:rsid w:val="003D069C"/>
    <w:rsid w:val="003D6146"/>
    <w:rsid w:val="003D650C"/>
    <w:rsid w:val="003D7646"/>
    <w:rsid w:val="003F113A"/>
    <w:rsid w:val="00414643"/>
    <w:rsid w:val="00430017"/>
    <w:rsid w:val="004421E5"/>
    <w:rsid w:val="00452284"/>
    <w:rsid w:val="0048088C"/>
    <w:rsid w:val="004856CA"/>
    <w:rsid w:val="0049705E"/>
    <w:rsid w:val="004A34A0"/>
    <w:rsid w:val="00526B7B"/>
    <w:rsid w:val="005308CE"/>
    <w:rsid w:val="0057439C"/>
    <w:rsid w:val="005B0127"/>
    <w:rsid w:val="005B7A35"/>
    <w:rsid w:val="005C2336"/>
    <w:rsid w:val="005C4B73"/>
    <w:rsid w:val="005E1D2B"/>
    <w:rsid w:val="00600D93"/>
    <w:rsid w:val="0063300C"/>
    <w:rsid w:val="00653718"/>
    <w:rsid w:val="00655736"/>
    <w:rsid w:val="00663B8D"/>
    <w:rsid w:val="00696C8D"/>
    <w:rsid w:val="006A2AC2"/>
    <w:rsid w:val="006A3617"/>
    <w:rsid w:val="006E46E4"/>
    <w:rsid w:val="00717DA5"/>
    <w:rsid w:val="00744484"/>
    <w:rsid w:val="00763A0D"/>
    <w:rsid w:val="00771D5F"/>
    <w:rsid w:val="00773188"/>
    <w:rsid w:val="00783782"/>
    <w:rsid w:val="00784B8C"/>
    <w:rsid w:val="007D42D5"/>
    <w:rsid w:val="00823A11"/>
    <w:rsid w:val="00835A84"/>
    <w:rsid w:val="00843B56"/>
    <w:rsid w:val="00852866"/>
    <w:rsid w:val="0085414A"/>
    <w:rsid w:val="0086269D"/>
    <w:rsid w:val="0086543A"/>
    <w:rsid w:val="008724E5"/>
    <w:rsid w:val="0087570B"/>
    <w:rsid w:val="00884A9D"/>
    <w:rsid w:val="0088512B"/>
    <w:rsid w:val="008A2B2D"/>
    <w:rsid w:val="008A4E1E"/>
    <w:rsid w:val="008C296C"/>
    <w:rsid w:val="008D4305"/>
    <w:rsid w:val="009163A7"/>
    <w:rsid w:val="00946D0B"/>
    <w:rsid w:val="00966F85"/>
    <w:rsid w:val="009A18CD"/>
    <w:rsid w:val="00A12558"/>
    <w:rsid w:val="00A13903"/>
    <w:rsid w:val="00A34ED5"/>
    <w:rsid w:val="00A45DBF"/>
    <w:rsid w:val="00A755A2"/>
    <w:rsid w:val="00A95ADF"/>
    <w:rsid w:val="00AA6660"/>
    <w:rsid w:val="00AB2C36"/>
    <w:rsid w:val="00AB70B6"/>
    <w:rsid w:val="00AD1A86"/>
    <w:rsid w:val="00AE103E"/>
    <w:rsid w:val="00AF0A07"/>
    <w:rsid w:val="00AF4AEC"/>
    <w:rsid w:val="00AF625E"/>
    <w:rsid w:val="00B429D0"/>
    <w:rsid w:val="00B96B09"/>
    <w:rsid w:val="00BB04AF"/>
    <w:rsid w:val="00BD52C9"/>
    <w:rsid w:val="00BE6354"/>
    <w:rsid w:val="00C23A97"/>
    <w:rsid w:val="00C4607C"/>
    <w:rsid w:val="00C51090"/>
    <w:rsid w:val="00C70EA7"/>
    <w:rsid w:val="00C7516E"/>
    <w:rsid w:val="00C75770"/>
    <w:rsid w:val="00CC2875"/>
    <w:rsid w:val="00CC4EDD"/>
    <w:rsid w:val="00D00B2B"/>
    <w:rsid w:val="00D24877"/>
    <w:rsid w:val="00D95C4C"/>
    <w:rsid w:val="00DA36ED"/>
    <w:rsid w:val="00DC5A43"/>
    <w:rsid w:val="00DE34F1"/>
    <w:rsid w:val="00DF4942"/>
    <w:rsid w:val="00E6066C"/>
    <w:rsid w:val="00E627B1"/>
    <w:rsid w:val="00E9376C"/>
    <w:rsid w:val="00EA335E"/>
    <w:rsid w:val="00EA528C"/>
    <w:rsid w:val="00EE49EE"/>
    <w:rsid w:val="00EF34E2"/>
    <w:rsid w:val="00EF4F1F"/>
    <w:rsid w:val="00F252E5"/>
    <w:rsid w:val="00F53DE9"/>
    <w:rsid w:val="00F576CB"/>
    <w:rsid w:val="00F71A02"/>
    <w:rsid w:val="00F744AD"/>
    <w:rsid w:val="00FD1226"/>
    <w:rsid w:val="00FD301B"/>
    <w:rsid w:val="00FE0A0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DA09B63E-07E5-458B-8079-D6E69921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s-ES" w:eastAsia="es-ES" w:bidi="es-ES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s-ES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s-E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jc w:val="both"/>
    </w:pPr>
    <w:rPr>
      <w:rFonts w:ascii="Arial" w:eastAsia="SimSun" w:hAnsi="Arial" w:cs="Arial"/>
      <w:sz w:val="22"/>
      <w:szCs w:val="22"/>
      <w:u w:val="single"/>
    </w:rPr>
  </w:style>
  <w:style w:type="paragraph" w:styleId="ListParagraph">
    <w:name w:val="List Paragraph"/>
    <w:basedOn w:val="Normal"/>
    <w:uiPriority w:val="34"/>
    <w:qFormat/>
    <w:rsid w:val="002F312A"/>
    <w:pPr>
      <w:ind w:left="720"/>
      <w:contextualSpacing/>
    </w:pPr>
  </w:style>
  <w:style w:type="paragraph" w:customStyle="1" w:styleId="alina">
    <w:name w:val="alinéa"/>
    <w:basedOn w:val="Normal"/>
    <w:rsid w:val="00653718"/>
    <w:pPr>
      <w:spacing w:after="240"/>
      <w:ind w:left="567"/>
      <w:jc w:val="both"/>
    </w:pPr>
    <w:rPr>
      <w:rFonts w:ascii="Arial" w:hAnsi="Arial"/>
      <w:snapToGrid w:val="0"/>
    </w:rPr>
  </w:style>
  <w:style w:type="paragraph" w:customStyle="1" w:styleId="c">
    <w:name w:val="(c)"/>
    <w:basedOn w:val="Normal"/>
    <w:rsid w:val="00653718"/>
    <w:pPr>
      <w:tabs>
        <w:tab w:val="left" w:pos="1701"/>
      </w:tabs>
      <w:spacing w:after="240"/>
      <w:ind w:left="1701" w:hanging="567"/>
      <w:jc w:val="both"/>
    </w:pPr>
    <w:rPr>
      <w:rFonts w:ascii="Arial" w:hAnsi="Arial"/>
    </w:rPr>
  </w:style>
  <w:style w:type="character" w:styleId="Emphasis">
    <w:name w:val="Emphasis"/>
    <w:uiPriority w:val="20"/>
    <w:qFormat/>
    <w:rsid w:val="006537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4_STATUTORY%20MEETINGS\2014-06_5GA_PARIS\Documents%205.GA\00_Templates\GA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10762-8ADE-4E6B-A775-18CD4F58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GA_Working document_EN</Template>
  <TotalTime>28</TotalTime>
  <Pages>2</Pages>
  <Words>565</Words>
  <Characters>3110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Delsol, Christine</dc:creator>
  <cp:lastModifiedBy>Delsol, Christine</cp:lastModifiedBy>
  <cp:revision>15</cp:revision>
  <cp:lastPrinted>2011-08-06T09:22:00Z</cp:lastPrinted>
  <dcterms:created xsi:type="dcterms:W3CDTF">2016-04-08T07:44:00Z</dcterms:created>
  <dcterms:modified xsi:type="dcterms:W3CDTF">2016-04-22T10:04:00Z</dcterms:modified>
</cp:coreProperties>
</file>