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420" w:rsidRPr="00761349" w:rsidRDefault="00BC3420" w:rsidP="00BC3420">
      <w:pPr>
        <w:spacing w:before="1440"/>
        <w:jc w:val="center"/>
        <w:rPr>
          <w:rFonts w:ascii="Arial" w:hAnsi="Arial" w:cs="Arial"/>
          <w:b/>
          <w:sz w:val="22"/>
          <w:szCs w:val="22"/>
        </w:rPr>
      </w:pPr>
      <w:r w:rsidRPr="00761349">
        <w:rPr>
          <w:rFonts w:ascii="Arial" w:hAnsi="Arial" w:cs="Arial"/>
          <w:b/>
          <w:sz w:val="22"/>
          <w:szCs w:val="22"/>
        </w:rPr>
        <w:t>CONVENTION POUR LA SAUVEGARDE DU</w:t>
      </w:r>
      <w:r w:rsidRPr="00761349">
        <w:rPr>
          <w:rFonts w:ascii="Arial" w:hAnsi="Arial" w:cs="Arial"/>
          <w:b/>
          <w:sz w:val="22"/>
          <w:szCs w:val="22"/>
        </w:rPr>
        <w:br/>
        <w:t>PATRIMOINE CULTUREL IMMATÉRIEL</w:t>
      </w:r>
    </w:p>
    <w:p w:rsidR="00BC3420" w:rsidRPr="00761349" w:rsidRDefault="00BC3420" w:rsidP="00BC3420">
      <w:pPr>
        <w:spacing w:before="1200"/>
        <w:jc w:val="center"/>
        <w:rPr>
          <w:rFonts w:ascii="Arial" w:hAnsi="Arial" w:cs="Arial"/>
          <w:b/>
          <w:sz w:val="22"/>
          <w:szCs w:val="22"/>
        </w:rPr>
      </w:pPr>
      <w:r w:rsidRPr="00761349">
        <w:rPr>
          <w:rFonts w:ascii="Arial" w:hAnsi="Arial" w:cs="Arial"/>
          <w:b/>
          <w:sz w:val="22"/>
          <w:szCs w:val="22"/>
        </w:rPr>
        <w:t>COMITÉ INTERGOUVERNEMENTAL DE SAUVEGARDE</w:t>
      </w:r>
      <w:r w:rsidRPr="00761349">
        <w:rPr>
          <w:rFonts w:ascii="Arial" w:hAnsi="Arial" w:cs="Arial"/>
          <w:b/>
          <w:sz w:val="22"/>
          <w:szCs w:val="22"/>
        </w:rPr>
        <w:br/>
        <w:t>DU PATRIMOINE CULTUREL IMMATÉRIEL</w:t>
      </w:r>
    </w:p>
    <w:p w:rsidR="00BB633D" w:rsidRPr="00761349" w:rsidRDefault="00BB633D" w:rsidP="00BB633D">
      <w:pPr>
        <w:spacing w:before="840"/>
        <w:jc w:val="center"/>
        <w:rPr>
          <w:rFonts w:ascii="Arial" w:hAnsi="Arial" w:cs="Arial"/>
          <w:b/>
          <w:sz w:val="22"/>
          <w:szCs w:val="22"/>
        </w:rPr>
      </w:pPr>
      <w:r w:rsidRPr="00761349">
        <w:rPr>
          <w:rFonts w:ascii="Arial" w:hAnsi="Arial" w:cs="Arial"/>
          <w:b/>
          <w:sz w:val="22"/>
          <w:szCs w:val="22"/>
        </w:rPr>
        <w:t>Consultation électronique du Bureau</w:t>
      </w:r>
    </w:p>
    <w:p w:rsidR="00BB633D" w:rsidRPr="00A86A64" w:rsidRDefault="00D3492D" w:rsidP="00BB633D">
      <w:pPr>
        <w:jc w:val="center"/>
        <w:rPr>
          <w:rFonts w:ascii="Arial" w:hAnsi="Arial" w:cs="Arial"/>
          <w:b/>
          <w:sz w:val="22"/>
          <w:szCs w:val="22"/>
        </w:rPr>
      </w:pPr>
      <w:r>
        <w:rPr>
          <w:rFonts w:ascii="Arial" w:hAnsi="Arial" w:cs="Arial"/>
          <w:b/>
          <w:sz w:val="22"/>
          <w:szCs w:val="22"/>
        </w:rPr>
        <w:t>du 2 au 17 juin 2016</w:t>
      </w:r>
    </w:p>
    <w:p w:rsidR="00FF01F1" w:rsidRPr="00BB79A0" w:rsidRDefault="00FF01F1" w:rsidP="00FF01F1">
      <w:pPr>
        <w:adjustRightInd w:val="0"/>
        <w:spacing w:before="1200" w:after="1200"/>
        <w:jc w:val="center"/>
        <w:rPr>
          <w:rFonts w:ascii="Arial" w:hAnsi="Arial" w:cs="Arial"/>
          <w:noProof/>
          <w:sz w:val="22"/>
          <w:szCs w:val="22"/>
        </w:rPr>
      </w:pPr>
      <w:r w:rsidRPr="00BB79A0">
        <w:rPr>
          <w:rFonts w:ascii="Arial" w:hAnsi="Arial" w:cs="Arial"/>
          <w:b/>
          <w:sz w:val="22"/>
          <w:szCs w:val="22"/>
          <w:u w:val="single"/>
        </w:rPr>
        <w:t>DÉCISIONS</w:t>
      </w:r>
    </w:p>
    <w:p w:rsidR="00BB633D" w:rsidRPr="00761349" w:rsidRDefault="00BC3420" w:rsidP="00BB633D">
      <w:pPr>
        <w:pStyle w:val="GATitleResolution"/>
        <w:spacing w:before="360"/>
        <w:ind w:left="0"/>
      </w:pPr>
      <w:r w:rsidRPr="00761349">
        <w:br w:type="page"/>
      </w:r>
      <w:r w:rsidR="00BB633D" w:rsidRPr="00761349">
        <w:lastRenderedPageBreak/>
        <w:t xml:space="preserve">DÉCISION </w:t>
      </w:r>
      <w:r w:rsidR="00BB633D">
        <w:t xml:space="preserve">11.COM </w:t>
      </w:r>
      <w:r w:rsidR="00D524B9">
        <w:t>2</w:t>
      </w:r>
      <w:r w:rsidR="00BB633D">
        <w:t xml:space="preserve">.BUR 1 </w:t>
      </w:r>
    </w:p>
    <w:p w:rsidR="00BB633D" w:rsidRPr="00761349" w:rsidRDefault="00BB633D" w:rsidP="00BB633D">
      <w:pPr>
        <w:pStyle w:val="COMPreambulaDecision"/>
        <w:ind w:left="0"/>
      </w:pPr>
      <w:r w:rsidRPr="00761349">
        <w:t>Le Bureau,</w:t>
      </w:r>
    </w:p>
    <w:p w:rsidR="00D524B9" w:rsidRPr="009C7F4B" w:rsidRDefault="00D524B9" w:rsidP="00D524B9">
      <w:pPr>
        <w:pStyle w:val="ListParagraph"/>
        <w:numPr>
          <w:ilvl w:val="0"/>
          <w:numId w:val="26"/>
        </w:numPr>
        <w:autoSpaceDE w:val="0"/>
        <w:autoSpaceDN w:val="0"/>
        <w:adjustRightInd w:val="0"/>
        <w:spacing w:after="120"/>
        <w:ind w:left="567" w:hanging="567"/>
        <w:contextualSpacing w:val="0"/>
        <w:jc w:val="both"/>
        <w:rPr>
          <w:rFonts w:ascii="Arial" w:eastAsia="SimSun" w:hAnsi="Arial" w:cs="Arial"/>
          <w:sz w:val="22"/>
          <w:szCs w:val="22"/>
          <w:u w:val="single"/>
        </w:rPr>
      </w:pPr>
      <w:r w:rsidRPr="009C7F4B">
        <w:rPr>
          <w:rFonts w:ascii="Arial" w:eastAsia="SimSun" w:hAnsi="Arial" w:cs="Arial"/>
          <w:sz w:val="22"/>
          <w:szCs w:val="22"/>
          <w:u w:val="single"/>
        </w:rPr>
        <w:t>Ayant examiné</w:t>
      </w:r>
      <w:r w:rsidRPr="009C7F4B">
        <w:rPr>
          <w:rFonts w:ascii="Arial" w:eastAsia="SimSun" w:hAnsi="Arial" w:cs="Arial"/>
          <w:sz w:val="22"/>
          <w:szCs w:val="22"/>
        </w:rPr>
        <w:t xml:space="preserve"> le document ITH/16/11.COM 2.BUR/1 et son annexe, ainsi que le document ITH/16/11.COM 2.BUR/INF.1, </w:t>
      </w:r>
    </w:p>
    <w:p w:rsidR="00D524B9" w:rsidRPr="009C7F4B" w:rsidRDefault="00D524B9" w:rsidP="00D524B9">
      <w:pPr>
        <w:pStyle w:val="ListParagraph"/>
        <w:numPr>
          <w:ilvl w:val="0"/>
          <w:numId w:val="26"/>
        </w:numPr>
        <w:autoSpaceDE w:val="0"/>
        <w:autoSpaceDN w:val="0"/>
        <w:adjustRightInd w:val="0"/>
        <w:spacing w:after="120"/>
        <w:ind w:left="567" w:hanging="567"/>
        <w:contextualSpacing w:val="0"/>
        <w:jc w:val="both"/>
        <w:rPr>
          <w:rFonts w:ascii="Arial" w:eastAsia="SimSun" w:hAnsi="Arial" w:cs="Arial"/>
          <w:sz w:val="22"/>
          <w:szCs w:val="22"/>
          <w:u w:val="single"/>
        </w:rPr>
      </w:pPr>
      <w:r w:rsidRPr="009C7F4B">
        <w:rPr>
          <w:rFonts w:ascii="Arial" w:eastAsia="SimSun" w:hAnsi="Arial" w:cs="Arial"/>
          <w:sz w:val="22"/>
          <w:szCs w:val="22"/>
          <w:u w:val="single"/>
        </w:rPr>
        <w:t>Rappelant</w:t>
      </w:r>
      <w:r w:rsidRPr="009C7F4B">
        <w:rPr>
          <w:rFonts w:ascii="Arial" w:eastAsia="SimSun" w:hAnsi="Arial" w:cs="Arial"/>
          <w:sz w:val="22"/>
          <w:szCs w:val="22"/>
        </w:rPr>
        <w:t xml:space="preserve"> la résolution 6.GA 9 et la décision 10.COM 8,</w:t>
      </w:r>
    </w:p>
    <w:p w:rsidR="00D524B9" w:rsidRPr="009C7F4B" w:rsidRDefault="00D524B9" w:rsidP="00D524B9">
      <w:pPr>
        <w:pStyle w:val="ListParagraph"/>
        <w:numPr>
          <w:ilvl w:val="0"/>
          <w:numId w:val="26"/>
        </w:numPr>
        <w:autoSpaceDE w:val="0"/>
        <w:autoSpaceDN w:val="0"/>
        <w:adjustRightInd w:val="0"/>
        <w:spacing w:after="120"/>
        <w:ind w:left="567" w:hanging="567"/>
        <w:contextualSpacing w:val="0"/>
        <w:jc w:val="both"/>
        <w:rPr>
          <w:rFonts w:ascii="Arial" w:eastAsia="SimSun" w:hAnsi="Arial" w:cs="Arial"/>
          <w:sz w:val="22"/>
          <w:szCs w:val="22"/>
        </w:rPr>
      </w:pPr>
      <w:r w:rsidRPr="009C7F4B">
        <w:rPr>
          <w:rFonts w:ascii="Arial" w:eastAsia="SimSun" w:hAnsi="Arial" w:cs="Arial"/>
          <w:sz w:val="22"/>
          <w:szCs w:val="22"/>
          <w:u w:val="single"/>
        </w:rPr>
        <w:t>Approuve</w:t>
      </w:r>
      <w:r w:rsidRPr="009C7F4B">
        <w:rPr>
          <w:rFonts w:ascii="Arial" w:eastAsia="SimSun" w:hAnsi="Arial" w:cs="Arial"/>
          <w:sz w:val="22"/>
          <w:szCs w:val="22"/>
        </w:rPr>
        <w:t xml:space="preserve"> la proposition d’utilisation des fonds pour les « autres fonctions du Comité » telle qu’annexée à la présente décision ;</w:t>
      </w:r>
    </w:p>
    <w:p w:rsidR="00D524B9" w:rsidRPr="009C7F4B" w:rsidRDefault="00D524B9" w:rsidP="00D524B9">
      <w:pPr>
        <w:pStyle w:val="ListParagraph"/>
        <w:numPr>
          <w:ilvl w:val="0"/>
          <w:numId w:val="26"/>
        </w:numPr>
        <w:autoSpaceDE w:val="0"/>
        <w:autoSpaceDN w:val="0"/>
        <w:adjustRightInd w:val="0"/>
        <w:spacing w:after="120"/>
        <w:ind w:left="567" w:hanging="567"/>
        <w:contextualSpacing w:val="0"/>
        <w:jc w:val="both"/>
        <w:rPr>
          <w:rFonts w:ascii="Arial" w:eastAsia="SimSun" w:hAnsi="Arial" w:cs="Arial"/>
          <w:sz w:val="22"/>
          <w:szCs w:val="22"/>
        </w:rPr>
      </w:pPr>
      <w:r w:rsidRPr="009C7F4B">
        <w:rPr>
          <w:rFonts w:ascii="Arial" w:eastAsia="SimSun" w:hAnsi="Arial" w:cs="Arial"/>
          <w:sz w:val="22"/>
          <w:szCs w:val="22"/>
          <w:u w:val="single"/>
        </w:rPr>
        <w:t>Demande</w:t>
      </w:r>
      <w:r w:rsidRPr="009C7F4B">
        <w:rPr>
          <w:rFonts w:ascii="Arial" w:eastAsia="SimSun" w:hAnsi="Arial" w:cs="Arial"/>
          <w:sz w:val="22"/>
          <w:szCs w:val="22"/>
        </w:rPr>
        <w:t xml:space="preserve"> au Secrétariat de rendre compte de l’avancement de la mise en œuvre et de la façon dont les fonds sont dépensés ;</w:t>
      </w:r>
    </w:p>
    <w:p w:rsidR="00D524B9" w:rsidRPr="009C7F4B" w:rsidRDefault="00D524B9" w:rsidP="00D524B9">
      <w:pPr>
        <w:pStyle w:val="ListParagraph"/>
        <w:numPr>
          <w:ilvl w:val="0"/>
          <w:numId w:val="26"/>
        </w:numPr>
        <w:autoSpaceDE w:val="0"/>
        <w:autoSpaceDN w:val="0"/>
        <w:adjustRightInd w:val="0"/>
        <w:spacing w:after="120"/>
        <w:ind w:left="567" w:hanging="567"/>
        <w:contextualSpacing w:val="0"/>
        <w:jc w:val="both"/>
        <w:rPr>
          <w:rFonts w:ascii="Arial" w:eastAsia="SimSun" w:hAnsi="Arial" w:cs="Arial"/>
          <w:sz w:val="22"/>
          <w:szCs w:val="22"/>
        </w:rPr>
      </w:pPr>
      <w:r w:rsidRPr="009C7F4B">
        <w:rPr>
          <w:rFonts w:ascii="Arial" w:eastAsia="SimSun" w:hAnsi="Arial" w:cs="Arial"/>
          <w:sz w:val="22"/>
          <w:szCs w:val="22"/>
          <w:u w:val="single"/>
        </w:rPr>
        <w:t>Invite</w:t>
      </w:r>
      <w:r w:rsidRPr="009C7F4B">
        <w:rPr>
          <w:rFonts w:ascii="Arial" w:eastAsia="SimSun" w:hAnsi="Arial" w:cs="Arial"/>
          <w:sz w:val="22"/>
          <w:szCs w:val="22"/>
        </w:rPr>
        <w:t xml:space="preserve"> le Président du Comité à porter cette décision à l’attention du Comité lors de sa onzième session.</w:t>
      </w:r>
    </w:p>
    <w:p w:rsidR="00D524B9" w:rsidRPr="009C7F4B" w:rsidRDefault="00D524B9" w:rsidP="00D524B9">
      <w:pPr>
        <w:snapToGrid w:val="0"/>
        <w:spacing w:before="120" w:after="120"/>
        <w:jc w:val="center"/>
        <w:rPr>
          <w:rFonts w:ascii="Arial" w:hAnsi="Arial" w:cs="Arial"/>
          <w:b/>
          <w:bCs/>
          <w:snapToGrid w:val="0"/>
          <w:sz w:val="22"/>
          <w:szCs w:val="22"/>
          <w:lang w:eastAsia="en-US"/>
        </w:rPr>
      </w:pPr>
      <w:r w:rsidRPr="009C7F4B">
        <w:rPr>
          <w:rFonts w:ascii="Arial" w:hAnsi="Arial" w:cs="Arial"/>
          <w:b/>
          <w:bCs/>
          <w:snapToGrid w:val="0"/>
          <w:sz w:val="22"/>
          <w:szCs w:val="22"/>
          <w:lang w:eastAsia="en-US"/>
        </w:rPr>
        <w:t>ANNEXE</w:t>
      </w:r>
    </w:p>
    <w:p w:rsidR="00D524B9" w:rsidRPr="009C7F4B" w:rsidRDefault="00D524B9" w:rsidP="00D524B9">
      <w:pPr>
        <w:snapToGrid w:val="0"/>
        <w:spacing w:before="120" w:after="120"/>
        <w:jc w:val="center"/>
        <w:rPr>
          <w:rFonts w:ascii="Arial" w:hAnsi="Arial" w:cs="Arial"/>
          <w:b/>
          <w:bCs/>
          <w:snapToGrid w:val="0"/>
          <w:sz w:val="22"/>
          <w:szCs w:val="22"/>
          <w:lang w:eastAsia="en-US"/>
        </w:rPr>
      </w:pPr>
      <w:r w:rsidRPr="009C7F4B">
        <w:rPr>
          <w:rFonts w:ascii="Arial" w:hAnsi="Arial" w:cs="Arial"/>
          <w:b/>
          <w:bCs/>
          <w:snapToGrid w:val="0"/>
          <w:sz w:val="22"/>
          <w:szCs w:val="22"/>
          <w:lang w:eastAsia="en-US"/>
        </w:rPr>
        <w:t>Proposition d’utilisation des fonds pour les « autres fonctions du comité »</w:t>
      </w:r>
      <w:r w:rsidRPr="009C7F4B">
        <w:rPr>
          <w:rFonts w:ascii="Arial" w:hAnsi="Arial" w:cs="Arial"/>
          <w:b/>
          <w:bCs/>
          <w:snapToGrid w:val="0"/>
          <w:sz w:val="22"/>
          <w:szCs w:val="22"/>
          <w:lang w:eastAsia="en-US"/>
        </w:rPr>
        <w:br/>
        <w:t>pour la période du 1</w:t>
      </w:r>
      <w:r w:rsidRPr="009C7F4B">
        <w:rPr>
          <w:rFonts w:ascii="Arial" w:hAnsi="Arial" w:cs="Arial"/>
          <w:b/>
          <w:bCs/>
          <w:snapToGrid w:val="0"/>
          <w:sz w:val="22"/>
          <w:szCs w:val="22"/>
          <w:vertAlign w:val="superscript"/>
          <w:lang w:eastAsia="en-US"/>
        </w:rPr>
        <w:t>er</w:t>
      </w:r>
      <w:r w:rsidRPr="009C7F4B">
        <w:rPr>
          <w:rFonts w:ascii="Arial" w:hAnsi="Arial" w:cs="Arial"/>
          <w:b/>
          <w:bCs/>
          <w:snapToGrid w:val="0"/>
          <w:sz w:val="22"/>
          <w:szCs w:val="22"/>
          <w:lang w:eastAsia="en-US"/>
        </w:rPr>
        <w:t xml:space="preserve"> janvier 2016 au 31 décembre 2017</w:t>
      </w:r>
    </w:p>
    <w:p w:rsidR="00D524B9" w:rsidRPr="009C7F4B" w:rsidRDefault="00D524B9" w:rsidP="00D524B9">
      <w:pPr>
        <w:tabs>
          <w:tab w:val="left" w:pos="567"/>
        </w:tabs>
        <w:snapToGrid w:val="0"/>
        <w:spacing w:before="360" w:after="360"/>
        <w:jc w:val="both"/>
        <w:rPr>
          <w:rFonts w:ascii="Arial" w:hAnsi="Arial" w:cs="Arial"/>
          <w:snapToGrid w:val="0"/>
          <w:sz w:val="22"/>
          <w:szCs w:val="22"/>
          <w:lang w:eastAsia="en-US"/>
        </w:rPr>
      </w:pPr>
      <w:r w:rsidRPr="009C7F4B">
        <w:rPr>
          <w:rFonts w:ascii="Arial" w:hAnsi="Arial" w:cs="Arial"/>
          <w:snapToGrid w:val="0"/>
          <w:sz w:val="22"/>
          <w:szCs w:val="22"/>
          <w:lang w:eastAsia="en-US"/>
        </w:rPr>
        <w:t>Les fonds seront utilisés conformément au Règlement financier du Compte spécial pour le Fonds pour la sauvegarde du patrimoine culturel immatériel et au Règlement financier de l’UNESCO qui exigent de couvrir tous les coûts selon les principes de la budgétisation intégrale pour atteindre les objectifs du projet. Ces coûts incluent : la formation, les séminaires et les réunions ; la préparation des rapports techniques ; le suivi et l’évaluation ; la sous-traitance ; le personnel ; les voyages ; le matériel et tout autre élément nécessaire pour mettre en œuvre les activités du projet.</w:t>
      </w:r>
    </w:p>
    <w:tbl>
      <w:tblPr>
        <w:tblStyle w:val="Grilledutableau1"/>
        <w:tblW w:w="5000" w:type="pct"/>
        <w:tblLayout w:type="fixed"/>
        <w:tblLook w:val="04A0" w:firstRow="1" w:lastRow="0" w:firstColumn="1" w:lastColumn="0" w:noHBand="0" w:noVBand="1"/>
      </w:tblPr>
      <w:tblGrid>
        <w:gridCol w:w="2263"/>
        <w:gridCol w:w="7365"/>
      </w:tblGrid>
      <w:tr w:rsidR="00D524B9" w:rsidRPr="009C7F4B" w:rsidTr="00246717">
        <w:trPr>
          <w:cantSplit/>
        </w:trPr>
        <w:tc>
          <w:tcPr>
            <w:tcW w:w="1175" w:type="pct"/>
            <w:shd w:val="clear" w:color="auto" w:fill="F2F2F2" w:themeFill="background1" w:themeFillShade="F2"/>
            <w:vAlign w:val="center"/>
          </w:tcPr>
          <w:p w:rsidR="00D524B9" w:rsidRPr="009C7F4B" w:rsidRDefault="00D524B9" w:rsidP="00246717">
            <w:pPr>
              <w:keepNext/>
              <w:spacing w:before="120" w:after="120"/>
              <w:rPr>
                <w:rFonts w:ascii="Arial" w:hAnsi="Arial" w:cs="Arial"/>
                <w:b/>
                <w:bCs/>
                <w:sz w:val="22"/>
                <w:szCs w:val="22"/>
              </w:rPr>
            </w:pPr>
            <w:r w:rsidRPr="009C7F4B">
              <w:rPr>
                <w:rFonts w:ascii="Arial" w:hAnsi="Arial" w:cs="Arial"/>
                <w:b/>
                <w:bCs/>
                <w:sz w:val="22"/>
                <w:szCs w:val="22"/>
              </w:rPr>
              <w:t>199OTH4138</w:t>
            </w:r>
          </w:p>
        </w:tc>
        <w:tc>
          <w:tcPr>
            <w:tcW w:w="3825" w:type="pct"/>
            <w:shd w:val="clear" w:color="auto" w:fill="F2F2F2" w:themeFill="background1" w:themeFillShade="F2"/>
            <w:vAlign w:val="center"/>
          </w:tcPr>
          <w:p w:rsidR="00D524B9" w:rsidRPr="009C7F4B" w:rsidRDefault="00D524B9" w:rsidP="00246717">
            <w:pPr>
              <w:keepNext/>
              <w:spacing w:before="120" w:after="120"/>
              <w:rPr>
                <w:rFonts w:ascii="Arial" w:hAnsi="Arial" w:cs="Arial"/>
                <w:b/>
                <w:bCs/>
                <w:sz w:val="22"/>
                <w:szCs w:val="22"/>
              </w:rPr>
            </w:pPr>
            <w:r w:rsidRPr="009C7F4B">
              <w:rPr>
                <w:rFonts w:ascii="Arial" w:hAnsi="Arial" w:cs="Arial"/>
                <w:b/>
                <w:bCs/>
                <w:sz w:val="22"/>
                <w:szCs w:val="22"/>
              </w:rPr>
              <w:t xml:space="preserve">Dotation budgétaire totale : </w:t>
            </w:r>
            <w:r w:rsidRPr="009C7F4B">
              <w:rPr>
                <w:rFonts w:ascii="Arial" w:hAnsi="Arial" w:cs="Arial"/>
                <w:b/>
                <w:bCs/>
                <w:sz w:val="22"/>
                <w:szCs w:val="22"/>
              </w:rPr>
              <w:br/>
              <w:t xml:space="preserve">1 590 746,00 dollars des États-Unis </w:t>
            </w:r>
          </w:p>
        </w:tc>
      </w:tr>
    </w:tbl>
    <w:p w:rsidR="00D524B9" w:rsidRPr="009C7F4B" w:rsidRDefault="00D524B9" w:rsidP="00D524B9">
      <w:pPr>
        <w:tabs>
          <w:tab w:val="left" w:pos="567"/>
        </w:tabs>
        <w:snapToGrid w:val="0"/>
        <w:spacing w:before="120" w:after="120"/>
        <w:jc w:val="both"/>
        <w:rPr>
          <w:rFonts w:ascii="Arial" w:hAnsi="Arial" w:cs="Arial"/>
          <w:b/>
          <w:bCs/>
          <w:snapToGrid w:val="0"/>
          <w:sz w:val="22"/>
          <w:szCs w:val="22"/>
          <w:lang w:eastAsia="en-US"/>
        </w:rPr>
      </w:pPr>
    </w:p>
    <w:tbl>
      <w:tblPr>
        <w:tblStyle w:val="Grilledutableau1"/>
        <w:tblW w:w="5000" w:type="pct"/>
        <w:tblLook w:val="04A0" w:firstRow="1" w:lastRow="0" w:firstColumn="1" w:lastColumn="0" w:noHBand="0" w:noVBand="1"/>
      </w:tblPr>
      <w:tblGrid>
        <w:gridCol w:w="730"/>
        <w:gridCol w:w="1558"/>
        <w:gridCol w:w="2890"/>
        <w:gridCol w:w="4450"/>
      </w:tblGrid>
      <w:tr w:rsidR="00D524B9" w:rsidRPr="009C7F4B" w:rsidTr="00246717">
        <w:trPr>
          <w:cantSplit/>
        </w:trPr>
        <w:tc>
          <w:tcPr>
            <w:tcW w:w="1188" w:type="pct"/>
            <w:gridSpan w:val="2"/>
            <w:shd w:val="clear" w:color="auto" w:fill="808080" w:themeFill="background1" w:themeFillShade="80"/>
            <w:vAlign w:val="center"/>
          </w:tcPr>
          <w:p w:rsidR="00D524B9" w:rsidRPr="009C7F4B" w:rsidRDefault="00D524B9" w:rsidP="00246717">
            <w:pPr>
              <w:keepNext/>
              <w:spacing w:before="120" w:after="120"/>
              <w:rPr>
                <w:rFonts w:ascii="Arial" w:hAnsi="Arial" w:cs="Arial"/>
                <w:b/>
                <w:bCs/>
                <w:color w:val="FFFFFF" w:themeColor="background1"/>
                <w:sz w:val="22"/>
                <w:szCs w:val="22"/>
              </w:rPr>
            </w:pPr>
            <w:r w:rsidRPr="009C7F4B">
              <w:rPr>
                <w:rFonts w:ascii="Arial" w:hAnsi="Arial" w:cs="Arial"/>
                <w:b/>
                <w:bCs/>
                <w:color w:val="FFFFFF" w:themeColor="background1"/>
                <w:sz w:val="22"/>
                <w:szCs w:val="22"/>
              </w:rPr>
              <w:t>38C/5 Indicateur de performance 1</w:t>
            </w:r>
          </w:p>
        </w:tc>
        <w:tc>
          <w:tcPr>
            <w:tcW w:w="3812" w:type="pct"/>
            <w:gridSpan w:val="2"/>
            <w:shd w:val="clear" w:color="auto" w:fill="808080" w:themeFill="background1" w:themeFillShade="80"/>
            <w:vAlign w:val="center"/>
          </w:tcPr>
          <w:p w:rsidR="00D524B9" w:rsidRPr="009C7F4B" w:rsidRDefault="00D524B9" w:rsidP="00246717">
            <w:pPr>
              <w:keepNext/>
              <w:spacing w:before="120" w:after="120"/>
              <w:rPr>
                <w:rFonts w:ascii="Arial" w:hAnsi="Arial" w:cs="Arial"/>
                <w:b/>
                <w:bCs/>
                <w:color w:val="FFFFFF" w:themeColor="background1"/>
                <w:sz w:val="22"/>
                <w:szCs w:val="22"/>
              </w:rPr>
            </w:pPr>
            <w:r w:rsidRPr="009C7F4B">
              <w:rPr>
                <w:rFonts w:ascii="Arial" w:hAnsi="Arial" w:cs="Arial"/>
                <w:b/>
                <w:bCs/>
                <w:color w:val="FFFFFF" w:themeColor="background1"/>
                <w:sz w:val="22"/>
                <w:szCs w:val="22"/>
              </w:rPr>
              <w:t>Bonne gouvernance exercée par les organes directeurs de la Convention de 2003 grâce à l’organisation efficace de leurs réunions statutaires</w:t>
            </w:r>
          </w:p>
        </w:tc>
      </w:tr>
      <w:tr w:rsidR="00D524B9" w:rsidRPr="009C7F4B" w:rsidTr="00246717">
        <w:trPr>
          <w:cantSplit/>
        </w:trPr>
        <w:tc>
          <w:tcPr>
            <w:tcW w:w="1188" w:type="pct"/>
            <w:gridSpan w:val="2"/>
            <w:shd w:val="clear" w:color="auto" w:fill="F2F2F2" w:themeFill="background1" w:themeFillShade="F2"/>
            <w:vAlign w:val="center"/>
          </w:tcPr>
          <w:p w:rsidR="00D524B9" w:rsidRPr="009C7F4B" w:rsidRDefault="00D524B9" w:rsidP="00246717">
            <w:pPr>
              <w:keepNext/>
              <w:spacing w:before="60" w:after="60"/>
              <w:rPr>
                <w:rFonts w:ascii="Arial" w:hAnsi="Arial" w:cs="Arial"/>
                <w:b/>
                <w:bCs/>
                <w:sz w:val="22"/>
                <w:szCs w:val="22"/>
              </w:rPr>
            </w:pPr>
            <w:r w:rsidRPr="009C7F4B">
              <w:rPr>
                <w:rFonts w:ascii="Arial" w:hAnsi="Arial" w:cs="Arial"/>
                <w:b/>
                <w:bCs/>
                <w:sz w:val="22"/>
                <w:szCs w:val="22"/>
              </w:rPr>
              <w:t>Résultat escompté 1 du Fonds du PCI</w:t>
            </w:r>
          </w:p>
        </w:tc>
        <w:tc>
          <w:tcPr>
            <w:tcW w:w="3812" w:type="pct"/>
            <w:gridSpan w:val="2"/>
            <w:shd w:val="clear" w:color="auto" w:fill="F2F2F2" w:themeFill="background1" w:themeFillShade="F2"/>
            <w:vAlign w:val="center"/>
          </w:tcPr>
          <w:p w:rsidR="00D524B9" w:rsidRPr="009C7F4B" w:rsidRDefault="00D524B9" w:rsidP="00246717">
            <w:pPr>
              <w:keepNext/>
              <w:spacing w:before="60" w:after="60"/>
              <w:rPr>
                <w:rFonts w:ascii="Arial" w:hAnsi="Arial" w:cs="Arial"/>
                <w:b/>
                <w:bCs/>
                <w:sz w:val="22"/>
                <w:szCs w:val="22"/>
              </w:rPr>
            </w:pPr>
            <w:r w:rsidRPr="009C7F4B">
              <w:rPr>
                <w:rFonts w:ascii="Arial" w:hAnsi="Arial" w:cs="Arial"/>
                <w:b/>
                <w:bCs/>
                <w:sz w:val="22"/>
                <w:szCs w:val="22"/>
              </w:rPr>
              <w:t>Bonne gouvernance de la Convention de 2003 facilitée par l’amélioration des services de gestion des connaissances</w:t>
            </w:r>
          </w:p>
        </w:tc>
      </w:tr>
      <w:tr w:rsidR="00D524B9" w:rsidRPr="009C7F4B" w:rsidTr="00246717">
        <w:trPr>
          <w:cantSplit/>
        </w:trPr>
        <w:tc>
          <w:tcPr>
            <w:tcW w:w="1188" w:type="pct"/>
            <w:gridSpan w:val="2"/>
            <w:shd w:val="clear" w:color="auto" w:fill="auto"/>
            <w:vAlign w:val="center"/>
          </w:tcPr>
          <w:p w:rsidR="00D524B9" w:rsidRPr="009C7F4B" w:rsidRDefault="00D524B9" w:rsidP="00246717">
            <w:pPr>
              <w:keepNext/>
              <w:spacing w:before="60" w:after="60"/>
              <w:rPr>
                <w:rFonts w:ascii="Arial" w:hAnsi="Arial" w:cs="Arial"/>
                <w:b/>
                <w:bCs/>
                <w:sz w:val="22"/>
                <w:szCs w:val="22"/>
              </w:rPr>
            </w:pPr>
            <w:r w:rsidRPr="009C7F4B">
              <w:rPr>
                <w:rFonts w:ascii="Arial" w:hAnsi="Arial" w:cs="Arial"/>
                <w:b/>
                <w:bCs/>
                <w:sz w:val="22"/>
                <w:szCs w:val="22"/>
              </w:rPr>
              <w:t>199OTH4138.2</w:t>
            </w:r>
          </w:p>
        </w:tc>
        <w:tc>
          <w:tcPr>
            <w:tcW w:w="3812" w:type="pct"/>
            <w:gridSpan w:val="2"/>
            <w:shd w:val="clear" w:color="auto" w:fill="F2F2F2" w:themeFill="background1" w:themeFillShade="F2"/>
            <w:vAlign w:val="center"/>
          </w:tcPr>
          <w:p w:rsidR="00D524B9" w:rsidRPr="009C7F4B" w:rsidRDefault="00D524B9" w:rsidP="00246717">
            <w:pPr>
              <w:keepNext/>
              <w:spacing w:before="60" w:after="60"/>
              <w:rPr>
                <w:rFonts w:ascii="Arial" w:hAnsi="Arial" w:cs="Arial"/>
                <w:b/>
                <w:bCs/>
                <w:sz w:val="22"/>
                <w:szCs w:val="22"/>
              </w:rPr>
            </w:pPr>
            <w:r w:rsidRPr="009C7F4B">
              <w:rPr>
                <w:rFonts w:ascii="Arial" w:hAnsi="Arial" w:cs="Arial"/>
                <w:b/>
                <w:bCs/>
                <w:sz w:val="22"/>
                <w:szCs w:val="22"/>
              </w:rPr>
              <w:t>Dotation budgétaire : 386 900 dollars des États-Unis</w:t>
            </w:r>
          </w:p>
        </w:tc>
      </w:tr>
      <w:tr w:rsidR="00D524B9" w:rsidRPr="009C7F4B" w:rsidTr="00246717">
        <w:trPr>
          <w:cantSplit/>
        </w:trPr>
        <w:tc>
          <w:tcPr>
            <w:tcW w:w="379" w:type="pct"/>
            <w:shd w:val="clear" w:color="auto" w:fill="F2F2F2" w:themeFill="background1" w:themeFillShade="F2"/>
            <w:vAlign w:val="center"/>
          </w:tcPr>
          <w:p w:rsidR="00D524B9" w:rsidRPr="009C7F4B" w:rsidRDefault="00D524B9" w:rsidP="00246717">
            <w:pPr>
              <w:keepNext/>
              <w:spacing w:before="60" w:after="60"/>
              <w:jc w:val="center"/>
              <w:rPr>
                <w:rFonts w:ascii="Arial" w:hAnsi="Arial" w:cs="Arial"/>
                <w:i/>
                <w:iCs/>
                <w:sz w:val="22"/>
                <w:szCs w:val="22"/>
              </w:rPr>
            </w:pPr>
          </w:p>
        </w:tc>
        <w:tc>
          <w:tcPr>
            <w:tcW w:w="2310" w:type="pct"/>
            <w:gridSpan w:val="2"/>
            <w:shd w:val="clear" w:color="auto" w:fill="F2F2F2" w:themeFill="background1" w:themeFillShade="F2"/>
            <w:vAlign w:val="center"/>
          </w:tcPr>
          <w:p w:rsidR="00D524B9" w:rsidRPr="009C7F4B" w:rsidRDefault="00D524B9" w:rsidP="00246717">
            <w:pPr>
              <w:keepNext/>
              <w:spacing w:before="60" w:after="60"/>
              <w:jc w:val="center"/>
              <w:rPr>
                <w:rFonts w:ascii="Arial" w:hAnsi="Arial" w:cs="Arial"/>
                <w:i/>
                <w:iCs/>
                <w:sz w:val="22"/>
                <w:szCs w:val="22"/>
              </w:rPr>
            </w:pPr>
            <w:r w:rsidRPr="009C7F4B">
              <w:rPr>
                <w:rFonts w:ascii="Arial" w:hAnsi="Arial" w:cs="Arial"/>
                <w:i/>
                <w:iCs/>
                <w:sz w:val="22"/>
                <w:szCs w:val="22"/>
              </w:rPr>
              <w:t>Produits</w:t>
            </w:r>
          </w:p>
        </w:tc>
        <w:tc>
          <w:tcPr>
            <w:tcW w:w="2311" w:type="pct"/>
            <w:shd w:val="clear" w:color="auto" w:fill="F2F2F2" w:themeFill="background1" w:themeFillShade="F2"/>
            <w:vAlign w:val="center"/>
          </w:tcPr>
          <w:p w:rsidR="00D524B9" w:rsidRPr="009C7F4B" w:rsidRDefault="00D524B9" w:rsidP="00246717">
            <w:pPr>
              <w:keepNext/>
              <w:spacing w:before="60" w:after="60"/>
              <w:jc w:val="center"/>
              <w:rPr>
                <w:rFonts w:ascii="Arial" w:hAnsi="Arial" w:cs="Arial"/>
                <w:i/>
                <w:iCs/>
                <w:sz w:val="22"/>
                <w:szCs w:val="22"/>
              </w:rPr>
            </w:pPr>
            <w:r w:rsidRPr="009C7F4B">
              <w:rPr>
                <w:rFonts w:ascii="Arial" w:hAnsi="Arial" w:cs="Arial"/>
                <w:i/>
                <w:iCs/>
                <w:sz w:val="22"/>
                <w:szCs w:val="22"/>
              </w:rPr>
              <w:t>Indicateurs (Références) 2016-2017</w:t>
            </w:r>
          </w:p>
        </w:tc>
      </w:tr>
      <w:tr w:rsidR="00D524B9" w:rsidRPr="009C7F4B" w:rsidTr="00246717">
        <w:trPr>
          <w:cantSplit/>
        </w:trPr>
        <w:tc>
          <w:tcPr>
            <w:tcW w:w="379" w:type="pct"/>
            <w:shd w:val="clear" w:color="auto" w:fill="auto"/>
            <w:vAlign w:val="center"/>
          </w:tcPr>
          <w:p w:rsidR="00D524B9" w:rsidRPr="009C7F4B" w:rsidRDefault="00D524B9" w:rsidP="00246717">
            <w:pPr>
              <w:spacing w:before="60" w:after="60"/>
              <w:jc w:val="center"/>
              <w:rPr>
                <w:rFonts w:ascii="Arial" w:hAnsi="Arial" w:cs="Arial"/>
                <w:iCs/>
                <w:sz w:val="22"/>
                <w:szCs w:val="22"/>
              </w:rPr>
            </w:pPr>
            <w:r w:rsidRPr="009C7F4B">
              <w:rPr>
                <w:rFonts w:ascii="Arial" w:hAnsi="Arial" w:cs="Arial"/>
                <w:iCs/>
                <w:sz w:val="22"/>
                <w:szCs w:val="22"/>
              </w:rPr>
              <w:t>1.1</w:t>
            </w:r>
          </w:p>
        </w:tc>
        <w:tc>
          <w:tcPr>
            <w:tcW w:w="2310" w:type="pct"/>
            <w:gridSpan w:val="2"/>
            <w:shd w:val="clear" w:color="auto" w:fill="auto"/>
            <w:vAlign w:val="center"/>
          </w:tcPr>
          <w:p w:rsidR="00D524B9" w:rsidRPr="009C7F4B" w:rsidRDefault="00D524B9" w:rsidP="00246717">
            <w:pPr>
              <w:spacing w:before="60" w:after="60"/>
              <w:rPr>
                <w:rFonts w:ascii="Arial" w:hAnsi="Arial" w:cs="Arial"/>
                <w:i/>
                <w:iCs/>
                <w:sz w:val="22"/>
                <w:szCs w:val="22"/>
              </w:rPr>
            </w:pPr>
            <w:r w:rsidRPr="009C7F4B">
              <w:rPr>
                <w:rFonts w:ascii="Arial" w:hAnsi="Arial" w:cs="Arial"/>
                <w:color w:val="000000"/>
                <w:sz w:val="22"/>
                <w:szCs w:val="22"/>
              </w:rPr>
              <w:t>Accès externe et interne à l’information accru et processus, flux de travail et délais de réaction optimisés grâce aux interfaces de suivi</w:t>
            </w:r>
          </w:p>
        </w:tc>
        <w:tc>
          <w:tcPr>
            <w:tcW w:w="2311" w:type="pct"/>
            <w:shd w:val="clear" w:color="auto" w:fill="auto"/>
            <w:vAlign w:val="center"/>
          </w:tcPr>
          <w:p w:rsidR="00D524B9" w:rsidRPr="009C7F4B" w:rsidRDefault="00D524B9" w:rsidP="00246717">
            <w:pPr>
              <w:spacing w:before="60" w:after="60"/>
              <w:rPr>
                <w:rFonts w:ascii="Arial" w:hAnsi="Arial" w:cs="Arial"/>
                <w:i/>
                <w:iCs/>
                <w:sz w:val="22"/>
                <w:szCs w:val="22"/>
              </w:rPr>
            </w:pPr>
            <w:r w:rsidRPr="009C7F4B">
              <w:rPr>
                <w:rFonts w:ascii="Arial" w:hAnsi="Arial" w:cs="Arial"/>
                <w:color w:val="000000"/>
                <w:sz w:val="22"/>
                <w:szCs w:val="22"/>
              </w:rPr>
              <w:t>Nombre d’interfaces de suivi (R=3)</w:t>
            </w:r>
          </w:p>
        </w:tc>
      </w:tr>
      <w:tr w:rsidR="00D524B9" w:rsidRPr="009C7F4B" w:rsidTr="00246717">
        <w:trPr>
          <w:cantSplit/>
        </w:trPr>
        <w:tc>
          <w:tcPr>
            <w:tcW w:w="379" w:type="pct"/>
            <w:shd w:val="clear" w:color="auto" w:fill="auto"/>
            <w:vAlign w:val="center"/>
          </w:tcPr>
          <w:p w:rsidR="00D524B9" w:rsidRPr="009C7F4B" w:rsidRDefault="00D524B9" w:rsidP="00246717">
            <w:pPr>
              <w:spacing w:before="60" w:after="60"/>
              <w:jc w:val="center"/>
              <w:rPr>
                <w:rFonts w:ascii="Arial" w:hAnsi="Arial" w:cs="Arial"/>
                <w:iCs/>
                <w:sz w:val="22"/>
                <w:szCs w:val="22"/>
              </w:rPr>
            </w:pPr>
            <w:r w:rsidRPr="009C7F4B">
              <w:rPr>
                <w:rFonts w:ascii="Arial" w:hAnsi="Arial" w:cs="Arial"/>
                <w:iCs/>
                <w:sz w:val="22"/>
                <w:szCs w:val="22"/>
              </w:rPr>
              <w:t>1.2</w:t>
            </w:r>
          </w:p>
        </w:tc>
        <w:tc>
          <w:tcPr>
            <w:tcW w:w="2310" w:type="pct"/>
            <w:gridSpan w:val="2"/>
            <w:shd w:val="clear" w:color="auto" w:fill="auto"/>
            <w:vAlign w:val="center"/>
          </w:tcPr>
          <w:p w:rsidR="00D524B9" w:rsidRPr="009C7F4B" w:rsidRDefault="00D524B9" w:rsidP="00246717">
            <w:pPr>
              <w:spacing w:before="60" w:after="60"/>
              <w:rPr>
                <w:rFonts w:ascii="Arial" w:hAnsi="Arial" w:cs="Arial"/>
                <w:i/>
                <w:iCs/>
                <w:sz w:val="22"/>
                <w:szCs w:val="22"/>
              </w:rPr>
            </w:pPr>
            <w:r w:rsidRPr="009C7F4B">
              <w:rPr>
                <w:rFonts w:ascii="Arial" w:hAnsi="Arial" w:cs="Arial"/>
                <w:color w:val="000000"/>
                <w:sz w:val="22"/>
                <w:szCs w:val="22"/>
              </w:rPr>
              <w:t>Accessibilité et facilité d’utilisation des documents et décisions de la Convention améliorées ; meilleure indexation et possibilités de recherche améliorées</w:t>
            </w:r>
          </w:p>
        </w:tc>
        <w:tc>
          <w:tcPr>
            <w:tcW w:w="2311" w:type="pct"/>
            <w:shd w:val="clear" w:color="auto" w:fill="auto"/>
            <w:vAlign w:val="center"/>
          </w:tcPr>
          <w:p w:rsidR="00D524B9" w:rsidRPr="009C7F4B" w:rsidRDefault="00D524B9" w:rsidP="00246717">
            <w:pPr>
              <w:spacing w:before="60" w:after="60"/>
              <w:rPr>
                <w:rFonts w:ascii="Arial" w:hAnsi="Arial" w:cs="Arial"/>
                <w:color w:val="000000"/>
                <w:sz w:val="22"/>
                <w:szCs w:val="22"/>
              </w:rPr>
            </w:pPr>
            <w:r w:rsidRPr="009C7F4B">
              <w:rPr>
                <w:rFonts w:ascii="Arial" w:hAnsi="Arial" w:cs="Arial"/>
                <w:color w:val="000000"/>
                <w:sz w:val="22"/>
                <w:szCs w:val="22"/>
              </w:rPr>
              <w:t>Nombre de documents de décisions supplémentaires chargés dans UNESDOC (R=8)</w:t>
            </w:r>
          </w:p>
          <w:p w:rsidR="00D524B9" w:rsidRPr="009C7F4B" w:rsidRDefault="00D524B9" w:rsidP="00246717">
            <w:pPr>
              <w:spacing w:before="60" w:after="60"/>
              <w:rPr>
                <w:rFonts w:ascii="Arial" w:hAnsi="Arial" w:cs="Arial"/>
                <w:iCs/>
                <w:sz w:val="22"/>
                <w:szCs w:val="22"/>
              </w:rPr>
            </w:pPr>
            <w:r w:rsidRPr="009C7F4B">
              <w:rPr>
                <w:rFonts w:ascii="Arial" w:hAnsi="Arial" w:cs="Arial"/>
                <w:color w:val="000000"/>
                <w:sz w:val="22"/>
                <w:szCs w:val="22"/>
              </w:rPr>
              <w:t>Nombre de décisions/résolutions supplémentaires référencées dans le SGC (R=70)</w:t>
            </w:r>
          </w:p>
        </w:tc>
      </w:tr>
      <w:tr w:rsidR="00D524B9" w:rsidRPr="009C7F4B" w:rsidTr="00246717">
        <w:trPr>
          <w:cantSplit/>
        </w:trPr>
        <w:tc>
          <w:tcPr>
            <w:tcW w:w="379" w:type="pct"/>
            <w:shd w:val="clear" w:color="auto" w:fill="auto"/>
            <w:vAlign w:val="center"/>
          </w:tcPr>
          <w:p w:rsidR="00D524B9" w:rsidRPr="009C7F4B" w:rsidRDefault="00D524B9" w:rsidP="00246717">
            <w:pPr>
              <w:spacing w:before="60" w:after="60"/>
              <w:jc w:val="center"/>
              <w:rPr>
                <w:rFonts w:ascii="Arial" w:hAnsi="Arial" w:cs="Arial"/>
                <w:iCs/>
                <w:sz w:val="22"/>
                <w:szCs w:val="22"/>
              </w:rPr>
            </w:pPr>
            <w:r w:rsidRPr="009C7F4B">
              <w:rPr>
                <w:rFonts w:ascii="Arial" w:hAnsi="Arial" w:cs="Arial"/>
                <w:iCs/>
                <w:sz w:val="22"/>
                <w:szCs w:val="22"/>
              </w:rPr>
              <w:t>1.3</w:t>
            </w:r>
          </w:p>
        </w:tc>
        <w:tc>
          <w:tcPr>
            <w:tcW w:w="2310" w:type="pct"/>
            <w:gridSpan w:val="2"/>
            <w:shd w:val="clear" w:color="auto" w:fill="auto"/>
            <w:vAlign w:val="center"/>
          </w:tcPr>
          <w:p w:rsidR="00D524B9" w:rsidRPr="009C7F4B" w:rsidRDefault="00D524B9" w:rsidP="00246717">
            <w:pPr>
              <w:spacing w:before="60" w:after="60"/>
              <w:rPr>
                <w:rFonts w:ascii="Arial" w:hAnsi="Arial" w:cs="Arial"/>
                <w:color w:val="000000"/>
                <w:sz w:val="22"/>
                <w:szCs w:val="22"/>
              </w:rPr>
            </w:pPr>
            <w:r w:rsidRPr="009C7F4B">
              <w:rPr>
                <w:rFonts w:ascii="Arial" w:hAnsi="Arial" w:cs="Arial"/>
                <w:color w:val="000000"/>
                <w:sz w:val="22"/>
                <w:szCs w:val="22"/>
              </w:rPr>
              <w:t>Nouvelles fonctionnalités en ligne pour les parties prenantes extérieures</w:t>
            </w:r>
          </w:p>
        </w:tc>
        <w:tc>
          <w:tcPr>
            <w:tcW w:w="2311" w:type="pct"/>
            <w:shd w:val="clear" w:color="auto" w:fill="auto"/>
            <w:vAlign w:val="center"/>
          </w:tcPr>
          <w:p w:rsidR="00D524B9" w:rsidRPr="009C7F4B" w:rsidRDefault="00D524B9" w:rsidP="00246717">
            <w:pPr>
              <w:spacing w:before="60" w:after="60"/>
              <w:rPr>
                <w:rFonts w:ascii="Arial" w:hAnsi="Arial" w:cs="Arial"/>
                <w:i/>
                <w:iCs/>
                <w:sz w:val="22"/>
                <w:szCs w:val="22"/>
              </w:rPr>
            </w:pPr>
            <w:r w:rsidRPr="009C7F4B">
              <w:rPr>
                <w:rFonts w:ascii="Arial" w:hAnsi="Arial" w:cs="Arial"/>
                <w:color w:val="000000"/>
                <w:sz w:val="22"/>
                <w:szCs w:val="22"/>
              </w:rPr>
              <w:t>Nombre de nouveaux processus en ligne (R=3)</w:t>
            </w:r>
          </w:p>
        </w:tc>
      </w:tr>
      <w:tr w:rsidR="00D524B9" w:rsidRPr="009C7F4B" w:rsidTr="00246717">
        <w:trPr>
          <w:cantSplit/>
        </w:trPr>
        <w:tc>
          <w:tcPr>
            <w:tcW w:w="379" w:type="pct"/>
            <w:shd w:val="clear" w:color="auto" w:fill="auto"/>
            <w:vAlign w:val="center"/>
          </w:tcPr>
          <w:p w:rsidR="00D524B9" w:rsidRPr="009C7F4B" w:rsidRDefault="00D524B9" w:rsidP="00246717">
            <w:pPr>
              <w:spacing w:before="60" w:after="60"/>
              <w:jc w:val="center"/>
              <w:rPr>
                <w:rFonts w:ascii="Arial" w:hAnsi="Arial" w:cs="Arial"/>
                <w:iCs/>
                <w:sz w:val="22"/>
                <w:szCs w:val="22"/>
              </w:rPr>
            </w:pPr>
            <w:r w:rsidRPr="009C7F4B">
              <w:rPr>
                <w:rFonts w:ascii="Arial" w:hAnsi="Arial" w:cs="Arial"/>
                <w:iCs/>
                <w:sz w:val="22"/>
                <w:szCs w:val="22"/>
              </w:rPr>
              <w:t>1.4</w:t>
            </w:r>
          </w:p>
        </w:tc>
        <w:tc>
          <w:tcPr>
            <w:tcW w:w="2310" w:type="pct"/>
            <w:gridSpan w:val="2"/>
            <w:shd w:val="clear" w:color="auto" w:fill="auto"/>
            <w:vAlign w:val="center"/>
          </w:tcPr>
          <w:p w:rsidR="00D524B9" w:rsidRPr="009C7F4B" w:rsidRDefault="00D524B9" w:rsidP="00246717">
            <w:pPr>
              <w:spacing w:before="60" w:after="60"/>
              <w:rPr>
                <w:rFonts w:ascii="Arial" w:hAnsi="Arial" w:cs="Arial"/>
                <w:i/>
                <w:iCs/>
                <w:sz w:val="22"/>
                <w:szCs w:val="22"/>
              </w:rPr>
            </w:pPr>
            <w:r w:rsidRPr="009C7F4B">
              <w:rPr>
                <w:rFonts w:ascii="Arial" w:hAnsi="Arial" w:cs="Arial"/>
                <w:color w:val="000000"/>
                <w:sz w:val="22"/>
                <w:szCs w:val="22"/>
              </w:rPr>
              <w:t>Site web de la Convention renforcé par l’amélioration de la navigation et de l’ergonomie, l’optimisation des moteurs de recherche et des contenus multilingues supplémentaires</w:t>
            </w:r>
          </w:p>
        </w:tc>
        <w:tc>
          <w:tcPr>
            <w:tcW w:w="2311" w:type="pct"/>
            <w:shd w:val="clear" w:color="auto" w:fill="auto"/>
            <w:vAlign w:val="center"/>
          </w:tcPr>
          <w:p w:rsidR="00D524B9" w:rsidRPr="009C7F4B" w:rsidRDefault="00D524B9" w:rsidP="00246717">
            <w:pPr>
              <w:spacing w:before="60" w:after="60"/>
              <w:rPr>
                <w:rFonts w:ascii="Arial" w:hAnsi="Arial" w:cs="Arial"/>
                <w:color w:val="000000"/>
                <w:sz w:val="22"/>
                <w:szCs w:val="22"/>
              </w:rPr>
            </w:pPr>
            <w:r w:rsidRPr="009C7F4B">
              <w:rPr>
                <w:rFonts w:ascii="Arial" w:hAnsi="Arial" w:cs="Arial"/>
                <w:color w:val="000000"/>
                <w:sz w:val="22"/>
                <w:szCs w:val="22"/>
              </w:rPr>
              <w:t>Nombre de page visitées (R=4 500 000)</w:t>
            </w:r>
          </w:p>
          <w:p w:rsidR="00D524B9" w:rsidRPr="009C7F4B" w:rsidRDefault="00D524B9" w:rsidP="00246717">
            <w:pPr>
              <w:spacing w:before="60" w:after="60"/>
              <w:rPr>
                <w:rFonts w:ascii="Arial" w:hAnsi="Arial" w:cs="Arial"/>
                <w:color w:val="000000"/>
                <w:sz w:val="22"/>
                <w:szCs w:val="22"/>
              </w:rPr>
            </w:pPr>
            <w:r w:rsidRPr="009C7F4B">
              <w:rPr>
                <w:rFonts w:ascii="Arial" w:hAnsi="Arial" w:cs="Arial"/>
                <w:color w:val="000000"/>
                <w:sz w:val="22"/>
                <w:szCs w:val="22"/>
              </w:rPr>
              <w:t xml:space="preserve">Site web de la Convention conçu pour une visualisation et une interaction optimales à partir des terminaux mobiles (R=1) </w:t>
            </w:r>
          </w:p>
          <w:p w:rsidR="00D524B9" w:rsidRPr="009C7F4B" w:rsidRDefault="00D524B9" w:rsidP="00246717">
            <w:pPr>
              <w:spacing w:before="60" w:after="60"/>
              <w:rPr>
                <w:rFonts w:ascii="Arial" w:hAnsi="Arial" w:cs="Arial"/>
                <w:iCs/>
                <w:sz w:val="22"/>
                <w:szCs w:val="22"/>
              </w:rPr>
            </w:pPr>
            <w:r w:rsidRPr="009C7F4B">
              <w:rPr>
                <w:rFonts w:ascii="Arial" w:hAnsi="Arial" w:cs="Arial"/>
                <w:color w:val="000000"/>
                <w:sz w:val="22"/>
                <w:szCs w:val="22"/>
              </w:rPr>
              <w:t>Nombre de nouvelles pages web publiées en anglais, français et espagnol (R=200)</w:t>
            </w:r>
          </w:p>
        </w:tc>
      </w:tr>
      <w:tr w:rsidR="00D524B9" w:rsidRPr="009C7F4B" w:rsidTr="00246717">
        <w:trPr>
          <w:cantSplit/>
        </w:trPr>
        <w:tc>
          <w:tcPr>
            <w:tcW w:w="379" w:type="pct"/>
            <w:shd w:val="clear" w:color="auto" w:fill="auto"/>
            <w:vAlign w:val="center"/>
          </w:tcPr>
          <w:p w:rsidR="00D524B9" w:rsidRPr="009C7F4B" w:rsidRDefault="00D524B9" w:rsidP="00246717">
            <w:pPr>
              <w:spacing w:before="60" w:after="60"/>
              <w:jc w:val="center"/>
              <w:rPr>
                <w:rFonts w:ascii="Arial" w:hAnsi="Arial" w:cs="Arial"/>
                <w:iCs/>
                <w:sz w:val="22"/>
                <w:szCs w:val="22"/>
              </w:rPr>
            </w:pPr>
            <w:r w:rsidRPr="009C7F4B">
              <w:rPr>
                <w:rFonts w:ascii="Arial" w:hAnsi="Arial" w:cs="Arial"/>
                <w:iCs/>
                <w:sz w:val="22"/>
                <w:szCs w:val="22"/>
              </w:rPr>
              <w:t>1.5</w:t>
            </w:r>
          </w:p>
        </w:tc>
        <w:tc>
          <w:tcPr>
            <w:tcW w:w="2310" w:type="pct"/>
            <w:gridSpan w:val="2"/>
            <w:shd w:val="clear" w:color="auto" w:fill="auto"/>
            <w:vAlign w:val="center"/>
          </w:tcPr>
          <w:p w:rsidR="00D524B9" w:rsidRPr="009C7F4B" w:rsidRDefault="00D524B9" w:rsidP="00246717">
            <w:pPr>
              <w:spacing w:before="60" w:after="60"/>
              <w:rPr>
                <w:rFonts w:ascii="Arial" w:hAnsi="Arial" w:cs="Arial"/>
                <w:i/>
                <w:iCs/>
                <w:sz w:val="22"/>
                <w:szCs w:val="22"/>
              </w:rPr>
            </w:pPr>
            <w:r w:rsidRPr="009C7F4B">
              <w:rPr>
                <w:rFonts w:ascii="Arial" w:hAnsi="Arial" w:cs="Arial"/>
                <w:sz w:val="22"/>
                <w:szCs w:val="22"/>
              </w:rPr>
              <w:t>Textes fondamentaux de la Convention et autres publications statutaires révisés et publiés</w:t>
            </w:r>
          </w:p>
        </w:tc>
        <w:tc>
          <w:tcPr>
            <w:tcW w:w="2311" w:type="pct"/>
            <w:shd w:val="clear" w:color="auto" w:fill="auto"/>
            <w:vAlign w:val="center"/>
          </w:tcPr>
          <w:p w:rsidR="00D524B9" w:rsidRPr="009C7F4B" w:rsidRDefault="00D524B9" w:rsidP="00246717">
            <w:pPr>
              <w:spacing w:before="60" w:after="60"/>
              <w:rPr>
                <w:rFonts w:ascii="Arial" w:hAnsi="Arial" w:cs="Arial"/>
                <w:sz w:val="22"/>
                <w:szCs w:val="22"/>
              </w:rPr>
            </w:pPr>
            <w:r w:rsidRPr="009C7F4B">
              <w:rPr>
                <w:rFonts w:ascii="Arial" w:hAnsi="Arial" w:cs="Arial"/>
                <w:sz w:val="22"/>
                <w:szCs w:val="22"/>
              </w:rPr>
              <w:t>Publication de la version 2016 des Textes fondamentaux (R=1)</w:t>
            </w:r>
          </w:p>
          <w:p w:rsidR="00D524B9" w:rsidRPr="009C7F4B" w:rsidRDefault="00D524B9" w:rsidP="00246717">
            <w:pPr>
              <w:spacing w:before="60" w:after="60"/>
              <w:rPr>
                <w:rFonts w:ascii="Arial" w:hAnsi="Arial" w:cs="Arial"/>
                <w:iCs/>
                <w:sz w:val="22"/>
                <w:szCs w:val="22"/>
              </w:rPr>
            </w:pPr>
            <w:r w:rsidRPr="009C7F4B">
              <w:rPr>
                <w:rFonts w:ascii="Arial" w:hAnsi="Arial" w:cs="Arial"/>
                <w:iCs/>
                <w:sz w:val="22"/>
                <w:szCs w:val="22"/>
              </w:rPr>
              <w:t>Listes 2014-2015 de la Convention publiées (R=1)</w:t>
            </w:r>
          </w:p>
        </w:tc>
      </w:tr>
    </w:tbl>
    <w:p w:rsidR="00D524B9" w:rsidRPr="009C7F4B" w:rsidRDefault="00D524B9" w:rsidP="00D524B9"/>
    <w:tbl>
      <w:tblPr>
        <w:tblStyle w:val="Grilledutableau1"/>
        <w:tblW w:w="5000" w:type="pct"/>
        <w:tblLook w:val="04A0" w:firstRow="1" w:lastRow="0" w:firstColumn="1" w:lastColumn="0" w:noHBand="0" w:noVBand="1"/>
      </w:tblPr>
      <w:tblGrid>
        <w:gridCol w:w="699"/>
        <w:gridCol w:w="1564"/>
        <w:gridCol w:w="2900"/>
        <w:gridCol w:w="4465"/>
      </w:tblGrid>
      <w:tr w:rsidR="00D524B9" w:rsidRPr="009C7F4B" w:rsidTr="00D524B9">
        <w:tc>
          <w:tcPr>
            <w:tcW w:w="1175" w:type="pct"/>
            <w:gridSpan w:val="2"/>
            <w:shd w:val="clear" w:color="auto" w:fill="808080" w:themeFill="background1" w:themeFillShade="80"/>
            <w:vAlign w:val="center"/>
          </w:tcPr>
          <w:p w:rsidR="00D524B9" w:rsidRPr="009C7F4B" w:rsidRDefault="00D524B9" w:rsidP="00246717">
            <w:pPr>
              <w:keepNext/>
              <w:spacing w:before="120" w:after="120"/>
              <w:rPr>
                <w:rFonts w:ascii="Arial" w:hAnsi="Arial" w:cs="Arial"/>
                <w:b/>
                <w:bCs/>
                <w:color w:val="FFFFFF" w:themeColor="background1"/>
                <w:sz w:val="22"/>
                <w:szCs w:val="22"/>
              </w:rPr>
            </w:pPr>
            <w:r w:rsidRPr="009C7F4B">
              <w:rPr>
                <w:rFonts w:ascii="Arial" w:hAnsi="Arial" w:cs="Arial"/>
                <w:b/>
                <w:bCs/>
                <w:color w:val="FFFFFF" w:themeColor="background1"/>
                <w:sz w:val="22"/>
                <w:szCs w:val="22"/>
              </w:rPr>
              <w:t>38C/5 Indicateur de performance 2</w:t>
            </w:r>
          </w:p>
        </w:tc>
        <w:tc>
          <w:tcPr>
            <w:tcW w:w="3825" w:type="pct"/>
            <w:gridSpan w:val="2"/>
            <w:shd w:val="clear" w:color="auto" w:fill="808080" w:themeFill="background1" w:themeFillShade="80"/>
            <w:vAlign w:val="center"/>
          </w:tcPr>
          <w:p w:rsidR="00D524B9" w:rsidRPr="009C7F4B" w:rsidRDefault="00D524B9" w:rsidP="00246717">
            <w:pPr>
              <w:keepNext/>
              <w:spacing w:before="120" w:after="120"/>
              <w:rPr>
                <w:rFonts w:ascii="Arial" w:hAnsi="Arial" w:cs="Arial"/>
                <w:b/>
                <w:bCs/>
                <w:color w:val="FFFFFF" w:themeColor="background1"/>
                <w:sz w:val="22"/>
                <w:szCs w:val="22"/>
              </w:rPr>
            </w:pPr>
            <w:r w:rsidRPr="009C7F4B">
              <w:rPr>
                <w:rFonts w:ascii="Arial" w:hAnsi="Arial" w:cs="Arial"/>
                <w:b/>
                <w:bCs/>
                <w:color w:val="FFFFFF" w:themeColor="background1"/>
                <w:sz w:val="22"/>
                <w:szCs w:val="22"/>
              </w:rPr>
              <w:t>Nombre d’États membres aidés mettant à profit les ressources humaines et institutionnelles renforcées pour le patrimoine culturel immatériel et intégrant ce dernier dans leurs politiques nationales</w:t>
            </w:r>
          </w:p>
        </w:tc>
      </w:tr>
      <w:tr w:rsidR="00D524B9" w:rsidRPr="009C7F4B" w:rsidTr="00D524B9">
        <w:tc>
          <w:tcPr>
            <w:tcW w:w="1175" w:type="pct"/>
            <w:gridSpan w:val="2"/>
            <w:shd w:val="clear" w:color="auto" w:fill="F2F2F2" w:themeFill="background1" w:themeFillShade="F2"/>
            <w:vAlign w:val="center"/>
          </w:tcPr>
          <w:p w:rsidR="00D524B9" w:rsidRPr="009C7F4B" w:rsidRDefault="00D524B9" w:rsidP="00246717">
            <w:pPr>
              <w:keepNext/>
              <w:spacing w:before="60" w:after="60"/>
              <w:rPr>
                <w:rFonts w:ascii="Arial" w:hAnsi="Arial" w:cs="Arial"/>
                <w:b/>
                <w:bCs/>
                <w:sz w:val="22"/>
                <w:szCs w:val="22"/>
              </w:rPr>
            </w:pPr>
            <w:r w:rsidRPr="009C7F4B">
              <w:rPr>
                <w:rFonts w:ascii="Arial" w:hAnsi="Arial" w:cs="Arial"/>
                <w:b/>
                <w:bCs/>
                <w:sz w:val="22"/>
                <w:szCs w:val="22"/>
              </w:rPr>
              <w:t>Résultat escompté 2 du Fonds du PCI</w:t>
            </w:r>
          </w:p>
        </w:tc>
        <w:tc>
          <w:tcPr>
            <w:tcW w:w="3825" w:type="pct"/>
            <w:gridSpan w:val="2"/>
            <w:shd w:val="clear" w:color="auto" w:fill="F2F2F2" w:themeFill="background1" w:themeFillShade="F2"/>
            <w:vAlign w:val="center"/>
          </w:tcPr>
          <w:p w:rsidR="00D524B9" w:rsidRPr="009C7F4B" w:rsidRDefault="00D524B9" w:rsidP="00246717">
            <w:pPr>
              <w:keepNext/>
              <w:spacing w:before="60" w:after="60"/>
              <w:rPr>
                <w:rFonts w:ascii="Arial" w:hAnsi="Arial" w:cs="Arial"/>
                <w:b/>
                <w:bCs/>
                <w:sz w:val="22"/>
                <w:szCs w:val="22"/>
              </w:rPr>
            </w:pPr>
            <w:r w:rsidRPr="009C7F4B">
              <w:rPr>
                <w:rFonts w:ascii="Arial" w:hAnsi="Arial" w:cs="Arial"/>
                <w:b/>
                <w:bCs/>
                <w:sz w:val="22"/>
                <w:szCs w:val="22"/>
              </w:rPr>
              <w:t>Mise en œuvre de la Convention dans les États membres encouragée par un programme de renforcement de capacités consolidé et des conseils sur des mesures de sauvegarde et des bonnes pratiques</w:t>
            </w:r>
          </w:p>
        </w:tc>
      </w:tr>
      <w:tr w:rsidR="00D524B9" w:rsidRPr="009C7F4B" w:rsidTr="00D524B9">
        <w:tc>
          <w:tcPr>
            <w:tcW w:w="1175" w:type="pct"/>
            <w:gridSpan w:val="2"/>
            <w:shd w:val="clear" w:color="auto" w:fill="F2F2F2" w:themeFill="background1" w:themeFillShade="F2"/>
            <w:vAlign w:val="center"/>
          </w:tcPr>
          <w:p w:rsidR="00D524B9" w:rsidRPr="009C7F4B" w:rsidRDefault="00D524B9" w:rsidP="00246717">
            <w:pPr>
              <w:keepNext/>
              <w:spacing w:before="60" w:after="60"/>
              <w:rPr>
                <w:rFonts w:ascii="Arial" w:hAnsi="Arial" w:cs="Arial"/>
                <w:b/>
                <w:bCs/>
                <w:sz w:val="22"/>
                <w:szCs w:val="22"/>
              </w:rPr>
            </w:pPr>
            <w:r w:rsidRPr="009C7F4B">
              <w:rPr>
                <w:rFonts w:ascii="Arial" w:hAnsi="Arial" w:cs="Arial"/>
                <w:b/>
                <w:bCs/>
                <w:sz w:val="22"/>
                <w:szCs w:val="22"/>
              </w:rPr>
              <w:t>199OTH4138.1</w:t>
            </w:r>
          </w:p>
        </w:tc>
        <w:tc>
          <w:tcPr>
            <w:tcW w:w="3825" w:type="pct"/>
            <w:gridSpan w:val="2"/>
            <w:shd w:val="clear" w:color="auto" w:fill="F2F2F2" w:themeFill="background1" w:themeFillShade="F2"/>
            <w:vAlign w:val="center"/>
          </w:tcPr>
          <w:p w:rsidR="00D524B9" w:rsidRPr="009C7F4B" w:rsidRDefault="00D524B9" w:rsidP="00246717">
            <w:pPr>
              <w:keepNext/>
              <w:spacing w:before="60" w:after="60"/>
              <w:rPr>
                <w:rFonts w:ascii="Arial" w:hAnsi="Arial" w:cs="Arial"/>
                <w:b/>
                <w:bCs/>
                <w:sz w:val="22"/>
                <w:szCs w:val="22"/>
              </w:rPr>
            </w:pPr>
            <w:r w:rsidRPr="009C7F4B">
              <w:rPr>
                <w:rFonts w:ascii="Arial" w:hAnsi="Arial" w:cs="Arial"/>
                <w:b/>
                <w:bCs/>
                <w:sz w:val="22"/>
                <w:szCs w:val="22"/>
              </w:rPr>
              <w:t>Dotation budgétaire : 817 346 dollars des États-Unis</w:t>
            </w:r>
          </w:p>
        </w:tc>
      </w:tr>
      <w:tr w:rsidR="00D524B9" w:rsidRPr="009C7F4B" w:rsidTr="00D524B9">
        <w:tc>
          <w:tcPr>
            <w:tcW w:w="363" w:type="pct"/>
            <w:shd w:val="clear" w:color="auto" w:fill="F2F2F2" w:themeFill="background1" w:themeFillShade="F2"/>
            <w:vAlign w:val="center"/>
          </w:tcPr>
          <w:p w:rsidR="00D524B9" w:rsidRPr="009C7F4B" w:rsidRDefault="00D524B9" w:rsidP="00246717">
            <w:pPr>
              <w:keepNext/>
              <w:spacing w:before="60" w:after="60"/>
              <w:jc w:val="right"/>
              <w:rPr>
                <w:rFonts w:ascii="Arial" w:hAnsi="Arial" w:cs="Arial"/>
                <w:i/>
                <w:iCs/>
                <w:sz w:val="22"/>
                <w:szCs w:val="22"/>
              </w:rPr>
            </w:pPr>
          </w:p>
        </w:tc>
        <w:tc>
          <w:tcPr>
            <w:tcW w:w="2318" w:type="pct"/>
            <w:gridSpan w:val="2"/>
            <w:shd w:val="clear" w:color="auto" w:fill="F2F2F2" w:themeFill="background1" w:themeFillShade="F2"/>
            <w:vAlign w:val="center"/>
          </w:tcPr>
          <w:p w:rsidR="00D524B9" w:rsidRPr="009C7F4B" w:rsidRDefault="00D524B9" w:rsidP="00246717">
            <w:pPr>
              <w:keepNext/>
              <w:spacing w:before="60" w:after="60"/>
              <w:jc w:val="center"/>
              <w:rPr>
                <w:rFonts w:ascii="Arial" w:hAnsi="Arial" w:cs="Arial"/>
                <w:i/>
                <w:iCs/>
                <w:sz w:val="22"/>
                <w:szCs w:val="22"/>
              </w:rPr>
            </w:pPr>
            <w:r w:rsidRPr="009C7F4B">
              <w:rPr>
                <w:rFonts w:ascii="Arial" w:hAnsi="Arial" w:cs="Arial"/>
                <w:i/>
                <w:iCs/>
                <w:sz w:val="22"/>
                <w:szCs w:val="22"/>
              </w:rPr>
              <w:t>Produits</w:t>
            </w:r>
          </w:p>
        </w:tc>
        <w:tc>
          <w:tcPr>
            <w:tcW w:w="2319" w:type="pct"/>
            <w:shd w:val="clear" w:color="auto" w:fill="F2F2F2" w:themeFill="background1" w:themeFillShade="F2"/>
            <w:vAlign w:val="center"/>
          </w:tcPr>
          <w:p w:rsidR="00D524B9" w:rsidRPr="009C7F4B" w:rsidRDefault="00D524B9" w:rsidP="00246717">
            <w:pPr>
              <w:keepNext/>
              <w:spacing w:before="60" w:after="60"/>
              <w:jc w:val="center"/>
              <w:rPr>
                <w:rFonts w:ascii="Arial" w:hAnsi="Arial" w:cs="Arial"/>
                <w:i/>
                <w:iCs/>
                <w:sz w:val="22"/>
                <w:szCs w:val="22"/>
              </w:rPr>
            </w:pPr>
            <w:r w:rsidRPr="009C7F4B">
              <w:rPr>
                <w:rFonts w:ascii="Arial" w:hAnsi="Arial" w:cs="Arial"/>
                <w:i/>
                <w:iCs/>
                <w:sz w:val="22"/>
                <w:szCs w:val="22"/>
              </w:rPr>
              <w:t>Indicateurs (Références) 2016-2017</w:t>
            </w:r>
          </w:p>
        </w:tc>
      </w:tr>
      <w:tr w:rsidR="00D524B9" w:rsidRPr="009C7F4B" w:rsidTr="00D524B9">
        <w:tc>
          <w:tcPr>
            <w:tcW w:w="363" w:type="pct"/>
            <w:shd w:val="clear" w:color="auto" w:fill="auto"/>
            <w:vAlign w:val="center"/>
          </w:tcPr>
          <w:p w:rsidR="00D524B9" w:rsidRPr="009C7F4B" w:rsidRDefault="00D524B9" w:rsidP="00246717">
            <w:pPr>
              <w:spacing w:before="60" w:after="60"/>
              <w:jc w:val="center"/>
              <w:rPr>
                <w:rFonts w:ascii="Arial" w:hAnsi="Arial" w:cs="Arial"/>
                <w:iCs/>
                <w:sz w:val="22"/>
                <w:szCs w:val="22"/>
              </w:rPr>
            </w:pPr>
            <w:r w:rsidRPr="009C7F4B">
              <w:rPr>
                <w:rFonts w:ascii="Arial" w:hAnsi="Arial" w:cs="Arial"/>
                <w:iCs/>
                <w:sz w:val="22"/>
                <w:szCs w:val="22"/>
              </w:rPr>
              <w:t>2.1</w:t>
            </w:r>
          </w:p>
        </w:tc>
        <w:tc>
          <w:tcPr>
            <w:tcW w:w="2318" w:type="pct"/>
            <w:gridSpan w:val="2"/>
            <w:shd w:val="clear" w:color="auto" w:fill="auto"/>
            <w:vAlign w:val="center"/>
          </w:tcPr>
          <w:p w:rsidR="00D524B9" w:rsidRPr="009C7F4B" w:rsidRDefault="00D524B9" w:rsidP="00246717">
            <w:pPr>
              <w:spacing w:before="60" w:after="60"/>
              <w:rPr>
                <w:rFonts w:ascii="Arial" w:hAnsi="Arial" w:cs="Arial"/>
                <w:i/>
                <w:iCs/>
                <w:sz w:val="22"/>
                <w:szCs w:val="22"/>
              </w:rPr>
            </w:pPr>
            <w:r w:rsidRPr="009C7F4B">
              <w:rPr>
                <w:rFonts w:ascii="Arial" w:hAnsi="Arial" w:cs="Arial"/>
                <w:sz w:val="22"/>
                <w:szCs w:val="22"/>
              </w:rPr>
              <w:t xml:space="preserve">Réseau de facilitateurs renforcé </w:t>
            </w:r>
          </w:p>
        </w:tc>
        <w:tc>
          <w:tcPr>
            <w:tcW w:w="2319" w:type="pct"/>
            <w:shd w:val="clear" w:color="auto" w:fill="auto"/>
            <w:vAlign w:val="center"/>
          </w:tcPr>
          <w:p w:rsidR="00D524B9" w:rsidRPr="009C7F4B" w:rsidRDefault="00D524B9" w:rsidP="00D524B9">
            <w:pPr>
              <w:numPr>
                <w:ilvl w:val="0"/>
                <w:numId w:val="28"/>
              </w:numPr>
              <w:spacing w:before="60" w:after="60"/>
              <w:ind w:left="357" w:hanging="357"/>
              <w:rPr>
                <w:rFonts w:ascii="Arial" w:hAnsi="Arial" w:cs="Arial"/>
                <w:sz w:val="22"/>
                <w:szCs w:val="22"/>
              </w:rPr>
            </w:pPr>
            <w:r w:rsidRPr="009C7F4B">
              <w:rPr>
                <w:rFonts w:ascii="Arial" w:hAnsi="Arial" w:cs="Arial"/>
                <w:sz w:val="22"/>
                <w:szCs w:val="22"/>
              </w:rPr>
              <w:t xml:space="preserve">Ateliers régionaux pour former des facilitateurs et mettre à niveau leurs compétences </w:t>
            </w:r>
            <w:r w:rsidRPr="009C7F4B">
              <w:rPr>
                <w:rFonts w:ascii="Arial" w:hAnsi="Arial" w:cs="Arial"/>
                <w:sz w:val="22"/>
                <w:szCs w:val="22"/>
              </w:rPr>
              <w:br/>
              <w:t>(R=4, subordonnés au soutien d’un pays-hôte ou d’un partenaire)</w:t>
            </w:r>
          </w:p>
          <w:p w:rsidR="00D524B9" w:rsidRPr="009C7F4B" w:rsidRDefault="00D524B9" w:rsidP="00D524B9">
            <w:pPr>
              <w:numPr>
                <w:ilvl w:val="0"/>
                <w:numId w:val="28"/>
              </w:numPr>
              <w:spacing w:before="60" w:after="60"/>
              <w:ind w:left="357" w:hanging="357"/>
              <w:rPr>
                <w:rFonts w:ascii="Arial" w:hAnsi="Arial" w:cs="Arial"/>
                <w:sz w:val="22"/>
                <w:szCs w:val="22"/>
              </w:rPr>
            </w:pPr>
            <w:r w:rsidRPr="009C7F4B">
              <w:rPr>
                <w:rFonts w:ascii="Arial" w:hAnsi="Arial" w:cs="Arial"/>
                <w:sz w:val="22"/>
                <w:szCs w:val="22"/>
              </w:rPr>
              <w:t>Atelier mondial sur l’examen du programme de renforcement des capacités et initiation au soutien pour la préparation des demandes d’assistance internationale (R=1)</w:t>
            </w:r>
          </w:p>
          <w:p w:rsidR="00D524B9" w:rsidRPr="009C7F4B" w:rsidRDefault="00D524B9" w:rsidP="00D524B9">
            <w:pPr>
              <w:numPr>
                <w:ilvl w:val="0"/>
                <w:numId w:val="28"/>
              </w:numPr>
              <w:spacing w:before="60" w:after="60"/>
              <w:ind w:left="357" w:hanging="357"/>
              <w:rPr>
                <w:rFonts w:ascii="Arial" w:hAnsi="Arial" w:cs="Arial"/>
                <w:iCs/>
                <w:sz w:val="22"/>
                <w:szCs w:val="22"/>
              </w:rPr>
            </w:pPr>
            <w:r w:rsidRPr="009C7F4B">
              <w:rPr>
                <w:rFonts w:ascii="Arial" w:hAnsi="Arial" w:cs="Arial"/>
                <w:sz w:val="22"/>
                <w:szCs w:val="22"/>
              </w:rPr>
              <w:t>Tutoriels audiovisuels réalisés sur certains sujets (R=3)</w:t>
            </w:r>
          </w:p>
          <w:p w:rsidR="00D524B9" w:rsidRPr="009C7F4B" w:rsidRDefault="00D524B9" w:rsidP="00D524B9">
            <w:pPr>
              <w:numPr>
                <w:ilvl w:val="0"/>
                <w:numId w:val="28"/>
              </w:numPr>
              <w:spacing w:before="60" w:after="60"/>
              <w:ind w:left="357" w:hanging="357"/>
              <w:rPr>
                <w:rFonts w:ascii="Arial" w:hAnsi="Arial" w:cs="Arial"/>
                <w:iCs/>
                <w:sz w:val="22"/>
                <w:szCs w:val="22"/>
              </w:rPr>
            </w:pPr>
            <w:r w:rsidRPr="009C7F4B">
              <w:rPr>
                <w:rFonts w:ascii="Arial" w:hAnsi="Arial" w:cs="Arial"/>
                <w:sz w:val="22"/>
                <w:szCs w:val="22"/>
              </w:rPr>
              <w:t>Fonctionnalités informatiques mises à jour pour le programme de renforcement des capacités (R=1)</w:t>
            </w:r>
          </w:p>
        </w:tc>
      </w:tr>
      <w:tr w:rsidR="00D524B9" w:rsidRPr="009C7F4B" w:rsidTr="00D524B9">
        <w:tc>
          <w:tcPr>
            <w:tcW w:w="363" w:type="pct"/>
            <w:shd w:val="clear" w:color="auto" w:fill="auto"/>
            <w:vAlign w:val="center"/>
          </w:tcPr>
          <w:p w:rsidR="00D524B9" w:rsidRPr="009C7F4B" w:rsidRDefault="00D524B9" w:rsidP="00246717">
            <w:pPr>
              <w:spacing w:before="60" w:after="60"/>
              <w:jc w:val="center"/>
              <w:rPr>
                <w:rFonts w:ascii="Arial" w:hAnsi="Arial" w:cs="Arial"/>
                <w:iCs/>
                <w:sz w:val="22"/>
                <w:szCs w:val="22"/>
              </w:rPr>
            </w:pPr>
            <w:r w:rsidRPr="009C7F4B">
              <w:rPr>
                <w:rFonts w:ascii="Arial" w:hAnsi="Arial" w:cs="Arial"/>
                <w:iCs/>
                <w:sz w:val="22"/>
                <w:szCs w:val="22"/>
              </w:rPr>
              <w:t>2.2</w:t>
            </w:r>
          </w:p>
        </w:tc>
        <w:tc>
          <w:tcPr>
            <w:tcW w:w="2318" w:type="pct"/>
            <w:gridSpan w:val="2"/>
            <w:shd w:val="clear" w:color="auto" w:fill="auto"/>
            <w:vAlign w:val="center"/>
          </w:tcPr>
          <w:p w:rsidR="00D524B9" w:rsidRPr="009C7F4B" w:rsidRDefault="00D524B9" w:rsidP="00246717">
            <w:pPr>
              <w:spacing w:before="60" w:after="60"/>
              <w:rPr>
                <w:rFonts w:ascii="Arial" w:hAnsi="Arial" w:cs="Arial"/>
                <w:i/>
                <w:iCs/>
                <w:sz w:val="22"/>
                <w:szCs w:val="22"/>
              </w:rPr>
            </w:pPr>
            <w:r w:rsidRPr="009C7F4B">
              <w:rPr>
                <w:rFonts w:ascii="Arial" w:hAnsi="Arial" w:cs="Arial"/>
                <w:color w:val="000000"/>
                <w:sz w:val="22"/>
                <w:szCs w:val="22"/>
              </w:rPr>
              <w:t xml:space="preserve">Contenu et format du programme de renforcement de capacités revus et adaptés pour répondre aux principaux défis de mise en œuvre </w:t>
            </w:r>
          </w:p>
        </w:tc>
        <w:tc>
          <w:tcPr>
            <w:tcW w:w="2319" w:type="pct"/>
            <w:shd w:val="clear" w:color="auto" w:fill="auto"/>
            <w:vAlign w:val="center"/>
          </w:tcPr>
          <w:p w:rsidR="00D524B9" w:rsidRPr="009C7F4B" w:rsidRDefault="00D524B9" w:rsidP="00D524B9">
            <w:pPr>
              <w:numPr>
                <w:ilvl w:val="0"/>
                <w:numId w:val="28"/>
              </w:numPr>
              <w:spacing w:before="60" w:after="60"/>
              <w:ind w:left="357" w:hanging="357"/>
              <w:rPr>
                <w:rFonts w:ascii="Arial" w:hAnsi="Arial" w:cs="Arial"/>
                <w:sz w:val="22"/>
                <w:szCs w:val="22"/>
              </w:rPr>
            </w:pPr>
            <w:r w:rsidRPr="009C7F4B">
              <w:rPr>
                <w:rFonts w:ascii="Arial" w:hAnsi="Arial" w:cs="Arial"/>
                <w:sz w:val="22"/>
                <w:szCs w:val="22"/>
              </w:rPr>
              <w:t>Principaux matériels de formation mis à jour pour refléter les décisions des réunions statutaires</w:t>
            </w:r>
            <w:r w:rsidRPr="009C7F4B">
              <w:rPr>
                <w:rFonts w:ascii="Arial" w:hAnsi="Arial" w:cs="Arial"/>
                <w:sz w:val="22"/>
                <w:szCs w:val="22"/>
              </w:rPr>
              <w:br/>
              <w:t>(R=20 unités ; 3 langues)</w:t>
            </w:r>
          </w:p>
          <w:p w:rsidR="00D524B9" w:rsidRPr="009C7F4B" w:rsidRDefault="00D524B9" w:rsidP="00D524B9">
            <w:pPr>
              <w:numPr>
                <w:ilvl w:val="0"/>
                <w:numId w:val="28"/>
              </w:numPr>
              <w:spacing w:before="60" w:after="60"/>
              <w:ind w:left="357" w:hanging="357"/>
              <w:rPr>
                <w:rFonts w:ascii="Arial" w:hAnsi="Arial" w:cs="Arial"/>
                <w:sz w:val="22"/>
                <w:szCs w:val="22"/>
              </w:rPr>
            </w:pPr>
            <w:r w:rsidRPr="009C7F4B">
              <w:rPr>
                <w:rFonts w:ascii="Arial" w:hAnsi="Arial" w:cs="Arial"/>
                <w:sz w:val="22"/>
                <w:szCs w:val="22"/>
              </w:rPr>
              <w:t xml:space="preserve">Programme de formation de base sur la préparation des demandes d’assistance internationale disponible (R=1 ; 2 langues) </w:t>
            </w:r>
          </w:p>
          <w:p w:rsidR="00D524B9" w:rsidRPr="009C7F4B" w:rsidRDefault="00D524B9" w:rsidP="00D524B9">
            <w:pPr>
              <w:numPr>
                <w:ilvl w:val="0"/>
                <w:numId w:val="28"/>
              </w:numPr>
              <w:spacing w:before="60" w:after="60"/>
              <w:ind w:left="357" w:hanging="357"/>
              <w:rPr>
                <w:rFonts w:ascii="Arial" w:hAnsi="Arial" w:cs="Arial"/>
                <w:sz w:val="22"/>
                <w:szCs w:val="22"/>
              </w:rPr>
            </w:pPr>
            <w:r w:rsidRPr="009C7F4B">
              <w:rPr>
                <w:rFonts w:ascii="Arial" w:hAnsi="Arial" w:cs="Arial"/>
                <w:sz w:val="22"/>
                <w:szCs w:val="22"/>
              </w:rPr>
              <w:t>Nouveau contenu de formation développé (R=7 : une unité basée sur les nouvelles DO consacrées au patrimoine culturel immatériel et au développement durable, et six études de cas sur les processus d’élaboration de politiques, la sauvegarde du patrimoine culturel immatériel en milieu urbain et les questions de genre ; 1 langue)</w:t>
            </w:r>
          </w:p>
          <w:p w:rsidR="00D524B9" w:rsidRPr="009C7F4B" w:rsidRDefault="00D524B9" w:rsidP="00D524B9">
            <w:pPr>
              <w:numPr>
                <w:ilvl w:val="0"/>
                <w:numId w:val="28"/>
              </w:numPr>
              <w:spacing w:before="60" w:after="60"/>
              <w:ind w:left="357" w:hanging="357"/>
              <w:rPr>
                <w:rFonts w:ascii="Arial" w:hAnsi="Arial" w:cs="Arial"/>
                <w:sz w:val="22"/>
                <w:szCs w:val="22"/>
              </w:rPr>
            </w:pPr>
            <w:r w:rsidRPr="009C7F4B">
              <w:rPr>
                <w:rFonts w:ascii="Arial" w:hAnsi="Arial" w:cs="Arial"/>
                <w:sz w:val="22"/>
                <w:szCs w:val="22"/>
              </w:rPr>
              <w:t>Une étude de faisabilité entreprise concernant l’emploi de technologies pédagogiques pour l’apprentissage en ligne (R=1)</w:t>
            </w:r>
          </w:p>
          <w:p w:rsidR="00D524B9" w:rsidRPr="009C7F4B" w:rsidRDefault="00D524B9" w:rsidP="00D524B9">
            <w:pPr>
              <w:numPr>
                <w:ilvl w:val="0"/>
                <w:numId w:val="28"/>
              </w:numPr>
              <w:spacing w:before="60" w:after="60"/>
              <w:ind w:left="357" w:hanging="357"/>
              <w:rPr>
                <w:rFonts w:ascii="Arial" w:hAnsi="Arial" w:cs="Arial"/>
                <w:iCs/>
                <w:sz w:val="22"/>
                <w:szCs w:val="22"/>
              </w:rPr>
            </w:pPr>
            <w:r w:rsidRPr="009C7F4B">
              <w:rPr>
                <w:rFonts w:ascii="Arial" w:hAnsi="Arial" w:cs="Arial"/>
                <w:sz w:val="22"/>
                <w:szCs w:val="22"/>
              </w:rPr>
              <w:t>Fonctionnalités informatiques mises à jour pour le programme de renforcement des capacités (R=1)</w:t>
            </w:r>
          </w:p>
        </w:tc>
      </w:tr>
      <w:tr w:rsidR="00D524B9" w:rsidRPr="009C7F4B" w:rsidTr="00D524B9">
        <w:tc>
          <w:tcPr>
            <w:tcW w:w="363" w:type="pct"/>
            <w:shd w:val="clear" w:color="auto" w:fill="auto"/>
            <w:vAlign w:val="center"/>
          </w:tcPr>
          <w:p w:rsidR="00D524B9" w:rsidRPr="009C7F4B" w:rsidRDefault="00D524B9" w:rsidP="00246717">
            <w:pPr>
              <w:spacing w:before="60" w:after="60"/>
              <w:jc w:val="center"/>
              <w:rPr>
                <w:rFonts w:ascii="Arial" w:hAnsi="Arial" w:cs="Arial"/>
                <w:iCs/>
                <w:sz w:val="22"/>
                <w:szCs w:val="22"/>
              </w:rPr>
            </w:pPr>
            <w:r w:rsidRPr="009C7F4B">
              <w:rPr>
                <w:rFonts w:ascii="Arial" w:hAnsi="Arial" w:cs="Arial"/>
                <w:iCs/>
                <w:sz w:val="22"/>
                <w:szCs w:val="22"/>
              </w:rPr>
              <w:t>2.3</w:t>
            </w:r>
          </w:p>
        </w:tc>
        <w:tc>
          <w:tcPr>
            <w:tcW w:w="2318" w:type="pct"/>
            <w:gridSpan w:val="2"/>
            <w:shd w:val="clear" w:color="auto" w:fill="auto"/>
            <w:vAlign w:val="center"/>
          </w:tcPr>
          <w:p w:rsidR="00D524B9" w:rsidRPr="009C7F4B" w:rsidRDefault="00D524B9" w:rsidP="00246717">
            <w:pPr>
              <w:spacing w:before="60" w:after="60"/>
              <w:rPr>
                <w:rFonts w:ascii="Arial" w:hAnsi="Arial" w:cs="Arial"/>
                <w:i/>
                <w:iCs/>
                <w:sz w:val="22"/>
                <w:szCs w:val="22"/>
              </w:rPr>
            </w:pPr>
            <w:r w:rsidRPr="009C7F4B">
              <w:rPr>
                <w:rFonts w:ascii="Arial" w:hAnsi="Arial" w:cs="Arial"/>
                <w:sz w:val="22"/>
                <w:szCs w:val="22"/>
              </w:rPr>
              <w:t xml:space="preserve">Mécanisme préliminaire de suivi et d’évaluation pour le renforcement des capacités mis à l’essai </w:t>
            </w:r>
          </w:p>
        </w:tc>
        <w:tc>
          <w:tcPr>
            <w:tcW w:w="2319" w:type="pct"/>
            <w:shd w:val="clear" w:color="auto" w:fill="auto"/>
            <w:vAlign w:val="center"/>
          </w:tcPr>
          <w:p w:rsidR="00D524B9" w:rsidRPr="009C7F4B" w:rsidRDefault="00D524B9" w:rsidP="00D524B9">
            <w:pPr>
              <w:numPr>
                <w:ilvl w:val="0"/>
                <w:numId w:val="28"/>
              </w:numPr>
              <w:spacing w:before="60" w:after="60"/>
              <w:ind w:left="357" w:hanging="357"/>
              <w:rPr>
                <w:rFonts w:ascii="Arial" w:hAnsi="Arial" w:cs="Arial"/>
                <w:sz w:val="22"/>
                <w:szCs w:val="22"/>
              </w:rPr>
            </w:pPr>
            <w:r w:rsidRPr="009C7F4B">
              <w:rPr>
                <w:rFonts w:ascii="Arial" w:hAnsi="Arial" w:cs="Arial"/>
                <w:sz w:val="22"/>
                <w:szCs w:val="22"/>
              </w:rPr>
              <w:t>Études pilote de suivi menées dans les pays bénéficiaires (R=3)</w:t>
            </w:r>
          </w:p>
          <w:p w:rsidR="00D524B9" w:rsidRPr="009C7F4B" w:rsidRDefault="00D524B9" w:rsidP="00D524B9">
            <w:pPr>
              <w:numPr>
                <w:ilvl w:val="0"/>
                <w:numId w:val="28"/>
              </w:numPr>
              <w:spacing w:before="60" w:after="60"/>
              <w:ind w:left="357" w:hanging="357"/>
              <w:rPr>
                <w:rFonts w:ascii="Arial" w:hAnsi="Arial" w:cs="Arial"/>
                <w:sz w:val="22"/>
                <w:szCs w:val="22"/>
              </w:rPr>
            </w:pPr>
            <w:r w:rsidRPr="009C7F4B">
              <w:rPr>
                <w:rFonts w:ascii="Arial" w:hAnsi="Arial" w:cs="Arial"/>
                <w:sz w:val="22"/>
                <w:szCs w:val="22"/>
              </w:rPr>
              <w:t>Enquête sur l’utilisation des matériels de renforcement des capacités de l’UNESCO par d’autres institutions (R=1)</w:t>
            </w:r>
          </w:p>
        </w:tc>
      </w:tr>
      <w:tr w:rsidR="00D524B9" w:rsidRPr="009C7F4B" w:rsidTr="00D524B9">
        <w:tc>
          <w:tcPr>
            <w:tcW w:w="363" w:type="pct"/>
            <w:shd w:val="clear" w:color="auto" w:fill="auto"/>
            <w:vAlign w:val="center"/>
          </w:tcPr>
          <w:p w:rsidR="00D524B9" w:rsidRPr="009C7F4B" w:rsidRDefault="00D524B9" w:rsidP="00246717">
            <w:pPr>
              <w:spacing w:before="60" w:after="60"/>
              <w:jc w:val="center"/>
              <w:rPr>
                <w:rFonts w:ascii="Arial" w:hAnsi="Arial" w:cs="Arial"/>
                <w:iCs/>
                <w:sz w:val="22"/>
                <w:szCs w:val="22"/>
              </w:rPr>
            </w:pPr>
            <w:r w:rsidRPr="009C7F4B">
              <w:rPr>
                <w:rFonts w:ascii="Arial" w:hAnsi="Arial" w:cs="Arial"/>
                <w:iCs/>
                <w:sz w:val="22"/>
                <w:szCs w:val="22"/>
              </w:rPr>
              <w:t>2.4</w:t>
            </w:r>
          </w:p>
        </w:tc>
        <w:tc>
          <w:tcPr>
            <w:tcW w:w="2318" w:type="pct"/>
            <w:gridSpan w:val="2"/>
            <w:shd w:val="clear" w:color="auto" w:fill="auto"/>
            <w:vAlign w:val="center"/>
          </w:tcPr>
          <w:p w:rsidR="00D524B9" w:rsidRPr="009C7F4B" w:rsidRDefault="00D524B9" w:rsidP="00246717">
            <w:pPr>
              <w:spacing w:before="60" w:after="60"/>
              <w:rPr>
                <w:rFonts w:ascii="Arial" w:hAnsi="Arial" w:cs="Arial"/>
                <w:iCs/>
                <w:sz w:val="22"/>
                <w:szCs w:val="22"/>
              </w:rPr>
            </w:pPr>
            <w:r w:rsidRPr="009C7F4B">
              <w:rPr>
                <w:rFonts w:ascii="Arial" w:hAnsi="Arial" w:cs="Arial"/>
                <w:iCs/>
                <w:sz w:val="22"/>
                <w:szCs w:val="22"/>
              </w:rPr>
              <w:t xml:space="preserve">Conseils renforcés sur les mesures de sauvegarde et les bonnes pratiques </w:t>
            </w:r>
          </w:p>
        </w:tc>
        <w:tc>
          <w:tcPr>
            <w:tcW w:w="2319" w:type="pct"/>
            <w:shd w:val="clear" w:color="auto" w:fill="auto"/>
            <w:vAlign w:val="center"/>
          </w:tcPr>
          <w:p w:rsidR="00D524B9" w:rsidRPr="009C7F4B" w:rsidRDefault="00D524B9" w:rsidP="00D524B9">
            <w:pPr>
              <w:numPr>
                <w:ilvl w:val="0"/>
                <w:numId w:val="28"/>
              </w:numPr>
              <w:spacing w:before="60" w:after="60"/>
              <w:ind w:left="357" w:hanging="357"/>
              <w:rPr>
                <w:rFonts w:ascii="Arial" w:hAnsi="Arial" w:cs="Arial"/>
                <w:i/>
                <w:iCs/>
                <w:sz w:val="22"/>
                <w:szCs w:val="22"/>
              </w:rPr>
            </w:pPr>
            <w:r w:rsidRPr="009C7F4B">
              <w:rPr>
                <w:rFonts w:ascii="Arial" w:hAnsi="Arial" w:cs="Arial"/>
                <w:iCs/>
                <w:sz w:val="22"/>
                <w:szCs w:val="22"/>
              </w:rPr>
              <w:t>Orientations concernant les inventaires formulées à l’intention des États parties, en tenant compte des décisions et recommandations des organes directeurs de la Convention (R=1)</w:t>
            </w:r>
          </w:p>
          <w:p w:rsidR="00D524B9" w:rsidRPr="009C7F4B" w:rsidRDefault="00D524B9" w:rsidP="00D524B9">
            <w:pPr>
              <w:numPr>
                <w:ilvl w:val="0"/>
                <w:numId w:val="28"/>
              </w:numPr>
              <w:spacing w:before="60" w:after="60"/>
              <w:ind w:left="357" w:hanging="357"/>
              <w:rPr>
                <w:rFonts w:ascii="Arial" w:hAnsi="Arial" w:cs="Arial"/>
                <w:i/>
                <w:iCs/>
                <w:sz w:val="22"/>
                <w:szCs w:val="22"/>
              </w:rPr>
            </w:pPr>
            <w:r w:rsidRPr="009C7F4B">
              <w:rPr>
                <w:rFonts w:ascii="Arial" w:hAnsi="Arial" w:cs="Arial"/>
                <w:iCs/>
                <w:sz w:val="22"/>
                <w:szCs w:val="22"/>
              </w:rPr>
              <w:t>Propositions de moyens plus légers de partage des expériences de sauvegarde recueillies pour compléter le Registre des meilleures pratiques de sauvegarde (R=3)</w:t>
            </w:r>
          </w:p>
          <w:p w:rsidR="00D524B9" w:rsidRPr="009C7F4B" w:rsidRDefault="00D524B9" w:rsidP="00D524B9">
            <w:pPr>
              <w:numPr>
                <w:ilvl w:val="0"/>
                <w:numId w:val="28"/>
              </w:numPr>
              <w:spacing w:before="60" w:after="60"/>
              <w:ind w:left="357" w:hanging="357"/>
              <w:rPr>
                <w:rFonts w:ascii="Arial" w:hAnsi="Arial" w:cs="Arial"/>
                <w:i/>
                <w:iCs/>
                <w:sz w:val="22"/>
                <w:szCs w:val="22"/>
              </w:rPr>
            </w:pPr>
            <w:r w:rsidRPr="009C7F4B">
              <w:rPr>
                <w:rFonts w:ascii="Arial" w:hAnsi="Arial" w:cs="Arial"/>
                <w:iCs/>
                <w:sz w:val="22"/>
                <w:szCs w:val="22"/>
              </w:rPr>
              <w:t xml:space="preserve">Matériels de formation développés pour sensibiliser les gouvernements, les communautés, les groupes et autres parties prenantes et intermédiaires concernés aux préoccupations éthiques dans le cadre de la sauvegarde du patrimoine culturel immatériel (R=1) </w:t>
            </w:r>
          </w:p>
          <w:p w:rsidR="00D524B9" w:rsidRPr="009C7F4B" w:rsidRDefault="00D524B9" w:rsidP="00D524B9">
            <w:pPr>
              <w:numPr>
                <w:ilvl w:val="0"/>
                <w:numId w:val="28"/>
              </w:numPr>
              <w:spacing w:before="60" w:after="60"/>
              <w:ind w:left="357" w:hanging="357"/>
              <w:rPr>
                <w:rFonts w:ascii="Arial" w:hAnsi="Arial" w:cs="Arial"/>
                <w:iCs/>
                <w:sz w:val="22"/>
                <w:szCs w:val="22"/>
              </w:rPr>
            </w:pPr>
            <w:r w:rsidRPr="009C7F4B">
              <w:rPr>
                <w:rFonts w:ascii="Arial" w:hAnsi="Arial" w:cs="Arial"/>
                <w:iCs/>
                <w:sz w:val="22"/>
                <w:szCs w:val="22"/>
              </w:rPr>
              <w:t xml:space="preserve">Une stratégie élaborée pour sauvegarder le patrimoine culturel immatériel dans les situations d’urgence telles que décrites au §50 des DO (R=1) </w:t>
            </w:r>
          </w:p>
        </w:tc>
      </w:tr>
    </w:tbl>
    <w:p w:rsidR="00D524B9" w:rsidRPr="009C7F4B" w:rsidRDefault="00D524B9" w:rsidP="00D524B9">
      <w:pPr>
        <w:tabs>
          <w:tab w:val="left" w:pos="567"/>
        </w:tabs>
        <w:snapToGrid w:val="0"/>
        <w:spacing w:before="120" w:after="120"/>
        <w:jc w:val="both"/>
        <w:rPr>
          <w:rFonts w:ascii="Arial" w:hAnsi="Arial" w:cs="Arial"/>
          <w:b/>
          <w:bCs/>
          <w:snapToGrid w:val="0"/>
          <w:sz w:val="22"/>
          <w:szCs w:val="22"/>
          <w:lang w:eastAsia="en-US"/>
        </w:rPr>
      </w:pPr>
    </w:p>
    <w:tbl>
      <w:tblPr>
        <w:tblStyle w:val="Grilledutableau1"/>
        <w:tblW w:w="5002" w:type="pct"/>
        <w:tblLayout w:type="fixed"/>
        <w:tblLook w:val="04A0" w:firstRow="1" w:lastRow="0" w:firstColumn="1" w:lastColumn="0" w:noHBand="0" w:noVBand="1"/>
      </w:tblPr>
      <w:tblGrid>
        <w:gridCol w:w="700"/>
        <w:gridCol w:w="1564"/>
        <w:gridCol w:w="2901"/>
        <w:gridCol w:w="4467"/>
      </w:tblGrid>
      <w:tr w:rsidR="00D524B9" w:rsidRPr="009C7F4B" w:rsidTr="00D524B9">
        <w:tc>
          <w:tcPr>
            <w:tcW w:w="1175" w:type="pct"/>
            <w:gridSpan w:val="2"/>
            <w:shd w:val="clear" w:color="auto" w:fill="808080" w:themeFill="background1" w:themeFillShade="80"/>
            <w:vAlign w:val="center"/>
          </w:tcPr>
          <w:p w:rsidR="00D524B9" w:rsidRPr="009C7F4B" w:rsidRDefault="00D524B9" w:rsidP="00246717">
            <w:pPr>
              <w:keepNext/>
              <w:spacing w:before="120" w:after="120"/>
              <w:rPr>
                <w:rFonts w:ascii="Arial" w:hAnsi="Arial" w:cs="Arial"/>
                <w:b/>
                <w:bCs/>
                <w:color w:val="FFFFFF" w:themeColor="background1"/>
                <w:sz w:val="22"/>
                <w:szCs w:val="22"/>
              </w:rPr>
            </w:pPr>
            <w:r w:rsidRPr="009C7F4B">
              <w:rPr>
                <w:rFonts w:ascii="Arial" w:hAnsi="Arial" w:cs="Arial"/>
                <w:b/>
                <w:bCs/>
                <w:color w:val="FFFFFF" w:themeColor="background1"/>
                <w:sz w:val="22"/>
                <w:szCs w:val="22"/>
              </w:rPr>
              <w:t>38C/5 Indicateur de performance 3</w:t>
            </w:r>
          </w:p>
        </w:tc>
        <w:tc>
          <w:tcPr>
            <w:tcW w:w="3825" w:type="pct"/>
            <w:gridSpan w:val="2"/>
            <w:shd w:val="clear" w:color="auto" w:fill="808080" w:themeFill="background1" w:themeFillShade="80"/>
            <w:vAlign w:val="center"/>
          </w:tcPr>
          <w:p w:rsidR="00D524B9" w:rsidRPr="009C7F4B" w:rsidRDefault="00D524B9" w:rsidP="00246717">
            <w:pPr>
              <w:keepNext/>
              <w:spacing w:before="120" w:after="120"/>
              <w:rPr>
                <w:rFonts w:ascii="Arial" w:hAnsi="Arial" w:cs="Arial"/>
                <w:b/>
                <w:bCs/>
                <w:color w:val="FFFFFF" w:themeColor="background1"/>
                <w:sz w:val="22"/>
                <w:szCs w:val="22"/>
              </w:rPr>
            </w:pPr>
            <w:r w:rsidRPr="009C7F4B">
              <w:rPr>
                <w:rFonts w:ascii="Arial" w:hAnsi="Arial" w:cs="Arial"/>
                <w:b/>
                <w:bCs/>
                <w:color w:val="FFFFFF" w:themeColor="background1"/>
                <w:sz w:val="22"/>
                <w:szCs w:val="22"/>
              </w:rPr>
              <w:t>Nombre de rapports périodiques sur la mise en œuvre de la Convention à l’échelon national soumis par les États parties et examinés par le Comité, et nombre de ces rapports traitant des questions d’égalité des genres et faisant état de politiques destinées à promouvoir un accès et une participation équilibrés à la vie culturelle</w:t>
            </w:r>
          </w:p>
        </w:tc>
      </w:tr>
      <w:tr w:rsidR="00D524B9" w:rsidRPr="009C7F4B" w:rsidTr="00D524B9">
        <w:tc>
          <w:tcPr>
            <w:tcW w:w="1175" w:type="pct"/>
            <w:gridSpan w:val="2"/>
            <w:shd w:val="clear" w:color="auto" w:fill="F2F2F2" w:themeFill="background1" w:themeFillShade="F2"/>
            <w:vAlign w:val="center"/>
          </w:tcPr>
          <w:p w:rsidR="00D524B9" w:rsidRPr="009C7F4B" w:rsidRDefault="00D524B9" w:rsidP="00246717">
            <w:pPr>
              <w:keepNext/>
              <w:spacing w:before="60" w:after="60"/>
              <w:rPr>
                <w:rFonts w:ascii="Arial" w:hAnsi="Arial" w:cs="Arial"/>
                <w:b/>
                <w:bCs/>
                <w:sz w:val="22"/>
                <w:szCs w:val="22"/>
              </w:rPr>
            </w:pPr>
            <w:r w:rsidRPr="009C7F4B">
              <w:rPr>
                <w:rFonts w:ascii="Arial" w:hAnsi="Arial" w:cs="Arial"/>
                <w:b/>
                <w:bCs/>
                <w:sz w:val="22"/>
                <w:szCs w:val="22"/>
              </w:rPr>
              <w:t>Résultat escompté 3 du Fonds du PCI</w:t>
            </w:r>
          </w:p>
        </w:tc>
        <w:tc>
          <w:tcPr>
            <w:tcW w:w="3825" w:type="pct"/>
            <w:gridSpan w:val="2"/>
            <w:shd w:val="clear" w:color="auto" w:fill="F2F2F2" w:themeFill="background1" w:themeFillShade="F2"/>
            <w:vAlign w:val="center"/>
          </w:tcPr>
          <w:p w:rsidR="00D524B9" w:rsidRPr="009C7F4B" w:rsidRDefault="00D524B9" w:rsidP="00246717">
            <w:pPr>
              <w:keepNext/>
              <w:spacing w:before="60" w:after="60"/>
              <w:rPr>
                <w:rFonts w:ascii="Arial" w:hAnsi="Arial" w:cs="Arial"/>
                <w:b/>
                <w:bCs/>
                <w:sz w:val="22"/>
                <w:szCs w:val="22"/>
              </w:rPr>
            </w:pPr>
            <w:r w:rsidRPr="009C7F4B">
              <w:rPr>
                <w:rFonts w:ascii="Arial" w:hAnsi="Arial" w:cs="Arial"/>
                <w:b/>
                <w:bCs/>
                <w:sz w:val="22"/>
                <w:szCs w:val="22"/>
              </w:rPr>
              <w:t>Cadre global de résultats élaboré pour suivre la mise en œuvre de la Convention</w:t>
            </w:r>
          </w:p>
        </w:tc>
      </w:tr>
      <w:tr w:rsidR="00D524B9" w:rsidRPr="009C7F4B" w:rsidTr="00D524B9">
        <w:tc>
          <w:tcPr>
            <w:tcW w:w="1175" w:type="pct"/>
            <w:gridSpan w:val="2"/>
            <w:shd w:val="clear" w:color="auto" w:fill="F2F2F2" w:themeFill="background1" w:themeFillShade="F2"/>
            <w:vAlign w:val="center"/>
          </w:tcPr>
          <w:p w:rsidR="00D524B9" w:rsidRPr="009C7F4B" w:rsidRDefault="00D524B9" w:rsidP="00246717">
            <w:pPr>
              <w:keepNext/>
              <w:spacing w:before="60" w:after="60"/>
              <w:rPr>
                <w:rFonts w:ascii="Arial" w:hAnsi="Arial" w:cs="Arial"/>
                <w:b/>
                <w:bCs/>
                <w:sz w:val="22"/>
                <w:szCs w:val="22"/>
              </w:rPr>
            </w:pPr>
            <w:r w:rsidRPr="009C7F4B">
              <w:rPr>
                <w:rFonts w:ascii="Arial" w:hAnsi="Arial" w:cs="Arial"/>
                <w:b/>
                <w:bCs/>
                <w:sz w:val="22"/>
                <w:szCs w:val="22"/>
              </w:rPr>
              <w:t>199OTH4138.3</w:t>
            </w:r>
          </w:p>
        </w:tc>
        <w:tc>
          <w:tcPr>
            <w:tcW w:w="3825" w:type="pct"/>
            <w:gridSpan w:val="2"/>
            <w:shd w:val="clear" w:color="auto" w:fill="F2F2F2" w:themeFill="background1" w:themeFillShade="F2"/>
            <w:vAlign w:val="center"/>
          </w:tcPr>
          <w:p w:rsidR="00D524B9" w:rsidRPr="009C7F4B" w:rsidRDefault="00D524B9" w:rsidP="00246717">
            <w:pPr>
              <w:keepNext/>
              <w:spacing w:before="60" w:after="60"/>
              <w:rPr>
                <w:rFonts w:ascii="Arial" w:hAnsi="Arial" w:cs="Arial"/>
                <w:b/>
                <w:bCs/>
                <w:sz w:val="22"/>
                <w:szCs w:val="22"/>
              </w:rPr>
            </w:pPr>
            <w:r w:rsidRPr="009C7F4B">
              <w:rPr>
                <w:rFonts w:ascii="Arial" w:hAnsi="Arial" w:cs="Arial"/>
                <w:b/>
                <w:bCs/>
                <w:sz w:val="22"/>
                <w:szCs w:val="22"/>
              </w:rPr>
              <w:t>Dotation budgétaire : 50 000 dollars des États-Unis</w:t>
            </w:r>
          </w:p>
        </w:tc>
      </w:tr>
      <w:tr w:rsidR="00D524B9" w:rsidRPr="009C7F4B" w:rsidTr="00D524B9">
        <w:tc>
          <w:tcPr>
            <w:tcW w:w="363" w:type="pct"/>
            <w:shd w:val="clear" w:color="auto" w:fill="F2F2F2" w:themeFill="background1" w:themeFillShade="F2"/>
            <w:vAlign w:val="center"/>
          </w:tcPr>
          <w:p w:rsidR="00D524B9" w:rsidRPr="009C7F4B" w:rsidRDefault="00D524B9" w:rsidP="00246717">
            <w:pPr>
              <w:keepNext/>
              <w:spacing w:before="60" w:after="60"/>
              <w:jc w:val="right"/>
              <w:rPr>
                <w:rFonts w:ascii="Arial" w:hAnsi="Arial" w:cs="Arial"/>
                <w:i/>
                <w:iCs/>
                <w:sz w:val="22"/>
                <w:szCs w:val="22"/>
              </w:rPr>
            </w:pPr>
          </w:p>
        </w:tc>
        <w:tc>
          <w:tcPr>
            <w:tcW w:w="2318" w:type="pct"/>
            <w:gridSpan w:val="2"/>
            <w:shd w:val="clear" w:color="auto" w:fill="F2F2F2" w:themeFill="background1" w:themeFillShade="F2"/>
            <w:vAlign w:val="center"/>
          </w:tcPr>
          <w:p w:rsidR="00D524B9" w:rsidRPr="009C7F4B" w:rsidRDefault="00D524B9" w:rsidP="00246717">
            <w:pPr>
              <w:keepNext/>
              <w:spacing w:before="60" w:after="60"/>
              <w:jc w:val="center"/>
              <w:rPr>
                <w:rFonts w:ascii="Arial" w:hAnsi="Arial" w:cs="Arial"/>
                <w:i/>
                <w:iCs/>
                <w:sz w:val="22"/>
                <w:szCs w:val="22"/>
              </w:rPr>
            </w:pPr>
            <w:r w:rsidRPr="009C7F4B">
              <w:rPr>
                <w:rFonts w:ascii="Arial" w:hAnsi="Arial" w:cs="Arial"/>
                <w:i/>
                <w:iCs/>
                <w:sz w:val="22"/>
                <w:szCs w:val="22"/>
              </w:rPr>
              <w:t>Produits</w:t>
            </w:r>
          </w:p>
        </w:tc>
        <w:tc>
          <w:tcPr>
            <w:tcW w:w="2319" w:type="pct"/>
            <w:shd w:val="clear" w:color="auto" w:fill="F2F2F2" w:themeFill="background1" w:themeFillShade="F2"/>
            <w:vAlign w:val="center"/>
          </w:tcPr>
          <w:p w:rsidR="00D524B9" w:rsidRPr="009C7F4B" w:rsidRDefault="00D524B9" w:rsidP="00246717">
            <w:pPr>
              <w:keepNext/>
              <w:spacing w:before="60" w:after="60"/>
              <w:jc w:val="center"/>
              <w:rPr>
                <w:rFonts w:ascii="Arial" w:hAnsi="Arial" w:cs="Arial"/>
                <w:i/>
                <w:iCs/>
                <w:sz w:val="22"/>
                <w:szCs w:val="22"/>
              </w:rPr>
            </w:pPr>
            <w:r w:rsidRPr="009C7F4B">
              <w:rPr>
                <w:rFonts w:ascii="Arial" w:hAnsi="Arial" w:cs="Arial"/>
                <w:i/>
                <w:iCs/>
                <w:sz w:val="22"/>
                <w:szCs w:val="22"/>
              </w:rPr>
              <w:t>Indicateurs (Références)</w:t>
            </w:r>
          </w:p>
        </w:tc>
      </w:tr>
      <w:tr w:rsidR="00D524B9" w:rsidRPr="009C7F4B" w:rsidTr="00D524B9">
        <w:tc>
          <w:tcPr>
            <w:tcW w:w="363" w:type="pct"/>
            <w:shd w:val="clear" w:color="auto" w:fill="auto"/>
            <w:vAlign w:val="center"/>
          </w:tcPr>
          <w:p w:rsidR="00D524B9" w:rsidRPr="009C7F4B" w:rsidRDefault="00D524B9" w:rsidP="00246717">
            <w:pPr>
              <w:spacing w:before="60" w:after="60"/>
              <w:jc w:val="center"/>
              <w:rPr>
                <w:rFonts w:ascii="Arial" w:hAnsi="Arial" w:cs="Arial"/>
                <w:iCs/>
                <w:sz w:val="22"/>
                <w:szCs w:val="22"/>
              </w:rPr>
            </w:pPr>
            <w:r w:rsidRPr="009C7F4B">
              <w:rPr>
                <w:rFonts w:ascii="Arial" w:hAnsi="Arial" w:cs="Arial"/>
                <w:iCs/>
                <w:sz w:val="22"/>
                <w:szCs w:val="22"/>
              </w:rPr>
              <w:t>3.1</w:t>
            </w:r>
          </w:p>
        </w:tc>
        <w:tc>
          <w:tcPr>
            <w:tcW w:w="2318" w:type="pct"/>
            <w:gridSpan w:val="2"/>
            <w:shd w:val="clear" w:color="auto" w:fill="auto"/>
            <w:vAlign w:val="center"/>
          </w:tcPr>
          <w:p w:rsidR="00D524B9" w:rsidRPr="009C7F4B" w:rsidRDefault="00D524B9" w:rsidP="00246717">
            <w:pPr>
              <w:spacing w:before="60" w:after="60"/>
              <w:rPr>
                <w:rFonts w:ascii="Arial" w:hAnsi="Arial" w:cs="Arial"/>
                <w:iCs/>
                <w:sz w:val="22"/>
                <w:szCs w:val="22"/>
              </w:rPr>
            </w:pPr>
            <w:r w:rsidRPr="009C7F4B">
              <w:rPr>
                <w:rFonts w:ascii="Arial" w:hAnsi="Arial" w:cs="Arial"/>
                <w:iCs/>
                <w:sz w:val="22"/>
                <w:szCs w:val="22"/>
              </w:rPr>
              <w:t>Un cadre global de résultats pour la Convention élaboré</w:t>
            </w:r>
          </w:p>
        </w:tc>
        <w:tc>
          <w:tcPr>
            <w:tcW w:w="2319" w:type="pct"/>
            <w:shd w:val="clear" w:color="auto" w:fill="auto"/>
            <w:vAlign w:val="center"/>
          </w:tcPr>
          <w:p w:rsidR="00D524B9" w:rsidRPr="009C7F4B" w:rsidRDefault="00D524B9" w:rsidP="00D524B9">
            <w:pPr>
              <w:numPr>
                <w:ilvl w:val="0"/>
                <w:numId w:val="28"/>
              </w:numPr>
              <w:spacing w:before="60" w:after="60"/>
              <w:ind w:left="357" w:hanging="357"/>
              <w:rPr>
                <w:rFonts w:ascii="Arial" w:hAnsi="Arial" w:cs="Arial"/>
                <w:iCs/>
                <w:sz w:val="22"/>
                <w:szCs w:val="22"/>
              </w:rPr>
            </w:pPr>
            <w:r w:rsidRPr="009C7F4B">
              <w:rPr>
                <w:rFonts w:ascii="Arial" w:hAnsi="Arial" w:cs="Arial"/>
                <w:iCs/>
                <w:sz w:val="22"/>
                <w:szCs w:val="22"/>
              </w:rPr>
              <w:t>Réunion préliminaire d’experts de catégorie VI pour poser les fondements sur lesquels un futur cadre global de résultats de la Convention pourra être élaboré (R=1, cofinancée par le Commission nationale de la République populaire de Chine)</w:t>
            </w:r>
          </w:p>
          <w:p w:rsidR="00D524B9" w:rsidRPr="009C7F4B" w:rsidRDefault="00D524B9" w:rsidP="00D524B9">
            <w:pPr>
              <w:numPr>
                <w:ilvl w:val="0"/>
                <w:numId w:val="28"/>
              </w:numPr>
              <w:spacing w:before="60" w:after="60"/>
              <w:ind w:left="357" w:hanging="357"/>
              <w:rPr>
                <w:rFonts w:ascii="Arial" w:hAnsi="Arial" w:cs="Arial"/>
                <w:iCs/>
                <w:sz w:val="22"/>
                <w:szCs w:val="22"/>
              </w:rPr>
            </w:pPr>
            <w:r w:rsidRPr="009C7F4B">
              <w:rPr>
                <w:rFonts w:ascii="Arial" w:hAnsi="Arial" w:cs="Arial"/>
                <w:sz w:val="22"/>
                <w:szCs w:val="22"/>
              </w:rPr>
              <w:t>Un groupe de travail intergouvernemental à composition non limitée pour examiner les recommandations préliminaires de directives possibles (R=1, subordonné à des contributions supplémentaires volontaires au Fonds du patrimoine culturel immatériel)</w:t>
            </w:r>
          </w:p>
          <w:p w:rsidR="00D524B9" w:rsidRPr="009C7F4B" w:rsidRDefault="00D524B9" w:rsidP="00D524B9">
            <w:pPr>
              <w:numPr>
                <w:ilvl w:val="0"/>
                <w:numId w:val="28"/>
              </w:numPr>
              <w:spacing w:before="60" w:after="60"/>
              <w:ind w:left="357" w:hanging="357"/>
              <w:rPr>
                <w:rFonts w:ascii="Arial" w:hAnsi="Arial" w:cs="Arial"/>
                <w:iCs/>
                <w:sz w:val="22"/>
                <w:szCs w:val="22"/>
              </w:rPr>
            </w:pPr>
            <w:r w:rsidRPr="009C7F4B">
              <w:rPr>
                <w:rFonts w:ascii="Arial" w:hAnsi="Arial" w:cs="Arial"/>
                <w:sz w:val="22"/>
                <w:szCs w:val="22"/>
              </w:rPr>
              <w:t>Un outil préliminaire développé pour systématiser la collecte et l’analyse de données afin de suivre la mise en œuvre de la Convention (R=1)</w:t>
            </w:r>
          </w:p>
        </w:tc>
      </w:tr>
    </w:tbl>
    <w:p w:rsidR="00D524B9" w:rsidRPr="009C7F4B" w:rsidRDefault="00D524B9" w:rsidP="00D524B9">
      <w:pPr>
        <w:tabs>
          <w:tab w:val="left" w:pos="567"/>
        </w:tabs>
        <w:snapToGrid w:val="0"/>
        <w:spacing w:before="120" w:after="120"/>
        <w:jc w:val="both"/>
        <w:rPr>
          <w:rFonts w:ascii="Arial" w:hAnsi="Arial" w:cs="Arial"/>
          <w:b/>
          <w:bCs/>
          <w:snapToGrid w:val="0"/>
          <w:sz w:val="22"/>
          <w:szCs w:val="22"/>
          <w:lang w:eastAsia="en-US"/>
        </w:rPr>
      </w:pPr>
    </w:p>
    <w:tbl>
      <w:tblPr>
        <w:tblStyle w:val="Grilledutableau1"/>
        <w:tblW w:w="5002" w:type="pct"/>
        <w:tblLayout w:type="fixed"/>
        <w:tblLook w:val="04A0" w:firstRow="1" w:lastRow="0" w:firstColumn="1" w:lastColumn="0" w:noHBand="0" w:noVBand="1"/>
      </w:tblPr>
      <w:tblGrid>
        <w:gridCol w:w="700"/>
        <w:gridCol w:w="1564"/>
        <w:gridCol w:w="2901"/>
        <w:gridCol w:w="4467"/>
      </w:tblGrid>
      <w:tr w:rsidR="00D524B9" w:rsidRPr="009C7F4B" w:rsidTr="00246717">
        <w:trPr>
          <w:cantSplit/>
        </w:trPr>
        <w:tc>
          <w:tcPr>
            <w:tcW w:w="1175" w:type="pct"/>
            <w:gridSpan w:val="2"/>
            <w:shd w:val="clear" w:color="auto" w:fill="808080" w:themeFill="background1" w:themeFillShade="80"/>
            <w:vAlign w:val="center"/>
          </w:tcPr>
          <w:p w:rsidR="00D524B9" w:rsidRPr="009C7F4B" w:rsidRDefault="00D524B9" w:rsidP="00246717">
            <w:pPr>
              <w:keepNext/>
              <w:spacing w:before="120" w:after="120"/>
              <w:rPr>
                <w:rFonts w:ascii="Arial" w:hAnsi="Arial" w:cs="Arial"/>
                <w:b/>
                <w:bCs/>
                <w:color w:val="FFFFFF" w:themeColor="background1"/>
                <w:sz w:val="22"/>
                <w:szCs w:val="22"/>
              </w:rPr>
            </w:pPr>
            <w:r w:rsidRPr="009C7F4B">
              <w:rPr>
                <w:rFonts w:ascii="Arial" w:hAnsi="Arial" w:cs="Arial"/>
                <w:b/>
                <w:bCs/>
                <w:color w:val="FFFFFF" w:themeColor="background1"/>
                <w:sz w:val="22"/>
                <w:szCs w:val="22"/>
              </w:rPr>
              <w:t>38C/5 Indicateur de performance 5</w:t>
            </w:r>
          </w:p>
        </w:tc>
        <w:tc>
          <w:tcPr>
            <w:tcW w:w="3825" w:type="pct"/>
            <w:gridSpan w:val="2"/>
            <w:shd w:val="clear" w:color="auto" w:fill="808080" w:themeFill="background1" w:themeFillShade="80"/>
            <w:vAlign w:val="center"/>
          </w:tcPr>
          <w:p w:rsidR="00D524B9" w:rsidRPr="009C7F4B" w:rsidRDefault="00D524B9" w:rsidP="00246717">
            <w:pPr>
              <w:keepNext/>
              <w:spacing w:before="120" w:after="120"/>
              <w:rPr>
                <w:rFonts w:ascii="Arial" w:hAnsi="Arial" w:cs="Arial"/>
                <w:b/>
                <w:bCs/>
                <w:color w:val="FFFFFF" w:themeColor="background1"/>
                <w:sz w:val="22"/>
                <w:szCs w:val="22"/>
              </w:rPr>
            </w:pPr>
            <w:r w:rsidRPr="009C7F4B">
              <w:rPr>
                <w:rFonts w:ascii="Arial" w:hAnsi="Arial" w:cs="Arial"/>
                <w:b/>
                <w:bCs/>
                <w:color w:val="FFFFFF" w:themeColor="background1"/>
                <w:sz w:val="22"/>
                <w:szCs w:val="22"/>
              </w:rPr>
              <w:t>Nombre d’organisations au sein et en dehors du système des Nations Unies, de la société civile et du secteur privé contribuant à l’exécution du programme</w:t>
            </w:r>
          </w:p>
        </w:tc>
      </w:tr>
      <w:tr w:rsidR="00D524B9" w:rsidRPr="009C7F4B" w:rsidTr="00246717">
        <w:trPr>
          <w:cantSplit/>
        </w:trPr>
        <w:tc>
          <w:tcPr>
            <w:tcW w:w="1175" w:type="pct"/>
            <w:gridSpan w:val="2"/>
            <w:shd w:val="clear" w:color="auto" w:fill="F2F2F2" w:themeFill="background1" w:themeFillShade="F2"/>
            <w:vAlign w:val="center"/>
          </w:tcPr>
          <w:p w:rsidR="00D524B9" w:rsidRPr="009C7F4B" w:rsidRDefault="00D524B9" w:rsidP="00246717">
            <w:pPr>
              <w:keepNext/>
              <w:spacing w:before="60" w:after="60"/>
              <w:rPr>
                <w:rFonts w:ascii="Arial" w:hAnsi="Arial" w:cs="Arial"/>
                <w:b/>
                <w:bCs/>
                <w:sz w:val="22"/>
                <w:szCs w:val="22"/>
              </w:rPr>
            </w:pPr>
            <w:r w:rsidRPr="009C7F4B">
              <w:rPr>
                <w:rFonts w:ascii="Arial" w:hAnsi="Arial" w:cs="Arial"/>
                <w:b/>
                <w:bCs/>
                <w:sz w:val="22"/>
                <w:szCs w:val="22"/>
              </w:rPr>
              <w:t>Résultat escompté 4 du Fonds du PCI</w:t>
            </w:r>
          </w:p>
        </w:tc>
        <w:tc>
          <w:tcPr>
            <w:tcW w:w="3825" w:type="pct"/>
            <w:gridSpan w:val="2"/>
            <w:shd w:val="clear" w:color="auto" w:fill="F2F2F2" w:themeFill="background1" w:themeFillShade="F2"/>
            <w:vAlign w:val="center"/>
          </w:tcPr>
          <w:p w:rsidR="00D524B9" w:rsidRPr="009C7F4B" w:rsidRDefault="00D524B9" w:rsidP="00246717">
            <w:pPr>
              <w:keepNext/>
              <w:spacing w:before="60" w:after="60"/>
              <w:rPr>
                <w:rFonts w:ascii="Arial" w:hAnsi="Arial" w:cs="Arial"/>
                <w:b/>
                <w:bCs/>
                <w:sz w:val="22"/>
                <w:szCs w:val="22"/>
              </w:rPr>
            </w:pPr>
            <w:r w:rsidRPr="009C7F4B">
              <w:rPr>
                <w:rFonts w:ascii="Arial" w:hAnsi="Arial" w:cs="Arial"/>
                <w:b/>
                <w:bCs/>
                <w:sz w:val="22"/>
                <w:szCs w:val="22"/>
              </w:rPr>
              <w:t>Objectifs de la Convention promus par des actions de sensibilisation et d’information</w:t>
            </w:r>
          </w:p>
        </w:tc>
      </w:tr>
      <w:tr w:rsidR="00D524B9" w:rsidRPr="009C7F4B" w:rsidTr="00246717">
        <w:trPr>
          <w:cantSplit/>
        </w:trPr>
        <w:tc>
          <w:tcPr>
            <w:tcW w:w="1175" w:type="pct"/>
            <w:gridSpan w:val="2"/>
            <w:shd w:val="clear" w:color="auto" w:fill="F2F2F2" w:themeFill="background1" w:themeFillShade="F2"/>
            <w:vAlign w:val="center"/>
          </w:tcPr>
          <w:p w:rsidR="00D524B9" w:rsidRPr="009C7F4B" w:rsidRDefault="00D524B9" w:rsidP="00246717">
            <w:pPr>
              <w:keepNext/>
              <w:spacing w:before="60" w:after="60"/>
              <w:rPr>
                <w:rFonts w:ascii="Arial" w:hAnsi="Arial" w:cs="Arial"/>
                <w:b/>
                <w:bCs/>
                <w:sz w:val="22"/>
                <w:szCs w:val="22"/>
              </w:rPr>
            </w:pPr>
            <w:r w:rsidRPr="009C7F4B">
              <w:rPr>
                <w:rFonts w:ascii="Arial" w:hAnsi="Arial" w:cs="Arial"/>
                <w:b/>
                <w:bCs/>
                <w:sz w:val="22"/>
                <w:szCs w:val="22"/>
              </w:rPr>
              <w:t>199OTH4138.4</w:t>
            </w:r>
          </w:p>
        </w:tc>
        <w:tc>
          <w:tcPr>
            <w:tcW w:w="3825" w:type="pct"/>
            <w:gridSpan w:val="2"/>
            <w:shd w:val="clear" w:color="auto" w:fill="F2F2F2" w:themeFill="background1" w:themeFillShade="F2"/>
            <w:vAlign w:val="center"/>
          </w:tcPr>
          <w:p w:rsidR="00D524B9" w:rsidRPr="009C7F4B" w:rsidRDefault="00D524B9" w:rsidP="00246717">
            <w:pPr>
              <w:keepNext/>
              <w:spacing w:before="60" w:after="60"/>
              <w:rPr>
                <w:rFonts w:ascii="Arial" w:hAnsi="Arial" w:cs="Arial"/>
                <w:b/>
                <w:bCs/>
                <w:sz w:val="22"/>
                <w:szCs w:val="22"/>
              </w:rPr>
            </w:pPr>
            <w:r w:rsidRPr="009C7F4B">
              <w:rPr>
                <w:rFonts w:ascii="Arial" w:hAnsi="Arial" w:cs="Arial"/>
                <w:b/>
                <w:bCs/>
                <w:sz w:val="22"/>
                <w:szCs w:val="22"/>
              </w:rPr>
              <w:t>Dotation budgétaire : 336 500 dollars des États-Unis</w:t>
            </w:r>
          </w:p>
        </w:tc>
      </w:tr>
      <w:tr w:rsidR="00D524B9" w:rsidRPr="009C7F4B" w:rsidTr="00246717">
        <w:trPr>
          <w:cantSplit/>
        </w:trPr>
        <w:tc>
          <w:tcPr>
            <w:tcW w:w="363" w:type="pct"/>
            <w:shd w:val="clear" w:color="auto" w:fill="F2F2F2" w:themeFill="background1" w:themeFillShade="F2"/>
            <w:vAlign w:val="center"/>
          </w:tcPr>
          <w:p w:rsidR="00D524B9" w:rsidRPr="009C7F4B" w:rsidRDefault="00D524B9" w:rsidP="00246717">
            <w:pPr>
              <w:keepNext/>
              <w:spacing w:before="60" w:after="60"/>
              <w:jc w:val="right"/>
              <w:rPr>
                <w:rFonts w:ascii="Arial" w:hAnsi="Arial" w:cs="Arial"/>
                <w:i/>
                <w:iCs/>
                <w:sz w:val="22"/>
                <w:szCs w:val="22"/>
              </w:rPr>
            </w:pPr>
          </w:p>
        </w:tc>
        <w:tc>
          <w:tcPr>
            <w:tcW w:w="2318" w:type="pct"/>
            <w:gridSpan w:val="2"/>
            <w:shd w:val="clear" w:color="auto" w:fill="F2F2F2" w:themeFill="background1" w:themeFillShade="F2"/>
            <w:vAlign w:val="center"/>
          </w:tcPr>
          <w:p w:rsidR="00D524B9" w:rsidRPr="009C7F4B" w:rsidRDefault="00D524B9" w:rsidP="00246717">
            <w:pPr>
              <w:keepNext/>
              <w:spacing w:before="60" w:after="60"/>
              <w:jc w:val="center"/>
              <w:rPr>
                <w:rFonts w:ascii="Arial" w:hAnsi="Arial" w:cs="Arial"/>
                <w:i/>
                <w:iCs/>
                <w:sz w:val="22"/>
                <w:szCs w:val="22"/>
              </w:rPr>
            </w:pPr>
            <w:r w:rsidRPr="009C7F4B">
              <w:rPr>
                <w:rFonts w:ascii="Arial" w:hAnsi="Arial" w:cs="Arial"/>
                <w:i/>
                <w:iCs/>
                <w:sz w:val="22"/>
                <w:szCs w:val="22"/>
              </w:rPr>
              <w:t>Produits</w:t>
            </w:r>
          </w:p>
        </w:tc>
        <w:tc>
          <w:tcPr>
            <w:tcW w:w="2319" w:type="pct"/>
            <w:shd w:val="clear" w:color="auto" w:fill="F2F2F2" w:themeFill="background1" w:themeFillShade="F2"/>
            <w:vAlign w:val="center"/>
          </w:tcPr>
          <w:p w:rsidR="00D524B9" w:rsidRPr="009C7F4B" w:rsidRDefault="00D524B9" w:rsidP="00246717">
            <w:pPr>
              <w:keepNext/>
              <w:spacing w:before="60" w:after="60"/>
              <w:jc w:val="center"/>
              <w:rPr>
                <w:rFonts w:ascii="Arial" w:hAnsi="Arial" w:cs="Arial"/>
                <w:i/>
                <w:iCs/>
                <w:sz w:val="22"/>
                <w:szCs w:val="22"/>
              </w:rPr>
            </w:pPr>
            <w:r w:rsidRPr="009C7F4B">
              <w:rPr>
                <w:rFonts w:ascii="Arial" w:hAnsi="Arial" w:cs="Arial"/>
                <w:i/>
                <w:iCs/>
                <w:sz w:val="22"/>
                <w:szCs w:val="22"/>
              </w:rPr>
              <w:t>Indicateurs (Références) 2016-2017</w:t>
            </w:r>
          </w:p>
        </w:tc>
      </w:tr>
      <w:tr w:rsidR="00D524B9" w:rsidRPr="009C7F4B" w:rsidTr="00246717">
        <w:trPr>
          <w:cantSplit/>
        </w:trPr>
        <w:tc>
          <w:tcPr>
            <w:tcW w:w="363" w:type="pct"/>
            <w:shd w:val="clear" w:color="auto" w:fill="auto"/>
            <w:vAlign w:val="center"/>
          </w:tcPr>
          <w:p w:rsidR="00D524B9" w:rsidRPr="009C7F4B" w:rsidRDefault="00D524B9" w:rsidP="00246717">
            <w:pPr>
              <w:spacing w:before="60" w:after="60"/>
              <w:jc w:val="center"/>
              <w:rPr>
                <w:rFonts w:ascii="Arial" w:hAnsi="Arial" w:cs="Arial"/>
                <w:iCs/>
                <w:sz w:val="22"/>
                <w:szCs w:val="22"/>
              </w:rPr>
            </w:pPr>
            <w:r w:rsidRPr="009C7F4B">
              <w:rPr>
                <w:rFonts w:ascii="Arial" w:hAnsi="Arial" w:cs="Arial"/>
                <w:iCs/>
                <w:sz w:val="22"/>
                <w:szCs w:val="22"/>
              </w:rPr>
              <w:t>4.1</w:t>
            </w:r>
          </w:p>
        </w:tc>
        <w:tc>
          <w:tcPr>
            <w:tcW w:w="2318" w:type="pct"/>
            <w:gridSpan w:val="2"/>
            <w:shd w:val="clear" w:color="auto" w:fill="auto"/>
            <w:vAlign w:val="center"/>
          </w:tcPr>
          <w:p w:rsidR="00D524B9" w:rsidRPr="009C7F4B" w:rsidRDefault="00D524B9" w:rsidP="00246717">
            <w:pPr>
              <w:spacing w:before="60" w:after="60"/>
              <w:rPr>
                <w:rFonts w:ascii="Arial" w:hAnsi="Arial" w:cs="Arial"/>
                <w:i/>
                <w:iCs/>
                <w:sz w:val="22"/>
                <w:szCs w:val="22"/>
              </w:rPr>
            </w:pPr>
            <w:r w:rsidRPr="009C7F4B">
              <w:rPr>
                <w:rFonts w:ascii="Arial" w:hAnsi="Arial" w:cs="Arial"/>
                <w:sz w:val="22"/>
                <w:szCs w:val="22"/>
              </w:rPr>
              <w:t>Nouveaux partenariats avec des institutions compétentes établis pour intégrer le patrimoine culturel immatériel dans l’éducation</w:t>
            </w:r>
          </w:p>
        </w:tc>
        <w:tc>
          <w:tcPr>
            <w:tcW w:w="2319" w:type="pct"/>
            <w:shd w:val="clear" w:color="auto" w:fill="auto"/>
            <w:vAlign w:val="center"/>
          </w:tcPr>
          <w:p w:rsidR="00D524B9" w:rsidRPr="009C7F4B" w:rsidRDefault="00D524B9" w:rsidP="00D524B9">
            <w:pPr>
              <w:numPr>
                <w:ilvl w:val="0"/>
                <w:numId w:val="29"/>
              </w:numPr>
              <w:spacing w:before="60" w:after="60"/>
              <w:ind w:left="357" w:hanging="357"/>
              <w:rPr>
                <w:rFonts w:ascii="Arial" w:hAnsi="Arial" w:cs="Arial"/>
                <w:sz w:val="22"/>
                <w:szCs w:val="22"/>
              </w:rPr>
            </w:pPr>
            <w:r w:rsidRPr="009C7F4B">
              <w:rPr>
                <w:rFonts w:ascii="Arial" w:hAnsi="Arial" w:cs="Arial"/>
                <w:sz w:val="22"/>
                <w:szCs w:val="22"/>
              </w:rPr>
              <w:t>Un atelier régional organisé avec des établissements d’enseignement supérieur (R=1)</w:t>
            </w:r>
          </w:p>
          <w:p w:rsidR="00D524B9" w:rsidRPr="009C7F4B" w:rsidRDefault="00D524B9" w:rsidP="00D524B9">
            <w:pPr>
              <w:numPr>
                <w:ilvl w:val="0"/>
                <w:numId w:val="29"/>
              </w:numPr>
              <w:spacing w:before="60" w:after="60"/>
              <w:ind w:left="357" w:hanging="357"/>
              <w:rPr>
                <w:rFonts w:ascii="Arial" w:hAnsi="Arial" w:cs="Arial"/>
                <w:sz w:val="22"/>
                <w:szCs w:val="22"/>
              </w:rPr>
            </w:pPr>
            <w:r w:rsidRPr="009C7F4B">
              <w:rPr>
                <w:rFonts w:ascii="Arial" w:hAnsi="Arial" w:cs="Arial"/>
                <w:sz w:val="22"/>
                <w:szCs w:val="22"/>
              </w:rPr>
              <w:t>Consultation d’établissements d’enseignement compétents sur l’intégration du patrimoine culturel immatériel dans leurs programmes (R=1)</w:t>
            </w:r>
          </w:p>
        </w:tc>
      </w:tr>
      <w:tr w:rsidR="00D524B9" w:rsidRPr="009C7F4B" w:rsidTr="00246717">
        <w:trPr>
          <w:cantSplit/>
        </w:trPr>
        <w:tc>
          <w:tcPr>
            <w:tcW w:w="363" w:type="pct"/>
            <w:shd w:val="clear" w:color="auto" w:fill="auto"/>
            <w:vAlign w:val="center"/>
          </w:tcPr>
          <w:p w:rsidR="00D524B9" w:rsidRPr="009C7F4B" w:rsidRDefault="00D524B9" w:rsidP="00246717">
            <w:pPr>
              <w:spacing w:before="60" w:after="60"/>
              <w:jc w:val="center"/>
              <w:rPr>
                <w:rFonts w:ascii="Arial" w:hAnsi="Arial" w:cs="Arial"/>
                <w:iCs/>
                <w:sz w:val="22"/>
                <w:szCs w:val="22"/>
              </w:rPr>
            </w:pPr>
            <w:r w:rsidRPr="009C7F4B">
              <w:rPr>
                <w:rFonts w:ascii="Arial" w:hAnsi="Arial" w:cs="Arial"/>
                <w:iCs/>
                <w:sz w:val="22"/>
                <w:szCs w:val="22"/>
              </w:rPr>
              <w:t>4.2</w:t>
            </w:r>
          </w:p>
        </w:tc>
        <w:tc>
          <w:tcPr>
            <w:tcW w:w="2318" w:type="pct"/>
            <w:gridSpan w:val="2"/>
            <w:shd w:val="clear" w:color="auto" w:fill="auto"/>
            <w:vAlign w:val="center"/>
          </w:tcPr>
          <w:p w:rsidR="00D524B9" w:rsidRPr="009C7F4B" w:rsidRDefault="00D524B9" w:rsidP="00246717">
            <w:pPr>
              <w:spacing w:before="60" w:after="60"/>
              <w:rPr>
                <w:rFonts w:ascii="Arial" w:hAnsi="Arial" w:cs="Arial"/>
                <w:iCs/>
                <w:sz w:val="22"/>
                <w:szCs w:val="22"/>
              </w:rPr>
            </w:pPr>
            <w:r w:rsidRPr="009C7F4B">
              <w:rPr>
                <w:rFonts w:ascii="Arial" w:hAnsi="Arial" w:cs="Arial"/>
                <w:sz w:val="22"/>
                <w:szCs w:val="22"/>
              </w:rPr>
              <w:t>Coopération renforcée de l’UNESCO avec l’OMPI ou d’autres organisations des Nations unies pour permettre un échange et un apprentissage permanents entre les organisations et leurs États membres</w:t>
            </w:r>
          </w:p>
        </w:tc>
        <w:tc>
          <w:tcPr>
            <w:tcW w:w="2319" w:type="pct"/>
            <w:shd w:val="clear" w:color="auto" w:fill="auto"/>
            <w:vAlign w:val="center"/>
          </w:tcPr>
          <w:p w:rsidR="00D524B9" w:rsidRPr="009C7F4B" w:rsidRDefault="00D524B9" w:rsidP="00246717">
            <w:pPr>
              <w:spacing w:before="60" w:after="60"/>
              <w:rPr>
                <w:rFonts w:ascii="Arial" w:hAnsi="Arial" w:cs="Arial"/>
                <w:i/>
                <w:iCs/>
                <w:sz w:val="22"/>
                <w:szCs w:val="22"/>
              </w:rPr>
            </w:pPr>
            <w:r w:rsidRPr="009C7F4B">
              <w:rPr>
                <w:rFonts w:ascii="Arial" w:hAnsi="Arial" w:cs="Arial"/>
                <w:sz w:val="22"/>
                <w:szCs w:val="22"/>
              </w:rPr>
              <w:t>Participation aux réunions organisées par l’OMPI ou d’autres organisations des Nations Unies (R=3)</w:t>
            </w:r>
          </w:p>
        </w:tc>
      </w:tr>
      <w:tr w:rsidR="00D524B9" w:rsidRPr="009C7F4B" w:rsidTr="00246717">
        <w:trPr>
          <w:cantSplit/>
        </w:trPr>
        <w:tc>
          <w:tcPr>
            <w:tcW w:w="363" w:type="pct"/>
            <w:shd w:val="clear" w:color="auto" w:fill="auto"/>
            <w:vAlign w:val="center"/>
          </w:tcPr>
          <w:p w:rsidR="00D524B9" w:rsidRPr="009C7F4B" w:rsidRDefault="00D524B9" w:rsidP="00246717">
            <w:pPr>
              <w:spacing w:before="60" w:after="60"/>
              <w:jc w:val="center"/>
              <w:rPr>
                <w:rFonts w:ascii="Arial" w:hAnsi="Arial" w:cs="Arial"/>
                <w:iCs/>
                <w:sz w:val="22"/>
                <w:szCs w:val="22"/>
              </w:rPr>
            </w:pPr>
            <w:r w:rsidRPr="009C7F4B">
              <w:rPr>
                <w:rFonts w:ascii="Arial" w:hAnsi="Arial" w:cs="Arial"/>
                <w:iCs/>
                <w:sz w:val="22"/>
                <w:szCs w:val="22"/>
              </w:rPr>
              <w:t>4.3</w:t>
            </w:r>
          </w:p>
        </w:tc>
        <w:tc>
          <w:tcPr>
            <w:tcW w:w="2318" w:type="pct"/>
            <w:gridSpan w:val="2"/>
            <w:shd w:val="clear" w:color="auto" w:fill="auto"/>
            <w:vAlign w:val="center"/>
          </w:tcPr>
          <w:p w:rsidR="00D524B9" w:rsidRPr="009C7F4B" w:rsidRDefault="00D524B9" w:rsidP="00246717">
            <w:pPr>
              <w:spacing w:before="60" w:after="60"/>
              <w:rPr>
                <w:rFonts w:ascii="Arial" w:hAnsi="Arial" w:cs="Arial"/>
                <w:color w:val="000000"/>
                <w:sz w:val="22"/>
                <w:szCs w:val="22"/>
              </w:rPr>
            </w:pPr>
            <w:r w:rsidRPr="009C7F4B">
              <w:rPr>
                <w:rFonts w:ascii="Arial" w:hAnsi="Arial" w:cs="Arial"/>
                <w:color w:val="000000"/>
                <w:sz w:val="22"/>
                <w:szCs w:val="22"/>
              </w:rPr>
              <w:t xml:space="preserve">Une stratégie de sensibilisation élaborée pour promouvoir les objectifs de la Convention et mobiliser efficacement les parties prenantes </w:t>
            </w:r>
          </w:p>
        </w:tc>
        <w:tc>
          <w:tcPr>
            <w:tcW w:w="2319" w:type="pct"/>
            <w:shd w:val="clear" w:color="auto" w:fill="auto"/>
            <w:vAlign w:val="center"/>
          </w:tcPr>
          <w:p w:rsidR="00D524B9" w:rsidRPr="009C7F4B" w:rsidRDefault="00D524B9" w:rsidP="00D524B9">
            <w:pPr>
              <w:numPr>
                <w:ilvl w:val="0"/>
                <w:numId w:val="29"/>
              </w:numPr>
              <w:spacing w:before="60" w:after="60"/>
              <w:ind w:left="357" w:hanging="357"/>
              <w:rPr>
                <w:rFonts w:ascii="Arial" w:hAnsi="Arial" w:cs="Arial"/>
                <w:iCs/>
                <w:sz w:val="22"/>
                <w:szCs w:val="22"/>
              </w:rPr>
            </w:pPr>
            <w:r w:rsidRPr="009C7F4B">
              <w:rPr>
                <w:rFonts w:ascii="Arial" w:hAnsi="Arial" w:cs="Arial"/>
                <w:iCs/>
                <w:sz w:val="22"/>
                <w:szCs w:val="22"/>
              </w:rPr>
              <w:t>Partenariat établi pour l’élaboration d’une stratégie de sensibilisation (R=1)</w:t>
            </w:r>
          </w:p>
          <w:p w:rsidR="00D524B9" w:rsidRPr="009C7F4B" w:rsidRDefault="00D524B9" w:rsidP="00D524B9">
            <w:pPr>
              <w:numPr>
                <w:ilvl w:val="0"/>
                <w:numId w:val="29"/>
              </w:numPr>
              <w:spacing w:before="60" w:after="60"/>
              <w:ind w:left="357" w:hanging="357"/>
              <w:rPr>
                <w:rFonts w:ascii="Arial" w:hAnsi="Arial" w:cs="Arial"/>
                <w:iCs/>
                <w:sz w:val="22"/>
                <w:szCs w:val="22"/>
              </w:rPr>
            </w:pPr>
            <w:r w:rsidRPr="009C7F4B">
              <w:rPr>
                <w:rFonts w:ascii="Arial" w:hAnsi="Arial" w:cs="Arial"/>
                <w:iCs/>
                <w:sz w:val="22"/>
                <w:szCs w:val="22"/>
              </w:rPr>
              <w:t>Matériels/outils de sensibilisation conçus et produits (R=2)</w:t>
            </w:r>
          </w:p>
        </w:tc>
      </w:tr>
    </w:tbl>
    <w:p w:rsidR="00D524B9" w:rsidRPr="00D01265" w:rsidRDefault="00D524B9" w:rsidP="00D524B9">
      <w:pPr>
        <w:pStyle w:val="GATitleResolution"/>
        <w:spacing w:before="360"/>
        <w:ind w:left="0"/>
      </w:pPr>
      <w:r w:rsidRPr="00D01265">
        <w:t>DÉCISION 11.COM 2.BUR 2.1</w:t>
      </w:r>
    </w:p>
    <w:p w:rsidR="00D524B9" w:rsidRPr="00D01265" w:rsidRDefault="00D524B9" w:rsidP="00D524B9">
      <w:pPr>
        <w:pStyle w:val="Marge"/>
        <w:keepNext/>
        <w:spacing w:before="240" w:after="120"/>
        <w:ind w:left="567" w:hanging="567"/>
        <w:rPr>
          <w:rFonts w:cs="Arial"/>
          <w:caps/>
          <w:szCs w:val="22"/>
        </w:rPr>
      </w:pPr>
      <w:r w:rsidRPr="00D01265">
        <w:rPr>
          <w:rFonts w:cs="Arial"/>
          <w:szCs w:val="22"/>
        </w:rPr>
        <w:t>Le Bureau,</w:t>
      </w:r>
    </w:p>
    <w:p w:rsidR="00D524B9" w:rsidRPr="00D524B9" w:rsidRDefault="00D524B9" w:rsidP="00D524B9">
      <w:pPr>
        <w:pStyle w:val="COMParaDecision"/>
        <w:ind w:left="567" w:hanging="567"/>
        <w:rPr>
          <w:u w:val="none"/>
        </w:rPr>
      </w:pPr>
      <w:r w:rsidRPr="00D524B9">
        <w:t>Rappelant</w:t>
      </w:r>
      <w:r w:rsidRPr="00D524B9">
        <w:rPr>
          <w:u w:val="none"/>
        </w:rPr>
        <w:t xml:space="preserve"> le chapitre V de la Convention et le chapitre I des Directives opérationnelles,</w:t>
      </w:r>
    </w:p>
    <w:p w:rsidR="00D524B9" w:rsidRPr="00D524B9" w:rsidRDefault="00D524B9" w:rsidP="00D524B9">
      <w:pPr>
        <w:pStyle w:val="COMParaDecision"/>
        <w:ind w:left="567" w:hanging="567"/>
        <w:rPr>
          <w:u w:val="none"/>
        </w:rPr>
      </w:pPr>
      <w:r w:rsidRPr="00D524B9">
        <w:t>Ayant examiné</w:t>
      </w:r>
      <w:r w:rsidRPr="00D524B9">
        <w:rPr>
          <w:u w:val="none"/>
        </w:rPr>
        <w:t xml:space="preserve"> le document ITH/16/11.COM 2.BUR/2, ainsi que la demande d’assistance internationale n° 01118,</w:t>
      </w:r>
    </w:p>
    <w:p w:rsidR="00D524B9" w:rsidRPr="00D524B9" w:rsidRDefault="00D524B9" w:rsidP="00D524B9">
      <w:pPr>
        <w:pStyle w:val="COMParaDecision"/>
        <w:ind w:left="567" w:hanging="567"/>
        <w:rPr>
          <w:u w:val="none"/>
        </w:rPr>
      </w:pPr>
      <w:r w:rsidRPr="00D524B9">
        <w:t>Prend note</w:t>
      </w:r>
      <w:r w:rsidRPr="00D524B9">
        <w:rPr>
          <w:u w:val="none"/>
        </w:rPr>
        <w:t xml:space="preserve"> que le Lesotho a demandé une assistance internationale pour un projet intitulé </w:t>
      </w:r>
      <w:r w:rsidRPr="00D524B9">
        <w:rPr>
          <w:b/>
          <w:u w:val="none"/>
        </w:rPr>
        <w:t>« Réalisation d’un inventaire d’éléments du patrimoine culturel immatériel à Thaba-Bosiu au Lesotho » </w:t>
      </w:r>
      <w:r w:rsidRPr="00D524B9">
        <w:rPr>
          <w:u w:val="none"/>
        </w:rPr>
        <w:t>:</w:t>
      </w:r>
    </w:p>
    <w:p w:rsidR="00D524B9" w:rsidRPr="00D524B9" w:rsidRDefault="00D524B9" w:rsidP="00D524B9">
      <w:pPr>
        <w:pStyle w:val="COMParaDecision"/>
        <w:numPr>
          <w:ilvl w:val="0"/>
          <w:numId w:val="0"/>
        </w:numPr>
        <w:ind w:left="567"/>
        <w:rPr>
          <w:u w:val="none"/>
        </w:rPr>
      </w:pPr>
      <w:r w:rsidRPr="00D524B9">
        <w:rPr>
          <w:u w:val="none"/>
        </w:rPr>
        <w:t>Le projet, qui a pour objectif principal de contribuer à la sauvegarde du patrimoine culturel immatériel au Lesotho et de sensibiliser les parties prenantes concernées à ce patrimoine, consiste à organiser une formation et des exercices d’inventaire dans neuf villages désignés de Thaba-Bosiu, dans le district de la capitale du Lesotho. S’inspirant d’expériences similaires menées dans d’autres districts avec le soutien de l’UNESCO et de la Banque mondiale, les anciens de la communauté de Thaba-Bosiu ont sollicité l’aide du Département de la culture du Ministère du tourisme, de l’environnement et de la culture pour identifier et documenter les éléments du patrimoine culturel immatériel qui nécessitent une sauvegarde urgente. Ainsi, la demande proposée est le fruit d’un travail conjoint des conseils de la communauté et du Département de la culture. Mises en œuvre par la Commission nationale du Lesotho pour l’UNESCO en coopération avec le Département de la culture, les activités prévues incluent : i) une réunion des parties prenantes pour sensibiliser les ministères et départements gouvernementaux concernés, la société civile, les associations culturelles et les communautés sur les mesures et les mécanismes efficaces de sauvegarde du patrimoine culturel immatériel ; ii) un atelier de renforcement des capacités en matière d’inventaire avec participation des communautés, à l’intention des jeunes, des praticiens et des responsables du Département de la culture ; iii) un exercice d’inventaire d’éléments du patrimoine culturel immatériel dans les neuf villages ; iv) la production d’un document compilant les résultats des exercices d’inventaires à Thaba-Bosiu, qui seront adjoints à l’Inventaire national du patrimoine culturel immatériel du Lesotho.</w:t>
      </w:r>
    </w:p>
    <w:p w:rsidR="00D524B9" w:rsidRPr="00D524B9" w:rsidRDefault="00D524B9" w:rsidP="00F947DB">
      <w:pPr>
        <w:pStyle w:val="COMParaDecision"/>
        <w:ind w:left="567" w:hanging="567"/>
        <w:rPr>
          <w:u w:val="none"/>
        </w:rPr>
      </w:pPr>
      <w:r w:rsidRPr="00F947DB">
        <w:t>Prend également note</w:t>
      </w:r>
      <w:r w:rsidRPr="00D524B9">
        <w:rPr>
          <w:u w:val="none"/>
        </w:rPr>
        <w:t xml:space="preserve"> que cette assistance concerne un projet mené au niveau local pour sauvegarder le patrimoine culturel immatériel conformément à l’article 20 (c) de la Convention, et qu’elle prend la forme de l’octroi d’un don, ainsi qu’il est prévu à l’article 21 (g) de la Convention ;</w:t>
      </w:r>
    </w:p>
    <w:p w:rsidR="00D524B9" w:rsidRPr="00D524B9" w:rsidRDefault="00D524B9" w:rsidP="00F947DB">
      <w:pPr>
        <w:pStyle w:val="COMParaDecision"/>
        <w:ind w:left="567" w:hanging="567"/>
        <w:rPr>
          <w:u w:val="none"/>
        </w:rPr>
      </w:pPr>
      <w:r w:rsidRPr="00F947DB">
        <w:t>Note en outre</w:t>
      </w:r>
      <w:r w:rsidRPr="00D524B9">
        <w:rPr>
          <w:u w:val="none"/>
        </w:rPr>
        <w:t xml:space="preserve"> que le Lesotho a demandé une allocation de 24 998 dollars des États-Unis du Fonds du patrimoine culturel immatériel pour la mise en œuvre du projet ;</w:t>
      </w:r>
    </w:p>
    <w:p w:rsidR="00D524B9" w:rsidRPr="00D524B9" w:rsidRDefault="00D524B9" w:rsidP="00F947DB">
      <w:pPr>
        <w:pStyle w:val="COMParaDecision"/>
        <w:ind w:left="567" w:hanging="567"/>
        <w:rPr>
          <w:u w:val="none"/>
        </w:rPr>
      </w:pPr>
      <w:r w:rsidRPr="00F947DB">
        <w:t>Décide</w:t>
      </w:r>
      <w:r w:rsidRPr="00D524B9">
        <w:rPr>
          <w:u w:val="none"/>
        </w:rPr>
        <w:t>, sur la base des informations fournies dans le dossier n° 01118, que la demande satisfait comme suit aux critères d’octroi de l’assistance internationale énoncés aux paragraphes 10 et 12 des Directives opérationnelles :</w:t>
      </w:r>
    </w:p>
    <w:p w:rsidR="00D524B9" w:rsidRPr="00F947DB" w:rsidRDefault="00D524B9" w:rsidP="00F947DB">
      <w:pPr>
        <w:pStyle w:val="COMParaDecision"/>
        <w:numPr>
          <w:ilvl w:val="0"/>
          <w:numId w:val="0"/>
        </w:numPr>
        <w:ind w:left="567"/>
        <w:rPr>
          <w:bCs/>
          <w:u w:val="none"/>
        </w:rPr>
      </w:pPr>
      <w:r w:rsidRPr="00F947DB">
        <w:rPr>
          <w:b/>
          <w:u w:val="none"/>
        </w:rPr>
        <w:t>Critère A.1 </w:t>
      </w:r>
      <w:r w:rsidRPr="00F947DB">
        <w:rPr>
          <w:u w:val="none"/>
        </w:rPr>
        <w:t>: La demande démontre clairement la participation des communautés à la préparation, à la mise en œuvre et à l’évaluation du projet</w:t>
      </w:r>
      <w:r w:rsidRPr="00F947DB">
        <w:rPr>
          <w:bCs/>
          <w:u w:val="none"/>
        </w:rPr>
        <w:t xml:space="preserve">. Le projet pour lequel le financement est demandé répond à une demande explicite des chefs des neuf villages concernés de documenter le patrimoine culturel immatériel pratiqué par leurs communautés. Les communautés et leurs chefs participeront au projet tout au long de son déroulement, depuis l’étape préparatoire de planification avec une réunion des parties prenantes, jusqu’à la sélection de jeunes et de praticiens qui seront formés à la conduite d’exercices d’inventaire, ainsi que des détenteurs dont les éléments seront inventoriés. Les chefs des communautés et les praticiens évalueront collectivement l’efficacité du projet pour atteindre les objectifs fixés et détermineront les enseignements qui peuvent en être tirés et qui sont susceptibles d’être appliqués dans le futur à des initiatives similaires. </w:t>
      </w:r>
    </w:p>
    <w:p w:rsidR="00D524B9" w:rsidRPr="00F947DB" w:rsidRDefault="00D524B9" w:rsidP="00F947DB">
      <w:pPr>
        <w:pStyle w:val="Marge"/>
        <w:spacing w:after="120"/>
        <w:ind w:left="567"/>
      </w:pPr>
      <w:r w:rsidRPr="00F947DB">
        <w:rPr>
          <w:b/>
        </w:rPr>
        <w:t>Critère A.2 </w:t>
      </w:r>
      <w:r w:rsidRPr="00F947DB">
        <w:t xml:space="preserve">: Le budget proposé est ventilé de façon claire et cohérente et démontre l’adéquation du montant de l’assistance demandée avec les activités proposées. </w:t>
      </w:r>
    </w:p>
    <w:p w:rsidR="00D524B9" w:rsidRPr="00F947DB" w:rsidRDefault="00D524B9" w:rsidP="00F947DB">
      <w:pPr>
        <w:pStyle w:val="Marge"/>
        <w:spacing w:after="120"/>
        <w:ind w:left="567"/>
      </w:pPr>
      <w:r w:rsidRPr="00F947DB">
        <w:rPr>
          <w:b/>
        </w:rPr>
        <w:t>Critère A.3 </w:t>
      </w:r>
      <w:r w:rsidRPr="00F947DB">
        <w:t xml:space="preserve">: La demande est structurée de façon claire et décrit une série de six activités, notamment une réunion des parties prenantes, une action de formation, une enquête de terrain, un suivi et une évaluation, qui semblent bien conçus pour atteindre les objectifs du projet. Bien que ces activités suivent un ordre logique, deux incohérences peuvent être notées entre les informations fournies dans le formulaire et celles des pièces jointes : i) alors que le formulaire indique une durée de six mois pour le projet, le calendrier joint fait apparaître une durée de sept mois ; ii) les activités 5 et 6 dans le formulaire ne semblent pas être de même nature que dans le budget et le calendrier, créant une confusion entre le suivi et l’évaluation du projet d’une part et le travail de systématisation et de publication des informations recueillies dans le cadre des exercices d’inventaires d’autre part. </w:t>
      </w:r>
    </w:p>
    <w:p w:rsidR="00D524B9" w:rsidRPr="00F947DB" w:rsidRDefault="00D524B9" w:rsidP="00F947DB">
      <w:pPr>
        <w:pStyle w:val="Marge"/>
        <w:spacing w:after="120"/>
        <w:ind w:left="567"/>
      </w:pPr>
      <w:r w:rsidRPr="00F947DB">
        <w:rPr>
          <w:b/>
        </w:rPr>
        <w:t>Critère A.4 </w:t>
      </w:r>
      <w:r w:rsidRPr="00F947DB">
        <w:t xml:space="preserve">: La participation active des jeunes et des praticiens de la communauté devrait favoriser la pérennité du projet après son achèvement, grâce à l’amélioration de leurs connaissances et de leur savoir-faire et au renforcement des ressources pour l’établissement des inventaires. Le projet vise également à pérenniser l’impact du projet par la diffusion des documents issus des exercices d’inventaire au Centre d’information du village culturel de Thaba-Bosiu et dans les bibliothèques, les ministères et départements gouvernementaux concernés, les écoles et les instituts de recherche, ainsi que par la création d’une base de données qui devrait permettre une mise à jour régulière de l’inventaire. </w:t>
      </w:r>
    </w:p>
    <w:p w:rsidR="00D524B9" w:rsidRPr="00F947DB" w:rsidRDefault="00D524B9" w:rsidP="00F947DB">
      <w:pPr>
        <w:pStyle w:val="Marge"/>
        <w:spacing w:after="120"/>
        <w:ind w:left="567"/>
      </w:pPr>
      <w:r w:rsidRPr="00F947DB">
        <w:rPr>
          <w:b/>
        </w:rPr>
        <w:t>Critère A.5 </w:t>
      </w:r>
      <w:r w:rsidRPr="00F947DB">
        <w:t xml:space="preserve">: L’État contribuera à hauteur de 7 % du budget global du projet pour lequel l’assistance internationale est demandée. </w:t>
      </w:r>
    </w:p>
    <w:p w:rsidR="00D524B9" w:rsidRPr="00F947DB" w:rsidRDefault="00D524B9" w:rsidP="00F947DB">
      <w:pPr>
        <w:pStyle w:val="Marge"/>
        <w:spacing w:after="120"/>
        <w:ind w:left="567"/>
      </w:pPr>
      <w:r w:rsidRPr="00F947DB">
        <w:rPr>
          <w:b/>
        </w:rPr>
        <w:t>Critère A.6 </w:t>
      </w:r>
      <w:r w:rsidRPr="00F947DB">
        <w:t xml:space="preserve">: Le renforcement des capacités des différentes parties prenantes impliquées est au cœur même du projet : l’un de ses principaux objectifs est de développer les capacités des jeunes membres des communautés et praticiens de sauvegarder les connaissances et savoir-faire relatifs à l’établissement d’inventaires avec la participation des communautés. Une fois formés, ils pourront mettre en pratique les connaissances acquises à l’occasion d’exercices d’inventaire concrets. Ces nouvelles connaissances incluront la collecte, le traitement et l’archivage de données. </w:t>
      </w:r>
    </w:p>
    <w:p w:rsidR="00D524B9" w:rsidRPr="00F947DB" w:rsidRDefault="00D524B9" w:rsidP="00F947DB">
      <w:pPr>
        <w:pStyle w:val="Marge"/>
        <w:spacing w:after="120"/>
        <w:ind w:left="567"/>
      </w:pPr>
      <w:r w:rsidRPr="00F947DB">
        <w:rPr>
          <w:b/>
        </w:rPr>
        <w:t>Critère A.7 </w:t>
      </w:r>
      <w:r w:rsidRPr="00F947DB">
        <w:t xml:space="preserve">: Le Lesotho n’a jamais mené d’activités financées par le Fonds du patrimoine culturel immatériel. </w:t>
      </w:r>
    </w:p>
    <w:p w:rsidR="00D524B9" w:rsidRPr="00F947DB" w:rsidRDefault="00D524B9" w:rsidP="00F947DB">
      <w:pPr>
        <w:pStyle w:val="Marge"/>
        <w:spacing w:after="120"/>
        <w:ind w:left="567"/>
      </w:pPr>
      <w:r w:rsidRPr="00F947DB">
        <w:rPr>
          <w:b/>
        </w:rPr>
        <w:t>Paragraphe 10(a) </w:t>
      </w:r>
      <w:r w:rsidRPr="00F947DB">
        <w:t>: Le projet est d’application locale et mobilise des partenaires de mise en œuvre nationaux tels que le Comité national du patrimoine culturel immatériel et l’Université nationale du Lesotho.</w:t>
      </w:r>
    </w:p>
    <w:p w:rsidR="00D524B9" w:rsidRPr="00F947DB" w:rsidRDefault="00D524B9" w:rsidP="00F947DB">
      <w:pPr>
        <w:pStyle w:val="Marge"/>
        <w:spacing w:after="120"/>
        <w:ind w:left="567"/>
      </w:pPr>
      <w:r w:rsidRPr="00F947DB">
        <w:rPr>
          <w:b/>
        </w:rPr>
        <w:t>Paragraphe 10(b) :</w:t>
      </w:r>
      <w:r w:rsidRPr="00F947DB">
        <w:t xml:space="preserve"> La demande indique un effet multiplicateur potentiel en termes de financement, en particulier du Ministère des finances, voire des partenaires du secteur privé tels que Econet Telecom Lesotho, ce qui pourrait stimuler le soutien à des activités similaires d’inventaire avec participation des communautés.</w:t>
      </w:r>
    </w:p>
    <w:p w:rsidR="00D524B9" w:rsidRPr="00F947DB" w:rsidRDefault="00D524B9" w:rsidP="00F947DB">
      <w:pPr>
        <w:pStyle w:val="COMParaDecision"/>
        <w:keepLines/>
        <w:ind w:left="567" w:hanging="567"/>
        <w:rPr>
          <w:u w:val="none"/>
        </w:rPr>
      </w:pPr>
      <w:r w:rsidRPr="00F947DB">
        <w:t>Décide d’approuver</w:t>
      </w:r>
      <w:r w:rsidRPr="00F947DB">
        <w:rPr>
          <w:u w:val="none"/>
        </w:rPr>
        <w:t xml:space="preserve"> la demande d’assistance internationale du Lesotho pour le projet intitulé « </w:t>
      </w:r>
      <w:r w:rsidRPr="00F947DB">
        <w:rPr>
          <w:b/>
          <w:u w:val="none"/>
        </w:rPr>
        <w:t>Réalisation d’un inventaire d’éléments du patrimoine culturel immatériel à Thaba-Bosiu au Lesotho » </w:t>
      </w:r>
      <w:r w:rsidRPr="00F947DB">
        <w:rPr>
          <w:u w:val="none"/>
        </w:rPr>
        <w:t xml:space="preserve">et </w:t>
      </w:r>
      <w:r w:rsidR="00F947DB">
        <w:rPr>
          <w:u w:val="none"/>
        </w:rPr>
        <w:t xml:space="preserve">à cette fin </w:t>
      </w:r>
      <w:r w:rsidRPr="00F947DB">
        <w:rPr>
          <w:u w:val="none"/>
        </w:rPr>
        <w:t>d’</w:t>
      </w:r>
      <w:r w:rsidRPr="00F947DB">
        <w:t>octroyer</w:t>
      </w:r>
      <w:r w:rsidRPr="00F947DB">
        <w:rPr>
          <w:u w:val="none"/>
        </w:rPr>
        <w:t xml:space="preserve"> un montant de 24 998 dollars des États-Unis à l’État partie ;</w:t>
      </w:r>
    </w:p>
    <w:p w:rsidR="00D524B9" w:rsidRPr="00F947DB" w:rsidRDefault="00D524B9" w:rsidP="00F947DB">
      <w:pPr>
        <w:pStyle w:val="COMParaDecision"/>
        <w:ind w:left="567" w:hanging="567"/>
        <w:rPr>
          <w:u w:val="none"/>
        </w:rPr>
      </w:pPr>
      <w:r w:rsidRPr="00F947DB">
        <w:t>Prend note</w:t>
      </w:r>
      <w:r w:rsidRPr="00F947DB">
        <w:rPr>
          <w:u w:val="none"/>
        </w:rPr>
        <w:t xml:space="preserve"> de l’assistance technique fournie au Lesotho pour préparer cette demande et </w:t>
      </w:r>
      <w:r w:rsidRPr="00F947DB">
        <w:t>félicite</w:t>
      </w:r>
      <w:r w:rsidRPr="00F947DB">
        <w:rPr>
          <w:u w:val="none"/>
        </w:rPr>
        <w:t xml:space="preserve"> l’État partie de ses efforts pour capitaliser sur les compétences du personnel ayant directement bénéficié de l’assistance pour revoir la demande initiale ;</w:t>
      </w:r>
    </w:p>
    <w:p w:rsidR="00D524B9" w:rsidRPr="00F947DB" w:rsidRDefault="00D524B9" w:rsidP="00F947DB">
      <w:pPr>
        <w:pStyle w:val="COMParaDecision"/>
        <w:ind w:left="567" w:hanging="567"/>
        <w:rPr>
          <w:u w:val="none"/>
        </w:rPr>
      </w:pPr>
      <w:r w:rsidRPr="00F947DB">
        <w:t>Demande</w:t>
      </w:r>
      <w:r w:rsidRPr="00F947DB">
        <w:rPr>
          <w:u w:val="none"/>
        </w:rPr>
        <w:t xml:space="preserve"> au Secrétariat de se mettre d’accord avec l’État partie demandeur sur les détails techniques de l’assistance, en accordant une attention particulière au budget détaillé des activités qui doivent être couvertes par le Fonds du patrimoine culturel immatériel, ainsi qu’à la durée du projet ;</w:t>
      </w:r>
    </w:p>
    <w:p w:rsidR="00D524B9" w:rsidRPr="00F947DB" w:rsidRDefault="00D524B9" w:rsidP="00F947DB">
      <w:pPr>
        <w:pStyle w:val="COMParaDecision"/>
        <w:ind w:left="567" w:hanging="567"/>
        <w:rPr>
          <w:u w:val="none"/>
        </w:rPr>
      </w:pPr>
      <w:r w:rsidRPr="00F947DB">
        <w:t>Invite</w:t>
      </w:r>
      <w:r w:rsidRPr="00F947DB">
        <w:rPr>
          <w:u w:val="none"/>
        </w:rPr>
        <w:t xml:space="preserve"> l’État partie à utiliser le formulaire ICH-04-Rapport pour rendre compte de l’utilisation de l’assistance accordée.</w:t>
      </w:r>
    </w:p>
    <w:p w:rsidR="00D524B9" w:rsidRPr="00D01265" w:rsidRDefault="00D524B9" w:rsidP="00F947DB">
      <w:pPr>
        <w:keepNext/>
        <w:spacing w:before="240" w:after="120"/>
        <w:jc w:val="both"/>
        <w:rPr>
          <w:rFonts w:ascii="Arial" w:hAnsi="Arial" w:cs="Arial"/>
          <w:b/>
          <w:sz w:val="22"/>
          <w:szCs w:val="22"/>
        </w:rPr>
      </w:pPr>
      <w:r w:rsidRPr="00D01265">
        <w:rPr>
          <w:rFonts w:ascii="Arial" w:hAnsi="Arial" w:cs="Arial"/>
          <w:b/>
          <w:sz w:val="22"/>
          <w:szCs w:val="22"/>
        </w:rPr>
        <w:t>DÉCISION 11.COM 2.BUR 2.2</w:t>
      </w:r>
    </w:p>
    <w:p w:rsidR="00D524B9" w:rsidRPr="00D01265" w:rsidRDefault="00D524B9" w:rsidP="00F947DB">
      <w:pPr>
        <w:keepNext/>
        <w:tabs>
          <w:tab w:val="left" w:pos="567"/>
        </w:tabs>
        <w:snapToGrid w:val="0"/>
        <w:spacing w:before="240" w:after="120"/>
        <w:ind w:left="567" w:hanging="567"/>
        <w:jc w:val="both"/>
        <w:rPr>
          <w:rFonts w:ascii="Arial" w:hAnsi="Arial" w:cs="Arial"/>
          <w:caps/>
          <w:snapToGrid w:val="0"/>
          <w:sz w:val="22"/>
          <w:szCs w:val="22"/>
          <w:lang w:eastAsia="en-US"/>
        </w:rPr>
      </w:pPr>
      <w:r w:rsidRPr="00D01265">
        <w:rPr>
          <w:rFonts w:ascii="Arial" w:hAnsi="Arial" w:cs="Arial"/>
          <w:snapToGrid w:val="0"/>
          <w:sz w:val="22"/>
          <w:szCs w:val="22"/>
          <w:lang w:eastAsia="en-US"/>
        </w:rPr>
        <w:t>Le Bureau,</w:t>
      </w:r>
    </w:p>
    <w:p w:rsidR="00D524B9" w:rsidRPr="00D01265" w:rsidRDefault="00D524B9" w:rsidP="00F947DB">
      <w:pPr>
        <w:numPr>
          <w:ilvl w:val="0"/>
          <w:numId w:val="21"/>
        </w:numPr>
        <w:autoSpaceDE w:val="0"/>
        <w:autoSpaceDN w:val="0"/>
        <w:adjustRightInd w:val="0"/>
        <w:spacing w:after="120"/>
        <w:ind w:left="567" w:hanging="567"/>
        <w:jc w:val="both"/>
        <w:rPr>
          <w:rFonts w:ascii="Arial" w:eastAsia="SimSun" w:hAnsi="Arial" w:cs="Arial"/>
          <w:sz w:val="22"/>
          <w:szCs w:val="22"/>
        </w:rPr>
      </w:pPr>
      <w:r w:rsidRPr="00D01265">
        <w:rPr>
          <w:rFonts w:ascii="Arial" w:eastAsia="SimSun" w:hAnsi="Arial" w:cs="Arial"/>
          <w:sz w:val="22"/>
          <w:szCs w:val="22"/>
          <w:u w:val="single"/>
        </w:rPr>
        <w:t>Rappelant</w:t>
      </w:r>
      <w:r w:rsidRPr="00D01265">
        <w:rPr>
          <w:rFonts w:ascii="Arial" w:eastAsia="SimSun" w:hAnsi="Arial" w:cs="Arial"/>
          <w:sz w:val="22"/>
          <w:szCs w:val="22"/>
        </w:rPr>
        <w:t xml:space="preserve"> le chapitre V de la Convention et le chapitre I des Directives opérationnelles,</w:t>
      </w:r>
    </w:p>
    <w:p w:rsidR="00D524B9" w:rsidRPr="00D01265" w:rsidRDefault="00D524B9" w:rsidP="00F947DB">
      <w:pPr>
        <w:numPr>
          <w:ilvl w:val="0"/>
          <w:numId w:val="21"/>
        </w:numPr>
        <w:autoSpaceDE w:val="0"/>
        <w:autoSpaceDN w:val="0"/>
        <w:adjustRightInd w:val="0"/>
        <w:spacing w:after="120"/>
        <w:ind w:left="567" w:hanging="567"/>
        <w:jc w:val="both"/>
        <w:rPr>
          <w:rFonts w:ascii="Arial" w:eastAsia="SimSun" w:hAnsi="Arial" w:cs="Arial"/>
          <w:sz w:val="22"/>
          <w:szCs w:val="22"/>
        </w:rPr>
      </w:pPr>
      <w:r w:rsidRPr="00D01265">
        <w:rPr>
          <w:rFonts w:ascii="Arial" w:eastAsia="SimSun" w:hAnsi="Arial" w:cs="Arial"/>
          <w:sz w:val="22"/>
          <w:szCs w:val="22"/>
          <w:u w:val="single"/>
        </w:rPr>
        <w:t>Ayant examiné</w:t>
      </w:r>
      <w:r w:rsidRPr="00D01265">
        <w:rPr>
          <w:rFonts w:ascii="Arial" w:eastAsia="SimSun" w:hAnsi="Arial" w:cs="Arial"/>
          <w:sz w:val="22"/>
          <w:szCs w:val="22"/>
        </w:rPr>
        <w:t xml:space="preserve"> le document ITH/16/11.COM 2.BUR/2, ainsi que la demande d’assistance internationale n° 01217,</w:t>
      </w:r>
    </w:p>
    <w:p w:rsidR="00D524B9" w:rsidRPr="00D01265" w:rsidRDefault="00D524B9" w:rsidP="00F947DB">
      <w:pPr>
        <w:numPr>
          <w:ilvl w:val="0"/>
          <w:numId w:val="21"/>
        </w:numPr>
        <w:autoSpaceDE w:val="0"/>
        <w:autoSpaceDN w:val="0"/>
        <w:adjustRightInd w:val="0"/>
        <w:spacing w:after="120"/>
        <w:ind w:left="567" w:hanging="567"/>
        <w:jc w:val="both"/>
        <w:rPr>
          <w:rFonts w:ascii="Arial" w:eastAsia="SimSun" w:hAnsi="Arial" w:cs="Arial"/>
          <w:sz w:val="22"/>
          <w:szCs w:val="22"/>
        </w:rPr>
      </w:pPr>
      <w:r w:rsidRPr="00D01265">
        <w:rPr>
          <w:rFonts w:ascii="Arial" w:eastAsia="SimSun" w:hAnsi="Arial" w:cs="Arial"/>
          <w:sz w:val="22"/>
          <w:szCs w:val="22"/>
          <w:u w:val="single"/>
        </w:rPr>
        <w:t>Note</w:t>
      </w:r>
      <w:r w:rsidRPr="00D01265">
        <w:rPr>
          <w:rFonts w:ascii="Arial" w:eastAsia="SimSun" w:hAnsi="Arial" w:cs="Arial"/>
          <w:sz w:val="22"/>
          <w:szCs w:val="22"/>
        </w:rPr>
        <w:t xml:space="preserve"> que la Zambie a demandé l’assistance internationale pour un projet intitulé </w:t>
      </w:r>
      <w:r>
        <w:rPr>
          <w:rFonts w:ascii="Arial" w:eastAsia="SimSun" w:hAnsi="Arial" w:cs="Arial"/>
          <w:sz w:val="22"/>
          <w:szCs w:val="22"/>
        </w:rPr>
        <w:t>« </w:t>
      </w:r>
      <w:r w:rsidRPr="00D01265">
        <w:rPr>
          <w:rFonts w:ascii="Arial" w:eastAsia="SimSun" w:hAnsi="Arial" w:cs="Arial"/>
          <w:b/>
          <w:sz w:val="22"/>
          <w:szCs w:val="22"/>
        </w:rPr>
        <w:t>Réalisation d’un inventaire de la musique et de la danse des Lozi et des Nkoya du district de Kaoma</w:t>
      </w:r>
      <w:r>
        <w:rPr>
          <w:rFonts w:ascii="Arial" w:eastAsia="SimSun" w:hAnsi="Arial" w:cs="Arial"/>
          <w:b/>
          <w:sz w:val="22"/>
          <w:szCs w:val="22"/>
        </w:rPr>
        <w:t> »</w:t>
      </w:r>
      <w:r w:rsidRPr="00D01265">
        <w:rPr>
          <w:rFonts w:ascii="Arial" w:eastAsia="SimSun" w:hAnsi="Arial" w:cs="Arial"/>
          <w:b/>
          <w:sz w:val="22"/>
          <w:szCs w:val="22"/>
        </w:rPr>
        <w:t> </w:t>
      </w:r>
      <w:r w:rsidRPr="00D01265">
        <w:rPr>
          <w:rFonts w:ascii="Arial" w:eastAsia="SimSun" w:hAnsi="Arial" w:cs="Arial"/>
          <w:sz w:val="22"/>
          <w:szCs w:val="22"/>
        </w:rPr>
        <w:t>:</w:t>
      </w:r>
    </w:p>
    <w:p w:rsidR="00D524B9" w:rsidRPr="00D01265" w:rsidRDefault="00D524B9" w:rsidP="00F947DB">
      <w:pPr>
        <w:autoSpaceDE w:val="0"/>
        <w:autoSpaceDN w:val="0"/>
        <w:adjustRightInd w:val="0"/>
        <w:spacing w:after="120"/>
        <w:ind w:left="567" w:hanging="567"/>
        <w:jc w:val="both"/>
        <w:rPr>
          <w:rFonts w:ascii="Arial" w:eastAsia="SimSun" w:hAnsi="Arial" w:cs="Arial"/>
          <w:sz w:val="22"/>
          <w:szCs w:val="22"/>
        </w:rPr>
      </w:pPr>
      <w:r w:rsidRPr="00D01265">
        <w:rPr>
          <w:rFonts w:ascii="Arial" w:eastAsia="SimSun" w:hAnsi="Arial" w:cs="Arial"/>
          <w:sz w:val="22"/>
          <w:szCs w:val="22"/>
        </w:rPr>
        <w:tab/>
        <w:t xml:space="preserve">Les Lozi et les Nkoya établis dans le district de Kaoma, dans la Province occidentale de la Zambie, ont en commun des pratiques de musique et de danse qui résultent de plusieurs siècles de coexistence. Cependant, un conflit dû à des litiges fonciers et à un problème de contrôle du district oppose depuis quelques temps les deux communautés. Faute d’efforts suffisants pour inventorier leur patrimoine vivant commun, la viabilité de ce patrimoine est menacée par ces conflits ainsi que par l’impact de la technologie et de la mondialisation. Dans le but ultime de rapprocher les deux communautés, le projet vise à faire ressortir les similitudes entre la musique et la danse des Lozi et des Nkoya en établissant un inventaire avec la participation des communautés, les sensibilisant ainsi à l’importance du patrimoine culturel immatériel et assurant son appréciation mutuelle. Mises en œuvre par la Commission nationale de la Zambie pour l’UNESCO en étroite coopération avec le Département des arts et de la culture du </w:t>
      </w:r>
      <w:r>
        <w:rPr>
          <w:rFonts w:ascii="Arial" w:eastAsia="SimSun" w:hAnsi="Arial" w:cs="Arial"/>
          <w:sz w:val="22"/>
          <w:szCs w:val="22"/>
        </w:rPr>
        <w:t>M</w:t>
      </w:r>
      <w:r w:rsidRPr="00D01265">
        <w:rPr>
          <w:rFonts w:ascii="Arial" w:eastAsia="SimSun" w:hAnsi="Arial" w:cs="Arial"/>
          <w:sz w:val="22"/>
          <w:szCs w:val="22"/>
        </w:rPr>
        <w:t xml:space="preserve">inistère du </w:t>
      </w:r>
      <w:r>
        <w:rPr>
          <w:rFonts w:ascii="Arial" w:eastAsia="SimSun" w:hAnsi="Arial" w:cs="Arial"/>
          <w:sz w:val="22"/>
          <w:szCs w:val="22"/>
        </w:rPr>
        <w:t>t</w:t>
      </w:r>
      <w:r w:rsidRPr="00D01265">
        <w:rPr>
          <w:rFonts w:ascii="Arial" w:eastAsia="SimSun" w:hAnsi="Arial" w:cs="Arial"/>
          <w:sz w:val="22"/>
          <w:szCs w:val="22"/>
        </w:rPr>
        <w:t xml:space="preserve">ourisme et des </w:t>
      </w:r>
      <w:r>
        <w:rPr>
          <w:rFonts w:ascii="Arial" w:eastAsia="SimSun" w:hAnsi="Arial" w:cs="Arial"/>
          <w:sz w:val="22"/>
          <w:szCs w:val="22"/>
        </w:rPr>
        <w:t>a</w:t>
      </w:r>
      <w:r w:rsidRPr="00D01265">
        <w:rPr>
          <w:rFonts w:ascii="Arial" w:eastAsia="SimSun" w:hAnsi="Arial" w:cs="Arial"/>
          <w:sz w:val="22"/>
          <w:szCs w:val="22"/>
        </w:rPr>
        <w:t xml:space="preserve">rts, les activités comprennent : l’identification et la sélection des principaux gardiens et praticiens ; une formation à la réalisation des inventaires avec participation </w:t>
      </w:r>
      <w:r>
        <w:rPr>
          <w:rFonts w:ascii="Arial" w:eastAsia="SimSun" w:hAnsi="Arial" w:cs="Arial"/>
          <w:sz w:val="22"/>
          <w:szCs w:val="22"/>
        </w:rPr>
        <w:t>des communautés</w:t>
      </w:r>
      <w:r w:rsidRPr="00D01265">
        <w:rPr>
          <w:rFonts w:ascii="Arial" w:eastAsia="SimSun" w:hAnsi="Arial" w:cs="Arial"/>
          <w:sz w:val="22"/>
          <w:szCs w:val="22"/>
        </w:rPr>
        <w:t> ; le travail de terrain pour la réalisation de l’inventaire ; et une exposition qui mettra en valeur l’importance socioculturelle de la musique et de la danse des Lozi et des Nkoya.</w:t>
      </w:r>
    </w:p>
    <w:p w:rsidR="00D524B9" w:rsidRPr="00D01265" w:rsidRDefault="00D524B9" w:rsidP="00F947DB">
      <w:pPr>
        <w:numPr>
          <w:ilvl w:val="0"/>
          <w:numId w:val="21"/>
        </w:numPr>
        <w:autoSpaceDE w:val="0"/>
        <w:autoSpaceDN w:val="0"/>
        <w:adjustRightInd w:val="0"/>
        <w:spacing w:after="120"/>
        <w:ind w:left="567" w:hanging="567"/>
        <w:jc w:val="both"/>
        <w:rPr>
          <w:rFonts w:ascii="Arial" w:eastAsia="SimSun" w:hAnsi="Arial" w:cs="Arial"/>
          <w:sz w:val="22"/>
          <w:szCs w:val="22"/>
        </w:rPr>
      </w:pPr>
      <w:r w:rsidRPr="00D01265">
        <w:rPr>
          <w:rFonts w:ascii="Arial" w:eastAsia="SimSun" w:hAnsi="Arial" w:cs="Arial"/>
          <w:sz w:val="22"/>
          <w:szCs w:val="22"/>
          <w:u w:val="single"/>
        </w:rPr>
        <w:t>Note également</w:t>
      </w:r>
      <w:r w:rsidRPr="00D01265">
        <w:rPr>
          <w:rFonts w:ascii="Arial" w:eastAsia="SimSun" w:hAnsi="Arial" w:cs="Arial"/>
          <w:sz w:val="22"/>
          <w:szCs w:val="22"/>
        </w:rPr>
        <w:t xml:space="preserve"> que cette assistance concerne un projet mené au niveau local dans le but de réaliser un inventaire conformément à l’article 20 (b) de la Convention, et qu’elle prend la forme de l’octroi d’un don ainsi qu’il est prévu à l’article 21 (g) de la Convention ;</w:t>
      </w:r>
    </w:p>
    <w:p w:rsidR="00D524B9" w:rsidRPr="00D01265" w:rsidRDefault="00D524B9" w:rsidP="00F947DB">
      <w:pPr>
        <w:numPr>
          <w:ilvl w:val="0"/>
          <w:numId w:val="21"/>
        </w:numPr>
        <w:autoSpaceDE w:val="0"/>
        <w:autoSpaceDN w:val="0"/>
        <w:adjustRightInd w:val="0"/>
        <w:spacing w:after="120"/>
        <w:ind w:left="567" w:hanging="567"/>
        <w:jc w:val="both"/>
        <w:rPr>
          <w:rFonts w:ascii="Arial" w:eastAsia="SimSun" w:hAnsi="Arial" w:cs="Arial"/>
          <w:sz w:val="22"/>
          <w:szCs w:val="22"/>
        </w:rPr>
      </w:pPr>
      <w:r w:rsidRPr="00D01265">
        <w:rPr>
          <w:rFonts w:ascii="Arial" w:eastAsia="SimSun" w:hAnsi="Arial" w:cs="Arial"/>
          <w:sz w:val="22"/>
          <w:szCs w:val="22"/>
          <w:u w:val="single"/>
        </w:rPr>
        <w:t>Note en outre</w:t>
      </w:r>
      <w:r w:rsidRPr="00D01265">
        <w:rPr>
          <w:rFonts w:ascii="Arial" w:eastAsia="SimSun" w:hAnsi="Arial" w:cs="Arial"/>
          <w:sz w:val="22"/>
          <w:szCs w:val="22"/>
        </w:rPr>
        <w:t xml:space="preserve"> que la Zambie a demandé une allocation de 24 928,30 dollars des États-Unis </w:t>
      </w:r>
      <w:r>
        <w:rPr>
          <w:rFonts w:ascii="Arial" w:eastAsia="SimSun" w:hAnsi="Arial" w:cs="Arial"/>
          <w:sz w:val="22"/>
          <w:szCs w:val="22"/>
        </w:rPr>
        <w:t>d</w:t>
      </w:r>
      <w:r w:rsidRPr="00D01265">
        <w:rPr>
          <w:rFonts w:ascii="Arial" w:eastAsia="SimSun" w:hAnsi="Arial" w:cs="Arial"/>
          <w:sz w:val="22"/>
          <w:szCs w:val="22"/>
        </w:rPr>
        <w:t>u Fonds du patrimoine culturel immatériel pour la mise en œuvre du projet ;</w:t>
      </w:r>
    </w:p>
    <w:p w:rsidR="00D524B9" w:rsidRPr="00D01265" w:rsidRDefault="00D524B9" w:rsidP="00F947DB">
      <w:pPr>
        <w:numPr>
          <w:ilvl w:val="0"/>
          <w:numId w:val="21"/>
        </w:numPr>
        <w:autoSpaceDE w:val="0"/>
        <w:autoSpaceDN w:val="0"/>
        <w:adjustRightInd w:val="0"/>
        <w:spacing w:after="120"/>
        <w:ind w:left="567" w:hanging="567"/>
        <w:jc w:val="both"/>
        <w:rPr>
          <w:rFonts w:ascii="Arial" w:eastAsia="SimSun" w:hAnsi="Arial" w:cs="Arial"/>
          <w:sz w:val="22"/>
          <w:szCs w:val="22"/>
        </w:rPr>
      </w:pPr>
      <w:r w:rsidRPr="00D01265">
        <w:rPr>
          <w:rFonts w:ascii="Arial" w:eastAsia="SimSun" w:hAnsi="Arial" w:cs="Arial"/>
          <w:sz w:val="22"/>
          <w:szCs w:val="22"/>
          <w:u w:val="single"/>
        </w:rPr>
        <w:t>Décide</w:t>
      </w:r>
      <w:r w:rsidRPr="00D01265">
        <w:rPr>
          <w:rFonts w:ascii="Arial" w:eastAsia="SimSun" w:hAnsi="Arial" w:cs="Arial"/>
          <w:sz w:val="22"/>
          <w:szCs w:val="22"/>
        </w:rPr>
        <w:t xml:space="preserve">, sur la base des informations fournies dans le dossier n° 01217, que la demande satisfait comme suit aux critères d’octroi de l’assistance internationale </w:t>
      </w:r>
      <w:r>
        <w:rPr>
          <w:rFonts w:ascii="Arial" w:eastAsia="SimSun" w:hAnsi="Arial" w:cs="Arial"/>
          <w:sz w:val="22"/>
          <w:szCs w:val="22"/>
        </w:rPr>
        <w:t>énoncés</w:t>
      </w:r>
      <w:r w:rsidRPr="00D01265">
        <w:rPr>
          <w:rFonts w:ascii="Arial" w:eastAsia="SimSun" w:hAnsi="Arial" w:cs="Arial"/>
          <w:sz w:val="22"/>
          <w:szCs w:val="22"/>
        </w:rPr>
        <w:t xml:space="preserve"> aux paragraphes 10 et 12 des Directives opérationnelles :</w:t>
      </w:r>
    </w:p>
    <w:p w:rsidR="00D524B9" w:rsidRPr="00D01265" w:rsidRDefault="00D524B9" w:rsidP="00F947DB">
      <w:pPr>
        <w:autoSpaceDE w:val="0"/>
        <w:autoSpaceDN w:val="0"/>
        <w:adjustRightInd w:val="0"/>
        <w:spacing w:after="120"/>
        <w:ind w:left="567"/>
        <w:jc w:val="both"/>
        <w:rPr>
          <w:rFonts w:ascii="Arial" w:eastAsia="SimSun" w:hAnsi="Arial" w:cs="Arial"/>
          <w:bCs/>
          <w:sz w:val="22"/>
          <w:szCs w:val="22"/>
        </w:rPr>
      </w:pPr>
      <w:r w:rsidRPr="00D01265">
        <w:rPr>
          <w:rFonts w:ascii="Arial" w:eastAsia="SimSun" w:hAnsi="Arial" w:cs="Arial"/>
          <w:b/>
          <w:sz w:val="22"/>
          <w:szCs w:val="22"/>
        </w:rPr>
        <w:t>Critère A.1 </w:t>
      </w:r>
      <w:r w:rsidRPr="00D01265">
        <w:rPr>
          <w:rFonts w:ascii="Arial" w:eastAsia="SimSun" w:hAnsi="Arial" w:cs="Arial"/>
          <w:sz w:val="22"/>
          <w:szCs w:val="22"/>
        </w:rPr>
        <w:t xml:space="preserve">: </w:t>
      </w:r>
      <w:r w:rsidRPr="00D01265">
        <w:rPr>
          <w:rFonts w:ascii="Arial" w:eastAsia="SimSun" w:hAnsi="Arial" w:cs="Arial"/>
          <w:bCs/>
          <w:sz w:val="22"/>
          <w:szCs w:val="22"/>
        </w:rPr>
        <w:t xml:space="preserve">La demande démontre une large participation des communautés concernées à la préparation, à la mise en œuvre et à l’évaluation du projet. Les communautés Lozi et Nkoya du district de Kaoma ont donné leur accord libre, préalable et éclairé à la demande lors de la cérémonie traditionnelle du Kazanga autour de laquelle elles se réunissent. La demande confère un rôle central aux </w:t>
      </w:r>
      <w:r w:rsidRPr="00D01265">
        <w:rPr>
          <w:rFonts w:ascii="Arial" w:eastAsia="SimSun" w:hAnsi="Arial" w:cs="Arial"/>
          <w:bCs/>
          <w:i/>
          <w:sz w:val="22"/>
          <w:szCs w:val="22"/>
        </w:rPr>
        <w:t>indunas</w:t>
      </w:r>
      <w:r w:rsidRPr="00D01265">
        <w:rPr>
          <w:rFonts w:ascii="Arial" w:eastAsia="SimSun" w:hAnsi="Arial" w:cs="Arial"/>
          <w:bCs/>
          <w:sz w:val="22"/>
          <w:szCs w:val="22"/>
        </w:rPr>
        <w:t xml:space="preserve"> (anciens) et aux membres des communautés, tant pour la mise en œuvre des activités, comme l’identification des praticiens et des gardiens qui seront formés à la réalisation d’inventaires avec participation </w:t>
      </w:r>
      <w:r>
        <w:rPr>
          <w:rFonts w:ascii="Arial" w:eastAsia="SimSun" w:hAnsi="Arial" w:cs="Arial"/>
          <w:bCs/>
          <w:sz w:val="22"/>
          <w:szCs w:val="22"/>
        </w:rPr>
        <w:t>des communautés</w:t>
      </w:r>
      <w:r w:rsidRPr="00D01265">
        <w:rPr>
          <w:rFonts w:ascii="Arial" w:eastAsia="SimSun" w:hAnsi="Arial" w:cs="Arial"/>
          <w:bCs/>
          <w:sz w:val="22"/>
          <w:szCs w:val="22"/>
        </w:rPr>
        <w:t xml:space="preserve"> et contribueront au travail de terrain, que pour le processus de suivi et d’évaluation par le biais d’un système de </w:t>
      </w:r>
      <w:r>
        <w:rPr>
          <w:rFonts w:ascii="Arial" w:eastAsia="SimSun" w:hAnsi="Arial" w:cs="Arial"/>
          <w:bCs/>
          <w:sz w:val="22"/>
          <w:szCs w:val="22"/>
        </w:rPr>
        <w:t>rapports</w:t>
      </w:r>
      <w:r w:rsidRPr="00D01265">
        <w:rPr>
          <w:rFonts w:ascii="Arial" w:eastAsia="SimSun" w:hAnsi="Arial" w:cs="Arial"/>
          <w:bCs/>
          <w:sz w:val="22"/>
          <w:szCs w:val="22"/>
        </w:rPr>
        <w:t xml:space="preserve"> associant la communauté. </w:t>
      </w:r>
    </w:p>
    <w:p w:rsidR="00D524B9" w:rsidRPr="00D01265" w:rsidRDefault="00D524B9" w:rsidP="00F947DB">
      <w:pPr>
        <w:tabs>
          <w:tab w:val="left" w:pos="567"/>
        </w:tabs>
        <w:snapToGrid w:val="0"/>
        <w:spacing w:after="120"/>
        <w:ind w:left="567"/>
        <w:jc w:val="both"/>
        <w:rPr>
          <w:rFonts w:ascii="Arial" w:hAnsi="Arial"/>
          <w:snapToGrid w:val="0"/>
          <w:sz w:val="22"/>
          <w:lang w:eastAsia="en-US"/>
        </w:rPr>
      </w:pPr>
      <w:r w:rsidRPr="00D01265">
        <w:rPr>
          <w:rFonts w:ascii="Arial" w:hAnsi="Arial"/>
          <w:b/>
          <w:snapToGrid w:val="0"/>
          <w:sz w:val="22"/>
          <w:lang w:eastAsia="en-US"/>
        </w:rPr>
        <w:t>Critère A.2 </w:t>
      </w:r>
      <w:r w:rsidRPr="00D01265">
        <w:rPr>
          <w:rFonts w:ascii="Arial" w:hAnsi="Arial"/>
          <w:snapToGrid w:val="0"/>
          <w:sz w:val="22"/>
          <w:lang w:eastAsia="en-US"/>
        </w:rPr>
        <w:t xml:space="preserve">: </w:t>
      </w:r>
      <w:r w:rsidRPr="00D01265">
        <w:rPr>
          <w:rFonts w:ascii="Arial" w:hAnsi="Arial" w:cs="Arial"/>
          <w:snapToGrid w:val="0"/>
          <w:sz w:val="22"/>
          <w:szCs w:val="22"/>
          <w:lang w:eastAsia="en-US"/>
        </w:rPr>
        <w:t>La ventilation du budget proposé est suffisamment détaillée pour démontrer que le montant de l’assistance demandée devrait convenir pour les activités proposées, à l’exception de deux résultats du projet, à savoir une base de données de la musique et de la danse des Lozi et des Nkoya, et une brochure d’information sur le projet, pour lesquels aucun budget n’est prévu ni par le Fonds du patrimoine culturel immatériel ni par l’État partie.</w:t>
      </w:r>
    </w:p>
    <w:p w:rsidR="00D524B9" w:rsidRPr="00D01265" w:rsidRDefault="00D524B9" w:rsidP="00F947DB">
      <w:pPr>
        <w:tabs>
          <w:tab w:val="left" w:pos="567"/>
        </w:tabs>
        <w:snapToGrid w:val="0"/>
        <w:spacing w:after="120"/>
        <w:ind w:left="567"/>
        <w:jc w:val="both"/>
        <w:rPr>
          <w:rFonts w:ascii="Arial" w:hAnsi="Arial" w:cs="Arial"/>
          <w:snapToGrid w:val="0"/>
          <w:sz w:val="22"/>
          <w:szCs w:val="22"/>
          <w:lang w:eastAsia="en-US"/>
        </w:rPr>
      </w:pPr>
      <w:r w:rsidRPr="00D01265">
        <w:rPr>
          <w:rFonts w:ascii="Arial" w:hAnsi="Arial"/>
          <w:b/>
          <w:snapToGrid w:val="0"/>
          <w:sz w:val="22"/>
          <w:lang w:eastAsia="en-US"/>
        </w:rPr>
        <w:t>Critère A.3 </w:t>
      </w:r>
      <w:r w:rsidRPr="00D01265">
        <w:rPr>
          <w:rFonts w:ascii="Arial" w:hAnsi="Arial"/>
          <w:snapToGrid w:val="0"/>
          <w:sz w:val="22"/>
          <w:lang w:eastAsia="en-US"/>
        </w:rPr>
        <w:t>: La demande décrit une séquence structurée de sept activités qui semble bien conçue pour atteindre les objectifs du projet dans le délai escompté</w:t>
      </w:r>
      <w:r w:rsidRPr="00D01265">
        <w:rPr>
          <w:rFonts w:ascii="Arial" w:hAnsi="Arial" w:cs="Arial"/>
          <w:snapToGrid w:val="0"/>
          <w:sz w:val="22"/>
          <w:szCs w:val="22"/>
          <w:lang w:eastAsia="en-US"/>
        </w:rPr>
        <w:t>. Par contre, la demande ne fournit pas d’informations suffisantes pour comprendre de quelle façon l’exposition, en tant qu’activité finale, utilisera et mettra en valeur les résultats des exercices d’inventaire qui la précéderont.</w:t>
      </w:r>
    </w:p>
    <w:p w:rsidR="00D524B9" w:rsidRPr="00D01265" w:rsidRDefault="00D524B9" w:rsidP="00F947DB">
      <w:pPr>
        <w:tabs>
          <w:tab w:val="left" w:pos="567"/>
        </w:tabs>
        <w:snapToGrid w:val="0"/>
        <w:spacing w:after="120"/>
        <w:ind w:left="567"/>
        <w:jc w:val="both"/>
        <w:rPr>
          <w:rFonts w:ascii="Arial" w:hAnsi="Arial"/>
          <w:snapToGrid w:val="0"/>
          <w:sz w:val="22"/>
          <w:lang w:eastAsia="en-US"/>
        </w:rPr>
      </w:pPr>
      <w:r w:rsidRPr="00D01265">
        <w:rPr>
          <w:rFonts w:ascii="Arial" w:hAnsi="Arial"/>
          <w:b/>
          <w:snapToGrid w:val="0"/>
          <w:sz w:val="22"/>
          <w:lang w:eastAsia="en-US"/>
        </w:rPr>
        <w:t>Critère A.4 </w:t>
      </w:r>
      <w:r w:rsidRPr="00D01265">
        <w:rPr>
          <w:rFonts w:ascii="Arial" w:hAnsi="Arial"/>
          <w:snapToGrid w:val="0"/>
          <w:sz w:val="22"/>
          <w:lang w:eastAsia="en-US"/>
        </w:rPr>
        <w:t xml:space="preserve">: La forte participation des communautés, en particulier des jeunes, aux activités d’inventaire renforcera la transmission des connaissances sur leur patrimoine culturel immatériel, tout en permettant que les efforts de sauvegarde soient relayés par les jeunes une fois le projet achevé. Le Comité du patrimoine culturel immatériel qui sera constitué dans le cadre du projet aidera les </w:t>
      </w:r>
      <w:r w:rsidRPr="00D01265">
        <w:rPr>
          <w:rFonts w:ascii="Arial" w:hAnsi="Arial" w:cs="Arial"/>
          <w:bCs/>
          <w:i/>
          <w:snapToGrid w:val="0"/>
          <w:sz w:val="22"/>
          <w:szCs w:val="22"/>
          <w:lang w:eastAsia="en-US"/>
        </w:rPr>
        <w:t>indunas</w:t>
      </w:r>
      <w:r w:rsidRPr="00D01265">
        <w:rPr>
          <w:rFonts w:ascii="Arial" w:hAnsi="Arial" w:cs="Arial"/>
          <w:bCs/>
          <w:snapToGrid w:val="0"/>
          <w:sz w:val="22"/>
          <w:szCs w:val="22"/>
          <w:lang w:eastAsia="en-US"/>
        </w:rPr>
        <w:t xml:space="preserve"> (anciens) à pérenniser la pratique des éléments inventoriés après le projet. D’autres initiatives du gouvernement, comme l’organisation d’un festival annuel de la musique et de la danse, devraient assurer la pérennité de l’impact du projet après son achèvement.</w:t>
      </w:r>
    </w:p>
    <w:p w:rsidR="00D524B9" w:rsidRPr="00D01265" w:rsidRDefault="00D524B9" w:rsidP="00F947DB">
      <w:pPr>
        <w:tabs>
          <w:tab w:val="left" w:pos="567"/>
        </w:tabs>
        <w:snapToGrid w:val="0"/>
        <w:spacing w:after="120"/>
        <w:ind w:left="567"/>
        <w:jc w:val="both"/>
        <w:rPr>
          <w:rFonts w:ascii="Arial" w:hAnsi="Arial"/>
          <w:snapToGrid w:val="0"/>
          <w:sz w:val="22"/>
          <w:lang w:eastAsia="en-US"/>
        </w:rPr>
      </w:pPr>
      <w:r w:rsidRPr="00D01265">
        <w:rPr>
          <w:rFonts w:ascii="Arial" w:hAnsi="Arial"/>
          <w:b/>
          <w:snapToGrid w:val="0"/>
          <w:sz w:val="22"/>
          <w:lang w:eastAsia="en-US"/>
        </w:rPr>
        <w:t>Critère A.5 </w:t>
      </w:r>
      <w:r w:rsidRPr="00D01265">
        <w:rPr>
          <w:rFonts w:ascii="Arial" w:hAnsi="Arial"/>
          <w:snapToGrid w:val="0"/>
          <w:sz w:val="22"/>
          <w:lang w:eastAsia="en-US"/>
        </w:rPr>
        <w:t xml:space="preserve">: </w:t>
      </w:r>
      <w:r w:rsidRPr="00D01265">
        <w:rPr>
          <w:rFonts w:ascii="Arial" w:hAnsi="Arial" w:cs="Arial"/>
          <w:bCs/>
          <w:snapToGrid w:val="0"/>
          <w:sz w:val="22"/>
          <w:szCs w:val="22"/>
          <w:lang w:eastAsia="en-US"/>
        </w:rPr>
        <w:t>L’État demandeur contribuera à</w:t>
      </w:r>
      <w:r>
        <w:rPr>
          <w:rFonts w:ascii="Arial" w:hAnsi="Arial" w:cs="Arial"/>
          <w:bCs/>
          <w:snapToGrid w:val="0"/>
          <w:sz w:val="22"/>
          <w:szCs w:val="22"/>
          <w:lang w:eastAsia="en-US"/>
        </w:rPr>
        <w:t xml:space="preserve"> hauteur de</w:t>
      </w:r>
      <w:r w:rsidRPr="00D01265">
        <w:rPr>
          <w:rFonts w:ascii="Arial" w:hAnsi="Arial" w:cs="Arial"/>
          <w:bCs/>
          <w:snapToGrid w:val="0"/>
          <w:sz w:val="22"/>
          <w:szCs w:val="22"/>
          <w:lang w:eastAsia="en-US"/>
        </w:rPr>
        <w:t xml:space="preserve"> 2 % du montant total du projet pour lequel l’assistance internationale est demandée.</w:t>
      </w:r>
    </w:p>
    <w:p w:rsidR="00D524B9" w:rsidRPr="00D01265" w:rsidRDefault="00D524B9" w:rsidP="00F947DB">
      <w:pPr>
        <w:tabs>
          <w:tab w:val="left" w:pos="567"/>
        </w:tabs>
        <w:snapToGrid w:val="0"/>
        <w:spacing w:after="120"/>
        <w:ind w:left="567"/>
        <w:jc w:val="both"/>
        <w:rPr>
          <w:rFonts w:ascii="Arial" w:hAnsi="Arial"/>
          <w:snapToGrid w:val="0"/>
          <w:sz w:val="22"/>
          <w:lang w:eastAsia="en-US"/>
        </w:rPr>
      </w:pPr>
      <w:r w:rsidRPr="00D01265">
        <w:rPr>
          <w:rFonts w:ascii="Arial" w:hAnsi="Arial"/>
          <w:b/>
          <w:snapToGrid w:val="0"/>
          <w:sz w:val="22"/>
          <w:lang w:eastAsia="en-US"/>
        </w:rPr>
        <w:t>Critère A.6 </w:t>
      </w:r>
      <w:r w:rsidRPr="00D01265">
        <w:rPr>
          <w:rFonts w:ascii="Arial" w:hAnsi="Arial"/>
          <w:snapToGrid w:val="0"/>
          <w:sz w:val="22"/>
          <w:lang w:eastAsia="en-US"/>
        </w:rPr>
        <w:t>: Le renforcement des capacités des chefs traditionnels des communautés et des praticiens, mais aussi de responsables du gouvernement, apparaît comme une composante fondamentale du projet. La demande montre bien que le projet renforcera la capacité des communautés de sauvegarder leur patrimoine culturel immatériel et de promouvoir sa pratique dans différents contextes sociaux, et que les responsables culturels de l’État et du district acquerront une expérience concrète de la réalisation d’inventaires du patrimoine culturel immatériel</w:t>
      </w:r>
      <w:r w:rsidRPr="00D01265">
        <w:rPr>
          <w:rFonts w:ascii="Arial" w:hAnsi="Arial" w:cs="Arial"/>
          <w:bCs/>
          <w:snapToGrid w:val="0"/>
          <w:sz w:val="22"/>
          <w:szCs w:val="22"/>
          <w:lang w:eastAsia="en-US"/>
        </w:rPr>
        <w:t>.</w:t>
      </w:r>
    </w:p>
    <w:p w:rsidR="00D524B9" w:rsidRPr="00D01265" w:rsidRDefault="00D524B9" w:rsidP="00F947DB">
      <w:pPr>
        <w:tabs>
          <w:tab w:val="left" w:pos="567"/>
        </w:tabs>
        <w:snapToGrid w:val="0"/>
        <w:spacing w:after="120"/>
        <w:ind w:left="567"/>
        <w:jc w:val="both"/>
        <w:rPr>
          <w:rFonts w:ascii="Arial" w:hAnsi="Arial"/>
          <w:snapToGrid w:val="0"/>
          <w:sz w:val="22"/>
          <w:lang w:eastAsia="en-US"/>
        </w:rPr>
      </w:pPr>
      <w:r w:rsidRPr="00D01265">
        <w:rPr>
          <w:rFonts w:ascii="Arial" w:hAnsi="Arial"/>
          <w:b/>
          <w:snapToGrid w:val="0"/>
          <w:sz w:val="22"/>
          <w:lang w:eastAsia="en-US"/>
        </w:rPr>
        <w:t>Critère A.7 </w:t>
      </w:r>
      <w:r w:rsidRPr="00D01265">
        <w:rPr>
          <w:rFonts w:ascii="Arial" w:hAnsi="Arial"/>
          <w:snapToGrid w:val="0"/>
          <w:sz w:val="22"/>
          <w:lang w:eastAsia="en-US"/>
        </w:rPr>
        <w:t xml:space="preserve">: En avril 2016, la </w:t>
      </w:r>
      <w:r w:rsidRPr="00D01265">
        <w:rPr>
          <w:rFonts w:ascii="Arial" w:hAnsi="Arial" w:cs="Arial"/>
          <w:snapToGrid w:val="0"/>
          <w:sz w:val="22"/>
          <w:lang w:eastAsia="en-US"/>
        </w:rPr>
        <w:t xml:space="preserve">Zambie a obtenu l’assistance internationale du Fonds du patrimoine culturel immatériel pour la mise en œuvre d’un projet intitulé </w:t>
      </w:r>
      <w:r w:rsidRPr="00D01265">
        <w:rPr>
          <w:rFonts w:ascii="Arial" w:hAnsi="Arial"/>
          <w:snapToGrid w:val="0"/>
          <w:sz w:val="22"/>
          <w:lang w:eastAsia="en-US"/>
        </w:rPr>
        <w:t>« Inventaire des proverbes de la communauté Lala du district de Luano en Zambie » (</w:t>
      </w:r>
      <w:hyperlink r:id="rId8" w:history="1">
        <w:r w:rsidRPr="00D01265">
          <w:rPr>
            <w:rFonts w:ascii="Arial" w:hAnsi="Arial"/>
            <w:snapToGrid w:val="0"/>
            <w:color w:val="0000FF" w:themeColor="hyperlink"/>
            <w:sz w:val="22"/>
            <w:u w:val="single"/>
            <w:lang w:eastAsia="en-US"/>
          </w:rPr>
          <w:t>décision 11.COM 1.BUR 1.4</w:t>
        </w:r>
      </w:hyperlink>
      <w:r w:rsidRPr="00D01265">
        <w:rPr>
          <w:rFonts w:ascii="Arial" w:hAnsi="Arial"/>
          <w:snapToGrid w:val="0"/>
          <w:sz w:val="22"/>
          <w:lang w:eastAsia="en-US"/>
        </w:rPr>
        <w:t xml:space="preserve">) ; les arrangements contractuels sont toujours en cours. </w:t>
      </w:r>
    </w:p>
    <w:p w:rsidR="00D524B9" w:rsidRPr="00D01265" w:rsidRDefault="00D524B9" w:rsidP="00F947DB">
      <w:pPr>
        <w:tabs>
          <w:tab w:val="left" w:pos="567"/>
        </w:tabs>
        <w:snapToGrid w:val="0"/>
        <w:spacing w:after="120"/>
        <w:ind w:left="567"/>
        <w:jc w:val="both"/>
        <w:rPr>
          <w:rFonts w:ascii="Arial" w:hAnsi="Arial"/>
          <w:snapToGrid w:val="0"/>
          <w:sz w:val="22"/>
          <w:lang w:eastAsia="en-US"/>
        </w:rPr>
      </w:pPr>
      <w:r w:rsidRPr="00D01265">
        <w:rPr>
          <w:rFonts w:ascii="Arial" w:hAnsi="Arial"/>
          <w:b/>
          <w:snapToGrid w:val="0"/>
          <w:sz w:val="22"/>
          <w:lang w:eastAsia="en-US"/>
        </w:rPr>
        <w:t>Paragraphe 10(a) </w:t>
      </w:r>
      <w:r w:rsidRPr="00D01265">
        <w:rPr>
          <w:rFonts w:ascii="Arial" w:hAnsi="Arial"/>
          <w:snapToGrid w:val="0"/>
          <w:sz w:val="22"/>
          <w:lang w:eastAsia="en-US"/>
        </w:rPr>
        <w:t xml:space="preserve">: Le projet est de portée locale et implique à la fois des partenaires nationaux, comme le Département des arts et de la culture du </w:t>
      </w:r>
      <w:r>
        <w:rPr>
          <w:rFonts w:ascii="Arial" w:hAnsi="Arial"/>
          <w:snapToGrid w:val="0"/>
          <w:sz w:val="22"/>
          <w:lang w:eastAsia="en-US"/>
        </w:rPr>
        <w:t>M</w:t>
      </w:r>
      <w:r w:rsidRPr="00D01265">
        <w:rPr>
          <w:rFonts w:ascii="Arial" w:hAnsi="Arial"/>
          <w:snapToGrid w:val="0"/>
          <w:sz w:val="22"/>
          <w:lang w:eastAsia="en-US"/>
        </w:rPr>
        <w:t xml:space="preserve">inistère du </w:t>
      </w:r>
      <w:r>
        <w:rPr>
          <w:rFonts w:ascii="Arial" w:hAnsi="Arial"/>
          <w:snapToGrid w:val="0"/>
          <w:sz w:val="22"/>
          <w:lang w:eastAsia="en-US"/>
        </w:rPr>
        <w:t>t</w:t>
      </w:r>
      <w:r w:rsidRPr="00D01265">
        <w:rPr>
          <w:rFonts w:ascii="Arial" w:hAnsi="Arial"/>
          <w:snapToGrid w:val="0"/>
          <w:sz w:val="22"/>
          <w:lang w:eastAsia="en-US"/>
        </w:rPr>
        <w:t xml:space="preserve">ourisme et des </w:t>
      </w:r>
      <w:r>
        <w:rPr>
          <w:rFonts w:ascii="Arial" w:hAnsi="Arial"/>
          <w:snapToGrid w:val="0"/>
          <w:sz w:val="22"/>
          <w:lang w:eastAsia="en-US"/>
        </w:rPr>
        <w:t>a</w:t>
      </w:r>
      <w:r w:rsidRPr="00D01265">
        <w:rPr>
          <w:rFonts w:ascii="Arial" w:hAnsi="Arial"/>
          <w:snapToGrid w:val="0"/>
          <w:sz w:val="22"/>
          <w:lang w:eastAsia="en-US"/>
        </w:rPr>
        <w:t>rts et l’Université de Zambie, et des partenaires de la province tels que le Comité provincial de conseil artistique.</w:t>
      </w:r>
    </w:p>
    <w:p w:rsidR="009D3549" w:rsidRDefault="00D524B9" w:rsidP="00F947DB">
      <w:pPr>
        <w:tabs>
          <w:tab w:val="left" w:pos="567"/>
        </w:tabs>
        <w:snapToGrid w:val="0"/>
        <w:spacing w:after="120"/>
        <w:ind w:left="567"/>
        <w:jc w:val="both"/>
        <w:rPr>
          <w:rFonts w:ascii="Arial" w:hAnsi="Arial"/>
          <w:snapToGrid w:val="0"/>
          <w:sz w:val="22"/>
          <w:lang w:eastAsia="en-US"/>
        </w:rPr>
      </w:pPr>
      <w:r w:rsidRPr="00D01265">
        <w:rPr>
          <w:rFonts w:ascii="Arial" w:hAnsi="Arial"/>
          <w:b/>
          <w:snapToGrid w:val="0"/>
          <w:sz w:val="22"/>
          <w:lang w:eastAsia="en-US"/>
        </w:rPr>
        <w:t>Paragraphe 10(b) :</w:t>
      </w:r>
      <w:r w:rsidRPr="00D01265">
        <w:rPr>
          <w:rFonts w:ascii="Arial" w:hAnsi="Arial"/>
          <w:snapToGrid w:val="0"/>
          <w:sz w:val="22"/>
          <w:lang w:eastAsia="en-US"/>
        </w:rPr>
        <w:t xml:space="preserve"> Grâce à la formation reçue, les responsables culturels du district de Kaoma ainsi que des districts voisins de Nkeyema et de Luampa seront plus à même de s’engager dans des activités de sauvegarde et de mobiliser le soutien technique et financier du Département des arts et de la culture, en particulier pour étendre le projet à l’ensemble de la province, voire pour conseiller d’autres provinces.</w:t>
      </w:r>
    </w:p>
    <w:p w:rsidR="00F947DB" w:rsidRPr="00D01265" w:rsidRDefault="00F947DB" w:rsidP="00F947DB">
      <w:pPr>
        <w:pStyle w:val="ListParagraph"/>
        <w:keepNext/>
        <w:numPr>
          <w:ilvl w:val="0"/>
          <w:numId w:val="31"/>
        </w:numPr>
        <w:autoSpaceDE w:val="0"/>
        <w:autoSpaceDN w:val="0"/>
        <w:adjustRightInd w:val="0"/>
        <w:spacing w:after="120"/>
        <w:ind w:left="567" w:hanging="567"/>
        <w:contextualSpacing w:val="0"/>
        <w:jc w:val="both"/>
        <w:rPr>
          <w:rFonts w:ascii="Arial" w:eastAsia="SimSun" w:hAnsi="Arial" w:cs="Arial"/>
          <w:sz w:val="22"/>
          <w:szCs w:val="22"/>
          <w:u w:val="single"/>
        </w:rPr>
      </w:pPr>
      <w:r>
        <w:rPr>
          <w:rFonts w:ascii="Arial" w:eastAsia="SimSun" w:hAnsi="Arial" w:cs="Arial"/>
          <w:sz w:val="22"/>
          <w:szCs w:val="22"/>
          <w:u w:val="single"/>
        </w:rPr>
        <w:t>Exprime son appréciation</w:t>
      </w:r>
      <w:r w:rsidRPr="00F8094E">
        <w:rPr>
          <w:rFonts w:ascii="Arial" w:eastAsia="SimSun" w:hAnsi="Arial" w:cs="Arial"/>
          <w:sz w:val="22"/>
          <w:szCs w:val="22"/>
        </w:rPr>
        <w:t xml:space="preserve"> à</w:t>
      </w:r>
      <w:r w:rsidRPr="00D01265">
        <w:rPr>
          <w:rFonts w:ascii="Arial" w:eastAsia="SimSun" w:hAnsi="Arial" w:cs="Arial"/>
          <w:sz w:val="22"/>
          <w:szCs w:val="22"/>
        </w:rPr>
        <w:t xml:space="preserve"> l’État partie </w:t>
      </w:r>
      <w:r>
        <w:rPr>
          <w:rFonts w:ascii="Arial" w:eastAsia="SimSun" w:hAnsi="Arial" w:cs="Arial"/>
          <w:sz w:val="22"/>
          <w:szCs w:val="22"/>
        </w:rPr>
        <w:t>de</w:t>
      </w:r>
      <w:r w:rsidRPr="00D01265">
        <w:rPr>
          <w:rFonts w:ascii="Arial" w:eastAsia="SimSun" w:hAnsi="Arial" w:cs="Arial"/>
          <w:sz w:val="22"/>
          <w:szCs w:val="22"/>
        </w:rPr>
        <w:t xml:space="preserve"> ses efforts pour revoir sa demande ;</w:t>
      </w:r>
    </w:p>
    <w:p w:rsidR="00F947DB" w:rsidRPr="00D01265" w:rsidRDefault="00F947DB" w:rsidP="00F947DB">
      <w:pPr>
        <w:pStyle w:val="ListParagraph"/>
        <w:numPr>
          <w:ilvl w:val="0"/>
          <w:numId w:val="31"/>
        </w:numPr>
        <w:autoSpaceDE w:val="0"/>
        <w:autoSpaceDN w:val="0"/>
        <w:adjustRightInd w:val="0"/>
        <w:spacing w:before="240" w:after="120"/>
        <w:ind w:left="567" w:hanging="567"/>
        <w:contextualSpacing w:val="0"/>
        <w:jc w:val="both"/>
        <w:rPr>
          <w:rFonts w:ascii="Arial" w:eastAsia="SimSun" w:hAnsi="Arial" w:cs="Arial"/>
          <w:sz w:val="22"/>
          <w:szCs w:val="22"/>
        </w:rPr>
      </w:pPr>
      <w:r w:rsidRPr="00D01265">
        <w:rPr>
          <w:rFonts w:ascii="Arial" w:eastAsia="SimSun" w:hAnsi="Arial" w:cs="Arial"/>
          <w:sz w:val="22"/>
          <w:szCs w:val="22"/>
          <w:u w:val="single"/>
        </w:rPr>
        <w:t>Décide d’approuver</w:t>
      </w:r>
      <w:r w:rsidRPr="00D01265">
        <w:rPr>
          <w:rFonts w:ascii="Arial" w:eastAsia="SimSun" w:hAnsi="Arial" w:cs="Arial"/>
          <w:sz w:val="22"/>
          <w:szCs w:val="22"/>
        </w:rPr>
        <w:t xml:space="preserve"> la demande d’assistance internationale de la Zambie pour l‘</w:t>
      </w:r>
      <w:r w:rsidRPr="00D01265">
        <w:rPr>
          <w:rFonts w:ascii="Arial" w:eastAsia="SimSun" w:hAnsi="Arial" w:cs="Arial"/>
          <w:b/>
          <w:sz w:val="22"/>
          <w:szCs w:val="22"/>
        </w:rPr>
        <w:t>Inventaire de la musique et de la danse des Lozi et des Nkoya du district de Kaoma</w:t>
      </w:r>
      <w:r w:rsidRPr="00D01265">
        <w:rPr>
          <w:rFonts w:ascii="Arial" w:eastAsia="SimSun" w:hAnsi="Arial" w:cs="Arial"/>
          <w:sz w:val="22"/>
          <w:szCs w:val="22"/>
        </w:rPr>
        <w:t xml:space="preserve"> et d’</w:t>
      </w:r>
      <w:r w:rsidRPr="00D01265">
        <w:rPr>
          <w:rFonts w:ascii="Arial" w:eastAsia="SimSun" w:hAnsi="Arial" w:cs="Arial"/>
          <w:sz w:val="22"/>
          <w:szCs w:val="22"/>
          <w:u w:val="single"/>
        </w:rPr>
        <w:t>octroyer</w:t>
      </w:r>
      <w:r w:rsidRPr="00D01265">
        <w:rPr>
          <w:rFonts w:ascii="Arial" w:eastAsia="SimSun" w:hAnsi="Arial" w:cs="Arial"/>
          <w:sz w:val="22"/>
          <w:szCs w:val="22"/>
        </w:rPr>
        <w:t xml:space="preserve"> à cette fin un montant de 24 928,30 dollars des États-Unis à l’État partie ;</w:t>
      </w:r>
    </w:p>
    <w:p w:rsidR="00F947DB" w:rsidRPr="00D01265" w:rsidRDefault="00F947DB" w:rsidP="00F947DB">
      <w:pPr>
        <w:pStyle w:val="ListParagraph"/>
        <w:numPr>
          <w:ilvl w:val="0"/>
          <w:numId w:val="31"/>
        </w:numPr>
        <w:autoSpaceDE w:val="0"/>
        <w:autoSpaceDN w:val="0"/>
        <w:adjustRightInd w:val="0"/>
        <w:spacing w:after="120"/>
        <w:ind w:left="567" w:hanging="567"/>
        <w:contextualSpacing w:val="0"/>
        <w:jc w:val="both"/>
        <w:rPr>
          <w:rFonts w:ascii="Arial" w:eastAsia="SimSun" w:hAnsi="Arial" w:cs="Arial"/>
          <w:sz w:val="22"/>
          <w:szCs w:val="22"/>
        </w:rPr>
      </w:pPr>
      <w:r w:rsidRPr="00D01265">
        <w:rPr>
          <w:rFonts w:ascii="Arial" w:eastAsia="SimSun" w:hAnsi="Arial" w:cs="Arial"/>
          <w:sz w:val="22"/>
          <w:szCs w:val="22"/>
          <w:u w:val="single"/>
        </w:rPr>
        <w:t>Demande</w:t>
      </w:r>
      <w:r w:rsidRPr="00D01265">
        <w:rPr>
          <w:rFonts w:ascii="Arial" w:eastAsia="SimSun" w:hAnsi="Arial" w:cs="Arial"/>
          <w:sz w:val="22"/>
          <w:szCs w:val="22"/>
        </w:rPr>
        <w:t xml:space="preserve"> au Secrétariat de se mettre d’accord avec l’État partie demandeur sur les détails techniques de l’assistance, en accordant une attention particulière au budget détaillé des activités à couvrir par le Fonds du patrimoine culturel immatériel, étant entendu que toute activité pour laquelle aucun budget ne figure dans la demande devra être couverte par des ressources que l’État mobilisera en dehors du Fonds ;</w:t>
      </w:r>
    </w:p>
    <w:p w:rsidR="00F947DB" w:rsidRPr="00D01265" w:rsidRDefault="00F947DB" w:rsidP="00F947DB">
      <w:pPr>
        <w:pStyle w:val="ListParagraph"/>
        <w:numPr>
          <w:ilvl w:val="0"/>
          <w:numId w:val="31"/>
        </w:numPr>
        <w:autoSpaceDE w:val="0"/>
        <w:autoSpaceDN w:val="0"/>
        <w:adjustRightInd w:val="0"/>
        <w:spacing w:after="120"/>
        <w:ind w:left="567" w:hanging="567"/>
        <w:contextualSpacing w:val="0"/>
        <w:jc w:val="both"/>
        <w:rPr>
          <w:rFonts w:ascii="Arial" w:eastAsia="SimSun" w:hAnsi="Arial" w:cs="Arial"/>
          <w:sz w:val="22"/>
          <w:szCs w:val="22"/>
        </w:rPr>
      </w:pPr>
      <w:r w:rsidRPr="00D01265">
        <w:rPr>
          <w:rFonts w:ascii="Arial" w:eastAsia="SimSun" w:hAnsi="Arial" w:cs="Arial"/>
          <w:sz w:val="22"/>
          <w:szCs w:val="22"/>
          <w:u w:val="single"/>
        </w:rPr>
        <w:t>Invite</w:t>
      </w:r>
      <w:r w:rsidRPr="00D01265">
        <w:rPr>
          <w:rFonts w:ascii="Arial" w:eastAsia="SimSun" w:hAnsi="Arial" w:cs="Arial"/>
          <w:sz w:val="22"/>
          <w:szCs w:val="22"/>
        </w:rPr>
        <w:t xml:space="preserve"> l’État à veiller à ce que toute activité de sensibilisation entreprise dans le cadre du projet, notamment l’exposition programmée, s’appuie sur les résultats des autres activités du projet, respecte pleinement les</w:t>
      </w:r>
      <w:bookmarkStart w:id="0" w:name="_GoBack"/>
      <w:bookmarkEnd w:id="0"/>
      <w:r w:rsidRPr="00D01265">
        <w:rPr>
          <w:rFonts w:ascii="Arial" w:eastAsia="SimSun" w:hAnsi="Arial" w:cs="Arial"/>
          <w:sz w:val="22"/>
          <w:szCs w:val="22"/>
        </w:rPr>
        <w:t xml:space="preserve"> pratiques coutumières régissant les aspects du patrimoine culturel immatériel concerné, et qu’il ne décontextualise ni ne dénature ce patrimoine. </w:t>
      </w:r>
    </w:p>
    <w:p w:rsidR="00F947DB" w:rsidRPr="00D01265" w:rsidRDefault="00F947DB" w:rsidP="00F947DB">
      <w:pPr>
        <w:pStyle w:val="ListParagraph"/>
        <w:numPr>
          <w:ilvl w:val="0"/>
          <w:numId w:val="31"/>
        </w:numPr>
        <w:autoSpaceDE w:val="0"/>
        <w:autoSpaceDN w:val="0"/>
        <w:adjustRightInd w:val="0"/>
        <w:spacing w:after="120"/>
        <w:ind w:left="567" w:hanging="567"/>
        <w:contextualSpacing w:val="0"/>
        <w:jc w:val="both"/>
        <w:rPr>
          <w:rFonts w:ascii="Arial" w:eastAsia="SimSun" w:hAnsi="Arial" w:cs="Arial"/>
          <w:sz w:val="22"/>
          <w:szCs w:val="22"/>
        </w:rPr>
      </w:pPr>
      <w:r w:rsidRPr="00D01265">
        <w:rPr>
          <w:rFonts w:ascii="Arial" w:eastAsia="SimSun" w:hAnsi="Arial" w:cs="Arial"/>
          <w:sz w:val="22"/>
          <w:szCs w:val="22"/>
          <w:u w:val="single"/>
        </w:rPr>
        <w:t>Invite en outre</w:t>
      </w:r>
      <w:r w:rsidRPr="00D01265">
        <w:rPr>
          <w:rFonts w:ascii="Arial" w:eastAsia="SimSun" w:hAnsi="Arial" w:cs="Arial"/>
          <w:sz w:val="22"/>
          <w:szCs w:val="22"/>
        </w:rPr>
        <w:t xml:space="preserve"> l’État partie à utiliser le formulaire ICH-04-R</w:t>
      </w:r>
      <w:r>
        <w:rPr>
          <w:rFonts w:ascii="Arial" w:eastAsia="SimSun" w:hAnsi="Arial" w:cs="Arial"/>
          <w:sz w:val="22"/>
          <w:szCs w:val="22"/>
        </w:rPr>
        <w:t>ap</w:t>
      </w:r>
      <w:r w:rsidRPr="00D01265">
        <w:rPr>
          <w:rFonts w:ascii="Arial" w:eastAsia="SimSun" w:hAnsi="Arial" w:cs="Arial"/>
          <w:sz w:val="22"/>
          <w:szCs w:val="22"/>
        </w:rPr>
        <w:t>port pour rendre compte de l’utilisation de l’assistance accordée.</w:t>
      </w:r>
    </w:p>
    <w:sectPr w:rsidR="00F947DB" w:rsidRPr="00D01265" w:rsidSect="00655736">
      <w:headerReference w:type="even" r:id="rId9"/>
      <w:headerReference w:type="default" r:id="rId10"/>
      <w:headerReference w:type="first" r:id="rId11"/>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0A3" w:rsidRDefault="00C460A3" w:rsidP="00655736">
      <w:r>
        <w:separator/>
      </w:r>
    </w:p>
    <w:p w:rsidR="00C460A3" w:rsidRDefault="00C460A3"/>
    <w:p w:rsidR="00C460A3" w:rsidRDefault="00C460A3" w:rsidP="002E58D4"/>
    <w:p w:rsidR="00C460A3" w:rsidRDefault="00C460A3" w:rsidP="002E58D4"/>
    <w:p w:rsidR="00C460A3" w:rsidRDefault="00C460A3" w:rsidP="002E58D4"/>
  </w:endnote>
  <w:endnote w:type="continuationSeparator" w:id="0">
    <w:p w:rsidR="00C460A3" w:rsidRDefault="00C460A3" w:rsidP="00655736">
      <w:r>
        <w:continuationSeparator/>
      </w:r>
    </w:p>
    <w:p w:rsidR="00C460A3" w:rsidRDefault="00C460A3"/>
    <w:p w:rsidR="00C460A3" w:rsidRDefault="00C460A3" w:rsidP="002E58D4"/>
    <w:p w:rsidR="00C460A3" w:rsidRDefault="00C460A3" w:rsidP="002E58D4"/>
    <w:p w:rsidR="00C460A3" w:rsidRDefault="00C460A3" w:rsidP="002E58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0A3" w:rsidRDefault="00C460A3" w:rsidP="00655736">
      <w:r>
        <w:separator/>
      </w:r>
    </w:p>
  </w:footnote>
  <w:footnote w:type="continuationSeparator" w:id="0">
    <w:p w:rsidR="00C460A3" w:rsidRDefault="00C460A3" w:rsidP="00655736">
      <w:r>
        <w:continuationSeparator/>
      </w:r>
    </w:p>
    <w:p w:rsidR="00C460A3" w:rsidRDefault="00C460A3"/>
    <w:p w:rsidR="00C460A3" w:rsidRDefault="00C460A3" w:rsidP="002E58D4"/>
    <w:p w:rsidR="00C460A3" w:rsidRDefault="00C460A3" w:rsidP="002E58D4"/>
    <w:p w:rsidR="00C460A3" w:rsidRDefault="00C460A3" w:rsidP="002E58D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142" w:rsidRPr="002E58D4" w:rsidRDefault="00BB633D" w:rsidP="002E58D4">
    <w:pPr>
      <w:pStyle w:val="Header"/>
      <w:rPr>
        <w:rFonts w:ascii="Arial" w:hAnsi="Arial" w:cs="Arial"/>
        <w:lang w:val="en-US"/>
      </w:rPr>
    </w:pPr>
    <w:r>
      <w:rPr>
        <w:rFonts w:ascii="Arial" w:hAnsi="Arial" w:cs="Arial"/>
        <w:sz w:val="20"/>
        <w:szCs w:val="20"/>
      </w:rPr>
      <w:t>ITH/16/11</w:t>
    </w:r>
    <w:r w:rsidR="00BE2BE9">
      <w:rPr>
        <w:rFonts w:ascii="Arial" w:hAnsi="Arial" w:cs="Arial"/>
        <w:sz w:val="20"/>
        <w:szCs w:val="20"/>
      </w:rPr>
      <w:t>.COM 2</w:t>
    </w:r>
    <w:r w:rsidR="00880142" w:rsidRPr="00FF01F1">
      <w:rPr>
        <w:rFonts w:ascii="Arial" w:hAnsi="Arial" w:cs="Arial"/>
        <w:sz w:val="20"/>
        <w:szCs w:val="20"/>
      </w:rPr>
      <w:t>.BUR/</w:t>
    </w:r>
    <w:r w:rsidR="00FF01F1" w:rsidRPr="00FF01F1">
      <w:rPr>
        <w:rFonts w:ascii="Arial" w:hAnsi="Arial" w:cs="Arial"/>
        <w:sz w:val="20"/>
        <w:szCs w:val="20"/>
      </w:rPr>
      <w:t>Décisions</w:t>
    </w:r>
    <w:r w:rsidR="009712A4" w:rsidRPr="00FF01F1">
      <w:rPr>
        <w:rFonts w:ascii="Arial" w:hAnsi="Arial" w:cs="Arial"/>
        <w:sz w:val="20"/>
        <w:szCs w:val="20"/>
      </w:rPr>
      <w:t xml:space="preserve"> </w:t>
    </w:r>
    <w:r w:rsidR="00880142" w:rsidRPr="00FF01F1">
      <w:rPr>
        <w:rFonts w:ascii="Arial" w:hAnsi="Arial" w:cs="Arial"/>
        <w:sz w:val="20"/>
        <w:szCs w:val="20"/>
      </w:rPr>
      <w:t xml:space="preserve">– page </w:t>
    </w:r>
    <w:r w:rsidR="00880142" w:rsidRPr="00EF563B">
      <w:rPr>
        <w:rStyle w:val="PageNumber"/>
        <w:rFonts w:ascii="Arial" w:hAnsi="Arial" w:cs="Arial"/>
        <w:sz w:val="20"/>
        <w:szCs w:val="20"/>
      </w:rPr>
      <w:fldChar w:fldCharType="begin"/>
    </w:r>
    <w:r w:rsidR="00880142" w:rsidRPr="00EF563B">
      <w:rPr>
        <w:rStyle w:val="PageNumber"/>
        <w:rFonts w:ascii="Arial" w:hAnsi="Arial" w:cs="Arial"/>
        <w:sz w:val="20"/>
        <w:szCs w:val="20"/>
        <w:lang w:val="en-US"/>
      </w:rPr>
      <w:instrText xml:space="preserve"> </w:instrText>
    </w:r>
    <w:r w:rsidR="00880142">
      <w:rPr>
        <w:rStyle w:val="PageNumber"/>
        <w:rFonts w:ascii="Arial" w:hAnsi="Arial" w:cs="Arial"/>
        <w:sz w:val="20"/>
        <w:szCs w:val="20"/>
        <w:lang w:val="en-US"/>
      </w:rPr>
      <w:instrText>PAGE</w:instrText>
    </w:r>
    <w:r w:rsidR="00880142" w:rsidRPr="00EF563B">
      <w:rPr>
        <w:rStyle w:val="PageNumber"/>
        <w:rFonts w:ascii="Arial" w:hAnsi="Arial" w:cs="Arial"/>
        <w:sz w:val="20"/>
        <w:szCs w:val="20"/>
        <w:lang w:val="en-US"/>
      </w:rPr>
      <w:instrText xml:space="preserve"> </w:instrText>
    </w:r>
    <w:r w:rsidR="00880142" w:rsidRPr="00EF563B">
      <w:rPr>
        <w:rStyle w:val="PageNumber"/>
        <w:rFonts w:ascii="Arial" w:hAnsi="Arial" w:cs="Arial"/>
        <w:sz w:val="20"/>
        <w:szCs w:val="20"/>
      </w:rPr>
      <w:fldChar w:fldCharType="separate"/>
    </w:r>
    <w:r w:rsidR="00F947DB">
      <w:rPr>
        <w:rStyle w:val="PageNumber"/>
        <w:rFonts w:ascii="Arial" w:hAnsi="Arial" w:cs="Arial"/>
        <w:noProof/>
        <w:sz w:val="20"/>
        <w:szCs w:val="20"/>
        <w:lang w:val="en-US"/>
      </w:rPr>
      <w:t>8</w:t>
    </w:r>
    <w:r w:rsidR="00880142" w:rsidRPr="00EF563B">
      <w:rPr>
        <w:rStyle w:val="PageNumber"/>
        <w:rFonts w:ascii="Arial" w:hAnsi="Arial" w:cs="Arial"/>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142" w:rsidRPr="00D40EFD" w:rsidRDefault="00BB633D" w:rsidP="00BC3420">
    <w:pPr>
      <w:pStyle w:val="Header"/>
      <w:jc w:val="right"/>
      <w:rPr>
        <w:rFonts w:ascii="Arial" w:hAnsi="Arial" w:cs="Arial"/>
      </w:rPr>
    </w:pPr>
    <w:r>
      <w:rPr>
        <w:rFonts w:ascii="Arial" w:hAnsi="Arial" w:cs="Arial"/>
        <w:sz w:val="20"/>
        <w:szCs w:val="20"/>
      </w:rPr>
      <w:t>ITH/16</w:t>
    </w:r>
    <w:r w:rsidR="00880142" w:rsidRPr="00D40EFD">
      <w:rPr>
        <w:rFonts w:ascii="Arial" w:hAnsi="Arial" w:cs="Arial"/>
        <w:sz w:val="20"/>
        <w:szCs w:val="20"/>
      </w:rPr>
      <w:t>/</w:t>
    </w:r>
    <w:r>
      <w:rPr>
        <w:rFonts w:ascii="Arial" w:hAnsi="Arial" w:cs="Arial"/>
        <w:sz w:val="20"/>
        <w:szCs w:val="20"/>
      </w:rPr>
      <w:t>11.</w:t>
    </w:r>
    <w:r w:rsidR="00BE2BE9">
      <w:rPr>
        <w:rFonts w:ascii="Arial" w:hAnsi="Arial" w:cs="Arial"/>
        <w:sz w:val="20"/>
        <w:szCs w:val="20"/>
      </w:rPr>
      <w:t>COM 2</w:t>
    </w:r>
    <w:r w:rsidR="00FF01F1" w:rsidRPr="00D40EFD">
      <w:rPr>
        <w:rFonts w:ascii="Arial" w:hAnsi="Arial" w:cs="Arial"/>
        <w:sz w:val="20"/>
        <w:szCs w:val="20"/>
      </w:rPr>
      <w:t>.BUR/Décisions</w:t>
    </w:r>
    <w:r w:rsidR="009712A4" w:rsidRPr="00D40EFD">
      <w:rPr>
        <w:rFonts w:ascii="Arial" w:hAnsi="Arial" w:cs="Arial"/>
        <w:sz w:val="20"/>
        <w:szCs w:val="20"/>
      </w:rPr>
      <w:t xml:space="preserve"> </w:t>
    </w:r>
    <w:r w:rsidR="00880142" w:rsidRPr="00D40EFD">
      <w:rPr>
        <w:rFonts w:ascii="Arial" w:hAnsi="Arial" w:cs="Arial"/>
        <w:sz w:val="20"/>
        <w:szCs w:val="20"/>
      </w:rPr>
      <w:t xml:space="preserve">– page </w:t>
    </w:r>
    <w:r w:rsidR="00880142" w:rsidRPr="00D40EFD">
      <w:rPr>
        <w:rStyle w:val="PageNumber"/>
        <w:rFonts w:ascii="Arial" w:hAnsi="Arial" w:cs="Arial"/>
        <w:sz w:val="20"/>
        <w:szCs w:val="20"/>
      </w:rPr>
      <w:fldChar w:fldCharType="begin"/>
    </w:r>
    <w:r w:rsidR="00880142" w:rsidRPr="00D40EFD">
      <w:rPr>
        <w:rStyle w:val="PageNumber"/>
        <w:rFonts w:ascii="Arial" w:hAnsi="Arial" w:cs="Arial"/>
        <w:sz w:val="20"/>
        <w:szCs w:val="20"/>
      </w:rPr>
      <w:instrText xml:space="preserve"> PAGE </w:instrText>
    </w:r>
    <w:r w:rsidR="00880142" w:rsidRPr="00D40EFD">
      <w:rPr>
        <w:rStyle w:val="PageNumber"/>
        <w:rFonts w:ascii="Arial" w:hAnsi="Arial" w:cs="Arial"/>
        <w:sz w:val="20"/>
        <w:szCs w:val="20"/>
      </w:rPr>
      <w:fldChar w:fldCharType="separate"/>
    </w:r>
    <w:r w:rsidR="00F947DB">
      <w:rPr>
        <w:rStyle w:val="PageNumber"/>
        <w:rFonts w:ascii="Arial" w:hAnsi="Arial" w:cs="Arial"/>
        <w:noProof/>
        <w:sz w:val="20"/>
        <w:szCs w:val="20"/>
      </w:rPr>
      <w:t>9</w:t>
    </w:r>
    <w:r w:rsidR="00880142" w:rsidRPr="00D40EFD">
      <w:rPr>
        <w:rStyle w:val="PageNumber"/>
        <w:rFonts w:ascii="Arial" w:hAnsi="Arial" w:cs="Arial"/>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142" w:rsidRPr="008724E5" w:rsidRDefault="008F3CE1">
    <w:pPr>
      <w:pStyle w:val="Header"/>
    </w:pPr>
    <w:r>
      <w:rPr>
        <w:noProof/>
      </w:rPr>
      <w:drawing>
        <wp:anchor distT="0" distB="0" distL="114300" distR="114300" simplePos="0" relativeHeight="251657728" behindDoc="0" locked="0" layoutInCell="1" allowOverlap="1" wp14:anchorId="6A4022D7" wp14:editId="3985820D">
          <wp:simplePos x="0" y="0"/>
          <wp:positionH relativeFrom="column">
            <wp:posOffset>-499110</wp:posOffset>
          </wp:positionH>
          <wp:positionV relativeFrom="paragraph">
            <wp:posOffset>-208280</wp:posOffset>
          </wp:positionV>
          <wp:extent cx="2038350" cy="1529080"/>
          <wp:effectExtent l="0" t="0" r="0" b="0"/>
          <wp:wrapNone/>
          <wp:docPr id="1" name="Picture 15" descr="unesco_logo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nesco_logo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1529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0142" w:rsidRPr="00A91141" w:rsidRDefault="00BB633D" w:rsidP="00655736">
    <w:pPr>
      <w:pStyle w:val="Header"/>
      <w:spacing w:after="520"/>
      <w:jc w:val="right"/>
      <w:rPr>
        <w:rFonts w:ascii="Arial" w:hAnsi="Arial" w:cs="Arial"/>
        <w:b/>
        <w:sz w:val="44"/>
        <w:szCs w:val="44"/>
        <w:lang w:val="en-US"/>
      </w:rPr>
    </w:pPr>
    <w:r>
      <w:rPr>
        <w:rFonts w:ascii="Arial" w:hAnsi="Arial" w:cs="Arial"/>
        <w:b/>
        <w:sz w:val="44"/>
        <w:szCs w:val="44"/>
        <w:lang w:val="en-US"/>
      </w:rPr>
      <w:t>11</w:t>
    </w:r>
    <w:r w:rsidR="00880142" w:rsidRPr="00A91141">
      <w:rPr>
        <w:rFonts w:ascii="Arial" w:hAnsi="Arial" w:cs="Arial"/>
        <w:b/>
        <w:sz w:val="44"/>
        <w:szCs w:val="44"/>
        <w:lang w:val="en-US"/>
      </w:rPr>
      <w:t xml:space="preserve"> </w:t>
    </w:r>
    <w:r w:rsidR="00880142" w:rsidRPr="00AA1D1D">
      <w:rPr>
        <w:rFonts w:ascii="Arial" w:hAnsi="Arial" w:cs="Arial"/>
        <w:b/>
        <w:sz w:val="44"/>
        <w:szCs w:val="44"/>
        <w:lang w:val="en-GB"/>
      </w:rPr>
      <w:t>COM </w:t>
    </w:r>
    <w:r w:rsidR="00D3492D">
      <w:rPr>
        <w:rFonts w:ascii="Arial" w:hAnsi="Arial" w:cs="Arial"/>
        <w:b/>
        <w:sz w:val="44"/>
        <w:szCs w:val="44"/>
        <w:lang w:val="en-GB"/>
      </w:rPr>
      <w:t>2</w:t>
    </w:r>
    <w:r w:rsidR="00880142">
      <w:rPr>
        <w:rFonts w:ascii="Arial" w:hAnsi="Arial" w:cs="Arial"/>
        <w:b/>
        <w:sz w:val="44"/>
        <w:szCs w:val="44"/>
        <w:lang w:val="en-GB"/>
      </w:rPr>
      <w:t> </w:t>
    </w:r>
    <w:r w:rsidR="00880142" w:rsidRPr="00AA1D1D">
      <w:rPr>
        <w:rFonts w:ascii="Arial" w:hAnsi="Arial" w:cs="Arial"/>
        <w:b/>
        <w:sz w:val="44"/>
        <w:szCs w:val="44"/>
        <w:lang w:val="en-GB"/>
      </w:rPr>
      <w:t>BUR</w:t>
    </w:r>
  </w:p>
  <w:p w:rsidR="00880142" w:rsidRPr="00BB633D" w:rsidRDefault="00BB633D" w:rsidP="00655736">
    <w:pPr>
      <w:jc w:val="right"/>
      <w:rPr>
        <w:rFonts w:ascii="Arial" w:hAnsi="Arial" w:cs="Arial"/>
        <w:b/>
        <w:sz w:val="22"/>
        <w:szCs w:val="22"/>
        <w:lang w:val="en-US"/>
      </w:rPr>
    </w:pPr>
    <w:r w:rsidRPr="00BB633D">
      <w:rPr>
        <w:rFonts w:ascii="Arial" w:hAnsi="Arial" w:cs="Arial"/>
        <w:b/>
        <w:sz w:val="22"/>
        <w:szCs w:val="22"/>
        <w:lang w:val="en-US"/>
      </w:rPr>
      <w:t>ITH/16/11</w:t>
    </w:r>
    <w:r w:rsidR="00880142" w:rsidRPr="00BB633D">
      <w:rPr>
        <w:rFonts w:ascii="Arial" w:hAnsi="Arial" w:cs="Arial"/>
        <w:b/>
        <w:sz w:val="22"/>
        <w:szCs w:val="22"/>
        <w:lang w:val="en-US"/>
      </w:rPr>
      <w:t>.COM </w:t>
    </w:r>
    <w:r w:rsidR="00D3492D">
      <w:rPr>
        <w:rFonts w:ascii="Arial" w:hAnsi="Arial" w:cs="Arial"/>
        <w:b/>
        <w:sz w:val="22"/>
        <w:szCs w:val="22"/>
        <w:lang w:val="en-US"/>
      </w:rPr>
      <w:t>2</w:t>
    </w:r>
    <w:r w:rsidR="00880142" w:rsidRPr="00BB633D">
      <w:rPr>
        <w:rFonts w:ascii="Arial" w:hAnsi="Arial" w:cs="Arial"/>
        <w:b/>
        <w:sz w:val="22"/>
        <w:szCs w:val="22"/>
        <w:lang w:val="en-US"/>
      </w:rPr>
      <w:t>.BUR/</w:t>
    </w:r>
    <w:r w:rsidR="00FF01F1" w:rsidRPr="00497829">
      <w:rPr>
        <w:rFonts w:ascii="Arial" w:hAnsi="Arial" w:cs="Arial"/>
        <w:b/>
        <w:sz w:val="22"/>
        <w:szCs w:val="22"/>
      </w:rPr>
      <w:t>Décisions</w:t>
    </w:r>
  </w:p>
  <w:p w:rsidR="00880142" w:rsidRPr="00FF01F1" w:rsidRDefault="00880142" w:rsidP="00655736">
    <w:pPr>
      <w:jc w:val="right"/>
      <w:rPr>
        <w:rFonts w:ascii="Arial" w:hAnsi="Arial" w:cs="Arial"/>
        <w:b/>
        <w:sz w:val="22"/>
        <w:szCs w:val="22"/>
      </w:rPr>
    </w:pPr>
    <w:r w:rsidRPr="00FF01F1">
      <w:rPr>
        <w:rFonts w:ascii="Arial" w:hAnsi="Arial" w:cs="Arial"/>
        <w:b/>
        <w:sz w:val="22"/>
        <w:szCs w:val="22"/>
      </w:rPr>
      <w:t xml:space="preserve">Paris, le </w:t>
    </w:r>
    <w:r w:rsidR="00D3492D">
      <w:rPr>
        <w:rFonts w:ascii="Arial" w:hAnsi="Arial" w:cs="Arial"/>
        <w:b/>
        <w:sz w:val="22"/>
        <w:szCs w:val="22"/>
      </w:rPr>
      <w:t>17 juin</w:t>
    </w:r>
    <w:r w:rsidR="00BB633D">
      <w:rPr>
        <w:rFonts w:ascii="Arial" w:hAnsi="Arial" w:cs="Arial"/>
        <w:b/>
        <w:sz w:val="22"/>
        <w:szCs w:val="22"/>
      </w:rPr>
      <w:t xml:space="preserve"> 2016</w:t>
    </w:r>
  </w:p>
  <w:p w:rsidR="00880142" w:rsidRPr="00FF01F1" w:rsidRDefault="00880142" w:rsidP="003E2A08">
    <w:pPr>
      <w:jc w:val="right"/>
      <w:rPr>
        <w:rFonts w:ascii="Arial" w:hAnsi="Arial" w:cs="Arial"/>
        <w:b/>
        <w:sz w:val="22"/>
        <w:szCs w:val="22"/>
      </w:rPr>
    </w:pPr>
    <w:r w:rsidRPr="00FF01F1">
      <w:rPr>
        <w:rFonts w:ascii="Arial" w:hAnsi="Arial" w:cs="Arial"/>
        <w:b/>
        <w:sz w:val="22"/>
        <w:szCs w:val="22"/>
      </w:rPr>
      <w:t>Original : anglais/français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8455C"/>
    <w:multiLevelType w:val="hybridMultilevel"/>
    <w:tmpl w:val="3B3CD1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2B62BB"/>
    <w:multiLevelType w:val="hybridMultilevel"/>
    <w:tmpl w:val="AF4A4A54"/>
    <w:lvl w:ilvl="0" w:tplc="10E0E66E">
      <w:start w:val="1"/>
      <w:numFmt w:val="decimal"/>
      <w:lvlText w:val="%1."/>
      <w:lvlJc w:val="left"/>
      <w:pPr>
        <w:ind w:left="1070" w:hanging="360"/>
      </w:pPr>
      <w:rPr>
        <w:rFonts w:hint="default"/>
        <w:b w:val="0"/>
        <w:lang w:val="fr-FR"/>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6551983"/>
    <w:multiLevelType w:val="hybridMultilevel"/>
    <w:tmpl w:val="84448370"/>
    <w:lvl w:ilvl="0" w:tplc="0409000F">
      <w:start w:val="1"/>
      <w:numFmt w:val="decimal"/>
      <w:lvlText w:val="%1."/>
      <w:lvlJc w:val="left"/>
      <w:pPr>
        <w:ind w:left="92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15:restartNumberingAfterBreak="0">
    <w:nsid w:val="0B5902D6"/>
    <w:multiLevelType w:val="hybridMultilevel"/>
    <w:tmpl w:val="40126DAC"/>
    <w:lvl w:ilvl="0" w:tplc="C02E1EB6">
      <w:start w:val="1"/>
      <w:numFmt w:val="decimal"/>
      <w:lvlText w:val="%1."/>
      <w:lvlJc w:val="left"/>
      <w:pPr>
        <w:ind w:left="928" w:hanging="360"/>
      </w:pPr>
      <w:rPr>
        <w:rFonts w:hint="default"/>
        <w:b w:val="0"/>
        <w:lang w:val="fr-FR"/>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6" w15:restartNumberingAfterBreak="0">
    <w:nsid w:val="1D7D728D"/>
    <w:multiLevelType w:val="hybridMultilevel"/>
    <w:tmpl w:val="2102979A"/>
    <w:lvl w:ilvl="0" w:tplc="F48C4D34">
      <w:start w:val="1"/>
      <w:numFmt w:val="decimal"/>
      <w:pStyle w:val="5GAparabodytext"/>
      <w:lvlText w:val="%1."/>
      <w:lvlJc w:val="left"/>
      <w:pPr>
        <w:ind w:left="720" w:hanging="360"/>
      </w:pPr>
    </w:lvl>
    <w:lvl w:ilvl="1" w:tplc="57388994" w:tentative="1">
      <w:start w:val="1"/>
      <w:numFmt w:val="lowerLetter"/>
      <w:lvlText w:val="%2."/>
      <w:lvlJc w:val="left"/>
      <w:pPr>
        <w:ind w:left="1440" w:hanging="360"/>
      </w:pPr>
    </w:lvl>
    <w:lvl w:ilvl="2" w:tplc="6F4C3284" w:tentative="1">
      <w:start w:val="1"/>
      <w:numFmt w:val="lowerRoman"/>
      <w:lvlText w:val="%3."/>
      <w:lvlJc w:val="right"/>
      <w:pPr>
        <w:ind w:left="2160" w:hanging="180"/>
      </w:pPr>
    </w:lvl>
    <w:lvl w:ilvl="3" w:tplc="4A2CF920" w:tentative="1">
      <w:start w:val="1"/>
      <w:numFmt w:val="decimal"/>
      <w:lvlText w:val="%4."/>
      <w:lvlJc w:val="left"/>
      <w:pPr>
        <w:ind w:left="2880" w:hanging="360"/>
      </w:pPr>
    </w:lvl>
    <w:lvl w:ilvl="4" w:tplc="ED7E8FB0" w:tentative="1">
      <w:start w:val="1"/>
      <w:numFmt w:val="lowerLetter"/>
      <w:lvlText w:val="%5."/>
      <w:lvlJc w:val="left"/>
      <w:pPr>
        <w:ind w:left="3600" w:hanging="360"/>
      </w:pPr>
    </w:lvl>
    <w:lvl w:ilvl="5" w:tplc="BADC1196" w:tentative="1">
      <w:start w:val="1"/>
      <w:numFmt w:val="lowerRoman"/>
      <w:lvlText w:val="%6."/>
      <w:lvlJc w:val="right"/>
      <w:pPr>
        <w:ind w:left="4320" w:hanging="180"/>
      </w:pPr>
    </w:lvl>
    <w:lvl w:ilvl="6" w:tplc="1F406640" w:tentative="1">
      <w:start w:val="1"/>
      <w:numFmt w:val="decimal"/>
      <w:lvlText w:val="%7."/>
      <w:lvlJc w:val="left"/>
      <w:pPr>
        <w:ind w:left="5040" w:hanging="360"/>
      </w:pPr>
    </w:lvl>
    <w:lvl w:ilvl="7" w:tplc="219CD41E" w:tentative="1">
      <w:start w:val="1"/>
      <w:numFmt w:val="lowerLetter"/>
      <w:lvlText w:val="%8."/>
      <w:lvlJc w:val="left"/>
      <w:pPr>
        <w:ind w:left="5760" w:hanging="360"/>
      </w:pPr>
    </w:lvl>
    <w:lvl w:ilvl="8" w:tplc="2F1A577C" w:tentative="1">
      <w:start w:val="1"/>
      <w:numFmt w:val="lowerRoman"/>
      <w:lvlText w:val="%9."/>
      <w:lvlJc w:val="right"/>
      <w:pPr>
        <w:ind w:left="6480" w:hanging="180"/>
      </w:pPr>
    </w:lvl>
  </w:abstractNum>
  <w:abstractNum w:abstractNumId="7"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1781FBB"/>
    <w:multiLevelType w:val="hybridMultilevel"/>
    <w:tmpl w:val="BE102030"/>
    <w:lvl w:ilvl="0" w:tplc="2D96210A">
      <w:start w:val="7"/>
      <w:numFmt w:val="decimal"/>
      <w:lvlText w:val="%1."/>
      <w:lvlJc w:val="left"/>
      <w:pPr>
        <w:ind w:left="128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9" w15:restartNumberingAfterBreak="0">
    <w:nsid w:val="23342C71"/>
    <w:multiLevelType w:val="hybridMultilevel"/>
    <w:tmpl w:val="835ABCCE"/>
    <w:lvl w:ilvl="0" w:tplc="1832A8A6">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0" w15:restartNumberingAfterBreak="0">
    <w:nsid w:val="26BF2D02"/>
    <w:multiLevelType w:val="hybridMultilevel"/>
    <w:tmpl w:val="A17E05EC"/>
    <w:lvl w:ilvl="0" w:tplc="968AB60A">
      <w:start w:val="1"/>
      <w:numFmt w:val="bullet"/>
      <w:lvlText w:val=""/>
      <w:lvlJc w:val="left"/>
      <w:pPr>
        <w:ind w:left="927" w:hanging="360"/>
      </w:pPr>
      <w:rPr>
        <w:rFonts w:ascii="Symbol" w:hAnsi="Symbol" w:hint="default"/>
        <w:b w:val="0"/>
        <w:lang w:val="fr-FR"/>
      </w:rPr>
    </w:lvl>
    <w:lvl w:ilvl="1" w:tplc="040C0019">
      <w:start w:val="1"/>
      <w:numFmt w:val="lowerLetter"/>
      <w:lvlText w:val="%2."/>
      <w:lvlJc w:val="left"/>
      <w:pPr>
        <w:ind w:left="1647" w:hanging="360"/>
      </w:pPr>
    </w:lvl>
    <w:lvl w:ilvl="2" w:tplc="040C001B">
      <w:start w:val="1"/>
      <w:numFmt w:val="lowerRoman"/>
      <w:lvlText w:val="%3."/>
      <w:lvlJc w:val="right"/>
      <w:pPr>
        <w:ind w:left="2367" w:hanging="180"/>
      </w:pPr>
    </w:lvl>
    <w:lvl w:ilvl="3" w:tplc="040C000F">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1" w15:restartNumberingAfterBreak="0">
    <w:nsid w:val="26F960B4"/>
    <w:multiLevelType w:val="hybridMultilevel"/>
    <w:tmpl w:val="1E3EB40E"/>
    <w:lvl w:ilvl="0" w:tplc="FD368BB8">
      <w:start w:val="1"/>
      <w:numFmt w:val="bullet"/>
      <w:lvlText w:val=""/>
      <w:lvlJc w:val="left"/>
      <w:pPr>
        <w:ind w:left="720" w:hanging="360"/>
      </w:pPr>
      <w:rPr>
        <w:rFonts w:ascii="Symbol" w:hAnsi="Symbol" w:hint="default"/>
        <w:lang w:val="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44E47B5"/>
    <w:multiLevelType w:val="hybridMultilevel"/>
    <w:tmpl w:val="68FE4832"/>
    <w:lvl w:ilvl="0" w:tplc="1BC24516">
      <w:start w:val="1"/>
      <w:numFmt w:val="upperRoman"/>
      <w:pStyle w:val="Heading4"/>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5F07BFE"/>
    <w:multiLevelType w:val="hybridMultilevel"/>
    <w:tmpl w:val="A48E5304"/>
    <w:lvl w:ilvl="0" w:tplc="4B3A4790">
      <w:start w:val="1"/>
      <w:numFmt w:val="decimal"/>
      <w:pStyle w:val="COMParabodytext"/>
      <w:lvlText w:val="%1."/>
      <w:lvlJc w:val="left"/>
      <w:pPr>
        <w:ind w:left="720" w:hanging="360"/>
      </w:pPr>
      <w:rPr>
        <w:lang w:val="fr-FR"/>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5" w15:restartNumberingAfterBreak="0">
    <w:nsid w:val="397A4DB1"/>
    <w:multiLevelType w:val="hybridMultilevel"/>
    <w:tmpl w:val="41360434"/>
    <w:lvl w:ilvl="0" w:tplc="B35A244C">
      <w:start w:val="1"/>
      <w:numFmt w:val="decimal"/>
      <w:pStyle w:val="COMParaDecision"/>
      <w:lvlText w:val="%1."/>
      <w:lvlJc w:val="left"/>
      <w:pPr>
        <w:ind w:left="927" w:hanging="360"/>
      </w:p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6" w15:restartNumberingAfterBreak="0">
    <w:nsid w:val="3A2B464A"/>
    <w:multiLevelType w:val="hybridMultilevel"/>
    <w:tmpl w:val="84448370"/>
    <w:lvl w:ilvl="0" w:tplc="0409000F">
      <w:start w:val="1"/>
      <w:numFmt w:val="decimal"/>
      <w:lvlText w:val="%1."/>
      <w:lvlJc w:val="left"/>
      <w:pPr>
        <w:ind w:left="92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7"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8" w15:restartNumberingAfterBreak="0">
    <w:nsid w:val="47A13562"/>
    <w:multiLevelType w:val="hybridMultilevel"/>
    <w:tmpl w:val="8D4E94E0"/>
    <w:lvl w:ilvl="0" w:tplc="16D41E7A">
      <w:start w:val="1"/>
      <w:numFmt w:val="decimal"/>
      <w:lvlText w:val="%1."/>
      <w:lvlJc w:val="left"/>
      <w:pPr>
        <w:ind w:left="90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3676892"/>
    <w:multiLevelType w:val="hybridMultilevel"/>
    <w:tmpl w:val="D2C6A28A"/>
    <w:lvl w:ilvl="0" w:tplc="D1D0C9D2">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0" w15:restartNumberingAfterBreak="0">
    <w:nsid w:val="5D8B77A0"/>
    <w:multiLevelType w:val="hybridMultilevel"/>
    <w:tmpl w:val="9AC4E7AA"/>
    <w:lvl w:ilvl="0" w:tplc="16D41E7A">
      <w:start w:val="1"/>
      <w:numFmt w:val="decimal"/>
      <w:lvlText w:val="%1."/>
      <w:lvlJc w:val="left"/>
      <w:pPr>
        <w:ind w:left="900" w:hanging="360"/>
      </w:pPr>
      <w:rPr>
        <w:rFonts w:hint="default"/>
      </w:rPr>
    </w:lvl>
    <w:lvl w:ilvl="1" w:tplc="040C0019" w:tentative="1">
      <w:start w:val="1"/>
      <w:numFmt w:val="lowerLetter"/>
      <w:lvlText w:val="%2."/>
      <w:lvlJc w:val="left"/>
      <w:pPr>
        <w:ind w:left="1620" w:hanging="360"/>
      </w:pPr>
    </w:lvl>
    <w:lvl w:ilvl="2" w:tplc="040C001B" w:tentative="1">
      <w:start w:val="1"/>
      <w:numFmt w:val="lowerRoman"/>
      <w:lvlText w:val="%3."/>
      <w:lvlJc w:val="right"/>
      <w:pPr>
        <w:ind w:left="2340" w:hanging="180"/>
      </w:pPr>
    </w:lvl>
    <w:lvl w:ilvl="3" w:tplc="040C000F" w:tentative="1">
      <w:start w:val="1"/>
      <w:numFmt w:val="decimal"/>
      <w:lvlText w:val="%4."/>
      <w:lvlJc w:val="left"/>
      <w:pPr>
        <w:ind w:left="3060" w:hanging="360"/>
      </w:pPr>
    </w:lvl>
    <w:lvl w:ilvl="4" w:tplc="040C0019" w:tentative="1">
      <w:start w:val="1"/>
      <w:numFmt w:val="lowerLetter"/>
      <w:lvlText w:val="%5."/>
      <w:lvlJc w:val="left"/>
      <w:pPr>
        <w:ind w:left="3780" w:hanging="360"/>
      </w:pPr>
    </w:lvl>
    <w:lvl w:ilvl="5" w:tplc="040C001B" w:tentative="1">
      <w:start w:val="1"/>
      <w:numFmt w:val="lowerRoman"/>
      <w:lvlText w:val="%6."/>
      <w:lvlJc w:val="right"/>
      <w:pPr>
        <w:ind w:left="4500" w:hanging="180"/>
      </w:pPr>
    </w:lvl>
    <w:lvl w:ilvl="6" w:tplc="040C000F" w:tentative="1">
      <w:start w:val="1"/>
      <w:numFmt w:val="decimal"/>
      <w:lvlText w:val="%7."/>
      <w:lvlJc w:val="left"/>
      <w:pPr>
        <w:ind w:left="5220" w:hanging="360"/>
      </w:pPr>
    </w:lvl>
    <w:lvl w:ilvl="7" w:tplc="040C0019" w:tentative="1">
      <w:start w:val="1"/>
      <w:numFmt w:val="lowerLetter"/>
      <w:lvlText w:val="%8."/>
      <w:lvlJc w:val="left"/>
      <w:pPr>
        <w:ind w:left="5940" w:hanging="360"/>
      </w:pPr>
    </w:lvl>
    <w:lvl w:ilvl="8" w:tplc="040C001B" w:tentative="1">
      <w:start w:val="1"/>
      <w:numFmt w:val="lowerRoman"/>
      <w:lvlText w:val="%9."/>
      <w:lvlJc w:val="right"/>
      <w:pPr>
        <w:ind w:left="6660" w:hanging="180"/>
      </w:pPr>
    </w:lvl>
  </w:abstractNum>
  <w:abstractNum w:abstractNumId="21"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22" w15:restartNumberingAfterBreak="0">
    <w:nsid w:val="5ED01A0A"/>
    <w:multiLevelType w:val="hybridMultilevel"/>
    <w:tmpl w:val="03CAD052"/>
    <w:lvl w:ilvl="0" w:tplc="C81ED8EA">
      <w:start w:val="1"/>
      <w:numFmt w:val="upperLetter"/>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E8120B4"/>
    <w:multiLevelType w:val="hybridMultilevel"/>
    <w:tmpl w:val="1966DD76"/>
    <w:lvl w:ilvl="0" w:tplc="AD0E9A7C">
      <w:start w:val="1"/>
      <w:numFmt w:val="decimal"/>
      <w:lvlText w:val="%1."/>
      <w:lvlJc w:val="left"/>
      <w:pPr>
        <w:ind w:left="1070" w:hanging="360"/>
      </w:pPr>
      <w:rPr>
        <w:rFonts w:ascii="Arial" w:hAnsi="Arial" w:hint="default"/>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37765A9"/>
    <w:multiLevelType w:val="hybridMultilevel"/>
    <w:tmpl w:val="99E092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D6260B9"/>
    <w:multiLevelType w:val="hybridMultilevel"/>
    <w:tmpl w:val="E85CBBD0"/>
    <w:lvl w:ilvl="0" w:tplc="42E600FC">
      <w:start w:val="1"/>
      <w:numFmt w:val="bullet"/>
      <w:lvlText w:val=""/>
      <w:lvlJc w:val="left"/>
      <w:pPr>
        <w:ind w:left="927" w:hanging="360"/>
      </w:pPr>
      <w:rPr>
        <w:rFonts w:ascii="Symbol" w:hAnsi="Symbol" w:hint="default"/>
        <w:b w:val="0"/>
      </w:rPr>
    </w:lvl>
    <w:lvl w:ilvl="1" w:tplc="040C0019">
      <w:start w:val="1"/>
      <w:numFmt w:val="lowerLetter"/>
      <w:lvlText w:val="%2."/>
      <w:lvlJc w:val="left"/>
      <w:pPr>
        <w:ind w:left="1647" w:hanging="360"/>
      </w:pPr>
    </w:lvl>
    <w:lvl w:ilvl="2" w:tplc="040C001B">
      <w:start w:val="1"/>
      <w:numFmt w:val="lowerRoman"/>
      <w:lvlText w:val="%3."/>
      <w:lvlJc w:val="right"/>
      <w:pPr>
        <w:ind w:left="2367" w:hanging="180"/>
      </w:pPr>
    </w:lvl>
    <w:lvl w:ilvl="3" w:tplc="040C000F">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num w:numId="1">
    <w:abstractNumId w:val="21"/>
  </w:num>
  <w:num w:numId="2">
    <w:abstractNumId w:val="14"/>
  </w:num>
  <w:num w:numId="3">
    <w:abstractNumId w:val="5"/>
  </w:num>
  <w:num w:numId="4">
    <w:abstractNumId w:val="26"/>
  </w:num>
  <w:num w:numId="5">
    <w:abstractNumId w:val="23"/>
  </w:num>
  <w:num w:numId="6">
    <w:abstractNumId w:val="4"/>
  </w:num>
  <w:num w:numId="7">
    <w:abstractNumId w:val="7"/>
  </w:num>
  <w:num w:numId="8">
    <w:abstractNumId w:val="17"/>
  </w:num>
  <w:num w:numId="9">
    <w:abstractNumId w:val="13"/>
  </w:num>
  <w:num w:numId="10">
    <w:abstractNumId w:val="15"/>
  </w:num>
  <w:num w:numId="11">
    <w:abstractNumId w:val="12"/>
  </w:num>
  <w:num w:numId="12">
    <w:abstractNumId w:val="9"/>
  </w:num>
  <w:num w:numId="13">
    <w:abstractNumId w:val="27"/>
  </w:num>
  <w:num w:numId="14">
    <w:abstractNumId w:val="0"/>
  </w:num>
  <w:num w:numId="15">
    <w:abstractNumId w:val="19"/>
  </w:num>
  <w:num w:numId="16">
    <w:abstractNumId w:val="10"/>
  </w:num>
  <w:num w:numId="17">
    <w:abstractNumId w:val="22"/>
  </w:num>
  <w:num w:numId="18">
    <w:abstractNumId w:val="3"/>
  </w:num>
  <w:num w:numId="19">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5"/>
    <w:lvlOverride w:ilvl="0">
      <w:startOverride w:val="1"/>
    </w:lvlOverride>
  </w:num>
  <w:num w:numId="22">
    <w:abstractNumId w:val="20"/>
  </w:num>
  <w:num w:numId="23">
    <w:abstractNumId w:val="18"/>
  </w:num>
  <w:num w:numId="24">
    <w:abstractNumId w:val="16"/>
  </w:num>
  <w:num w:numId="25">
    <w:abstractNumId w:val="2"/>
  </w:num>
  <w:num w:numId="26">
    <w:abstractNumId w:val="24"/>
  </w:num>
  <w:num w:numId="27">
    <w:abstractNumId w:val="6"/>
  </w:num>
  <w:num w:numId="28">
    <w:abstractNumId w:val="11"/>
  </w:num>
  <w:num w:numId="29">
    <w:abstractNumId w:val="25"/>
  </w:num>
  <w:num w:numId="30">
    <w:abstractNumId w:val="15"/>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9"/>
  <w:hyphenationZone w:val="425"/>
  <w:evenAndOddHeaders/>
  <w:characterSpacingControl w:val="doNotCompress"/>
  <w:hdrShapeDefaults>
    <o:shapedefaults v:ext="edit" spidmax="71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FFC"/>
    <w:rsid w:val="00020BFC"/>
    <w:rsid w:val="00022428"/>
    <w:rsid w:val="000263BA"/>
    <w:rsid w:val="0003530D"/>
    <w:rsid w:val="00044AD2"/>
    <w:rsid w:val="0005176E"/>
    <w:rsid w:val="00053680"/>
    <w:rsid w:val="00063CE9"/>
    <w:rsid w:val="000670F8"/>
    <w:rsid w:val="00077AB7"/>
    <w:rsid w:val="00080E87"/>
    <w:rsid w:val="00081CD8"/>
    <w:rsid w:val="0008329C"/>
    <w:rsid w:val="000932C3"/>
    <w:rsid w:val="000A7F0E"/>
    <w:rsid w:val="000D1051"/>
    <w:rsid w:val="000E6CD7"/>
    <w:rsid w:val="000F3A3F"/>
    <w:rsid w:val="000F6086"/>
    <w:rsid w:val="00137F77"/>
    <w:rsid w:val="0014715D"/>
    <w:rsid w:val="00153845"/>
    <w:rsid w:val="00155D13"/>
    <w:rsid w:val="00164D56"/>
    <w:rsid w:val="00165170"/>
    <w:rsid w:val="00167B10"/>
    <w:rsid w:val="001772E0"/>
    <w:rsid w:val="0019264E"/>
    <w:rsid w:val="0019489C"/>
    <w:rsid w:val="00196C1B"/>
    <w:rsid w:val="001A766C"/>
    <w:rsid w:val="001B0F73"/>
    <w:rsid w:val="001B612C"/>
    <w:rsid w:val="001C157B"/>
    <w:rsid w:val="001C2B2E"/>
    <w:rsid w:val="001C459B"/>
    <w:rsid w:val="001C6DC4"/>
    <w:rsid w:val="001D2972"/>
    <w:rsid w:val="0020150F"/>
    <w:rsid w:val="002219DF"/>
    <w:rsid w:val="00222966"/>
    <w:rsid w:val="00222A2D"/>
    <w:rsid w:val="002407AF"/>
    <w:rsid w:val="00240F2C"/>
    <w:rsid w:val="00280D62"/>
    <w:rsid w:val="002A6C11"/>
    <w:rsid w:val="002A6F73"/>
    <w:rsid w:val="002C0D14"/>
    <w:rsid w:val="002C0D2D"/>
    <w:rsid w:val="002E3D25"/>
    <w:rsid w:val="002E58D4"/>
    <w:rsid w:val="002F242A"/>
    <w:rsid w:val="002F7FD7"/>
    <w:rsid w:val="0030706F"/>
    <w:rsid w:val="00322A06"/>
    <w:rsid w:val="00356CAA"/>
    <w:rsid w:val="00366F18"/>
    <w:rsid w:val="003845BE"/>
    <w:rsid w:val="00387719"/>
    <w:rsid w:val="003A175D"/>
    <w:rsid w:val="003A7CD2"/>
    <w:rsid w:val="003B5490"/>
    <w:rsid w:val="003C1678"/>
    <w:rsid w:val="003C78AF"/>
    <w:rsid w:val="003D069C"/>
    <w:rsid w:val="003E07D8"/>
    <w:rsid w:val="003E218C"/>
    <w:rsid w:val="003E2A08"/>
    <w:rsid w:val="003F113A"/>
    <w:rsid w:val="003F6CF1"/>
    <w:rsid w:val="004239C7"/>
    <w:rsid w:val="00430200"/>
    <w:rsid w:val="00440F9B"/>
    <w:rsid w:val="004421E5"/>
    <w:rsid w:val="00443880"/>
    <w:rsid w:val="00452284"/>
    <w:rsid w:val="00453472"/>
    <w:rsid w:val="004544F9"/>
    <w:rsid w:val="004624CA"/>
    <w:rsid w:val="004846FE"/>
    <w:rsid w:val="00486948"/>
    <w:rsid w:val="00486AC6"/>
    <w:rsid w:val="00491A7E"/>
    <w:rsid w:val="00491D70"/>
    <w:rsid w:val="0049705E"/>
    <w:rsid w:val="00497829"/>
    <w:rsid w:val="004A6925"/>
    <w:rsid w:val="004A6C72"/>
    <w:rsid w:val="004C0967"/>
    <w:rsid w:val="004C3F3E"/>
    <w:rsid w:val="004D7F87"/>
    <w:rsid w:val="004E63BF"/>
    <w:rsid w:val="005152DE"/>
    <w:rsid w:val="005236A7"/>
    <w:rsid w:val="00526B7B"/>
    <w:rsid w:val="005308CE"/>
    <w:rsid w:val="00550D94"/>
    <w:rsid w:val="0056060F"/>
    <w:rsid w:val="005620E2"/>
    <w:rsid w:val="005664F8"/>
    <w:rsid w:val="0057439C"/>
    <w:rsid w:val="00580F3E"/>
    <w:rsid w:val="00582435"/>
    <w:rsid w:val="005A1EF7"/>
    <w:rsid w:val="005B0127"/>
    <w:rsid w:val="005C094D"/>
    <w:rsid w:val="005C4B73"/>
    <w:rsid w:val="005D7581"/>
    <w:rsid w:val="005F0ECE"/>
    <w:rsid w:val="005F1DA1"/>
    <w:rsid w:val="00600D93"/>
    <w:rsid w:val="00615C3C"/>
    <w:rsid w:val="00624E06"/>
    <w:rsid w:val="00627C5C"/>
    <w:rsid w:val="006344DC"/>
    <w:rsid w:val="00635F5A"/>
    <w:rsid w:val="006476A3"/>
    <w:rsid w:val="00655736"/>
    <w:rsid w:val="006573F7"/>
    <w:rsid w:val="0066364F"/>
    <w:rsid w:val="00663B8D"/>
    <w:rsid w:val="00687F24"/>
    <w:rsid w:val="006923BD"/>
    <w:rsid w:val="00692AEF"/>
    <w:rsid w:val="00696C8D"/>
    <w:rsid w:val="006A24CC"/>
    <w:rsid w:val="006A2AC2"/>
    <w:rsid w:val="006A3617"/>
    <w:rsid w:val="006B5001"/>
    <w:rsid w:val="006D21D9"/>
    <w:rsid w:val="006D2536"/>
    <w:rsid w:val="006E46E4"/>
    <w:rsid w:val="006F4DA6"/>
    <w:rsid w:val="00707B1E"/>
    <w:rsid w:val="00717DBD"/>
    <w:rsid w:val="00761349"/>
    <w:rsid w:val="00762C24"/>
    <w:rsid w:val="00764CF9"/>
    <w:rsid w:val="00780D14"/>
    <w:rsid w:val="00784B8C"/>
    <w:rsid w:val="00802676"/>
    <w:rsid w:val="008055DE"/>
    <w:rsid w:val="008064F0"/>
    <w:rsid w:val="008237A0"/>
    <w:rsid w:val="00823A11"/>
    <w:rsid w:val="00824EF7"/>
    <w:rsid w:val="00844105"/>
    <w:rsid w:val="0085414A"/>
    <w:rsid w:val="00860DEB"/>
    <w:rsid w:val="0086269D"/>
    <w:rsid w:val="00863302"/>
    <w:rsid w:val="008637F6"/>
    <w:rsid w:val="008712A2"/>
    <w:rsid w:val="00871C8F"/>
    <w:rsid w:val="008724E5"/>
    <w:rsid w:val="0087756E"/>
    <w:rsid w:val="00880142"/>
    <w:rsid w:val="00884A9D"/>
    <w:rsid w:val="008A4E1E"/>
    <w:rsid w:val="008C09BF"/>
    <w:rsid w:val="008C296C"/>
    <w:rsid w:val="008D2FD1"/>
    <w:rsid w:val="008D3134"/>
    <w:rsid w:val="008D4305"/>
    <w:rsid w:val="008E5043"/>
    <w:rsid w:val="008F3CE1"/>
    <w:rsid w:val="00913D86"/>
    <w:rsid w:val="009163A7"/>
    <w:rsid w:val="00922E3E"/>
    <w:rsid w:val="00933C6B"/>
    <w:rsid w:val="00950F68"/>
    <w:rsid w:val="009523C1"/>
    <w:rsid w:val="0095371E"/>
    <w:rsid w:val="00962119"/>
    <w:rsid w:val="009712A4"/>
    <w:rsid w:val="00974249"/>
    <w:rsid w:val="009A0697"/>
    <w:rsid w:val="009A18CD"/>
    <w:rsid w:val="009B4755"/>
    <w:rsid w:val="009D3549"/>
    <w:rsid w:val="009E1B50"/>
    <w:rsid w:val="009F17B5"/>
    <w:rsid w:val="00A078D6"/>
    <w:rsid w:val="00A12558"/>
    <w:rsid w:val="00A13903"/>
    <w:rsid w:val="00A32E09"/>
    <w:rsid w:val="00A34ED5"/>
    <w:rsid w:val="00A443A6"/>
    <w:rsid w:val="00A45DBF"/>
    <w:rsid w:val="00A46E36"/>
    <w:rsid w:val="00A600BA"/>
    <w:rsid w:val="00A61C6E"/>
    <w:rsid w:val="00A755A2"/>
    <w:rsid w:val="00A8458C"/>
    <w:rsid w:val="00A903CF"/>
    <w:rsid w:val="00A90761"/>
    <w:rsid w:val="00A91141"/>
    <w:rsid w:val="00A93AE4"/>
    <w:rsid w:val="00A976DC"/>
    <w:rsid w:val="00AA6E05"/>
    <w:rsid w:val="00AA7D32"/>
    <w:rsid w:val="00AB2C36"/>
    <w:rsid w:val="00AB537D"/>
    <w:rsid w:val="00AC230B"/>
    <w:rsid w:val="00AD1A86"/>
    <w:rsid w:val="00AE103E"/>
    <w:rsid w:val="00AE6A61"/>
    <w:rsid w:val="00AF0A07"/>
    <w:rsid w:val="00AF5AE5"/>
    <w:rsid w:val="00AF625E"/>
    <w:rsid w:val="00AF721B"/>
    <w:rsid w:val="00B03E71"/>
    <w:rsid w:val="00B152B1"/>
    <w:rsid w:val="00B216FE"/>
    <w:rsid w:val="00B2299B"/>
    <w:rsid w:val="00B43004"/>
    <w:rsid w:val="00B43974"/>
    <w:rsid w:val="00B653B0"/>
    <w:rsid w:val="00B71C2E"/>
    <w:rsid w:val="00B80A05"/>
    <w:rsid w:val="00B90701"/>
    <w:rsid w:val="00BB633D"/>
    <w:rsid w:val="00BB79A0"/>
    <w:rsid w:val="00BC0335"/>
    <w:rsid w:val="00BC3420"/>
    <w:rsid w:val="00BD52C9"/>
    <w:rsid w:val="00BE2BE9"/>
    <w:rsid w:val="00BE6354"/>
    <w:rsid w:val="00C10211"/>
    <w:rsid w:val="00C15249"/>
    <w:rsid w:val="00C22C21"/>
    <w:rsid w:val="00C279FB"/>
    <w:rsid w:val="00C358C4"/>
    <w:rsid w:val="00C377F5"/>
    <w:rsid w:val="00C460A3"/>
    <w:rsid w:val="00C51625"/>
    <w:rsid w:val="00C57AA0"/>
    <w:rsid w:val="00C70EA7"/>
    <w:rsid w:val="00C748CE"/>
    <w:rsid w:val="00C7516E"/>
    <w:rsid w:val="00C77FB5"/>
    <w:rsid w:val="00C802B0"/>
    <w:rsid w:val="00C96DD2"/>
    <w:rsid w:val="00CB4FB0"/>
    <w:rsid w:val="00CB66E1"/>
    <w:rsid w:val="00CC69D3"/>
    <w:rsid w:val="00D24877"/>
    <w:rsid w:val="00D3492D"/>
    <w:rsid w:val="00D40EFD"/>
    <w:rsid w:val="00D45AF2"/>
    <w:rsid w:val="00D524B9"/>
    <w:rsid w:val="00D6334C"/>
    <w:rsid w:val="00D75D42"/>
    <w:rsid w:val="00D94C2F"/>
    <w:rsid w:val="00DA36ED"/>
    <w:rsid w:val="00DB4A84"/>
    <w:rsid w:val="00DB7718"/>
    <w:rsid w:val="00DC7FFC"/>
    <w:rsid w:val="00DD2024"/>
    <w:rsid w:val="00DE34F1"/>
    <w:rsid w:val="00DF2185"/>
    <w:rsid w:val="00DF4942"/>
    <w:rsid w:val="00E114B7"/>
    <w:rsid w:val="00E11759"/>
    <w:rsid w:val="00E22288"/>
    <w:rsid w:val="00E32407"/>
    <w:rsid w:val="00E37836"/>
    <w:rsid w:val="00E531B4"/>
    <w:rsid w:val="00E627B1"/>
    <w:rsid w:val="00E62B4C"/>
    <w:rsid w:val="00E80CE1"/>
    <w:rsid w:val="00E81FA1"/>
    <w:rsid w:val="00E84C78"/>
    <w:rsid w:val="00E9376C"/>
    <w:rsid w:val="00ED7659"/>
    <w:rsid w:val="00F02EA8"/>
    <w:rsid w:val="00F06974"/>
    <w:rsid w:val="00F134B7"/>
    <w:rsid w:val="00F26FD6"/>
    <w:rsid w:val="00F36C16"/>
    <w:rsid w:val="00F576CB"/>
    <w:rsid w:val="00F73752"/>
    <w:rsid w:val="00F947DB"/>
    <w:rsid w:val="00FC2940"/>
    <w:rsid w:val="00FC4715"/>
    <w:rsid w:val="00FD1226"/>
    <w:rsid w:val="00FE5D46"/>
    <w:rsid w:val="00FF01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docId w15:val="{EC961E60-5712-4536-9583-565ABD23E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1">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C3420"/>
    <w:rPr>
      <w:rFonts w:ascii="Times New Roman" w:eastAsia="Times New Roman" w:hAnsi="Times New Roman"/>
      <w:sz w:val="24"/>
      <w:szCs w:val="24"/>
    </w:rPr>
  </w:style>
  <w:style w:type="paragraph" w:styleId="Heading1">
    <w:name w:val="heading 1"/>
    <w:basedOn w:val="Normal"/>
    <w:next w:val="Normal"/>
    <w:link w:val="Heading1Char"/>
    <w:uiPriority w:val="9"/>
    <w:rsid w:val="006F4DA6"/>
    <w:pPr>
      <w:keepNext/>
      <w:keepLines/>
      <w:spacing w:before="480"/>
      <w:outlineLvl w:val="0"/>
    </w:pPr>
    <w:rPr>
      <w:rFonts w:ascii="Cambria" w:eastAsia="SimSun" w:hAnsi="Cambria"/>
      <w:b/>
      <w:bCs/>
      <w:color w:val="365F91"/>
      <w:sz w:val="28"/>
      <w:szCs w:val="28"/>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2E58D4"/>
    <w:pPr>
      <w:keepNext/>
      <w:numPr>
        <w:numId w:val="11"/>
      </w:numPr>
      <w:spacing w:before="360" w:after="240"/>
      <w:ind w:hanging="720"/>
      <w:contextualSpacing/>
      <w:outlineLvl w:val="3"/>
    </w:pPr>
    <w:rPr>
      <w:rFonts w:ascii="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qFormat/>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2E58D4"/>
    <w:rPr>
      <w:rFonts w:ascii="Arial" w:eastAsia="Times New Roman" w:hAnsi="Arial" w:cs="Arial"/>
      <w:b/>
      <w:sz w:val="22"/>
      <w:szCs w:val="22"/>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qFormat/>
    <w:rsid w:val="0057439C"/>
    <w:rPr>
      <w:rFonts w:ascii="Times New Roman" w:eastAsia="Times New Roman" w:hAnsi="Times New Roman"/>
      <w:sz w:val="24"/>
      <w:szCs w:val="24"/>
    </w:rPr>
  </w:style>
  <w:style w:type="paragraph" w:customStyle="1" w:styleId="COMParabodytext">
    <w:name w:val="COM Para body text"/>
    <w:basedOn w:val="Marge"/>
    <w:qFormat/>
    <w:rsid w:val="001A766C"/>
    <w:pPr>
      <w:numPr>
        <w:numId w:val="9"/>
      </w:numPr>
      <w:spacing w:after="120"/>
      <w:ind w:left="567" w:hanging="567"/>
    </w:pPr>
    <w:rPr>
      <w:rFonts w:cs="Arial"/>
      <w:szCs w:val="22"/>
      <w:lang w:val="en-US"/>
    </w:rPr>
  </w:style>
  <w:style w:type="paragraph" w:customStyle="1" w:styleId="GATitleResolution">
    <w:name w:val="GA Title Resolution"/>
    <w:basedOn w:val="Marge"/>
    <w:qFormat/>
    <w:rsid w:val="009E1B50"/>
    <w:pPr>
      <w:keepNext/>
      <w:spacing w:before="240" w:after="120"/>
      <w:ind w:left="567"/>
    </w:pPr>
    <w:rPr>
      <w:rFonts w:eastAsia="SimSun" w:cs="Arial"/>
      <w:b/>
      <w:caps/>
      <w:szCs w:val="22"/>
    </w:rPr>
  </w:style>
  <w:style w:type="paragraph" w:customStyle="1" w:styleId="COMPreambulaDecision">
    <w:name w:val="COM Preambula Decision"/>
    <w:basedOn w:val="Marge"/>
    <w:qFormat/>
    <w:rsid w:val="001A766C"/>
    <w:pPr>
      <w:keepNext/>
      <w:spacing w:after="120"/>
      <w:ind w:left="567"/>
    </w:pPr>
    <w:rPr>
      <w:rFonts w:eastAsia="SimSun" w:cs="Arial"/>
      <w:szCs w:val="22"/>
    </w:rPr>
  </w:style>
  <w:style w:type="paragraph" w:customStyle="1" w:styleId="COMParaDecision">
    <w:name w:val="COM Para Decision"/>
    <w:basedOn w:val="Normal"/>
    <w:qFormat/>
    <w:rsid w:val="001A766C"/>
    <w:pPr>
      <w:numPr>
        <w:numId w:val="10"/>
      </w:numPr>
      <w:autoSpaceDE w:val="0"/>
      <w:autoSpaceDN w:val="0"/>
      <w:adjustRightInd w:val="0"/>
      <w:spacing w:after="120"/>
      <w:jc w:val="both"/>
    </w:pPr>
    <w:rPr>
      <w:rFonts w:ascii="Arial" w:hAnsi="Arial" w:cs="Arial"/>
      <w:sz w:val="22"/>
      <w:szCs w:val="22"/>
      <w:u w:val="single"/>
    </w:rPr>
  </w:style>
  <w:style w:type="paragraph" w:styleId="NoSpacing">
    <w:name w:val="No Spacing"/>
    <w:uiPriority w:val="1"/>
    <w:qFormat/>
    <w:rsid w:val="00BC3420"/>
    <w:rPr>
      <w:rFonts w:ascii="Times New Roman" w:eastAsia="Times New Roman" w:hAnsi="Times New Roman"/>
      <w:sz w:val="24"/>
      <w:szCs w:val="24"/>
    </w:rPr>
  </w:style>
  <w:style w:type="paragraph" w:customStyle="1" w:styleId="ListParagraph1">
    <w:name w:val="List Paragraph1"/>
    <w:basedOn w:val="Normal"/>
    <w:uiPriority w:val="34"/>
    <w:qFormat/>
    <w:rsid w:val="00CB66E1"/>
    <w:pPr>
      <w:ind w:left="708"/>
    </w:pPr>
    <w:rPr>
      <w:rFonts w:eastAsia="SimSun"/>
      <w:lang w:val="en-US" w:eastAsia="en-US"/>
    </w:rPr>
  </w:style>
  <w:style w:type="paragraph" w:customStyle="1" w:styleId="COMPara">
    <w:name w:val="COM Para"/>
    <w:qFormat/>
    <w:rsid w:val="00486AC6"/>
    <w:pPr>
      <w:spacing w:after="120"/>
      <w:ind w:left="720" w:hanging="360"/>
    </w:pPr>
    <w:rPr>
      <w:rFonts w:ascii="Arial" w:eastAsia="Times New Roman" w:hAnsi="Arial" w:cs="Arial"/>
      <w:snapToGrid w:val="0"/>
      <w:sz w:val="22"/>
      <w:szCs w:val="22"/>
      <w:lang w:val="en-GB" w:eastAsia="en-US"/>
    </w:rPr>
  </w:style>
  <w:style w:type="paragraph" w:customStyle="1" w:styleId="DocMain">
    <w:name w:val="Doc_Main"/>
    <w:basedOn w:val="Normal"/>
    <w:uiPriority w:val="99"/>
    <w:qFormat/>
    <w:rsid w:val="00486AC6"/>
    <w:pPr>
      <w:spacing w:before="240" w:after="240"/>
      <w:ind w:left="720" w:hanging="360"/>
      <w:jc w:val="both"/>
    </w:pPr>
    <w:rPr>
      <w:rFonts w:ascii="Arial" w:eastAsia="SimSun" w:hAnsi="Arial" w:cs="Arial"/>
      <w:sz w:val="22"/>
      <w:szCs w:val="22"/>
      <w:lang w:eastAsia="zh-CN"/>
    </w:rPr>
  </w:style>
  <w:style w:type="character" w:customStyle="1" w:styleId="hps">
    <w:name w:val="hps"/>
    <w:rsid w:val="00486AC6"/>
  </w:style>
  <w:style w:type="paragraph" w:customStyle="1" w:styleId="NoSpacing1">
    <w:name w:val="No Spacing1"/>
    <w:uiPriority w:val="99"/>
    <w:qFormat/>
    <w:rsid w:val="00486AC6"/>
    <w:rPr>
      <w:sz w:val="22"/>
      <w:szCs w:val="22"/>
      <w:lang w:eastAsia="zh-CN"/>
    </w:rPr>
  </w:style>
  <w:style w:type="character" w:styleId="Hyperlink">
    <w:name w:val="Hyperlink"/>
    <w:uiPriority w:val="99"/>
    <w:unhideWhenUsed/>
    <w:rsid w:val="000932C3"/>
    <w:rPr>
      <w:color w:val="0000FF"/>
      <w:u w:val="single"/>
    </w:rPr>
  </w:style>
  <w:style w:type="character" w:customStyle="1" w:styleId="Heading1Char">
    <w:name w:val="Heading 1 Char"/>
    <w:link w:val="Heading1"/>
    <w:uiPriority w:val="9"/>
    <w:rsid w:val="006F4DA6"/>
    <w:rPr>
      <w:rFonts w:ascii="Cambria" w:eastAsia="SimSun" w:hAnsi="Cambria" w:cs="Times New Roman"/>
      <w:b/>
      <w:bCs/>
      <w:color w:val="365F91"/>
      <w:sz w:val="28"/>
      <w:szCs w:val="28"/>
    </w:rPr>
  </w:style>
  <w:style w:type="character" w:styleId="FollowedHyperlink">
    <w:name w:val="FollowedHyperlink"/>
    <w:uiPriority w:val="99"/>
    <w:semiHidden/>
    <w:unhideWhenUsed/>
    <w:rsid w:val="008055DE"/>
    <w:rPr>
      <w:color w:val="800080"/>
      <w:u w:val="single"/>
    </w:rPr>
  </w:style>
  <w:style w:type="paragraph" w:styleId="Caption">
    <w:name w:val="caption"/>
    <w:basedOn w:val="Normal"/>
    <w:next w:val="Normal"/>
    <w:uiPriority w:val="35"/>
    <w:unhideWhenUsed/>
    <w:qFormat/>
    <w:rsid w:val="001D2972"/>
    <w:pPr>
      <w:spacing w:after="200"/>
    </w:pPr>
    <w:rPr>
      <w:b/>
      <w:bCs/>
      <w:color w:val="4F81BD"/>
      <w:sz w:val="18"/>
      <w:szCs w:val="18"/>
    </w:rPr>
  </w:style>
  <w:style w:type="character" w:customStyle="1" w:styleId="ParagraphChar">
    <w:name w:val="Paragraph Char"/>
    <w:link w:val="Paragraph"/>
    <w:locked/>
    <w:rsid w:val="00D45AF2"/>
    <w:rPr>
      <w:rFonts w:ascii="Arial" w:eastAsia="Times New Roman" w:hAnsi="Arial" w:cs="Arial"/>
      <w:sz w:val="22"/>
      <w:szCs w:val="22"/>
      <w:lang w:val="en-GB" w:eastAsia="en-US"/>
    </w:rPr>
  </w:style>
  <w:style w:type="paragraph" w:customStyle="1" w:styleId="Paragraph">
    <w:name w:val="Paragraph"/>
    <w:basedOn w:val="Normal"/>
    <w:link w:val="ParagraphChar"/>
    <w:qFormat/>
    <w:rsid w:val="00D45AF2"/>
    <w:pPr>
      <w:tabs>
        <w:tab w:val="num" w:pos="360"/>
      </w:tabs>
      <w:snapToGrid w:val="0"/>
      <w:spacing w:after="240"/>
      <w:ind w:left="360" w:hanging="360"/>
      <w:jc w:val="both"/>
    </w:pPr>
    <w:rPr>
      <w:rFonts w:ascii="Arial" w:hAnsi="Arial" w:cs="Arial"/>
      <w:sz w:val="22"/>
      <w:szCs w:val="22"/>
      <w:lang w:val="en-GB" w:eastAsia="en-US"/>
    </w:rPr>
  </w:style>
  <w:style w:type="character" w:customStyle="1" w:styleId="MargeChar">
    <w:name w:val="Marge Char"/>
    <w:link w:val="Marge"/>
    <w:rsid w:val="00780D14"/>
    <w:rPr>
      <w:rFonts w:ascii="Arial" w:eastAsia="Times New Roman" w:hAnsi="Arial"/>
      <w:snapToGrid w:val="0"/>
      <w:sz w:val="22"/>
      <w:szCs w:val="24"/>
      <w:lang w:eastAsia="en-US"/>
    </w:rPr>
  </w:style>
  <w:style w:type="paragraph" w:customStyle="1" w:styleId="COMTitleDecision">
    <w:name w:val="COM Title Decision"/>
    <w:basedOn w:val="Normal"/>
    <w:qFormat/>
    <w:rsid w:val="00BB633D"/>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BB633D"/>
    <w:pPr>
      <w:keepNext/>
      <w:spacing w:after="120"/>
      <w:ind w:left="567"/>
      <w:jc w:val="both"/>
    </w:pPr>
    <w:rPr>
      <w:rFonts w:ascii="Arial" w:hAnsi="Arial" w:cs="Arial"/>
      <w:sz w:val="22"/>
      <w:szCs w:val="22"/>
      <w:lang w:val="en-GB"/>
    </w:rPr>
  </w:style>
  <w:style w:type="paragraph" w:styleId="FootnoteText">
    <w:name w:val="footnote text"/>
    <w:basedOn w:val="Normal"/>
    <w:link w:val="FootnoteTextChar"/>
    <w:uiPriority w:val="99"/>
    <w:semiHidden/>
    <w:unhideWhenUsed/>
    <w:rsid w:val="00222966"/>
    <w:rPr>
      <w:sz w:val="20"/>
      <w:szCs w:val="20"/>
    </w:rPr>
  </w:style>
  <w:style w:type="character" w:customStyle="1" w:styleId="FootnoteTextChar">
    <w:name w:val="Footnote Text Char"/>
    <w:basedOn w:val="DefaultParagraphFont"/>
    <w:link w:val="FootnoteText"/>
    <w:uiPriority w:val="99"/>
    <w:semiHidden/>
    <w:rsid w:val="00222966"/>
    <w:rPr>
      <w:rFonts w:ascii="Times New Roman" w:eastAsia="Times New Roman" w:hAnsi="Times New Roman"/>
    </w:rPr>
  </w:style>
  <w:style w:type="character" w:styleId="FootnoteReference">
    <w:name w:val="footnote reference"/>
    <w:basedOn w:val="DefaultParagraphFont"/>
    <w:uiPriority w:val="99"/>
    <w:semiHidden/>
    <w:unhideWhenUsed/>
    <w:rsid w:val="00222966"/>
    <w:rPr>
      <w:vertAlign w:val="superscript"/>
    </w:rPr>
  </w:style>
  <w:style w:type="paragraph" w:styleId="EndnoteText">
    <w:name w:val="endnote text"/>
    <w:basedOn w:val="Normal"/>
    <w:link w:val="EndnoteTextChar"/>
    <w:uiPriority w:val="99"/>
    <w:semiHidden/>
    <w:unhideWhenUsed/>
    <w:rsid w:val="00222966"/>
    <w:rPr>
      <w:sz w:val="20"/>
      <w:szCs w:val="20"/>
    </w:rPr>
  </w:style>
  <w:style w:type="character" w:customStyle="1" w:styleId="EndnoteTextChar">
    <w:name w:val="Endnote Text Char"/>
    <w:basedOn w:val="DefaultParagraphFont"/>
    <w:link w:val="EndnoteText"/>
    <w:uiPriority w:val="99"/>
    <w:semiHidden/>
    <w:rsid w:val="00222966"/>
    <w:rPr>
      <w:rFonts w:ascii="Times New Roman" w:eastAsia="Times New Roman" w:hAnsi="Times New Roman"/>
    </w:rPr>
  </w:style>
  <w:style w:type="character" w:styleId="EndnoteReference">
    <w:name w:val="endnote reference"/>
    <w:basedOn w:val="DefaultParagraphFont"/>
    <w:uiPriority w:val="99"/>
    <w:semiHidden/>
    <w:unhideWhenUsed/>
    <w:rsid w:val="00222966"/>
    <w:rPr>
      <w:vertAlign w:val="superscript"/>
    </w:rPr>
  </w:style>
  <w:style w:type="paragraph" w:styleId="ListParagraph">
    <w:name w:val="List Paragraph"/>
    <w:basedOn w:val="Normal"/>
    <w:uiPriority w:val="34"/>
    <w:qFormat/>
    <w:rsid w:val="00D524B9"/>
    <w:pPr>
      <w:ind w:left="720"/>
      <w:contextualSpacing/>
    </w:pPr>
  </w:style>
  <w:style w:type="paragraph" w:customStyle="1" w:styleId="5GAparabodytext">
    <w:name w:val="5GA para body text"/>
    <w:basedOn w:val="Marge"/>
    <w:autoRedefine/>
    <w:qFormat/>
    <w:rsid w:val="00D524B9"/>
    <w:pPr>
      <w:numPr>
        <w:numId w:val="27"/>
      </w:numPr>
      <w:spacing w:after="120"/>
      <w:ind w:left="567" w:hanging="567"/>
    </w:pPr>
    <w:rPr>
      <w:rFonts w:cs="Arial"/>
      <w:szCs w:val="22"/>
      <w:lang w:eastAsia="fr-FR"/>
    </w:rPr>
  </w:style>
  <w:style w:type="table" w:customStyle="1" w:styleId="Grilledutableau1">
    <w:name w:val="Grille du tableau1"/>
    <w:basedOn w:val="TableNormal"/>
    <w:next w:val="TableGrid"/>
    <w:uiPriority w:val="59"/>
    <w:rsid w:val="00D524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GAParaResolution">
    <w:name w:val="GA Para Resolution"/>
    <w:basedOn w:val="Normal"/>
    <w:qFormat/>
    <w:rsid w:val="00D524B9"/>
    <w:pPr>
      <w:autoSpaceDE w:val="0"/>
      <w:autoSpaceDN w:val="0"/>
      <w:adjustRightInd w:val="0"/>
      <w:spacing w:after="120"/>
      <w:ind w:left="1134" w:hanging="567"/>
      <w:jc w:val="both"/>
    </w:pPr>
    <w:rPr>
      <w:rFonts w:ascii="Arial" w:hAnsi="Arial" w:cs="Arial"/>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172587">
      <w:bodyDiv w:val="1"/>
      <w:marLeft w:val="0"/>
      <w:marRight w:val="0"/>
      <w:marTop w:val="0"/>
      <w:marBottom w:val="0"/>
      <w:divBdr>
        <w:top w:val="none" w:sz="0" w:space="0" w:color="auto"/>
        <w:left w:val="none" w:sz="0" w:space="0" w:color="auto"/>
        <w:bottom w:val="none" w:sz="0" w:space="0" w:color="auto"/>
        <w:right w:val="none" w:sz="0" w:space="0" w:color="auto"/>
      </w:divBdr>
    </w:div>
    <w:div w:id="1438872798">
      <w:bodyDiv w:val="1"/>
      <w:marLeft w:val="0"/>
      <w:marRight w:val="0"/>
      <w:marTop w:val="0"/>
      <w:marBottom w:val="0"/>
      <w:divBdr>
        <w:top w:val="none" w:sz="0" w:space="0" w:color="auto"/>
        <w:left w:val="none" w:sz="0" w:space="0" w:color="auto"/>
        <w:bottom w:val="none" w:sz="0" w:space="0" w:color="auto"/>
        <w:right w:val="none" w:sz="0" w:space="0" w:color="auto"/>
      </w:divBdr>
    </w:div>
    <w:div w:id="1548298102">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esco.org/culture/ich/doc/src/ITH-16-11.COM_1.BUR-1-FR.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Brigitte\Documents\Clients\UNESCO\Patrimoine%20immat&#233;riel\10%20COM_Working%20document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39AB2-9ED1-479C-B3AE-5C2D1FCD2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document_FR</Template>
  <TotalTime>46</TotalTime>
  <Pages>10</Pages>
  <Words>3817</Words>
  <Characters>20997</Characters>
  <Application>Microsoft Office Word</Application>
  <DocSecurity>0</DocSecurity>
  <Lines>174</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24765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varnet</dc:creator>
  <cp:lastModifiedBy>De Sancristobal, Berta</cp:lastModifiedBy>
  <cp:revision>6</cp:revision>
  <cp:lastPrinted>2015-07-23T13:56:00Z</cp:lastPrinted>
  <dcterms:created xsi:type="dcterms:W3CDTF">2016-06-21T13:21:00Z</dcterms:created>
  <dcterms:modified xsi:type="dcterms:W3CDTF">2016-06-21T14:07:00Z</dcterms:modified>
</cp:coreProperties>
</file>