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2" w:rsidRPr="00BA0EFE" w:rsidRDefault="002938F2" w:rsidP="00BA0EFE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BA0EFE">
        <w:rPr>
          <w:rFonts w:ascii="Arial" w:hAnsi="Arial" w:cs="Arial"/>
          <w:b/>
          <w:szCs w:val="22"/>
          <w:lang w:val="fr-FR"/>
        </w:rPr>
        <w:t xml:space="preserve">CONVENTION </w:t>
      </w:r>
      <w:r w:rsidR="00BA0EFE" w:rsidRPr="00BA0EFE">
        <w:rPr>
          <w:rFonts w:ascii="Arial" w:hAnsi="Arial" w:cs="Arial"/>
          <w:b/>
          <w:szCs w:val="22"/>
          <w:lang w:val="fr-FR"/>
        </w:rPr>
        <w:t xml:space="preserve">POUR LA SAUVEGARDE DU </w:t>
      </w:r>
      <w:bookmarkStart w:id="0" w:name="_GoBack"/>
      <w:bookmarkEnd w:id="0"/>
      <w:r w:rsidR="00BA0EFE" w:rsidRPr="00BA0EFE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:rsidR="007E4E37" w:rsidRPr="00BA0EFE" w:rsidRDefault="00BA0EFE" w:rsidP="007E4E37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BA0EFE">
        <w:rPr>
          <w:rFonts w:ascii="Arial" w:hAnsi="Arial" w:cs="Arial"/>
          <w:b/>
          <w:szCs w:val="22"/>
          <w:lang w:val="fr-FR"/>
        </w:rPr>
        <w:t xml:space="preserve">COMITÉ </w:t>
      </w:r>
      <w:r w:rsidR="007E4E37" w:rsidRPr="00BA0EFE">
        <w:rPr>
          <w:rFonts w:ascii="Arial" w:hAnsi="Arial" w:cs="Arial"/>
          <w:b/>
          <w:szCs w:val="22"/>
          <w:lang w:val="fr-FR"/>
        </w:rPr>
        <w:t>INTERGO</w:t>
      </w:r>
      <w:r w:rsidRPr="00BA0EFE">
        <w:rPr>
          <w:rFonts w:ascii="Arial" w:hAnsi="Arial" w:cs="Arial"/>
          <w:b/>
          <w:szCs w:val="22"/>
          <w:lang w:val="fr-FR"/>
        </w:rPr>
        <w:t>U</w:t>
      </w:r>
      <w:r w:rsidR="007E4E37" w:rsidRPr="00BA0EFE">
        <w:rPr>
          <w:rFonts w:ascii="Arial" w:hAnsi="Arial" w:cs="Arial"/>
          <w:b/>
          <w:szCs w:val="22"/>
          <w:lang w:val="fr-FR"/>
        </w:rPr>
        <w:t>VERN</w:t>
      </w:r>
      <w:r w:rsidRPr="00BA0EFE">
        <w:rPr>
          <w:rFonts w:ascii="Arial" w:hAnsi="Arial" w:cs="Arial"/>
          <w:b/>
          <w:szCs w:val="22"/>
          <w:lang w:val="fr-FR"/>
        </w:rPr>
        <w:t>E</w:t>
      </w:r>
      <w:r w:rsidR="007E4E37" w:rsidRPr="00BA0EFE">
        <w:rPr>
          <w:rFonts w:ascii="Arial" w:hAnsi="Arial" w:cs="Arial"/>
          <w:b/>
          <w:szCs w:val="22"/>
          <w:lang w:val="fr-FR"/>
        </w:rPr>
        <w:t>MENTAL</w:t>
      </w:r>
      <w:r w:rsidRPr="00BA0EFE">
        <w:rPr>
          <w:rFonts w:ascii="Arial" w:hAnsi="Arial" w:cs="Arial"/>
          <w:b/>
          <w:szCs w:val="22"/>
          <w:lang w:val="fr-FR"/>
        </w:rPr>
        <w:t xml:space="preserve"> DE SAUVEGARDE</w:t>
      </w:r>
      <w:r w:rsidR="007E4E37" w:rsidRPr="00BA0EFE">
        <w:rPr>
          <w:rFonts w:ascii="Arial" w:hAnsi="Arial" w:cs="Arial"/>
          <w:b/>
          <w:szCs w:val="22"/>
          <w:lang w:val="fr-FR"/>
        </w:rPr>
        <w:br/>
      </w:r>
      <w:r w:rsidRPr="00BA0EFE">
        <w:rPr>
          <w:rFonts w:ascii="Arial" w:hAnsi="Arial" w:cs="Arial"/>
          <w:b/>
          <w:szCs w:val="22"/>
          <w:lang w:val="fr-FR"/>
        </w:rPr>
        <w:t>DU PATRIMOINE CULTUREL IMMAT</w:t>
      </w:r>
      <w:r>
        <w:rPr>
          <w:rFonts w:ascii="Arial" w:hAnsi="Arial" w:cs="Arial"/>
          <w:b/>
          <w:szCs w:val="22"/>
          <w:lang w:val="fr-FR"/>
        </w:rPr>
        <w:t>ÉRIEL</w:t>
      </w:r>
    </w:p>
    <w:p w:rsidR="007E4E37" w:rsidRPr="00BA0EFE" w:rsidRDefault="00BA0EFE" w:rsidP="004E056C">
      <w:pPr>
        <w:spacing w:before="840" w:after="0"/>
        <w:jc w:val="center"/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szCs w:val="22"/>
          <w:lang w:val="fr-FR"/>
        </w:rPr>
        <w:t>Onzième</w:t>
      </w:r>
      <w:r w:rsidR="007E4E37" w:rsidRPr="00BA0EFE">
        <w:rPr>
          <w:rFonts w:ascii="Arial" w:hAnsi="Arial" w:cs="Arial"/>
          <w:b/>
          <w:szCs w:val="22"/>
          <w:lang w:val="fr-FR"/>
        </w:rPr>
        <w:t xml:space="preserve"> session</w:t>
      </w:r>
    </w:p>
    <w:p w:rsidR="00601DD6" w:rsidRPr="003707B1" w:rsidRDefault="003707B1" w:rsidP="00601DD6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 w:rsidRPr="003707B1">
        <w:rPr>
          <w:rFonts w:ascii="Arial" w:hAnsi="Arial" w:cs="Arial"/>
          <w:b/>
          <w:szCs w:val="22"/>
          <w:lang w:val="fr-FR"/>
        </w:rPr>
        <w:t>Addis-Abeba</w:t>
      </w:r>
      <w:r w:rsidR="00093063" w:rsidRPr="003707B1">
        <w:rPr>
          <w:rFonts w:ascii="Arial" w:hAnsi="Arial" w:cs="Arial"/>
          <w:b/>
          <w:szCs w:val="22"/>
          <w:lang w:val="fr-FR"/>
        </w:rPr>
        <w:t xml:space="preserve">, </w:t>
      </w:r>
      <w:r w:rsidRPr="003707B1">
        <w:rPr>
          <w:rFonts w:ascii="Arial" w:hAnsi="Arial" w:cs="Arial"/>
          <w:b/>
          <w:szCs w:val="22"/>
          <w:lang w:val="fr-FR"/>
        </w:rPr>
        <w:t>Éthiopie</w:t>
      </w:r>
    </w:p>
    <w:p w:rsidR="007E4E37" w:rsidRPr="003707B1" w:rsidRDefault="005414A1" w:rsidP="004E056C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 w:rsidRPr="003707B1">
        <w:rPr>
          <w:rFonts w:ascii="Arial" w:hAnsi="Arial" w:cs="Arial"/>
          <w:b/>
          <w:szCs w:val="22"/>
          <w:lang w:val="fr-FR"/>
        </w:rPr>
        <w:t>28</w:t>
      </w:r>
      <w:r w:rsidR="0067005F" w:rsidRPr="003707B1">
        <w:rPr>
          <w:rFonts w:ascii="Arial" w:hAnsi="Arial" w:cs="Arial"/>
          <w:b/>
          <w:szCs w:val="22"/>
          <w:lang w:val="fr-FR"/>
        </w:rPr>
        <w:t xml:space="preserve"> </w:t>
      </w:r>
      <w:r w:rsidR="007354EE">
        <w:rPr>
          <w:rFonts w:ascii="Arial" w:hAnsi="Arial" w:cs="Arial"/>
          <w:b/>
          <w:szCs w:val="22"/>
          <w:lang w:val="fr-FR"/>
        </w:rPr>
        <w:t>n</w:t>
      </w:r>
      <w:r w:rsidR="0067005F" w:rsidRPr="003707B1">
        <w:rPr>
          <w:rFonts w:ascii="Arial" w:hAnsi="Arial" w:cs="Arial"/>
          <w:b/>
          <w:szCs w:val="22"/>
          <w:lang w:val="fr-FR"/>
        </w:rPr>
        <w:t>ovemb</w:t>
      </w:r>
      <w:r w:rsidR="003707B1" w:rsidRPr="003707B1">
        <w:rPr>
          <w:rFonts w:ascii="Arial" w:hAnsi="Arial" w:cs="Arial"/>
          <w:b/>
          <w:szCs w:val="22"/>
          <w:lang w:val="fr-FR"/>
        </w:rPr>
        <w:t xml:space="preserve">re - </w:t>
      </w:r>
      <w:r w:rsidRPr="003707B1">
        <w:rPr>
          <w:rFonts w:ascii="Arial" w:hAnsi="Arial" w:cs="Arial"/>
          <w:b/>
          <w:szCs w:val="22"/>
          <w:lang w:val="fr-FR"/>
        </w:rPr>
        <w:t xml:space="preserve">2 </w:t>
      </w:r>
      <w:r w:rsidR="007354EE">
        <w:rPr>
          <w:rFonts w:ascii="Arial" w:hAnsi="Arial" w:cs="Arial"/>
          <w:b/>
          <w:szCs w:val="22"/>
          <w:lang w:val="fr-FR"/>
        </w:rPr>
        <w:t>d</w:t>
      </w:r>
      <w:r w:rsidR="003707B1" w:rsidRPr="003707B1">
        <w:rPr>
          <w:rFonts w:ascii="Arial" w:hAnsi="Arial" w:cs="Arial"/>
          <w:b/>
          <w:szCs w:val="22"/>
          <w:lang w:val="fr-FR"/>
        </w:rPr>
        <w:t>é</w:t>
      </w:r>
      <w:r w:rsidRPr="003707B1">
        <w:rPr>
          <w:rFonts w:ascii="Arial" w:hAnsi="Arial" w:cs="Arial"/>
          <w:b/>
          <w:szCs w:val="22"/>
          <w:lang w:val="fr-FR"/>
        </w:rPr>
        <w:t>cemb</w:t>
      </w:r>
      <w:r w:rsidR="003707B1" w:rsidRPr="003707B1">
        <w:rPr>
          <w:rFonts w:ascii="Arial" w:hAnsi="Arial" w:cs="Arial"/>
          <w:b/>
          <w:szCs w:val="22"/>
          <w:lang w:val="fr-FR"/>
        </w:rPr>
        <w:t>re</w:t>
      </w:r>
      <w:r w:rsidRPr="003707B1">
        <w:rPr>
          <w:rFonts w:ascii="Arial" w:hAnsi="Arial" w:cs="Arial"/>
          <w:b/>
          <w:szCs w:val="22"/>
          <w:lang w:val="fr-FR"/>
        </w:rPr>
        <w:t xml:space="preserve"> 2016</w:t>
      </w:r>
    </w:p>
    <w:p w:rsidR="003707B1" w:rsidRPr="003707B1" w:rsidRDefault="00E70697" w:rsidP="009C6DE8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3707B1">
        <w:rPr>
          <w:rFonts w:ascii="Arial" w:hAnsi="Arial" w:cs="Arial"/>
          <w:b/>
          <w:sz w:val="22"/>
          <w:szCs w:val="22"/>
          <w:u w:val="single"/>
        </w:rPr>
        <w:t>P</w:t>
      </w:r>
      <w:r w:rsidR="003707B1" w:rsidRPr="003707B1">
        <w:rPr>
          <w:rFonts w:ascii="Arial" w:hAnsi="Arial" w:cs="Arial"/>
          <w:b/>
          <w:sz w:val="22"/>
          <w:szCs w:val="22"/>
          <w:u w:val="single"/>
        </w:rPr>
        <w:t>oint 2 de l’ordre du jour provisoire</w:t>
      </w:r>
      <w:r w:rsidR="003707B1" w:rsidRPr="00FD59CF">
        <w:rPr>
          <w:rFonts w:ascii="Arial" w:hAnsi="Arial" w:cs="Arial"/>
          <w:b/>
          <w:sz w:val="22"/>
          <w:szCs w:val="22"/>
        </w:rPr>
        <w:t xml:space="preserve"> :</w:t>
      </w:r>
      <w:r w:rsidR="003707B1" w:rsidRPr="003707B1">
        <w:rPr>
          <w:rFonts w:ascii="Arial" w:hAnsi="Arial" w:cs="Arial"/>
          <w:b/>
          <w:sz w:val="22"/>
          <w:szCs w:val="22"/>
        </w:rPr>
        <w:t xml:space="preserve"> </w:t>
      </w:r>
    </w:p>
    <w:p w:rsidR="003707B1" w:rsidRDefault="003707B1" w:rsidP="003707B1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3707B1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E68B8" w:rsidRPr="0036248A" w:rsidTr="009C6DE8">
        <w:trPr>
          <w:jc w:val="center"/>
        </w:trPr>
        <w:tc>
          <w:tcPr>
            <w:tcW w:w="5670" w:type="dxa"/>
            <w:vAlign w:val="center"/>
          </w:tcPr>
          <w:p w:rsidR="00BE68B8" w:rsidRPr="001B15D5" w:rsidRDefault="00BE68B8" w:rsidP="00BE68B8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5D5">
              <w:rPr>
                <w:rFonts w:ascii="Arial" w:hAnsi="Arial" w:cs="Arial"/>
                <w:b/>
                <w:sz w:val="22"/>
                <w:szCs w:val="22"/>
              </w:rPr>
              <w:t xml:space="preserve">Décision requise : </w:t>
            </w:r>
            <w:r w:rsidRPr="001B15D5">
              <w:rPr>
                <w:rFonts w:ascii="Arial" w:hAnsi="Arial" w:cs="Arial"/>
                <w:sz w:val="22"/>
                <w:szCs w:val="22"/>
              </w:rPr>
              <w:t>paragraphe 1</w:t>
            </w:r>
          </w:p>
        </w:tc>
      </w:tr>
    </w:tbl>
    <w:p w:rsidR="00BE68B8" w:rsidRPr="001B15D5" w:rsidRDefault="00BE68B8">
      <w:pPr>
        <w:spacing w:after="0"/>
        <w:rPr>
          <w:rFonts w:ascii="Arial" w:hAnsi="Arial" w:cs="Arial"/>
          <w:snapToGrid w:val="0"/>
          <w:szCs w:val="22"/>
          <w:lang w:val="fr-FR" w:eastAsia="en-US"/>
        </w:rPr>
      </w:pPr>
      <w:r w:rsidRPr="001B15D5">
        <w:rPr>
          <w:lang w:val="fr-FR"/>
        </w:rPr>
        <w:br w:type="page"/>
      </w:r>
    </w:p>
    <w:p w:rsidR="00757A42" w:rsidRPr="00757A42" w:rsidRDefault="00757A42" w:rsidP="00757A42">
      <w:pPr>
        <w:pStyle w:val="COMPara"/>
        <w:numPr>
          <w:ilvl w:val="0"/>
          <w:numId w:val="8"/>
        </w:numPr>
        <w:ind w:left="567" w:hanging="567"/>
        <w:jc w:val="both"/>
        <w:rPr>
          <w:lang w:val="fr-FR"/>
        </w:rPr>
      </w:pPr>
      <w:r w:rsidRPr="00757A42">
        <w:rPr>
          <w:lang w:val="fr-FR"/>
        </w:rPr>
        <w:lastRenderedPageBreak/>
        <w:t>Le Comité souhaitera peut-être adopter la décision suivante :</w:t>
      </w:r>
    </w:p>
    <w:p w:rsidR="00757A42" w:rsidRPr="00757A42" w:rsidRDefault="00757A42" w:rsidP="00757A42">
      <w:pPr>
        <w:pStyle w:val="COMTitleDecision"/>
        <w:spacing w:before="360" w:after="240"/>
        <w:rPr>
          <w:rFonts w:eastAsia="SimSun"/>
          <w:lang w:val="fr-FR"/>
        </w:rPr>
      </w:pPr>
      <w:r w:rsidRPr="00757A42">
        <w:rPr>
          <w:lang w:val="fr-FR"/>
        </w:rPr>
        <w:t>PROJET DE DÉCISION 11.COM 2</w:t>
      </w:r>
    </w:p>
    <w:p w:rsidR="00757A42" w:rsidRPr="009C5A66" w:rsidRDefault="00757A42" w:rsidP="00757A42">
      <w:pPr>
        <w:pStyle w:val="COMPreambulaDecision"/>
      </w:pPr>
      <w:r w:rsidRPr="009C5A66">
        <w:t>Le Comité,</w:t>
      </w:r>
    </w:p>
    <w:p w:rsidR="00757A42" w:rsidRPr="00757A42" w:rsidRDefault="00757A42" w:rsidP="00757A42">
      <w:pPr>
        <w:pStyle w:val="COMParaDecision"/>
        <w:rPr>
          <w:lang w:val="fr-FR"/>
        </w:rPr>
      </w:pPr>
      <w:r w:rsidRPr="00757A42">
        <w:rPr>
          <w:lang w:val="fr-FR"/>
        </w:rPr>
        <w:t>Ayant examiné</w:t>
      </w:r>
      <w:r w:rsidRPr="00757A42">
        <w:rPr>
          <w:u w:val="none"/>
          <w:lang w:val="fr-FR"/>
        </w:rPr>
        <w:t xml:space="preserve"> le document ITH/1</w:t>
      </w:r>
      <w:r>
        <w:rPr>
          <w:u w:val="none"/>
          <w:lang w:val="fr-FR"/>
        </w:rPr>
        <w:t>6/11</w:t>
      </w:r>
      <w:r w:rsidRPr="00757A42">
        <w:rPr>
          <w:u w:val="none"/>
          <w:lang w:val="fr-FR"/>
        </w:rPr>
        <w:t>.COM/2</w:t>
      </w:r>
      <w:r w:rsidR="00754731">
        <w:rPr>
          <w:u w:val="none"/>
          <w:lang w:val="fr-FR"/>
        </w:rPr>
        <w:t xml:space="preserve"> </w:t>
      </w:r>
      <w:proofErr w:type="spellStart"/>
      <w:r w:rsidR="00754731">
        <w:rPr>
          <w:u w:val="none"/>
          <w:lang w:val="fr-FR"/>
        </w:rPr>
        <w:t>Rev</w:t>
      </w:r>
      <w:proofErr w:type="spellEnd"/>
      <w:r w:rsidR="00754731">
        <w:rPr>
          <w:u w:val="none"/>
          <w:lang w:val="fr-FR"/>
        </w:rPr>
        <w:t>.</w:t>
      </w:r>
      <w:r w:rsidRPr="00757A42">
        <w:rPr>
          <w:u w:val="none"/>
          <w:lang w:val="fr-FR"/>
        </w:rPr>
        <w:t>,</w:t>
      </w:r>
    </w:p>
    <w:p w:rsidR="00757A42" w:rsidRPr="00757A42" w:rsidRDefault="00757A42" w:rsidP="00757A42">
      <w:pPr>
        <w:pStyle w:val="COMParaDecision"/>
        <w:rPr>
          <w:u w:val="none"/>
          <w:lang w:val="fr-FR"/>
        </w:rPr>
      </w:pPr>
      <w:r w:rsidRPr="00757A42">
        <w:rPr>
          <w:lang w:val="fr-FR"/>
        </w:rPr>
        <w:t>Adopte</w:t>
      </w:r>
      <w:r w:rsidRPr="00757A42">
        <w:rPr>
          <w:u w:val="none"/>
          <w:lang w:val="fr-FR"/>
        </w:rPr>
        <w:t xml:space="preserve"> l’ordre du jour de sa </w:t>
      </w:r>
      <w:r>
        <w:rPr>
          <w:u w:val="none"/>
          <w:lang w:val="fr-FR"/>
        </w:rPr>
        <w:t xml:space="preserve">onzième </w:t>
      </w:r>
      <w:r w:rsidRPr="00757A42">
        <w:rPr>
          <w:u w:val="none"/>
          <w:lang w:val="fr-FR"/>
        </w:rPr>
        <w:t xml:space="preserve">session </w:t>
      </w:r>
      <w:r>
        <w:rPr>
          <w:u w:val="none"/>
          <w:lang w:val="fr-FR"/>
        </w:rPr>
        <w:t>(</w:t>
      </w:r>
      <w:r w:rsidRPr="00757A42">
        <w:rPr>
          <w:u w:val="none"/>
          <w:lang w:val="fr-FR"/>
        </w:rPr>
        <w:t xml:space="preserve">Addis-Abeba, Éthiopie, du </w:t>
      </w:r>
      <w:r>
        <w:rPr>
          <w:u w:val="none"/>
          <w:lang w:val="fr-FR"/>
        </w:rPr>
        <w:t>28 novembre au 2 décembre 2016</w:t>
      </w:r>
      <w:r w:rsidRPr="00757A42">
        <w:rPr>
          <w:u w:val="none"/>
          <w:lang w:val="fr-FR"/>
        </w:rPr>
        <w:t>) tel que figurant ci-dessous :</w:t>
      </w:r>
    </w:p>
    <w:p w:rsidR="00757A42" w:rsidRPr="00757A42" w:rsidRDefault="00757A42" w:rsidP="00757A42">
      <w:pPr>
        <w:pStyle w:val="COMParaDecision"/>
        <w:numPr>
          <w:ilvl w:val="0"/>
          <w:numId w:val="0"/>
        </w:numPr>
        <w:ind w:left="1134" w:hanging="567"/>
        <w:rPr>
          <w:lang w:val="fr-FR"/>
        </w:rPr>
      </w:pPr>
    </w:p>
    <w:p w:rsidR="00757A42" w:rsidRPr="00353D32" w:rsidRDefault="00757A42" w:rsidP="00757A42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noProof/>
          <w:szCs w:val="22"/>
        </w:rPr>
      </w:pPr>
      <w:r>
        <w:rPr>
          <w:rFonts w:ascii="Arial" w:eastAsia="SimSun" w:hAnsi="Arial" w:cs="Arial"/>
          <w:b/>
          <w:noProof/>
          <w:szCs w:val="22"/>
        </w:rPr>
        <w:t>Ordre du jour</w:t>
      </w:r>
    </w:p>
    <w:p w:rsidR="00757A42" w:rsidRPr="009C5A66" w:rsidRDefault="00757A42" w:rsidP="00757A42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</w:rPr>
      </w:pPr>
      <w:r w:rsidRPr="009C5A66">
        <w:rPr>
          <w:b w:val="0"/>
          <w:noProof/>
        </w:rPr>
        <w:t>Ouverture</w:t>
      </w:r>
    </w:p>
    <w:p w:rsidR="00757A42" w:rsidRPr="009C5A66" w:rsidRDefault="00757A42" w:rsidP="00757A42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</w:rPr>
      </w:pPr>
      <w:r w:rsidRPr="009C5A66">
        <w:rPr>
          <w:b w:val="0"/>
          <w:noProof/>
        </w:rPr>
        <w:t xml:space="preserve">Adoption de l’ordre du jour </w:t>
      </w:r>
    </w:p>
    <w:p w:rsidR="00757A42" w:rsidRPr="009C5A66" w:rsidRDefault="00757A42" w:rsidP="00757A42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</w:rPr>
      </w:pPr>
      <w:r w:rsidRPr="009C5A66">
        <w:rPr>
          <w:b w:val="0"/>
          <w:noProof/>
        </w:rPr>
        <w:t xml:space="preserve">Observateurs </w:t>
      </w:r>
    </w:p>
    <w:p w:rsidR="00757A42" w:rsidRPr="00757A42" w:rsidRDefault="00757A42" w:rsidP="00757A42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rFonts w:cs="Arial"/>
          <w:b w:val="0"/>
          <w:noProof/>
          <w:szCs w:val="22"/>
          <w:lang w:val="fr-FR"/>
        </w:rPr>
      </w:pPr>
      <w:r w:rsidRPr="00757A42">
        <w:rPr>
          <w:rFonts w:cs="Arial"/>
          <w:b w:val="0"/>
          <w:noProof/>
          <w:szCs w:val="22"/>
          <w:lang w:val="fr-FR"/>
        </w:rPr>
        <w:t>Adoption du compte-rendu de la dixième session du Comité</w:t>
      </w:r>
    </w:p>
    <w:p w:rsidR="00757A42" w:rsidRPr="00757A42" w:rsidRDefault="00757A42" w:rsidP="00757A42">
      <w:pPr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bCs/>
          <w:noProof/>
          <w:snapToGrid w:val="0"/>
          <w:szCs w:val="22"/>
          <w:lang w:val="fr-FR" w:eastAsia="en-US"/>
        </w:rPr>
      </w:pPr>
      <w:r w:rsidRPr="00757A42">
        <w:rPr>
          <w:rFonts w:ascii="Arial" w:hAnsi="Arial" w:cs="Arial"/>
          <w:bCs/>
          <w:noProof/>
          <w:snapToGrid w:val="0"/>
          <w:szCs w:val="22"/>
          <w:lang w:val="fr-FR" w:eastAsia="en-US"/>
        </w:rPr>
        <w:t xml:space="preserve">Rapport du Secrétariat sur ses activités </w:t>
      </w:r>
    </w:p>
    <w:p w:rsidR="00757A42" w:rsidRPr="00757A42" w:rsidRDefault="00757A42" w:rsidP="00757A42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  <w:lang w:val="fr-FR"/>
        </w:rPr>
      </w:pPr>
      <w:r w:rsidRPr="00757A42">
        <w:rPr>
          <w:b w:val="0"/>
          <w:noProof/>
          <w:lang w:val="fr-FR"/>
        </w:rPr>
        <w:t xml:space="preserve">Contributions volontaires supplémentaires au Fonds du patrimoine culturel immatériel </w:t>
      </w:r>
    </w:p>
    <w:p w:rsidR="003F75F2" w:rsidRPr="003F75F2" w:rsidRDefault="00531C89" w:rsidP="003F75F2">
      <w:pPr>
        <w:keepNext/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Cs w:val="22"/>
          <w:lang w:val="fr-FR" w:eastAsia="en-US"/>
        </w:rPr>
      </w:pPr>
      <w:r w:rsidRPr="00531C89">
        <w:rPr>
          <w:rFonts w:ascii="Arial" w:hAnsi="Arial"/>
          <w:noProof/>
          <w:snapToGrid w:val="0"/>
          <w:lang w:val="fr-FR" w:eastAsia="en-US" w:bidi="fr-FR"/>
        </w:rPr>
        <w:t>Suivi des recommandations du rapport de l’auditeur externe « Rapport d’audit sur la gouvernance de l’UNESCO et des fonds, programmes et entités rattachés » (Document 38C/23)</w:t>
      </w:r>
    </w:p>
    <w:p w:rsidR="00757A42" w:rsidRPr="00754731" w:rsidRDefault="00754731" w:rsidP="00754731">
      <w:pPr>
        <w:keepNext/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/>
          <w:noProof/>
          <w:snapToGrid w:val="0"/>
          <w:lang w:val="fr-FR" w:eastAsia="en-US"/>
        </w:rPr>
      </w:pPr>
      <w:r w:rsidRPr="00754731">
        <w:rPr>
          <w:rFonts w:ascii="Arial" w:hAnsi="Arial"/>
          <w:noProof/>
          <w:snapToGrid w:val="0"/>
          <w:lang w:val="fr-FR" w:eastAsia="en-US"/>
        </w:rPr>
        <w:t>Clarification du processus de prise de décisions concernant l’inscription, la sélection ou l’approbation, des candidatures, des propositions et des demandes</w:t>
      </w:r>
    </w:p>
    <w:p w:rsidR="00757A42" w:rsidRPr="000C2162" w:rsidRDefault="000C2162" w:rsidP="000C2162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</w:rPr>
      </w:pPr>
      <w:r>
        <w:rPr>
          <w:b w:val="0"/>
          <w:noProof/>
        </w:rPr>
        <w:t>Rapports des États parties</w:t>
      </w:r>
    </w:p>
    <w:p w:rsidR="000C2162" w:rsidRPr="000C2162" w:rsidRDefault="000C2162" w:rsidP="000C2162">
      <w:pPr>
        <w:pStyle w:val="Heading4"/>
        <w:keepNext w:val="0"/>
        <w:keepLines w:val="0"/>
        <w:numPr>
          <w:ilvl w:val="1"/>
          <w:numId w:val="1"/>
        </w:numPr>
        <w:tabs>
          <w:tab w:val="clear" w:pos="567"/>
          <w:tab w:val="decimal" w:pos="1701"/>
        </w:tabs>
        <w:adjustRightInd w:val="0"/>
        <w:spacing w:after="160"/>
        <w:ind w:left="1701" w:hanging="567"/>
        <w:rPr>
          <w:b w:val="0"/>
          <w:lang w:val="fr-FR"/>
        </w:rPr>
      </w:pPr>
      <w:r w:rsidRPr="000C2162">
        <w:rPr>
          <w:b w:val="0"/>
          <w:noProof/>
          <w:lang w:val="fr-FR"/>
        </w:rPr>
        <w:t xml:space="preserve">Examen des rapports des États parties sur la mise en œuvre de la Convention et l’état actuel d’éléments inscrits sur la Liste représentative du patrimoine culturel immatériel de l’humanité </w:t>
      </w:r>
    </w:p>
    <w:p w:rsidR="000C2162" w:rsidRPr="000C2162" w:rsidRDefault="000C2162" w:rsidP="000C2162">
      <w:pPr>
        <w:pStyle w:val="Heading4"/>
        <w:keepNext w:val="0"/>
        <w:keepLines w:val="0"/>
        <w:numPr>
          <w:ilvl w:val="1"/>
          <w:numId w:val="1"/>
        </w:numPr>
        <w:tabs>
          <w:tab w:val="clear" w:pos="567"/>
          <w:tab w:val="decimal" w:pos="1701"/>
        </w:tabs>
        <w:adjustRightInd w:val="0"/>
        <w:spacing w:after="160"/>
        <w:ind w:left="1701" w:hanging="567"/>
        <w:rPr>
          <w:b w:val="0"/>
          <w:noProof/>
          <w:lang w:val="fr-FR"/>
        </w:rPr>
      </w:pPr>
      <w:r w:rsidRPr="000C2162">
        <w:rPr>
          <w:b w:val="0"/>
          <w:noProof/>
          <w:lang w:val="fr-FR"/>
        </w:rPr>
        <w:t>Examen des rapports des États parties sur l’état actuel d’éléments inscrits sur la Liste du patrimoine culturel immatériel nécessitant une sauvegarde urgente</w:t>
      </w:r>
    </w:p>
    <w:p w:rsidR="000C2162" w:rsidRPr="000C2162" w:rsidRDefault="000C2162" w:rsidP="000C2162">
      <w:pPr>
        <w:pStyle w:val="Heading4"/>
        <w:keepNext w:val="0"/>
        <w:keepLines w:val="0"/>
        <w:numPr>
          <w:ilvl w:val="1"/>
          <w:numId w:val="1"/>
        </w:numPr>
        <w:tabs>
          <w:tab w:val="clear" w:pos="567"/>
          <w:tab w:val="decimal" w:pos="1701"/>
        </w:tabs>
        <w:adjustRightInd w:val="0"/>
        <w:spacing w:after="160"/>
        <w:ind w:left="1701" w:hanging="567"/>
        <w:rPr>
          <w:b w:val="0"/>
          <w:noProof/>
          <w:lang w:val="fr-FR"/>
        </w:rPr>
      </w:pPr>
      <w:r w:rsidRPr="000C2162">
        <w:rPr>
          <w:b w:val="0"/>
          <w:noProof/>
          <w:lang w:val="fr-FR"/>
        </w:rPr>
        <w:t>Rapports des États parties sur l’utilisation de l’assistance internationale du Fonds du patrimoine culturel immatériel</w:t>
      </w:r>
    </w:p>
    <w:p w:rsidR="005A43E4" w:rsidRPr="005A43E4" w:rsidRDefault="005A43E4" w:rsidP="005A43E4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rFonts w:cs="Arial"/>
          <w:b w:val="0"/>
          <w:noProof/>
          <w:szCs w:val="22"/>
          <w:lang w:val="fr-FR"/>
        </w:rPr>
      </w:pPr>
      <w:r w:rsidRPr="005A43E4">
        <w:rPr>
          <w:b w:val="0"/>
          <w:noProof/>
          <w:lang w:val="fr-FR"/>
        </w:rPr>
        <w:t>Rapport de l’Organe d’évaluation sur ses travaux en 2016</w:t>
      </w:r>
    </w:p>
    <w:p w:rsidR="005A43E4" w:rsidRPr="005A43E4" w:rsidRDefault="005A43E4" w:rsidP="005A43E4">
      <w:pPr>
        <w:pStyle w:val="Heading4"/>
        <w:keepNext w:val="0"/>
        <w:keepLines w:val="0"/>
        <w:numPr>
          <w:ilvl w:val="1"/>
          <w:numId w:val="1"/>
        </w:numPr>
        <w:tabs>
          <w:tab w:val="clear" w:pos="567"/>
          <w:tab w:val="decimal" w:pos="1701"/>
        </w:tabs>
        <w:adjustRightInd w:val="0"/>
        <w:spacing w:after="160"/>
        <w:ind w:left="1701" w:hanging="567"/>
        <w:rPr>
          <w:rFonts w:cs="Arial"/>
          <w:b w:val="0"/>
          <w:noProof/>
          <w:szCs w:val="22"/>
          <w:lang w:val="fr-FR"/>
        </w:rPr>
      </w:pPr>
      <w:r w:rsidRPr="005A43E4">
        <w:rPr>
          <w:b w:val="0"/>
          <w:noProof/>
          <w:lang w:val="fr-FR"/>
        </w:rPr>
        <w:t>Examen des candidatures pour inscription sur la Liste du patrimoine culturel immatériel nécessitant une sauvegarde urgente</w:t>
      </w:r>
    </w:p>
    <w:p w:rsidR="005A43E4" w:rsidRPr="005A43E4" w:rsidRDefault="005A43E4" w:rsidP="005A43E4">
      <w:pPr>
        <w:pStyle w:val="Heading4"/>
        <w:keepNext w:val="0"/>
        <w:keepLines w:val="0"/>
        <w:numPr>
          <w:ilvl w:val="1"/>
          <w:numId w:val="1"/>
        </w:numPr>
        <w:tabs>
          <w:tab w:val="clear" w:pos="567"/>
          <w:tab w:val="decimal" w:pos="1701"/>
        </w:tabs>
        <w:adjustRightInd w:val="0"/>
        <w:spacing w:after="160"/>
        <w:ind w:left="1701" w:hanging="567"/>
        <w:rPr>
          <w:rFonts w:cs="Arial"/>
          <w:b w:val="0"/>
          <w:noProof/>
          <w:szCs w:val="22"/>
          <w:lang w:val="fr-FR"/>
        </w:rPr>
      </w:pPr>
      <w:r w:rsidRPr="005A43E4">
        <w:rPr>
          <w:b w:val="0"/>
          <w:noProof/>
          <w:lang w:val="fr-FR"/>
        </w:rPr>
        <w:t>Examen des candidatures pour inscription sur la Liste représentative du patrimoine culturel immatériel de l’humanité</w:t>
      </w:r>
    </w:p>
    <w:p w:rsidR="00DD7308" w:rsidRPr="00DD7308" w:rsidRDefault="00DD7308" w:rsidP="00DD7308">
      <w:pPr>
        <w:pStyle w:val="Heading4"/>
        <w:keepNext w:val="0"/>
        <w:keepLines w:val="0"/>
        <w:numPr>
          <w:ilvl w:val="1"/>
          <w:numId w:val="1"/>
        </w:numPr>
        <w:tabs>
          <w:tab w:val="clear" w:pos="567"/>
          <w:tab w:val="decimal" w:pos="1701"/>
        </w:tabs>
        <w:adjustRightInd w:val="0"/>
        <w:spacing w:after="160"/>
        <w:ind w:left="1701" w:hanging="567"/>
        <w:rPr>
          <w:b w:val="0"/>
          <w:noProof/>
          <w:lang w:val="fr-FR"/>
        </w:rPr>
      </w:pPr>
      <w:r w:rsidRPr="00DD7308">
        <w:rPr>
          <w:b w:val="0"/>
          <w:noProof/>
          <w:lang w:val="fr-FR"/>
        </w:rPr>
        <w:t>Examen des propositions au Registre des meilleures pratiques de sauvegarde</w:t>
      </w:r>
    </w:p>
    <w:p w:rsidR="005A43E4" w:rsidRPr="005A43E4" w:rsidRDefault="005A43E4" w:rsidP="005A43E4">
      <w:pPr>
        <w:keepNext/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Cs w:val="22"/>
          <w:lang w:val="fr-FR" w:eastAsia="en-US"/>
        </w:rPr>
      </w:pPr>
      <w:r w:rsidRPr="005A43E4">
        <w:rPr>
          <w:rFonts w:ascii="Arial" w:hAnsi="Arial" w:cs="Arial"/>
          <w:noProof/>
          <w:szCs w:val="22"/>
          <w:lang w:val="fr-FR" w:eastAsia="en-US"/>
        </w:rPr>
        <w:t>Établissement de l’Organe d’évaluation pour le cycle 2017</w:t>
      </w:r>
    </w:p>
    <w:p w:rsidR="00757A42" w:rsidRPr="005A43E4" w:rsidRDefault="005A43E4" w:rsidP="005A43E4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  <w:lang w:val="fr-FR"/>
        </w:rPr>
      </w:pPr>
      <w:r w:rsidRPr="005A43E4">
        <w:rPr>
          <w:b w:val="0"/>
          <w:noProof/>
          <w:lang w:val="fr-FR"/>
        </w:rPr>
        <w:t>Nombre de do</w:t>
      </w:r>
      <w:r>
        <w:rPr>
          <w:b w:val="0"/>
          <w:noProof/>
          <w:lang w:val="fr-FR"/>
        </w:rPr>
        <w:t>ssiers soumis pour le cycle 2017</w:t>
      </w:r>
      <w:r w:rsidRPr="005A43E4">
        <w:rPr>
          <w:b w:val="0"/>
          <w:noProof/>
          <w:lang w:val="fr-FR"/>
        </w:rPr>
        <w:t xml:space="preserve"> et nombre de dossiers pouvant ê</w:t>
      </w:r>
      <w:r>
        <w:rPr>
          <w:b w:val="0"/>
          <w:noProof/>
          <w:lang w:val="fr-FR"/>
        </w:rPr>
        <w:t>tre traités pour les cycles 2018 et 2019</w:t>
      </w:r>
    </w:p>
    <w:p w:rsidR="00DD7308" w:rsidRPr="00210606" w:rsidRDefault="00210606" w:rsidP="00210606">
      <w:pPr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Cs w:val="22"/>
          <w:lang w:val="fr-FR" w:eastAsia="en-US"/>
        </w:rPr>
      </w:pPr>
      <w:r w:rsidRPr="00210606">
        <w:rPr>
          <w:rFonts w:ascii="Arial" w:hAnsi="Arial" w:cs="Arial"/>
          <w:noProof/>
          <w:szCs w:val="22"/>
          <w:lang w:val="fr-FR" w:eastAsia="en-US"/>
        </w:rPr>
        <w:t>R</w:t>
      </w:r>
      <w:r w:rsidR="00DD7308" w:rsidRPr="00210606">
        <w:rPr>
          <w:rFonts w:ascii="Arial" w:hAnsi="Arial" w:cs="Arial"/>
          <w:noProof/>
          <w:szCs w:val="22"/>
          <w:lang w:val="fr-FR" w:eastAsia="en-US"/>
        </w:rPr>
        <w:t>éflexion sur</w:t>
      </w:r>
      <w:r w:rsidRPr="00210606">
        <w:rPr>
          <w:rFonts w:ascii="Arial" w:hAnsi="Arial" w:cs="Arial"/>
          <w:noProof/>
          <w:szCs w:val="22"/>
          <w:lang w:val="fr-FR" w:eastAsia="en-US"/>
        </w:rPr>
        <w:t xml:space="preserve"> le transfert d’un élément d’une liste à l’autre </w:t>
      </w:r>
      <w:r w:rsidR="003760FA">
        <w:rPr>
          <w:rFonts w:ascii="Arial" w:hAnsi="Arial" w:cs="Arial"/>
          <w:noProof/>
          <w:szCs w:val="22"/>
          <w:lang w:val="fr-FR" w:eastAsia="en-US"/>
        </w:rPr>
        <w:t>et</w:t>
      </w:r>
      <w:r w:rsidRPr="00210606">
        <w:rPr>
          <w:rFonts w:ascii="Arial" w:hAnsi="Arial" w:cs="Arial"/>
          <w:noProof/>
          <w:szCs w:val="22"/>
          <w:lang w:val="fr-FR" w:eastAsia="en-US"/>
        </w:rPr>
        <w:t xml:space="preserve"> </w:t>
      </w:r>
      <w:r w:rsidR="0022138D">
        <w:rPr>
          <w:rFonts w:ascii="Arial" w:hAnsi="Arial" w:cs="Arial"/>
          <w:noProof/>
          <w:szCs w:val="22"/>
          <w:lang w:val="fr-FR" w:eastAsia="en-US"/>
        </w:rPr>
        <w:t xml:space="preserve">le </w:t>
      </w:r>
      <w:r w:rsidRPr="00210606">
        <w:rPr>
          <w:rFonts w:ascii="Arial" w:hAnsi="Arial" w:cs="Arial"/>
          <w:noProof/>
          <w:szCs w:val="22"/>
          <w:lang w:val="fr-FR" w:eastAsia="en-US"/>
        </w:rPr>
        <w:t>retrait d’un élément d’une liste</w:t>
      </w:r>
    </w:p>
    <w:p w:rsidR="00210606" w:rsidRPr="00B569DC" w:rsidRDefault="00B569DC" w:rsidP="00B569DC">
      <w:pPr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Cs w:val="22"/>
          <w:lang w:val="fr-FR" w:eastAsia="en-US"/>
        </w:rPr>
      </w:pPr>
      <w:r w:rsidRPr="00B569DC">
        <w:rPr>
          <w:rFonts w:ascii="Arial" w:hAnsi="Arial" w:cs="Arial"/>
          <w:noProof/>
          <w:szCs w:val="22"/>
          <w:lang w:val="fr-FR" w:eastAsia="en-US"/>
        </w:rPr>
        <w:lastRenderedPageBreak/>
        <w:t>R</w:t>
      </w:r>
      <w:r w:rsidR="00210606" w:rsidRPr="00B569DC">
        <w:rPr>
          <w:rFonts w:ascii="Arial" w:hAnsi="Arial" w:cs="Arial"/>
          <w:noProof/>
          <w:szCs w:val="22"/>
          <w:lang w:val="fr-FR" w:eastAsia="en-US"/>
        </w:rPr>
        <w:t xml:space="preserve">éunion préliminaire d’experts </w:t>
      </w:r>
      <w:r w:rsidRPr="00B569DC">
        <w:rPr>
          <w:rFonts w:ascii="Arial" w:hAnsi="Arial" w:cs="Arial"/>
          <w:noProof/>
          <w:szCs w:val="22"/>
          <w:lang w:val="fr-FR" w:eastAsia="en-US"/>
        </w:rPr>
        <w:t>sur l’élaboration d’</w:t>
      </w:r>
      <w:r w:rsidR="00210606" w:rsidRPr="00B569DC">
        <w:rPr>
          <w:rFonts w:ascii="Arial" w:hAnsi="Arial" w:cs="Arial"/>
          <w:noProof/>
          <w:szCs w:val="22"/>
          <w:lang w:val="fr-FR" w:eastAsia="en-US"/>
        </w:rPr>
        <w:t>un cadre global de résultats pour la Convention</w:t>
      </w:r>
    </w:p>
    <w:p w:rsidR="00754731" w:rsidRPr="00754731" w:rsidRDefault="00754731" w:rsidP="00754731">
      <w:pPr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Cs w:val="22"/>
          <w:lang w:val="fr-FR" w:eastAsia="en-US"/>
        </w:rPr>
      </w:pPr>
      <w:r w:rsidRPr="00754731">
        <w:rPr>
          <w:rFonts w:ascii="Arial" w:hAnsi="Arial" w:cs="Arial"/>
          <w:noProof/>
          <w:szCs w:val="22"/>
          <w:lang w:val="fr-FR" w:eastAsia="en-US"/>
        </w:rPr>
        <w:t>Le patrimoine culturel immatériel dans les situations d’urgence</w:t>
      </w:r>
    </w:p>
    <w:p w:rsidR="005A43E4" w:rsidRPr="001B15D5" w:rsidRDefault="005A43E4" w:rsidP="005A43E4">
      <w:pPr>
        <w:keepNext/>
        <w:numPr>
          <w:ilvl w:val="0"/>
          <w:numId w:val="1"/>
        </w:numPr>
        <w:tabs>
          <w:tab w:val="decimal" w:pos="1134"/>
        </w:tabs>
        <w:adjustRightInd w:val="0"/>
        <w:spacing w:after="160"/>
        <w:ind w:left="1134" w:hanging="567"/>
        <w:rPr>
          <w:rFonts w:ascii="Arial" w:hAnsi="Arial" w:cs="Arial"/>
          <w:noProof/>
          <w:szCs w:val="22"/>
          <w:lang w:val="fr-FR" w:eastAsia="en-US"/>
        </w:rPr>
      </w:pPr>
      <w:r w:rsidRPr="001B15D5">
        <w:rPr>
          <w:rFonts w:ascii="Arial" w:hAnsi="Arial" w:cs="Arial"/>
          <w:noProof/>
          <w:szCs w:val="22"/>
          <w:lang w:val="fr-FR" w:eastAsia="en-US"/>
        </w:rPr>
        <w:t xml:space="preserve">Date et lieu de la douzième session du Comité </w:t>
      </w:r>
    </w:p>
    <w:p w:rsidR="005A43E4" w:rsidRPr="005A43E4" w:rsidRDefault="005A43E4" w:rsidP="005A43E4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  <w:lang w:val="fr-FR"/>
        </w:rPr>
      </w:pPr>
      <w:r w:rsidRPr="005A43E4">
        <w:rPr>
          <w:b w:val="0"/>
          <w:noProof/>
          <w:lang w:val="fr-FR"/>
        </w:rPr>
        <w:t xml:space="preserve">Élection des membres du Bureau de la </w:t>
      </w:r>
      <w:r>
        <w:rPr>
          <w:b w:val="0"/>
          <w:noProof/>
          <w:lang w:val="fr-FR"/>
        </w:rPr>
        <w:t xml:space="preserve">douzième </w:t>
      </w:r>
      <w:r w:rsidRPr="005A43E4">
        <w:rPr>
          <w:b w:val="0"/>
          <w:noProof/>
          <w:lang w:val="fr-FR"/>
        </w:rPr>
        <w:t xml:space="preserve">session du Comité </w:t>
      </w:r>
    </w:p>
    <w:p w:rsidR="005A43E4" w:rsidRPr="009C5A66" w:rsidRDefault="005A43E4" w:rsidP="005A43E4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</w:rPr>
      </w:pPr>
      <w:r w:rsidRPr="009C5A66">
        <w:rPr>
          <w:b w:val="0"/>
          <w:noProof/>
        </w:rPr>
        <w:t xml:space="preserve">Questions diverses </w:t>
      </w:r>
    </w:p>
    <w:p w:rsidR="005A43E4" w:rsidRPr="005A43E4" w:rsidRDefault="005A43E4" w:rsidP="005A43E4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  <w:lang w:val="fr-FR"/>
        </w:rPr>
      </w:pPr>
      <w:r w:rsidRPr="005A43E4">
        <w:rPr>
          <w:b w:val="0"/>
          <w:noProof/>
          <w:lang w:val="fr-FR"/>
        </w:rPr>
        <w:t xml:space="preserve">Adoption de la liste des décisions </w:t>
      </w:r>
    </w:p>
    <w:p w:rsidR="005A43E4" w:rsidRPr="000D4FA8" w:rsidRDefault="005A43E4" w:rsidP="005A43E4">
      <w:pPr>
        <w:pStyle w:val="Heading4"/>
        <w:keepNext w:val="0"/>
        <w:keepLines w:val="0"/>
        <w:numPr>
          <w:ilvl w:val="0"/>
          <w:numId w:val="1"/>
        </w:numPr>
        <w:tabs>
          <w:tab w:val="clear" w:pos="567"/>
          <w:tab w:val="left" w:pos="1134"/>
          <w:tab w:val="decimal" w:pos="1701"/>
        </w:tabs>
        <w:adjustRightInd w:val="0"/>
        <w:spacing w:after="160"/>
        <w:ind w:left="1134" w:hanging="567"/>
        <w:rPr>
          <w:b w:val="0"/>
          <w:noProof/>
        </w:rPr>
      </w:pPr>
      <w:r w:rsidRPr="009C5A66">
        <w:rPr>
          <w:b w:val="0"/>
          <w:noProof/>
        </w:rPr>
        <w:t xml:space="preserve">Clôture </w:t>
      </w:r>
    </w:p>
    <w:p w:rsidR="00E22B99" w:rsidRDefault="00E22B99" w:rsidP="000C18CC">
      <w:pPr>
        <w:pStyle w:val="1GAPara"/>
        <w:numPr>
          <w:ilvl w:val="0"/>
          <w:numId w:val="0"/>
        </w:numPr>
      </w:pPr>
    </w:p>
    <w:sectPr w:rsidR="00E22B99" w:rsidSect="002938F2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A1" w:rsidRDefault="005414A1" w:rsidP="002938F2">
      <w:r>
        <w:separator/>
      </w:r>
    </w:p>
    <w:p w:rsidR="005414A1" w:rsidRDefault="005414A1"/>
  </w:endnote>
  <w:endnote w:type="continuationSeparator" w:id="0">
    <w:p w:rsidR="005414A1" w:rsidRDefault="005414A1" w:rsidP="002938F2">
      <w:r>
        <w:continuationSeparator/>
      </w:r>
    </w:p>
    <w:p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A1" w:rsidRDefault="005414A1" w:rsidP="002938F2">
      <w:r>
        <w:separator/>
      </w:r>
    </w:p>
    <w:p w:rsidR="005414A1" w:rsidRDefault="005414A1"/>
  </w:footnote>
  <w:footnote w:type="continuationSeparator" w:id="0">
    <w:p w:rsidR="005414A1" w:rsidRDefault="005414A1" w:rsidP="002938F2">
      <w:r>
        <w:continuationSeparator/>
      </w:r>
    </w:p>
    <w:p w:rsidR="005414A1" w:rsidRDefault="00541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A" w:rsidRPr="007E4E37" w:rsidRDefault="005414A1" w:rsidP="007E4E37">
    <w:pPr>
      <w:pStyle w:val="Header"/>
      <w:rPr>
        <w:rFonts w:ascii="Arial" w:hAnsi="Arial" w:cs="Arial"/>
      </w:rPr>
    </w:pPr>
    <w:r w:rsidRPr="00E70697">
      <w:rPr>
        <w:rFonts w:ascii="Arial" w:hAnsi="Arial" w:cs="Arial"/>
        <w:sz w:val="20"/>
        <w:szCs w:val="20"/>
      </w:rPr>
      <w:t>ITH/16</w:t>
    </w:r>
    <w:r w:rsidR="006A0D86" w:rsidRPr="00E70697">
      <w:rPr>
        <w:rFonts w:ascii="Arial" w:hAnsi="Arial" w:cs="Arial"/>
        <w:sz w:val="20"/>
        <w:szCs w:val="20"/>
      </w:rPr>
      <w:t>/11</w:t>
    </w:r>
    <w:r w:rsidR="007E4E37" w:rsidRPr="00E70697">
      <w:rPr>
        <w:rFonts w:ascii="Arial" w:hAnsi="Arial" w:cs="Arial"/>
        <w:sz w:val="20"/>
        <w:szCs w:val="20"/>
      </w:rPr>
      <w:t>.COM</w:t>
    </w:r>
    <w:r w:rsidR="000A34CE" w:rsidRPr="00E70697">
      <w:rPr>
        <w:rFonts w:ascii="Arial" w:hAnsi="Arial" w:cs="Arial"/>
        <w:sz w:val="20"/>
        <w:szCs w:val="20"/>
      </w:rPr>
      <w:t>/</w:t>
    </w:r>
    <w:r w:rsidR="00E70697" w:rsidRPr="00E70697">
      <w:rPr>
        <w:rFonts w:ascii="Arial" w:hAnsi="Arial" w:cs="Arial"/>
        <w:sz w:val="20"/>
        <w:szCs w:val="20"/>
      </w:rPr>
      <w:t>2</w:t>
    </w:r>
    <w:r w:rsidR="00754731">
      <w:rPr>
        <w:rFonts w:ascii="Arial" w:hAnsi="Arial" w:cs="Arial"/>
        <w:sz w:val="20"/>
        <w:szCs w:val="20"/>
      </w:rPr>
      <w:t xml:space="preserve"> Rev.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610B91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A" w:rsidRPr="007E4E37" w:rsidRDefault="0067005F" w:rsidP="007E4E37">
    <w:pPr>
      <w:pStyle w:val="Header"/>
      <w:ind w:left="2544" w:firstLine="3828"/>
      <w:jc w:val="right"/>
      <w:rPr>
        <w:rFonts w:ascii="Arial" w:hAnsi="Arial" w:cs="Arial"/>
      </w:rPr>
    </w:pPr>
    <w:r w:rsidRPr="00E70697">
      <w:rPr>
        <w:rFonts w:ascii="Arial" w:hAnsi="Arial" w:cs="Arial"/>
        <w:sz w:val="20"/>
        <w:szCs w:val="20"/>
        <w:lang w:val="en-US"/>
      </w:rPr>
      <w:t>ITH/1</w:t>
    </w:r>
    <w:r w:rsidR="00562B8F">
      <w:rPr>
        <w:rFonts w:ascii="Arial" w:hAnsi="Arial" w:cs="Arial"/>
        <w:sz w:val="20"/>
        <w:szCs w:val="20"/>
        <w:lang w:val="en-US"/>
      </w:rPr>
      <w:t>6</w:t>
    </w:r>
    <w:r w:rsidRPr="00E70697">
      <w:rPr>
        <w:rFonts w:ascii="Arial" w:hAnsi="Arial" w:cs="Arial"/>
        <w:sz w:val="20"/>
        <w:szCs w:val="20"/>
        <w:lang w:val="en-US"/>
      </w:rPr>
      <w:t>/1</w:t>
    </w:r>
    <w:r w:rsidR="00562B8F">
      <w:rPr>
        <w:rFonts w:ascii="Arial" w:hAnsi="Arial" w:cs="Arial"/>
        <w:sz w:val="20"/>
        <w:szCs w:val="20"/>
        <w:lang w:val="en-US"/>
      </w:rPr>
      <w:t>1</w:t>
    </w:r>
    <w:r w:rsidR="007E4E37" w:rsidRPr="00E70697">
      <w:rPr>
        <w:rFonts w:ascii="Arial" w:hAnsi="Arial" w:cs="Arial"/>
        <w:sz w:val="20"/>
        <w:szCs w:val="20"/>
        <w:lang w:val="en-US"/>
      </w:rPr>
      <w:t>.COM</w:t>
    </w:r>
    <w:r w:rsidR="001E4EEB" w:rsidRPr="00E70697">
      <w:rPr>
        <w:rFonts w:ascii="Arial" w:hAnsi="Arial" w:cs="Arial"/>
        <w:sz w:val="20"/>
        <w:szCs w:val="20"/>
        <w:lang w:val="en-US"/>
      </w:rPr>
      <w:t>/</w:t>
    </w:r>
    <w:r w:rsidR="00E70697" w:rsidRPr="00E70697">
      <w:rPr>
        <w:rFonts w:ascii="Arial" w:hAnsi="Arial" w:cs="Arial"/>
        <w:sz w:val="20"/>
        <w:szCs w:val="20"/>
        <w:lang w:val="en-US"/>
      </w:rPr>
      <w:t>2</w:t>
    </w:r>
    <w:r w:rsidR="00754731">
      <w:rPr>
        <w:rFonts w:ascii="Arial" w:hAnsi="Arial" w:cs="Arial"/>
        <w:sz w:val="20"/>
        <w:szCs w:val="20"/>
        <w:lang w:val="en-US"/>
      </w:rPr>
      <w:t xml:space="preserve"> Rev.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610B91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A" w:rsidRPr="008724E5" w:rsidRDefault="00B6167A">
    <w:pPr>
      <w:pStyle w:val="Header"/>
    </w:pPr>
  </w:p>
  <w:p w:rsidR="00B6167A" w:rsidRPr="00890CA1" w:rsidRDefault="00610B91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74853D37" wp14:editId="368A5700">
          <wp:simplePos x="0" y="0"/>
          <wp:positionH relativeFrom="column">
            <wp:posOffset>-377825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650" w:rsidRPr="00890CA1">
      <w:rPr>
        <w:rFonts w:ascii="Arial" w:hAnsi="Arial" w:cs="Arial"/>
        <w:b/>
        <w:sz w:val="44"/>
        <w:szCs w:val="44"/>
        <w:lang w:val="pt-BR"/>
      </w:rPr>
      <w:t>11</w:t>
    </w:r>
    <w:r w:rsidR="00B6167A" w:rsidRPr="00890CA1">
      <w:rPr>
        <w:rFonts w:ascii="Arial" w:hAnsi="Arial" w:cs="Arial"/>
        <w:b/>
        <w:sz w:val="44"/>
        <w:szCs w:val="44"/>
        <w:lang w:val="pt-BR"/>
      </w:rPr>
      <w:t xml:space="preserve"> </w:t>
    </w:r>
    <w:r w:rsidR="007E4E37" w:rsidRPr="00890CA1">
      <w:rPr>
        <w:rFonts w:ascii="Arial" w:hAnsi="Arial" w:cs="Arial"/>
        <w:b/>
        <w:sz w:val="44"/>
        <w:szCs w:val="44"/>
        <w:lang w:val="pt-BR"/>
      </w:rPr>
      <w:t>COM</w:t>
    </w:r>
  </w:p>
  <w:p w:rsidR="00B6167A" w:rsidRPr="00890CA1" w:rsidRDefault="006A0D86" w:rsidP="002D396D">
    <w:pPr>
      <w:spacing w:after="0"/>
      <w:jc w:val="right"/>
      <w:rPr>
        <w:rFonts w:ascii="Arial" w:hAnsi="Arial" w:cs="Arial"/>
        <w:b/>
        <w:szCs w:val="22"/>
        <w:lang w:val="pt-BR"/>
      </w:rPr>
    </w:pPr>
    <w:r w:rsidRPr="00890CA1">
      <w:rPr>
        <w:rFonts w:ascii="Arial" w:hAnsi="Arial" w:cs="Arial"/>
        <w:b/>
        <w:szCs w:val="22"/>
        <w:lang w:val="pt-BR"/>
      </w:rPr>
      <w:t>ITH/16</w:t>
    </w:r>
    <w:r w:rsidR="00B6167A" w:rsidRPr="00890CA1">
      <w:rPr>
        <w:rFonts w:ascii="Arial" w:hAnsi="Arial" w:cs="Arial"/>
        <w:b/>
        <w:szCs w:val="22"/>
        <w:lang w:val="pt-BR"/>
      </w:rPr>
      <w:t>/</w:t>
    </w:r>
    <w:r w:rsidR="005414A1" w:rsidRPr="00890CA1">
      <w:rPr>
        <w:rFonts w:ascii="Arial" w:hAnsi="Arial" w:cs="Arial"/>
        <w:b/>
        <w:szCs w:val="22"/>
        <w:lang w:val="pt-BR"/>
      </w:rPr>
      <w:t>11</w:t>
    </w:r>
    <w:r w:rsidR="00B6167A" w:rsidRPr="00890CA1">
      <w:rPr>
        <w:rFonts w:ascii="Arial" w:hAnsi="Arial" w:cs="Arial"/>
        <w:b/>
        <w:szCs w:val="22"/>
        <w:lang w:val="pt-BR"/>
      </w:rPr>
      <w:t>.</w:t>
    </w:r>
    <w:r w:rsidR="007E4E37" w:rsidRPr="00890CA1">
      <w:rPr>
        <w:rFonts w:ascii="Arial" w:hAnsi="Arial" w:cs="Arial"/>
        <w:b/>
        <w:szCs w:val="22"/>
        <w:lang w:val="pt-BR"/>
      </w:rPr>
      <w:t>COM</w:t>
    </w:r>
    <w:r w:rsidR="00B6167A" w:rsidRPr="00890CA1">
      <w:rPr>
        <w:rFonts w:ascii="Arial" w:hAnsi="Arial" w:cs="Arial"/>
        <w:b/>
        <w:szCs w:val="22"/>
        <w:lang w:val="pt-BR"/>
      </w:rPr>
      <w:t>/</w:t>
    </w:r>
    <w:r w:rsidR="00E70697" w:rsidRPr="00890CA1">
      <w:rPr>
        <w:rFonts w:ascii="Arial" w:hAnsi="Arial" w:cs="Arial"/>
        <w:b/>
        <w:szCs w:val="22"/>
        <w:lang w:val="pt-BR"/>
      </w:rPr>
      <w:t>2</w:t>
    </w:r>
    <w:r w:rsidR="00903C0F">
      <w:rPr>
        <w:rFonts w:ascii="Arial" w:hAnsi="Arial" w:cs="Arial"/>
        <w:b/>
        <w:szCs w:val="22"/>
        <w:lang w:val="pt-BR"/>
      </w:rPr>
      <w:t xml:space="preserve"> Rev.</w:t>
    </w:r>
  </w:p>
  <w:p w:rsidR="00B6167A" w:rsidRPr="00890CA1" w:rsidRDefault="00B6167A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890CA1">
      <w:rPr>
        <w:rFonts w:ascii="Arial" w:hAnsi="Arial" w:cs="Arial"/>
        <w:b/>
        <w:szCs w:val="22"/>
        <w:lang w:val="fr-FR"/>
      </w:rPr>
      <w:t xml:space="preserve">Paris, </w:t>
    </w:r>
    <w:r w:rsidR="00890CA1" w:rsidRPr="00890CA1">
      <w:rPr>
        <w:rFonts w:ascii="Arial" w:hAnsi="Arial" w:cs="Arial"/>
        <w:b/>
        <w:szCs w:val="22"/>
        <w:lang w:val="fr-FR"/>
      </w:rPr>
      <w:t xml:space="preserve">le </w:t>
    </w:r>
    <w:r w:rsidR="004560A2">
      <w:rPr>
        <w:rFonts w:ascii="Arial" w:hAnsi="Arial" w:cs="Arial"/>
        <w:b/>
        <w:szCs w:val="22"/>
        <w:lang w:val="fr-FR"/>
      </w:rPr>
      <w:t>6</w:t>
    </w:r>
    <w:r w:rsidR="00EF2450" w:rsidRPr="00890CA1">
      <w:rPr>
        <w:rFonts w:ascii="Arial" w:hAnsi="Arial" w:cs="Arial"/>
        <w:b/>
        <w:szCs w:val="22"/>
        <w:lang w:val="fr-FR"/>
      </w:rPr>
      <w:t xml:space="preserve"> </w:t>
    </w:r>
    <w:r w:rsidR="00754731">
      <w:rPr>
        <w:rFonts w:ascii="Arial" w:hAnsi="Arial" w:cs="Arial"/>
        <w:b/>
        <w:szCs w:val="22"/>
        <w:lang w:val="fr-FR"/>
      </w:rPr>
      <w:t>octobre</w:t>
    </w:r>
    <w:r w:rsidR="005414A1" w:rsidRPr="00890CA1">
      <w:rPr>
        <w:rFonts w:ascii="Arial" w:hAnsi="Arial" w:cs="Arial"/>
        <w:b/>
        <w:szCs w:val="22"/>
        <w:lang w:val="fr-FR"/>
      </w:rPr>
      <w:t xml:space="preserve"> 2016</w:t>
    </w:r>
  </w:p>
  <w:p w:rsidR="00B6167A" w:rsidRPr="00890CA1" w:rsidRDefault="00B6167A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890CA1">
      <w:rPr>
        <w:rFonts w:ascii="Arial" w:hAnsi="Arial" w:cs="Arial"/>
        <w:b/>
        <w:szCs w:val="22"/>
        <w:lang w:val="fr-FR"/>
      </w:rPr>
      <w:t xml:space="preserve">Original: </w:t>
    </w:r>
    <w:r w:rsidR="00EF2450" w:rsidRPr="00890CA1">
      <w:rPr>
        <w:rFonts w:ascii="Arial" w:hAnsi="Arial" w:cs="Arial"/>
        <w:b/>
        <w:szCs w:val="22"/>
        <w:lang w:val="fr-FR"/>
      </w:rPr>
      <w:t>anglais</w:t>
    </w:r>
  </w:p>
  <w:p w:rsidR="00B6167A" w:rsidRPr="00890CA1" w:rsidRDefault="00B6167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A1"/>
    <w:rsid w:val="000016A4"/>
    <w:rsid w:val="000019DB"/>
    <w:rsid w:val="000047CC"/>
    <w:rsid w:val="000120FD"/>
    <w:rsid w:val="00021831"/>
    <w:rsid w:val="00047E58"/>
    <w:rsid w:val="00073D20"/>
    <w:rsid w:val="000755E1"/>
    <w:rsid w:val="00080DBA"/>
    <w:rsid w:val="00085541"/>
    <w:rsid w:val="00093063"/>
    <w:rsid w:val="000A34CE"/>
    <w:rsid w:val="000B5DFD"/>
    <w:rsid w:val="000C18CC"/>
    <w:rsid w:val="000C2162"/>
    <w:rsid w:val="000C65E4"/>
    <w:rsid w:val="00106B72"/>
    <w:rsid w:val="0011750D"/>
    <w:rsid w:val="001412DE"/>
    <w:rsid w:val="00144A4D"/>
    <w:rsid w:val="00151351"/>
    <w:rsid w:val="00174B39"/>
    <w:rsid w:val="001A431C"/>
    <w:rsid w:val="001B15D5"/>
    <w:rsid w:val="001D00B5"/>
    <w:rsid w:val="001D3B29"/>
    <w:rsid w:val="001E4EEB"/>
    <w:rsid w:val="001E6026"/>
    <w:rsid w:val="001F3696"/>
    <w:rsid w:val="001F37CA"/>
    <w:rsid w:val="001F770F"/>
    <w:rsid w:val="00204B37"/>
    <w:rsid w:val="00210606"/>
    <w:rsid w:val="0022138D"/>
    <w:rsid w:val="00237E43"/>
    <w:rsid w:val="0027198B"/>
    <w:rsid w:val="00282A72"/>
    <w:rsid w:val="00286C0C"/>
    <w:rsid w:val="00290D5F"/>
    <w:rsid w:val="002938F2"/>
    <w:rsid w:val="002B3D59"/>
    <w:rsid w:val="002C5280"/>
    <w:rsid w:val="002D396D"/>
    <w:rsid w:val="0035648A"/>
    <w:rsid w:val="0036248A"/>
    <w:rsid w:val="00363995"/>
    <w:rsid w:val="003707B1"/>
    <w:rsid w:val="003760FA"/>
    <w:rsid w:val="003776DB"/>
    <w:rsid w:val="0039446E"/>
    <w:rsid w:val="003C7065"/>
    <w:rsid w:val="003F75F2"/>
    <w:rsid w:val="004108B6"/>
    <w:rsid w:val="00434773"/>
    <w:rsid w:val="00447C66"/>
    <w:rsid w:val="004560A2"/>
    <w:rsid w:val="00471B34"/>
    <w:rsid w:val="00482CDE"/>
    <w:rsid w:val="004E056C"/>
    <w:rsid w:val="004E2817"/>
    <w:rsid w:val="005016FB"/>
    <w:rsid w:val="00511D17"/>
    <w:rsid w:val="0051699F"/>
    <w:rsid w:val="00531C89"/>
    <w:rsid w:val="005414A1"/>
    <w:rsid w:val="00562B8F"/>
    <w:rsid w:val="005A43E4"/>
    <w:rsid w:val="005C0660"/>
    <w:rsid w:val="00601DD6"/>
    <w:rsid w:val="00610B91"/>
    <w:rsid w:val="00636760"/>
    <w:rsid w:val="006515C9"/>
    <w:rsid w:val="00652318"/>
    <w:rsid w:val="0067005F"/>
    <w:rsid w:val="006A0D86"/>
    <w:rsid w:val="006D4267"/>
    <w:rsid w:val="006D46FB"/>
    <w:rsid w:val="007354EE"/>
    <w:rsid w:val="00746204"/>
    <w:rsid w:val="00747715"/>
    <w:rsid w:val="00750138"/>
    <w:rsid w:val="00753DA3"/>
    <w:rsid w:val="00754731"/>
    <w:rsid w:val="00757A42"/>
    <w:rsid w:val="00764F50"/>
    <w:rsid w:val="00770A92"/>
    <w:rsid w:val="00790C65"/>
    <w:rsid w:val="007A7D45"/>
    <w:rsid w:val="007C1B00"/>
    <w:rsid w:val="007D31CE"/>
    <w:rsid w:val="007D5BB7"/>
    <w:rsid w:val="007E0621"/>
    <w:rsid w:val="007E4E37"/>
    <w:rsid w:val="007F4B07"/>
    <w:rsid w:val="0083488D"/>
    <w:rsid w:val="008466C3"/>
    <w:rsid w:val="00851458"/>
    <w:rsid w:val="008542E6"/>
    <w:rsid w:val="00861A47"/>
    <w:rsid w:val="008707FF"/>
    <w:rsid w:val="008724E5"/>
    <w:rsid w:val="00890CA1"/>
    <w:rsid w:val="008D3BF7"/>
    <w:rsid w:val="008F16C6"/>
    <w:rsid w:val="008F34A1"/>
    <w:rsid w:val="00903C0F"/>
    <w:rsid w:val="009121CE"/>
    <w:rsid w:val="009127D8"/>
    <w:rsid w:val="00921F65"/>
    <w:rsid w:val="0097349C"/>
    <w:rsid w:val="009D3857"/>
    <w:rsid w:val="009D4547"/>
    <w:rsid w:val="009D5E38"/>
    <w:rsid w:val="009F34A4"/>
    <w:rsid w:val="009F3988"/>
    <w:rsid w:val="00A028DB"/>
    <w:rsid w:val="00A02AEE"/>
    <w:rsid w:val="00A12BCF"/>
    <w:rsid w:val="00A150C7"/>
    <w:rsid w:val="00A23499"/>
    <w:rsid w:val="00A32734"/>
    <w:rsid w:val="00A519A2"/>
    <w:rsid w:val="00A70883"/>
    <w:rsid w:val="00A77AEB"/>
    <w:rsid w:val="00A86042"/>
    <w:rsid w:val="00AA444A"/>
    <w:rsid w:val="00AB1528"/>
    <w:rsid w:val="00AE1B18"/>
    <w:rsid w:val="00AF1C32"/>
    <w:rsid w:val="00B11AE3"/>
    <w:rsid w:val="00B569DC"/>
    <w:rsid w:val="00B6167A"/>
    <w:rsid w:val="00B973B5"/>
    <w:rsid w:val="00BA0EFE"/>
    <w:rsid w:val="00BC7550"/>
    <w:rsid w:val="00BD2571"/>
    <w:rsid w:val="00BD59BD"/>
    <w:rsid w:val="00BE68B8"/>
    <w:rsid w:val="00BF06BE"/>
    <w:rsid w:val="00C5697E"/>
    <w:rsid w:val="00C6478B"/>
    <w:rsid w:val="00CB0F37"/>
    <w:rsid w:val="00CC2BC6"/>
    <w:rsid w:val="00CE2586"/>
    <w:rsid w:val="00D404B7"/>
    <w:rsid w:val="00D434DE"/>
    <w:rsid w:val="00D809E5"/>
    <w:rsid w:val="00D81948"/>
    <w:rsid w:val="00D9501F"/>
    <w:rsid w:val="00DB3345"/>
    <w:rsid w:val="00DB50D5"/>
    <w:rsid w:val="00DD7308"/>
    <w:rsid w:val="00DF0A3C"/>
    <w:rsid w:val="00DF3DA3"/>
    <w:rsid w:val="00E06A00"/>
    <w:rsid w:val="00E22B99"/>
    <w:rsid w:val="00E258D9"/>
    <w:rsid w:val="00E439CA"/>
    <w:rsid w:val="00E5219B"/>
    <w:rsid w:val="00E70697"/>
    <w:rsid w:val="00EA198F"/>
    <w:rsid w:val="00EF0BCB"/>
    <w:rsid w:val="00EF0E74"/>
    <w:rsid w:val="00EF2450"/>
    <w:rsid w:val="00F00E8A"/>
    <w:rsid w:val="00F33650"/>
    <w:rsid w:val="00F473CB"/>
    <w:rsid w:val="00F50245"/>
    <w:rsid w:val="00F63DDA"/>
    <w:rsid w:val="00F70858"/>
    <w:rsid w:val="00F7397F"/>
    <w:rsid w:val="00F75949"/>
    <w:rsid w:val="00F941F0"/>
    <w:rsid w:val="00FB684B"/>
    <w:rsid w:val="00FD59CF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nhideWhenUsed/>
    <w:rsid w:val="00E70697"/>
    <w:rPr>
      <w:color w:val="0000FF"/>
      <w:u w:val="single"/>
    </w:rPr>
  </w:style>
  <w:style w:type="paragraph" w:customStyle="1" w:styleId="Sansinterligne2">
    <w:name w:val="Sans interligne2"/>
    <w:uiPriority w:val="1"/>
    <w:rsid w:val="003707B1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757A42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757A42"/>
    <w:pPr>
      <w:keepNext/>
      <w:spacing w:before="240"/>
      <w:ind w:left="567"/>
      <w:jc w:val="both"/>
    </w:pPr>
    <w:rPr>
      <w:rFonts w:ascii="Arial" w:hAnsi="Arial" w:cs="Arial"/>
      <w:b/>
      <w:szCs w:val="22"/>
    </w:rPr>
  </w:style>
  <w:style w:type="paragraph" w:customStyle="1" w:styleId="COMPreambulaDecisions">
    <w:name w:val="COM Preambula Decisions"/>
    <w:basedOn w:val="Normal"/>
    <w:qFormat/>
    <w:rsid w:val="00757A42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COMParaDecision">
    <w:name w:val="COM Para Decision"/>
    <w:basedOn w:val="Normal"/>
    <w:qFormat/>
    <w:rsid w:val="00757A42"/>
    <w:pPr>
      <w:numPr>
        <w:numId w:val="11"/>
      </w:numPr>
      <w:autoSpaceDE w:val="0"/>
      <w:autoSpaceDN w:val="0"/>
      <w:adjustRightInd w:val="0"/>
      <w:ind w:left="1134" w:hanging="567"/>
      <w:jc w:val="both"/>
    </w:pPr>
    <w:rPr>
      <w:rFonts w:ascii="Arial" w:eastAsia="SimSun" w:hAnsi="Arial" w:cs="Arial"/>
      <w:szCs w:val="22"/>
      <w:u w:val="single"/>
    </w:rPr>
  </w:style>
  <w:style w:type="paragraph" w:customStyle="1" w:styleId="COMPreambulaDecision">
    <w:name w:val="COM Preambula Decision"/>
    <w:basedOn w:val="Marge"/>
    <w:qFormat/>
    <w:rsid w:val="00757A42"/>
    <w:pPr>
      <w:keepNext/>
      <w:spacing w:after="120"/>
      <w:ind w:left="567"/>
    </w:pPr>
    <w:rPr>
      <w:rFonts w:eastAsia="SimSun" w:cs="Arial"/>
      <w:szCs w:val="22"/>
      <w:lang w:val="fr-FR"/>
    </w:rPr>
  </w:style>
  <w:style w:type="character" w:customStyle="1" w:styleId="findwordsearch">
    <w:name w:val="findwordsearch"/>
    <w:basedOn w:val="DefaultParagraphFont"/>
    <w:rsid w:val="0021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nhideWhenUsed/>
    <w:rsid w:val="00E70697"/>
    <w:rPr>
      <w:color w:val="0000FF"/>
      <w:u w:val="single"/>
    </w:rPr>
  </w:style>
  <w:style w:type="paragraph" w:customStyle="1" w:styleId="Sansinterligne2">
    <w:name w:val="Sans interligne2"/>
    <w:uiPriority w:val="1"/>
    <w:rsid w:val="003707B1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757A42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757A42"/>
    <w:pPr>
      <w:keepNext/>
      <w:spacing w:before="240"/>
      <w:ind w:left="567"/>
      <w:jc w:val="both"/>
    </w:pPr>
    <w:rPr>
      <w:rFonts w:ascii="Arial" w:hAnsi="Arial" w:cs="Arial"/>
      <w:b/>
      <w:szCs w:val="22"/>
    </w:rPr>
  </w:style>
  <w:style w:type="paragraph" w:customStyle="1" w:styleId="COMPreambulaDecisions">
    <w:name w:val="COM Preambula Decisions"/>
    <w:basedOn w:val="Normal"/>
    <w:qFormat/>
    <w:rsid w:val="00757A42"/>
    <w:pPr>
      <w:keepNext/>
      <w:ind w:left="567"/>
      <w:jc w:val="both"/>
    </w:pPr>
    <w:rPr>
      <w:rFonts w:ascii="Arial" w:hAnsi="Arial" w:cs="Arial"/>
      <w:szCs w:val="22"/>
    </w:rPr>
  </w:style>
  <w:style w:type="paragraph" w:customStyle="1" w:styleId="COMParaDecision">
    <w:name w:val="COM Para Decision"/>
    <w:basedOn w:val="Normal"/>
    <w:qFormat/>
    <w:rsid w:val="00757A42"/>
    <w:pPr>
      <w:numPr>
        <w:numId w:val="11"/>
      </w:numPr>
      <w:autoSpaceDE w:val="0"/>
      <w:autoSpaceDN w:val="0"/>
      <w:adjustRightInd w:val="0"/>
      <w:ind w:left="1134" w:hanging="567"/>
      <w:jc w:val="both"/>
    </w:pPr>
    <w:rPr>
      <w:rFonts w:ascii="Arial" w:eastAsia="SimSun" w:hAnsi="Arial" w:cs="Arial"/>
      <w:szCs w:val="22"/>
      <w:u w:val="single"/>
    </w:rPr>
  </w:style>
  <w:style w:type="paragraph" w:customStyle="1" w:styleId="COMPreambulaDecision">
    <w:name w:val="COM Preambula Decision"/>
    <w:basedOn w:val="Marge"/>
    <w:qFormat/>
    <w:rsid w:val="00757A42"/>
    <w:pPr>
      <w:keepNext/>
      <w:spacing w:after="120"/>
      <w:ind w:left="567"/>
    </w:pPr>
    <w:rPr>
      <w:rFonts w:eastAsia="SimSun" w:cs="Arial"/>
      <w:szCs w:val="22"/>
      <w:lang w:val="fr-FR"/>
    </w:rPr>
  </w:style>
  <w:style w:type="character" w:customStyle="1" w:styleId="findwordsearch">
    <w:name w:val="findwordsearch"/>
    <w:basedOn w:val="DefaultParagraphFont"/>
    <w:rsid w:val="0021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D759-E8E7-411D-B38E-D9C3DF9F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16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Shin, Eunkyung</cp:lastModifiedBy>
  <cp:revision>7</cp:revision>
  <cp:lastPrinted>2016-08-31T13:44:00Z</cp:lastPrinted>
  <dcterms:created xsi:type="dcterms:W3CDTF">2016-10-06T07:35:00Z</dcterms:created>
  <dcterms:modified xsi:type="dcterms:W3CDTF">2016-10-26T09:52:00Z</dcterms:modified>
</cp:coreProperties>
</file>