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2A" w:rsidRPr="00C14775" w:rsidRDefault="00027C2A" w:rsidP="00027C2A">
      <w:pPr>
        <w:spacing w:before="1440"/>
        <w:jc w:val="center"/>
        <w:rPr>
          <w:rFonts w:cs="Arial"/>
          <w:b/>
          <w:sz w:val="22"/>
          <w:szCs w:val="22"/>
        </w:rPr>
      </w:pPr>
      <w:r w:rsidRPr="00C14775">
        <w:rPr>
          <w:rFonts w:cs="Arial"/>
          <w:b/>
          <w:sz w:val="22"/>
        </w:rPr>
        <w:t>CONVENTION POUR LA SAUVEGAR</w:t>
      </w:r>
      <w:bookmarkStart w:id="0" w:name="_GoBack"/>
      <w:bookmarkEnd w:id="0"/>
      <w:r w:rsidRPr="00C14775">
        <w:rPr>
          <w:rFonts w:cs="Arial"/>
          <w:b/>
          <w:sz w:val="22"/>
        </w:rPr>
        <w:t>DE</w:t>
      </w:r>
      <w:r w:rsidRPr="00C14775">
        <w:rPr>
          <w:rFonts w:cs="Arial"/>
          <w:b/>
          <w:sz w:val="22"/>
          <w:szCs w:val="22"/>
        </w:rPr>
        <w:br/>
      </w:r>
      <w:r w:rsidRPr="00C14775">
        <w:rPr>
          <w:rFonts w:cs="Arial"/>
          <w:b/>
          <w:sz w:val="22"/>
        </w:rPr>
        <w:t>DU PATRIMOINE CULTUREL IMMATÉRIEL</w:t>
      </w:r>
    </w:p>
    <w:p w:rsidR="00027C2A" w:rsidRPr="00C14775" w:rsidRDefault="00027C2A" w:rsidP="00027C2A">
      <w:pPr>
        <w:spacing w:before="1200"/>
        <w:jc w:val="center"/>
        <w:rPr>
          <w:rFonts w:cs="Arial"/>
          <w:b/>
          <w:sz w:val="22"/>
          <w:szCs w:val="22"/>
        </w:rPr>
      </w:pPr>
      <w:r w:rsidRPr="00C14775">
        <w:rPr>
          <w:rFonts w:cs="Arial"/>
          <w:b/>
          <w:sz w:val="22"/>
        </w:rPr>
        <w:t>COMITÉ INTERGOUVERNEMENTAL DE</w:t>
      </w:r>
      <w:r>
        <w:rPr>
          <w:rFonts w:eastAsia="Malgun Gothic" w:cs="Arial" w:hint="eastAsia"/>
          <w:b/>
          <w:sz w:val="22"/>
          <w:lang w:eastAsia="ko-KR"/>
        </w:rPr>
        <w:br/>
      </w:r>
      <w:r w:rsidRPr="00C14775">
        <w:rPr>
          <w:rFonts w:cs="Arial"/>
          <w:b/>
          <w:sz w:val="22"/>
        </w:rPr>
        <w:t>SAUVEGARDE DU PATRIMOINE CULTUREL IMMATÉRIEL</w:t>
      </w:r>
    </w:p>
    <w:p w:rsidR="00027C2A" w:rsidRPr="00C14775" w:rsidRDefault="00027C2A" w:rsidP="00027C2A">
      <w:pPr>
        <w:spacing w:before="840"/>
        <w:jc w:val="center"/>
        <w:rPr>
          <w:rFonts w:cs="Arial"/>
          <w:b/>
          <w:sz w:val="22"/>
          <w:szCs w:val="22"/>
        </w:rPr>
      </w:pPr>
      <w:r w:rsidRPr="00C14775">
        <w:rPr>
          <w:rFonts w:cs="Arial"/>
          <w:b/>
          <w:sz w:val="22"/>
        </w:rPr>
        <w:t>Onzième session</w:t>
      </w:r>
    </w:p>
    <w:p w:rsidR="00027C2A" w:rsidRPr="00C14775" w:rsidRDefault="00027C2A" w:rsidP="00027C2A">
      <w:pPr>
        <w:jc w:val="center"/>
        <w:rPr>
          <w:rFonts w:cs="Arial"/>
          <w:b/>
          <w:sz w:val="22"/>
          <w:szCs w:val="22"/>
        </w:rPr>
      </w:pPr>
      <w:r w:rsidRPr="00C14775">
        <w:rPr>
          <w:rFonts w:cs="Arial"/>
          <w:b/>
          <w:sz w:val="22"/>
        </w:rPr>
        <w:t>Addis</w:t>
      </w:r>
      <w:r>
        <w:rPr>
          <w:rFonts w:cs="Arial"/>
          <w:b/>
          <w:sz w:val="22"/>
        </w:rPr>
        <w:t>-</w:t>
      </w:r>
      <w:r w:rsidRPr="00C14775">
        <w:rPr>
          <w:rFonts w:cs="Arial"/>
          <w:b/>
          <w:sz w:val="22"/>
        </w:rPr>
        <w:t>Abeba, Éthiopie</w:t>
      </w:r>
    </w:p>
    <w:p w:rsidR="00027C2A" w:rsidRPr="00C14775" w:rsidRDefault="00027C2A" w:rsidP="00027C2A">
      <w:pPr>
        <w:jc w:val="center"/>
        <w:rPr>
          <w:rFonts w:cs="Arial"/>
          <w:b/>
          <w:sz w:val="22"/>
          <w:szCs w:val="22"/>
        </w:rPr>
      </w:pPr>
      <w:r w:rsidRPr="00C14775">
        <w:rPr>
          <w:rFonts w:cs="Arial"/>
          <w:b/>
          <w:sz w:val="22"/>
        </w:rPr>
        <w:t>28 novembre – 2 décembre 2016</w:t>
      </w:r>
    </w:p>
    <w:p w:rsidR="00027C2A" w:rsidRPr="00C14775" w:rsidRDefault="00027C2A" w:rsidP="00027C2A">
      <w:pPr>
        <w:pStyle w:val="Sansinterligne2"/>
        <w:spacing w:before="1200"/>
        <w:jc w:val="center"/>
        <w:rPr>
          <w:rFonts w:ascii="Arial" w:hAnsi="Arial" w:cs="Arial"/>
          <w:b/>
          <w:sz w:val="22"/>
          <w:szCs w:val="22"/>
        </w:rPr>
      </w:pPr>
      <w:r w:rsidRPr="00C14775">
        <w:rPr>
          <w:rFonts w:ascii="Arial" w:hAnsi="Arial" w:cs="Arial"/>
          <w:b/>
          <w:sz w:val="22"/>
          <w:u w:val="single"/>
        </w:rPr>
        <w:t>Point 10.a de l’ordre du jour provisoire</w:t>
      </w:r>
      <w:r w:rsidRPr="00C14775">
        <w:rPr>
          <w:rFonts w:ascii="Arial" w:hAnsi="Arial" w:cs="Arial"/>
          <w:b/>
          <w:sz w:val="22"/>
        </w:rPr>
        <w:t> :</w:t>
      </w:r>
    </w:p>
    <w:p w:rsidR="00027C2A" w:rsidRPr="00C14775" w:rsidRDefault="00027C2A" w:rsidP="00027C2A">
      <w:pPr>
        <w:pStyle w:val="Sansinterligne2"/>
        <w:spacing w:after="1200"/>
        <w:jc w:val="center"/>
        <w:rPr>
          <w:rFonts w:ascii="Arial" w:hAnsi="Arial" w:cs="Arial"/>
          <w:b/>
          <w:sz w:val="22"/>
          <w:szCs w:val="22"/>
        </w:rPr>
      </w:pPr>
      <w:r w:rsidRPr="00C14775">
        <w:rPr>
          <w:rFonts w:ascii="Arial" w:hAnsi="Arial" w:cs="Arial"/>
          <w:b/>
          <w:sz w:val="22"/>
        </w:rPr>
        <w:t>Examen des candidatures pour inscription sur la</w:t>
      </w:r>
      <w:r>
        <w:rPr>
          <w:rFonts w:ascii="Arial" w:eastAsia="Malgun Gothic" w:hAnsi="Arial" w:cs="Arial" w:hint="eastAsia"/>
          <w:b/>
          <w:sz w:val="22"/>
          <w:lang w:eastAsia="ko-KR"/>
        </w:rPr>
        <w:br/>
      </w:r>
      <w:r w:rsidRPr="00C14775">
        <w:rPr>
          <w:rFonts w:ascii="Arial" w:hAnsi="Arial" w:cs="Arial"/>
          <w:b/>
          <w:sz w:val="22"/>
        </w:rPr>
        <w:t>Liste du patrimoine culturel immatériel nécessitant une sauvegarde urgente</w:t>
      </w:r>
    </w:p>
    <w:p w:rsidR="00027C2A" w:rsidRDefault="00027C2A" w:rsidP="00F44794">
      <w:pPr>
        <w:spacing w:before="1440"/>
        <w:jc w:val="center"/>
        <w:rPr>
          <w:rFonts w:cs="Arial"/>
          <w:b/>
          <w:sz w:val="22"/>
        </w:rPr>
      </w:pPr>
      <w:r>
        <w:rPr>
          <w:rFonts w:cs="Arial"/>
          <w:b/>
          <w:sz w:val="22"/>
        </w:rPr>
        <w:t>ADDENDUM</w:t>
      </w:r>
    </w:p>
    <w:p w:rsidR="00027C2A" w:rsidRPr="00400F82" w:rsidRDefault="00027C2A" w:rsidP="00027C2A">
      <w:pPr>
        <w:tabs>
          <w:tab w:val="left" w:pos="567"/>
        </w:tabs>
        <w:snapToGrid w:val="0"/>
        <w:spacing w:before="480" w:after="240"/>
        <w:ind w:left="567"/>
        <w:rPr>
          <w:rFonts w:cs="Arial"/>
          <w:snapToGrid w:val="0"/>
          <w:sz w:val="22"/>
          <w:lang w:eastAsia="en-US"/>
        </w:rPr>
      </w:pPr>
      <w:r>
        <w:rPr>
          <w:rFonts w:cs="Arial"/>
          <w:snapToGrid w:val="0"/>
          <w:sz w:val="22"/>
          <w:lang w:eastAsia="en-US"/>
        </w:rPr>
        <w:t>La</w:t>
      </w:r>
      <w:r w:rsidRPr="00534F74">
        <w:rPr>
          <w:rFonts w:cs="Arial"/>
          <w:snapToGrid w:val="0"/>
          <w:sz w:val="22"/>
          <w:lang w:eastAsia="en-US"/>
        </w:rPr>
        <w:t xml:space="preserve"> candidature suivante </w:t>
      </w:r>
      <w:r>
        <w:rPr>
          <w:rFonts w:cs="Arial"/>
          <w:snapToGrid w:val="0"/>
          <w:sz w:val="22"/>
          <w:lang w:eastAsia="en-US"/>
        </w:rPr>
        <w:t xml:space="preserve">a </w:t>
      </w:r>
      <w:r w:rsidRPr="00534F74">
        <w:rPr>
          <w:rFonts w:cs="Arial"/>
          <w:snapToGrid w:val="0"/>
          <w:sz w:val="22"/>
          <w:lang w:eastAsia="en-US"/>
        </w:rPr>
        <w:t xml:space="preserve">été retirée par </w:t>
      </w:r>
      <w:r>
        <w:rPr>
          <w:rFonts w:cs="Arial"/>
          <w:snapToGrid w:val="0"/>
          <w:sz w:val="22"/>
          <w:lang w:eastAsia="en-US"/>
        </w:rPr>
        <w:t>l’</w:t>
      </w:r>
      <w:r w:rsidRPr="00534F74">
        <w:rPr>
          <w:rFonts w:cs="Arial"/>
          <w:snapToGrid w:val="0"/>
          <w:sz w:val="22"/>
          <w:lang w:eastAsia="en-US"/>
        </w:rPr>
        <w:t>État partie soumissionnaire</w:t>
      </w:r>
      <w:r>
        <w:rPr>
          <w:rFonts w:cs="Arial"/>
          <w:snapToGrid w:val="0"/>
          <w:sz w:val="22"/>
          <w:lang w:eastAsia="en-US"/>
        </w:rPr>
        <w:t> </w:t>
      </w:r>
      <w:r w:rsidRPr="00534F74">
        <w:rPr>
          <w:rFonts w:cs="Arial"/>
          <w:snapToGrid w:val="0"/>
          <w:sz w:val="22"/>
          <w:lang w:eastAsia="en-US"/>
        </w:rPr>
        <w:t>:</w:t>
      </w:r>
    </w:p>
    <w:tbl>
      <w:tblPr>
        <w:tblW w:w="4692"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49"/>
        <w:gridCol w:w="1863"/>
        <w:gridCol w:w="4638"/>
        <w:gridCol w:w="1001"/>
      </w:tblGrid>
      <w:tr w:rsidR="00027C2A" w:rsidRPr="00C14775" w:rsidTr="00F616D9">
        <w:trPr>
          <w:cantSplit/>
          <w:tblHeader/>
        </w:trPr>
        <w:tc>
          <w:tcPr>
            <w:tcW w:w="901" w:type="pct"/>
            <w:tcBorders>
              <w:right w:val="nil"/>
            </w:tcBorders>
            <w:shd w:val="clear" w:color="auto" w:fill="BFBFBF"/>
            <w:vAlign w:val="center"/>
          </w:tcPr>
          <w:p w:rsidR="00027C2A" w:rsidRPr="00C14775" w:rsidRDefault="00027C2A" w:rsidP="00D17C15">
            <w:pPr>
              <w:keepNext/>
              <w:spacing w:before="120" w:after="120"/>
              <w:jc w:val="center"/>
              <w:rPr>
                <w:rFonts w:cs="Arial"/>
                <w:color w:val="000000"/>
                <w:sz w:val="22"/>
                <w:szCs w:val="22"/>
              </w:rPr>
            </w:pPr>
            <w:r w:rsidRPr="00C14775">
              <w:rPr>
                <w:rFonts w:cs="Arial"/>
                <w:b/>
                <w:color w:val="000000"/>
                <w:sz w:val="22"/>
              </w:rPr>
              <w:t>Projet de</w:t>
            </w:r>
            <w:r w:rsidRPr="00C14775">
              <w:rPr>
                <w:rFonts w:cs="Arial"/>
                <w:b/>
                <w:bCs/>
                <w:color w:val="000000"/>
                <w:sz w:val="22"/>
                <w:szCs w:val="22"/>
              </w:rPr>
              <w:br/>
            </w:r>
            <w:r w:rsidRPr="00C14775">
              <w:rPr>
                <w:rFonts w:cs="Arial"/>
                <w:b/>
                <w:color w:val="000000"/>
                <w:sz w:val="22"/>
              </w:rPr>
              <w:t>décision</w:t>
            </w:r>
          </w:p>
        </w:tc>
        <w:tc>
          <w:tcPr>
            <w:tcW w:w="1018" w:type="pct"/>
            <w:tcBorders>
              <w:left w:val="nil"/>
              <w:right w:val="nil"/>
            </w:tcBorders>
            <w:shd w:val="clear" w:color="auto" w:fill="BFBFBF"/>
            <w:vAlign w:val="center"/>
          </w:tcPr>
          <w:p w:rsidR="00027C2A" w:rsidRPr="00C14775" w:rsidRDefault="00027C2A" w:rsidP="00D17C15">
            <w:pPr>
              <w:keepNext/>
              <w:spacing w:before="120" w:after="120"/>
              <w:jc w:val="center"/>
              <w:rPr>
                <w:rFonts w:cs="Arial"/>
                <w:color w:val="000000"/>
                <w:sz w:val="22"/>
                <w:szCs w:val="22"/>
              </w:rPr>
            </w:pPr>
            <w:r w:rsidRPr="00C14775">
              <w:rPr>
                <w:rFonts w:cs="Arial"/>
                <w:b/>
                <w:color w:val="000000"/>
                <w:sz w:val="22"/>
              </w:rPr>
              <w:t>État soumissionnaire</w:t>
            </w:r>
          </w:p>
        </w:tc>
        <w:tc>
          <w:tcPr>
            <w:tcW w:w="2534" w:type="pct"/>
            <w:tcBorders>
              <w:left w:val="nil"/>
              <w:right w:val="nil"/>
            </w:tcBorders>
            <w:shd w:val="clear" w:color="auto" w:fill="BFBFBF"/>
            <w:vAlign w:val="center"/>
          </w:tcPr>
          <w:p w:rsidR="00027C2A" w:rsidRPr="00C14775" w:rsidRDefault="00027C2A" w:rsidP="00D17C15">
            <w:pPr>
              <w:keepNext/>
              <w:spacing w:before="120" w:after="120"/>
              <w:jc w:val="center"/>
              <w:rPr>
                <w:rFonts w:cs="Arial"/>
                <w:color w:val="000000"/>
                <w:sz w:val="22"/>
                <w:szCs w:val="22"/>
              </w:rPr>
            </w:pPr>
            <w:r w:rsidRPr="00C14775">
              <w:rPr>
                <w:rFonts w:cs="Arial"/>
                <w:b/>
                <w:color w:val="000000"/>
                <w:sz w:val="22"/>
              </w:rPr>
              <w:t>Candidature</w:t>
            </w:r>
          </w:p>
        </w:tc>
        <w:tc>
          <w:tcPr>
            <w:tcW w:w="547" w:type="pct"/>
            <w:tcBorders>
              <w:left w:val="nil"/>
            </w:tcBorders>
            <w:shd w:val="clear" w:color="auto" w:fill="BFBFBF"/>
            <w:vAlign w:val="center"/>
          </w:tcPr>
          <w:p w:rsidR="00027C2A" w:rsidRPr="00C14775" w:rsidRDefault="00027C2A" w:rsidP="00D17C15">
            <w:pPr>
              <w:keepNext/>
              <w:spacing w:before="120" w:after="120"/>
              <w:jc w:val="center"/>
              <w:rPr>
                <w:rFonts w:cs="Arial"/>
                <w:color w:val="000000"/>
                <w:sz w:val="22"/>
                <w:szCs w:val="22"/>
              </w:rPr>
            </w:pPr>
            <w:r w:rsidRPr="00C14775">
              <w:rPr>
                <w:rFonts w:cs="Arial"/>
                <w:b/>
                <w:color w:val="000000"/>
                <w:sz w:val="22"/>
              </w:rPr>
              <w:t>Dossier n°</w:t>
            </w:r>
          </w:p>
        </w:tc>
      </w:tr>
      <w:tr w:rsidR="00027C2A" w:rsidRPr="00C14775" w:rsidTr="00F616D9">
        <w:trPr>
          <w:cantSplit/>
          <w:trHeight w:val="409"/>
        </w:trPr>
        <w:tc>
          <w:tcPr>
            <w:tcW w:w="901" w:type="pct"/>
            <w:tcBorders>
              <w:right w:val="nil"/>
            </w:tcBorders>
          </w:tcPr>
          <w:p w:rsidR="00027C2A" w:rsidRPr="00C14775" w:rsidRDefault="00027C2A" w:rsidP="00D17C15">
            <w:pPr>
              <w:keepNext/>
              <w:spacing w:before="120" w:after="120"/>
              <w:jc w:val="center"/>
              <w:rPr>
                <w:rFonts w:cs="Arial"/>
                <w:bCs/>
                <w:color w:val="000000"/>
                <w:sz w:val="22"/>
                <w:szCs w:val="22"/>
              </w:rPr>
            </w:pPr>
            <w:hyperlink w:anchor="DRAFT_DECISION_11COM_10a2" w:history="1">
              <w:r w:rsidRPr="00C14775">
                <w:rPr>
                  <w:rStyle w:val="Hyperlink"/>
                  <w:rFonts w:cs="Arial"/>
                  <w:sz w:val="22"/>
                </w:rPr>
                <w:t>11</w:t>
              </w:r>
              <w:proofErr w:type="gramStart"/>
              <w:r w:rsidRPr="00C14775">
                <w:rPr>
                  <w:rStyle w:val="Hyperlink"/>
                  <w:rFonts w:cs="Arial"/>
                  <w:sz w:val="22"/>
                </w:rPr>
                <w:t>.COM</w:t>
              </w:r>
              <w:proofErr w:type="gramEnd"/>
              <w:r w:rsidRPr="00C14775">
                <w:rPr>
                  <w:rStyle w:val="Hyperlink"/>
                  <w:rFonts w:cs="Arial"/>
                  <w:sz w:val="22"/>
                </w:rPr>
                <w:t xml:space="preserve"> 10.a.2</w:t>
              </w:r>
            </w:hyperlink>
          </w:p>
        </w:tc>
        <w:tc>
          <w:tcPr>
            <w:tcW w:w="1018" w:type="pct"/>
            <w:tcBorders>
              <w:left w:val="nil"/>
              <w:right w:val="nil"/>
            </w:tcBorders>
          </w:tcPr>
          <w:p w:rsidR="00027C2A" w:rsidRPr="00C14775" w:rsidRDefault="00027C2A" w:rsidP="00D17C15">
            <w:pPr>
              <w:keepNext/>
              <w:spacing w:before="120" w:after="120"/>
              <w:jc w:val="center"/>
              <w:rPr>
                <w:rFonts w:cs="Arial"/>
                <w:color w:val="000000"/>
                <w:sz w:val="22"/>
                <w:szCs w:val="22"/>
              </w:rPr>
            </w:pPr>
            <w:r w:rsidRPr="00C14775">
              <w:rPr>
                <w:rFonts w:cs="Arial"/>
                <w:sz w:val="22"/>
              </w:rPr>
              <w:t>Kenya</w:t>
            </w:r>
          </w:p>
        </w:tc>
        <w:tc>
          <w:tcPr>
            <w:tcW w:w="2534" w:type="pct"/>
            <w:tcBorders>
              <w:left w:val="nil"/>
              <w:right w:val="nil"/>
            </w:tcBorders>
          </w:tcPr>
          <w:p w:rsidR="00027C2A" w:rsidRPr="00C14775" w:rsidRDefault="00027C2A" w:rsidP="00D17C15">
            <w:pPr>
              <w:keepNext/>
              <w:spacing w:before="120" w:after="120"/>
              <w:rPr>
                <w:rFonts w:cs="Arial"/>
                <w:color w:val="000000"/>
                <w:sz w:val="22"/>
                <w:szCs w:val="22"/>
              </w:rPr>
            </w:pPr>
            <w:r w:rsidRPr="00C14775">
              <w:rPr>
                <w:rFonts w:cs="Arial"/>
                <w:sz w:val="22"/>
              </w:rPr>
              <w:t xml:space="preserve">Rituels et pratiques associés au sanctuaire de Kit </w:t>
            </w:r>
            <w:proofErr w:type="spellStart"/>
            <w:r w:rsidRPr="00C14775">
              <w:rPr>
                <w:rFonts w:cs="Arial"/>
                <w:sz w:val="22"/>
              </w:rPr>
              <w:t>Mikayi</w:t>
            </w:r>
            <w:proofErr w:type="spellEnd"/>
          </w:p>
        </w:tc>
        <w:tc>
          <w:tcPr>
            <w:tcW w:w="547" w:type="pct"/>
            <w:tcBorders>
              <w:left w:val="nil"/>
            </w:tcBorders>
          </w:tcPr>
          <w:p w:rsidR="00027C2A" w:rsidRPr="00C14775" w:rsidRDefault="00027C2A" w:rsidP="00D17C15">
            <w:pPr>
              <w:keepNext/>
              <w:spacing w:before="120" w:after="120"/>
              <w:jc w:val="center"/>
              <w:rPr>
                <w:rFonts w:cs="Arial"/>
                <w:color w:val="000000"/>
                <w:sz w:val="22"/>
                <w:szCs w:val="22"/>
              </w:rPr>
            </w:pPr>
            <w:hyperlink r:id="rId9" w:anchor="10.a.2" w:history="1">
              <w:r w:rsidRPr="00F70928">
                <w:rPr>
                  <w:rStyle w:val="Hyperlink"/>
                  <w:rFonts w:cs="Arial"/>
                  <w:sz w:val="22"/>
                  <w:szCs w:val="22"/>
                </w:rPr>
                <w:t>01180</w:t>
              </w:r>
            </w:hyperlink>
          </w:p>
        </w:tc>
      </w:tr>
    </w:tbl>
    <w:p w:rsidR="00027C2A" w:rsidRPr="00400F82" w:rsidRDefault="00027C2A" w:rsidP="00027C2A">
      <w:pPr>
        <w:tabs>
          <w:tab w:val="left" w:pos="567"/>
        </w:tabs>
        <w:snapToGrid w:val="0"/>
        <w:spacing w:before="480" w:after="240"/>
        <w:ind w:left="567"/>
        <w:rPr>
          <w:rFonts w:cs="Arial"/>
          <w:snapToGrid w:val="0"/>
          <w:sz w:val="22"/>
          <w:lang w:eastAsia="en-US"/>
        </w:rPr>
      </w:pPr>
    </w:p>
    <w:p w:rsidR="00027C2A" w:rsidRDefault="00027C2A" w:rsidP="00F44794">
      <w:pPr>
        <w:spacing w:before="1440"/>
        <w:jc w:val="center"/>
        <w:rPr>
          <w:rFonts w:cs="Arial"/>
          <w:b/>
          <w:sz w:val="22"/>
        </w:rPr>
        <w:sectPr w:rsidR="00027C2A" w:rsidSect="00037342">
          <w:headerReference w:type="even" r:id="rId10"/>
          <w:headerReference w:type="default" r:id="rId11"/>
          <w:headerReference w:type="first" r:id="rId12"/>
          <w:pgSz w:w="11906" w:h="16838"/>
          <w:pgMar w:top="1418" w:right="1134" w:bottom="1134" w:left="1134" w:header="397" w:footer="283" w:gutter="0"/>
          <w:cols w:space="708"/>
          <w:titlePg/>
          <w:docGrid w:linePitch="360"/>
        </w:sectPr>
      </w:pPr>
    </w:p>
    <w:p w:rsidR="00F44794" w:rsidRPr="00C14775" w:rsidRDefault="00F44794" w:rsidP="00F44794">
      <w:pPr>
        <w:spacing w:before="1440"/>
        <w:jc w:val="center"/>
        <w:rPr>
          <w:rFonts w:cs="Arial"/>
          <w:b/>
          <w:sz w:val="22"/>
          <w:szCs w:val="22"/>
        </w:rPr>
      </w:pPr>
      <w:r w:rsidRPr="00C14775">
        <w:rPr>
          <w:rFonts w:cs="Arial"/>
          <w:b/>
          <w:sz w:val="22"/>
        </w:rPr>
        <w:lastRenderedPageBreak/>
        <w:t>CONVENTION POUR LA SAUVEGARDE</w:t>
      </w:r>
      <w:r w:rsidRPr="00C14775">
        <w:rPr>
          <w:rFonts w:cs="Arial"/>
          <w:b/>
          <w:sz w:val="22"/>
          <w:szCs w:val="22"/>
        </w:rPr>
        <w:br/>
      </w:r>
      <w:r w:rsidRPr="00C14775">
        <w:rPr>
          <w:rFonts w:cs="Arial"/>
          <w:b/>
          <w:sz w:val="22"/>
        </w:rPr>
        <w:t>DU PATRIMOINE CULTUREL IMMATÉRIEL</w:t>
      </w:r>
    </w:p>
    <w:p w:rsidR="00F44794" w:rsidRPr="00C14775" w:rsidRDefault="003677D7" w:rsidP="00037342">
      <w:pPr>
        <w:spacing w:before="1200"/>
        <w:jc w:val="center"/>
        <w:rPr>
          <w:rFonts w:cs="Arial"/>
          <w:b/>
          <w:sz w:val="22"/>
          <w:szCs w:val="22"/>
        </w:rPr>
      </w:pPr>
      <w:r w:rsidRPr="00C14775">
        <w:rPr>
          <w:rFonts w:cs="Arial"/>
          <w:b/>
          <w:sz w:val="22"/>
        </w:rPr>
        <w:t>COMITÉ INTERGOUVERNEMENTAL DE</w:t>
      </w:r>
      <w:r w:rsidR="00037342">
        <w:rPr>
          <w:rFonts w:eastAsia="Malgun Gothic" w:cs="Arial" w:hint="eastAsia"/>
          <w:b/>
          <w:sz w:val="22"/>
          <w:lang w:eastAsia="ko-KR"/>
        </w:rPr>
        <w:br/>
      </w:r>
      <w:r w:rsidR="00F44794" w:rsidRPr="00C14775">
        <w:rPr>
          <w:rFonts w:cs="Arial"/>
          <w:b/>
          <w:sz w:val="22"/>
        </w:rPr>
        <w:t>SAUVEGARDE DU PATRIMOINE CULTUREL IMMATÉRIEL</w:t>
      </w:r>
    </w:p>
    <w:p w:rsidR="00F44794" w:rsidRPr="00C14775" w:rsidRDefault="00F44794" w:rsidP="00F44794">
      <w:pPr>
        <w:spacing w:before="840"/>
        <w:jc w:val="center"/>
        <w:rPr>
          <w:rFonts w:cs="Arial"/>
          <w:b/>
          <w:sz w:val="22"/>
          <w:szCs w:val="22"/>
        </w:rPr>
      </w:pPr>
      <w:r w:rsidRPr="00C14775">
        <w:rPr>
          <w:rFonts w:cs="Arial"/>
          <w:b/>
          <w:sz w:val="22"/>
        </w:rPr>
        <w:t>Onzième session</w:t>
      </w:r>
    </w:p>
    <w:p w:rsidR="00F44794" w:rsidRPr="00C14775" w:rsidRDefault="000C28B7" w:rsidP="00F44794">
      <w:pPr>
        <w:jc w:val="center"/>
        <w:rPr>
          <w:rFonts w:cs="Arial"/>
          <w:b/>
          <w:sz w:val="22"/>
          <w:szCs w:val="22"/>
        </w:rPr>
      </w:pPr>
      <w:r w:rsidRPr="00C14775">
        <w:rPr>
          <w:rFonts w:cs="Arial"/>
          <w:b/>
          <w:sz w:val="22"/>
        </w:rPr>
        <w:t>Addis</w:t>
      </w:r>
      <w:r>
        <w:rPr>
          <w:rFonts w:cs="Arial"/>
          <w:b/>
          <w:sz w:val="22"/>
        </w:rPr>
        <w:t>-</w:t>
      </w:r>
      <w:r w:rsidR="00F44794" w:rsidRPr="00C14775">
        <w:rPr>
          <w:rFonts w:cs="Arial"/>
          <w:b/>
          <w:sz w:val="22"/>
        </w:rPr>
        <w:t>Abeba, Éthiopie</w:t>
      </w:r>
    </w:p>
    <w:p w:rsidR="00F44794" w:rsidRPr="00C14775" w:rsidRDefault="00F44794" w:rsidP="00F44794">
      <w:pPr>
        <w:jc w:val="center"/>
        <w:rPr>
          <w:rFonts w:cs="Arial"/>
          <w:b/>
          <w:sz w:val="22"/>
          <w:szCs w:val="22"/>
        </w:rPr>
      </w:pPr>
      <w:r w:rsidRPr="00C14775">
        <w:rPr>
          <w:rFonts w:cs="Arial"/>
          <w:b/>
          <w:sz w:val="22"/>
        </w:rPr>
        <w:t>28 novembre – 2 décembre 2016</w:t>
      </w:r>
    </w:p>
    <w:p w:rsidR="00F44794" w:rsidRPr="00C14775" w:rsidRDefault="00F44794" w:rsidP="00F44794">
      <w:pPr>
        <w:pStyle w:val="Sansinterligne2"/>
        <w:spacing w:before="1200"/>
        <w:jc w:val="center"/>
        <w:rPr>
          <w:rFonts w:ascii="Arial" w:hAnsi="Arial" w:cs="Arial"/>
          <w:b/>
          <w:sz w:val="22"/>
          <w:szCs w:val="22"/>
        </w:rPr>
      </w:pPr>
      <w:r w:rsidRPr="00C14775">
        <w:rPr>
          <w:rFonts w:ascii="Arial" w:hAnsi="Arial" w:cs="Arial"/>
          <w:b/>
          <w:sz w:val="22"/>
          <w:u w:val="single"/>
        </w:rPr>
        <w:t>Point 10.a de l</w:t>
      </w:r>
      <w:r w:rsidR="00E93319" w:rsidRPr="00C14775">
        <w:rPr>
          <w:rFonts w:ascii="Arial" w:hAnsi="Arial" w:cs="Arial"/>
          <w:b/>
          <w:sz w:val="22"/>
          <w:u w:val="single"/>
        </w:rPr>
        <w:t>’</w:t>
      </w:r>
      <w:r w:rsidRPr="00C14775">
        <w:rPr>
          <w:rFonts w:ascii="Arial" w:hAnsi="Arial" w:cs="Arial"/>
          <w:b/>
          <w:sz w:val="22"/>
          <w:u w:val="single"/>
        </w:rPr>
        <w:t>ordre du jour provisoire</w:t>
      </w:r>
      <w:r w:rsidRPr="00C14775">
        <w:rPr>
          <w:rFonts w:ascii="Arial" w:hAnsi="Arial" w:cs="Arial"/>
          <w:b/>
          <w:sz w:val="22"/>
        </w:rPr>
        <w:t> :</w:t>
      </w:r>
    </w:p>
    <w:p w:rsidR="00F44794" w:rsidRPr="00C14775" w:rsidRDefault="00FB03A8" w:rsidP="00037342">
      <w:pPr>
        <w:pStyle w:val="Sansinterligne2"/>
        <w:spacing w:after="1200"/>
        <w:jc w:val="center"/>
        <w:rPr>
          <w:rFonts w:ascii="Arial" w:hAnsi="Arial" w:cs="Arial"/>
          <w:b/>
          <w:sz w:val="22"/>
          <w:szCs w:val="22"/>
        </w:rPr>
      </w:pPr>
      <w:r w:rsidRPr="00C14775">
        <w:rPr>
          <w:rFonts w:ascii="Arial" w:hAnsi="Arial" w:cs="Arial"/>
          <w:b/>
          <w:sz w:val="22"/>
        </w:rPr>
        <w:t>Examen des candidatures pour inscription sur la</w:t>
      </w:r>
      <w:r w:rsidR="00037342">
        <w:rPr>
          <w:rFonts w:ascii="Arial" w:eastAsia="Malgun Gothic" w:hAnsi="Arial" w:cs="Arial" w:hint="eastAsia"/>
          <w:b/>
          <w:sz w:val="22"/>
          <w:lang w:eastAsia="ko-KR"/>
        </w:rPr>
        <w:br/>
      </w:r>
      <w:r w:rsidRPr="00C14775">
        <w:rPr>
          <w:rFonts w:ascii="Arial" w:hAnsi="Arial" w:cs="Arial"/>
          <w:b/>
          <w:sz w:val="22"/>
        </w:rPr>
        <w:t>Liste du patrimoine culturel immatériel nécessitant une sauvegarde urgente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44794" w:rsidRPr="00C14775" w:rsidTr="00BC7C4C">
        <w:trPr>
          <w:jc w:val="center"/>
        </w:trPr>
        <w:tc>
          <w:tcPr>
            <w:tcW w:w="5670" w:type="dxa"/>
            <w:vAlign w:val="center"/>
          </w:tcPr>
          <w:p w:rsidR="00F44794" w:rsidRPr="00C14775" w:rsidRDefault="00F44794" w:rsidP="00BC7C4C">
            <w:pPr>
              <w:pStyle w:val="Sansinterligne1"/>
              <w:spacing w:before="200" w:after="200"/>
              <w:jc w:val="center"/>
              <w:rPr>
                <w:rFonts w:ascii="Arial" w:hAnsi="Arial" w:cs="Arial"/>
                <w:b/>
                <w:sz w:val="22"/>
                <w:szCs w:val="22"/>
              </w:rPr>
            </w:pPr>
            <w:r w:rsidRPr="00C14775">
              <w:rPr>
                <w:rFonts w:ascii="Arial" w:hAnsi="Arial" w:cs="Arial"/>
                <w:b/>
                <w:sz w:val="22"/>
              </w:rPr>
              <w:t>Résumé</w:t>
            </w:r>
          </w:p>
          <w:p w:rsidR="00B522FD" w:rsidRPr="00C14775" w:rsidRDefault="00B522FD" w:rsidP="00B522FD">
            <w:pPr>
              <w:pStyle w:val="Sansinterligne2"/>
              <w:spacing w:before="200" w:after="200"/>
              <w:jc w:val="both"/>
              <w:rPr>
                <w:rFonts w:ascii="Arial" w:hAnsi="Arial" w:cs="Arial"/>
                <w:b/>
                <w:sz w:val="22"/>
                <w:szCs w:val="22"/>
              </w:rPr>
            </w:pPr>
            <w:r w:rsidRPr="00C14775">
              <w:rPr>
                <w:rFonts w:ascii="Arial" w:hAnsi="Arial" w:cs="Arial"/>
                <w:sz w:val="22"/>
              </w:rPr>
              <w:t>Le présent document comprend les recommandations de l</w:t>
            </w:r>
            <w:r w:rsidR="00E93319" w:rsidRPr="00C14775">
              <w:rPr>
                <w:rFonts w:ascii="Arial" w:hAnsi="Arial" w:cs="Arial"/>
                <w:sz w:val="22"/>
              </w:rPr>
              <w:t>’</w:t>
            </w:r>
            <w:r w:rsidRPr="00C14775">
              <w:rPr>
                <w:rFonts w:ascii="Arial" w:hAnsi="Arial" w:cs="Arial"/>
                <w:sz w:val="22"/>
              </w:rPr>
              <w:t>Organe d</w:t>
            </w:r>
            <w:r w:rsidR="00E93319" w:rsidRPr="00C14775">
              <w:rPr>
                <w:rFonts w:ascii="Arial" w:hAnsi="Arial" w:cs="Arial"/>
                <w:sz w:val="22"/>
              </w:rPr>
              <w:t>’</w:t>
            </w:r>
            <w:r w:rsidRPr="00C14775">
              <w:rPr>
                <w:rFonts w:ascii="Arial" w:hAnsi="Arial" w:cs="Arial"/>
                <w:sz w:val="22"/>
              </w:rPr>
              <w:t>évaluation concernant les candidatures à la Liste du patrimoine culturel immatériel nécessitant une sauvegarde urgente (Partie A) et un ensemble de projets de décision pour considération par le Comité (Partie B). Un aperçu général des dossiers de candidature de l</w:t>
            </w:r>
            <w:r w:rsidR="00E93319" w:rsidRPr="00C14775">
              <w:rPr>
                <w:rFonts w:ascii="Arial" w:hAnsi="Arial" w:cs="Arial"/>
                <w:sz w:val="22"/>
              </w:rPr>
              <w:t>’</w:t>
            </w:r>
            <w:r w:rsidRPr="00C14775">
              <w:rPr>
                <w:rFonts w:ascii="Arial" w:hAnsi="Arial" w:cs="Arial"/>
                <w:sz w:val="22"/>
              </w:rPr>
              <w:t>année 2016 et des méthodes de travail de l</w:t>
            </w:r>
            <w:r w:rsidR="00E93319" w:rsidRPr="00C14775">
              <w:rPr>
                <w:rFonts w:ascii="Arial" w:hAnsi="Arial" w:cs="Arial"/>
                <w:sz w:val="22"/>
              </w:rPr>
              <w:t>’</w:t>
            </w:r>
            <w:r w:rsidRPr="00C14775">
              <w:rPr>
                <w:rFonts w:ascii="Arial" w:hAnsi="Arial" w:cs="Arial"/>
                <w:sz w:val="22"/>
              </w:rPr>
              <w:t>Organe d</w:t>
            </w:r>
            <w:r w:rsidR="00E93319" w:rsidRPr="00C14775">
              <w:rPr>
                <w:rFonts w:ascii="Arial" w:hAnsi="Arial" w:cs="Arial"/>
                <w:sz w:val="22"/>
              </w:rPr>
              <w:t>’</w:t>
            </w:r>
            <w:r w:rsidRPr="00C14775">
              <w:rPr>
                <w:rFonts w:ascii="Arial" w:hAnsi="Arial" w:cs="Arial"/>
                <w:sz w:val="22"/>
              </w:rPr>
              <w:t>évaluation est présenté dans le document ITH/16/11.COM/10.</w:t>
            </w:r>
          </w:p>
          <w:p w:rsidR="00F44794" w:rsidRPr="00C14775" w:rsidRDefault="00F44794" w:rsidP="00031AE8">
            <w:pPr>
              <w:pStyle w:val="Sansinterligne2"/>
              <w:spacing w:before="200" w:after="200"/>
              <w:jc w:val="both"/>
              <w:rPr>
                <w:rFonts w:ascii="Arial" w:hAnsi="Arial" w:cs="Arial"/>
                <w:b/>
                <w:sz w:val="22"/>
                <w:szCs w:val="22"/>
              </w:rPr>
            </w:pPr>
            <w:r w:rsidRPr="00C14775">
              <w:rPr>
                <w:rFonts w:ascii="Arial" w:hAnsi="Arial" w:cs="Arial"/>
                <w:b/>
                <w:sz w:val="22"/>
              </w:rPr>
              <w:t xml:space="preserve">Décision requise : </w:t>
            </w:r>
            <w:r w:rsidRPr="00C14775">
              <w:rPr>
                <w:rFonts w:ascii="Arial" w:hAnsi="Arial" w:cs="Arial"/>
                <w:sz w:val="22"/>
              </w:rPr>
              <w:t>paragraphe 4</w:t>
            </w:r>
          </w:p>
        </w:tc>
      </w:tr>
    </w:tbl>
    <w:p w:rsidR="00B522FD" w:rsidRPr="00C14775" w:rsidRDefault="00B522FD" w:rsidP="00B522FD">
      <w:pPr>
        <w:pStyle w:val="NoSpacing1"/>
        <w:keepNext/>
        <w:numPr>
          <w:ilvl w:val="0"/>
          <w:numId w:val="27"/>
        </w:numPr>
        <w:tabs>
          <w:tab w:val="left" w:pos="567"/>
        </w:tabs>
        <w:spacing w:before="360" w:after="240"/>
        <w:ind w:hanging="930"/>
        <w:jc w:val="both"/>
        <w:rPr>
          <w:rFonts w:ascii="Arial" w:hAnsi="Arial" w:cs="Arial"/>
          <w:b/>
        </w:rPr>
      </w:pPr>
      <w:bookmarkStart w:id="1" w:name="_Favourable_recommendations"/>
      <w:bookmarkEnd w:id="1"/>
      <w:r w:rsidRPr="00C14775">
        <w:rPr>
          <w:rFonts w:ascii="Arial" w:hAnsi="Arial" w:cs="Arial"/>
          <w:b/>
        </w:rPr>
        <w:lastRenderedPageBreak/>
        <w:t>Recommandations</w:t>
      </w:r>
    </w:p>
    <w:p w:rsidR="00B522FD" w:rsidRPr="00C14775" w:rsidRDefault="00B522FD" w:rsidP="00B522FD">
      <w:pPr>
        <w:pStyle w:val="COMPara"/>
        <w:spacing w:before="240" w:after="240"/>
        <w:ind w:left="567" w:hanging="567"/>
        <w:jc w:val="both"/>
      </w:pPr>
      <w:bookmarkStart w:id="2" w:name="recommend_to_inscribe"/>
      <w:bookmarkEnd w:id="2"/>
      <w:r w:rsidRPr="00C14775">
        <w:t>L</w:t>
      </w:r>
      <w:r w:rsidR="00E93319" w:rsidRPr="00C14775">
        <w:t>’</w:t>
      </w:r>
      <w:r w:rsidRPr="00C14775">
        <w:t>Organe d</w:t>
      </w:r>
      <w:r w:rsidR="00E93319" w:rsidRPr="00C14775">
        <w:t>’</w:t>
      </w:r>
      <w:r w:rsidRPr="00C14775">
        <w:t>évaluation recommande au Comité d</w:t>
      </w:r>
      <w:r w:rsidR="00E93319" w:rsidRPr="00C14775">
        <w:t>’</w:t>
      </w:r>
      <w:r w:rsidRPr="00C14775">
        <w:t>inscrire les éléments suivants sur la Liste du patrimoine culturel immatériel nécessitant une sauvegarde urgente :</w:t>
      </w:r>
    </w:p>
    <w:tbl>
      <w:tblPr>
        <w:tblW w:w="4692"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39"/>
        <w:gridCol w:w="10"/>
        <w:gridCol w:w="1853"/>
        <w:gridCol w:w="4629"/>
        <w:gridCol w:w="9"/>
        <w:gridCol w:w="1011"/>
      </w:tblGrid>
      <w:tr w:rsidR="00B522FD" w:rsidRPr="00C14775" w:rsidTr="00BC7C4C">
        <w:trPr>
          <w:cantSplit/>
          <w:tblHeader/>
        </w:trPr>
        <w:tc>
          <w:tcPr>
            <w:tcW w:w="924" w:type="pct"/>
            <w:tcBorders>
              <w:right w:val="nil"/>
            </w:tcBorders>
            <w:shd w:val="clear" w:color="auto" w:fill="BFBFBF"/>
            <w:vAlign w:val="center"/>
          </w:tcPr>
          <w:p w:rsidR="00B522FD" w:rsidRPr="00C14775" w:rsidRDefault="00B522FD" w:rsidP="00BC7C4C">
            <w:pPr>
              <w:keepNext/>
              <w:spacing w:before="120" w:after="120"/>
              <w:jc w:val="center"/>
              <w:rPr>
                <w:rFonts w:cs="Arial"/>
                <w:color w:val="000000"/>
                <w:sz w:val="22"/>
                <w:szCs w:val="22"/>
              </w:rPr>
            </w:pPr>
            <w:r w:rsidRPr="00C14775">
              <w:rPr>
                <w:rFonts w:cs="Arial"/>
                <w:b/>
                <w:color w:val="000000"/>
                <w:sz w:val="22"/>
              </w:rPr>
              <w:t>Projet de</w:t>
            </w:r>
            <w:r w:rsidRPr="00C14775">
              <w:rPr>
                <w:rFonts w:cs="Arial"/>
                <w:b/>
                <w:bCs/>
                <w:color w:val="000000"/>
                <w:sz w:val="22"/>
                <w:szCs w:val="22"/>
              </w:rPr>
              <w:br/>
            </w:r>
            <w:r w:rsidRPr="00C14775">
              <w:rPr>
                <w:rFonts w:cs="Arial"/>
                <w:b/>
                <w:color w:val="000000"/>
                <w:sz w:val="22"/>
              </w:rPr>
              <w:t>décision</w:t>
            </w:r>
          </w:p>
        </w:tc>
        <w:tc>
          <w:tcPr>
            <w:tcW w:w="934" w:type="pct"/>
            <w:gridSpan w:val="2"/>
            <w:tcBorders>
              <w:left w:val="nil"/>
              <w:right w:val="nil"/>
            </w:tcBorders>
            <w:shd w:val="clear" w:color="auto" w:fill="BFBFBF"/>
            <w:vAlign w:val="center"/>
          </w:tcPr>
          <w:p w:rsidR="00B522FD" w:rsidRPr="00C14775" w:rsidRDefault="00B522FD" w:rsidP="00BC7C4C">
            <w:pPr>
              <w:keepNext/>
              <w:spacing w:before="120" w:after="120"/>
              <w:jc w:val="center"/>
              <w:rPr>
                <w:rFonts w:cs="Arial"/>
                <w:color w:val="000000"/>
                <w:sz w:val="22"/>
                <w:szCs w:val="22"/>
              </w:rPr>
            </w:pPr>
            <w:r w:rsidRPr="00C14775">
              <w:rPr>
                <w:rFonts w:cs="Arial"/>
                <w:b/>
                <w:color w:val="000000"/>
                <w:sz w:val="22"/>
              </w:rPr>
              <w:t>État soumissionnaire</w:t>
            </w:r>
          </w:p>
        </w:tc>
        <w:tc>
          <w:tcPr>
            <w:tcW w:w="2557" w:type="pct"/>
            <w:tcBorders>
              <w:left w:val="nil"/>
              <w:right w:val="nil"/>
            </w:tcBorders>
            <w:shd w:val="clear" w:color="auto" w:fill="BFBFBF"/>
            <w:vAlign w:val="center"/>
          </w:tcPr>
          <w:p w:rsidR="00B522FD" w:rsidRPr="00C14775" w:rsidRDefault="00B522FD" w:rsidP="00BC7C4C">
            <w:pPr>
              <w:keepNext/>
              <w:spacing w:before="120" w:after="120"/>
              <w:jc w:val="center"/>
              <w:rPr>
                <w:rFonts w:cs="Arial"/>
                <w:color w:val="000000"/>
                <w:sz w:val="22"/>
                <w:szCs w:val="22"/>
              </w:rPr>
            </w:pPr>
            <w:r w:rsidRPr="00C14775">
              <w:rPr>
                <w:rFonts w:cs="Arial"/>
                <w:b/>
                <w:color w:val="000000"/>
                <w:sz w:val="22"/>
              </w:rPr>
              <w:t>Candidature</w:t>
            </w:r>
          </w:p>
        </w:tc>
        <w:tc>
          <w:tcPr>
            <w:tcW w:w="586" w:type="pct"/>
            <w:gridSpan w:val="2"/>
            <w:tcBorders>
              <w:left w:val="nil"/>
            </w:tcBorders>
            <w:shd w:val="clear" w:color="auto" w:fill="BFBFBF"/>
            <w:vAlign w:val="center"/>
          </w:tcPr>
          <w:p w:rsidR="00B522FD" w:rsidRPr="00C14775" w:rsidRDefault="00B522FD" w:rsidP="00BC7C4C">
            <w:pPr>
              <w:keepNext/>
              <w:spacing w:before="120" w:after="120"/>
              <w:jc w:val="center"/>
              <w:rPr>
                <w:rFonts w:cs="Arial"/>
                <w:color w:val="000000"/>
                <w:sz w:val="22"/>
                <w:szCs w:val="22"/>
              </w:rPr>
            </w:pPr>
            <w:r w:rsidRPr="00C14775">
              <w:rPr>
                <w:rFonts w:cs="Arial"/>
                <w:b/>
                <w:color w:val="000000"/>
                <w:sz w:val="22"/>
              </w:rPr>
              <w:t>Dossier n°</w:t>
            </w:r>
          </w:p>
        </w:tc>
      </w:tr>
      <w:tr w:rsidR="00B522FD" w:rsidRPr="00C14775" w:rsidTr="00BC7C4C">
        <w:trPr>
          <w:cantSplit/>
        </w:trPr>
        <w:tc>
          <w:tcPr>
            <w:tcW w:w="929" w:type="pct"/>
            <w:gridSpan w:val="2"/>
            <w:tcBorders>
              <w:right w:val="nil"/>
            </w:tcBorders>
          </w:tcPr>
          <w:p w:rsidR="00B522FD" w:rsidRPr="00C14775" w:rsidRDefault="00F616D9" w:rsidP="00470503">
            <w:pPr>
              <w:keepNext/>
              <w:spacing w:before="120" w:after="120"/>
              <w:jc w:val="center"/>
              <w:rPr>
                <w:rFonts w:cs="Arial"/>
                <w:bCs/>
                <w:color w:val="000000"/>
                <w:sz w:val="22"/>
                <w:szCs w:val="22"/>
              </w:rPr>
            </w:pPr>
            <w:hyperlink w:anchor="DRAFT_DECISION_11COM_10a3" w:history="1">
              <w:r w:rsidR="009D084C" w:rsidRPr="00C14775">
                <w:rPr>
                  <w:rStyle w:val="Hyperlink"/>
                  <w:rFonts w:cs="Arial"/>
                  <w:sz w:val="22"/>
                </w:rPr>
                <w:t>11</w:t>
              </w:r>
              <w:proofErr w:type="gramStart"/>
              <w:r w:rsidR="009D084C" w:rsidRPr="00C14775">
                <w:rPr>
                  <w:rStyle w:val="Hyperlink"/>
                  <w:rFonts w:cs="Arial"/>
                  <w:sz w:val="22"/>
                </w:rPr>
                <w:t>.COM</w:t>
              </w:r>
              <w:proofErr w:type="gramEnd"/>
              <w:r w:rsidR="009D084C" w:rsidRPr="00C14775">
                <w:rPr>
                  <w:rStyle w:val="Hyperlink"/>
                  <w:rFonts w:cs="Arial"/>
                  <w:sz w:val="22"/>
                </w:rPr>
                <w:t xml:space="preserve"> 10.a.3</w:t>
              </w:r>
            </w:hyperlink>
          </w:p>
        </w:tc>
        <w:tc>
          <w:tcPr>
            <w:tcW w:w="929" w:type="pct"/>
            <w:tcBorders>
              <w:left w:val="nil"/>
              <w:right w:val="nil"/>
            </w:tcBorders>
          </w:tcPr>
          <w:p w:rsidR="00B522FD" w:rsidRPr="00C14775" w:rsidRDefault="00B522FD" w:rsidP="00470503">
            <w:pPr>
              <w:keepNext/>
              <w:spacing w:before="120" w:after="120"/>
              <w:jc w:val="center"/>
              <w:rPr>
                <w:rFonts w:cs="Arial"/>
                <w:color w:val="000000"/>
                <w:sz w:val="22"/>
                <w:szCs w:val="22"/>
              </w:rPr>
            </w:pPr>
            <w:r w:rsidRPr="00C14775">
              <w:rPr>
                <w:rFonts w:cs="Arial"/>
                <w:sz w:val="22"/>
              </w:rPr>
              <w:t>Portugal</w:t>
            </w:r>
          </w:p>
        </w:tc>
        <w:tc>
          <w:tcPr>
            <w:tcW w:w="2562" w:type="pct"/>
            <w:gridSpan w:val="2"/>
            <w:tcBorders>
              <w:left w:val="nil"/>
              <w:right w:val="nil"/>
            </w:tcBorders>
          </w:tcPr>
          <w:p w:rsidR="00B522FD" w:rsidRPr="00C14775" w:rsidRDefault="00031AE8" w:rsidP="00CD657F">
            <w:pPr>
              <w:keepNext/>
              <w:spacing w:before="120" w:after="120"/>
              <w:rPr>
                <w:rFonts w:cs="Arial"/>
                <w:color w:val="000000"/>
                <w:sz w:val="22"/>
                <w:szCs w:val="22"/>
              </w:rPr>
            </w:pPr>
            <w:r w:rsidRPr="00C14775">
              <w:rPr>
                <w:rFonts w:cs="Arial"/>
                <w:sz w:val="22"/>
              </w:rPr>
              <w:t xml:space="preserve">Le processus de fabrication de la poterie noire de </w:t>
            </w:r>
            <w:proofErr w:type="spellStart"/>
            <w:r w:rsidRPr="00C14775">
              <w:rPr>
                <w:rFonts w:cs="Arial"/>
                <w:sz w:val="22"/>
              </w:rPr>
              <w:t>Bisalhães</w:t>
            </w:r>
            <w:proofErr w:type="spellEnd"/>
          </w:p>
        </w:tc>
        <w:tc>
          <w:tcPr>
            <w:tcW w:w="581" w:type="pct"/>
            <w:tcBorders>
              <w:left w:val="nil"/>
            </w:tcBorders>
          </w:tcPr>
          <w:p w:rsidR="00B522FD" w:rsidRPr="00C14775" w:rsidRDefault="00F616D9" w:rsidP="00470503">
            <w:pPr>
              <w:keepNext/>
              <w:spacing w:before="120" w:after="120"/>
              <w:jc w:val="center"/>
              <w:rPr>
                <w:rFonts w:cs="Arial"/>
                <w:color w:val="000000"/>
                <w:sz w:val="22"/>
                <w:szCs w:val="22"/>
              </w:rPr>
            </w:pPr>
            <w:hyperlink r:id="rId13" w:anchor="10.a.3" w:history="1">
              <w:r w:rsidR="00BC7C4C" w:rsidRPr="00F70928">
                <w:rPr>
                  <w:rStyle w:val="Hyperlink"/>
                  <w:rFonts w:cs="Arial"/>
                  <w:sz w:val="22"/>
                  <w:szCs w:val="22"/>
                </w:rPr>
                <w:t>01199</w:t>
              </w:r>
            </w:hyperlink>
          </w:p>
        </w:tc>
      </w:tr>
      <w:tr w:rsidR="00B522FD" w:rsidRPr="00C14775" w:rsidTr="00BC7C4C">
        <w:trPr>
          <w:cantSplit/>
        </w:trPr>
        <w:tc>
          <w:tcPr>
            <w:tcW w:w="929" w:type="pct"/>
            <w:gridSpan w:val="2"/>
            <w:tcBorders>
              <w:right w:val="nil"/>
            </w:tcBorders>
          </w:tcPr>
          <w:p w:rsidR="00B522FD" w:rsidRPr="00C14775" w:rsidRDefault="00F616D9" w:rsidP="00470503">
            <w:pPr>
              <w:keepNext/>
              <w:spacing w:before="120" w:after="120"/>
              <w:jc w:val="center"/>
              <w:rPr>
                <w:rFonts w:cs="Arial"/>
                <w:bCs/>
                <w:color w:val="000000"/>
                <w:sz w:val="22"/>
                <w:szCs w:val="22"/>
              </w:rPr>
            </w:pPr>
            <w:hyperlink w:anchor="DRAFT_DECISION_11COM_10a4" w:history="1">
              <w:r w:rsidR="009D084C" w:rsidRPr="00C14775">
                <w:rPr>
                  <w:rStyle w:val="Hyperlink"/>
                  <w:rFonts w:cs="Arial"/>
                  <w:sz w:val="22"/>
                </w:rPr>
                <w:t>11</w:t>
              </w:r>
              <w:proofErr w:type="gramStart"/>
              <w:r w:rsidR="009D084C" w:rsidRPr="00C14775">
                <w:rPr>
                  <w:rStyle w:val="Hyperlink"/>
                  <w:rFonts w:cs="Arial"/>
                  <w:sz w:val="22"/>
                </w:rPr>
                <w:t>.COM</w:t>
              </w:r>
              <w:proofErr w:type="gramEnd"/>
              <w:r w:rsidR="009D084C" w:rsidRPr="00C14775">
                <w:rPr>
                  <w:rStyle w:val="Hyperlink"/>
                  <w:rFonts w:cs="Arial"/>
                  <w:sz w:val="22"/>
                </w:rPr>
                <w:t xml:space="preserve"> 10.a.4</w:t>
              </w:r>
            </w:hyperlink>
          </w:p>
        </w:tc>
        <w:tc>
          <w:tcPr>
            <w:tcW w:w="929" w:type="pct"/>
            <w:tcBorders>
              <w:left w:val="nil"/>
              <w:right w:val="nil"/>
            </w:tcBorders>
          </w:tcPr>
          <w:p w:rsidR="00B522FD" w:rsidRPr="00C14775" w:rsidRDefault="00031AE8" w:rsidP="00470503">
            <w:pPr>
              <w:keepNext/>
              <w:spacing w:before="120" w:after="120"/>
              <w:jc w:val="center"/>
              <w:rPr>
                <w:rFonts w:cs="Arial"/>
                <w:color w:val="000000"/>
                <w:sz w:val="22"/>
                <w:szCs w:val="22"/>
              </w:rPr>
            </w:pPr>
            <w:r w:rsidRPr="00C14775">
              <w:rPr>
                <w:rFonts w:cs="Arial"/>
                <w:sz w:val="22"/>
              </w:rPr>
              <w:t>Ouganda</w:t>
            </w:r>
          </w:p>
        </w:tc>
        <w:tc>
          <w:tcPr>
            <w:tcW w:w="2562" w:type="pct"/>
            <w:gridSpan w:val="2"/>
            <w:tcBorders>
              <w:left w:val="nil"/>
              <w:right w:val="nil"/>
            </w:tcBorders>
          </w:tcPr>
          <w:p w:rsidR="00B522FD" w:rsidRPr="00C14775" w:rsidRDefault="00031AE8" w:rsidP="00CD657F">
            <w:pPr>
              <w:keepNext/>
              <w:spacing w:before="120" w:after="120"/>
              <w:rPr>
                <w:rFonts w:cs="Arial"/>
                <w:color w:val="000000"/>
                <w:sz w:val="22"/>
                <w:szCs w:val="22"/>
              </w:rPr>
            </w:pPr>
            <w:r w:rsidRPr="00C14775">
              <w:rPr>
                <w:rFonts w:cs="Arial"/>
                <w:sz w:val="22"/>
              </w:rPr>
              <w:t xml:space="preserve">La danse et musique de lyre arquée </w:t>
            </w:r>
            <w:proofErr w:type="spellStart"/>
            <w:r w:rsidRPr="00C14775">
              <w:rPr>
                <w:rFonts w:cs="Arial"/>
                <w:sz w:val="22"/>
              </w:rPr>
              <w:t>ma</w:t>
            </w:r>
            <w:r w:rsidR="00E93319" w:rsidRPr="00C14775">
              <w:rPr>
                <w:rFonts w:cs="Arial"/>
                <w:sz w:val="22"/>
              </w:rPr>
              <w:t>’</w:t>
            </w:r>
            <w:r w:rsidRPr="00C14775">
              <w:rPr>
                <w:rFonts w:cs="Arial"/>
                <w:sz w:val="22"/>
              </w:rPr>
              <w:t>di</w:t>
            </w:r>
            <w:proofErr w:type="spellEnd"/>
          </w:p>
        </w:tc>
        <w:tc>
          <w:tcPr>
            <w:tcW w:w="581" w:type="pct"/>
            <w:tcBorders>
              <w:left w:val="nil"/>
            </w:tcBorders>
          </w:tcPr>
          <w:p w:rsidR="00B522FD" w:rsidRPr="00C14775" w:rsidRDefault="00F616D9" w:rsidP="00470503">
            <w:pPr>
              <w:keepNext/>
              <w:spacing w:before="120" w:after="120"/>
              <w:jc w:val="center"/>
              <w:rPr>
                <w:rFonts w:cs="Arial"/>
                <w:color w:val="000000"/>
                <w:sz w:val="22"/>
                <w:szCs w:val="22"/>
              </w:rPr>
            </w:pPr>
            <w:hyperlink r:id="rId14" w:anchor="10.a.4" w:history="1">
              <w:r w:rsidR="00BC7C4C" w:rsidRPr="00F70928">
                <w:rPr>
                  <w:rStyle w:val="Hyperlink"/>
                  <w:rFonts w:cs="Arial"/>
                  <w:sz w:val="22"/>
                  <w:szCs w:val="22"/>
                </w:rPr>
                <w:t>01187</w:t>
              </w:r>
            </w:hyperlink>
          </w:p>
        </w:tc>
      </w:tr>
      <w:tr w:rsidR="00B522FD" w:rsidRPr="00C14775" w:rsidTr="00BC7C4C">
        <w:trPr>
          <w:cantSplit/>
        </w:trPr>
        <w:tc>
          <w:tcPr>
            <w:tcW w:w="929" w:type="pct"/>
            <w:gridSpan w:val="2"/>
            <w:tcBorders>
              <w:right w:val="nil"/>
            </w:tcBorders>
          </w:tcPr>
          <w:p w:rsidR="00B522FD" w:rsidRPr="00C14775" w:rsidRDefault="00F616D9" w:rsidP="00470503">
            <w:pPr>
              <w:spacing w:before="120" w:after="120"/>
              <w:jc w:val="center"/>
              <w:rPr>
                <w:rFonts w:cs="Arial"/>
                <w:bCs/>
                <w:color w:val="000000"/>
                <w:sz w:val="22"/>
                <w:szCs w:val="22"/>
              </w:rPr>
            </w:pPr>
            <w:hyperlink w:anchor="DRAFT_DECISION_11COM_10a5" w:history="1">
              <w:r w:rsidR="009D084C" w:rsidRPr="00C14775">
                <w:rPr>
                  <w:rStyle w:val="Hyperlink"/>
                  <w:rFonts w:cs="Arial"/>
                  <w:sz w:val="22"/>
                </w:rPr>
                <w:t>11</w:t>
              </w:r>
              <w:proofErr w:type="gramStart"/>
              <w:r w:rsidR="009D084C" w:rsidRPr="00C14775">
                <w:rPr>
                  <w:rStyle w:val="Hyperlink"/>
                  <w:rFonts w:cs="Arial"/>
                  <w:sz w:val="22"/>
                </w:rPr>
                <w:t>.COM</w:t>
              </w:r>
              <w:proofErr w:type="gramEnd"/>
              <w:r w:rsidR="009D084C" w:rsidRPr="00C14775">
                <w:rPr>
                  <w:rStyle w:val="Hyperlink"/>
                  <w:rFonts w:cs="Arial"/>
                  <w:sz w:val="22"/>
                </w:rPr>
                <w:t xml:space="preserve"> 10.a.5</w:t>
              </w:r>
            </w:hyperlink>
          </w:p>
        </w:tc>
        <w:tc>
          <w:tcPr>
            <w:tcW w:w="929" w:type="pct"/>
            <w:tcBorders>
              <w:left w:val="nil"/>
              <w:right w:val="nil"/>
            </w:tcBorders>
          </w:tcPr>
          <w:p w:rsidR="00B522FD" w:rsidRPr="00C14775" w:rsidRDefault="00B522FD" w:rsidP="00470503">
            <w:pPr>
              <w:spacing w:before="120" w:after="120"/>
              <w:jc w:val="center"/>
              <w:rPr>
                <w:rFonts w:cs="Arial"/>
                <w:color w:val="000000"/>
                <w:sz w:val="22"/>
                <w:szCs w:val="22"/>
              </w:rPr>
            </w:pPr>
            <w:r w:rsidRPr="00C14775">
              <w:rPr>
                <w:rFonts w:cs="Arial"/>
                <w:sz w:val="22"/>
              </w:rPr>
              <w:t>Ukraine</w:t>
            </w:r>
          </w:p>
        </w:tc>
        <w:tc>
          <w:tcPr>
            <w:tcW w:w="2562" w:type="pct"/>
            <w:gridSpan w:val="2"/>
            <w:tcBorders>
              <w:left w:val="nil"/>
              <w:right w:val="nil"/>
            </w:tcBorders>
          </w:tcPr>
          <w:p w:rsidR="00B522FD" w:rsidRPr="00C14775" w:rsidRDefault="00031AE8" w:rsidP="00CD657F">
            <w:pPr>
              <w:spacing w:before="120" w:after="120"/>
              <w:rPr>
                <w:rFonts w:cs="Arial"/>
                <w:color w:val="000000"/>
                <w:sz w:val="22"/>
                <w:szCs w:val="22"/>
              </w:rPr>
            </w:pPr>
            <w:r w:rsidRPr="00C14775">
              <w:rPr>
                <w:rFonts w:cs="Arial"/>
                <w:sz w:val="22"/>
              </w:rPr>
              <w:t>Les chants cosaques de la région de Dnipropetrovsk</w:t>
            </w:r>
          </w:p>
        </w:tc>
        <w:tc>
          <w:tcPr>
            <w:tcW w:w="581" w:type="pct"/>
            <w:tcBorders>
              <w:left w:val="nil"/>
            </w:tcBorders>
          </w:tcPr>
          <w:p w:rsidR="00B522FD" w:rsidRPr="00C14775" w:rsidRDefault="00F616D9" w:rsidP="00470503">
            <w:pPr>
              <w:keepNext/>
              <w:spacing w:before="120" w:after="120"/>
              <w:jc w:val="center"/>
              <w:rPr>
                <w:rFonts w:cs="Arial"/>
                <w:color w:val="000000"/>
                <w:sz w:val="22"/>
                <w:szCs w:val="22"/>
              </w:rPr>
            </w:pPr>
            <w:hyperlink r:id="rId15" w:anchor="10.a.5" w:history="1">
              <w:r w:rsidR="00BC7C4C" w:rsidRPr="00F70928">
                <w:rPr>
                  <w:rStyle w:val="Hyperlink"/>
                  <w:rFonts w:cs="Arial"/>
                  <w:sz w:val="22"/>
                  <w:szCs w:val="22"/>
                </w:rPr>
                <w:t>01194</w:t>
              </w:r>
            </w:hyperlink>
          </w:p>
        </w:tc>
      </w:tr>
    </w:tbl>
    <w:p w:rsidR="00B522FD" w:rsidRPr="00C14775" w:rsidRDefault="00B522FD" w:rsidP="00B522FD">
      <w:pPr>
        <w:pStyle w:val="COMPara"/>
        <w:spacing w:before="360" w:after="240"/>
        <w:ind w:left="567" w:hanging="567"/>
        <w:jc w:val="both"/>
      </w:pPr>
      <w:bookmarkStart w:id="3" w:name="_Unfavourable_recommendation"/>
      <w:bookmarkStart w:id="4" w:name="recommend_to_refer"/>
      <w:bookmarkEnd w:id="3"/>
      <w:bookmarkEnd w:id="4"/>
      <w:r w:rsidRPr="00C14775">
        <w:t>L</w:t>
      </w:r>
      <w:r w:rsidR="00E93319" w:rsidRPr="00C14775">
        <w:t>’</w:t>
      </w:r>
      <w:r w:rsidRPr="00C14775">
        <w:t>Organe d</w:t>
      </w:r>
      <w:r w:rsidR="00E93319" w:rsidRPr="00C14775">
        <w:t>’</w:t>
      </w:r>
      <w:r w:rsidRPr="00C14775">
        <w:t>évaluation recommande au Comité de renvoyer les candidatures suivantes aux États soumissionnaires :</w:t>
      </w:r>
    </w:p>
    <w:tbl>
      <w:tblPr>
        <w:tblW w:w="4692"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49"/>
        <w:gridCol w:w="1863"/>
        <w:gridCol w:w="4638"/>
        <w:gridCol w:w="1001"/>
      </w:tblGrid>
      <w:tr w:rsidR="00B522FD" w:rsidRPr="00C14775" w:rsidTr="00470503">
        <w:trPr>
          <w:cantSplit/>
          <w:tblHeader/>
        </w:trPr>
        <w:tc>
          <w:tcPr>
            <w:tcW w:w="929" w:type="pct"/>
            <w:tcBorders>
              <w:right w:val="nil"/>
            </w:tcBorders>
            <w:shd w:val="clear" w:color="auto" w:fill="BFBFBF"/>
            <w:vAlign w:val="center"/>
          </w:tcPr>
          <w:p w:rsidR="00B522FD" w:rsidRPr="00C14775" w:rsidRDefault="00B522FD" w:rsidP="00BC7C4C">
            <w:pPr>
              <w:keepNext/>
              <w:spacing w:before="120" w:after="120"/>
              <w:jc w:val="center"/>
              <w:rPr>
                <w:rFonts w:cs="Arial"/>
                <w:color w:val="000000"/>
                <w:sz w:val="22"/>
                <w:szCs w:val="22"/>
              </w:rPr>
            </w:pPr>
            <w:r w:rsidRPr="00C14775">
              <w:rPr>
                <w:rFonts w:cs="Arial"/>
                <w:b/>
                <w:color w:val="000000"/>
                <w:sz w:val="22"/>
              </w:rPr>
              <w:t>Projet de</w:t>
            </w:r>
            <w:r w:rsidRPr="00C14775">
              <w:rPr>
                <w:rFonts w:cs="Arial"/>
                <w:b/>
                <w:bCs/>
                <w:color w:val="000000"/>
                <w:sz w:val="22"/>
                <w:szCs w:val="22"/>
              </w:rPr>
              <w:br/>
            </w:r>
            <w:r w:rsidRPr="00C14775">
              <w:rPr>
                <w:rFonts w:cs="Arial"/>
                <w:b/>
                <w:color w:val="000000"/>
                <w:sz w:val="22"/>
              </w:rPr>
              <w:t>décision</w:t>
            </w:r>
          </w:p>
        </w:tc>
        <w:tc>
          <w:tcPr>
            <w:tcW w:w="929" w:type="pct"/>
            <w:tcBorders>
              <w:left w:val="nil"/>
              <w:right w:val="nil"/>
            </w:tcBorders>
            <w:shd w:val="clear" w:color="auto" w:fill="BFBFBF"/>
            <w:vAlign w:val="center"/>
          </w:tcPr>
          <w:p w:rsidR="00B522FD" w:rsidRPr="00C14775" w:rsidRDefault="00B522FD" w:rsidP="00BC7C4C">
            <w:pPr>
              <w:keepNext/>
              <w:spacing w:before="120" w:after="120"/>
              <w:jc w:val="center"/>
              <w:rPr>
                <w:rFonts w:cs="Arial"/>
                <w:color w:val="000000"/>
                <w:sz w:val="22"/>
                <w:szCs w:val="22"/>
              </w:rPr>
            </w:pPr>
            <w:r w:rsidRPr="00C14775">
              <w:rPr>
                <w:rFonts w:cs="Arial"/>
                <w:b/>
                <w:color w:val="000000"/>
                <w:sz w:val="22"/>
              </w:rPr>
              <w:t>État soumissionnaire</w:t>
            </w:r>
          </w:p>
        </w:tc>
        <w:tc>
          <w:tcPr>
            <w:tcW w:w="2562" w:type="pct"/>
            <w:tcBorders>
              <w:left w:val="nil"/>
              <w:right w:val="nil"/>
            </w:tcBorders>
            <w:shd w:val="clear" w:color="auto" w:fill="BFBFBF"/>
            <w:vAlign w:val="center"/>
          </w:tcPr>
          <w:p w:rsidR="00B522FD" w:rsidRPr="00C14775" w:rsidRDefault="00B522FD" w:rsidP="00BC7C4C">
            <w:pPr>
              <w:keepNext/>
              <w:spacing w:before="120" w:after="120"/>
              <w:jc w:val="center"/>
              <w:rPr>
                <w:rFonts w:cs="Arial"/>
                <w:color w:val="000000"/>
                <w:sz w:val="22"/>
                <w:szCs w:val="22"/>
              </w:rPr>
            </w:pPr>
            <w:r w:rsidRPr="00C14775">
              <w:rPr>
                <w:rFonts w:cs="Arial"/>
                <w:b/>
                <w:color w:val="000000"/>
                <w:sz w:val="22"/>
              </w:rPr>
              <w:t>Candidature</w:t>
            </w:r>
          </w:p>
        </w:tc>
        <w:tc>
          <w:tcPr>
            <w:tcW w:w="580" w:type="pct"/>
            <w:tcBorders>
              <w:left w:val="nil"/>
            </w:tcBorders>
            <w:shd w:val="clear" w:color="auto" w:fill="BFBFBF"/>
            <w:vAlign w:val="center"/>
          </w:tcPr>
          <w:p w:rsidR="00B522FD" w:rsidRPr="00C14775" w:rsidRDefault="00B522FD" w:rsidP="00BC7C4C">
            <w:pPr>
              <w:keepNext/>
              <w:spacing w:before="120" w:after="120"/>
              <w:jc w:val="center"/>
              <w:rPr>
                <w:rFonts w:cs="Arial"/>
                <w:color w:val="000000"/>
                <w:sz w:val="22"/>
                <w:szCs w:val="22"/>
              </w:rPr>
            </w:pPr>
            <w:r w:rsidRPr="00C14775">
              <w:rPr>
                <w:rFonts w:cs="Arial"/>
                <w:b/>
                <w:color w:val="000000"/>
                <w:sz w:val="22"/>
              </w:rPr>
              <w:t>Dossier n°</w:t>
            </w:r>
          </w:p>
        </w:tc>
      </w:tr>
      <w:tr w:rsidR="00B522FD" w:rsidRPr="00C14775" w:rsidTr="00470503">
        <w:trPr>
          <w:cantSplit/>
          <w:trHeight w:val="455"/>
        </w:trPr>
        <w:tc>
          <w:tcPr>
            <w:tcW w:w="924" w:type="pct"/>
            <w:tcBorders>
              <w:right w:val="nil"/>
            </w:tcBorders>
          </w:tcPr>
          <w:p w:rsidR="00B522FD" w:rsidRPr="00C14775" w:rsidRDefault="00F616D9" w:rsidP="00470503">
            <w:pPr>
              <w:keepNext/>
              <w:spacing w:before="120" w:after="120"/>
              <w:jc w:val="center"/>
              <w:rPr>
                <w:rFonts w:cs="Arial"/>
                <w:bCs/>
                <w:color w:val="000000"/>
                <w:sz w:val="22"/>
                <w:szCs w:val="22"/>
              </w:rPr>
            </w:pPr>
            <w:hyperlink w:anchor="DRAFT_DECISION_11COM_10a1" w:history="1">
              <w:r w:rsidR="009D084C" w:rsidRPr="00C14775">
                <w:rPr>
                  <w:rStyle w:val="Hyperlink"/>
                  <w:rFonts w:cs="Arial"/>
                  <w:sz w:val="22"/>
                </w:rPr>
                <w:t>11</w:t>
              </w:r>
              <w:proofErr w:type="gramStart"/>
              <w:r w:rsidR="009D084C" w:rsidRPr="00C14775">
                <w:rPr>
                  <w:rStyle w:val="Hyperlink"/>
                  <w:rFonts w:cs="Arial"/>
                  <w:sz w:val="22"/>
                </w:rPr>
                <w:t>.COM</w:t>
              </w:r>
              <w:proofErr w:type="gramEnd"/>
              <w:r w:rsidR="009D084C" w:rsidRPr="00C14775">
                <w:rPr>
                  <w:rStyle w:val="Hyperlink"/>
                  <w:rFonts w:cs="Arial"/>
                  <w:sz w:val="22"/>
                </w:rPr>
                <w:t xml:space="preserve"> 10.a.1</w:t>
              </w:r>
            </w:hyperlink>
          </w:p>
        </w:tc>
        <w:tc>
          <w:tcPr>
            <w:tcW w:w="934" w:type="pct"/>
            <w:tcBorders>
              <w:left w:val="nil"/>
              <w:right w:val="nil"/>
            </w:tcBorders>
          </w:tcPr>
          <w:p w:rsidR="00B522FD" w:rsidRPr="00C14775" w:rsidRDefault="00B522FD" w:rsidP="00470503">
            <w:pPr>
              <w:keepNext/>
              <w:spacing w:before="120" w:after="120"/>
              <w:jc w:val="center"/>
              <w:rPr>
                <w:rFonts w:cs="Arial"/>
                <w:color w:val="000000"/>
                <w:sz w:val="22"/>
                <w:szCs w:val="22"/>
              </w:rPr>
            </w:pPr>
            <w:r w:rsidRPr="00C14775">
              <w:rPr>
                <w:rFonts w:cs="Arial"/>
                <w:sz w:val="22"/>
              </w:rPr>
              <w:t>Botswana</w:t>
            </w:r>
          </w:p>
        </w:tc>
        <w:tc>
          <w:tcPr>
            <w:tcW w:w="2557" w:type="pct"/>
            <w:tcBorders>
              <w:left w:val="nil"/>
              <w:right w:val="nil"/>
            </w:tcBorders>
          </w:tcPr>
          <w:p w:rsidR="00B522FD" w:rsidRPr="00C14775" w:rsidRDefault="00A15B21" w:rsidP="00CD657F">
            <w:pPr>
              <w:keepNext/>
              <w:spacing w:before="120" w:after="120"/>
              <w:rPr>
                <w:rFonts w:cs="Arial"/>
                <w:color w:val="000000"/>
                <w:sz w:val="22"/>
                <w:szCs w:val="22"/>
              </w:rPr>
            </w:pPr>
            <w:r w:rsidRPr="00C14775">
              <w:rPr>
                <w:rFonts w:cs="Arial"/>
                <w:sz w:val="22"/>
              </w:rPr>
              <w:t xml:space="preserve">Le rituel du </w:t>
            </w:r>
            <w:proofErr w:type="spellStart"/>
            <w:r w:rsidRPr="00C14775">
              <w:rPr>
                <w:rFonts w:cs="Arial"/>
                <w:sz w:val="22"/>
              </w:rPr>
              <w:t>Moropa</w:t>
            </w:r>
            <w:proofErr w:type="spellEnd"/>
            <w:r w:rsidRPr="00C14775">
              <w:rPr>
                <w:rFonts w:cs="Arial"/>
                <w:sz w:val="22"/>
              </w:rPr>
              <w:t xml:space="preserve"> </w:t>
            </w:r>
            <w:proofErr w:type="spellStart"/>
            <w:r w:rsidRPr="00C14775">
              <w:rPr>
                <w:rFonts w:cs="Arial"/>
                <w:sz w:val="22"/>
              </w:rPr>
              <w:t>wa</w:t>
            </w:r>
            <w:proofErr w:type="spellEnd"/>
            <w:r w:rsidRPr="00C14775">
              <w:rPr>
                <w:rFonts w:cs="Arial"/>
                <w:sz w:val="22"/>
              </w:rPr>
              <w:t xml:space="preserve"> </w:t>
            </w:r>
            <w:proofErr w:type="spellStart"/>
            <w:r w:rsidRPr="00C14775">
              <w:rPr>
                <w:rFonts w:cs="Arial"/>
                <w:sz w:val="22"/>
              </w:rPr>
              <w:t>Bojale</w:t>
            </w:r>
            <w:proofErr w:type="spellEnd"/>
            <w:r w:rsidRPr="00C14775">
              <w:rPr>
                <w:rFonts w:cs="Arial"/>
                <w:sz w:val="22"/>
              </w:rPr>
              <w:t xml:space="preserve"> </w:t>
            </w:r>
            <w:proofErr w:type="spellStart"/>
            <w:r w:rsidRPr="00C14775">
              <w:rPr>
                <w:rFonts w:cs="Arial"/>
                <w:sz w:val="22"/>
              </w:rPr>
              <w:t>ba</w:t>
            </w:r>
            <w:proofErr w:type="spellEnd"/>
            <w:r w:rsidRPr="00C14775">
              <w:rPr>
                <w:rFonts w:cs="Arial"/>
                <w:sz w:val="22"/>
              </w:rPr>
              <w:t xml:space="preserve"> </w:t>
            </w:r>
            <w:proofErr w:type="spellStart"/>
            <w:r w:rsidRPr="00C14775">
              <w:rPr>
                <w:rFonts w:cs="Arial"/>
                <w:sz w:val="22"/>
              </w:rPr>
              <w:t>Bakgatla</w:t>
            </w:r>
            <w:proofErr w:type="spellEnd"/>
            <w:r w:rsidRPr="00C14775">
              <w:rPr>
                <w:rFonts w:cs="Arial"/>
                <w:sz w:val="22"/>
              </w:rPr>
              <w:t xml:space="preserve"> </w:t>
            </w:r>
            <w:proofErr w:type="spellStart"/>
            <w:r w:rsidRPr="00C14775">
              <w:rPr>
                <w:rFonts w:cs="Arial"/>
                <w:sz w:val="22"/>
              </w:rPr>
              <w:t>ba</w:t>
            </w:r>
            <w:proofErr w:type="spellEnd"/>
            <w:r w:rsidRPr="00C14775">
              <w:rPr>
                <w:rFonts w:cs="Arial"/>
                <w:sz w:val="22"/>
              </w:rPr>
              <w:t xml:space="preserve"> </w:t>
            </w:r>
            <w:proofErr w:type="spellStart"/>
            <w:r w:rsidRPr="00C14775">
              <w:rPr>
                <w:rFonts w:cs="Arial"/>
                <w:sz w:val="22"/>
              </w:rPr>
              <w:t>Kgafela</w:t>
            </w:r>
            <w:proofErr w:type="spellEnd"/>
            <w:r w:rsidRPr="00C14775">
              <w:rPr>
                <w:rFonts w:cs="Arial"/>
                <w:sz w:val="22"/>
              </w:rPr>
              <w:t xml:space="preserve"> et les pratiques qui lui sont associées</w:t>
            </w:r>
          </w:p>
        </w:tc>
        <w:tc>
          <w:tcPr>
            <w:tcW w:w="585" w:type="pct"/>
            <w:tcBorders>
              <w:left w:val="nil"/>
            </w:tcBorders>
          </w:tcPr>
          <w:p w:rsidR="00B522FD" w:rsidRPr="00C14775" w:rsidRDefault="00F616D9" w:rsidP="00470503">
            <w:pPr>
              <w:keepNext/>
              <w:spacing w:before="120" w:after="120"/>
              <w:jc w:val="center"/>
              <w:rPr>
                <w:rFonts w:cs="Arial"/>
                <w:color w:val="000000"/>
                <w:sz w:val="22"/>
                <w:szCs w:val="22"/>
              </w:rPr>
            </w:pPr>
            <w:hyperlink r:id="rId16" w:anchor="10.a.1" w:history="1">
              <w:r w:rsidR="00BC7C4C" w:rsidRPr="00F70928">
                <w:rPr>
                  <w:rStyle w:val="Hyperlink"/>
                  <w:rFonts w:cs="Arial"/>
                  <w:sz w:val="22"/>
                  <w:szCs w:val="22"/>
                </w:rPr>
                <w:t>01183</w:t>
              </w:r>
            </w:hyperlink>
          </w:p>
        </w:tc>
      </w:tr>
      <w:tr w:rsidR="00B522FD" w:rsidRPr="00C14775" w:rsidTr="00470503">
        <w:trPr>
          <w:cantSplit/>
          <w:trHeight w:val="409"/>
        </w:trPr>
        <w:tc>
          <w:tcPr>
            <w:tcW w:w="924" w:type="pct"/>
            <w:tcBorders>
              <w:right w:val="nil"/>
            </w:tcBorders>
          </w:tcPr>
          <w:p w:rsidR="00B522FD" w:rsidRPr="00C14775" w:rsidRDefault="00F616D9" w:rsidP="00470503">
            <w:pPr>
              <w:keepNext/>
              <w:spacing w:before="120" w:after="120"/>
              <w:jc w:val="center"/>
              <w:rPr>
                <w:rFonts w:cs="Arial"/>
                <w:bCs/>
                <w:color w:val="000000"/>
                <w:sz w:val="22"/>
                <w:szCs w:val="22"/>
              </w:rPr>
            </w:pPr>
            <w:hyperlink w:anchor="DRAFT_DECISION_11COM_10a2" w:history="1">
              <w:r w:rsidR="009D084C" w:rsidRPr="00C14775">
                <w:rPr>
                  <w:rStyle w:val="Hyperlink"/>
                  <w:rFonts w:cs="Arial"/>
                  <w:sz w:val="22"/>
                </w:rPr>
                <w:t>11</w:t>
              </w:r>
              <w:proofErr w:type="gramStart"/>
              <w:r w:rsidR="009D084C" w:rsidRPr="00C14775">
                <w:rPr>
                  <w:rStyle w:val="Hyperlink"/>
                  <w:rFonts w:cs="Arial"/>
                  <w:sz w:val="22"/>
                </w:rPr>
                <w:t>.COM</w:t>
              </w:r>
              <w:proofErr w:type="gramEnd"/>
              <w:r w:rsidR="009D084C" w:rsidRPr="00C14775">
                <w:rPr>
                  <w:rStyle w:val="Hyperlink"/>
                  <w:rFonts w:cs="Arial"/>
                  <w:sz w:val="22"/>
                </w:rPr>
                <w:t xml:space="preserve"> 10.a.2</w:t>
              </w:r>
            </w:hyperlink>
          </w:p>
        </w:tc>
        <w:tc>
          <w:tcPr>
            <w:tcW w:w="934" w:type="pct"/>
            <w:tcBorders>
              <w:left w:val="nil"/>
              <w:right w:val="nil"/>
            </w:tcBorders>
          </w:tcPr>
          <w:p w:rsidR="00B522FD" w:rsidRPr="00C14775" w:rsidRDefault="00031AE8" w:rsidP="00470503">
            <w:pPr>
              <w:keepNext/>
              <w:spacing w:before="120" w:after="120"/>
              <w:jc w:val="center"/>
              <w:rPr>
                <w:rFonts w:cs="Arial"/>
                <w:color w:val="000000"/>
                <w:sz w:val="22"/>
                <w:szCs w:val="22"/>
              </w:rPr>
            </w:pPr>
            <w:r w:rsidRPr="00C14775">
              <w:rPr>
                <w:rFonts w:cs="Arial"/>
                <w:sz w:val="22"/>
              </w:rPr>
              <w:t>Kenya</w:t>
            </w:r>
          </w:p>
        </w:tc>
        <w:tc>
          <w:tcPr>
            <w:tcW w:w="2557" w:type="pct"/>
            <w:tcBorders>
              <w:left w:val="nil"/>
              <w:right w:val="nil"/>
            </w:tcBorders>
          </w:tcPr>
          <w:p w:rsidR="00B522FD" w:rsidRPr="00C14775" w:rsidRDefault="00031AE8" w:rsidP="00CD657F">
            <w:pPr>
              <w:keepNext/>
              <w:spacing w:before="120" w:after="120"/>
              <w:rPr>
                <w:rFonts w:cs="Arial"/>
                <w:color w:val="000000"/>
                <w:sz w:val="22"/>
                <w:szCs w:val="22"/>
              </w:rPr>
            </w:pPr>
            <w:r w:rsidRPr="00C14775">
              <w:rPr>
                <w:rFonts w:cs="Arial"/>
                <w:sz w:val="22"/>
              </w:rPr>
              <w:t xml:space="preserve">Rituels et pratiques associés au sanctuaire de Kit </w:t>
            </w:r>
            <w:proofErr w:type="spellStart"/>
            <w:r w:rsidRPr="00C14775">
              <w:rPr>
                <w:rFonts w:cs="Arial"/>
                <w:sz w:val="22"/>
              </w:rPr>
              <w:t>Mikayi</w:t>
            </w:r>
            <w:proofErr w:type="spellEnd"/>
          </w:p>
        </w:tc>
        <w:tc>
          <w:tcPr>
            <w:tcW w:w="585" w:type="pct"/>
            <w:tcBorders>
              <w:left w:val="nil"/>
            </w:tcBorders>
          </w:tcPr>
          <w:p w:rsidR="00B522FD" w:rsidRPr="00C14775" w:rsidRDefault="00F616D9" w:rsidP="00470503">
            <w:pPr>
              <w:keepNext/>
              <w:spacing w:before="120" w:after="120"/>
              <w:jc w:val="center"/>
              <w:rPr>
                <w:rFonts w:cs="Arial"/>
                <w:color w:val="000000"/>
                <w:sz w:val="22"/>
                <w:szCs w:val="22"/>
              </w:rPr>
            </w:pPr>
            <w:hyperlink r:id="rId17" w:anchor="10.a.2" w:history="1">
              <w:r w:rsidR="00BC7C4C" w:rsidRPr="00F70928">
                <w:rPr>
                  <w:rStyle w:val="Hyperlink"/>
                  <w:rFonts w:cs="Arial"/>
                  <w:sz w:val="22"/>
                  <w:szCs w:val="22"/>
                </w:rPr>
                <w:t>01180</w:t>
              </w:r>
            </w:hyperlink>
          </w:p>
        </w:tc>
      </w:tr>
    </w:tbl>
    <w:p w:rsidR="00031AE8" w:rsidRPr="00C14775" w:rsidRDefault="00031AE8" w:rsidP="00470503">
      <w:pPr>
        <w:pStyle w:val="COMPara"/>
        <w:spacing w:before="360" w:after="240"/>
        <w:ind w:left="567" w:hanging="567"/>
        <w:jc w:val="both"/>
      </w:pPr>
      <w:bookmarkStart w:id="5" w:name="recommend_to_inscribe_and_approve"/>
      <w:bookmarkEnd w:id="5"/>
      <w:r w:rsidRPr="00C14775">
        <w:t>L</w:t>
      </w:r>
      <w:r w:rsidR="00E93319" w:rsidRPr="00C14775">
        <w:t>’</w:t>
      </w:r>
      <w:r w:rsidRPr="00C14775">
        <w:t>Organe d</w:t>
      </w:r>
      <w:r w:rsidR="00E93319" w:rsidRPr="00C14775">
        <w:t>’</w:t>
      </w:r>
      <w:r w:rsidRPr="00C14775">
        <w:t>évaluation recommande au Comité d</w:t>
      </w:r>
      <w:r w:rsidR="00E93319" w:rsidRPr="00C14775">
        <w:t>’</w:t>
      </w:r>
      <w:r w:rsidRPr="00C14775">
        <w:t>inscrire l</w:t>
      </w:r>
      <w:r w:rsidR="00E93319" w:rsidRPr="00C14775">
        <w:t>’</w:t>
      </w:r>
      <w:r w:rsidRPr="00C14775">
        <w:t>élément suivant sur la Liste du patrimoine culturel immatériel nécessitant une sauvegarde urgente et d</w:t>
      </w:r>
      <w:r w:rsidR="00E93319" w:rsidRPr="00C14775">
        <w:t>’</w:t>
      </w:r>
      <w:r w:rsidRPr="00C14775">
        <w:t>approuver la demande d</w:t>
      </w:r>
      <w:r w:rsidR="00E93319" w:rsidRPr="00C14775">
        <w:t>’</w:t>
      </w:r>
      <w:r w:rsidRPr="00C14775">
        <w:t>assistance internationale suivante pour mettre en œuvre le plan de sauvegarde proposé :</w:t>
      </w:r>
    </w:p>
    <w:tbl>
      <w:tblPr>
        <w:tblW w:w="4724"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57"/>
        <w:gridCol w:w="11"/>
        <w:gridCol w:w="1852"/>
        <w:gridCol w:w="2934"/>
        <w:gridCol w:w="1665"/>
        <w:gridCol w:w="1095"/>
      </w:tblGrid>
      <w:tr w:rsidR="00BC7C4C" w:rsidRPr="00C14775" w:rsidTr="00470503">
        <w:trPr>
          <w:cantSplit/>
          <w:tblHeader/>
        </w:trPr>
        <w:tc>
          <w:tcPr>
            <w:tcW w:w="920" w:type="pct"/>
            <w:tcBorders>
              <w:right w:val="nil"/>
            </w:tcBorders>
            <w:shd w:val="clear" w:color="auto" w:fill="BFBFBF"/>
            <w:vAlign w:val="center"/>
          </w:tcPr>
          <w:p w:rsidR="00BC7C4C" w:rsidRPr="00C14775" w:rsidRDefault="00BC7C4C" w:rsidP="00BC7C4C">
            <w:pPr>
              <w:keepNext/>
              <w:spacing w:before="120" w:after="120"/>
              <w:jc w:val="center"/>
              <w:rPr>
                <w:rFonts w:cs="Arial"/>
                <w:color w:val="000000"/>
                <w:sz w:val="22"/>
                <w:szCs w:val="22"/>
              </w:rPr>
            </w:pPr>
            <w:r w:rsidRPr="00C14775">
              <w:rPr>
                <w:rFonts w:cs="Arial"/>
                <w:b/>
                <w:color w:val="000000"/>
                <w:sz w:val="22"/>
              </w:rPr>
              <w:t>Projet de</w:t>
            </w:r>
            <w:r w:rsidRPr="00C14775">
              <w:rPr>
                <w:rFonts w:cs="Arial"/>
                <w:b/>
                <w:bCs/>
                <w:color w:val="000000"/>
                <w:sz w:val="22"/>
                <w:szCs w:val="22"/>
              </w:rPr>
              <w:br/>
            </w:r>
            <w:r w:rsidRPr="00C14775">
              <w:rPr>
                <w:rFonts w:cs="Arial"/>
                <w:b/>
                <w:color w:val="000000"/>
                <w:sz w:val="22"/>
              </w:rPr>
              <w:t>décision</w:t>
            </w:r>
          </w:p>
        </w:tc>
        <w:tc>
          <w:tcPr>
            <w:tcW w:w="928" w:type="pct"/>
            <w:gridSpan w:val="2"/>
            <w:tcBorders>
              <w:left w:val="nil"/>
              <w:right w:val="nil"/>
            </w:tcBorders>
            <w:shd w:val="clear" w:color="auto" w:fill="BFBFBF"/>
            <w:vAlign w:val="center"/>
          </w:tcPr>
          <w:p w:rsidR="00BC7C4C" w:rsidRPr="00C14775" w:rsidRDefault="00BC7C4C" w:rsidP="00BC7C4C">
            <w:pPr>
              <w:keepNext/>
              <w:spacing w:before="120" w:after="120"/>
              <w:jc w:val="center"/>
              <w:rPr>
                <w:rFonts w:cs="Arial"/>
                <w:color w:val="000000"/>
                <w:sz w:val="22"/>
                <w:szCs w:val="22"/>
              </w:rPr>
            </w:pPr>
            <w:r w:rsidRPr="00C14775">
              <w:rPr>
                <w:rFonts w:cs="Arial"/>
                <w:b/>
                <w:color w:val="000000"/>
                <w:sz w:val="22"/>
              </w:rPr>
              <w:t>État soumissionnaire</w:t>
            </w:r>
          </w:p>
        </w:tc>
        <w:tc>
          <w:tcPr>
            <w:tcW w:w="1613" w:type="pct"/>
            <w:tcBorders>
              <w:left w:val="nil"/>
              <w:right w:val="nil"/>
            </w:tcBorders>
            <w:shd w:val="clear" w:color="auto" w:fill="BFBFBF"/>
            <w:vAlign w:val="center"/>
          </w:tcPr>
          <w:p w:rsidR="00BC7C4C" w:rsidRPr="00C14775" w:rsidRDefault="00BC7C4C" w:rsidP="00BC7C4C">
            <w:pPr>
              <w:keepNext/>
              <w:spacing w:before="120" w:after="120"/>
              <w:jc w:val="center"/>
              <w:rPr>
                <w:rFonts w:cs="Arial"/>
                <w:color w:val="000000"/>
                <w:sz w:val="22"/>
                <w:szCs w:val="22"/>
              </w:rPr>
            </w:pPr>
            <w:r w:rsidRPr="00C14775">
              <w:rPr>
                <w:rFonts w:cs="Arial"/>
                <w:b/>
                <w:color w:val="000000"/>
                <w:sz w:val="22"/>
              </w:rPr>
              <w:t>Candidature</w:t>
            </w:r>
          </w:p>
        </w:tc>
        <w:tc>
          <w:tcPr>
            <w:tcW w:w="924" w:type="pct"/>
            <w:tcBorders>
              <w:left w:val="nil"/>
              <w:right w:val="nil"/>
            </w:tcBorders>
            <w:shd w:val="clear" w:color="auto" w:fill="BFBFBF"/>
          </w:tcPr>
          <w:p w:rsidR="00BC7C4C" w:rsidRPr="00C14775" w:rsidRDefault="00BC7C4C" w:rsidP="00BC7C4C">
            <w:pPr>
              <w:keepNext/>
              <w:spacing w:before="120" w:after="120"/>
              <w:jc w:val="center"/>
              <w:rPr>
                <w:rFonts w:cs="Arial"/>
                <w:b/>
                <w:bCs/>
                <w:color w:val="000000"/>
                <w:sz w:val="22"/>
                <w:szCs w:val="22"/>
              </w:rPr>
            </w:pPr>
            <w:r w:rsidRPr="00C14775">
              <w:rPr>
                <w:rFonts w:cs="Arial"/>
                <w:b/>
                <w:color w:val="000000"/>
                <w:sz w:val="22"/>
              </w:rPr>
              <w:t>Montant demandé</w:t>
            </w:r>
          </w:p>
        </w:tc>
        <w:tc>
          <w:tcPr>
            <w:tcW w:w="615" w:type="pct"/>
            <w:tcBorders>
              <w:left w:val="nil"/>
              <w:right w:val="single" w:sz="4" w:space="0" w:color="auto"/>
            </w:tcBorders>
            <w:shd w:val="clear" w:color="auto" w:fill="BFBFBF"/>
          </w:tcPr>
          <w:p w:rsidR="00BC7C4C" w:rsidRPr="00C14775" w:rsidRDefault="00BC7C4C" w:rsidP="00BC7C4C">
            <w:pPr>
              <w:keepNext/>
              <w:spacing w:before="120" w:after="120"/>
              <w:jc w:val="center"/>
              <w:rPr>
                <w:rFonts w:cs="Arial"/>
                <w:b/>
                <w:bCs/>
                <w:color w:val="000000"/>
                <w:sz w:val="22"/>
                <w:szCs w:val="22"/>
              </w:rPr>
            </w:pPr>
            <w:r w:rsidRPr="00C14775">
              <w:rPr>
                <w:rFonts w:cs="Arial"/>
                <w:b/>
                <w:color w:val="000000"/>
                <w:sz w:val="22"/>
              </w:rPr>
              <w:t>Dossier n°</w:t>
            </w:r>
          </w:p>
        </w:tc>
      </w:tr>
      <w:tr w:rsidR="00BC7C4C" w:rsidRPr="00C14775" w:rsidTr="00470503">
        <w:trPr>
          <w:cantSplit/>
        </w:trPr>
        <w:tc>
          <w:tcPr>
            <w:tcW w:w="925" w:type="pct"/>
            <w:gridSpan w:val="2"/>
            <w:tcBorders>
              <w:right w:val="nil"/>
            </w:tcBorders>
          </w:tcPr>
          <w:p w:rsidR="00BC7C4C" w:rsidRPr="00C14775" w:rsidRDefault="00F616D9" w:rsidP="00470503">
            <w:pPr>
              <w:keepNext/>
              <w:spacing w:before="120" w:after="120"/>
              <w:jc w:val="center"/>
              <w:rPr>
                <w:rFonts w:cs="Arial"/>
                <w:bCs/>
                <w:color w:val="000000"/>
                <w:sz w:val="22"/>
                <w:szCs w:val="22"/>
              </w:rPr>
            </w:pPr>
            <w:hyperlink w:anchor="DRAFT_DECISION_11COM_10a6" w:history="1">
              <w:r w:rsidR="009D084C" w:rsidRPr="00C14775">
                <w:rPr>
                  <w:rStyle w:val="Hyperlink"/>
                  <w:rFonts w:cs="Arial"/>
                  <w:sz w:val="22"/>
                </w:rPr>
                <w:t>11</w:t>
              </w:r>
              <w:proofErr w:type="gramStart"/>
              <w:r w:rsidR="009D084C" w:rsidRPr="00C14775">
                <w:rPr>
                  <w:rStyle w:val="Hyperlink"/>
                  <w:rFonts w:cs="Arial"/>
                  <w:sz w:val="22"/>
                </w:rPr>
                <w:t>.COM</w:t>
              </w:r>
              <w:proofErr w:type="gramEnd"/>
              <w:r w:rsidR="009D084C" w:rsidRPr="00C14775">
                <w:rPr>
                  <w:rStyle w:val="Hyperlink"/>
                  <w:rFonts w:cs="Arial"/>
                  <w:sz w:val="22"/>
                </w:rPr>
                <w:t xml:space="preserve"> 10.a.6</w:t>
              </w:r>
            </w:hyperlink>
          </w:p>
        </w:tc>
        <w:tc>
          <w:tcPr>
            <w:tcW w:w="923" w:type="pct"/>
            <w:tcBorders>
              <w:left w:val="nil"/>
              <w:right w:val="nil"/>
            </w:tcBorders>
          </w:tcPr>
          <w:p w:rsidR="00BC7C4C" w:rsidRPr="00C14775" w:rsidRDefault="00BC7C4C" w:rsidP="00470503">
            <w:pPr>
              <w:keepNext/>
              <w:spacing w:before="120" w:after="120"/>
              <w:jc w:val="center"/>
              <w:rPr>
                <w:rFonts w:cs="Arial"/>
                <w:color w:val="000000"/>
                <w:sz w:val="22"/>
                <w:szCs w:val="22"/>
              </w:rPr>
            </w:pPr>
            <w:r w:rsidRPr="00C14775">
              <w:rPr>
                <w:rFonts w:cs="Arial"/>
                <w:sz w:val="22"/>
              </w:rPr>
              <w:t>Cambodge</w:t>
            </w:r>
          </w:p>
        </w:tc>
        <w:tc>
          <w:tcPr>
            <w:tcW w:w="1613" w:type="pct"/>
            <w:tcBorders>
              <w:left w:val="nil"/>
              <w:right w:val="nil"/>
            </w:tcBorders>
          </w:tcPr>
          <w:p w:rsidR="00BC7C4C" w:rsidRPr="00C14775" w:rsidRDefault="00BC7C4C" w:rsidP="00CD657F">
            <w:pPr>
              <w:keepNext/>
              <w:spacing w:before="120" w:after="120"/>
              <w:rPr>
                <w:rFonts w:cs="Arial"/>
                <w:color w:val="000000"/>
                <w:sz w:val="22"/>
                <w:szCs w:val="22"/>
              </w:rPr>
            </w:pPr>
            <w:r w:rsidRPr="00C14775">
              <w:rPr>
                <w:rFonts w:cs="Arial"/>
                <w:sz w:val="22"/>
              </w:rPr>
              <w:t xml:space="preserve">Le </w:t>
            </w:r>
            <w:proofErr w:type="spellStart"/>
            <w:r w:rsidRPr="00C14775">
              <w:rPr>
                <w:rFonts w:cs="Arial"/>
                <w:sz w:val="22"/>
              </w:rPr>
              <w:t>chapei</w:t>
            </w:r>
            <w:proofErr w:type="spellEnd"/>
            <w:r w:rsidRPr="00C14775">
              <w:rPr>
                <w:rFonts w:cs="Arial"/>
                <w:sz w:val="22"/>
              </w:rPr>
              <w:t xml:space="preserve"> Dang </w:t>
            </w:r>
            <w:proofErr w:type="spellStart"/>
            <w:r w:rsidRPr="00C14775">
              <w:rPr>
                <w:rFonts w:cs="Arial"/>
                <w:sz w:val="22"/>
              </w:rPr>
              <w:t>Veng</w:t>
            </w:r>
            <w:proofErr w:type="spellEnd"/>
          </w:p>
        </w:tc>
        <w:tc>
          <w:tcPr>
            <w:tcW w:w="924" w:type="pct"/>
            <w:tcBorders>
              <w:left w:val="nil"/>
              <w:right w:val="nil"/>
            </w:tcBorders>
          </w:tcPr>
          <w:p w:rsidR="00BC7C4C" w:rsidRPr="00C14775" w:rsidRDefault="00BC7C4C" w:rsidP="00470503">
            <w:pPr>
              <w:keepNext/>
              <w:spacing w:before="120" w:after="120"/>
              <w:jc w:val="center"/>
              <w:rPr>
                <w:rFonts w:cs="Arial"/>
                <w:sz w:val="22"/>
                <w:szCs w:val="22"/>
              </w:rPr>
            </w:pPr>
            <w:r w:rsidRPr="00C14775">
              <w:rPr>
                <w:rFonts w:cs="Arial"/>
                <w:sz w:val="22"/>
              </w:rPr>
              <w:t>238 970 dollars des États-Unis</w:t>
            </w:r>
          </w:p>
        </w:tc>
        <w:tc>
          <w:tcPr>
            <w:tcW w:w="615" w:type="pct"/>
            <w:tcBorders>
              <w:left w:val="nil"/>
              <w:right w:val="single" w:sz="4" w:space="0" w:color="auto"/>
            </w:tcBorders>
          </w:tcPr>
          <w:p w:rsidR="00BC7C4C" w:rsidRPr="00C14775" w:rsidRDefault="00F616D9" w:rsidP="00470503">
            <w:pPr>
              <w:keepNext/>
              <w:spacing w:before="120" w:after="120"/>
              <w:jc w:val="center"/>
              <w:rPr>
                <w:rFonts w:cs="Arial"/>
                <w:sz w:val="22"/>
                <w:szCs w:val="22"/>
              </w:rPr>
            </w:pPr>
            <w:hyperlink r:id="rId18" w:anchor="10.a.6" w:history="1">
              <w:r w:rsidR="00BC7C4C" w:rsidRPr="00F70928">
                <w:rPr>
                  <w:rStyle w:val="Hyperlink"/>
                  <w:rFonts w:cs="Arial"/>
                  <w:sz w:val="22"/>
                </w:rPr>
                <w:t>01165</w:t>
              </w:r>
            </w:hyperlink>
          </w:p>
        </w:tc>
      </w:tr>
    </w:tbl>
    <w:p w:rsidR="00031AE8" w:rsidRPr="00B812C2" w:rsidRDefault="00031AE8" w:rsidP="00FB03A8">
      <w:pPr>
        <w:rPr>
          <w:rFonts w:eastAsia="Malgun Gothic" w:cs="Arial"/>
          <w:lang w:eastAsia="ko-KR"/>
        </w:rPr>
      </w:pPr>
    </w:p>
    <w:p w:rsidR="00B522FD" w:rsidRPr="00C14775" w:rsidRDefault="00B522FD" w:rsidP="00B522FD">
      <w:pPr>
        <w:pStyle w:val="NoSpacing1"/>
        <w:keepNext/>
        <w:pageBreakBefore/>
        <w:numPr>
          <w:ilvl w:val="0"/>
          <w:numId w:val="27"/>
        </w:numPr>
        <w:tabs>
          <w:tab w:val="left" w:pos="567"/>
        </w:tabs>
        <w:spacing w:before="240" w:after="240"/>
        <w:ind w:hanging="930"/>
        <w:jc w:val="both"/>
        <w:rPr>
          <w:rFonts w:ascii="Arial" w:hAnsi="Arial" w:cs="Arial"/>
          <w:b/>
        </w:rPr>
      </w:pPr>
      <w:r w:rsidRPr="00C14775">
        <w:rPr>
          <w:rFonts w:ascii="Arial" w:hAnsi="Arial" w:cs="Arial"/>
          <w:b/>
        </w:rPr>
        <w:t>Projets de décision</w:t>
      </w:r>
    </w:p>
    <w:p w:rsidR="00B522FD" w:rsidRPr="00C14775" w:rsidRDefault="00B522FD" w:rsidP="00B522FD">
      <w:pPr>
        <w:pStyle w:val="COMPara"/>
        <w:spacing w:after="0"/>
        <w:ind w:left="567" w:hanging="567"/>
        <w:jc w:val="both"/>
      </w:pPr>
      <w:r w:rsidRPr="00C14775">
        <w:t>Le Comité souhaitera peut-être adopter les décisions suivantes :</w:t>
      </w:r>
    </w:p>
    <w:p w:rsidR="008B4CAE" w:rsidRPr="00C14775"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eastAsia="SimSun" w:hAnsi="Arial" w:cs="Arial"/>
          <w:b/>
          <w:sz w:val="22"/>
          <w:szCs w:val="22"/>
        </w:rPr>
      </w:pPr>
      <w:bookmarkStart w:id="6" w:name="DRAFT_DECISION_11COM_10a1"/>
      <w:r w:rsidRPr="00C14775">
        <w:rPr>
          <w:rFonts w:ascii="Arial" w:hAnsi="Arial" w:cs="Arial"/>
          <w:b/>
          <w:sz w:val="22"/>
        </w:rPr>
        <w:t>PROJET DE DÉCISION 11.COM 10.a.1</w:t>
      </w:r>
      <w:bookmarkEnd w:id="6"/>
      <w:r w:rsidRPr="00C14775">
        <w:rPr>
          <w:rFonts w:ascii="Arial" w:hAnsi="Arial" w:cs="Arial"/>
        </w:rPr>
        <w:tab/>
      </w:r>
      <w:r w:rsidR="001773A0" w:rsidRPr="00C14775">
        <w:rPr>
          <w:rFonts w:ascii="Arial" w:hAnsi="Arial" w:cs="Arial"/>
        </w:rPr>
        <w:tab/>
      </w:r>
      <w:r w:rsidRPr="00C14775">
        <w:rPr>
          <w:rFonts w:ascii="Arial" w:hAnsi="Arial" w:cs="Arial"/>
          <w:noProof/>
          <w:color w:val="0000FF"/>
          <w:sz w:val="22"/>
          <w:szCs w:val="22"/>
          <w:lang w:eastAsia="ko-KR" w:bidi="ar-SA"/>
        </w:rPr>
        <w:drawing>
          <wp:inline distT="0" distB="0" distL="0" distR="0" wp14:anchorId="4D1E0F81" wp14:editId="1545AB5F">
            <wp:extent cx="104775" cy="104775"/>
            <wp:effectExtent l="0" t="0" r="9525" b="9525"/>
            <wp:docPr id="2" name="Picture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8B4CAE" w:rsidRPr="00C14775"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rPr>
      </w:pPr>
      <w:r w:rsidRPr="00C14775">
        <w:rPr>
          <w:rFonts w:ascii="Arial" w:hAnsi="Arial" w:cs="Arial"/>
        </w:rPr>
        <w:t>Le Comité</w:t>
      </w:r>
    </w:p>
    <w:p w:rsidR="008B4CAE" w:rsidRPr="00C14775" w:rsidRDefault="008B4CAE" w:rsidP="00470503">
      <w:pPr>
        <w:numPr>
          <w:ilvl w:val="0"/>
          <w:numId w:val="20"/>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Prend note</w:t>
      </w:r>
      <w:r w:rsidRPr="00C14775">
        <w:rPr>
          <w:rFonts w:cs="Arial"/>
          <w:sz w:val="22"/>
        </w:rPr>
        <w:t xml:space="preserve"> que le Botswana a proposé la candidature du </w:t>
      </w:r>
      <w:r w:rsidRPr="00C14775">
        <w:rPr>
          <w:rFonts w:cs="Arial"/>
          <w:b/>
          <w:sz w:val="22"/>
        </w:rPr>
        <w:t xml:space="preserve">rituel du </w:t>
      </w:r>
      <w:proofErr w:type="spellStart"/>
      <w:r w:rsidRPr="00C14775">
        <w:rPr>
          <w:rFonts w:cs="Arial"/>
          <w:b/>
          <w:sz w:val="22"/>
        </w:rPr>
        <w:t>Moropa</w:t>
      </w:r>
      <w:proofErr w:type="spellEnd"/>
      <w:r w:rsidRPr="00C14775">
        <w:rPr>
          <w:rFonts w:cs="Arial"/>
          <w:b/>
          <w:sz w:val="22"/>
        </w:rPr>
        <w:t xml:space="preserve"> </w:t>
      </w:r>
      <w:proofErr w:type="spellStart"/>
      <w:r w:rsidRPr="00C14775">
        <w:rPr>
          <w:rFonts w:cs="Arial"/>
          <w:b/>
          <w:sz w:val="22"/>
        </w:rPr>
        <w:t>wa</w:t>
      </w:r>
      <w:proofErr w:type="spellEnd"/>
      <w:r w:rsidRPr="00C14775">
        <w:rPr>
          <w:rFonts w:cs="Arial"/>
          <w:b/>
          <w:sz w:val="22"/>
        </w:rPr>
        <w:t xml:space="preserve"> </w:t>
      </w:r>
      <w:proofErr w:type="spellStart"/>
      <w:r w:rsidRPr="00C14775">
        <w:rPr>
          <w:rFonts w:cs="Arial"/>
          <w:b/>
          <w:sz w:val="22"/>
        </w:rPr>
        <w:t>Bojale</w:t>
      </w:r>
      <w:proofErr w:type="spellEnd"/>
      <w:r w:rsidRPr="00C14775">
        <w:rPr>
          <w:rFonts w:cs="Arial"/>
          <w:b/>
          <w:sz w:val="22"/>
        </w:rPr>
        <w:t xml:space="preserve"> </w:t>
      </w:r>
      <w:proofErr w:type="spellStart"/>
      <w:r w:rsidRPr="00C14775">
        <w:rPr>
          <w:rFonts w:cs="Arial"/>
          <w:b/>
          <w:sz w:val="22"/>
        </w:rPr>
        <w:t>ba</w:t>
      </w:r>
      <w:proofErr w:type="spellEnd"/>
      <w:r w:rsidRPr="00C14775">
        <w:rPr>
          <w:rFonts w:cs="Arial"/>
          <w:b/>
          <w:sz w:val="22"/>
        </w:rPr>
        <w:t xml:space="preserve"> </w:t>
      </w:r>
      <w:proofErr w:type="spellStart"/>
      <w:r w:rsidRPr="00C14775">
        <w:rPr>
          <w:rFonts w:cs="Arial"/>
          <w:b/>
          <w:sz w:val="22"/>
        </w:rPr>
        <w:t>Bakgatla</w:t>
      </w:r>
      <w:proofErr w:type="spellEnd"/>
      <w:r w:rsidRPr="00C14775">
        <w:rPr>
          <w:rFonts w:cs="Arial"/>
          <w:b/>
          <w:sz w:val="22"/>
        </w:rPr>
        <w:t xml:space="preserve"> </w:t>
      </w:r>
      <w:proofErr w:type="spellStart"/>
      <w:r w:rsidRPr="00C14775">
        <w:rPr>
          <w:rFonts w:cs="Arial"/>
          <w:b/>
          <w:sz w:val="22"/>
        </w:rPr>
        <w:t>ba</w:t>
      </w:r>
      <w:proofErr w:type="spellEnd"/>
      <w:r w:rsidRPr="00C14775">
        <w:rPr>
          <w:rFonts w:cs="Arial"/>
          <w:b/>
          <w:sz w:val="22"/>
        </w:rPr>
        <w:t xml:space="preserve"> </w:t>
      </w:r>
      <w:proofErr w:type="spellStart"/>
      <w:r w:rsidRPr="00C14775">
        <w:rPr>
          <w:rFonts w:cs="Arial"/>
          <w:b/>
          <w:sz w:val="22"/>
        </w:rPr>
        <w:t>Kgafela</w:t>
      </w:r>
      <w:proofErr w:type="spellEnd"/>
      <w:r w:rsidRPr="00C14775">
        <w:rPr>
          <w:rFonts w:cs="Arial"/>
          <w:b/>
          <w:sz w:val="22"/>
        </w:rPr>
        <w:t xml:space="preserve"> et les pratiques qui lui sont associées</w:t>
      </w:r>
      <w:r w:rsidRPr="00C14775">
        <w:rPr>
          <w:rFonts w:cs="Arial"/>
          <w:sz w:val="22"/>
        </w:rPr>
        <w:t xml:space="preserve"> (</w:t>
      </w:r>
      <w:r w:rsidR="005D73A3" w:rsidRPr="00C14775">
        <w:rPr>
          <w:rFonts w:cs="Arial"/>
          <w:sz w:val="22"/>
        </w:rPr>
        <w:t>n</w:t>
      </w:r>
      <w:r w:rsidRPr="00C14775">
        <w:rPr>
          <w:rFonts w:cs="Arial"/>
          <w:sz w:val="22"/>
        </w:rPr>
        <w:t>° 01183) pour inscription sur la Liste du patrimoine culturel immatériel nécessitant une sauvegarde urgente :</w:t>
      </w:r>
    </w:p>
    <w:p w:rsidR="00627004" w:rsidRPr="00C14775" w:rsidRDefault="00627004" w:rsidP="00627004">
      <w:pPr>
        <w:tabs>
          <w:tab w:val="left" w:pos="1134"/>
          <w:tab w:val="left" w:pos="1701"/>
          <w:tab w:val="left" w:pos="2268"/>
        </w:tabs>
        <w:spacing w:before="120" w:after="120"/>
        <w:ind w:left="1134"/>
        <w:jc w:val="both"/>
        <w:rPr>
          <w:rFonts w:cs="Arial"/>
          <w:sz w:val="22"/>
          <w:szCs w:val="22"/>
        </w:rPr>
      </w:pPr>
      <w:r w:rsidRPr="00C14775">
        <w:rPr>
          <w:rFonts w:cs="Arial"/>
          <w:sz w:val="22"/>
        </w:rPr>
        <w:t xml:space="preserve">Le </w:t>
      </w:r>
      <w:proofErr w:type="spellStart"/>
      <w:r w:rsidRPr="00C14775">
        <w:rPr>
          <w:rFonts w:cs="Arial"/>
          <w:sz w:val="22"/>
        </w:rPr>
        <w:t>Bojale</w:t>
      </w:r>
      <w:proofErr w:type="spellEnd"/>
      <w:r w:rsidRPr="00C14775">
        <w:rPr>
          <w:rFonts w:cs="Arial"/>
          <w:sz w:val="22"/>
        </w:rPr>
        <w:t xml:space="preserve"> est une cérémonie d</w:t>
      </w:r>
      <w:r w:rsidR="00E93319" w:rsidRPr="00C14775">
        <w:rPr>
          <w:rFonts w:cs="Arial"/>
          <w:sz w:val="22"/>
        </w:rPr>
        <w:t>’</w:t>
      </w:r>
      <w:r w:rsidRPr="00C14775">
        <w:rPr>
          <w:rFonts w:cs="Arial"/>
          <w:sz w:val="22"/>
        </w:rPr>
        <w:t xml:space="preserve">initiation des jeunes filles des communautés </w:t>
      </w:r>
      <w:proofErr w:type="spellStart"/>
      <w:r w:rsidRPr="00C14775">
        <w:rPr>
          <w:rFonts w:cs="Arial"/>
          <w:sz w:val="22"/>
        </w:rPr>
        <w:t>Bakgatlaba</w:t>
      </w:r>
      <w:proofErr w:type="spellEnd"/>
      <w:r w:rsidRPr="00C14775">
        <w:rPr>
          <w:rFonts w:cs="Arial"/>
          <w:sz w:val="22"/>
        </w:rPr>
        <w:t xml:space="preserve"> </w:t>
      </w:r>
      <w:proofErr w:type="spellStart"/>
      <w:r w:rsidRPr="00C14775">
        <w:rPr>
          <w:rFonts w:cs="Arial"/>
          <w:sz w:val="22"/>
        </w:rPr>
        <w:t>Kgafela</w:t>
      </w:r>
      <w:proofErr w:type="spellEnd"/>
      <w:r w:rsidRPr="00C14775">
        <w:rPr>
          <w:rFonts w:cs="Arial"/>
          <w:sz w:val="22"/>
        </w:rPr>
        <w:t xml:space="preserve"> </w:t>
      </w:r>
      <w:r w:rsidR="001773A0" w:rsidRPr="00C14775">
        <w:rPr>
          <w:rFonts w:cs="Arial"/>
          <w:sz w:val="22"/>
        </w:rPr>
        <w:t>a</w:t>
      </w:r>
      <w:r w:rsidRPr="00C14775">
        <w:rPr>
          <w:rFonts w:cs="Arial"/>
          <w:sz w:val="22"/>
        </w:rPr>
        <w:t>u Botswana</w:t>
      </w:r>
      <w:r w:rsidR="001773A0" w:rsidRPr="00C14775">
        <w:rPr>
          <w:rFonts w:cs="Arial"/>
          <w:sz w:val="22"/>
        </w:rPr>
        <w:t xml:space="preserve">, qui est également pratiquée en </w:t>
      </w:r>
      <w:r w:rsidRPr="00C14775">
        <w:rPr>
          <w:rFonts w:cs="Arial"/>
          <w:sz w:val="22"/>
        </w:rPr>
        <w:t xml:space="preserve">Afrique du Sud. Le </w:t>
      </w:r>
      <w:proofErr w:type="spellStart"/>
      <w:r w:rsidRPr="00C14775">
        <w:rPr>
          <w:rFonts w:cs="Arial"/>
          <w:sz w:val="22"/>
        </w:rPr>
        <w:t>Moropawa</w:t>
      </w:r>
      <w:proofErr w:type="spellEnd"/>
      <w:r w:rsidRPr="00C14775">
        <w:rPr>
          <w:rFonts w:cs="Arial"/>
          <w:sz w:val="22"/>
        </w:rPr>
        <w:t xml:space="preserve"> </w:t>
      </w:r>
      <w:proofErr w:type="spellStart"/>
      <w:r w:rsidRPr="00C14775">
        <w:rPr>
          <w:rFonts w:cs="Arial"/>
          <w:sz w:val="22"/>
        </w:rPr>
        <w:t>Bojaleba</w:t>
      </w:r>
      <w:proofErr w:type="spellEnd"/>
      <w:r w:rsidRPr="00C14775">
        <w:rPr>
          <w:rFonts w:cs="Arial"/>
          <w:sz w:val="22"/>
        </w:rPr>
        <w:t xml:space="preserve"> </w:t>
      </w:r>
      <w:proofErr w:type="spellStart"/>
      <w:r w:rsidRPr="00C14775">
        <w:rPr>
          <w:rFonts w:cs="Arial"/>
          <w:sz w:val="22"/>
        </w:rPr>
        <w:t>Bakgatlaba</w:t>
      </w:r>
      <w:proofErr w:type="spellEnd"/>
      <w:r w:rsidRPr="00C14775">
        <w:rPr>
          <w:rFonts w:cs="Arial"/>
          <w:sz w:val="22"/>
        </w:rPr>
        <w:t xml:space="preserve"> </w:t>
      </w:r>
      <w:proofErr w:type="spellStart"/>
      <w:r w:rsidRPr="00C14775">
        <w:rPr>
          <w:rFonts w:cs="Arial"/>
          <w:sz w:val="22"/>
        </w:rPr>
        <w:t>Kgafela</w:t>
      </w:r>
      <w:proofErr w:type="spellEnd"/>
      <w:r w:rsidRPr="00C14775">
        <w:rPr>
          <w:rFonts w:cs="Arial"/>
          <w:sz w:val="22"/>
        </w:rPr>
        <w:t xml:space="preserve"> et les pratiques qui lui sont associées, occupe une place centrale</w:t>
      </w:r>
      <w:r w:rsidR="008B3FD1" w:rsidRPr="00C14775">
        <w:rPr>
          <w:rFonts w:cs="Arial"/>
          <w:sz w:val="22"/>
        </w:rPr>
        <w:t xml:space="preserve"> dans le rituel</w:t>
      </w:r>
      <w:r w:rsidRPr="00C14775">
        <w:rPr>
          <w:rFonts w:cs="Arial"/>
          <w:sz w:val="22"/>
        </w:rPr>
        <w:t xml:space="preserve">. Le </w:t>
      </w:r>
      <w:proofErr w:type="spellStart"/>
      <w:r w:rsidRPr="00C14775">
        <w:rPr>
          <w:rFonts w:cs="Arial"/>
          <w:sz w:val="22"/>
        </w:rPr>
        <w:t>Moropawa</w:t>
      </w:r>
      <w:proofErr w:type="spellEnd"/>
      <w:r w:rsidRPr="00C14775">
        <w:rPr>
          <w:rFonts w:cs="Arial"/>
          <w:sz w:val="22"/>
        </w:rPr>
        <w:t xml:space="preserve"> </w:t>
      </w:r>
      <w:proofErr w:type="spellStart"/>
      <w:r w:rsidRPr="00C14775">
        <w:rPr>
          <w:rFonts w:cs="Arial"/>
          <w:sz w:val="22"/>
        </w:rPr>
        <w:t>Bojale</w:t>
      </w:r>
      <w:proofErr w:type="spellEnd"/>
      <w:r w:rsidRPr="00C14775">
        <w:rPr>
          <w:rFonts w:cs="Arial"/>
          <w:sz w:val="22"/>
        </w:rPr>
        <w:t xml:space="preserve"> est un tambour utilisé exclusivement à l</w:t>
      </w:r>
      <w:r w:rsidR="00E93319" w:rsidRPr="00C14775">
        <w:rPr>
          <w:rFonts w:cs="Arial"/>
          <w:sz w:val="22"/>
        </w:rPr>
        <w:t>’</w:t>
      </w:r>
      <w:r w:rsidRPr="00C14775">
        <w:rPr>
          <w:rFonts w:cs="Arial"/>
          <w:sz w:val="22"/>
        </w:rPr>
        <w:t xml:space="preserve">occasion du </w:t>
      </w:r>
      <w:proofErr w:type="spellStart"/>
      <w:r w:rsidRPr="00C14775">
        <w:rPr>
          <w:rFonts w:cs="Arial"/>
          <w:sz w:val="22"/>
        </w:rPr>
        <w:t>Bojale</w:t>
      </w:r>
      <w:proofErr w:type="spellEnd"/>
      <w:r w:rsidRPr="00C14775">
        <w:rPr>
          <w:rFonts w:cs="Arial"/>
          <w:sz w:val="22"/>
        </w:rPr>
        <w:t>, pour transmettre aux jeunes filles leur culture et leurs responsabilités d</w:t>
      </w:r>
      <w:r w:rsidR="00E93319" w:rsidRPr="00C14775">
        <w:rPr>
          <w:rFonts w:cs="Arial"/>
          <w:sz w:val="22"/>
        </w:rPr>
        <w:t>’</w:t>
      </w:r>
      <w:r w:rsidRPr="00C14775">
        <w:rPr>
          <w:rFonts w:cs="Arial"/>
          <w:sz w:val="22"/>
        </w:rPr>
        <w:t>adulte à travers des chants et des danses portant sur la cuisine, la poterie, l</w:t>
      </w:r>
      <w:r w:rsidR="00E93319" w:rsidRPr="00C14775">
        <w:rPr>
          <w:rFonts w:cs="Arial"/>
          <w:sz w:val="22"/>
        </w:rPr>
        <w:t>’</w:t>
      </w:r>
      <w:r w:rsidRPr="00C14775">
        <w:rPr>
          <w:rFonts w:cs="Arial"/>
          <w:sz w:val="22"/>
        </w:rPr>
        <w:t xml:space="preserve">agriculture, la puériculture et, plus récemment, le mariage et la prévention des </w:t>
      </w:r>
      <w:r w:rsidR="00952393" w:rsidRPr="00C14775">
        <w:rPr>
          <w:rFonts w:cs="Arial"/>
          <w:sz w:val="22"/>
        </w:rPr>
        <w:t>maladies sexuellement transmissibles</w:t>
      </w:r>
      <w:r w:rsidRPr="00C14775">
        <w:rPr>
          <w:rFonts w:cs="Arial"/>
          <w:sz w:val="22"/>
        </w:rPr>
        <w:t>. La reine</w:t>
      </w:r>
      <w:r w:rsidR="008B3FD1" w:rsidRPr="00C14775">
        <w:rPr>
          <w:rFonts w:cs="Arial"/>
          <w:sz w:val="22"/>
        </w:rPr>
        <w:t xml:space="preserve"> de la famille royale de la communauté</w:t>
      </w:r>
      <w:r w:rsidRPr="00C14775">
        <w:rPr>
          <w:rFonts w:cs="Arial"/>
          <w:sz w:val="22"/>
        </w:rPr>
        <w:t xml:space="preserve">, gardienne de la tradition, les autres membres féminins de la famille royale, la </w:t>
      </w:r>
      <w:proofErr w:type="spellStart"/>
      <w:r w:rsidRPr="00C14775">
        <w:rPr>
          <w:rFonts w:cs="Arial"/>
          <w:sz w:val="22"/>
        </w:rPr>
        <w:t>Rakgadi</w:t>
      </w:r>
      <w:proofErr w:type="spellEnd"/>
      <w:r w:rsidRPr="00C14775">
        <w:rPr>
          <w:rFonts w:cs="Arial"/>
          <w:sz w:val="22"/>
        </w:rPr>
        <w:t xml:space="preserve"> (sœur du chef suprême) et le Conseil des anciennes sont les détenteurs de la pratique. Considéré comme sacré, le tambour ne peut être utilisé qu</w:t>
      </w:r>
      <w:r w:rsidR="00E93319" w:rsidRPr="00C14775">
        <w:rPr>
          <w:rFonts w:cs="Arial"/>
          <w:sz w:val="22"/>
        </w:rPr>
        <w:t>’</w:t>
      </w:r>
      <w:r w:rsidRPr="00C14775">
        <w:rPr>
          <w:rFonts w:cs="Arial"/>
          <w:sz w:val="22"/>
        </w:rPr>
        <w:t xml:space="preserve">en présence de la reine. Symbolisant les devoirs de la femme à la maison et possédant des vertus curatives, le tambour aurait un rôle protecteur pour les jeunes filles. Un mois après leur initiation, les jeunes filles exécutent </w:t>
      </w:r>
      <w:r w:rsidR="00A44F6D" w:rsidRPr="00C14775">
        <w:rPr>
          <w:rFonts w:cs="Arial"/>
          <w:sz w:val="22"/>
        </w:rPr>
        <w:t>le même rituel</w:t>
      </w:r>
      <w:r w:rsidRPr="00C14775">
        <w:rPr>
          <w:rFonts w:cs="Arial"/>
          <w:sz w:val="22"/>
        </w:rPr>
        <w:t xml:space="preserve"> qu</w:t>
      </w:r>
      <w:r w:rsidR="00E93319" w:rsidRPr="00C14775">
        <w:rPr>
          <w:rFonts w:cs="Arial"/>
          <w:sz w:val="22"/>
        </w:rPr>
        <w:t>’</w:t>
      </w:r>
      <w:r w:rsidRPr="00C14775">
        <w:rPr>
          <w:rFonts w:cs="Arial"/>
          <w:sz w:val="22"/>
        </w:rPr>
        <w:t>elles ont appris à l</w:t>
      </w:r>
      <w:r w:rsidR="00E93319" w:rsidRPr="00C14775">
        <w:rPr>
          <w:rFonts w:cs="Arial"/>
          <w:sz w:val="22"/>
        </w:rPr>
        <w:t>’</w:t>
      </w:r>
      <w:r w:rsidRPr="00C14775">
        <w:rPr>
          <w:rFonts w:cs="Arial"/>
          <w:sz w:val="22"/>
        </w:rPr>
        <w:t>occasion d</w:t>
      </w:r>
      <w:r w:rsidR="00E93319" w:rsidRPr="00C14775">
        <w:rPr>
          <w:rFonts w:cs="Arial"/>
          <w:sz w:val="22"/>
        </w:rPr>
        <w:t>’</w:t>
      </w:r>
      <w:r w:rsidRPr="00C14775">
        <w:rPr>
          <w:rFonts w:cs="Arial"/>
          <w:sz w:val="22"/>
        </w:rPr>
        <w:t>une cérémonie de passage des initiées pour être accueillies au sein de la communauté avec un nouveau nom</w:t>
      </w:r>
      <w:r w:rsidR="00A44F6D" w:rsidRPr="00C14775">
        <w:rPr>
          <w:rFonts w:cs="Arial"/>
          <w:sz w:val="22"/>
        </w:rPr>
        <w:t xml:space="preserve"> spécifique à leur groupe</w:t>
      </w:r>
      <w:r w:rsidRPr="00C14775">
        <w:rPr>
          <w:rFonts w:cs="Arial"/>
          <w:sz w:val="22"/>
        </w:rPr>
        <w:t xml:space="preserve">. </w:t>
      </w:r>
      <w:r w:rsidR="00A44F6D" w:rsidRPr="00C14775">
        <w:rPr>
          <w:rFonts w:cs="Arial"/>
          <w:sz w:val="22"/>
        </w:rPr>
        <w:t>Promouvant la solidarité entre</w:t>
      </w:r>
      <w:r w:rsidRPr="00C14775">
        <w:rPr>
          <w:rFonts w:cs="Arial"/>
          <w:sz w:val="22"/>
        </w:rPr>
        <w:t xml:space="preserve"> les femmes et les jeunes filles des communautés, cette tradition transmet une identité culturelle et des savoir-faire importants. Elle est toutefois fragilisée par le système d</w:t>
      </w:r>
      <w:r w:rsidR="00E93319" w:rsidRPr="00C14775">
        <w:rPr>
          <w:rFonts w:cs="Arial"/>
          <w:sz w:val="22"/>
        </w:rPr>
        <w:t>’</w:t>
      </w:r>
      <w:r w:rsidRPr="00C14775">
        <w:rPr>
          <w:rFonts w:cs="Arial"/>
          <w:sz w:val="22"/>
        </w:rPr>
        <w:t>éducation moderne et les migrations.</w:t>
      </w:r>
    </w:p>
    <w:p w:rsidR="008B4CAE" w:rsidRPr="00C14775" w:rsidRDefault="008B4CAE" w:rsidP="00470503">
      <w:pPr>
        <w:keepNext/>
        <w:numPr>
          <w:ilvl w:val="0"/>
          <w:numId w:val="20"/>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Décide</w:t>
      </w:r>
      <w:r w:rsidRPr="00C14775">
        <w:rPr>
          <w:rFonts w:cs="Arial"/>
          <w:sz w:val="22"/>
        </w:rPr>
        <w:t xml:space="preserve"> que, d</w:t>
      </w:r>
      <w:r w:rsidR="00E93319" w:rsidRPr="00C14775">
        <w:rPr>
          <w:rFonts w:cs="Arial"/>
          <w:sz w:val="22"/>
        </w:rPr>
        <w:t>’</w:t>
      </w:r>
      <w:r w:rsidRPr="00C14775">
        <w:rPr>
          <w:rFonts w:cs="Arial"/>
          <w:sz w:val="22"/>
        </w:rPr>
        <w:t>après les informations contenues dans le dossier, la candidature satisfait aux critères suivants :</w:t>
      </w:r>
    </w:p>
    <w:p w:rsidR="00AC00D5" w:rsidRPr="00C14775" w:rsidRDefault="00AC00D5" w:rsidP="00B522FD">
      <w:pPr>
        <w:tabs>
          <w:tab w:val="left" w:pos="1701"/>
          <w:tab w:val="left" w:pos="2268"/>
        </w:tabs>
        <w:spacing w:before="120" w:after="120"/>
        <w:ind w:left="1701" w:hanging="567"/>
        <w:jc w:val="both"/>
        <w:rPr>
          <w:rFonts w:cs="Arial"/>
          <w:sz w:val="22"/>
          <w:szCs w:val="22"/>
        </w:rPr>
      </w:pPr>
      <w:r w:rsidRPr="00C14775">
        <w:rPr>
          <w:rFonts w:cs="Arial"/>
          <w:sz w:val="22"/>
        </w:rPr>
        <w:t>U.4 :</w:t>
      </w:r>
      <w:r w:rsidR="00BD64D6" w:rsidRPr="00C14775">
        <w:rPr>
          <w:rFonts w:cs="Arial"/>
        </w:rPr>
        <w:tab/>
      </w:r>
      <w:r w:rsidRPr="00C14775">
        <w:rPr>
          <w:rFonts w:cs="Arial"/>
          <w:sz w:val="22"/>
        </w:rPr>
        <w:t>L</w:t>
      </w:r>
      <w:r w:rsidR="00E93319" w:rsidRPr="00C14775">
        <w:rPr>
          <w:rFonts w:cs="Arial"/>
          <w:sz w:val="22"/>
        </w:rPr>
        <w:t>’</w:t>
      </w:r>
      <w:r w:rsidRPr="00C14775">
        <w:rPr>
          <w:rFonts w:cs="Arial"/>
          <w:sz w:val="22"/>
        </w:rPr>
        <w:t>État soumissionnaire a prouvé de manière satisfaisante la participation de la communauté au processus de candidature ;</w:t>
      </w:r>
    </w:p>
    <w:p w:rsidR="008B4CAE" w:rsidRPr="00C14775" w:rsidRDefault="00AC00D5" w:rsidP="00B522FD">
      <w:pPr>
        <w:tabs>
          <w:tab w:val="left" w:pos="1701"/>
          <w:tab w:val="left" w:pos="2268"/>
        </w:tabs>
        <w:spacing w:before="120" w:after="120"/>
        <w:ind w:left="1701" w:hanging="567"/>
        <w:jc w:val="both"/>
        <w:rPr>
          <w:rFonts w:cs="Arial"/>
          <w:sz w:val="22"/>
          <w:szCs w:val="22"/>
        </w:rPr>
      </w:pPr>
      <w:r w:rsidRPr="00C14775">
        <w:rPr>
          <w:rFonts w:cs="Arial"/>
          <w:sz w:val="22"/>
        </w:rPr>
        <w:t>U.5 :</w:t>
      </w:r>
      <w:r w:rsidRPr="00C14775">
        <w:rPr>
          <w:rFonts w:cs="Arial"/>
        </w:rPr>
        <w:tab/>
      </w:r>
      <w:r w:rsidRPr="00C14775">
        <w:rPr>
          <w:rFonts w:cs="Arial"/>
          <w:sz w:val="22"/>
        </w:rPr>
        <w:t>La pratique a été inscrite, en 2010, à l</w:t>
      </w:r>
      <w:r w:rsidR="00E93319" w:rsidRPr="00C14775">
        <w:rPr>
          <w:rFonts w:cs="Arial"/>
          <w:sz w:val="22"/>
        </w:rPr>
        <w:t>’</w:t>
      </w:r>
      <w:r w:rsidRPr="00C14775">
        <w:rPr>
          <w:rFonts w:cs="Arial"/>
          <w:sz w:val="22"/>
        </w:rPr>
        <w:t>inventaire du district, avec la participation des communautés concernées. La base de données de l</w:t>
      </w:r>
      <w:r w:rsidR="00E93319" w:rsidRPr="00C14775">
        <w:rPr>
          <w:rFonts w:cs="Arial"/>
          <w:sz w:val="22"/>
        </w:rPr>
        <w:t>’</w:t>
      </w:r>
      <w:r w:rsidRPr="00C14775">
        <w:rPr>
          <w:rFonts w:cs="Arial"/>
          <w:sz w:val="22"/>
        </w:rPr>
        <w:t xml:space="preserve">inventaire est gérée par un musée local et le </w:t>
      </w:r>
      <w:r w:rsidR="00DC5E4C">
        <w:rPr>
          <w:rFonts w:cs="Arial"/>
          <w:sz w:val="22"/>
        </w:rPr>
        <w:t>Ministère de la jeunesse, des sports et de la c</w:t>
      </w:r>
      <w:r w:rsidRPr="00C14775">
        <w:rPr>
          <w:rFonts w:cs="Arial"/>
          <w:sz w:val="22"/>
        </w:rPr>
        <w:t>ulture. Le musée contribue actuellement à la mise à jour de l</w:t>
      </w:r>
      <w:r w:rsidR="00E93319" w:rsidRPr="00C14775">
        <w:rPr>
          <w:rFonts w:cs="Arial"/>
          <w:sz w:val="22"/>
        </w:rPr>
        <w:t>’</w:t>
      </w:r>
      <w:r w:rsidRPr="00C14775">
        <w:rPr>
          <w:rFonts w:cs="Arial"/>
          <w:sz w:val="22"/>
        </w:rPr>
        <w:t>inventaire.</w:t>
      </w:r>
    </w:p>
    <w:p w:rsidR="008B4CAE" w:rsidRPr="00C14775" w:rsidRDefault="008B4CAE" w:rsidP="00470503">
      <w:pPr>
        <w:keepNext/>
        <w:numPr>
          <w:ilvl w:val="0"/>
          <w:numId w:val="20"/>
        </w:numPr>
        <w:tabs>
          <w:tab w:val="left" w:pos="-1560"/>
          <w:tab w:val="left" w:pos="1134"/>
          <w:tab w:val="left" w:pos="2268"/>
        </w:tabs>
        <w:spacing w:before="120" w:after="120"/>
        <w:ind w:left="1134" w:hanging="567"/>
        <w:jc w:val="both"/>
        <w:rPr>
          <w:rFonts w:cs="Arial"/>
          <w:sz w:val="22"/>
          <w:szCs w:val="22"/>
        </w:rPr>
      </w:pPr>
      <w:r w:rsidRPr="00C14775">
        <w:rPr>
          <w:rFonts w:cs="Arial"/>
          <w:sz w:val="22"/>
          <w:u w:val="single"/>
        </w:rPr>
        <w:t>Décide en outre</w:t>
      </w:r>
      <w:r w:rsidRPr="00C14775">
        <w:rPr>
          <w:rFonts w:cs="Arial"/>
          <w:sz w:val="22"/>
        </w:rPr>
        <w:t xml:space="preserve"> que les informations contenues dans le dossier ne sont pas suffisantes pour permettre au Comité de déterminer si les critères suivants sont </w:t>
      </w:r>
      <w:r w:rsidR="00AF4CFE" w:rsidRPr="00C14775">
        <w:rPr>
          <w:rFonts w:cs="Arial"/>
          <w:sz w:val="22"/>
        </w:rPr>
        <w:t>satisfaits</w:t>
      </w:r>
      <w:r w:rsidRPr="00C14775">
        <w:rPr>
          <w:rFonts w:cs="Arial"/>
          <w:sz w:val="22"/>
        </w:rPr>
        <w:t> :</w:t>
      </w:r>
    </w:p>
    <w:p w:rsidR="00402E93" w:rsidRPr="00C14775" w:rsidRDefault="00BD64D6" w:rsidP="00B522FD">
      <w:pPr>
        <w:tabs>
          <w:tab w:val="left" w:pos="1134"/>
          <w:tab w:val="left" w:pos="1701"/>
          <w:tab w:val="left" w:pos="2268"/>
        </w:tabs>
        <w:spacing w:before="120" w:after="120"/>
        <w:ind w:left="1701" w:hanging="567"/>
        <w:jc w:val="both"/>
        <w:rPr>
          <w:rFonts w:cs="Arial"/>
          <w:sz w:val="22"/>
          <w:szCs w:val="22"/>
        </w:rPr>
      </w:pPr>
      <w:r w:rsidRPr="00C14775">
        <w:rPr>
          <w:rFonts w:cs="Arial"/>
          <w:sz w:val="22"/>
        </w:rPr>
        <w:t>U.1 :</w:t>
      </w:r>
      <w:r w:rsidR="00AC00D5" w:rsidRPr="00C14775">
        <w:rPr>
          <w:rFonts w:cs="Arial"/>
        </w:rPr>
        <w:tab/>
      </w:r>
      <w:r w:rsidR="00AC00D5" w:rsidRPr="00C14775">
        <w:rPr>
          <w:rFonts w:cs="Arial"/>
          <w:sz w:val="22"/>
        </w:rPr>
        <w:t>Si le dossier décrit le rite d</w:t>
      </w:r>
      <w:r w:rsidR="00E93319" w:rsidRPr="00C14775">
        <w:rPr>
          <w:rFonts w:cs="Arial"/>
          <w:sz w:val="22"/>
        </w:rPr>
        <w:t>’</w:t>
      </w:r>
      <w:r w:rsidR="00AC00D5" w:rsidRPr="00C14775">
        <w:rPr>
          <w:rFonts w:cs="Arial"/>
          <w:sz w:val="22"/>
        </w:rPr>
        <w:t xml:space="preserve">initiation des jeunes filles de la communauté </w:t>
      </w:r>
      <w:proofErr w:type="spellStart"/>
      <w:r w:rsidR="00AC00D5" w:rsidRPr="00C14775">
        <w:rPr>
          <w:rFonts w:cs="Arial"/>
          <w:sz w:val="22"/>
        </w:rPr>
        <w:t>Bakgatla</w:t>
      </w:r>
      <w:proofErr w:type="spellEnd"/>
      <w:r w:rsidR="00AC00D5" w:rsidRPr="00C14775">
        <w:rPr>
          <w:rFonts w:cs="Arial"/>
          <w:sz w:val="22"/>
        </w:rPr>
        <w:t xml:space="preserve"> </w:t>
      </w:r>
      <w:proofErr w:type="spellStart"/>
      <w:r w:rsidR="00AC00D5" w:rsidRPr="00C14775">
        <w:rPr>
          <w:rFonts w:cs="Arial"/>
          <w:sz w:val="22"/>
        </w:rPr>
        <w:t>ba</w:t>
      </w:r>
      <w:proofErr w:type="spellEnd"/>
      <w:r w:rsidR="00AC00D5" w:rsidRPr="00C14775">
        <w:rPr>
          <w:rFonts w:cs="Arial"/>
          <w:sz w:val="22"/>
        </w:rPr>
        <w:t xml:space="preserve"> </w:t>
      </w:r>
      <w:proofErr w:type="spellStart"/>
      <w:r w:rsidR="00AC00D5" w:rsidRPr="00C14775">
        <w:rPr>
          <w:rFonts w:cs="Arial"/>
          <w:sz w:val="22"/>
        </w:rPr>
        <w:t>Kgafela</w:t>
      </w:r>
      <w:proofErr w:type="spellEnd"/>
      <w:r w:rsidR="00AC00D5" w:rsidRPr="00C14775">
        <w:rPr>
          <w:rFonts w:cs="Arial"/>
          <w:sz w:val="22"/>
        </w:rPr>
        <w:t xml:space="preserve"> comme constitutif du patrimoine culturel immatériel, en indiquant que la pratique se trouve au cœur de l</w:t>
      </w:r>
      <w:r w:rsidR="00E93319" w:rsidRPr="00C14775">
        <w:rPr>
          <w:rFonts w:cs="Arial"/>
          <w:sz w:val="22"/>
        </w:rPr>
        <w:t>’</w:t>
      </w:r>
      <w:r w:rsidR="00AC00D5" w:rsidRPr="00C14775">
        <w:rPr>
          <w:rFonts w:cs="Arial"/>
          <w:sz w:val="22"/>
        </w:rPr>
        <w:t>identité de la communauté, des informations complémentaires doivent être apportées sur (i) le rôle précis des détenteurs de l</w:t>
      </w:r>
      <w:r w:rsidR="00E93319" w:rsidRPr="00C14775">
        <w:rPr>
          <w:rFonts w:cs="Arial"/>
          <w:sz w:val="22"/>
        </w:rPr>
        <w:t>’</w:t>
      </w:r>
      <w:r w:rsidR="00AC00D5" w:rsidRPr="00C14775">
        <w:rPr>
          <w:rFonts w:cs="Arial"/>
          <w:sz w:val="22"/>
        </w:rPr>
        <w:t>élément ; (ii) la définition exacte de l</w:t>
      </w:r>
      <w:r w:rsidR="00E93319" w:rsidRPr="00C14775">
        <w:rPr>
          <w:rFonts w:cs="Arial"/>
          <w:sz w:val="22"/>
        </w:rPr>
        <w:t>’</w:t>
      </w:r>
      <w:r w:rsidR="00AC00D5" w:rsidRPr="00C14775">
        <w:rPr>
          <w:rFonts w:cs="Arial"/>
          <w:sz w:val="22"/>
        </w:rPr>
        <w:t xml:space="preserve">élément en indiquant </w:t>
      </w:r>
      <w:r w:rsidR="003C0AB4" w:rsidRPr="00C14775">
        <w:rPr>
          <w:rFonts w:cs="Arial"/>
          <w:sz w:val="22"/>
        </w:rPr>
        <w:t xml:space="preserve">en particulier </w:t>
      </w:r>
      <w:r w:rsidR="00AC00D5" w:rsidRPr="00C14775">
        <w:rPr>
          <w:rFonts w:cs="Arial"/>
          <w:sz w:val="22"/>
        </w:rPr>
        <w:t xml:space="preserve">si le </w:t>
      </w:r>
      <w:proofErr w:type="spellStart"/>
      <w:r w:rsidR="00AC00D5" w:rsidRPr="00C14775">
        <w:rPr>
          <w:rFonts w:cs="Arial"/>
          <w:sz w:val="22"/>
        </w:rPr>
        <w:t>Moropa</w:t>
      </w:r>
      <w:proofErr w:type="spellEnd"/>
      <w:r w:rsidR="00AC00D5" w:rsidRPr="00C14775">
        <w:rPr>
          <w:rFonts w:cs="Arial"/>
          <w:sz w:val="22"/>
        </w:rPr>
        <w:t xml:space="preserve"> est l</w:t>
      </w:r>
      <w:r w:rsidR="00E93319" w:rsidRPr="00C14775">
        <w:rPr>
          <w:rFonts w:cs="Arial"/>
          <w:sz w:val="22"/>
        </w:rPr>
        <w:t>’</w:t>
      </w:r>
      <w:r w:rsidR="00AC00D5" w:rsidRPr="00C14775">
        <w:rPr>
          <w:rFonts w:cs="Arial"/>
          <w:sz w:val="22"/>
        </w:rPr>
        <w:t>élément proposé ou s</w:t>
      </w:r>
      <w:r w:rsidR="00E93319" w:rsidRPr="00C14775">
        <w:rPr>
          <w:rFonts w:cs="Arial"/>
          <w:sz w:val="22"/>
        </w:rPr>
        <w:t>’</w:t>
      </w:r>
      <w:r w:rsidR="00AC00D5" w:rsidRPr="00C14775">
        <w:rPr>
          <w:rFonts w:cs="Arial"/>
          <w:sz w:val="22"/>
        </w:rPr>
        <w:t>il fait partie d</w:t>
      </w:r>
      <w:r w:rsidR="00E93319" w:rsidRPr="00C14775">
        <w:rPr>
          <w:rFonts w:cs="Arial"/>
          <w:sz w:val="22"/>
        </w:rPr>
        <w:t>’</w:t>
      </w:r>
      <w:r w:rsidR="00AC00D5" w:rsidRPr="00C14775">
        <w:rPr>
          <w:rFonts w:cs="Arial"/>
          <w:sz w:val="22"/>
        </w:rPr>
        <w:t xml:space="preserve">un élément plus large, le </w:t>
      </w:r>
      <w:proofErr w:type="spellStart"/>
      <w:r w:rsidR="00AC00D5" w:rsidRPr="00C14775">
        <w:rPr>
          <w:rFonts w:cs="Arial"/>
          <w:sz w:val="22"/>
        </w:rPr>
        <w:t>Bojale</w:t>
      </w:r>
      <w:proofErr w:type="spellEnd"/>
      <w:r w:rsidR="00AC00D5" w:rsidRPr="00C14775">
        <w:rPr>
          <w:rFonts w:cs="Arial"/>
          <w:sz w:val="22"/>
        </w:rPr>
        <w:t>. Des informations complémentaires sont également nécessaires sur les implications de la pratique pour les droits de l</w:t>
      </w:r>
      <w:r w:rsidR="00E93319" w:rsidRPr="00C14775">
        <w:rPr>
          <w:rFonts w:cs="Arial"/>
          <w:sz w:val="22"/>
        </w:rPr>
        <w:t>’</w:t>
      </w:r>
      <w:r w:rsidR="00AC00D5" w:rsidRPr="00C14775">
        <w:rPr>
          <w:rFonts w:cs="Arial"/>
          <w:sz w:val="22"/>
        </w:rPr>
        <w:t>homme</w:t>
      </w:r>
      <w:r w:rsidR="004B2C66">
        <w:rPr>
          <w:rFonts w:cs="Arial"/>
          <w:sz w:val="22"/>
        </w:rPr>
        <w:t xml:space="preserve"> (</w:t>
      </w:r>
      <w:r w:rsidR="00971E88">
        <w:rPr>
          <w:rFonts w:cs="Arial"/>
          <w:sz w:val="22"/>
        </w:rPr>
        <w:t xml:space="preserve">en particulier </w:t>
      </w:r>
      <w:r w:rsidR="00051D0F">
        <w:rPr>
          <w:rFonts w:cs="Arial"/>
          <w:sz w:val="22"/>
        </w:rPr>
        <w:t>pour les</w:t>
      </w:r>
      <w:r w:rsidR="00971E88">
        <w:rPr>
          <w:rFonts w:cs="Arial"/>
          <w:sz w:val="22"/>
        </w:rPr>
        <w:t xml:space="preserve"> </w:t>
      </w:r>
      <w:r w:rsidR="00E00F39">
        <w:rPr>
          <w:rFonts w:cs="Arial"/>
          <w:sz w:val="22"/>
        </w:rPr>
        <w:t xml:space="preserve">jeunes </w:t>
      </w:r>
      <w:r w:rsidR="00971E88">
        <w:rPr>
          <w:rFonts w:cs="Arial"/>
          <w:sz w:val="22"/>
        </w:rPr>
        <w:t xml:space="preserve">femmes et filles </w:t>
      </w:r>
      <w:r w:rsidR="004B2C66">
        <w:rPr>
          <w:rFonts w:cs="Arial"/>
          <w:sz w:val="22"/>
        </w:rPr>
        <w:t>concernées)</w:t>
      </w:r>
      <w:r w:rsidR="00AC00D5" w:rsidRPr="00C14775">
        <w:rPr>
          <w:rFonts w:cs="Arial"/>
          <w:sz w:val="22"/>
        </w:rPr>
        <w:t xml:space="preserve"> et </w:t>
      </w:r>
      <w:r w:rsidR="00632ACA">
        <w:rPr>
          <w:rFonts w:cs="Arial"/>
          <w:sz w:val="22"/>
        </w:rPr>
        <w:t xml:space="preserve">pour </w:t>
      </w:r>
      <w:r w:rsidR="00AC00D5" w:rsidRPr="00C14775">
        <w:rPr>
          <w:rFonts w:cs="Arial"/>
          <w:sz w:val="22"/>
        </w:rPr>
        <w:t>le développement durable</w:t>
      </w:r>
      <w:r w:rsidR="00952393" w:rsidRPr="00C14775">
        <w:rPr>
          <w:rFonts w:cs="Arial"/>
          <w:sz w:val="22"/>
        </w:rPr>
        <w:t> ;</w:t>
      </w:r>
    </w:p>
    <w:p w:rsidR="00AC00D5" w:rsidRPr="00C14775" w:rsidRDefault="00AC00D5" w:rsidP="00B522FD">
      <w:pPr>
        <w:tabs>
          <w:tab w:val="left" w:pos="1134"/>
          <w:tab w:val="left" w:pos="1701"/>
          <w:tab w:val="left" w:pos="2268"/>
        </w:tabs>
        <w:spacing w:before="120" w:after="120"/>
        <w:ind w:left="1701" w:hanging="567"/>
        <w:jc w:val="both"/>
        <w:rPr>
          <w:rFonts w:cs="Arial"/>
          <w:sz w:val="22"/>
          <w:szCs w:val="22"/>
        </w:rPr>
      </w:pPr>
      <w:r w:rsidRPr="00C14775">
        <w:rPr>
          <w:rFonts w:cs="Arial"/>
          <w:sz w:val="22"/>
        </w:rPr>
        <w:t>U.2 :</w:t>
      </w:r>
      <w:r w:rsidRPr="00C14775">
        <w:rPr>
          <w:rFonts w:cs="Arial"/>
        </w:rPr>
        <w:tab/>
      </w:r>
      <w:r w:rsidRPr="00C14775">
        <w:rPr>
          <w:rFonts w:cs="Arial"/>
          <w:sz w:val="22"/>
        </w:rPr>
        <w:t>Les menaces spécifiques pesant sur la durabilité de l</w:t>
      </w:r>
      <w:r w:rsidR="00E93319" w:rsidRPr="00C14775">
        <w:rPr>
          <w:rFonts w:cs="Arial"/>
          <w:sz w:val="22"/>
        </w:rPr>
        <w:t>’</w:t>
      </w:r>
      <w:r w:rsidRPr="00C14775">
        <w:rPr>
          <w:rFonts w:cs="Arial"/>
          <w:sz w:val="22"/>
        </w:rPr>
        <w:t>élément (et non les menaces générales telles que l</w:t>
      </w:r>
      <w:r w:rsidR="00E93319" w:rsidRPr="00C14775">
        <w:rPr>
          <w:rFonts w:cs="Arial"/>
          <w:sz w:val="22"/>
        </w:rPr>
        <w:t>’</w:t>
      </w:r>
      <w:r w:rsidRPr="00C14775">
        <w:rPr>
          <w:rFonts w:cs="Arial"/>
          <w:sz w:val="22"/>
        </w:rPr>
        <w:t>urbanisation, le vieillissement des praticiens et l</w:t>
      </w:r>
      <w:r w:rsidR="00E93319" w:rsidRPr="00C14775">
        <w:rPr>
          <w:rFonts w:cs="Arial"/>
          <w:sz w:val="22"/>
        </w:rPr>
        <w:t>’</w:t>
      </w:r>
      <w:r w:rsidRPr="00C14775">
        <w:rPr>
          <w:rFonts w:cs="Arial"/>
          <w:sz w:val="22"/>
        </w:rPr>
        <w:t>influence religieuse) ne sont pas suffisamment étayées. La nécessité d</w:t>
      </w:r>
      <w:r w:rsidR="00E93319" w:rsidRPr="00C14775">
        <w:rPr>
          <w:rFonts w:cs="Arial"/>
          <w:sz w:val="22"/>
        </w:rPr>
        <w:t>’</w:t>
      </w:r>
      <w:r w:rsidRPr="00C14775">
        <w:rPr>
          <w:rFonts w:cs="Arial"/>
          <w:sz w:val="22"/>
        </w:rPr>
        <w:t>une inscription urgente n</w:t>
      </w:r>
      <w:r w:rsidR="00E93319" w:rsidRPr="00C14775">
        <w:rPr>
          <w:rFonts w:cs="Arial"/>
          <w:sz w:val="22"/>
        </w:rPr>
        <w:t>’</w:t>
      </w:r>
      <w:r w:rsidRPr="00C14775">
        <w:rPr>
          <w:rFonts w:cs="Arial"/>
          <w:sz w:val="22"/>
        </w:rPr>
        <w:t>est donc pas démontrée de manière appropriée. Le film accompagnant le dossier suggère plutôt que l</w:t>
      </w:r>
      <w:r w:rsidR="00E93319" w:rsidRPr="00C14775">
        <w:rPr>
          <w:rFonts w:cs="Arial"/>
          <w:sz w:val="22"/>
        </w:rPr>
        <w:t>’</w:t>
      </w:r>
      <w:r w:rsidRPr="00C14775">
        <w:rPr>
          <w:rFonts w:cs="Arial"/>
          <w:sz w:val="22"/>
        </w:rPr>
        <w:t>élément n</w:t>
      </w:r>
      <w:r w:rsidR="00E93319" w:rsidRPr="00C14775">
        <w:rPr>
          <w:rFonts w:cs="Arial"/>
          <w:sz w:val="22"/>
        </w:rPr>
        <w:t>’</w:t>
      </w:r>
      <w:r w:rsidRPr="00C14775">
        <w:rPr>
          <w:rFonts w:cs="Arial"/>
          <w:sz w:val="22"/>
        </w:rPr>
        <w:t>est pas menacé ;</w:t>
      </w:r>
    </w:p>
    <w:p w:rsidR="008B4CAE"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U.3 :</w:t>
      </w:r>
      <w:r w:rsidRPr="00C14775">
        <w:rPr>
          <w:rFonts w:cs="Arial"/>
        </w:rPr>
        <w:tab/>
      </w:r>
      <w:r w:rsidRPr="00C14775">
        <w:rPr>
          <w:rFonts w:cs="Arial"/>
          <w:sz w:val="22"/>
        </w:rPr>
        <w:t>L</w:t>
      </w:r>
      <w:r w:rsidR="00E93319" w:rsidRPr="00C14775">
        <w:rPr>
          <w:rFonts w:cs="Arial"/>
          <w:sz w:val="22"/>
        </w:rPr>
        <w:t>’</w:t>
      </w:r>
      <w:r w:rsidRPr="00C14775">
        <w:rPr>
          <w:rFonts w:cs="Arial"/>
          <w:sz w:val="22"/>
        </w:rPr>
        <w:t xml:space="preserve">imprécision des informations fournies pour le </w:t>
      </w:r>
      <w:r w:rsidR="006017AB" w:rsidRPr="00C14775">
        <w:rPr>
          <w:rFonts w:cs="Arial"/>
          <w:sz w:val="22"/>
        </w:rPr>
        <w:t>c</w:t>
      </w:r>
      <w:r w:rsidRPr="00C14775">
        <w:rPr>
          <w:rFonts w:cs="Arial"/>
          <w:sz w:val="22"/>
        </w:rPr>
        <w:t>ritère U.2 se traduit par une imprécision des mesures de sauvegarde proposées. L</w:t>
      </w:r>
      <w:r w:rsidR="00E93319" w:rsidRPr="00C14775">
        <w:rPr>
          <w:rFonts w:cs="Arial"/>
          <w:sz w:val="22"/>
        </w:rPr>
        <w:t>’</w:t>
      </w:r>
      <w:r w:rsidRPr="00C14775">
        <w:rPr>
          <w:rFonts w:cs="Arial"/>
          <w:sz w:val="22"/>
        </w:rPr>
        <w:t>implication des communautés dans les mesures proposées n</w:t>
      </w:r>
      <w:r w:rsidR="00E93319" w:rsidRPr="00C14775">
        <w:rPr>
          <w:rFonts w:cs="Arial"/>
          <w:sz w:val="22"/>
        </w:rPr>
        <w:t>’</w:t>
      </w:r>
      <w:r w:rsidRPr="00C14775">
        <w:rPr>
          <w:rFonts w:cs="Arial"/>
          <w:sz w:val="22"/>
        </w:rPr>
        <w:t>est pas suffisamment explicitée.</w:t>
      </w:r>
    </w:p>
    <w:p w:rsidR="0049612A" w:rsidRPr="00C14775" w:rsidRDefault="008B4CAE" w:rsidP="00470503">
      <w:pPr>
        <w:numPr>
          <w:ilvl w:val="0"/>
          <w:numId w:val="20"/>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Décide de renvoyer</w:t>
      </w:r>
      <w:r w:rsidRPr="00C14775">
        <w:rPr>
          <w:rFonts w:cs="Arial"/>
          <w:sz w:val="22"/>
        </w:rPr>
        <w:t xml:space="preserve"> la candidature du </w:t>
      </w:r>
      <w:r w:rsidRPr="00C14775">
        <w:rPr>
          <w:rFonts w:cs="Arial"/>
          <w:b/>
          <w:sz w:val="22"/>
        </w:rPr>
        <w:t xml:space="preserve">rituel du </w:t>
      </w:r>
      <w:proofErr w:type="spellStart"/>
      <w:r w:rsidRPr="00C14775">
        <w:rPr>
          <w:rFonts w:cs="Arial"/>
          <w:b/>
          <w:sz w:val="22"/>
        </w:rPr>
        <w:t>Moropa</w:t>
      </w:r>
      <w:proofErr w:type="spellEnd"/>
      <w:r w:rsidRPr="00C14775">
        <w:rPr>
          <w:rFonts w:cs="Arial"/>
          <w:b/>
          <w:sz w:val="22"/>
        </w:rPr>
        <w:t xml:space="preserve"> </w:t>
      </w:r>
      <w:proofErr w:type="spellStart"/>
      <w:r w:rsidRPr="00C14775">
        <w:rPr>
          <w:rFonts w:cs="Arial"/>
          <w:b/>
          <w:sz w:val="22"/>
        </w:rPr>
        <w:t>wa</w:t>
      </w:r>
      <w:proofErr w:type="spellEnd"/>
      <w:r w:rsidRPr="00C14775">
        <w:rPr>
          <w:rFonts w:cs="Arial"/>
          <w:b/>
          <w:sz w:val="22"/>
        </w:rPr>
        <w:t xml:space="preserve"> </w:t>
      </w:r>
      <w:proofErr w:type="spellStart"/>
      <w:r w:rsidRPr="00C14775">
        <w:rPr>
          <w:rFonts w:cs="Arial"/>
          <w:b/>
          <w:sz w:val="22"/>
        </w:rPr>
        <w:t>Bojale</w:t>
      </w:r>
      <w:proofErr w:type="spellEnd"/>
      <w:r w:rsidRPr="00C14775">
        <w:rPr>
          <w:rFonts w:cs="Arial"/>
          <w:b/>
          <w:sz w:val="22"/>
        </w:rPr>
        <w:t xml:space="preserve"> </w:t>
      </w:r>
      <w:proofErr w:type="spellStart"/>
      <w:r w:rsidRPr="00C14775">
        <w:rPr>
          <w:rFonts w:cs="Arial"/>
          <w:b/>
          <w:sz w:val="22"/>
        </w:rPr>
        <w:t>ba</w:t>
      </w:r>
      <w:proofErr w:type="spellEnd"/>
      <w:r w:rsidRPr="00C14775">
        <w:rPr>
          <w:rFonts w:cs="Arial"/>
          <w:b/>
          <w:sz w:val="22"/>
        </w:rPr>
        <w:t xml:space="preserve"> </w:t>
      </w:r>
      <w:proofErr w:type="spellStart"/>
      <w:r w:rsidRPr="00C14775">
        <w:rPr>
          <w:rFonts w:cs="Arial"/>
          <w:b/>
          <w:sz w:val="22"/>
        </w:rPr>
        <w:t>Bakgatla</w:t>
      </w:r>
      <w:proofErr w:type="spellEnd"/>
      <w:r w:rsidRPr="00C14775">
        <w:rPr>
          <w:rFonts w:cs="Arial"/>
          <w:b/>
          <w:sz w:val="22"/>
        </w:rPr>
        <w:t xml:space="preserve"> </w:t>
      </w:r>
      <w:proofErr w:type="spellStart"/>
      <w:r w:rsidRPr="00C14775">
        <w:rPr>
          <w:rFonts w:cs="Arial"/>
          <w:b/>
          <w:sz w:val="22"/>
        </w:rPr>
        <w:t>ba</w:t>
      </w:r>
      <w:proofErr w:type="spellEnd"/>
      <w:r w:rsidRPr="00C14775">
        <w:rPr>
          <w:rFonts w:cs="Arial"/>
          <w:b/>
          <w:sz w:val="22"/>
        </w:rPr>
        <w:t xml:space="preserve"> </w:t>
      </w:r>
      <w:proofErr w:type="spellStart"/>
      <w:r w:rsidRPr="00C14775">
        <w:rPr>
          <w:rFonts w:cs="Arial"/>
          <w:b/>
          <w:sz w:val="22"/>
        </w:rPr>
        <w:t>Kgafela</w:t>
      </w:r>
      <w:proofErr w:type="spellEnd"/>
      <w:r w:rsidRPr="00C14775">
        <w:rPr>
          <w:rFonts w:cs="Arial"/>
          <w:b/>
          <w:sz w:val="22"/>
        </w:rPr>
        <w:t xml:space="preserve"> et les pratiques qui lui sont associées</w:t>
      </w:r>
      <w:r w:rsidRPr="00C14775">
        <w:rPr>
          <w:rFonts w:cs="Arial"/>
          <w:sz w:val="22"/>
        </w:rPr>
        <w:t xml:space="preserve"> à l</w:t>
      </w:r>
      <w:r w:rsidR="00E93319" w:rsidRPr="00C14775">
        <w:rPr>
          <w:rFonts w:cs="Arial"/>
          <w:sz w:val="22"/>
        </w:rPr>
        <w:t>’</w:t>
      </w:r>
      <w:r w:rsidRPr="00C14775">
        <w:rPr>
          <w:rFonts w:cs="Arial"/>
          <w:sz w:val="22"/>
        </w:rPr>
        <w:t xml:space="preserve">État soumissionnaire </w:t>
      </w:r>
      <w:r w:rsidR="00952393" w:rsidRPr="00C14775">
        <w:rPr>
          <w:rFonts w:cs="Arial"/>
          <w:sz w:val="22"/>
        </w:rPr>
        <w:t xml:space="preserve">et </w:t>
      </w:r>
      <w:r w:rsidRPr="00C14775">
        <w:rPr>
          <w:rFonts w:cs="Arial"/>
          <w:sz w:val="22"/>
        </w:rPr>
        <w:t>l</w:t>
      </w:r>
      <w:r w:rsidR="00E93319" w:rsidRPr="00C14775">
        <w:rPr>
          <w:rFonts w:cs="Arial"/>
          <w:sz w:val="22"/>
        </w:rPr>
        <w:t>’</w:t>
      </w:r>
      <w:r w:rsidRPr="00C14775">
        <w:rPr>
          <w:rFonts w:cs="Arial"/>
          <w:sz w:val="22"/>
          <w:u w:val="single"/>
        </w:rPr>
        <w:t>invit</w:t>
      </w:r>
      <w:r w:rsidR="00952393" w:rsidRPr="00C14775">
        <w:rPr>
          <w:rFonts w:cs="Arial"/>
          <w:sz w:val="22"/>
          <w:u w:val="single"/>
        </w:rPr>
        <w:t>e</w:t>
      </w:r>
      <w:r w:rsidRPr="00C14775">
        <w:rPr>
          <w:rFonts w:cs="Arial"/>
          <w:sz w:val="22"/>
        </w:rPr>
        <w:t xml:space="preserve"> à </w:t>
      </w:r>
      <w:r w:rsidR="006017AB" w:rsidRPr="00C14775">
        <w:rPr>
          <w:rFonts w:cs="Arial"/>
          <w:sz w:val="22"/>
        </w:rPr>
        <w:t>re</w:t>
      </w:r>
      <w:r w:rsidRPr="00C14775">
        <w:rPr>
          <w:rFonts w:cs="Arial"/>
          <w:sz w:val="22"/>
        </w:rPr>
        <w:t>soumettre</w:t>
      </w:r>
      <w:r w:rsidR="00416348" w:rsidRPr="00C14775">
        <w:rPr>
          <w:rFonts w:cs="Arial"/>
          <w:sz w:val="22"/>
        </w:rPr>
        <w:t xml:space="preserve"> </w:t>
      </w:r>
      <w:r w:rsidRPr="00C14775">
        <w:rPr>
          <w:rFonts w:cs="Arial"/>
          <w:sz w:val="22"/>
        </w:rPr>
        <w:t xml:space="preserve">la candidature au Comité pour examen </w:t>
      </w:r>
      <w:r w:rsidR="006017AB" w:rsidRPr="00C14775">
        <w:rPr>
          <w:rFonts w:cs="Arial"/>
          <w:sz w:val="22"/>
        </w:rPr>
        <w:t>au cours d</w:t>
      </w:r>
      <w:r w:rsidR="00E93319" w:rsidRPr="00C14775">
        <w:rPr>
          <w:rFonts w:cs="Arial"/>
          <w:sz w:val="22"/>
        </w:rPr>
        <w:t>’</w:t>
      </w:r>
      <w:r w:rsidR="006017AB" w:rsidRPr="00C14775">
        <w:rPr>
          <w:rFonts w:cs="Arial"/>
          <w:sz w:val="22"/>
        </w:rPr>
        <w:t>un cycle suivant</w:t>
      </w:r>
      <w:r w:rsidRPr="00C14775">
        <w:rPr>
          <w:rFonts w:cs="Arial"/>
          <w:sz w:val="22"/>
        </w:rPr>
        <w:t> ;</w:t>
      </w:r>
    </w:p>
    <w:p w:rsidR="008B4CAE" w:rsidRPr="00C14775" w:rsidRDefault="00916B38" w:rsidP="00470503">
      <w:pPr>
        <w:numPr>
          <w:ilvl w:val="0"/>
          <w:numId w:val="20"/>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 xml:space="preserve">Invite </w:t>
      </w:r>
      <w:r w:rsidR="00F94E78" w:rsidRPr="00C14775">
        <w:rPr>
          <w:rFonts w:cs="Arial"/>
          <w:sz w:val="22"/>
          <w:u w:val="single"/>
        </w:rPr>
        <w:t>en outre</w:t>
      </w:r>
      <w:r w:rsidRPr="00C14775">
        <w:rPr>
          <w:rFonts w:cs="Arial"/>
          <w:sz w:val="22"/>
        </w:rPr>
        <w:t xml:space="preserve"> l</w:t>
      </w:r>
      <w:r w:rsidR="00E93319" w:rsidRPr="00C14775">
        <w:rPr>
          <w:rFonts w:cs="Arial"/>
          <w:sz w:val="22"/>
        </w:rPr>
        <w:t>’</w:t>
      </w:r>
      <w:r w:rsidRPr="00C14775">
        <w:rPr>
          <w:rFonts w:cs="Arial"/>
          <w:sz w:val="22"/>
        </w:rPr>
        <w:t xml:space="preserve">État soumissionnaire à </w:t>
      </w:r>
      <w:r w:rsidR="00F94E78" w:rsidRPr="00C14775">
        <w:rPr>
          <w:rFonts w:cs="Arial"/>
          <w:sz w:val="22"/>
        </w:rPr>
        <w:t xml:space="preserve">prendre en considération </w:t>
      </w:r>
      <w:r w:rsidRPr="00C14775">
        <w:rPr>
          <w:rFonts w:cs="Arial"/>
          <w:sz w:val="22"/>
        </w:rPr>
        <w:t>les implications de l</w:t>
      </w:r>
      <w:r w:rsidR="00E93319" w:rsidRPr="00C14775">
        <w:rPr>
          <w:rFonts w:cs="Arial"/>
          <w:sz w:val="22"/>
        </w:rPr>
        <w:t>’</w:t>
      </w:r>
      <w:r w:rsidRPr="00C14775">
        <w:rPr>
          <w:rFonts w:cs="Arial"/>
          <w:sz w:val="22"/>
        </w:rPr>
        <w:t>inscription par rapport aux restrictions régissant l</w:t>
      </w:r>
      <w:r w:rsidR="00E93319" w:rsidRPr="00C14775">
        <w:rPr>
          <w:rFonts w:cs="Arial"/>
          <w:sz w:val="22"/>
        </w:rPr>
        <w:t>’</w:t>
      </w:r>
      <w:r w:rsidRPr="00C14775">
        <w:rPr>
          <w:rFonts w:cs="Arial"/>
          <w:sz w:val="22"/>
        </w:rPr>
        <w:t>accès à l</w:t>
      </w:r>
      <w:r w:rsidR="00E93319" w:rsidRPr="00C14775">
        <w:rPr>
          <w:rFonts w:cs="Arial"/>
          <w:sz w:val="22"/>
        </w:rPr>
        <w:t>’</w:t>
      </w:r>
      <w:r w:rsidRPr="00C14775">
        <w:rPr>
          <w:rFonts w:cs="Arial"/>
          <w:sz w:val="22"/>
        </w:rPr>
        <w:t>élément.</w:t>
      </w:r>
    </w:p>
    <w:p w:rsidR="008B4CAE" w:rsidRPr="00C14775"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sz w:val="22"/>
          <w:szCs w:val="22"/>
        </w:rPr>
      </w:pPr>
      <w:bookmarkStart w:id="7" w:name="DRAFT_DECISION_11COM_10a2"/>
      <w:r w:rsidRPr="00C14775">
        <w:rPr>
          <w:rFonts w:ascii="Arial" w:hAnsi="Arial" w:cs="Arial"/>
          <w:b/>
          <w:sz w:val="22"/>
        </w:rPr>
        <w:t>PROJET DE DÉCISION 11.COM 10.a.2</w:t>
      </w:r>
      <w:bookmarkEnd w:id="7"/>
      <w:r w:rsidRPr="00C14775">
        <w:rPr>
          <w:rFonts w:ascii="Arial" w:hAnsi="Arial" w:cs="Arial"/>
        </w:rPr>
        <w:tab/>
      </w:r>
      <w:r w:rsidR="00952393" w:rsidRPr="00C14775">
        <w:rPr>
          <w:rFonts w:ascii="Arial" w:hAnsi="Arial" w:cs="Arial"/>
        </w:rPr>
        <w:tab/>
      </w:r>
      <w:r w:rsidRPr="00C14775">
        <w:rPr>
          <w:rFonts w:ascii="Arial" w:hAnsi="Arial" w:cs="Arial"/>
          <w:noProof/>
          <w:color w:val="0000FF"/>
          <w:sz w:val="22"/>
          <w:szCs w:val="22"/>
          <w:lang w:eastAsia="ko-KR" w:bidi="ar-SA"/>
        </w:rPr>
        <w:drawing>
          <wp:inline distT="0" distB="0" distL="0" distR="0" wp14:anchorId="2CCC1762" wp14:editId="2CA9C319">
            <wp:extent cx="104775" cy="104775"/>
            <wp:effectExtent l="0" t="0" r="9525" b="9525"/>
            <wp:docPr id="3" name="Picture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8B4CAE" w:rsidRPr="00C14775"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rPr>
      </w:pPr>
      <w:r w:rsidRPr="00C14775">
        <w:rPr>
          <w:rFonts w:ascii="Arial" w:hAnsi="Arial" w:cs="Arial"/>
        </w:rPr>
        <w:t>Le Comité</w:t>
      </w:r>
    </w:p>
    <w:p w:rsidR="008B4CAE" w:rsidRPr="00C14775" w:rsidRDefault="008B4CAE" w:rsidP="00470503">
      <w:pPr>
        <w:numPr>
          <w:ilvl w:val="0"/>
          <w:numId w:val="22"/>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Prend note</w:t>
      </w:r>
      <w:r w:rsidRPr="00C14775">
        <w:rPr>
          <w:rFonts w:cs="Arial"/>
          <w:sz w:val="22"/>
        </w:rPr>
        <w:t xml:space="preserve"> que le Kenya a proposé la candidature des </w:t>
      </w:r>
      <w:r w:rsidRPr="00C14775">
        <w:rPr>
          <w:rFonts w:cs="Arial"/>
          <w:b/>
          <w:sz w:val="22"/>
        </w:rPr>
        <w:t xml:space="preserve">rituels et pratiques associés au sanctuaire de Kit </w:t>
      </w:r>
      <w:proofErr w:type="spellStart"/>
      <w:r w:rsidRPr="00C14775">
        <w:rPr>
          <w:rFonts w:cs="Arial"/>
          <w:b/>
          <w:sz w:val="22"/>
        </w:rPr>
        <w:t>Mikayi</w:t>
      </w:r>
      <w:proofErr w:type="spellEnd"/>
      <w:r w:rsidR="00127914" w:rsidRPr="00C14775">
        <w:rPr>
          <w:rFonts w:cs="Arial"/>
          <w:sz w:val="22"/>
        </w:rPr>
        <w:t xml:space="preserve"> (n</w:t>
      </w:r>
      <w:r w:rsidRPr="00C14775">
        <w:rPr>
          <w:rFonts w:cs="Arial"/>
          <w:sz w:val="22"/>
        </w:rPr>
        <w:t>° 01180) pour inscription sur la Liste du patrimoine culturel immatériel nécessitant une sauvegarde urgente :</w:t>
      </w:r>
    </w:p>
    <w:p w:rsidR="00627004" w:rsidRPr="00C14775" w:rsidRDefault="00627004" w:rsidP="00627004">
      <w:pPr>
        <w:pStyle w:val="ListParagraph"/>
        <w:tabs>
          <w:tab w:val="left" w:pos="1134"/>
          <w:tab w:val="left" w:pos="1701"/>
          <w:tab w:val="left" w:pos="2268"/>
        </w:tabs>
        <w:spacing w:before="120" w:after="120"/>
        <w:ind w:left="1134"/>
        <w:jc w:val="both"/>
        <w:rPr>
          <w:rFonts w:ascii="Arial" w:hAnsi="Arial" w:cs="Arial"/>
          <w:sz w:val="22"/>
        </w:rPr>
      </w:pPr>
      <w:r w:rsidRPr="00C14775">
        <w:rPr>
          <w:rFonts w:ascii="Arial" w:hAnsi="Arial" w:cs="Arial"/>
          <w:sz w:val="22"/>
        </w:rPr>
        <w:t xml:space="preserve">Le sanctuaire de Kit </w:t>
      </w:r>
      <w:proofErr w:type="spellStart"/>
      <w:r w:rsidRPr="00C14775">
        <w:rPr>
          <w:rFonts w:ascii="Arial" w:hAnsi="Arial" w:cs="Arial"/>
          <w:sz w:val="22"/>
        </w:rPr>
        <w:t>Mikayi</w:t>
      </w:r>
      <w:proofErr w:type="spellEnd"/>
      <w:r w:rsidRPr="00C14775">
        <w:rPr>
          <w:rFonts w:ascii="Arial" w:hAnsi="Arial" w:cs="Arial"/>
          <w:sz w:val="22"/>
        </w:rPr>
        <w:t xml:space="preserve"> est un lieu traditionnel de culte et de rituels pour les populations </w:t>
      </w:r>
      <w:proofErr w:type="spellStart"/>
      <w:r w:rsidR="00F94E78" w:rsidRPr="00C14775">
        <w:rPr>
          <w:rFonts w:ascii="Arial" w:hAnsi="Arial" w:cs="Arial"/>
          <w:sz w:val="22"/>
        </w:rPr>
        <w:t>s</w:t>
      </w:r>
      <w:r w:rsidRPr="00C14775">
        <w:rPr>
          <w:rFonts w:ascii="Arial" w:hAnsi="Arial" w:cs="Arial"/>
          <w:sz w:val="22"/>
        </w:rPr>
        <w:t>eme</w:t>
      </w:r>
      <w:proofErr w:type="spellEnd"/>
      <w:r w:rsidRPr="00C14775">
        <w:rPr>
          <w:rFonts w:ascii="Arial" w:hAnsi="Arial" w:cs="Arial"/>
          <w:sz w:val="22"/>
        </w:rPr>
        <w:t xml:space="preserve">, les autres </w:t>
      </w:r>
      <w:r w:rsidR="00A71D87">
        <w:rPr>
          <w:rFonts w:ascii="Arial" w:hAnsi="Arial" w:cs="Arial"/>
          <w:sz w:val="22"/>
        </w:rPr>
        <w:t>communautés</w:t>
      </w:r>
      <w:r w:rsidR="00A71D87" w:rsidRPr="00C14775">
        <w:rPr>
          <w:rFonts w:ascii="Arial" w:hAnsi="Arial" w:cs="Arial"/>
          <w:sz w:val="22"/>
        </w:rPr>
        <w:t xml:space="preserve"> </w:t>
      </w:r>
      <w:proofErr w:type="spellStart"/>
      <w:r w:rsidRPr="00C14775">
        <w:rPr>
          <w:rFonts w:ascii="Arial" w:hAnsi="Arial" w:cs="Arial"/>
          <w:sz w:val="22"/>
        </w:rPr>
        <w:t>luo</w:t>
      </w:r>
      <w:proofErr w:type="spellEnd"/>
      <w:r w:rsidRPr="00C14775">
        <w:rPr>
          <w:rFonts w:ascii="Arial" w:hAnsi="Arial" w:cs="Arial"/>
          <w:sz w:val="22"/>
        </w:rPr>
        <w:t xml:space="preserve"> et les communautés avoisinantes, parfois venues d</w:t>
      </w:r>
      <w:r w:rsidR="00E93319" w:rsidRPr="00C14775">
        <w:rPr>
          <w:rFonts w:ascii="Arial" w:hAnsi="Arial" w:cs="Arial"/>
          <w:sz w:val="22"/>
        </w:rPr>
        <w:t>’</w:t>
      </w:r>
      <w:r w:rsidRPr="00C14775">
        <w:rPr>
          <w:rFonts w:ascii="Arial" w:hAnsi="Arial" w:cs="Arial"/>
          <w:sz w:val="22"/>
        </w:rPr>
        <w:t xml:space="preserve">Ouganda. En temps de famine, les aînés de la communauté conduisent des rituels </w:t>
      </w:r>
      <w:r w:rsidR="00952393" w:rsidRPr="00C14775">
        <w:rPr>
          <w:rFonts w:ascii="Arial" w:hAnsi="Arial" w:cs="Arial"/>
          <w:sz w:val="22"/>
        </w:rPr>
        <w:t xml:space="preserve">dans ce sanctuaire </w:t>
      </w:r>
      <w:r w:rsidRPr="00C14775">
        <w:rPr>
          <w:rFonts w:ascii="Arial" w:hAnsi="Arial" w:cs="Arial"/>
          <w:sz w:val="22"/>
        </w:rPr>
        <w:t>pour obtenir la pluie et de bonnes récoltes, les responsables religieux et les personnalités politiques prient les divinités pour obtenir leur intervention et les couples mariés demandent une longue vie commune. Les rituels du sanctuaire sont dirigés par des hommes et accompagnés par les personnalités âgées importantes de la communauté. Les femmes participent aux chants et aux danses et s</w:t>
      </w:r>
      <w:r w:rsidR="00E93319" w:rsidRPr="00C14775">
        <w:rPr>
          <w:rFonts w:ascii="Arial" w:hAnsi="Arial" w:cs="Arial"/>
          <w:sz w:val="22"/>
        </w:rPr>
        <w:t>’</w:t>
      </w:r>
      <w:r w:rsidRPr="00C14775">
        <w:rPr>
          <w:rFonts w:ascii="Arial" w:hAnsi="Arial" w:cs="Arial"/>
          <w:sz w:val="22"/>
        </w:rPr>
        <w:t>occupent de la cuisine. La transmission de la tradition est informelle, les enfants acquérant les rituels en y assistant. La continuité de la pratique est actuellement menacée. Le nombre de détenteurs a sensiblement baissé, affaiblissant le transfert des connaissances aux jeunes générations et leur sensibilisation à la tradition. Exposés à différentes cultures, les jeunes membres de la communauté s</w:t>
      </w:r>
      <w:r w:rsidR="00E93319" w:rsidRPr="00C14775">
        <w:rPr>
          <w:rFonts w:ascii="Arial" w:hAnsi="Arial" w:cs="Arial"/>
          <w:sz w:val="22"/>
        </w:rPr>
        <w:t>’</w:t>
      </w:r>
      <w:r w:rsidRPr="00C14775">
        <w:rPr>
          <w:rFonts w:ascii="Arial" w:hAnsi="Arial" w:cs="Arial"/>
          <w:sz w:val="22"/>
        </w:rPr>
        <w:t>intéressent de moins en moins à cette pratique. Le départ en ville des nouvelles générations, pour le</w:t>
      </w:r>
      <w:r w:rsidR="00F6462C" w:rsidRPr="00C14775">
        <w:rPr>
          <w:rFonts w:ascii="Arial" w:hAnsi="Arial" w:cs="Arial"/>
          <w:sz w:val="22"/>
        </w:rPr>
        <w:t>urs</w:t>
      </w:r>
      <w:r w:rsidRPr="00C14775">
        <w:rPr>
          <w:rFonts w:ascii="Arial" w:hAnsi="Arial" w:cs="Arial"/>
          <w:sz w:val="22"/>
        </w:rPr>
        <w:t xml:space="preserve"> études, a encore affaibli la transmission de la pratique.</w:t>
      </w:r>
    </w:p>
    <w:p w:rsidR="008B4CAE" w:rsidRPr="00C14775" w:rsidRDefault="008B4CAE" w:rsidP="00470503">
      <w:pPr>
        <w:keepNext/>
        <w:numPr>
          <w:ilvl w:val="0"/>
          <w:numId w:val="22"/>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Décide</w:t>
      </w:r>
      <w:r w:rsidRPr="00C14775">
        <w:rPr>
          <w:rFonts w:cs="Arial"/>
          <w:sz w:val="22"/>
        </w:rPr>
        <w:t xml:space="preserve"> que, d</w:t>
      </w:r>
      <w:r w:rsidR="00E93319" w:rsidRPr="00C14775">
        <w:rPr>
          <w:rFonts w:cs="Arial"/>
          <w:sz w:val="22"/>
        </w:rPr>
        <w:t>’</w:t>
      </w:r>
      <w:r w:rsidRPr="00C14775">
        <w:rPr>
          <w:rFonts w:cs="Arial"/>
          <w:sz w:val="22"/>
        </w:rPr>
        <w:t>après les informations contenues dans le dossier, la candidature satisfait aux critères suivants :</w:t>
      </w:r>
    </w:p>
    <w:p w:rsidR="00AC00D5" w:rsidRPr="00037342" w:rsidRDefault="00AC00D5" w:rsidP="00470503">
      <w:pPr>
        <w:tabs>
          <w:tab w:val="left" w:pos="1134"/>
          <w:tab w:val="left" w:pos="1701"/>
          <w:tab w:val="left" w:pos="2268"/>
        </w:tabs>
        <w:spacing w:before="120" w:after="120"/>
        <w:ind w:left="1701" w:hanging="567"/>
        <w:jc w:val="both"/>
        <w:rPr>
          <w:rFonts w:eastAsia="Malgun Gothic" w:cs="Arial"/>
          <w:sz w:val="22"/>
          <w:szCs w:val="22"/>
          <w:lang w:eastAsia="ko-KR"/>
        </w:rPr>
      </w:pPr>
      <w:r w:rsidRPr="00C14775">
        <w:rPr>
          <w:rFonts w:cs="Arial"/>
          <w:sz w:val="22"/>
        </w:rPr>
        <w:t>U.1 :</w:t>
      </w:r>
      <w:r w:rsidRPr="00C14775">
        <w:rPr>
          <w:rFonts w:cs="Arial"/>
        </w:rPr>
        <w:tab/>
      </w:r>
      <w:r w:rsidRPr="00C14775">
        <w:rPr>
          <w:rFonts w:cs="Arial"/>
          <w:sz w:val="22"/>
        </w:rPr>
        <w:t xml:space="preserve">Le dossier décrit </w:t>
      </w:r>
      <w:r w:rsidR="00E00F39">
        <w:rPr>
          <w:rFonts w:cs="Arial"/>
          <w:sz w:val="22"/>
        </w:rPr>
        <w:t xml:space="preserve">les </w:t>
      </w:r>
      <w:r w:rsidR="00A71D87" w:rsidRPr="00A71D87">
        <w:rPr>
          <w:rFonts w:cs="Arial"/>
          <w:sz w:val="22"/>
        </w:rPr>
        <w:t xml:space="preserve">rituels et pratiques associés au </w:t>
      </w:r>
      <w:r w:rsidRPr="00C14775">
        <w:rPr>
          <w:rFonts w:cs="Arial"/>
          <w:sz w:val="22"/>
        </w:rPr>
        <w:t xml:space="preserve">sanctuaire de Kit </w:t>
      </w:r>
      <w:proofErr w:type="spellStart"/>
      <w:r w:rsidRPr="00C14775">
        <w:rPr>
          <w:rFonts w:cs="Arial"/>
          <w:sz w:val="22"/>
        </w:rPr>
        <w:t>Mikayi</w:t>
      </w:r>
      <w:proofErr w:type="spellEnd"/>
      <w:r w:rsidRPr="00C14775">
        <w:rPr>
          <w:rFonts w:cs="Arial"/>
          <w:sz w:val="22"/>
        </w:rPr>
        <w:t xml:space="preserve"> comme un élément important du patrimoine culturel immatériel de la population </w:t>
      </w:r>
      <w:proofErr w:type="spellStart"/>
      <w:r w:rsidR="00F94E78" w:rsidRPr="00C14775">
        <w:rPr>
          <w:rFonts w:cs="Arial"/>
          <w:sz w:val="22"/>
        </w:rPr>
        <w:t>s</w:t>
      </w:r>
      <w:r w:rsidR="00037342">
        <w:rPr>
          <w:rFonts w:cs="Arial"/>
          <w:sz w:val="22"/>
        </w:rPr>
        <w:t>eme</w:t>
      </w:r>
      <w:proofErr w:type="spellEnd"/>
      <w:r w:rsidR="00037342">
        <w:rPr>
          <w:rFonts w:cs="Arial"/>
          <w:sz w:val="22"/>
        </w:rPr>
        <w:t> ;</w:t>
      </w:r>
    </w:p>
    <w:p w:rsidR="008B4CAE" w:rsidRPr="00C14775" w:rsidRDefault="00AC00D5" w:rsidP="00916B38">
      <w:pPr>
        <w:tabs>
          <w:tab w:val="left" w:pos="1134"/>
          <w:tab w:val="left" w:pos="1701"/>
          <w:tab w:val="left" w:pos="2268"/>
        </w:tabs>
        <w:spacing w:before="120" w:after="120"/>
        <w:ind w:left="1701" w:hanging="567"/>
        <w:jc w:val="both"/>
        <w:rPr>
          <w:rFonts w:cs="Arial"/>
          <w:sz w:val="22"/>
          <w:szCs w:val="22"/>
        </w:rPr>
      </w:pPr>
      <w:r w:rsidRPr="00C14775">
        <w:rPr>
          <w:rFonts w:cs="Arial"/>
          <w:sz w:val="22"/>
        </w:rPr>
        <w:t>U.5 :</w:t>
      </w:r>
      <w:r w:rsidRPr="00C14775">
        <w:rPr>
          <w:rFonts w:cs="Arial"/>
        </w:rPr>
        <w:tab/>
      </w:r>
      <w:r w:rsidRPr="00C14775">
        <w:rPr>
          <w:rFonts w:cs="Arial"/>
          <w:sz w:val="22"/>
        </w:rPr>
        <w:t>L</w:t>
      </w:r>
      <w:r w:rsidR="00E93319" w:rsidRPr="00C14775">
        <w:rPr>
          <w:rFonts w:cs="Arial"/>
          <w:sz w:val="22"/>
        </w:rPr>
        <w:t>’</w:t>
      </w:r>
      <w:r w:rsidRPr="00C14775">
        <w:rPr>
          <w:rFonts w:cs="Arial"/>
          <w:sz w:val="22"/>
        </w:rPr>
        <w:t>élément a été inscrit, en 2012, à l</w:t>
      </w:r>
      <w:r w:rsidR="00E93319" w:rsidRPr="00C14775">
        <w:rPr>
          <w:rFonts w:cs="Arial"/>
          <w:sz w:val="22"/>
        </w:rPr>
        <w:t>’</w:t>
      </w:r>
      <w:r w:rsidR="00D63208" w:rsidRPr="00C14775">
        <w:rPr>
          <w:rFonts w:cs="Arial"/>
          <w:sz w:val="22"/>
        </w:rPr>
        <w:t>I</w:t>
      </w:r>
      <w:r w:rsidRPr="00C14775">
        <w:rPr>
          <w:rFonts w:cs="Arial"/>
          <w:sz w:val="22"/>
        </w:rPr>
        <w:t>nventaire national du patrimoine culturel immatériel du Kenya, administré par l</w:t>
      </w:r>
      <w:r w:rsidR="00DC5E4C">
        <w:rPr>
          <w:rFonts w:cs="Arial"/>
          <w:sz w:val="22"/>
        </w:rPr>
        <w:t>e Département de la culture du Ministère des sports, de la c</w:t>
      </w:r>
      <w:r w:rsidRPr="00C14775">
        <w:rPr>
          <w:rFonts w:cs="Arial"/>
          <w:sz w:val="22"/>
        </w:rPr>
        <w:t xml:space="preserve">ulture et des </w:t>
      </w:r>
      <w:r w:rsidR="00DC5E4C">
        <w:rPr>
          <w:rFonts w:cs="Arial"/>
          <w:sz w:val="22"/>
        </w:rPr>
        <w:t>a</w:t>
      </w:r>
      <w:r w:rsidRPr="00C14775">
        <w:rPr>
          <w:rFonts w:cs="Arial"/>
          <w:sz w:val="22"/>
        </w:rPr>
        <w:t>rts, avec la participation des communautés concernées et d</w:t>
      </w:r>
      <w:r w:rsidR="00E93319" w:rsidRPr="00C14775">
        <w:rPr>
          <w:rFonts w:cs="Arial"/>
          <w:sz w:val="22"/>
        </w:rPr>
        <w:t>’</w:t>
      </w:r>
      <w:r w:rsidRPr="00C14775">
        <w:rPr>
          <w:rFonts w:cs="Arial"/>
          <w:sz w:val="22"/>
        </w:rPr>
        <w:t>autres parties prenantes. La mise à jour de l</w:t>
      </w:r>
      <w:r w:rsidR="00E93319" w:rsidRPr="00C14775">
        <w:rPr>
          <w:rFonts w:cs="Arial"/>
          <w:sz w:val="22"/>
        </w:rPr>
        <w:t>’</w:t>
      </w:r>
      <w:r w:rsidRPr="00C14775">
        <w:rPr>
          <w:rFonts w:cs="Arial"/>
          <w:sz w:val="22"/>
        </w:rPr>
        <w:t>inventaire est prévue.</w:t>
      </w:r>
    </w:p>
    <w:p w:rsidR="008B4CAE" w:rsidRPr="00C14775" w:rsidRDefault="008B4CAE" w:rsidP="00470503">
      <w:pPr>
        <w:keepNext/>
        <w:numPr>
          <w:ilvl w:val="0"/>
          <w:numId w:val="22"/>
        </w:numPr>
        <w:tabs>
          <w:tab w:val="left" w:pos="-1560"/>
          <w:tab w:val="left" w:pos="1134"/>
          <w:tab w:val="left" w:pos="1701"/>
          <w:tab w:val="left" w:pos="2268"/>
        </w:tabs>
        <w:spacing w:before="120" w:after="120"/>
        <w:ind w:left="1134" w:hanging="567"/>
        <w:jc w:val="both"/>
        <w:rPr>
          <w:rFonts w:cs="Arial"/>
          <w:sz w:val="22"/>
          <w:szCs w:val="22"/>
        </w:rPr>
      </w:pPr>
      <w:r w:rsidRPr="00C14775">
        <w:rPr>
          <w:rFonts w:cs="Arial"/>
          <w:sz w:val="22"/>
          <w:u w:val="single"/>
        </w:rPr>
        <w:t>Décide en outre</w:t>
      </w:r>
      <w:r w:rsidRPr="00C14775">
        <w:rPr>
          <w:rFonts w:cs="Arial"/>
          <w:sz w:val="22"/>
        </w:rPr>
        <w:t xml:space="preserve"> que les informations contenues dans le dossier ne sont pas suffisantes pour permettre au Comité de déterminer si les critères suivants sont </w:t>
      </w:r>
      <w:r w:rsidR="00AF4CFE" w:rsidRPr="00C14775">
        <w:rPr>
          <w:rFonts w:cs="Arial"/>
          <w:sz w:val="22"/>
        </w:rPr>
        <w:t>satisfaits </w:t>
      </w:r>
      <w:r w:rsidRPr="00C14775">
        <w:rPr>
          <w:rFonts w:cs="Arial"/>
          <w:sz w:val="22"/>
        </w:rPr>
        <w:t>:</w:t>
      </w:r>
    </w:p>
    <w:p w:rsidR="00AC00D5" w:rsidRPr="00C14775" w:rsidRDefault="00AC00D5" w:rsidP="00916B38">
      <w:pPr>
        <w:tabs>
          <w:tab w:val="left" w:pos="1134"/>
          <w:tab w:val="left" w:pos="1701"/>
          <w:tab w:val="left" w:pos="2268"/>
        </w:tabs>
        <w:spacing w:before="120" w:after="120"/>
        <w:ind w:left="1701" w:hanging="567"/>
        <w:jc w:val="both"/>
        <w:rPr>
          <w:rFonts w:cs="Arial"/>
          <w:sz w:val="22"/>
          <w:szCs w:val="22"/>
        </w:rPr>
      </w:pPr>
      <w:r w:rsidRPr="00C14775">
        <w:rPr>
          <w:rFonts w:cs="Arial"/>
          <w:sz w:val="22"/>
        </w:rPr>
        <w:t>U.2 :</w:t>
      </w:r>
      <w:r w:rsidRPr="00C14775">
        <w:rPr>
          <w:rFonts w:cs="Arial"/>
        </w:rPr>
        <w:tab/>
      </w:r>
      <w:r w:rsidRPr="00C14775">
        <w:rPr>
          <w:rFonts w:cs="Arial"/>
          <w:sz w:val="22"/>
        </w:rPr>
        <w:t>Les menaces pesant sur la viabilité de l</w:t>
      </w:r>
      <w:r w:rsidR="00E93319" w:rsidRPr="00C14775">
        <w:rPr>
          <w:rFonts w:cs="Arial"/>
          <w:sz w:val="22"/>
        </w:rPr>
        <w:t>’</w:t>
      </w:r>
      <w:r w:rsidRPr="00C14775">
        <w:rPr>
          <w:rFonts w:cs="Arial"/>
          <w:sz w:val="22"/>
        </w:rPr>
        <w:t>élément sont présentées de manière trop générale (</w:t>
      </w:r>
      <w:r w:rsidR="00D63208" w:rsidRPr="00C14775">
        <w:rPr>
          <w:rFonts w:cs="Arial"/>
          <w:sz w:val="22"/>
        </w:rPr>
        <w:t xml:space="preserve">telles que les </w:t>
      </w:r>
      <w:r w:rsidRPr="00C14775">
        <w:rPr>
          <w:rFonts w:cs="Arial"/>
          <w:sz w:val="22"/>
        </w:rPr>
        <w:t xml:space="preserve">effets de la mondialisation </w:t>
      </w:r>
      <w:r w:rsidR="003C0AB4" w:rsidRPr="00C14775">
        <w:rPr>
          <w:rFonts w:cs="Arial"/>
          <w:sz w:val="22"/>
        </w:rPr>
        <w:t>et</w:t>
      </w:r>
      <w:r w:rsidRPr="00C14775">
        <w:rPr>
          <w:rFonts w:cs="Arial"/>
          <w:sz w:val="22"/>
        </w:rPr>
        <w:t xml:space="preserve"> l</w:t>
      </w:r>
      <w:r w:rsidR="00E93319" w:rsidRPr="00C14775">
        <w:rPr>
          <w:rFonts w:cs="Arial"/>
          <w:sz w:val="22"/>
        </w:rPr>
        <w:t>’</w:t>
      </w:r>
      <w:r w:rsidRPr="00C14775">
        <w:rPr>
          <w:rFonts w:cs="Arial"/>
          <w:sz w:val="22"/>
        </w:rPr>
        <w:t>éducation). Des menaces plus spécifiques, directement liées à l</w:t>
      </w:r>
      <w:r w:rsidR="00E93319" w:rsidRPr="00C14775">
        <w:rPr>
          <w:rFonts w:cs="Arial"/>
          <w:sz w:val="22"/>
        </w:rPr>
        <w:t>’</w:t>
      </w:r>
      <w:r w:rsidRPr="00C14775">
        <w:rPr>
          <w:rFonts w:cs="Arial"/>
          <w:sz w:val="22"/>
        </w:rPr>
        <w:t>élément en question, doivent être identifiées ;</w:t>
      </w:r>
    </w:p>
    <w:p w:rsidR="00AC00D5"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U.3 :</w:t>
      </w:r>
      <w:r w:rsidRPr="00C14775">
        <w:rPr>
          <w:rFonts w:cs="Arial"/>
        </w:rPr>
        <w:tab/>
      </w:r>
      <w:r w:rsidRPr="00C14775">
        <w:rPr>
          <w:rFonts w:cs="Arial"/>
          <w:sz w:val="22"/>
        </w:rPr>
        <w:t>L</w:t>
      </w:r>
      <w:r w:rsidR="00E93319" w:rsidRPr="00C14775">
        <w:rPr>
          <w:rFonts w:cs="Arial"/>
          <w:sz w:val="22"/>
        </w:rPr>
        <w:t>’</w:t>
      </w:r>
      <w:r w:rsidRPr="00C14775">
        <w:rPr>
          <w:rFonts w:cs="Arial"/>
          <w:sz w:val="22"/>
        </w:rPr>
        <w:t xml:space="preserve">analyse générale des menaces identifiées dans le </w:t>
      </w:r>
      <w:r w:rsidR="00D63208" w:rsidRPr="00C14775">
        <w:rPr>
          <w:rFonts w:cs="Arial"/>
          <w:sz w:val="22"/>
        </w:rPr>
        <w:t>c</w:t>
      </w:r>
      <w:r w:rsidRPr="00C14775">
        <w:rPr>
          <w:rFonts w:cs="Arial"/>
          <w:sz w:val="22"/>
        </w:rPr>
        <w:t>ritère U.2 aboutit à des mesures de sauvegarde générales</w:t>
      </w:r>
      <w:r w:rsidR="00D63208" w:rsidRPr="00C14775">
        <w:rPr>
          <w:rFonts w:cs="Arial"/>
          <w:sz w:val="22"/>
        </w:rPr>
        <w:t>, plutôt que des</w:t>
      </w:r>
      <w:r w:rsidRPr="00C14775">
        <w:rPr>
          <w:rFonts w:cs="Arial"/>
          <w:sz w:val="22"/>
        </w:rPr>
        <w:t xml:space="preserve"> actions précises ciblant des menaces spécifiques. Certaines des activités proposées peuvent décontextualiser l</w:t>
      </w:r>
      <w:r w:rsidR="00E93319" w:rsidRPr="00C14775">
        <w:rPr>
          <w:rFonts w:cs="Arial"/>
          <w:sz w:val="22"/>
        </w:rPr>
        <w:t>’</w:t>
      </w:r>
      <w:r w:rsidRPr="00C14775">
        <w:rPr>
          <w:rFonts w:cs="Arial"/>
          <w:sz w:val="22"/>
        </w:rPr>
        <w:t>élément (</w:t>
      </w:r>
      <w:r w:rsidR="00F6462C" w:rsidRPr="00C14775">
        <w:rPr>
          <w:rFonts w:cs="Arial"/>
          <w:sz w:val="22"/>
        </w:rPr>
        <w:t xml:space="preserve">telles que la </w:t>
      </w:r>
      <w:r w:rsidRPr="00C14775">
        <w:rPr>
          <w:rFonts w:cs="Arial"/>
          <w:sz w:val="22"/>
        </w:rPr>
        <w:t>construction d</w:t>
      </w:r>
      <w:r w:rsidR="00E93319" w:rsidRPr="00C14775">
        <w:rPr>
          <w:rFonts w:cs="Arial"/>
          <w:sz w:val="22"/>
        </w:rPr>
        <w:t>’</w:t>
      </w:r>
      <w:r w:rsidRPr="00C14775">
        <w:rPr>
          <w:rFonts w:cs="Arial"/>
          <w:sz w:val="22"/>
        </w:rPr>
        <w:t xml:space="preserve">un hôtel) </w:t>
      </w:r>
      <w:r w:rsidR="00D63208" w:rsidRPr="00C14775">
        <w:rPr>
          <w:rFonts w:cs="Arial"/>
          <w:sz w:val="22"/>
        </w:rPr>
        <w:t>et n</w:t>
      </w:r>
      <w:r w:rsidR="00E93319" w:rsidRPr="00C14775">
        <w:rPr>
          <w:rFonts w:cs="Arial"/>
          <w:sz w:val="22"/>
        </w:rPr>
        <w:t>’</w:t>
      </w:r>
      <w:r w:rsidR="00D63208" w:rsidRPr="00C14775">
        <w:rPr>
          <w:rFonts w:cs="Arial"/>
          <w:sz w:val="22"/>
        </w:rPr>
        <w:t>impliquent qu</w:t>
      </w:r>
      <w:r w:rsidR="00E93319" w:rsidRPr="00C14775">
        <w:rPr>
          <w:rFonts w:cs="Arial"/>
          <w:sz w:val="22"/>
        </w:rPr>
        <w:t>’</w:t>
      </w:r>
      <w:r w:rsidRPr="00C14775">
        <w:rPr>
          <w:rFonts w:cs="Arial"/>
          <w:sz w:val="22"/>
        </w:rPr>
        <w:t>une participation minime de la communauté. Un calendrier des activités doit également être fourni ;</w:t>
      </w:r>
    </w:p>
    <w:p w:rsidR="008B4CAE"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U.4 :</w:t>
      </w:r>
      <w:r w:rsidRPr="00C14775">
        <w:rPr>
          <w:rFonts w:cs="Arial"/>
        </w:rPr>
        <w:tab/>
      </w:r>
      <w:r w:rsidRPr="00C14775">
        <w:rPr>
          <w:rFonts w:cs="Arial"/>
          <w:sz w:val="22"/>
        </w:rPr>
        <w:t>Si le dossier montre que certains aspects de l</w:t>
      </w:r>
      <w:r w:rsidR="00E93319" w:rsidRPr="00C14775">
        <w:rPr>
          <w:rFonts w:cs="Arial"/>
          <w:sz w:val="22"/>
        </w:rPr>
        <w:t>’</w:t>
      </w:r>
      <w:r w:rsidRPr="00C14775">
        <w:rPr>
          <w:rFonts w:cs="Arial"/>
          <w:sz w:val="22"/>
        </w:rPr>
        <w:t>élément sont régis par des pratiques coutumières en restreignant l</w:t>
      </w:r>
      <w:r w:rsidR="00E93319" w:rsidRPr="00C14775">
        <w:rPr>
          <w:rFonts w:cs="Arial"/>
          <w:sz w:val="22"/>
        </w:rPr>
        <w:t>’</w:t>
      </w:r>
      <w:r w:rsidRPr="00C14775">
        <w:rPr>
          <w:rFonts w:cs="Arial"/>
          <w:sz w:val="22"/>
        </w:rPr>
        <w:t>accès, il n</w:t>
      </w:r>
      <w:r w:rsidR="00E93319" w:rsidRPr="00C14775">
        <w:rPr>
          <w:rFonts w:cs="Arial"/>
          <w:sz w:val="22"/>
        </w:rPr>
        <w:t>’</w:t>
      </w:r>
      <w:r w:rsidRPr="00C14775">
        <w:rPr>
          <w:rFonts w:cs="Arial"/>
          <w:sz w:val="22"/>
        </w:rPr>
        <w:t>explique pas suffisamment comment ces restrictions pourraient être respectées en cas d</w:t>
      </w:r>
      <w:r w:rsidR="00E93319" w:rsidRPr="00C14775">
        <w:rPr>
          <w:rFonts w:cs="Arial"/>
          <w:sz w:val="22"/>
        </w:rPr>
        <w:t>’</w:t>
      </w:r>
      <w:r w:rsidRPr="00C14775">
        <w:rPr>
          <w:rFonts w:cs="Arial"/>
          <w:sz w:val="22"/>
        </w:rPr>
        <w:t>inscription ni avec quelles mesures spécifiques.</w:t>
      </w:r>
    </w:p>
    <w:p w:rsidR="004F173B" w:rsidRPr="00C14775" w:rsidRDefault="008B4CAE" w:rsidP="00470503">
      <w:pPr>
        <w:numPr>
          <w:ilvl w:val="0"/>
          <w:numId w:val="22"/>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Décide de renvoyer</w:t>
      </w:r>
      <w:r w:rsidRPr="00C14775">
        <w:rPr>
          <w:rFonts w:cs="Arial"/>
          <w:sz w:val="22"/>
        </w:rPr>
        <w:t xml:space="preserve"> la candidature des </w:t>
      </w:r>
      <w:r w:rsidRPr="00C14775">
        <w:rPr>
          <w:rFonts w:cs="Arial"/>
          <w:b/>
          <w:sz w:val="22"/>
        </w:rPr>
        <w:t xml:space="preserve">rituels et pratiques associés au sanctuaire de Kit </w:t>
      </w:r>
      <w:proofErr w:type="spellStart"/>
      <w:r w:rsidRPr="00C14775">
        <w:rPr>
          <w:rFonts w:cs="Arial"/>
          <w:b/>
          <w:sz w:val="22"/>
        </w:rPr>
        <w:t>Mikayi</w:t>
      </w:r>
      <w:proofErr w:type="spellEnd"/>
      <w:r w:rsidRPr="00C14775">
        <w:rPr>
          <w:rFonts w:cs="Arial"/>
          <w:sz w:val="22"/>
        </w:rPr>
        <w:t xml:space="preserve"> à l</w:t>
      </w:r>
      <w:r w:rsidR="00E93319" w:rsidRPr="00C14775">
        <w:rPr>
          <w:rFonts w:cs="Arial"/>
          <w:sz w:val="22"/>
        </w:rPr>
        <w:t>’</w:t>
      </w:r>
      <w:r w:rsidRPr="00C14775">
        <w:rPr>
          <w:rFonts w:cs="Arial"/>
          <w:sz w:val="22"/>
        </w:rPr>
        <w:t xml:space="preserve">État soumissionnaire </w:t>
      </w:r>
      <w:r w:rsidR="006017AB" w:rsidRPr="00C14775">
        <w:rPr>
          <w:rFonts w:cs="Arial"/>
          <w:sz w:val="22"/>
        </w:rPr>
        <w:t>et l</w:t>
      </w:r>
      <w:r w:rsidR="00E93319" w:rsidRPr="00C14775">
        <w:rPr>
          <w:rFonts w:cs="Arial"/>
          <w:sz w:val="22"/>
        </w:rPr>
        <w:t>’</w:t>
      </w:r>
      <w:r w:rsidR="006017AB" w:rsidRPr="00C14775">
        <w:rPr>
          <w:rFonts w:cs="Arial"/>
          <w:sz w:val="22"/>
          <w:u w:val="single"/>
        </w:rPr>
        <w:t>invite</w:t>
      </w:r>
      <w:r w:rsidR="006017AB" w:rsidRPr="00C14775">
        <w:rPr>
          <w:rFonts w:cs="Arial"/>
          <w:sz w:val="22"/>
        </w:rPr>
        <w:t xml:space="preserve"> à resoumettre la candidature au Comité pour examen au cours d</w:t>
      </w:r>
      <w:r w:rsidR="00E93319" w:rsidRPr="00C14775">
        <w:rPr>
          <w:rFonts w:cs="Arial"/>
          <w:sz w:val="22"/>
        </w:rPr>
        <w:t>’</w:t>
      </w:r>
      <w:r w:rsidR="006017AB" w:rsidRPr="00C14775">
        <w:rPr>
          <w:rFonts w:cs="Arial"/>
          <w:sz w:val="22"/>
        </w:rPr>
        <w:t>un cycle suivant </w:t>
      </w:r>
      <w:r w:rsidRPr="00C14775">
        <w:rPr>
          <w:rFonts w:cs="Arial"/>
          <w:sz w:val="22"/>
        </w:rPr>
        <w:t>;</w:t>
      </w:r>
    </w:p>
    <w:p w:rsidR="00147D26" w:rsidRPr="00C14775" w:rsidRDefault="00147D26" w:rsidP="00470503">
      <w:pPr>
        <w:numPr>
          <w:ilvl w:val="0"/>
          <w:numId w:val="22"/>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Félicite</w:t>
      </w:r>
      <w:r w:rsidR="00662949" w:rsidRPr="00C14775">
        <w:rPr>
          <w:rFonts w:cs="Arial"/>
          <w:sz w:val="22"/>
        </w:rPr>
        <w:t xml:space="preserve"> </w:t>
      </w:r>
      <w:r w:rsidRPr="00C14775">
        <w:rPr>
          <w:rFonts w:cs="Arial"/>
          <w:sz w:val="22"/>
        </w:rPr>
        <w:t>le Kenya pour la soumission d</w:t>
      </w:r>
      <w:r w:rsidR="00E93319" w:rsidRPr="00C14775">
        <w:rPr>
          <w:rFonts w:cs="Arial"/>
          <w:sz w:val="22"/>
        </w:rPr>
        <w:t>’</w:t>
      </w:r>
      <w:r w:rsidRPr="00C14775">
        <w:rPr>
          <w:rFonts w:cs="Arial"/>
          <w:sz w:val="22"/>
        </w:rPr>
        <w:t>une proposition d</w:t>
      </w:r>
      <w:r w:rsidR="00E93319" w:rsidRPr="00C14775">
        <w:rPr>
          <w:rFonts w:cs="Arial"/>
          <w:sz w:val="22"/>
        </w:rPr>
        <w:t>’</w:t>
      </w:r>
      <w:r w:rsidRPr="00C14775">
        <w:rPr>
          <w:rFonts w:cs="Arial"/>
          <w:sz w:val="22"/>
        </w:rPr>
        <w:t>inscription sur la Liste du patrimoine culturel immatériel nécessitant une sauvegarde urgente suite à l</w:t>
      </w:r>
      <w:r w:rsidR="00E93319" w:rsidRPr="00C14775">
        <w:rPr>
          <w:rFonts w:cs="Arial"/>
          <w:sz w:val="22"/>
        </w:rPr>
        <w:t>’</w:t>
      </w:r>
      <w:r w:rsidRPr="00C14775">
        <w:rPr>
          <w:rFonts w:cs="Arial"/>
          <w:sz w:val="22"/>
        </w:rPr>
        <w:t>assistance préparatoire accordée ;</w:t>
      </w:r>
    </w:p>
    <w:p w:rsidR="008B4CAE" w:rsidRPr="00C14775" w:rsidRDefault="004F173B" w:rsidP="00470503">
      <w:pPr>
        <w:numPr>
          <w:ilvl w:val="0"/>
          <w:numId w:val="22"/>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Recommande</w:t>
      </w:r>
      <w:r w:rsidRPr="00C14775">
        <w:rPr>
          <w:rFonts w:cs="Arial"/>
          <w:sz w:val="22"/>
        </w:rPr>
        <w:t xml:space="preserve"> à l</w:t>
      </w:r>
      <w:r w:rsidR="00E93319" w:rsidRPr="00C14775">
        <w:rPr>
          <w:rFonts w:cs="Arial"/>
          <w:sz w:val="22"/>
        </w:rPr>
        <w:t>’</w:t>
      </w:r>
      <w:r w:rsidRPr="00C14775">
        <w:rPr>
          <w:rFonts w:cs="Arial"/>
          <w:sz w:val="22"/>
        </w:rPr>
        <w:t>État soumissionnaire, s</w:t>
      </w:r>
      <w:r w:rsidR="00E93319" w:rsidRPr="00C14775">
        <w:rPr>
          <w:rFonts w:cs="Arial"/>
          <w:sz w:val="22"/>
        </w:rPr>
        <w:t>’</w:t>
      </w:r>
      <w:r w:rsidRPr="00C14775">
        <w:rPr>
          <w:rFonts w:cs="Arial"/>
          <w:sz w:val="22"/>
        </w:rPr>
        <w:t xml:space="preserve">il souhaite soumettre </w:t>
      </w:r>
      <w:r w:rsidR="00662949" w:rsidRPr="00C14775">
        <w:rPr>
          <w:rFonts w:cs="Arial"/>
          <w:sz w:val="22"/>
        </w:rPr>
        <w:t xml:space="preserve">à nouveau </w:t>
      </w:r>
      <w:r w:rsidRPr="00C14775">
        <w:rPr>
          <w:rFonts w:cs="Arial"/>
          <w:sz w:val="22"/>
        </w:rPr>
        <w:t xml:space="preserve">la candidature, de préciser la nature des rituels en question, en </w:t>
      </w:r>
      <w:r w:rsidR="00F6462C" w:rsidRPr="00C14775">
        <w:rPr>
          <w:rFonts w:cs="Arial"/>
          <w:sz w:val="22"/>
        </w:rPr>
        <w:t>s</w:t>
      </w:r>
      <w:r w:rsidR="00E93319" w:rsidRPr="00C14775">
        <w:rPr>
          <w:rFonts w:cs="Arial"/>
          <w:sz w:val="22"/>
        </w:rPr>
        <w:t>’</w:t>
      </w:r>
      <w:r w:rsidR="00F6462C" w:rsidRPr="00C14775">
        <w:rPr>
          <w:rFonts w:cs="Arial"/>
          <w:sz w:val="22"/>
        </w:rPr>
        <w:t>assurant de la participation d</w:t>
      </w:r>
      <w:r w:rsidRPr="00C14775">
        <w:rPr>
          <w:rFonts w:cs="Arial"/>
          <w:sz w:val="22"/>
        </w:rPr>
        <w:t xml:space="preserve">es communautés concernées </w:t>
      </w:r>
      <w:r w:rsidR="00F6462C" w:rsidRPr="00C14775">
        <w:rPr>
          <w:rFonts w:cs="Arial"/>
          <w:sz w:val="22"/>
        </w:rPr>
        <w:t>dans ce</w:t>
      </w:r>
      <w:r w:rsidRPr="00C14775">
        <w:rPr>
          <w:rFonts w:cs="Arial"/>
          <w:sz w:val="22"/>
        </w:rPr>
        <w:t xml:space="preserve"> processus.</w:t>
      </w:r>
    </w:p>
    <w:p w:rsidR="008B4CAE" w:rsidRPr="00C14775"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sz w:val="22"/>
          <w:szCs w:val="22"/>
        </w:rPr>
      </w:pPr>
      <w:bookmarkStart w:id="8" w:name="DRAFT_DECISION_11COM_10a3"/>
      <w:r w:rsidRPr="00C14775">
        <w:rPr>
          <w:rFonts w:ascii="Arial" w:hAnsi="Arial" w:cs="Arial"/>
          <w:b/>
          <w:sz w:val="22"/>
        </w:rPr>
        <w:t>PROJET DE DÉCISION 11.COM 10.a.3</w:t>
      </w:r>
      <w:bookmarkEnd w:id="8"/>
      <w:r w:rsidRPr="00C14775">
        <w:rPr>
          <w:rFonts w:ascii="Arial" w:hAnsi="Arial" w:cs="Arial"/>
        </w:rPr>
        <w:tab/>
      </w:r>
      <w:r w:rsidR="00F6462C" w:rsidRPr="00C14775">
        <w:rPr>
          <w:rFonts w:ascii="Arial" w:hAnsi="Arial" w:cs="Arial"/>
        </w:rPr>
        <w:tab/>
      </w:r>
      <w:r w:rsidRPr="00C14775">
        <w:rPr>
          <w:rFonts w:ascii="Arial" w:hAnsi="Arial" w:cs="Arial"/>
          <w:noProof/>
          <w:color w:val="0000FF"/>
          <w:sz w:val="22"/>
          <w:szCs w:val="22"/>
          <w:lang w:eastAsia="ko-KR" w:bidi="ar-SA"/>
        </w:rPr>
        <w:drawing>
          <wp:inline distT="0" distB="0" distL="0" distR="0" wp14:anchorId="07AE6E47" wp14:editId="49C94540">
            <wp:extent cx="104775" cy="104775"/>
            <wp:effectExtent l="0" t="0" r="9525" b="9525"/>
            <wp:docPr id="4" name="Pict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8B4CAE" w:rsidRPr="00C14775"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rPr>
      </w:pPr>
      <w:r w:rsidRPr="00C14775">
        <w:rPr>
          <w:rFonts w:ascii="Arial" w:hAnsi="Arial" w:cs="Arial"/>
        </w:rPr>
        <w:t>Le Comité</w:t>
      </w:r>
    </w:p>
    <w:p w:rsidR="008B4CAE" w:rsidRPr="00C14775" w:rsidRDefault="008B4CAE" w:rsidP="00470503">
      <w:pPr>
        <w:numPr>
          <w:ilvl w:val="0"/>
          <w:numId w:val="23"/>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Prend note</w:t>
      </w:r>
      <w:r w:rsidRPr="00C14775">
        <w:rPr>
          <w:rFonts w:cs="Arial"/>
          <w:sz w:val="22"/>
        </w:rPr>
        <w:t xml:space="preserve"> que le Portugal a proposé la candidature du </w:t>
      </w:r>
      <w:r w:rsidRPr="00C14775">
        <w:rPr>
          <w:rFonts w:cs="Arial"/>
          <w:b/>
          <w:sz w:val="22"/>
        </w:rPr>
        <w:t xml:space="preserve">processus de fabrication de la poterie noire de </w:t>
      </w:r>
      <w:proofErr w:type="spellStart"/>
      <w:r w:rsidRPr="00C14775">
        <w:rPr>
          <w:rFonts w:cs="Arial"/>
          <w:b/>
          <w:sz w:val="22"/>
        </w:rPr>
        <w:t>Bisalhães</w:t>
      </w:r>
      <w:proofErr w:type="spellEnd"/>
      <w:r w:rsidR="00127914" w:rsidRPr="00C14775">
        <w:rPr>
          <w:rFonts w:cs="Arial"/>
          <w:sz w:val="22"/>
        </w:rPr>
        <w:t xml:space="preserve"> (n</w:t>
      </w:r>
      <w:r w:rsidRPr="00C14775">
        <w:rPr>
          <w:rFonts w:cs="Arial"/>
          <w:sz w:val="22"/>
        </w:rPr>
        <w:t>° 01199) pour inscription sur la Liste du patrimoine culturel immatériel nécessitant une sauvegarde urgente :</w:t>
      </w:r>
    </w:p>
    <w:p w:rsidR="00627004" w:rsidRPr="00C14775" w:rsidRDefault="00627004" w:rsidP="00627004">
      <w:pPr>
        <w:pStyle w:val="ListParagraph"/>
        <w:tabs>
          <w:tab w:val="left" w:pos="1134"/>
          <w:tab w:val="left" w:pos="1701"/>
          <w:tab w:val="left" w:pos="2268"/>
        </w:tabs>
        <w:spacing w:before="120" w:after="120"/>
        <w:ind w:left="1134"/>
        <w:jc w:val="both"/>
        <w:rPr>
          <w:rFonts w:ascii="Arial" w:hAnsi="Arial" w:cs="Arial"/>
          <w:sz w:val="22"/>
        </w:rPr>
      </w:pPr>
      <w:r w:rsidRPr="00C14775">
        <w:rPr>
          <w:rFonts w:ascii="Arial" w:hAnsi="Arial" w:cs="Arial"/>
          <w:sz w:val="22"/>
        </w:rPr>
        <w:t xml:space="preserve">Lieu de fabrication de la poterie noire, </w:t>
      </w:r>
      <w:proofErr w:type="spellStart"/>
      <w:r w:rsidRPr="00C14775">
        <w:rPr>
          <w:rFonts w:ascii="Arial" w:hAnsi="Arial" w:cs="Arial"/>
          <w:sz w:val="22"/>
        </w:rPr>
        <w:t>Bisalhães</w:t>
      </w:r>
      <w:proofErr w:type="spellEnd"/>
      <w:r w:rsidRPr="00C14775">
        <w:rPr>
          <w:rFonts w:ascii="Arial" w:hAnsi="Arial" w:cs="Arial"/>
          <w:sz w:val="22"/>
        </w:rPr>
        <w:t xml:space="preserve">, au Portugal, est connu comme la </w:t>
      </w:r>
      <w:r w:rsidR="00F6462C" w:rsidRPr="00C14775">
        <w:rPr>
          <w:rFonts w:ascii="Arial" w:hAnsi="Arial" w:cs="Arial"/>
          <w:sz w:val="22"/>
        </w:rPr>
        <w:t>« </w:t>
      </w:r>
      <w:r w:rsidRPr="00C14775">
        <w:rPr>
          <w:rFonts w:ascii="Arial" w:hAnsi="Arial" w:cs="Arial"/>
          <w:sz w:val="22"/>
        </w:rPr>
        <w:t>terre des producteurs de pots et de plats</w:t>
      </w:r>
      <w:r w:rsidR="00F6462C" w:rsidRPr="00C14775">
        <w:rPr>
          <w:rFonts w:ascii="Arial" w:hAnsi="Arial" w:cs="Arial"/>
          <w:sz w:val="22"/>
        </w:rPr>
        <w:t> »</w:t>
      </w:r>
      <w:r w:rsidRPr="00C14775">
        <w:rPr>
          <w:rFonts w:ascii="Arial" w:hAnsi="Arial" w:cs="Arial"/>
          <w:sz w:val="22"/>
        </w:rPr>
        <w:t xml:space="preserve">. Destinée à la décoration et à la </w:t>
      </w:r>
      <w:r w:rsidR="00545B9B" w:rsidRPr="00C14775">
        <w:rPr>
          <w:rFonts w:ascii="Arial" w:hAnsi="Arial" w:cs="Arial"/>
          <w:sz w:val="22"/>
        </w:rPr>
        <w:t>cuisine</w:t>
      </w:r>
      <w:r w:rsidRPr="00C14775">
        <w:rPr>
          <w:rFonts w:ascii="Arial" w:hAnsi="Arial" w:cs="Arial"/>
          <w:sz w:val="22"/>
        </w:rPr>
        <w:t>, cette pratique traditionnelle figurant sur les armoiries du village est un élément important de l</w:t>
      </w:r>
      <w:r w:rsidR="00E93319" w:rsidRPr="00C14775">
        <w:rPr>
          <w:rFonts w:ascii="Arial" w:hAnsi="Arial" w:cs="Arial"/>
          <w:sz w:val="22"/>
        </w:rPr>
        <w:t>’</w:t>
      </w:r>
      <w:r w:rsidRPr="00C14775">
        <w:rPr>
          <w:rFonts w:ascii="Arial" w:hAnsi="Arial" w:cs="Arial"/>
          <w:sz w:val="22"/>
        </w:rPr>
        <w:t xml:space="preserve">identité de la communauté. Les anciennes méthodes sont toujours utilisées pour créer des pièces proches de celles du passé. Plusieurs étapes sont nécessaires à la création de </w:t>
      </w:r>
      <w:r w:rsidR="00F54D68">
        <w:rPr>
          <w:rFonts w:ascii="Arial" w:hAnsi="Arial" w:cs="Arial"/>
          <w:sz w:val="22"/>
        </w:rPr>
        <w:t xml:space="preserve">la </w:t>
      </w:r>
      <w:r w:rsidRPr="00C14775">
        <w:rPr>
          <w:rFonts w:ascii="Arial" w:hAnsi="Arial" w:cs="Arial"/>
          <w:sz w:val="22"/>
        </w:rPr>
        <w:t>poterie noire. L</w:t>
      </w:r>
      <w:r w:rsidR="00E93319" w:rsidRPr="00C14775">
        <w:rPr>
          <w:rFonts w:ascii="Arial" w:hAnsi="Arial" w:cs="Arial"/>
          <w:sz w:val="22"/>
        </w:rPr>
        <w:t>’</w:t>
      </w:r>
      <w:r w:rsidRPr="00C14775">
        <w:rPr>
          <w:rFonts w:ascii="Arial" w:hAnsi="Arial" w:cs="Arial"/>
          <w:sz w:val="22"/>
        </w:rPr>
        <w:t xml:space="preserve">argile est </w:t>
      </w:r>
      <w:r w:rsidR="00F6462C" w:rsidRPr="00C14775">
        <w:rPr>
          <w:rFonts w:ascii="Arial" w:hAnsi="Arial" w:cs="Arial"/>
          <w:sz w:val="22"/>
        </w:rPr>
        <w:t>tout d</w:t>
      </w:r>
      <w:r w:rsidR="00E93319" w:rsidRPr="00C14775">
        <w:rPr>
          <w:rFonts w:ascii="Arial" w:hAnsi="Arial" w:cs="Arial"/>
          <w:sz w:val="22"/>
        </w:rPr>
        <w:t>’</w:t>
      </w:r>
      <w:r w:rsidR="00F6462C" w:rsidRPr="00C14775">
        <w:rPr>
          <w:rFonts w:ascii="Arial" w:hAnsi="Arial" w:cs="Arial"/>
          <w:sz w:val="22"/>
        </w:rPr>
        <w:t xml:space="preserve">abord </w:t>
      </w:r>
      <w:r w:rsidRPr="00C14775">
        <w:rPr>
          <w:rFonts w:ascii="Arial" w:hAnsi="Arial" w:cs="Arial"/>
          <w:sz w:val="22"/>
        </w:rPr>
        <w:t>écrasée dans un bassin en pierre au moyen d</w:t>
      </w:r>
      <w:r w:rsidR="00E93319" w:rsidRPr="00C14775">
        <w:rPr>
          <w:rFonts w:ascii="Arial" w:hAnsi="Arial" w:cs="Arial"/>
          <w:sz w:val="22"/>
        </w:rPr>
        <w:t>’</w:t>
      </w:r>
      <w:r w:rsidRPr="00C14775">
        <w:rPr>
          <w:rFonts w:ascii="Arial" w:hAnsi="Arial" w:cs="Arial"/>
          <w:sz w:val="22"/>
        </w:rPr>
        <w:t xml:space="preserve">un marteau en bois, </w:t>
      </w:r>
      <w:r w:rsidR="00F6462C" w:rsidRPr="00C14775">
        <w:rPr>
          <w:rFonts w:ascii="Arial" w:hAnsi="Arial" w:cs="Arial"/>
          <w:sz w:val="22"/>
        </w:rPr>
        <w:t xml:space="preserve">puis </w:t>
      </w:r>
      <w:r w:rsidRPr="00C14775">
        <w:rPr>
          <w:rFonts w:ascii="Arial" w:hAnsi="Arial" w:cs="Arial"/>
          <w:sz w:val="22"/>
        </w:rPr>
        <w:t>tamisée, humidifiée, pétrie,</w:t>
      </w:r>
      <w:r w:rsidR="00545B9B" w:rsidRPr="00C14775">
        <w:rPr>
          <w:rFonts w:ascii="Arial" w:hAnsi="Arial" w:cs="Arial"/>
          <w:sz w:val="22"/>
        </w:rPr>
        <w:t xml:space="preserve"> assemblée,</w:t>
      </w:r>
      <w:r w:rsidRPr="00C14775">
        <w:rPr>
          <w:rFonts w:ascii="Arial" w:hAnsi="Arial" w:cs="Arial"/>
          <w:sz w:val="22"/>
        </w:rPr>
        <w:t xml:space="preserve"> façonnée sur différent</w:t>
      </w:r>
      <w:r w:rsidR="00545B9B" w:rsidRPr="00C14775">
        <w:rPr>
          <w:rFonts w:ascii="Arial" w:hAnsi="Arial" w:cs="Arial"/>
          <w:sz w:val="22"/>
        </w:rPr>
        <w:t>e</w:t>
      </w:r>
      <w:r w:rsidRPr="00C14775">
        <w:rPr>
          <w:rFonts w:ascii="Arial" w:hAnsi="Arial" w:cs="Arial"/>
          <w:sz w:val="22"/>
        </w:rPr>
        <w:t xml:space="preserve">s </w:t>
      </w:r>
      <w:r w:rsidR="00545B9B" w:rsidRPr="00C14775">
        <w:rPr>
          <w:rFonts w:ascii="Arial" w:hAnsi="Arial" w:cs="Arial"/>
          <w:sz w:val="22"/>
        </w:rPr>
        <w:t>lattes</w:t>
      </w:r>
      <w:r w:rsidRPr="00C14775">
        <w:rPr>
          <w:rFonts w:ascii="Arial" w:hAnsi="Arial" w:cs="Arial"/>
          <w:sz w:val="22"/>
        </w:rPr>
        <w:t xml:space="preserve">, polie avec des cailloux, décorée avec un bâton et cuite dans un four. </w:t>
      </w:r>
      <w:r w:rsidR="00215F6C">
        <w:rPr>
          <w:rFonts w:ascii="Arial" w:hAnsi="Arial" w:cs="Arial"/>
          <w:sz w:val="22"/>
        </w:rPr>
        <w:t>La division du travail a changé au cours</w:t>
      </w:r>
      <w:r w:rsidRPr="00C14775">
        <w:rPr>
          <w:rFonts w:ascii="Arial" w:hAnsi="Arial" w:cs="Arial"/>
          <w:sz w:val="22"/>
        </w:rPr>
        <w:t xml:space="preserve"> du temps</w:t>
      </w:r>
      <w:r w:rsidR="00632ACA">
        <w:rPr>
          <w:rFonts w:ascii="Arial" w:hAnsi="Arial" w:cs="Arial"/>
          <w:sz w:val="22"/>
        </w:rPr>
        <w:t> :</w:t>
      </w:r>
      <w:r w:rsidRPr="00C14775">
        <w:rPr>
          <w:rFonts w:ascii="Arial" w:hAnsi="Arial" w:cs="Arial"/>
          <w:sz w:val="22"/>
        </w:rPr>
        <w:t xml:space="preserve"> </w:t>
      </w:r>
      <w:r w:rsidR="00632ACA">
        <w:rPr>
          <w:rFonts w:ascii="Arial" w:hAnsi="Arial" w:cs="Arial"/>
          <w:sz w:val="22"/>
        </w:rPr>
        <w:t>l</w:t>
      </w:r>
      <w:r w:rsidRPr="00C14775">
        <w:rPr>
          <w:rFonts w:ascii="Arial" w:hAnsi="Arial" w:cs="Arial"/>
          <w:sz w:val="22"/>
        </w:rPr>
        <w:t>e long travail de préparation de l</w:t>
      </w:r>
      <w:r w:rsidR="00E93319" w:rsidRPr="00C14775">
        <w:rPr>
          <w:rFonts w:ascii="Arial" w:hAnsi="Arial" w:cs="Arial"/>
          <w:sz w:val="22"/>
        </w:rPr>
        <w:t>’</w:t>
      </w:r>
      <w:r w:rsidRPr="00C14775">
        <w:rPr>
          <w:rFonts w:ascii="Arial" w:hAnsi="Arial" w:cs="Arial"/>
          <w:sz w:val="22"/>
        </w:rPr>
        <w:t xml:space="preserve">argile est </w:t>
      </w:r>
      <w:r w:rsidR="004A6120">
        <w:rPr>
          <w:rFonts w:ascii="Arial" w:hAnsi="Arial" w:cs="Arial"/>
          <w:sz w:val="22"/>
        </w:rPr>
        <w:t>désormais</w:t>
      </w:r>
      <w:r w:rsidR="00215F6C">
        <w:rPr>
          <w:rFonts w:ascii="Arial" w:hAnsi="Arial" w:cs="Arial"/>
          <w:sz w:val="22"/>
        </w:rPr>
        <w:t xml:space="preserve"> </w:t>
      </w:r>
      <w:r w:rsidRPr="00C14775">
        <w:rPr>
          <w:rFonts w:ascii="Arial" w:hAnsi="Arial" w:cs="Arial"/>
          <w:sz w:val="22"/>
        </w:rPr>
        <w:t>confié aux hommes et la décoration</w:t>
      </w:r>
      <w:r w:rsidR="003C0AB4" w:rsidRPr="00C14775">
        <w:rPr>
          <w:rFonts w:ascii="Arial" w:hAnsi="Arial" w:cs="Arial"/>
          <w:sz w:val="22"/>
        </w:rPr>
        <w:t xml:space="preserve"> des pots</w:t>
      </w:r>
      <w:r w:rsidRPr="00C14775">
        <w:rPr>
          <w:rFonts w:ascii="Arial" w:hAnsi="Arial" w:cs="Arial"/>
          <w:sz w:val="22"/>
        </w:rPr>
        <w:t xml:space="preserve"> </w:t>
      </w:r>
      <w:r w:rsidR="00A75B64" w:rsidRPr="00C14775">
        <w:rPr>
          <w:rFonts w:ascii="Arial" w:hAnsi="Arial" w:cs="Arial"/>
          <w:sz w:val="22"/>
        </w:rPr>
        <w:t>r</w:t>
      </w:r>
      <w:r w:rsidR="00DC3F16" w:rsidRPr="00C14775">
        <w:rPr>
          <w:rFonts w:ascii="Arial" w:hAnsi="Arial" w:cs="Arial"/>
          <w:sz w:val="22"/>
        </w:rPr>
        <w:t>est</w:t>
      </w:r>
      <w:r w:rsidR="00A75B64" w:rsidRPr="00C14775">
        <w:rPr>
          <w:rFonts w:ascii="Arial" w:hAnsi="Arial" w:cs="Arial"/>
          <w:sz w:val="22"/>
        </w:rPr>
        <w:t>e</w:t>
      </w:r>
      <w:r w:rsidR="00DC3F16" w:rsidRPr="00C14775">
        <w:rPr>
          <w:rFonts w:ascii="Arial" w:hAnsi="Arial" w:cs="Arial"/>
          <w:sz w:val="22"/>
        </w:rPr>
        <w:t xml:space="preserve"> </w:t>
      </w:r>
      <w:r w:rsidRPr="00C14775">
        <w:rPr>
          <w:rFonts w:ascii="Arial" w:hAnsi="Arial" w:cs="Arial"/>
          <w:sz w:val="22"/>
        </w:rPr>
        <w:t>principalement assurée par les femmes.</w:t>
      </w:r>
      <w:r w:rsidR="00DC3F16" w:rsidRPr="00C14775">
        <w:rPr>
          <w:rFonts w:ascii="Arial" w:hAnsi="Arial" w:cs="Arial"/>
          <w:sz w:val="22"/>
        </w:rPr>
        <w:t xml:space="preserve"> En outre, </w:t>
      </w:r>
      <w:r w:rsidR="00A75B64" w:rsidRPr="00C14775">
        <w:rPr>
          <w:rFonts w:ascii="Arial" w:hAnsi="Arial" w:cs="Arial"/>
          <w:sz w:val="22"/>
        </w:rPr>
        <w:t>l</w:t>
      </w:r>
      <w:r w:rsidRPr="00C14775">
        <w:rPr>
          <w:rFonts w:ascii="Arial" w:hAnsi="Arial" w:cs="Arial"/>
          <w:sz w:val="22"/>
        </w:rPr>
        <w:t>es tuileries ont remplacé les carrières pour la fourniture de l</w:t>
      </w:r>
      <w:r w:rsidR="00E93319" w:rsidRPr="00C14775">
        <w:rPr>
          <w:rFonts w:ascii="Arial" w:hAnsi="Arial" w:cs="Arial"/>
          <w:sz w:val="22"/>
        </w:rPr>
        <w:t>’</w:t>
      </w:r>
      <w:r w:rsidRPr="00C14775">
        <w:rPr>
          <w:rFonts w:ascii="Arial" w:hAnsi="Arial" w:cs="Arial"/>
          <w:sz w:val="22"/>
        </w:rPr>
        <w:t>argile. Transmise presque exclusivement au sein des familles, la pratique est menacée par la baisse du nombre de détenteurs, le manque d</w:t>
      </w:r>
      <w:r w:rsidR="00E93319" w:rsidRPr="00C14775">
        <w:rPr>
          <w:rFonts w:ascii="Arial" w:hAnsi="Arial" w:cs="Arial"/>
          <w:sz w:val="22"/>
        </w:rPr>
        <w:t>’</w:t>
      </w:r>
      <w:r w:rsidRPr="00C14775">
        <w:rPr>
          <w:rFonts w:ascii="Arial" w:hAnsi="Arial" w:cs="Arial"/>
          <w:sz w:val="22"/>
        </w:rPr>
        <w:t>intérêt des jeunes générations et la concurrence des produits industriels</w:t>
      </w:r>
      <w:r w:rsidR="00A75B64" w:rsidRPr="00C14775">
        <w:rPr>
          <w:rFonts w:ascii="Arial" w:hAnsi="Arial" w:cs="Arial"/>
          <w:sz w:val="22"/>
        </w:rPr>
        <w:t xml:space="preserve"> qui sont en forte demande</w:t>
      </w:r>
      <w:r w:rsidRPr="00C14775">
        <w:rPr>
          <w:rFonts w:ascii="Arial" w:hAnsi="Arial" w:cs="Arial"/>
          <w:sz w:val="22"/>
        </w:rPr>
        <w:t>.</w:t>
      </w:r>
    </w:p>
    <w:p w:rsidR="008B4CAE" w:rsidRPr="00C14775" w:rsidRDefault="008B4CAE" w:rsidP="00470503">
      <w:pPr>
        <w:keepNext/>
        <w:numPr>
          <w:ilvl w:val="0"/>
          <w:numId w:val="23"/>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Décide</w:t>
      </w:r>
      <w:r w:rsidRPr="00C14775">
        <w:rPr>
          <w:rFonts w:cs="Arial"/>
          <w:sz w:val="22"/>
        </w:rPr>
        <w:t xml:space="preserve"> que, d</w:t>
      </w:r>
      <w:r w:rsidR="00E93319" w:rsidRPr="00C14775">
        <w:rPr>
          <w:rFonts w:cs="Arial"/>
          <w:sz w:val="22"/>
        </w:rPr>
        <w:t>’</w:t>
      </w:r>
      <w:r w:rsidRPr="00C14775">
        <w:rPr>
          <w:rFonts w:cs="Arial"/>
          <w:sz w:val="22"/>
        </w:rPr>
        <w:t>après les informations contenues dans le dossier, la candidature satisfait aux critères suivants :</w:t>
      </w:r>
    </w:p>
    <w:p w:rsidR="00B97C0C" w:rsidRPr="00C14775" w:rsidRDefault="00AC00D5" w:rsidP="004F173B">
      <w:pPr>
        <w:tabs>
          <w:tab w:val="left" w:pos="1134"/>
          <w:tab w:val="left" w:pos="1701"/>
          <w:tab w:val="left" w:pos="2268"/>
        </w:tabs>
        <w:spacing w:before="120" w:after="120"/>
        <w:ind w:left="1701" w:hanging="567"/>
        <w:jc w:val="both"/>
        <w:rPr>
          <w:rFonts w:cs="Arial"/>
          <w:sz w:val="22"/>
          <w:szCs w:val="22"/>
        </w:rPr>
      </w:pPr>
      <w:r w:rsidRPr="00C14775">
        <w:rPr>
          <w:rFonts w:cs="Arial"/>
          <w:sz w:val="22"/>
        </w:rPr>
        <w:t>U.1 :</w:t>
      </w:r>
      <w:r w:rsidRPr="00C14775">
        <w:rPr>
          <w:rFonts w:cs="Arial"/>
        </w:rPr>
        <w:tab/>
      </w:r>
      <w:r w:rsidRPr="00C14775">
        <w:rPr>
          <w:rFonts w:cs="Arial"/>
          <w:sz w:val="22"/>
        </w:rPr>
        <w:t xml:space="preserve">Le dossier décrit la fabrication de la poterie noire à </w:t>
      </w:r>
      <w:proofErr w:type="spellStart"/>
      <w:r w:rsidRPr="00C14775">
        <w:rPr>
          <w:rFonts w:cs="Arial"/>
          <w:sz w:val="22"/>
        </w:rPr>
        <w:t>Bisalhães</w:t>
      </w:r>
      <w:proofErr w:type="spellEnd"/>
      <w:r w:rsidRPr="00C14775">
        <w:rPr>
          <w:rFonts w:cs="Arial"/>
          <w:sz w:val="22"/>
        </w:rPr>
        <w:t xml:space="preserve"> comme une tradition ancienne faisant partie intégrante de la mémoire et de l</w:t>
      </w:r>
      <w:r w:rsidR="00E93319" w:rsidRPr="00C14775">
        <w:rPr>
          <w:rFonts w:cs="Arial"/>
          <w:sz w:val="22"/>
        </w:rPr>
        <w:t>’</w:t>
      </w:r>
      <w:r w:rsidRPr="00C14775">
        <w:rPr>
          <w:rFonts w:cs="Arial"/>
          <w:sz w:val="22"/>
        </w:rPr>
        <w:t xml:space="preserve">identité de la communauté et constituant un élément important du patrimoine culturel immatériel local, transmis de génération en génération au sein des familles. Outre son aspect utilitaire, la fabrication de la poterie noire de </w:t>
      </w:r>
      <w:proofErr w:type="spellStart"/>
      <w:r w:rsidRPr="00C14775">
        <w:rPr>
          <w:rFonts w:cs="Arial"/>
          <w:sz w:val="22"/>
        </w:rPr>
        <w:t>Bisalhães</w:t>
      </w:r>
      <w:proofErr w:type="spellEnd"/>
      <w:r w:rsidRPr="00C14775">
        <w:rPr>
          <w:rFonts w:cs="Arial"/>
          <w:sz w:val="22"/>
        </w:rPr>
        <w:t xml:space="preserve"> revêt une dimension symbolique, sociale et esthétique liée à la communauté concernée ;</w:t>
      </w:r>
    </w:p>
    <w:p w:rsidR="00D72809" w:rsidRPr="00C14775" w:rsidRDefault="00AC00D5" w:rsidP="004F173B">
      <w:pPr>
        <w:tabs>
          <w:tab w:val="left" w:pos="1134"/>
          <w:tab w:val="left" w:pos="1701"/>
          <w:tab w:val="left" w:pos="2268"/>
        </w:tabs>
        <w:spacing w:before="120" w:after="120"/>
        <w:ind w:left="1701" w:hanging="567"/>
        <w:jc w:val="both"/>
        <w:rPr>
          <w:rFonts w:cs="Arial"/>
          <w:sz w:val="22"/>
          <w:szCs w:val="22"/>
        </w:rPr>
      </w:pPr>
      <w:r w:rsidRPr="00C14775">
        <w:rPr>
          <w:rFonts w:cs="Arial"/>
          <w:sz w:val="22"/>
        </w:rPr>
        <w:t>U.2 :</w:t>
      </w:r>
      <w:r w:rsidRPr="00C14775">
        <w:rPr>
          <w:rFonts w:cs="Arial"/>
        </w:rPr>
        <w:tab/>
      </w:r>
      <w:r w:rsidRPr="00C14775">
        <w:rPr>
          <w:rFonts w:cs="Arial"/>
          <w:sz w:val="22"/>
        </w:rPr>
        <w:t>Le dossier décrit de manière appropriée la gravité et l</w:t>
      </w:r>
      <w:r w:rsidR="00E93319" w:rsidRPr="00C14775">
        <w:rPr>
          <w:rFonts w:cs="Arial"/>
          <w:sz w:val="22"/>
        </w:rPr>
        <w:t>’</w:t>
      </w:r>
      <w:r w:rsidRPr="00C14775">
        <w:rPr>
          <w:rFonts w:cs="Arial"/>
          <w:sz w:val="22"/>
        </w:rPr>
        <w:t>immédiateté des menaces pesant sur l</w:t>
      </w:r>
      <w:r w:rsidR="00B20FC6" w:rsidRPr="00C14775">
        <w:rPr>
          <w:rFonts w:cs="Arial"/>
          <w:sz w:val="22"/>
        </w:rPr>
        <w:t>a viabilité de l</w:t>
      </w:r>
      <w:r w:rsidR="00E93319" w:rsidRPr="00C14775">
        <w:rPr>
          <w:rFonts w:cs="Arial"/>
          <w:sz w:val="22"/>
        </w:rPr>
        <w:t>’</w:t>
      </w:r>
      <w:r w:rsidRPr="00C14775">
        <w:rPr>
          <w:rFonts w:cs="Arial"/>
          <w:sz w:val="22"/>
        </w:rPr>
        <w:t xml:space="preserve">élément, telles que la concurrence des produits industriels et le désintérêt des jeunes membres de la communauté. La vigueur des modes traditionnels de transmission et la démographie des </w:t>
      </w:r>
      <w:r w:rsidR="00DA7CD5" w:rsidRPr="00C14775">
        <w:rPr>
          <w:rFonts w:cs="Arial"/>
          <w:sz w:val="22"/>
        </w:rPr>
        <w:t xml:space="preserve">praticiens </w:t>
      </w:r>
      <w:r w:rsidRPr="00C14775">
        <w:rPr>
          <w:rFonts w:cs="Arial"/>
          <w:sz w:val="22"/>
        </w:rPr>
        <w:t>sont bien présenté</w:t>
      </w:r>
      <w:r w:rsidR="00B20FC6" w:rsidRPr="00C14775">
        <w:rPr>
          <w:rFonts w:cs="Arial"/>
          <w:sz w:val="22"/>
        </w:rPr>
        <w:t>e</w:t>
      </w:r>
      <w:r w:rsidRPr="00C14775">
        <w:rPr>
          <w:rFonts w:cs="Arial"/>
          <w:sz w:val="22"/>
        </w:rPr>
        <w:t xml:space="preserve">s, sept potiers et leur famille </w:t>
      </w:r>
      <w:r w:rsidR="003C0AB4" w:rsidRPr="00C14775">
        <w:rPr>
          <w:rFonts w:cs="Arial"/>
          <w:sz w:val="22"/>
        </w:rPr>
        <w:t xml:space="preserve">seraient </w:t>
      </w:r>
      <w:r w:rsidRPr="00C14775">
        <w:rPr>
          <w:rFonts w:cs="Arial"/>
          <w:sz w:val="22"/>
        </w:rPr>
        <w:t>encore en activité ;</w:t>
      </w:r>
    </w:p>
    <w:p w:rsidR="005B274E"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U.3 :</w:t>
      </w:r>
      <w:r w:rsidRPr="00C14775">
        <w:rPr>
          <w:rFonts w:cs="Arial"/>
        </w:rPr>
        <w:tab/>
      </w:r>
      <w:r w:rsidRPr="00C14775">
        <w:rPr>
          <w:rFonts w:cs="Arial"/>
          <w:sz w:val="22"/>
        </w:rPr>
        <w:t>Plusieurs mesures de sauvegarde ont été mises en œuvre, principalement par la municipalité, et d</w:t>
      </w:r>
      <w:r w:rsidR="00E93319" w:rsidRPr="00C14775">
        <w:rPr>
          <w:rFonts w:cs="Arial"/>
          <w:sz w:val="22"/>
        </w:rPr>
        <w:t>’</w:t>
      </w:r>
      <w:r w:rsidRPr="00C14775">
        <w:rPr>
          <w:rFonts w:cs="Arial"/>
          <w:sz w:val="22"/>
        </w:rPr>
        <w:t>autres actions sont proposées. Il s</w:t>
      </w:r>
      <w:r w:rsidR="00E93319" w:rsidRPr="00C14775">
        <w:rPr>
          <w:rFonts w:cs="Arial"/>
          <w:sz w:val="22"/>
        </w:rPr>
        <w:t>’</w:t>
      </w:r>
      <w:r w:rsidRPr="00C14775">
        <w:rPr>
          <w:rFonts w:cs="Arial"/>
          <w:sz w:val="22"/>
        </w:rPr>
        <w:t>agit, entre autres, de créer les conditions permettant d</w:t>
      </w:r>
      <w:r w:rsidR="00E93319" w:rsidRPr="00C14775">
        <w:rPr>
          <w:rFonts w:cs="Arial"/>
          <w:sz w:val="22"/>
        </w:rPr>
        <w:t>’</w:t>
      </w:r>
      <w:r w:rsidRPr="00C14775">
        <w:rPr>
          <w:rFonts w:cs="Arial"/>
          <w:sz w:val="22"/>
        </w:rPr>
        <w:t>améliorer la durabilité et la rentabilité économiques de cet artisanat, d</w:t>
      </w:r>
      <w:r w:rsidR="00E93319" w:rsidRPr="00C14775">
        <w:rPr>
          <w:rFonts w:cs="Arial"/>
          <w:sz w:val="22"/>
        </w:rPr>
        <w:t>’</w:t>
      </w:r>
      <w:r w:rsidRPr="00C14775">
        <w:rPr>
          <w:rFonts w:cs="Arial"/>
          <w:sz w:val="22"/>
        </w:rPr>
        <w:t>améliorer les conditions de travail des potiers et de proposer formation et éducation. Ces mesures ont fait l</w:t>
      </w:r>
      <w:r w:rsidR="00E93319" w:rsidRPr="00C14775">
        <w:rPr>
          <w:rFonts w:cs="Arial"/>
          <w:sz w:val="22"/>
        </w:rPr>
        <w:t>’</w:t>
      </w:r>
      <w:r w:rsidRPr="00C14775">
        <w:rPr>
          <w:rFonts w:cs="Arial"/>
          <w:sz w:val="22"/>
        </w:rPr>
        <w:t xml:space="preserve">objet de discussions avec la communauté, qui les a approuvées et </w:t>
      </w:r>
      <w:r w:rsidR="00B20FC6" w:rsidRPr="00C14775">
        <w:rPr>
          <w:rFonts w:cs="Arial"/>
          <w:sz w:val="22"/>
        </w:rPr>
        <w:t>sera impliquée dans sa</w:t>
      </w:r>
      <w:r w:rsidRPr="00C14775">
        <w:rPr>
          <w:rFonts w:cs="Arial"/>
          <w:sz w:val="22"/>
        </w:rPr>
        <w:t xml:space="preserve"> mise en œuvre ;</w:t>
      </w:r>
    </w:p>
    <w:p w:rsidR="00AC00D5" w:rsidRPr="00C14775" w:rsidRDefault="00AC00D5" w:rsidP="004F173B">
      <w:pPr>
        <w:tabs>
          <w:tab w:val="left" w:pos="1134"/>
          <w:tab w:val="left" w:pos="1701"/>
          <w:tab w:val="left" w:pos="2268"/>
        </w:tabs>
        <w:spacing w:before="120" w:after="120"/>
        <w:ind w:left="1701" w:hanging="567"/>
        <w:jc w:val="both"/>
        <w:rPr>
          <w:rFonts w:cs="Arial"/>
          <w:sz w:val="22"/>
          <w:szCs w:val="22"/>
        </w:rPr>
      </w:pPr>
      <w:r w:rsidRPr="00C14775">
        <w:rPr>
          <w:rFonts w:cs="Arial"/>
          <w:sz w:val="22"/>
        </w:rPr>
        <w:t>U.4 :</w:t>
      </w:r>
      <w:r w:rsidRPr="00C14775">
        <w:rPr>
          <w:rFonts w:cs="Arial"/>
        </w:rPr>
        <w:tab/>
      </w:r>
      <w:r w:rsidRPr="00C14775">
        <w:rPr>
          <w:rFonts w:cs="Arial"/>
          <w:sz w:val="22"/>
        </w:rPr>
        <w:t xml:space="preserve">La participation active des communautés, groupes et individus concernés </w:t>
      </w:r>
      <w:r w:rsidR="00215F6C">
        <w:rPr>
          <w:rFonts w:cs="Arial"/>
          <w:sz w:val="22"/>
        </w:rPr>
        <w:t>par</w:t>
      </w:r>
      <w:r w:rsidR="00215F6C" w:rsidRPr="00C14775">
        <w:rPr>
          <w:rFonts w:cs="Arial"/>
          <w:sz w:val="22"/>
        </w:rPr>
        <w:t xml:space="preserve"> </w:t>
      </w:r>
      <w:r w:rsidRPr="00C14775">
        <w:rPr>
          <w:rFonts w:cs="Arial"/>
          <w:sz w:val="22"/>
        </w:rPr>
        <w:t xml:space="preserve">la préparation de la candidature est bien </w:t>
      </w:r>
      <w:proofErr w:type="gramStart"/>
      <w:r w:rsidRPr="00C14775">
        <w:rPr>
          <w:rFonts w:cs="Arial"/>
          <w:sz w:val="22"/>
        </w:rPr>
        <w:t>décrite</w:t>
      </w:r>
      <w:proofErr w:type="gramEnd"/>
      <w:r w:rsidRPr="00C14775">
        <w:rPr>
          <w:rFonts w:cs="Arial"/>
          <w:sz w:val="22"/>
        </w:rPr>
        <w:t>. Les attestations de consentement de la communauté sont diverses et personnalisées, démontrant un consentement libre, préalable et éclairé. Le dossier indique qu</w:t>
      </w:r>
      <w:r w:rsidR="00E93319" w:rsidRPr="00C14775">
        <w:rPr>
          <w:rFonts w:cs="Arial"/>
          <w:sz w:val="22"/>
        </w:rPr>
        <w:t>’</w:t>
      </w:r>
      <w:r w:rsidRPr="00C14775">
        <w:rPr>
          <w:rFonts w:cs="Arial"/>
          <w:sz w:val="22"/>
        </w:rPr>
        <w:t>il n</w:t>
      </w:r>
      <w:r w:rsidR="00E93319" w:rsidRPr="00C14775">
        <w:rPr>
          <w:rFonts w:cs="Arial"/>
          <w:sz w:val="22"/>
        </w:rPr>
        <w:t>’</w:t>
      </w:r>
      <w:r w:rsidRPr="00C14775">
        <w:rPr>
          <w:rFonts w:cs="Arial"/>
          <w:sz w:val="22"/>
        </w:rPr>
        <w:t>y a pas de pratiques coutumières régissant l</w:t>
      </w:r>
      <w:r w:rsidR="00E93319" w:rsidRPr="00C14775">
        <w:rPr>
          <w:rFonts w:cs="Arial"/>
          <w:sz w:val="22"/>
        </w:rPr>
        <w:t>’</w:t>
      </w:r>
      <w:r w:rsidRPr="00C14775">
        <w:rPr>
          <w:rFonts w:cs="Arial"/>
          <w:sz w:val="22"/>
        </w:rPr>
        <w:t>accès à l</w:t>
      </w:r>
      <w:r w:rsidR="00E93319" w:rsidRPr="00C14775">
        <w:rPr>
          <w:rFonts w:cs="Arial"/>
          <w:sz w:val="22"/>
        </w:rPr>
        <w:t>’</w:t>
      </w:r>
      <w:r w:rsidRPr="00C14775">
        <w:rPr>
          <w:rFonts w:cs="Arial"/>
          <w:sz w:val="22"/>
        </w:rPr>
        <w:t>élément</w:t>
      </w:r>
      <w:r w:rsidR="00B20FC6" w:rsidRPr="00C14775">
        <w:rPr>
          <w:rFonts w:cs="Arial"/>
          <w:sz w:val="22"/>
        </w:rPr>
        <w:t> ;</w:t>
      </w:r>
    </w:p>
    <w:p w:rsidR="008B4CAE"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U.5 :</w:t>
      </w:r>
      <w:r w:rsidRPr="00C14775">
        <w:rPr>
          <w:rFonts w:cs="Arial"/>
        </w:rPr>
        <w:tab/>
      </w:r>
      <w:r w:rsidRPr="00C14775">
        <w:rPr>
          <w:rFonts w:cs="Arial"/>
          <w:sz w:val="22"/>
        </w:rPr>
        <w:t>L</w:t>
      </w:r>
      <w:r w:rsidR="00E93319" w:rsidRPr="00C14775">
        <w:rPr>
          <w:rFonts w:cs="Arial"/>
          <w:sz w:val="22"/>
        </w:rPr>
        <w:t>’</w:t>
      </w:r>
      <w:r w:rsidRPr="00C14775">
        <w:rPr>
          <w:rFonts w:cs="Arial"/>
          <w:sz w:val="22"/>
        </w:rPr>
        <w:t>élément a été inscrit, en 2015, à l</w:t>
      </w:r>
      <w:r w:rsidR="00E93319" w:rsidRPr="00C14775">
        <w:rPr>
          <w:rFonts w:cs="Arial"/>
          <w:sz w:val="22"/>
        </w:rPr>
        <w:t>’</w:t>
      </w:r>
      <w:r w:rsidR="00A75B64" w:rsidRPr="00C14775">
        <w:rPr>
          <w:rFonts w:cs="Arial"/>
          <w:sz w:val="22"/>
        </w:rPr>
        <w:t>I</w:t>
      </w:r>
      <w:r w:rsidRPr="00C14775">
        <w:rPr>
          <w:rFonts w:cs="Arial"/>
          <w:sz w:val="22"/>
        </w:rPr>
        <w:t xml:space="preserve">nventaire national du patrimoine culturel immatériel coordonné par la Direction générale du patrimoine culturel. Toutes les </w:t>
      </w:r>
      <w:r w:rsidR="00A75B64" w:rsidRPr="00C14775">
        <w:rPr>
          <w:rFonts w:cs="Arial"/>
          <w:sz w:val="22"/>
        </w:rPr>
        <w:t xml:space="preserve">exigences </w:t>
      </w:r>
      <w:r w:rsidRPr="00C14775">
        <w:rPr>
          <w:rFonts w:cs="Arial"/>
          <w:sz w:val="22"/>
        </w:rPr>
        <w:t>(participation de la communauté à l</w:t>
      </w:r>
      <w:r w:rsidR="00E93319" w:rsidRPr="00C14775">
        <w:rPr>
          <w:rFonts w:cs="Arial"/>
          <w:sz w:val="22"/>
        </w:rPr>
        <w:t>’</w:t>
      </w:r>
      <w:r w:rsidRPr="00C14775">
        <w:rPr>
          <w:rFonts w:cs="Arial"/>
          <w:sz w:val="22"/>
        </w:rPr>
        <w:t>établissement et à la mise à jour régulière de l</w:t>
      </w:r>
      <w:r w:rsidR="00E93319" w:rsidRPr="00C14775">
        <w:rPr>
          <w:rFonts w:cs="Arial"/>
          <w:sz w:val="22"/>
        </w:rPr>
        <w:t>’</w:t>
      </w:r>
      <w:r w:rsidRPr="00C14775">
        <w:rPr>
          <w:rFonts w:cs="Arial"/>
          <w:sz w:val="22"/>
        </w:rPr>
        <w:t>inventaire) et les preuves documentaires sont suffisamment détaillées.</w:t>
      </w:r>
    </w:p>
    <w:p w:rsidR="00F20A77" w:rsidRPr="00C14775" w:rsidRDefault="008B4CAE" w:rsidP="00470503">
      <w:pPr>
        <w:numPr>
          <w:ilvl w:val="0"/>
          <w:numId w:val="23"/>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Inscrit</w:t>
      </w:r>
      <w:r w:rsidRPr="00C14775">
        <w:rPr>
          <w:rFonts w:cs="Arial"/>
          <w:sz w:val="22"/>
        </w:rPr>
        <w:t xml:space="preserve"> le </w:t>
      </w:r>
      <w:r w:rsidRPr="00C14775">
        <w:rPr>
          <w:rFonts w:cs="Arial"/>
          <w:b/>
          <w:sz w:val="22"/>
        </w:rPr>
        <w:t xml:space="preserve">processus de fabrication de la poterie noire de </w:t>
      </w:r>
      <w:proofErr w:type="spellStart"/>
      <w:r w:rsidRPr="00C14775">
        <w:rPr>
          <w:rFonts w:cs="Arial"/>
          <w:b/>
          <w:sz w:val="22"/>
        </w:rPr>
        <w:t>Bisalhães</w:t>
      </w:r>
      <w:proofErr w:type="spellEnd"/>
      <w:r w:rsidRPr="00C14775">
        <w:rPr>
          <w:rFonts w:cs="Arial"/>
          <w:sz w:val="22"/>
        </w:rPr>
        <w:t xml:space="preserve"> sur la Liste du patrimoine culturel immatériel nécessitant une sauvegarde urgente ;</w:t>
      </w:r>
    </w:p>
    <w:p w:rsidR="008B4CAE" w:rsidRPr="00C14775" w:rsidRDefault="00F20A77" w:rsidP="00470503">
      <w:pPr>
        <w:numPr>
          <w:ilvl w:val="0"/>
          <w:numId w:val="23"/>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Invite</w:t>
      </w:r>
      <w:r w:rsidRPr="00C14775">
        <w:rPr>
          <w:rFonts w:cs="Arial"/>
          <w:sz w:val="22"/>
        </w:rPr>
        <w:t xml:space="preserve"> l</w:t>
      </w:r>
      <w:r w:rsidR="00E93319" w:rsidRPr="00C14775">
        <w:rPr>
          <w:rFonts w:cs="Arial"/>
          <w:sz w:val="22"/>
        </w:rPr>
        <w:t>’</w:t>
      </w:r>
      <w:r w:rsidRPr="00C14775">
        <w:rPr>
          <w:rFonts w:cs="Arial"/>
          <w:sz w:val="22"/>
        </w:rPr>
        <w:t>État soumissionnaire à équilibrer le rôle du conseil municipal et des communautés dans le processus de sauvegarde.</w:t>
      </w:r>
    </w:p>
    <w:p w:rsidR="008B4CAE" w:rsidRPr="00C14775"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sz w:val="22"/>
          <w:szCs w:val="22"/>
        </w:rPr>
      </w:pPr>
      <w:bookmarkStart w:id="9" w:name="DRAFT_DECISION_11COM_10a4"/>
      <w:r w:rsidRPr="00C14775">
        <w:rPr>
          <w:rFonts w:ascii="Arial" w:hAnsi="Arial" w:cs="Arial"/>
          <w:b/>
          <w:sz w:val="22"/>
        </w:rPr>
        <w:t>PROJET DE DÉCISION 11.COM 10.a.4</w:t>
      </w:r>
      <w:bookmarkEnd w:id="9"/>
      <w:r w:rsidR="00AA7D06" w:rsidRPr="00C14775">
        <w:rPr>
          <w:rFonts w:ascii="Arial" w:hAnsi="Arial" w:cs="Arial"/>
          <w:b/>
          <w:sz w:val="22"/>
        </w:rPr>
        <w:tab/>
      </w:r>
      <w:r w:rsidRPr="00C14775">
        <w:rPr>
          <w:rFonts w:ascii="Arial" w:hAnsi="Arial" w:cs="Arial"/>
        </w:rPr>
        <w:tab/>
      </w:r>
      <w:r w:rsidRPr="00C14775">
        <w:rPr>
          <w:rFonts w:ascii="Arial" w:hAnsi="Arial" w:cs="Arial"/>
          <w:noProof/>
          <w:color w:val="0000FF"/>
          <w:sz w:val="22"/>
          <w:szCs w:val="22"/>
          <w:lang w:eastAsia="ko-KR" w:bidi="ar-SA"/>
        </w:rPr>
        <w:drawing>
          <wp:inline distT="0" distB="0" distL="0" distR="0" wp14:anchorId="49728F93" wp14:editId="4AFAE6C0">
            <wp:extent cx="104775" cy="104775"/>
            <wp:effectExtent l="0" t="0" r="9525" b="9525"/>
            <wp:docPr id="5" name="Picture 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8B4CAE" w:rsidRPr="00C14775"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rPr>
      </w:pPr>
      <w:r w:rsidRPr="00C14775">
        <w:rPr>
          <w:rFonts w:ascii="Arial" w:hAnsi="Arial" w:cs="Arial"/>
        </w:rPr>
        <w:t>Le Comité</w:t>
      </w:r>
    </w:p>
    <w:p w:rsidR="008B4CAE" w:rsidRPr="00C14775" w:rsidRDefault="008B4CAE" w:rsidP="00470503">
      <w:pPr>
        <w:numPr>
          <w:ilvl w:val="0"/>
          <w:numId w:val="24"/>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Prend note</w:t>
      </w:r>
      <w:r w:rsidRPr="00C14775">
        <w:rPr>
          <w:rFonts w:cs="Arial"/>
          <w:sz w:val="22"/>
        </w:rPr>
        <w:t xml:space="preserve"> que l</w:t>
      </w:r>
      <w:r w:rsidR="00E93319" w:rsidRPr="00C14775">
        <w:rPr>
          <w:rFonts w:cs="Arial"/>
          <w:sz w:val="22"/>
        </w:rPr>
        <w:t>’</w:t>
      </w:r>
      <w:r w:rsidRPr="00C14775">
        <w:rPr>
          <w:rFonts w:cs="Arial"/>
          <w:sz w:val="22"/>
        </w:rPr>
        <w:t xml:space="preserve">Ouganda a proposé la candidature de </w:t>
      </w:r>
      <w:r w:rsidRPr="00C14775">
        <w:rPr>
          <w:rFonts w:cs="Arial"/>
          <w:b/>
          <w:sz w:val="22"/>
        </w:rPr>
        <w:t>la</w:t>
      </w:r>
      <w:r w:rsidRPr="00C14775">
        <w:rPr>
          <w:rFonts w:cs="Arial"/>
          <w:sz w:val="22"/>
        </w:rPr>
        <w:t xml:space="preserve"> </w:t>
      </w:r>
      <w:r w:rsidRPr="00C14775">
        <w:rPr>
          <w:rFonts w:cs="Arial"/>
          <w:b/>
          <w:sz w:val="22"/>
        </w:rPr>
        <w:t xml:space="preserve">danse et musique de lyre arquée </w:t>
      </w:r>
      <w:proofErr w:type="spellStart"/>
      <w:r w:rsidRPr="00C14775">
        <w:rPr>
          <w:rFonts w:cs="Arial"/>
          <w:b/>
          <w:sz w:val="22"/>
        </w:rPr>
        <w:t>ma</w:t>
      </w:r>
      <w:r w:rsidR="00E93319" w:rsidRPr="00C14775">
        <w:rPr>
          <w:rFonts w:cs="Arial"/>
          <w:b/>
          <w:sz w:val="22"/>
        </w:rPr>
        <w:t>’</w:t>
      </w:r>
      <w:r w:rsidRPr="00C14775">
        <w:rPr>
          <w:rFonts w:cs="Arial"/>
          <w:b/>
          <w:sz w:val="22"/>
        </w:rPr>
        <w:t>di</w:t>
      </w:r>
      <w:proofErr w:type="spellEnd"/>
      <w:r w:rsidRPr="00C14775">
        <w:rPr>
          <w:rFonts w:cs="Arial"/>
          <w:sz w:val="22"/>
        </w:rPr>
        <w:t xml:space="preserve"> (</w:t>
      </w:r>
      <w:r w:rsidR="00127914" w:rsidRPr="00C14775">
        <w:rPr>
          <w:rFonts w:cs="Arial"/>
          <w:sz w:val="22"/>
        </w:rPr>
        <w:t>n</w:t>
      </w:r>
      <w:r w:rsidRPr="00C14775">
        <w:rPr>
          <w:rFonts w:cs="Arial"/>
          <w:sz w:val="22"/>
        </w:rPr>
        <w:t>° 01187) pour inscription sur la Liste du patrimoine culturel immatériel nécessitant une sauvegarde urgente :</w:t>
      </w:r>
    </w:p>
    <w:p w:rsidR="00627004" w:rsidRPr="00C14775" w:rsidRDefault="00627004" w:rsidP="00627004">
      <w:pPr>
        <w:tabs>
          <w:tab w:val="left" w:pos="1134"/>
          <w:tab w:val="left" w:pos="1701"/>
          <w:tab w:val="left" w:pos="2268"/>
        </w:tabs>
        <w:spacing w:before="120" w:after="120"/>
        <w:ind w:left="1134"/>
        <w:jc w:val="both"/>
        <w:rPr>
          <w:rFonts w:cs="Arial"/>
          <w:sz w:val="22"/>
          <w:szCs w:val="22"/>
        </w:rPr>
      </w:pPr>
      <w:r w:rsidRPr="00C14775">
        <w:rPr>
          <w:rFonts w:cs="Arial"/>
          <w:sz w:val="22"/>
        </w:rPr>
        <w:t xml:space="preserve">La danse et la musique de lyre </w:t>
      </w:r>
      <w:r w:rsidR="00A75B64" w:rsidRPr="00C14775">
        <w:rPr>
          <w:rFonts w:cs="Arial"/>
          <w:sz w:val="22"/>
        </w:rPr>
        <w:t xml:space="preserve">arquée </w:t>
      </w:r>
      <w:proofErr w:type="spellStart"/>
      <w:r w:rsidR="00A75B64" w:rsidRPr="00C14775">
        <w:rPr>
          <w:rFonts w:cs="Arial"/>
          <w:sz w:val="22"/>
        </w:rPr>
        <w:t>ma</w:t>
      </w:r>
      <w:r w:rsidR="00E93319" w:rsidRPr="00C14775">
        <w:rPr>
          <w:rFonts w:cs="Arial"/>
          <w:sz w:val="22"/>
        </w:rPr>
        <w:t>’</w:t>
      </w:r>
      <w:r w:rsidR="00A75B64" w:rsidRPr="00C14775">
        <w:rPr>
          <w:rFonts w:cs="Arial"/>
          <w:sz w:val="22"/>
        </w:rPr>
        <w:t>di</w:t>
      </w:r>
      <w:proofErr w:type="spellEnd"/>
      <w:r w:rsidR="00A75B64" w:rsidRPr="00C14775">
        <w:rPr>
          <w:rFonts w:cs="Arial"/>
          <w:sz w:val="22"/>
        </w:rPr>
        <w:t xml:space="preserve"> </w:t>
      </w:r>
      <w:r w:rsidRPr="00C14775">
        <w:rPr>
          <w:rFonts w:cs="Arial"/>
          <w:sz w:val="22"/>
        </w:rPr>
        <w:t xml:space="preserve">est une pratique culturelle des </w:t>
      </w:r>
      <w:r w:rsidR="00A75B64" w:rsidRPr="00C14775">
        <w:rPr>
          <w:rFonts w:cs="Arial"/>
          <w:sz w:val="22"/>
        </w:rPr>
        <w:t>populations</w:t>
      </w:r>
      <w:r w:rsidRPr="00C14775">
        <w:rPr>
          <w:rFonts w:cs="Arial"/>
          <w:sz w:val="22"/>
        </w:rPr>
        <w:t xml:space="preserve"> </w:t>
      </w:r>
      <w:proofErr w:type="spellStart"/>
      <w:r w:rsidRPr="00C14775">
        <w:rPr>
          <w:rFonts w:cs="Arial"/>
          <w:sz w:val="22"/>
        </w:rPr>
        <w:t>madi</w:t>
      </w:r>
      <w:proofErr w:type="spellEnd"/>
      <w:r w:rsidRPr="00C14775">
        <w:rPr>
          <w:rFonts w:cs="Arial"/>
          <w:sz w:val="22"/>
        </w:rPr>
        <w:t xml:space="preserve"> </w:t>
      </w:r>
      <w:r w:rsidR="00A75B64" w:rsidRPr="00C14775">
        <w:rPr>
          <w:rFonts w:cs="Arial"/>
          <w:sz w:val="22"/>
        </w:rPr>
        <w:t xml:space="preserve">en </w:t>
      </w:r>
      <w:r w:rsidRPr="00C14775">
        <w:rPr>
          <w:rFonts w:cs="Arial"/>
          <w:sz w:val="22"/>
        </w:rPr>
        <w:t xml:space="preserve">Ouganda. Transmis par les ancêtres, les chants et les danses traditionnels sont </w:t>
      </w:r>
      <w:r w:rsidR="00003E81" w:rsidRPr="00C14775">
        <w:rPr>
          <w:rFonts w:cs="Arial"/>
          <w:sz w:val="22"/>
        </w:rPr>
        <w:t xml:space="preserve">pratiqués </w:t>
      </w:r>
      <w:r w:rsidRPr="00C14775">
        <w:rPr>
          <w:rFonts w:cs="Arial"/>
          <w:sz w:val="22"/>
        </w:rPr>
        <w:t>à l</w:t>
      </w:r>
      <w:r w:rsidR="00E93319" w:rsidRPr="00C14775">
        <w:rPr>
          <w:rFonts w:cs="Arial"/>
          <w:sz w:val="22"/>
        </w:rPr>
        <w:t>’</w:t>
      </w:r>
      <w:r w:rsidRPr="00C14775">
        <w:rPr>
          <w:rFonts w:cs="Arial"/>
          <w:sz w:val="22"/>
        </w:rPr>
        <w:t>occasion des mariages, des réunions politiques, de</w:t>
      </w:r>
      <w:r w:rsidR="00AA7D06" w:rsidRPr="00C14775">
        <w:rPr>
          <w:rFonts w:cs="Arial"/>
          <w:sz w:val="22"/>
        </w:rPr>
        <w:t xml:space="preserve"> la célébration de</w:t>
      </w:r>
      <w:r w:rsidRPr="00C14775">
        <w:rPr>
          <w:rFonts w:cs="Arial"/>
          <w:sz w:val="22"/>
        </w:rPr>
        <w:t>s bonnes récoltes, pour l</w:t>
      </w:r>
      <w:r w:rsidR="00E93319" w:rsidRPr="00C14775">
        <w:rPr>
          <w:rFonts w:cs="Arial"/>
          <w:sz w:val="22"/>
        </w:rPr>
        <w:t>’</w:t>
      </w:r>
      <w:r w:rsidRPr="00C14775">
        <w:rPr>
          <w:rFonts w:cs="Arial"/>
          <w:sz w:val="22"/>
        </w:rPr>
        <w:t>éducation des enfants, la résolution de conflits ou un deuil</w:t>
      </w:r>
      <w:r w:rsidR="00AA7D06" w:rsidRPr="00C14775">
        <w:rPr>
          <w:rFonts w:cs="Arial"/>
          <w:sz w:val="22"/>
        </w:rPr>
        <w:t xml:space="preserve"> </w:t>
      </w:r>
      <w:r w:rsidR="00A75B64" w:rsidRPr="00C14775">
        <w:rPr>
          <w:rFonts w:cs="Arial"/>
          <w:sz w:val="22"/>
        </w:rPr>
        <w:t>pour des proches disparus</w:t>
      </w:r>
      <w:r w:rsidRPr="00C14775">
        <w:rPr>
          <w:rFonts w:cs="Arial"/>
          <w:sz w:val="22"/>
        </w:rPr>
        <w:t>. Plusieurs rituels sont également associés à la production et à l</w:t>
      </w:r>
      <w:r w:rsidR="00E93319" w:rsidRPr="00C14775">
        <w:rPr>
          <w:rFonts w:cs="Arial"/>
          <w:sz w:val="22"/>
        </w:rPr>
        <w:t>’</w:t>
      </w:r>
      <w:r w:rsidRPr="00C14775">
        <w:rPr>
          <w:rFonts w:cs="Arial"/>
          <w:sz w:val="22"/>
        </w:rPr>
        <w:t>utilisation de la lyre : préparation d</w:t>
      </w:r>
      <w:r w:rsidR="00E93319" w:rsidRPr="00C14775">
        <w:rPr>
          <w:rFonts w:cs="Arial"/>
          <w:sz w:val="22"/>
        </w:rPr>
        <w:t>’</w:t>
      </w:r>
      <w:r w:rsidRPr="00C14775">
        <w:rPr>
          <w:rFonts w:cs="Arial"/>
          <w:sz w:val="22"/>
        </w:rPr>
        <w:t>un repas spécial pour bénir l</w:t>
      </w:r>
      <w:r w:rsidR="00E93319" w:rsidRPr="00C14775">
        <w:rPr>
          <w:rFonts w:cs="Arial"/>
          <w:sz w:val="22"/>
        </w:rPr>
        <w:t>’</w:t>
      </w:r>
      <w:r w:rsidRPr="00C14775">
        <w:rPr>
          <w:rFonts w:cs="Arial"/>
          <w:sz w:val="22"/>
        </w:rPr>
        <w:t>instrument</w:t>
      </w:r>
      <w:r w:rsidR="00003E81" w:rsidRPr="00C14775">
        <w:rPr>
          <w:rFonts w:cs="Arial"/>
          <w:sz w:val="22"/>
        </w:rPr>
        <w:t xml:space="preserve"> en cours de fabrication</w:t>
      </w:r>
      <w:r w:rsidR="00AA7D06" w:rsidRPr="00C14775">
        <w:rPr>
          <w:rFonts w:cs="Arial"/>
          <w:sz w:val="22"/>
        </w:rPr>
        <w:t> ;</w:t>
      </w:r>
      <w:r w:rsidRPr="00C14775">
        <w:rPr>
          <w:rFonts w:cs="Arial"/>
          <w:sz w:val="22"/>
        </w:rPr>
        <w:t xml:space="preserve"> insertion de morceaux de balais et de pierres pris à une </w:t>
      </w:r>
      <w:r w:rsidR="00AA7D06" w:rsidRPr="00C14775">
        <w:rPr>
          <w:rFonts w:cs="Arial"/>
          <w:sz w:val="22"/>
        </w:rPr>
        <w:t>« </w:t>
      </w:r>
      <w:r w:rsidRPr="00C14775">
        <w:rPr>
          <w:rFonts w:cs="Arial"/>
          <w:sz w:val="22"/>
        </w:rPr>
        <w:t>femme querelleuse</w:t>
      </w:r>
      <w:r w:rsidR="00AA7D06" w:rsidRPr="00C14775">
        <w:rPr>
          <w:rFonts w:cs="Arial"/>
          <w:sz w:val="22"/>
        </w:rPr>
        <w:t> »</w:t>
      </w:r>
      <w:r w:rsidRPr="00C14775">
        <w:rPr>
          <w:rFonts w:cs="Arial"/>
          <w:sz w:val="22"/>
        </w:rPr>
        <w:t xml:space="preserve"> dans le corps de l</w:t>
      </w:r>
      <w:r w:rsidR="00E93319" w:rsidRPr="00C14775">
        <w:rPr>
          <w:rFonts w:cs="Arial"/>
          <w:sz w:val="22"/>
        </w:rPr>
        <w:t>’</w:t>
      </w:r>
      <w:r w:rsidRPr="00C14775">
        <w:rPr>
          <w:rFonts w:cs="Arial"/>
          <w:sz w:val="22"/>
        </w:rPr>
        <w:t>instrument avec une prière aux ancêtres pour que l</w:t>
      </w:r>
      <w:r w:rsidR="00E93319" w:rsidRPr="00C14775">
        <w:rPr>
          <w:rFonts w:cs="Arial"/>
          <w:sz w:val="22"/>
        </w:rPr>
        <w:t>’</w:t>
      </w:r>
      <w:r w:rsidRPr="00C14775">
        <w:rPr>
          <w:rFonts w:cs="Arial"/>
          <w:sz w:val="22"/>
        </w:rPr>
        <w:t>instrument reproduise un son similaire</w:t>
      </w:r>
      <w:r w:rsidR="00AA7D06" w:rsidRPr="00C14775">
        <w:rPr>
          <w:rFonts w:cs="Arial"/>
          <w:sz w:val="22"/>
        </w:rPr>
        <w:t> ;</w:t>
      </w:r>
      <w:r w:rsidRPr="00C14775">
        <w:rPr>
          <w:rFonts w:cs="Arial"/>
          <w:sz w:val="22"/>
        </w:rPr>
        <w:t xml:space="preserve"> baptême de l</w:t>
      </w:r>
      <w:r w:rsidR="00E93319" w:rsidRPr="00C14775">
        <w:rPr>
          <w:rFonts w:cs="Arial"/>
          <w:sz w:val="22"/>
        </w:rPr>
        <w:t>’</w:t>
      </w:r>
      <w:r w:rsidRPr="00C14775">
        <w:rPr>
          <w:rFonts w:cs="Arial"/>
          <w:sz w:val="22"/>
        </w:rPr>
        <w:t>instrument et secousse de l</w:t>
      </w:r>
      <w:r w:rsidR="00E93319" w:rsidRPr="00C14775">
        <w:rPr>
          <w:rFonts w:cs="Arial"/>
          <w:sz w:val="22"/>
        </w:rPr>
        <w:t>’</w:t>
      </w:r>
      <w:r w:rsidRPr="00C14775">
        <w:rPr>
          <w:rFonts w:cs="Arial"/>
          <w:sz w:val="22"/>
        </w:rPr>
        <w:t>instrument avant et après en avoir joué en signe de respect. Cette pratique traditionnelle renforce les liens familiaux et l</w:t>
      </w:r>
      <w:r w:rsidR="00E93319" w:rsidRPr="00C14775">
        <w:rPr>
          <w:rFonts w:cs="Arial"/>
          <w:sz w:val="22"/>
        </w:rPr>
        <w:t>’</w:t>
      </w:r>
      <w:r w:rsidRPr="00C14775">
        <w:rPr>
          <w:rFonts w:cs="Arial"/>
          <w:sz w:val="22"/>
        </w:rPr>
        <w:t>unité du clan et transmet aux jeunes générations l</w:t>
      </w:r>
      <w:r w:rsidR="00E93319" w:rsidRPr="00C14775">
        <w:rPr>
          <w:rFonts w:cs="Arial"/>
          <w:sz w:val="22"/>
        </w:rPr>
        <w:t>’</w:t>
      </w:r>
      <w:r w:rsidRPr="00C14775">
        <w:rPr>
          <w:rFonts w:cs="Arial"/>
          <w:sz w:val="22"/>
        </w:rPr>
        <w:t xml:space="preserve">histoire, les valeurs et la culture de la communauté. Les connaissances et savoir-faire associés à la pratique se transmettent </w:t>
      </w:r>
      <w:r w:rsidR="00AA7D06" w:rsidRPr="00C14775">
        <w:rPr>
          <w:rFonts w:cs="Arial"/>
          <w:sz w:val="22"/>
        </w:rPr>
        <w:t>des ainés aux jeunes</w:t>
      </w:r>
      <w:r w:rsidRPr="00C14775">
        <w:rPr>
          <w:rFonts w:cs="Arial"/>
          <w:sz w:val="22"/>
        </w:rPr>
        <w:t>. La survie de la tradition est toutefois menacée, les jeunes générations la jugeant démodée et les matériaux utilisés pour fabriquer l</w:t>
      </w:r>
      <w:r w:rsidR="00E93319" w:rsidRPr="00C14775">
        <w:rPr>
          <w:rFonts w:cs="Arial"/>
          <w:sz w:val="22"/>
        </w:rPr>
        <w:t>’</w:t>
      </w:r>
      <w:r w:rsidRPr="00C14775">
        <w:rPr>
          <w:rFonts w:cs="Arial"/>
          <w:sz w:val="22"/>
        </w:rPr>
        <w:t xml:space="preserve">instrument </w:t>
      </w:r>
      <w:r w:rsidR="00D47EBF">
        <w:rPr>
          <w:rFonts w:cs="Arial"/>
          <w:sz w:val="22"/>
        </w:rPr>
        <w:t>proviennent</w:t>
      </w:r>
      <w:r w:rsidR="00D47EBF" w:rsidRPr="00C14775">
        <w:rPr>
          <w:rFonts w:cs="Arial"/>
          <w:sz w:val="22"/>
        </w:rPr>
        <w:t xml:space="preserve"> </w:t>
      </w:r>
      <w:r w:rsidRPr="00C14775">
        <w:rPr>
          <w:rFonts w:cs="Arial"/>
          <w:sz w:val="22"/>
        </w:rPr>
        <w:t xml:space="preserve">de sources animales et végétales </w:t>
      </w:r>
      <w:r w:rsidR="00D47EBF">
        <w:rPr>
          <w:rFonts w:cs="Arial"/>
          <w:sz w:val="22"/>
        </w:rPr>
        <w:t>menacées</w:t>
      </w:r>
      <w:r w:rsidRPr="00C14775">
        <w:rPr>
          <w:rFonts w:cs="Arial"/>
          <w:sz w:val="22"/>
        </w:rPr>
        <w:t>.</w:t>
      </w:r>
    </w:p>
    <w:p w:rsidR="008B4CAE" w:rsidRPr="00C14775" w:rsidRDefault="008B4CAE" w:rsidP="00470503">
      <w:pPr>
        <w:keepNext/>
        <w:numPr>
          <w:ilvl w:val="0"/>
          <w:numId w:val="24"/>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Décide</w:t>
      </w:r>
      <w:r w:rsidRPr="00C14775">
        <w:rPr>
          <w:rFonts w:cs="Arial"/>
          <w:sz w:val="22"/>
        </w:rPr>
        <w:t xml:space="preserve"> que, d</w:t>
      </w:r>
      <w:r w:rsidR="00E93319" w:rsidRPr="00C14775">
        <w:rPr>
          <w:rFonts w:cs="Arial"/>
          <w:sz w:val="22"/>
        </w:rPr>
        <w:t>’</w:t>
      </w:r>
      <w:r w:rsidRPr="00C14775">
        <w:rPr>
          <w:rFonts w:cs="Arial"/>
          <w:sz w:val="22"/>
        </w:rPr>
        <w:t>après les informations contenues dans le dossier, la candidature satisfait aux critères suivants :</w:t>
      </w:r>
    </w:p>
    <w:p w:rsidR="00AC00D5"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U.1 :</w:t>
      </w:r>
      <w:r w:rsidRPr="00C14775">
        <w:rPr>
          <w:rFonts w:cs="Arial"/>
        </w:rPr>
        <w:tab/>
      </w:r>
      <w:r w:rsidRPr="00C14775">
        <w:rPr>
          <w:rFonts w:cs="Arial"/>
          <w:sz w:val="22"/>
        </w:rPr>
        <w:t xml:space="preserve">Transmises de génération en génération, la danse et la musique de lyre arquée </w:t>
      </w:r>
      <w:proofErr w:type="spellStart"/>
      <w:r w:rsidR="001F06F3" w:rsidRPr="00C14775">
        <w:rPr>
          <w:rFonts w:cs="Arial"/>
          <w:sz w:val="22"/>
        </w:rPr>
        <w:t>m</w:t>
      </w:r>
      <w:r w:rsidRPr="00C14775">
        <w:rPr>
          <w:rFonts w:cs="Arial"/>
          <w:sz w:val="22"/>
        </w:rPr>
        <w:t>a</w:t>
      </w:r>
      <w:r w:rsidR="00E93319" w:rsidRPr="00C14775">
        <w:rPr>
          <w:rFonts w:cs="Arial"/>
          <w:sz w:val="22"/>
        </w:rPr>
        <w:t>’</w:t>
      </w:r>
      <w:r w:rsidRPr="00C14775">
        <w:rPr>
          <w:rFonts w:cs="Arial"/>
          <w:sz w:val="22"/>
        </w:rPr>
        <w:t>di</w:t>
      </w:r>
      <w:proofErr w:type="spellEnd"/>
      <w:r w:rsidRPr="00C14775">
        <w:rPr>
          <w:rFonts w:cs="Arial"/>
          <w:sz w:val="22"/>
        </w:rPr>
        <w:t xml:space="preserve"> jouent un rôle essentiel dans la transmission des normes culturelles, des valeurs communes et de la mémoire collective, en inculquant le sens de l</w:t>
      </w:r>
      <w:r w:rsidR="00E93319" w:rsidRPr="00C14775">
        <w:rPr>
          <w:rFonts w:cs="Arial"/>
          <w:sz w:val="22"/>
        </w:rPr>
        <w:t>’</w:t>
      </w:r>
      <w:r w:rsidRPr="00C14775">
        <w:rPr>
          <w:rFonts w:cs="Arial"/>
          <w:sz w:val="22"/>
        </w:rPr>
        <w:t>effort, la compréhension mutuelle et le respect des anciens</w:t>
      </w:r>
      <w:r w:rsidR="001F06F3" w:rsidRPr="00C14775">
        <w:rPr>
          <w:rFonts w:cs="Arial"/>
          <w:sz w:val="22"/>
        </w:rPr>
        <w:t xml:space="preserve"> parmi les jeunes générations</w:t>
      </w:r>
      <w:r w:rsidRPr="00C14775">
        <w:rPr>
          <w:rFonts w:cs="Arial"/>
          <w:sz w:val="22"/>
        </w:rPr>
        <w:t>. L</w:t>
      </w:r>
      <w:r w:rsidR="00E93319" w:rsidRPr="00C14775">
        <w:rPr>
          <w:rFonts w:cs="Arial"/>
          <w:sz w:val="22"/>
        </w:rPr>
        <w:t>’</w:t>
      </w:r>
      <w:r w:rsidRPr="00C14775">
        <w:rPr>
          <w:rFonts w:cs="Arial"/>
          <w:sz w:val="22"/>
        </w:rPr>
        <w:t>élément revêt également une fonction sociale importante en favorisant la coexistence à travers la résolution des conflits et le renforcement des liens familiaux et claniques ;</w:t>
      </w:r>
    </w:p>
    <w:p w:rsidR="001A78BC" w:rsidRPr="00C14775" w:rsidRDefault="00AC00D5" w:rsidP="0039331A">
      <w:pPr>
        <w:tabs>
          <w:tab w:val="left" w:pos="1134"/>
          <w:tab w:val="left" w:pos="1701"/>
          <w:tab w:val="left" w:pos="2268"/>
        </w:tabs>
        <w:spacing w:before="120" w:after="120"/>
        <w:ind w:left="1701" w:hanging="567"/>
        <w:jc w:val="both"/>
        <w:rPr>
          <w:rFonts w:cs="Arial"/>
          <w:sz w:val="22"/>
          <w:szCs w:val="22"/>
        </w:rPr>
      </w:pPr>
      <w:r w:rsidRPr="00C14775">
        <w:rPr>
          <w:rFonts w:cs="Arial"/>
          <w:sz w:val="22"/>
        </w:rPr>
        <w:t>U.2 :</w:t>
      </w:r>
      <w:r w:rsidRPr="00C14775">
        <w:rPr>
          <w:rFonts w:cs="Arial"/>
        </w:rPr>
        <w:tab/>
      </w:r>
      <w:r w:rsidRPr="00C14775">
        <w:rPr>
          <w:rFonts w:cs="Arial"/>
          <w:sz w:val="22"/>
        </w:rPr>
        <w:t>La continuité de l</w:t>
      </w:r>
      <w:r w:rsidR="00E93319" w:rsidRPr="00C14775">
        <w:rPr>
          <w:rFonts w:cs="Arial"/>
          <w:sz w:val="22"/>
        </w:rPr>
        <w:t>’</w:t>
      </w:r>
      <w:r w:rsidRPr="00C14775">
        <w:rPr>
          <w:rFonts w:cs="Arial"/>
          <w:sz w:val="22"/>
        </w:rPr>
        <w:t xml:space="preserve">élément est menacée par les évolutions socioculturelles consécutives au conflit politique et à la migration de la communauté </w:t>
      </w:r>
      <w:proofErr w:type="spellStart"/>
      <w:r w:rsidRPr="00C14775">
        <w:rPr>
          <w:rFonts w:cs="Arial"/>
          <w:sz w:val="22"/>
        </w:rPr>
        <w:t>madi</w:t>
      </w:r>
      <w:proofErr w:type="spellEnd"/>
      <w:r w:rsidRPr="00C14775">
        <w:rPr>
          <w:rFonts w:cs="Arial"/>
          <w:sz w:val="22"/>
        </w:rPr>
        <w:t xml:space="preserve"> depuis la fin des années 1970. La viabilité de l</w:t>
      </w:r>
      <w:r w:rsidR="00E93319" w:rsidRPr="00C14775">
        <w:rPr>
          <w:rFonts w:cs="Arial"/>
          <w:sz w:val="22"/>
        </w:rPr>
        <w:t>’</w:t>
      </w:r>
      <w:r w:rsidRPr="00C14775">
        <w:rPr>
          <w:rFonts w:cs="Arial"/>
          <w:sz w:val="22"/>
        </w:rPr>
        <w:t xml:space="preserve">élément est également menacée par les changements environnementaux, comme la déforestation, qui détruisent les matières premières nécessaires à la fabrication des instruments utilisés. </w:t>
      </w:r>
      <w:r w:rsidR="001F06F3" w:rsidRPr="00C14775">
        <w:rPr>
          <w:rFonts w:cs="Arial"/>
          <w:sz w:val="22"/>
        </w:rPr>
        <w:t>En outre, l</w:t>
      </w:r>
      <w:r w:rsidRPr="00C14775">
        <w:rPr>
          <w:rFonts w:cs="Arial"/>
          <w:sz w:val="22"/>
        </w:rPr>
        <w:t>a transmission entre les générations est menacée par le désintérêt des jeunes et la baisse du nombre de praticiens, aujourd</w:t>
      </w:r>
      <w:r w:rsidR="00E93319" w:rsidRPr="00C14775">
        <w:rPr>
          <w:rFonts w:cs="Arial"/>
          <w:sz w:val="22"/>
        </w:rPr>
        <w:t>’</w:t>
      </w:r>
      <w:r w:rsidRPr="00C14775">
        <w:rPr>
          <w:rFonts w:cs="Arial"/>
          <w:sz w:val="22"/>
        </w:rPr>
        <w:t>hui limités à une douzaine ;</w:t>
      </w:r>
    </w:p>
    <w:p w:rsidR="0046556C"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U.3 :</w:t>
      </w:r>
      <w:r w:rsidRPr="00C14775">
        <w:rPr>
          <w:rFonts w:cs="Arial"/>
        </w:rPr>
        <w:tab/>
      </w:r>
      <w:r w:rsidRPr="00C14775">
        <w:rPr>
          <w:rFonts w:cs="Arial"/>
          <w:sz w:val="22"/>
        </w:rPr>
        <w:t>Reposant sur les efforts actuels et passés, le plan de sauvegarde proposé cible les menaces identifiées avec différentes activités de sensibilisation, de renforcement des capacités et de conservation des matières premières pour pérenniser la pratique, avec un calendrier réaliste et cohérent et un budget soigneusement défini</w:t>
      </w:r>
      <w:r w:rsidR="001E5A4A" w:rsidRPr="00C14775">
        <w:rPr>
          <w:rFonts w:cs="Arial"/>
          <w:sz w:val="22"/>
        </w:rPr>
        <w:t>.</w:t>
      </w:r>
      <w:r w:rsidRPr="00C14775">
        <w:rPr>
          <w:rFonts w:cs="Arial"/>
          <w:sz w:val="22"/>
        </w:rPr>
        <w:t xml:space="preserve"> </w:t>
      </w:r>
      <w:r w:rsidR="001E5A4A" w:rsidRPr="00C14775">
        <w:rPr>
          <w:rFonts w:cs="Arial"/>
          <w:sz w:val="22"/>
        </w:rPr>
        <w:t>L</w:t>
      </w:r>
      <w:r w:rsidRPr="00C14775">
        <w:rPr>
          <w:rFonts w:cs="Arial"/>
          <w:sz w:val="22"/>
        </w:rPr>
        <w:t xml:space="preserve">a communauté de praticiens est activement impliquée dans </w:t>
      </w:r>
      <w:r w:rsidR="001E5A4A" w:rsidRPr="00C14775">
        <w:rPr>
          <w:rFonts w:cs="Arial"/>
          <w:sz w:val="22"/>
        </w:rPr>
        <w:t>l</w:t>
      </w:r>
      <w:r w:rsidR="00E93319" w:rsidRPr="00C14775">
        <w:rPr>
          <w:rFonts w:cs="Arial"/>
          <w:sz w:val="22"/>
        </w:rPr>
        <w:t>’</w:t>
      </w:r>
      <w:r w:rsidR="001E5A4A" w:rsidRPr="00C14775">
        <w:rPr>
          <w:rFonts w:cs="Arial"/>
          <w:sz w:val="22"/>
        </w:rPr>
        <w:t>élaboration</w:t>
      </w:r>
      <w:r w:rsidRPr="00C14775">
        <w:rPr>
          <w:rFonts w:cs="Arial"/>
          <w:sz w:val="22"/>
        </w:rPr>
        <w:t xml:space="preserve"> et la mise en œuvre du plan de sauvegarde, avec des agents de développement </w:t>
      </w:r>
      <w:r w:rsidR="001E5A4A" w:rsidRPr="00C14775">
        <w:rPr>
          <w:rFonts w:cs="Arial"/>
          <w:sz w:val="22"/>
        </w:rPr>
        <w:t xml:space="preserve">des </w:t>
      </w:r>
      <w:r w:rsidR="00D448BA" w:rsidRPr="00C14775">
        <w:rPr>
          <w:rFonts w:cs="Arial"/>
          <w:sz w:val="22"/>
        </w:rPr>
        <w:t>communautés</w:t>
      </w:r>
      <w:r w:rsidRPr="00C14775">
        <w:rPr>
          <w:rFonts w:cs="Arial"/>
          <w:sz w:val="22"/>
        </w:rPr>
        <w:t xml:space="preserve">, les </w:t>
      </w:r>
      <w:r w:rsidR="001F06F3" w:rsidRPr="00C14775">
        <w:rPr>
          <w:rFonts w:cs="Arial"/>
          <w:sz w:val="22"/>
        </w:rPr>
        <w:t xml:space="preserve">organisations non gouvernementales </w:t>
      </w:r>
      <w:r w:rsidR="00396FE6" w:rsidRPr="00C14775">
        <w:rPr>
          <w:rFonts w:cs="Arial"/>
          <w:sz w:val="22"/>
        </w:rPr>
        <w:t xml:space="preserve">concernées </w:t>
      </w:r>
      <w:r w:rsidRPr="00C14775">
        <w:rPr>
          <w:rFonts w:cs="Arial"/>
          <w:sz w:val="22"/>
        </w:rPr>
        <w:t>et les institutions gouvernementales locales ;</w:t>
      </w:r>
    </w:p>
    <w:p w:rsidR="0092702F"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U.4 :</w:t>
      </w:r>
      <w:r w:rsidRPr="00C14775">
        <w:rPr>
          <w:rFonts w:cs="Arial"/>
        </w:rPr>
        <w:tab/>
      </w:r>
      <w:r w:rsidRPr="00C14775">
        <w:rPr>
          <w:rFonts w:cs="Arial"/>
          <w:sz w:val="22"/>
        </w:rPr>
        <w:t>Le dossier de candidature et les preuves jointes de consentement libre, préalable et éclairé démontrent la participation active de la communauté au sens large, incluant les praticiens, les anciens, les jeunes, les femmes et de nombreuses parties concernées par l</w:t>
      </w:r>
      <w:r w:rsidR="00E93319" w:rsidRPr="00C14775">
        <w:rPr>
          <w:rFonts w:cs="Arial"/>
          <w:sz w:val="22"/>
        </w:rPr>
        <w:t>’</w:t>
      </w:r>
      <w:r w:rsidRPr="00C14775">
        <w:rPr>
          <w:rFonts w:cs="Arial"/>
          <w:sz w:val="22"/>
        </w:rPr>
        <w:t>élément et sa sauvegarde (</w:t>
      </w:r>
      <w:r w:rsidR="001E5A4A" w:rsidRPr="00C14775">
        <w:rPr>
          <w:rFonts w:cs="Arial"/>
          <w:sz w:val="22"/>
        </w:rPr>
        <w:t xml:space="preserve">telles que les </w:t>
      </w:r>
      <w:r w:rsidRPr="00C14775">
        <w:rPr>
          <w:rFonts w:cs="Arial"/>
          <w:sz w:val="22"/>
        </w:rPr>
        <w:t>représentants d</w:t>
      </w:r>
      <w:r w:rsidR="00E93319" w:rsidRPr="00C14775">
        <w:rPr>
          <w:rFonts w:cs="Arial"/>
          <w:sz w:val="22"/>
        </w:rPr>
        <w:t>’</w:t>
      </w:r>
      <w:r w:rsidR="00F45D99" w:rsidRPr="00C14775">
        <w:rPr>
          <w:rFonts w:cs="Arial"/>
          <w:sz w:val="22"/>
        </w:rPr>
        <w:t>organisations non gouvernementales</w:t>
      </w:r>
      <w:r w:rsidRPr="00C14775">
        <w:rPr>
          <w:rFonts w:cs="Arial"/>
          <w:sz w:val="22"/>
        </w:rPr>
        <w:t xml:space="preserve"> et représentants gouvernementaux locaux) ;</w:t>
      </w:r>
    </w:p>
    <w:p w:rsidR="008B4CAE"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U.5 :</w:t>
      </w:r>
      <w:r w:rsidRPr="00C14775">
        <w:rPr>
          <w:rFonts w:cs="Arial"/>
        </w:rPr>
        <w:tab/>
      </w:r>
      <w:r w:rsidRPr="00C14775">
        <w:rPr>
          <w:rFonts w:cs="Arial"/>
          <w:sz w:val="22"/>
        </w:rPr>
        <w:t>L</w:t>
      </w:r>
      <w:r w:rsidR="00E93319" w:rsidRPr="00C14775">
        <w:rPr>
          <w:rFonts w:cs="Arial"/>
          <w:sz w:val="22"/>
        </w:rPr>
        <w:t>’</w:t>
      </w:r>
      <w:r w:rsidRPr="00C14775">
        <w:rPr>
          <w:rFonts w:cs="Arial"/>
          <w:sz w:val="22"/>
        </w:rPr>
        <w:t>élément a été inscrit, en 2014, à l</w:t>
      </w:r>
      <w:r w:rsidR="00E93319" w:rsidRPr="00C14775">
        <w:rPr>
          <w:rFonts w:cs="Arial"/>
          <w:sz w:val="22"/>
        </w:rPr>
        <w:t>’</w:t>
      </w:r>
      <w:r w:rsidRPr="00C14775">
        <w:rPr>
          <w:rFonts w:cs="Arial"/>
          <w:sz w:val="22"/>
        </w:rPr>
        <w:t xml:space="preserve">inventaire, tenu et mis à jour tous les ans par le </w:t>
      </w:r>
      <w:r w:rsidR="00DC5E4C">
        <w:rPr>
          <w:rFonts w:cs="Arial"/>
          <w:sz w:val="22"/>
        </w:rPr>
        <w:t>M</w:t>
      </w:r>
      <w:r w:rsidRPr="00C14775">
        <w:rPr>
          <w:rFonts w:cs="Arial"/>
          <w:sz w:val="22"/>
        </w:rPr>
        <w:t>inistère de l</w:t>
      </w:r>
      <w:r w:rsidR="00E93319" w:rsidRPr="00C14775">
        <w:rPr>
          <w:rFonts w:cs="Arial"/>
          <w:sz w:val="22"/>
        </w:rPr>
        <w:t>’</w:t>
      </w:r>
      <w:r w:rsidR="00DC5E4C">
        <w:rPr>
          <w:rFonts w:cs="Arial"/>
          <w:sz w:val="22"/>
        </w:rPr>
        <w:t>é</w:t>
      </w:r>
      <w:r w:rsidRPr="00C14775">
        <w:rPr>
          <w:rFonts w:cs="Arial"/>
          <w:sz w:val="22"/>
        </w:rPr>
        <w:t xml:space="preserve">galité homme-femme, du </w:t>
      </w:r>
      <w:r w:rsidR="00DC5E4C">
        <w:rPr>
          <w:rFonts w:cs="Arial"/>
          <w:sz w:val="22"/>
        </w:rPr>
        <w:t>t</w:t>
      </w:r>
      <w:r w:rsidRPr="00C14775">
        <w:rPr>
          <w:rFonts w:cs="Arial"/>
          <w:sz w:val="22"/>
        </w:rPr>
        <w:t xml:space="preserve">ravail et du </w:t>
      </w:r>
      <w:r w:rsidR="00DC5E4C">
        <w:rPr>
          <w:rFonts w:cs="Arial"/>
          <w:sz w:val="22"/>
        </w:rPr>
        <w:t>d</w:t>
      </w:r>
      <w:r w:rsidRPr="00C14775">
        <w:rPr>
          <w:rFonts w:cs="Arial"/>
          <w:sz w:val="22"/>
        </w:rPr>
        <w:t xml:space="preserve">éveloppement social, avec la participation de la communauté </w:t>
      </w:r>
      <w:proofErr w:type="spellStart"/>
      <w:r w:rsidRPr="00C14775">
        <w:rPr>
          <w:rFonts w:cs="Arial"/>
          <w:sz w:val="22"/>
        </w:rPr>
        <w:t>madi</w:t>
      </w:r>
      <w:proofErr w:type="spellEnd"/>
      <w:r w:rsidRPr="00C14775">
        <w:rPr>
          <w:rFonts w:cs="Arial"/>
          <w:sz w:val="22"/>
        </w:rPr>
        <w:t xml:space="preserve"> et des parties concernées.</w:t>
      </w:r>
    </w:p>
    <w:p w:rsidR="008B4CAE" w:rsidRPr="00C14775" w:rsidRDefault="008B4CAE" w:rsidP="00470503">
      <w:pPr>
        <w:numPr>
          <w:ilvl w:val="0"/>
          <w:numId w:val="24"/>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Inscrit</w:t>
      </w:r>
      <w:r w:rsidRPr="00C14775">
        <w:rPr>
          <w:rFonts w:cs="Arial"/>
          <w:sz w:val="22"/>
        </w:rPr>
        <w:t xml:space="preserve"> </w:t>
      </w:r>
      <w:r w:rsidRPr="00C14775">
        <w:rPr>
          <w:rFonts w:cs="Arial"/>
          <w:b/>
          <w:sz w:val="22"/>
        </w:rPr>
        <w:t>la</w:t>
      </w:r>
      <w:r w:rsidRPr="00C14775">
        <w:rPr>
          <w:rFonts w:cs="Arial"/>
          <w:sz w:val="22"/>
        </w:rPr>
        <w:t xml:space="preserve"> </w:t>
      </w:r>
      <w:r w:rsidRPr="00C14775">
        <w:rPr>
          <w:rFonts w:cs="Arial"/>
          <w:b/>
          <w:sz w:val="22"/>
        </w:rPr>
        <w:t xml:space="preserve">danse et musique de lyre arquée </w:t>
      </w:r>
      <w:proofErr w:type="spellStart"/>
      <w:r w:rsidRPr="00C14775">
        <w:rPr>
          <w:rFonts w:cs="Arial"/>
          <w:b/>
          <w:sz w:val="22"/>
        </w:rPr>
        <w:t>ma</w:t>
      </w:r>
      <w:r w:rsidR="00E93319" w:rsidRPr="00C14775">
        <w:rPr>
          <w:rFonts w:cs="Arial"/>
          <w:b/>
          <w:sz w:val="22"/>
        </w:rPr>
        <w:t>’</w:t>
      </w:r>
      <w:r w:rsidRPr="00C14775">
        <w:rPr>
          <w:rFonts w:cs="Arial"/>
          <w:b/>
          <w:sz w:val="22"/>
        </w:rPr>
        <w:t>di</w:t>
      </w:r>
      <w:proofErr w:type="spellEnd"/>
      <w:r w:rsidRPr="00C14775">
        <w:rPr>
          <w:rFonts w:cs="Arial"/>
          <w:sz w:val="22"/>
        </w:rPr>
        <w:t xml:space="preserve"> sur la Liste du patrimoine culturel immatériel nécessitant une sauvegarde urgente ;</w:t>
      </w:r>
    </w:p>
    <w:p w:rsidR="00A517A8" w:rsidRPr="00C14775" w:rsidRDefault="00A517A8" w:rsidP="00470503">
      <w:pPr>
        <w:numPr>
          <w:ilvl w:val="0"/>
          <w:numId w:val="24"/>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Félicite</w:t>
      </w:r>
      <w:r w:rsidR="00B949D9" w:rsidRPr="00C14775">
        <w:rPr>
          <w:rFonts w:cs="Arial"/>
          <w:sz w:val="22"/>
        </w:rPr>
        <w:t xml:space="preserve"> </w:t>
      </w:r>
      <w:r w:rsidRPr="00C14775">
        <w:rPr>
          <w:rFonts w:cs="Arial"/>
          <w:sz w:val="22"/>
        </w:rPr>
        <w:t>l</w:t>
      </w:r>
      <w:r w:rsidR="00E93319" w:rsidRPr="00C14775">
        <w:rPr>
          <w:rFonts w:cs="Arial"/>
          <w:sz w:val="22"/>
        </w:rPr>
        <w:t>’</w:t>
      </w:r>
      <w:r w:rsidRPr="00C14775">
        <w:rPr>
          <w:rFonts w:cs="Arial"/>
          <w:sz w:val="22"/>
        </w:rPr>
        <w:t>Ouganda pour la soumission d</w:t>
      </w:r>
      <w:r w:rsidR="00E93319" w:rsidRPr="00C14775">
        <w:rPr>
          <w:rFonts w:cs="Arial"/>
          <w:sz w:val="22"/>
        </w:rPr>
        <w:t>’</w:t>
      </w:r>
      <w:r w:rsidRPr="00C14775">
        <w:rPr>
          <w:rFonts w:cs="Arial"/>
          <w:sz w:val="22"/>
        </w:rPr>
        <w:t>une proposition d</w:t>
      </w:r>
      <w:r w:rsidR="00E93319" w:rsidRPr="00C14775">
        <w:rPr>
          <w:rFonts w:cs="Arial"/>
          <w:sz w:val="22"/>
        </w:rPr>
        <w:t>’</w:t>
      </w:r>
      <w:r w:rsidRPr="00C14775">
        <w:rPr>
          <w:rFonts w:cs="Arial"/>
          <w:sz w:val="22"/>
        </w:rPr>
        <w:t>inscription sur la Liste du patrimoine culturel immatériel nécessitant une sauvegarde urgente suite à l</w:t>
      </w:r>
      <w:r w:rsidR="00E93319" w:rsidRPr="00C14775">
        <w:rPr>
          <w:rFonts w:cs="Arial"/>
          <w:sz w:val="22"/>
        </w:rPr>
        <w:t>’</w:t>
      </w:r>
      <w:r w:rsidRPr="00C14775">
        <w:rPr>
          <w:rFonts w:cs="Arial"/>
          <w:sz w:val="22"/>
        </w:rPr>
        <w:t>assistance préparatoire accordée ;</w:t>
      </w:r>
    </w:p>
    <w:p w:rsidR="00937BDD" w:rsidRPr="00C14775" w:rsidRDefault="00430B83" w:rsidP="00470503">
      <w:pPr>
        <w:numPr>
          <w:ilvl w:val="0"/>
          <w:numId w:val="24"/>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Invite</w:t>
      </w:r>
      <w:r w:rsidRPr="00C14775">
        <w:rPr>
          <w:rFonts w:cs="Arial"/>
          <w:sz w:val="22"/>
        </w:rPr>
        <w:t xml:space="preserve"> l</w:t>
      </w:r>
      <w:r w:rsidR="00E93319" w:rsidRPr="00C14775">
        <w:rPr>
          <w:rFonts w:cs="Arial"/>
          <w:sz w:val="22"/>
        </w:rPr>
        <w:t>’</w:t>
      </w:r>
      <w:r w:rsidRPr="00C14775">
        <w:rPr>
          <w:rFonts w:cs="Arial"/>
          <w:sz w:val="22"/>
        </w:rPr>
        <w:t xml:space="preserve">État soumissionnaire à </w:t>
      </w:r>
      <w:r w:rsidR="00E6635E" w:rsidRPr="00C14775">
        <w:rPr>
          <w:rFonts w:cs="Arial"/>
          <w:sz w:val="22"/>
        </w:rPr>
        <w:t>accorder une attention particulière à la possibilité de</w:t>
      </w:r>
      <w:r w:rsidRPr="00C14775">
        <w:rPr>
          <w:rFonts w:cs="Arial"/>
          <w:sz w:val="22"/>
        </w:rPr>
        <w:t xml:space="preserve"> matériaux alternatifs pour pallier le manque de matières premières nécessaires à l</w:t>
      </w:r>
      <w:r w:rsidR="00E93319" w:rsidRPr="00C14775">
        <w:rPr>
          <w:rFonts w:cs="Arial"/>
          <w:sz w:val="22"/>
        </w:rPr>
        <w:t>’</w:t>
      </w:r>
      <w:r w:rsidRPr="00C14775">
        <w:rPr>
          <w:rFonts w:cs="Arial"/>
          <w:sz w:val="22"/>
        </w:rPr>
        <w:t>élément et à étudier la faisabilité à long terme du plan de sauvegarde pour assurer la viabilité de l</w:t>
      </w:r>
      <w:r w:rsidR="00E93319" w:rsidRPr="00C14775">
        <w:rPr>
          <w:rFonts w:cs="Arial"/>
          <w:sz w:val="22"/>
        </w:rPr>
        <w:t>’</w:t>
      </w:r>
      <w:r w:rsidR="00037342">
        <w:rPr>
          <w:rFonts w:cs="Arial"/>
          <w:sz w:val="22"/>
        </w:rPr>
        <w:t>élément.</w:t>
      </w:r>
    </w:p>
    <w:p w:rsidR="008B4CAE" w:rsidRPr="00C14775" w:rsidRDefault="008B4CAE"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sz w:val="22"/>
          <w:szCs w:val="22"/>
        </w:rPr>
      </w:pPr>
      <w:bookmarkStart w:id="10" w:name="DRAFT_DECISION_11COM_10a5"/>
      <w:r w:rsidRPr="00C14775">
        <w:rPr>
          <w:rFonts w:ascii="Arial" w:hAnsi="Arial" w:cs="Arial"/>
          <w:b/>
          <w:sz w:val="22"/>
        </w:rPr>
        <w:t>PROJET DE DÉCISION 11.COM 10.a.5</w:t>
      </w:r>
      <w:bookmarkEnd w:id="10"/>
      <w:r w:rsidR="00B812C2">
        <w:rPr>
          <w:rFonts w:ascii="Arial" w:eastAsia="Malgun Gothic" w:hAnsi="Arial" w:cs="Arial" w:hint="eastAsia"/>
          <w:b/>
          <w:sz w:val="22"/>
          <w:lang w:eastAsia="ko-KR"/>
        </w:rPr>
        <w:tab/>
      </w:r>
      <w:r w:rsidRPr="00C14775">
        <w:rPr>
          <w:rFonts w:ascii="Arial" w:hAnsi="Arial" w:cs="Arial"/>
        </w:rPr>
        <w:tab/>
      </w:r>
      <w:r w:rsidRPr="00C14775">
        <w:rPr>
          <w:rFonts w:ascii="Arial" w:hAnsi="Arial" w:cs="Arial"/>
          <w:noProof/>
          <w:color w:val="0000FF"/>
          <w:sz w:val="22"/>
          <w:szCs w:val="22"/>
          <w:lang w:eastAsia="ko-KR" w:bidi="ar-SA"/>
        </w:rPr>
        <w:drawing>
          <wp:inline distT="0" distB="0" distL="0" distR="0" wp14:anchorId="16732041" wp14:editId="59A9228C">
            <wp:extent cx="104775" cy="104775"/>
            <wp:effectExtent l="0" t="0" r="9525" b="9525"/>
            <wp:docPr id="6" name="Picture 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8B4CAE" w:rsidRPr="00C14775" w:rsidRDefault="008B4CAE" w:rsidP="00B522FD">
      <w:pPr>
        <w:pStyle w:val="NoSpacing"/>
        <w:keepNext/>
        <w:tabs>
          <w:tab w:val="left" w:pos="567"/>
          <w:tab w:val="left" w:pos="1134"/>
          <w:tab w:val="left" w:pos="1701"/>
          <w:tab w:val="left" w:pos="2268"/>
        </w:tabs>
        <w:spacing w:before="120" w:after="120"/>
        <w:ind w:left="567"/>
        <w:jc w:val="both"/>
        <w:rPr>
          <w:rFonts w:ascii="Arial" w:hAnsi="Arial" w:cs="Arial"/>
        </w:rPr>
      </w:pPr>
      <w:r w:rsidRPr="00C14775">
        <w:rPr>
          <w:rFonts w:ascii="Arial" w:hAnsi="Arial" w:cs="Arial"/>
        </w:rPr>
        <w:t>Le Comité</w:t>
      </w:r>
    </w:p>
    <w:p w:rsidR="008B4CAE" w:rsidRPr="00C14775" w:rsidRDefault="008B4CAE" w:rsidP="00470503">
      <w:pPr>
        <w:numPr>
          <w:ilvl w:val="0"/>
          <w:numId w:val="25"/>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Prend note</w:t>
      </w:r>
      <w:r w:rsidRPr="00C14775">
        <w:rPr>
          <w:rFonts w:cs="Arial"/>
          <w:sz w:val="22"/>
        </w:rPr>
        <w:t xml:space="preserve"> que l</w:t>
      </w:r>
      <w:r w:rsidR="00E93319" w:rsidRPr="00C14775">
        <w:rPr>
          <w:rFonts w:cs="Arial"/>
          <w:sz w:val="22"/>
        </w:rPr>
        <w:t>’</w:t>
      </w:r>
      <w:r w:rsidRPr="00C14775">
        <w:rPr>
          <w:rFonts w:cs="Arial"/>
          <w:sz w:val="22"/>
        </w:rPr>
        <w:t xml:space="preserve">Ukraine a proposé la candidature des </w:t>
      </w:r>
      <w:r w:rsidRPr="00C14775">
        <w:rPr>
          <w:rFonts w:cs="Arial"/>
          <w:b/>
          <w:sz w:val="22"/>
        </w:rPr>
        <w:t>chants cosaques de la région de Dnipropetrovsk</w:t>
      </w:r>
      <w:r w:rsidRPr="00C14775">
        <w:rPr>
          <w:rFonts w:cs="Arial"/>
          <w:sz w:val="22"/>
        </w:rPr>
        <w:t xml:space="preserve"> (</w:t>
      </w:r>
      <w:r w:rsidR="00127914" w:rsidRPr="00C14775">
        <w:rPr>
          <w:rFonts w:cs="Arial"/>
          <w:sz w:val="22"/>
        </w:rPr>
        <w:t>n</w:t>
      </w:r>
      <w:r w:rsidRPr="00C14775">
        <w:rPr>
          <w:rFonts w:cs="Arial"/>
          <w:sz w:val="22"/>
        </w:rPr>
        <w:t>° 01194) pour inscription sur la Liste du patrimoine culturel immatériel nécessitant une sauvegarde urgente :</w:t>
      </w:r>
    </w:p>
    <w:p w:rsidR="00627004" w:rsidRPr="00C14775" w:rsidRDefault="00627004" w:rsidP="00627004">
      <w:pPr>
        <w:pStyle w:val="ListParagraph"/>
        <w:keepNext/>
        <w:tabs>
          <w:tab w:val="left" w:pos="567"/>
          <w:tab w:val="left" w:pos="1134"/>
          <w:tab w:val="left" w:pos="1701"/>
          <w:tab w:val="left" w:pos="2268"/>
        </w:tabs>
        <w:spacing w:before="120" w:after="120"/>
        <w:ind w:left="1134"/>
        <w:jc w:val="both"/>
        <w:rPr>
          <w:rFonts w:ascii="Arial" w:hAnsi="Arial" w:cs="Arial"/>
          <w:sz w:val="22"/>
        </w:rPr>
      </w:pPr>
      <w:r w:rsidRPr="00C14775">
        <w:rPr>
          <w:rFonts w:ascii="Arial" w:hAnsi="Arial" w:cs="Arial"/>
          <w:sz w:val="22"/>
        </w:rPr>
        <w:t>Interprétés par les communautés de la région de Dnipropetrovsk, les chants cosaques racontent la tragédie de la guerre</w:t>
      </w:r>
      <w:r w:rsidR="00E6635E" w:rsidRPr="00C14775">
        <w:rPr>
          <w:rFonts w:ascii="Arial" w:hAnsi="Arial" w:cs="Arial"/>
          <w:sz w:val="22"/>
        </w:rPr>
        <w:t>,</w:t>
      </w:r>
      <w:r w:rsidRPr="00C14775">
        <w:rPr>
          <w:rFonts w:ascii="Arial" w:hAnsi="Arial" w:cs="Arial"/>
          <w:sz w:val="22"/>
        </w:rPr>
        <w:t xml:space="preserve"> </w:t>
      </w:r>
      <w:r w:rsidR="00E6635E" w:rsidRPr="00C14775">
        <w:rPr>
          <w:rFonts w:ascii="Arial" w:hAnsi="Arial" w:cs="Arial"/>
          <w:sz w:val="22"/>
        </w:rPr>
        <w:t>mais aussi</w:t>
      </w:r>
      <w:r w:rsidRPr="00C14775">
        <w:rPr>
          <w:rFonts w:ascii="Arial" w:hAnsi="Arial" w:cs="Arial"/>
          <w:sz w:val="22"/>
        </w:rPr>
        <w:t xml:space="preserve"> les relations personnelles entre soldats cosaques. La tradition est pratiquée par trois groupes différents</w:t>
      </w:r>
      <w:r w:rsidR="00C92061" w:rsidRPr="00C14775">
        <w:rPr>
          <w:rFonts w:ascii="Arial" w:hAnsi="Arial" w:cs="Arial"/>
          <w:sz w:val="22"/>
        </w:rPr>
        <w:t xml:space="preserve"> </w:t>
      </w:r>
      <w:r w:rsidR="00E6635E" w:rsidRPr="00C14775">
        <w:rPr>
          <w:rFonts w:ascii="Arial" w:hAnsi="Arial" w:cs="Arial"/>
          <w:sz w:val="22"/>
        </w:rPr>
        <w:t>d</w:t>
      </w:r>
      <w:r w:rsidR="00E93319" w:rsidRPr="00C14775">
        <w:rPr>
          <w:rFonts w:ascii="Arial" w:hAnsi="Arial" w:cs="Arial"/>
          <w:sz w:val="22"/>
        </w:rPr>
        <w:t>’</w:t>
      </w:r>
      <w:r w:rsidR="00E6635E" w:rsidRPr="00C14775">
        <w:rPr>
          <w:rFonts w:ascii="Arial" w:hAnsi="Arial" w:cs="Arial"/>
          <w:sz w:val="22"/>
        </w:rPr>
        <w:t>interprètes</w:t>
      </w:r>
      <w:r w:rsidRPr="00C14775">
        <w:rPr>
          <w:rFonts w:ascii="Arial" w:hAnsi="Arial" w:cs="Arial"/>
          <w:sz w:val="22"/>
        </w:rPr>
        <w:t xml:space="preserve"> : </w:t>
      </w:r>
      <w:proofErr w:type="spellStart"/>
      <w:r w:rsidRPr="00C14775">
        <w:rPr>
          <w:rFonts w:ascii="Arial" w:hAnsi="Arial" w:cs="Arial"/>
          <w:sz w:val="22"/>
        </w:rPr>
        <w:t>Krynycya</w:t>
      </w:r>
      <w:proofErr w:type="spellEnd"/>
      <w:r w:rsidRPr="00C14775">
        <w:rPr>
          <w:rFonts w:ascii="Arial" w:hAnsi="Arial" w:cs="Arial"/>
          <w:sz w:val="22"/>
        </w:rPr>
        <w:t xml:space="preserve">, </w:t>
      </w:r>
      <w:proofErr w:type="spellStart"/>
      <w:r w:rsidRPr="00C14775">
        <w:rPr>
          <w:rFonts w:ascii="Arial" w:hAnsi="Arial" w:cs="Arial"/>
          <w:sz w:val="22"/>
        </w:rPr>
        <w:t>Boguslavochka</w:t>
      </w:r>
      <w:proofErr w:type="spellEnd"/>
      <w:r w:rsidRPr="00C14775">
        <w:rPr>
          <w:rFonts w:ascii="Arial" w:hAnsi="Arial" w:cs="Arial"/>
          <w:sz w:val="22"/>
        </w:rPr>
        <w:t xml:space="preserve"> et </w:t>
      </w:r>
      <w:proofErr w:type="spellStart"/>
      <w:r w:rsidRPr="00C14775">
        <w:rPr>
          <w:rFonts w:ascii="Arial" w:hAnsi="Arial" w:cs="Arial"/>
          <w:sz w:val="22"/>
        </w:rPr>
        <w:t>Pershocvit</w:t>
      </w:r>
      <w:proofErr w:type="spellEnd"/>
      <w:r w:rsidRPr="00C14775">
        <w:rPr>
          <w:rFonts w:ascii="Arial" w:hAnsi="Arial" w:cs="Arial"/>
          <w:sz w:val="22"/>
        </w:rPr>
        <w:t xml:space="preserve">. Les praticiens chantent pour le plaisir et pour </w:t>
      </w:r>
      <w:r w:rsidR="00E6635E" w:rsidRPr="00C14775">
        <w:rPr>
          <w:rFonts w:ascii="Arial" w:hAnsi="Arial" w:cs="Arial"/>
          <w:sz w:val="22"/>
        </w:rPr>
        <w:t>maintenir un lien avec le</w:t>
      </w:r>
      <w:r w:rsidRPr="00C14775">
        <w:rPr>
          <w:rFonts w:ascii="Arial" w:hAnsi="Arial" w:cs="Arial"/>
          <w:sz w:val="22"/>
        </w:rPr>
        <w:t xml:space="preserve"> passé </w:t>
      </w:r>
      <w:r w:rsidR="00B64E40" w:rsidRPr="00C14775">
        <w:rPr>
          <w:rFonts w:ascii="Arial" w:hAnsi="Arial" w:cs="Arial"/>
          <w:sz w:val="22"/>
        </w:rPr>
        <w:t>(</w:t>
      </w:r>
      <w:r w:rsidRPr="00C14775">
        <w:rPr>
          <w:rFonts w:ascii="Arial" w:hAnsi="Arial" w:cs="Arial"/>
          <w:sz w:val="22"/>
        </w:rPr>
        <w:t>leurs ancêtres et l</w:t>
      </w:r>
      <w:r w:rsidR="00E93319" w:rsidRPr="00C14775">
        <w:rPr>
          <w:rFonts w:ascii="Arial" w:hAnsi="Arial" w:cs="Arial"/>
          <w:sz w:val="22"/>
        </w:rPr>
        <w:t>’</w:t>
      </w:r>
      <w:r w:rsidRPr="00C14775">
        <w:rPr>
          <w:rFonts w:ascii="Arial" w:hAnsi="Arial" w:cs="Arial"/>
          <w:sz w:val="22"/>
        </w:rPr>
        <w:t>histoire de leur communauté</w:t>
      </w:r>
      <w:r w:rsidR="00B64E40" w:rsidRPr="00C14775">
        <w:rPr>
          <w:rFonts w:ascii="Arial" w:hAnsi="Arial" w:cs="Arial"/>
          <w:sz w:val="22"/>
        </w:rPr>
        <w:t>)</w:t>
      </w:r>
      <w:r w:rsidRPr="00C14775">
        <w:rPr>
          <w:rFonts w:ascii="Arial" w:hAnsi="Arial" w:cs="Arial"/>
          <w:sz w:val="22"/>
        </w:rPr>
        <w:t>. Aujourd</w:t>
      </w:r>
      <w:r w:rsidR="00E93319" w:rsidRPr="00C14775">
        <w:rPr>
          <w:rFonts w:ascii="Arial" w:hAnsi="Arial" w:cs="Arial"/>
          <w:sz w:val="22"/>
        </w:rPr>
        <w:t>’</w:t>
      </w:r>
      <w:r w:rsidRPr="00C14775">
        <w:rPr>
          <w:rFonts w:ascii="Arial" w:hAnsi="Arial" w:cs="Arial"/>
          <w:sz w:val="22"/>
        </w:rPr>
        <w:t>hui septuagénaires ou octogénaires, beaucoup de chanteurs, hommes et femmes, ont pratiqué l</w:t>
      </w:r>
      <w:r w:rsidR="00E93319" w:rsidRPr="00C14775">
        <w:rPr>
          <w:rFonts w:ascii="Arial" w:hAnsi="Arial" w:cs="Arial"/>
          <w:sz w:val="22"/>
        </w:rPr>
        <w:t>’</w:t>
      </w:r>
      <w:r w:rsidRPr="00C14775">
        <w:rPr>
          <w:rFonts w:ascii="Arial" w:hAnsi="Arial" w:cs="Arial"/>
          <w:sz w:val="22"/>
        </w:rPr>
        <w:t xml:space="preserve">élément presque toute leur vie. Les groupes sont organisés autour de deux interprètes principaux : le premier connaît toutes les paroles </w:t>
      </w:r>
      <w:r w:rsidR="00E6635E" w:rsidRPr="00C14775">
        <w:rPr>
          <w:rFonts w:ascii="Arial" w:hAnsi="Arial" w:cs="Arial"/>
          <w:sz w:val="22"/>
        </w:rPr>
        <w:t>de la chanson</w:t>
      </w:r>
      <w:r w:rsidRPr="00C14775">
        <w:rPr>
          <w:rFonts w:ascii="Arial" w:hAnsi="Arial" w:cs="Arial"/>
          <w:sz w:val="22"/>
        </w:rPr>
        <w:t xml:space="preserve"> et commence un chant en solo, le second chante seul avec la voix du dessus et le reste du groupe les rejoint (voix médiane ou grave). En l</w:t>
      </w:r>
      <w:r w:rsidR="00E93319" w:rsidRPr="00C14775">
        <w:rPr>
          <w:rFonts w:ascii="Arial" w:hAnsi="Arial" w:cs="Arial"/>
          <w:sz w:val="22"/>
        </w:rPr>
        <w:t>’</w:t>
      </w:r>
      <w:r w:rsidRPr="00C14775">
        <w:rPr>
          <w:rFonts w:ascii="Arial" w:hAnsi="Arial" w:cs="Arial"/>
          <w:sz w:val="22"/>
        </w:rPr>
        <w:t xml:space="preserve">absence de chanteurs masculins, </w:t>
      </w:r>
      <w:r w:rsidR="00632ACA" w:rsidRPr="00C14775">
        <w:rPr>
          <w:rFonts w:ascii="Arial" w:hAnsi="Arial" w:cs="Arial"/>
          <w:sz w:val="22"/>
        </w:rPr>
        <w:t>d</w:t>
      </w:r>
      <w:r w:rsidR="00632ACA">
        <w:rPr>
          <w:rFonts w:ascii="Arial" w:hAnsi="Arial" w:cs="Arial"/>
          <w:sz w:val="22"/>
        </w:rPr>
        <w:t>es</w:t>
      </w:r>
      <w:r w:rsidR="00632ACA" w:rsidRPr="00C14775">
        <w:rPr>
          <w:rFonts w:ascii="Arial" w:hAnsi="Arial" w:cs="Arial"/>
          <w:sz w:val="22"/>
        </w:rPr>
        <w:t xml:space="preserve"> </w:t>
      </w:r>
      <w:r w:rsidRPr="00C14775">
        <w:rPr>
          <w:rFonts w:ascii="Arial" w:hAnsi="Arial" w:cs="Arial"/>
          <w:sz w:val="22"/>
        </w:rPr>
        <w:t xml:space="preserve">membres </w:t>
      </w:r>
      <w:r w:rsidR="00632ACA">
        <w:rPr>
          <w:rFonts w:ascii="Arial" w:hAnsi="Arial" w:cs="Arial"/>
          <w:sz w:val="22"/>
        </w:rPr>
        <w:t xml:space="preserve">féminins </w:t>
      </w:r>
      <w:r w:rsidRPr="00C14775">
        <w:rPr>
          <w:rFonts w:ascii="Arial" w:hAnsi="Arial" w:cs="Arial"/>
          <w:sz w:val="22"/>
        </w:rPr>
        <w:t>du groupe prennent leur place en chantant d</w:t>
      </w:r>
      <w:r w:rsidR="00E93319" w:rsidRPr="00C14775">
        <w:rPr>
          <w:rFonts w:ascii="Arial" w:hAnsi="Arial" w:cs="Arial"/>
          <w:sz w:val="22"/>
        </w:rPr>
        <w:t>’</w:t>
      </w:r>
      <w:r w:rsidRPr="00C14775">
        <w:rPr>
          <w:rFonts w:ascii="Arial" w:hAnsi="Arial" w:cs="Arial"/>
          <w:sz w:val="22"/>
        </w:rPr>
        <w:t xml:space="preserve">une voix plus grave. Les chanteurs se réunissent régulièrement. Ils ne se produisent pas forcément en public mais peuvent parfois donner des concerts. Cette tradition se transmet </w:t>
      </w:r>
      <w:r w:rsidR="00E6635E" w:rsidRPr="00C14775">
        <w:rPr>
          <w:rFonts w:ascii="Arial" w:hAnsi="Arial" w:cs="Arial"/>
          <w:sz w:val="22"/>
        </w:rPr>
        <w:t xml:space="preserve">des plus expérimentés aux plus jeunes </w:t>
      </w:r>
      <w:r w:rsidRPr="00C14775">
        <w:rPr>
          <w:rFonts w:ascii="Arial" w:hAnsi="Arial" w:cs="Arial"/>
          <w:sz w:val="22"/>
        </w:rPr>
        <w:t>au sein des familles. Sa survie est compromise par le vieillissement de la population de détenteurs et le manque de formateurs pour les nouvelles générations.</w:t>
      </w:r>
    </w:p>
    <w:p w:rsidR="008B4CAE" w:rsidRPr="00C14775" w:rsidRDefault="008B4CAE" w:rsidP="00470503">
      <w:pPr>
        <w:keepNext/>
        <w:numPr>
          <w:ilvl w:val="0"/>
          <w:numId w:val="25"/>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Décide</w:t>
      </w:r>
      <w:r w:rsidRPr="00C14775">
        <w:rPr>
          <w:rFonts w:cs="Arial"/>
          <w:sz w:val="22"/>
        </w:rPr>
        <w:t xml:space="preserve"> que, d</w:t>
      </w:r>
      <w:r w:rsidR="00E93319" w:rsidRPr="00C14775">
        <w:rPr>
          <w:rFonts w:cs="Arial"/>
          <w:sz w:val="22"/>
        </w:rPr>
        <w:t>’</w:t>
      </w:r>
      <w:r w:rsidRPr="00C14775">
        <w:rPr>
          <w:rFonts w:cs="Arial"/>
          <w:sz w:val="22"/>
        </w:rPr>
        <w:t>après les informations contenues dans le dossier, la candidature satisfait aux critères suivants :</w:t>
      </w:r>
    </w:p>
    <w:p w:rsidR="00276395"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U.1 :</w:t>
      </w:r>
      <w:r w:rsidRPr="00C14775">
        <w:rPr>
          <w:rFonts w:cs="Arial"/>
        </w:rPr>
        <w:tab/>
      </w:r>
      <w:r w:rsidRPr="00C14775">
        <w:rPr>
          <w:rFonts w:cs="Arial"/>
          <w:sz w:val="22"/>
        </w:rPr>
        <w:t>Interprétés par des chanteurs racontant l</w:t>
      </w:r>
      <w:r w:rsidR="00E93319" w:rsidRPr="00C14775">
        <w:rPr>
          <w:rFonts w:cs="Arial"/>
          <w:sz w:val="22"/>
        </w:rPr>
        <w:t>’</w:t>
      </w:r>
      <w:r w:rsidRPr="00C14775">
        <w:rPr>
          <w:rFonts w:cs="Arial"/>
          <w:sz w:val="22"/>
        </w:rPr>
        <w:t>histoire tragique et héroïque de leur terre, les chants cosaques de la région de Dnipropetrovsk constituent un élément important du patrimoine culturel immatériel de la région, en offrant à la population locale un sentiment d</w:t>
      </w:r>
      <w:r w:rsidR="00E93319" w:rsidRPr="00C14775">
        <w:rPr>
          <w:rFonts w:cs="Arial"/>
          <w:sz w:val="22"/>
        </w:rPr>
        <w:t>’</w:t>
      </w:r>
      <w:r w:rsidRPr="00C14775">
        <w:rPr>
          <w:rFonts w:cs="Arial"/>
          <w:sz w:val="22"/>
        </w:rPr>
        <w:t>identité et de continuité. Les connaissances et savoir-faire sont transmis au sein d</w:t>
      </w:r>
      <w:r w:rsidR="00E93319" w:rsidRPr="00C14775">
        <w:rPr>
          <w:rFonts w:cs="Arial"/>
          <w:sz w:val="22"/>
        </w:rPr>
        <w:t>’</w:t>
      </w:r>
      <w:r w:rsidRPr="00C14775">
        <w:rPr>
          <w:rFonts w:cs="Arial"/>
          <w:sz w:val="22"/>
        </w:rPr>
        <w:t>un groupe de praticiens. L</w:t>
      </w:r>
      <w:r w:rsidR="00E93319" w:rsidRPr="00C14775">
        <w:rPr>
          <w:rFonts w:cs="Arial"/>
          <w:sz w:val="22"/>
        </w:rPr>
        <w:t>’</w:t>
      </w:r>
      <w:r w:rsidRPr="00C14775">
        <w:rPr>
          <w:rFonts w:cs="Arial"/>
          <w:sz w:val="22"/>
        </w:rPr>
        <w:t xml:space="preserve">élément </w:t>
      </w:r>
      <w:r w:rsidR="00B930DF" w:rsidRPr="00C14775">
        <w:rPr>
          <w:rFonts w:cs="Arial"/>
          <w:sz w:val="22"/>
        </w:rPr>
        <w:t>répond</w:t>
      </w:r>
      <w:r w:rsidRPr="00C14775">
        <w:rPr>
          <w:rFonts w:cs="Arial"/>
          <w:sz w:val="22"/>
        </w:rPr>
        <w:t xml:space="preserve"> à l</w:t>
      </w:r>
      <w:r w:rsidR="00E93319" w:rsidRPr="00C14775">
        <w:rPr>
          <w:rFonts w:cs="Arial"/>
          <w:sz w:val="22"/>
        </w:rPr>
        <w:t>’</w:t>
      </w:r>
      <w:r w:rsidRPr="00C14775">
        <w:rPr>
          <w:rFonts w:cs="Arial"/>
          <w:sz w:val="22"/>
        </w:rPr>
        <w:t>exigence du respect mutuel entre communautés, groupes et individus et contribue au développement durable ;</w:t>
      </w:r>
    </w:p>
    <w:p w:rsidR="00214A09"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U.2 :</w:t>
      </w:r>
      <w:r w:rsidRPr="00C14775">
        <w:rPr>
          <w:rFonts w:cs="Arial"/>
        </w:rPr>
        <w:tab/>
      </w:r>
      <w:r w:rsidRPr="00C14775">
        <w:rPr>
          <w:rFonts w:cs="Arial"/>
          <w:sz w:val="22"/>
        </w:rPr>
        <w:t>Le dossier démontre les menaces pesant sur la viabilité de l</w:t>
      </w:r>
      <w:r w:rsidR="00E93319" w:rsidRPr="00C14775">
        <w:rPr>
          <w:rFonts w:cs="Arial"/>
          <w:sz w:val="22"/>
        </w:rPr>
        <w:t>’</w:t>
      </w:r>
      <w:r w:rsidRPr="00C14775">
        <w:rPr>
          <w:rFonts w:cs="Arial"/>
          <w:sz w:val="22"/>
        </w:rPr>
        <w:t xml:space="preserve">élément, seuls trois groupes de chanteurs étant encore actifs. La principale menace concerne la baisse importante du nombre de détenteurs et </w:t>
      </w:r>
      <w:r w:rsidR="008032E9" w:rsidRPr="00C14775">
        <w:rPr>
          <w:rFonts w:cs="Arial"/>
          <w:sz w:val="22"/>
        </w:rPr>
        <w:t>l</w:t>
      </w:r>
      <w:r w:rsidR="00E93319" w:rsidRPr="00C14775">
        <w:rPr>
          <w:rFonts w:cs="Arial"/>
          <w:sz w:val="22"/>
        </w:rPr>
        <w:t>’</w:t>
      </w:r>
      <w:r w:rsidR="008032E9" w:rsidRPr="00C14775">
        <w:rPr>
          <w:rFonts w:cs="Arial"/>
          <w:sz w:val="22"/>
        </w:rPr>
        <w:t>extinction</w:t>
      </w:r>
      <w:r w:rsidRPr="00C14775">
        <w:rPr>
          <w:rFonts w:cs="Arial"/>
          <w:sz w:val="22"/>
        </w:rPr>
        <w:t xml:space="preserve"> </w:t>
      </w:r>
      <w:r w:rsidR="00B930DF" w:rsidRPr="00C14775">
        <w:rPr>
          <w:rFonts w:cs="Arial"/>
          <w:sz w:val="22"/>
        </w:rPr>
        <w:t xml:space="preserve">presque complète </w:t>
      </w:r>
      <w:r w:rsidRPr="00C14775">
        <w:rPr>
          <w:rFonts w:cs="Arial"/>
          <w:sz w:val="22"/>
        </w:rPr>
        <w:t>du processus de transmission intergénérationnelle au sein des groupes de chanteurs. Les autres menaces extérieures indiquées sont plus générales ;</w:t>
      </w:r>
    </w:p>
    <w:p w:rsidR="00AC00D5" w:rsidRPr="00C14775" w:rsidRDefault="00AC00D5" w:rsidP="00927EA9">
      <w:pPr>
        <w:tabs>
          <w:tab w:val="left" w:pos="1134"/>
          <w:tab w:val="left" w:pos="1701"/>
          <w:tab w:val="left" w:pos="2268"/>
        </w:tabs>
        <w:spacing w:before="120" w:after="120"/>
        <w:ind w:left="1701" w:hanging="567"/>
        <w:jc w:val="both"/>
        <w:rPr>
          <w:rFonts w:cs="Arial"/>
          <w:sz w:val="22"/>
          <w:szCs w:val="22"/>
        </w:rPr>
      </w:pPr>
      <w:r w:rsidRPr="00C14775">
        <w:rPr>
          <w:rFonts w:cs="Arial"/>
          <w:sz w:val="22"/>
        </w:rPr>
        <w:t>U.3 :</w:t>
      </w:r>
      <w:r w:rsidRPr="00C14775">
        <w:rPr>
          <w:rFonts w:cs="Arial"/>
        </w:rPr>
        <w:tab/>
      </w:r>
      <w:r w:rsidRPr="00C14775">
        <w:rPr>
          <w:rFonts w:cs="Arial"/>
          <w:sz w:val="22"/>
        </w:rPr>
        <w:t>Le dossier de candidature décrit les efforts déployés pour sauvegarder l</w:t>
      </w:r>
      <w:r w:rsidR="00E93319" w:rsidRPr="00C14775">
        <w:rPr>
          <w:rFonts w:cs="Arial"/>
          <w:sz w:val="22"/>
        </w:rPr>
        <w:t>’</w:t>
      </w:r>
      <w:r w:rsidRPr="00C14775">
        <w:rPr>
          <w:rFonts w:cs="Arial"/>
          <w:sz w:val="22"/>
        </w:rPr>
        <w:t>élément et définit un plan détaillé pour la période à venir, centré autour des trois groupes encore actifs de chanteurs. Les activités proposées sont pertinentes (travail de recherche dans le cadre de l</w:t>
      </w:r>
      <w:r w:rsidR="00E93319" w:rsidRPr="00C14775">
        <w:rPr>
          <w:rFonts w:cs="Arial"/>
          <w:sz w:val="22"/>
        </w:rPr>
        <w:t>’</w:t>
      </w:r>
      <w:r w:rsidRPr="00C14775">
        <w:rPr>
          <w:rFonts w:cs="Arial"/>
          <w:sz w:val="22"/>
        </w:rPr>
        <w:t>identification de l</w:t>
      </w:r>
      <w:r w:rsidR="00E93319" w:rsidRPr="00C14775">
        <w:rPr>
          <w:rFonts w:cs="Arial"/>
          <w:sz w:val="22"/>
        </w:rPr>
        <w:t>’</w:t>
      </w:r>
      <w:r w:rsidRPr="00C14775">
        <w:rPr>
          <w:rFonts w:cs="Arial"/>
          <w:sz w:val="22"/>
        </w:rPr>
        <w:t>élément et organisation de cours, par exemple)</w:t>
      </w:r>
      <w:r w:rsidR="00B930DF" w:rsidRPr="00C14775">
        <w:rPr>
          <w:rFonts w:cs="Arial"/>
          <w:sz w:val="22"/>
        </w:rPr>
        <w:t> ;</w:t>
      </w:r>
    </w:p>
    <w:p w:rsidR="009335DB" w:rsidRPr="00C14775" w:rsidRDefault="00AC00D5"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U.4 :</w:t>
      </w:r>
      <w:r w:rsidRPr="00C14775">
        <w:rPr>
          <w:rFonts w:cs="Arial"/>
        </w:rPr>
        <w:tab/>
      </w:r>
      <w:r w:rsidRPr="00C14775">
        <w:rPr>
          <w:rFonts w:cs="Arial"/>
          <w:sz w:val="22"/>
        </w:rPr>
        <w:t xml:space="preserve">Le dossier de candidature a été préparé en collaboration avec les communautés et les parties concernées, y compris des </w:t>
      </w:r>
      <w:r w:rsidR="00B930DF" w:rsidRPr="00C14775">
        <w:rPr>
          <w:rFonts w:cs="Arial"/>
          <w:sz w:val="22"/>
        </w:rPr>
        <w:t xml:space="preserve">organisations non gouvernementales </w:t>
      </w:r>
      <w:r w:rsidRPr="00C14775">
        <w:rPr>
          <w:rFonts w:cs="Arial"/>
          <w:sz w:val="22"/>
        </w:rPr>
        <w:t>et autorités gouvernementales. Il inclut des attestations de consentement des groupes de détenteurs et indique la nécessité de déclarations standard</w:t>
      </w:r>
      <w:r w:rsidR="008032E9" w:rsidRPr="00C14775">
        <w:rPr>
          <w:rFonts w:cs="Arial"/>
          <w:sz w:val="22"/>
        </w:rPr>
        <w:t>isées</w:t>
      </w:r>
      <w:r w:rsidRPr="00C14775">
        <w:rPr>
          <w:rFonts w:cs="Arial"/>
          <w:sz w:val="22"/>
        </w:rPr>
        <w:t xml:space="preserve"> pour tenir compte des aptitudes des praticiens âgés. Aucune pratique coutumière ne régit l</w:t>
      </w:r>
      <w:r w:rsidR="00E93319" w:rsidRPr="00C14775">
        <w:rPr>
          <w:rFonts w:cs="Arial"/>
          <w:sz w:val="22"/>
        </w:rPr>
        <w:t>’</w:t>
      </w:r>
      <w:r w:rsidRPr="00C14775">
        <w:rPr>
          <w:rFonts w:cs="Arial"/>
          <w:sz w:val="22"/>
        </w:rPr>
        <w:t>accès à l</w:t>
      </w:r>
      <w:r w:rsidR="00E93319" w:rsidRPr="00C14775">
        <w:rPr>
          <w:rFonts w:cs="Arial"/>
          <w:sz w:val="22"/>
        </w:rPr>
        <w:t>’</w:t>
      </w:r>
      <w:r w:rsidRPr="00C14775">
        <w:rPr>
          <w:rFonts w:cs="Arial"/>
          <w:sz w:val="22"/>
        </w:rPr>
        <w:t>élément ;</w:t>
      </w:r>
    </w:p>
    <w:p w:rsidR="006A7327" w:rsidRPr="00C14775" w:rsidRDefault="00AC00D5" w:rsidP="006A7327">
      <w:pPr>
        <w:tabs>
          <w:tab w:val="left" w:pos="1701"/>
          <w:tab w:val="left" w:pos="2268"/>
        </w:tabs>
        <w:spacing w:before="120" w:after="120"/>
        <w:ind w:left="1701" w:hanging="567"/>
        <w:jc w:val="both"/>
        <w:rPr>
          <w:rFonts w:cs="Arial"/>
          <w:bCs/>
          <w:sz w:val="22"/>
          <w:szCs w:val="22"/>
        </w:rPr>
      </w:pPr>
      <w:r w:rsidRPr="00C14775">
        <w:rPr>
          <w:rFonts w:cs="Arial"/>
          <w:sz w:val="22"/>
        </w:rPr>
        <w:t>U.5 :</w:t>
      </w:r>
      <w:r w:rsidRPr="00C14775">
        <w:rPr>
          <w:rFonts w:cs="Arial"/>
        </w:rPr>
        <w:tab/>
      </w:r>
      <w:r w:rsidRPr="00C14775">
        <w:rPr>
          <w:rFonts w:cs="Arial"/>
          <w:sz w:val="22"/>
        </w:rPr>
        <w:t>Le dossier démontre que l</w:t>
      </w:r>
      <w:r w:rsidR="00E93319" w:rsidRPr="00C14775">
        <w:rPr>
          <w:rFonts w:cs="Arial"/>
          <w:sz w:val="22"/>
        </w:rPr>
        <w:t>’</w:t>
      </w:r>
      <w:r w:rsidRPr="00C14775">
        <w:rPr>
          <w:rFonts w:cs="Arial"/>
          <w:sz w:val="22"/>
        </w:rPr>
        <w:t>élément a été inscrit en 2014 à l</w:t>
      </w:r>
      <w:r w:rsidR="00E93319" w:rsidRPr="00C14775">
        <w:rPr>
          <w:rFonts w:cs="Arial"/>
          <w:sz w:val="22"/>
        </w:rPr>
        <w:t>’</w:t>
      </w:r>
      <w:r w:rsidR="008032E9" w:rsidRPr="00C14775">
        <w:rPr>
          <w:rFonts w:cs="Arial"/>
          <w:sz w:val="22"/>
        </w:rPr>
        <w:t>I</w:t>
      </w:r>
      <w:r w:rsidRPr="00C14775">
        <w:rPr>
          <w:rFonts w:cs="Arial"/>
          <w:sz w:val="22"/>
        </w:rPr>
        <w:t>nventaire national du patrimoine culturel immatériel de l</w:t>
      </w:r>
      <w:r w:rsidR="00E93319" w:rsidRPr="00C14775">
        <w:rPr>
          <w:rFonts w:cs="Arial"/>
          <w:sz w:val="22"/>
        </w:rPr>
        <w:t>’</w:t>
      </w:r>
      <w:r w:rsidRPr="00C14775">
        <w:rPr>
          <w:rFonts w:cs="Arial"/>
          <w:sz w:val="22"/>
        </w:rPr>
        <w:t>Ukraine, développé avec la participation active des chercheurs, des praticiens et des représentants d</w:t>
      </w:r>
      <w:r w:rsidR="00E93319" w:rsidRPr="00C14775">
        <w:rPr>
          <w:rFonts w:cs="Arial"/>
          <w:sz w:val="22"/>
        </w:rPr>
        <w:t>’</w:t>
      </w:r>
      <w:r w:rsidRPr="00C14775">
        <w:rPr>
          <w:rFonts w:cs="Arial"/>
          <w:sz w:val="22"/>
        </w:rPr>
        <w:t>organisations non gouvernementales. L</w:t>
      </w:r>
      <w:r w:rsidR="00E93319" w:rsidRPr="00C14775">
        <w:rPr>
          <w:rFonts w:cs="Arial"/>
          <w:sz w:val="22"/>
        </w:rPr>
        <w:t>’</w:t>
      </w:r>
      <w:r w:rsidRPr="00C14775">
        <w:rPr>
          <w:rFonts w:cs="Arial"/>
          <w:sz w:val="22"/>
        </w:rPr>
        <w:t xml:space="preserve">inventaire est tenu et régulièrement mis à jour par le Centre ukrainien des études culturelles du </w:t>
      </w:r>
      <w:r w:rsidR="00DC5E4C">
        <w:rPr>
          <w:rFonts w:cs="Arial"/>
          <w:sz w:val="22"/>
        </w:rPr>
        <w:t>M</w:t>
      </w:r>
      <w:r w:rsidRPr="00C14775">
        <w:rPr>
          <w:rFonts w:cs="Arial"/>
          <w:sz w:val="22"/>
        </w:rPr>
        <w:t xml:space="preserve">inistère de la </w:t>
      </w:r>
      <w:r w:rsidR="00DC5E4C">
        <w:rPr>
          <w:rFonts w:cs="Arial"/>
          <w:sz w:val="22"/>
        </w:rPr>
        <w:t>c</w:t>
      </w:r>
      <w:r w:rsidRPr="00C14775">
        <w:rPr>
          <w:rFonts w:cs="Arial"/>
          <w:sz w:val="22"/>
        </w:rPr>
        <w:t>ulture ukrainien.</w:t>
      </w:r>
    </w:p>
    <w:p w:rsidR="008B4CAE" w:rsidRPr="00C14775" w:rsidRDefault="00AC00D5" w:rsidP="00551BB9">
      <w:pPr>
        <w:numPr>
          <w:ilvl w:val="0"/>
          <w:numId w:val="25"/>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Inscrit</w:t>
      </w:r>
      <w:r w:rsidRPr="00C14775">
        <w:rPr>
          <w:rFonts w:cs="Arial"/>
          <w:sz w:val="22"/>
        </w:rPr>
        <w:t xml:space="preserve"> </w:t>
      </w:r>
      <w:r w:rsidRPr="00C14775">
        <w:rPr>
          <w:rFonts w:cs="Arial"/>
          <w:b/>
          <w:sz w:val="22"/>
        </w:rPr>
        <w:t>les</w:t>
      </w:r>
      <w:r w:rsidRPr="00C14775">
        <w:rPr>
          <w:rFonts w:cs="Arial"/>
          <w:sz w:val="22"/>
        </w:rPr>
        <w:t xml:space="preserve"> </w:t>
      </w:r>
      <w:r w:rsidRPr="00C14775">
        <w:rPr>
          <w:rFonts w:cs="Arial"/>
          <w:b/>
          <w:sz w:val="22"/>
        </w:rPr>
        <w:t>chants cosaques de la région de Dnipropetrovsk</w:t>
      </w:r>
      <w:r w:rsidRPr="00C14775">
        <w:rPr>
          <w:rFonts w:cs="Arial"/>
          <w:sz w:val="22"/>
        </w:rPr>
        <w:t xml:space="preserve"> sur la Liste du patrimoine culturel immatériel nécessitant une sauvegarde urgente ;</w:t>
      </w:r>
    </w:p>
    <w:p w:rsidR="00F17690" w:rsidRPr="00C14775" w:rsidRDefault="00F17690" w:rsidP="00470503">
      <w:pPr>
        <w:pStyle w:val="ListParagraph"/>
        <w:numPr>
          <w:ilvl w:val="0"/>
          <w:numId w:val="25"/>
        </w:numPr>
        <w:tabs>
          <w:tab w:val="left" w:pos="1134"/>
          <w:tab w:val="left" w:pos="1701"/>
          <w:tab w:val="left" w:pos="2268"/>
        </w:tabs>
        <w:spacing w:before="120" w:after="120"/>
        <w:ind w:left="1134" w:hanging="567"/>
        <w:jc w:val="both"/>
        <w:rPr>
          <w:rFonts w:ascii="Arial" w:hAnsi="Arial" w:cs="Arial"/>
          <w:sz w:val="22"/>
          <w:szCs w:val="22"/>
        </w:rPr>
      </w:pPr>
      <w:r w:rsidRPr="00C14775">
        <w:rPr>
          <w:rFonts w:ascii="Arial" w:hAnsi="Arial" w:cs="Arial"/>
          <w:sz w:val="22"/>
          <w:u w:val="single"/>
        </w:rPr>
        <w:t>Rappelle</w:t>
      </w:r>
      <w:r w:rsidRPr="00C14775">
        <w:rPr>
          <w:rFonts w:ascii="Arial" w:hAnsi="Arial" w:cs="Arial"/>
          <w:sz w:val="22"/>
        </w:rPr>
        <w:t xml:space="preserve"> à l</w:t>
      </w:r>
      <w:r w:rsidR="00E93319" w:rsidRPr="00C14775">
        <w:rPr>
          <w:rFonts w:ascii="Arial" w:hAnsi="Arial" w:cs="Arial"/>
          <w:sz w:val="22"/>
        </w:rPr>
        <w:t>’</w:t>
      </w:r>
      <w:r w:rsidRPr="00C14775">
        <w:rPr>
          <w:rFonts w:ascii="Arial" w:hAnsi="Arial" w:cs="Arial"/>
          <w:sz w:val="22"/>
        </w:rPr>
        <w:t>État soumissionnaire l</w:t>
      </w:r>
      <w:r w:rsidR="00E93319" w:rsidRPr="00C14775">
        <w:rPr>
          <w:rFonts w:ascii="Arial" w:hAnsi="Arial" w:cs="Arial"/>
          <w:sz w:val="22"/>
        </w:rPr>
        <w:t>’</w:t>
      </w:r>
      <w:r w:rsidRPr="00C14775">
        <w:rPr>
          <w:rFonts w:ascii="Arial" w:hAnsi="Arial" w:cs="Arial"/>
          <w:sz w:val="22"/>
        </w:rPr>
        <w:t>importance de la participation équilibrée de l</w:t>
      </w:r>
      <w:r w:rsidR="00E93319" w:rsidRPr="00C14775">
        <w:rPr>
          <w:rFonts w:ascii="Arial" w:hAnsi="Arial" w:cs="Arial"/>
          <w:sz w:val="22"/>
        </w:rPr>
        <w:t>’</w:t>
      </w:r>
      <w:r w:rsidRPr="00C14775">
        <w:rPr>
          <w:rFonts w:ascii="Arial" w:hAnsi="Arial" w:cs="Arial"/>
          <w:sz w:val="22"/>
        </w:rPr>
        <w:t>Association ukrainienne des jeunes chercheurs en folklore et des communautés de praticiens aux processus de candidature et de sauvegarde ;</w:t>
      </w:r>
    </w:p>
    <w:p w:rsidR="00D25DAE" w:rsidRPr="00C14775" w:rsidRDefault="00D25DAE" w:rsidP="00470503">
      <w:pPr>
        <w:pStyle w:val="ListParagraph"/>
        <w:numPr>
          <w:ilvl w:val="0"/>
          <w:numId w:val="25"/>
        </w:numPr>
        <w:tabs>
          <w:tab w:val="left" w:pos="1134"/>
          <w:tab w:val="left" w:pos="1701"/>
          <w:tab w:val="left" w:pos="2268"/>
        </w:tabs>
        <w:spacing w:before="120" w:after="120"/>
        <w:ind w:left="1134" w:hanging="567"/>
        <w:jc w:val="both"/>
        <w:rPr>
          <w:rFonts w:ascii="Arial" w:hAnsi="Arial" w:cs="Arial"/>
          <w:sz w:val="22"/>
          <w:szCs w:val="22"/>
        </w:rPr>
      </w:pPr>
      <w:r w:rsidRPr="00C14775">
        <w:rPr>
          <w:rFonts w:ascii="Arial" w:hAnsi="Arial" w:cs="Arial"/>
          <w:sz w:val="22"/>
          <w:u w:val="single"/>
        </w:rPr>
        <w:t>Rappelle en outre</w:t>
      </w:r>
      <w:r w:rsidRPr="00C14775">
        <w:rPr>
          <w:rFonts w:ascii="Arial" w:hAnsi="Arial" w:cs="Arial"/>
          <w:sz w:val="22"/>
        </w:rPr>
        <w:t xml:space="preserve"> à l</w:t>
      </w:r>
      <w:r w:rsidR="00E93319" w:rsidRPr="00C14775">
        <w:rPr>
          <w:rFonts w:ascii="Arial" w:hAnsi="Arial" w:cs="Arial"/>
          <w:sz w:val="22"/>
        </w:rPr>
        <w:t>’</w:t>
      </w:r>
      <w:r w:rsidRPr="00C14775">
        <w:rPr>
          <w:rFonts w:ascii="Arial" w:hAnsi="Arial" w:cs="Arial"/>
          <w:sz w:val="22"/>
        </w:rPr>
        <w:t>État soumissionnaire le besoin de définir clairement les priorités et l</w:t>
      </w:r>
      <w:r w:rsidR="00E93319" w:rsidRPr="00C14775">
        <w:rPr>
          <w:rFonts w:ascii="Arial" w:hAnsi="Arial" w:cs="Arial"/>
          <w:sz w:val="22"/>
        </w:rPr>
        <w:t>’</w:t>
      </w:r>
      <w:r w:rsidR="00B930DF" w:rsidRPr="00C14775">
        <w:rPr>
          <w:rFonts w:ascii="Arial" w:hAnsi="Arial" w:cs="Arial"/>
          <w:sz w:val="22"/>
        </w:rPr>
        <w:t>ordre d</w:t>
      </w:r>
      <w:r w:rsidRPr="00C14775">
        <w:rPr>
          <w:rFonts w:ascii="Arial" w:hAnsi="Arial" w:cs="Arial"/>
          <w:sz w:val="22"/>
        </w:rPr>
        <w:t>es étapes de mise en œuvre dans l</w:t>
      </w:r>
      <w:r w:rsidR="00E93319" w:rsidRPr="00C14775">
        <w:rPr>
          <w:rFonts w:ascii="Arial" w:hAnsi="Arial" w:cs="Arial"/>
          <w:sz w:val="22"/>
        </w:rPr>
        <w:t>’</w:t>
      </w:r>
      <w:r w:rsidRPr="00C14775">
        <w:rPr>
          <w:rFonts w:ascii="Arial" w:hAnsi="Arial" w:cs="Arial"/>
          <w:sz w:val="22"/>
        </w:rPr>
        <w:t>élaboration et la mise en œuvre du plan de sauvegarde proposé et du budget ;</w:t>
      </w:r>
    </w:p>
    <w:p w:rsidR="00F17690" w:rsidRPr="00C14775" w:rsidRDefault="00F17690" w:rsidP="00470503">
      <w:pPr>
        <w:pStyle w:val="ListParagraph"/>
        <w:numPr>
          <w:ilvl w:val="0"/>
          <w:numId w:val="25"/>
        </w:numPr>
        <w:tabs>
          <w:tab w:val="left" w:pos="1134"/>
          <w:tab w:val="left" w:pos="1701"/>
          <w:tab w:val="left" w:pos="2268"/>
        </w:tabs>
        <w:spacing w:before="120" w:after="120"/>
        <w:ind w:left="1134" w:hanging="567"/>
        <w:jc w:val="both"/>
        <w:rPr>
          <w:rFonts w:ascii="Arial" w:hAnsi="Arial" w:cs="Arial"/>
          <w:sz w:val="22"/>
          <w:szCs w:val="22"/>
        </w:rPr>
      </w:pPr>
      <w:r w:rsidRPr="00C14775">
        <w:rPr>
          <w:rFonts w:ascii="Arial" w:hAnsi="Arial" w:cs="Arial"/>
          <w:sz w:val="22"/>
          <w:u w:val="single"/>
        </w:rPr>
        <w:t>Invite</w:t>
      </w:r>
      <w:r w:rsidRPr="00C14775">
        <w:rPr>
          <w:rFonts w:ascii="Arial" w:hAnsi="Arial" w:cs="Arial"/>
          <w:sz w:val="22"/>
        </w:rPr>
        <w:t xml:space="preserve"> l</w:t>
      </w:r>
      <w:r w:rsidR="00E93319" w:rsidRPr="00C14775">
        <w:rPr>
          <w:rFonts w:ascii="Arial" w:hAnsi="Arial" w:cs="Arial"/>
          <w:sz w:val="22"/>
        </w:rPr>
        <w:t>’</w:t>
      </w:r>
      <w:r w:rsidRPr="00C14775">
        <w:rPr>
          <w:rFonts w:ascii="Arial" w:hAnsi="Arial" w:cs="Arial"/>
          <w:sz w:val="22"/>
        </w:rPr>
        <w:t>État soumissionnaire à veiller à la participation des communautés à la mise en œuvre du plan de sauvegarde et à l</w:t>
      </w:r>
      <w:r w:rsidR="00E93319" w:rsidRPr="00C14775">
        <w:rPr>
          <w:rFonts w:ascii="Arial" w:hAnsi="Arial" w:cs="Arial"/>
          <w:sz w:val="22"/>
        </w:rPr>
        <w:t>’</w:t>
      </w:r>
      <w:r w:rsidRPr="00C14775">
        <w:rPr>
          <w:rFonts w:ascii="Arial" w:hAnsi="Arial" w:cs="Arial"/>
          <w:sz w:val="22"/>
        </w:rPr>
        <w:t xml:space="preserve">élaboration des plans futurs et à suivre la hausse du nombre de </w:t>
      </w:r>
      <w:r w:rsidR="00D47EBF">
        <w:rPr>
          <w:rFonts w:ascii="Arial" w:hAnsi="Arial" w:cs="Arial"/>
          <w:sz w:val="22"/>
        </w:rPr>
        <w:t>praticiens</w:t>
      </w:r>
      <w:r w:rsidR="00D47EBF" w:rsidRPr="00C14775">
        <w:rPr>
          <w:rFonts w:ascii="Arial" w:hAnsi="Arial" w:cs="Arial"/>
          <w:sz w:val="22"/>
        </w:rPr>
        <w:t xml:space="preserve"> </w:t>
      </w:r>
      <w:r w:rsidRPr="00C14775">
        <w:rPr>
          <w:rFonts w:ascii="Arial" w:hAnsi="Arial" w:cs="Arial"/>
          <w:sz w:val="22"/>
        </w:rPr>
        <w:t>pour évaluer l</w:t>
      </w:r>
      <w:r w:rsidR="00E93319" w:rsidRPr="00C14775">
        <w:rPr>
          <w:rFonts w:ascii="Arial" w:hAnsi="Arial" w:cs="Arial"/>
          <w:sz w:val="22"/>
        </w:rPr>
        <w:t>’</w:t>
      </w:r>
      <w:r w:rsidRPr="00C14775">
        <w:rPr>
          <w:rFonts w:ascii="Arial" w:hAnsi="Arial" w:cs="Arial"/>
          <w:sz w:val="22"/>
        </w:rPr>
        <w:t>efficacité des mesures proposées ;</w:t>
      </w:r>
    </w:p>
    <w:p w:rsidR="00BD6FD7" w:rsidRPr="00C14775" w:rsidRDefault="00BD6FD7" w:rsidP="00551BB9">
      <w:pPr>
        <w:pStyle w:val="ListParagraph"/>
        <w:numPr>
          <w:ilvl w:val="0"/>
          <w:numId w:val="25"/>
        </w:numPr>
        <w:tabs>
          <w:tab w:val="left" w:pos="1134"/>
          <w:tab w:val="left" w:pos="1701"/>
          <w:tab w:val="left" w:pos="2268"/>
        </w:tabs>
        <w:spacing w:before="120" w:after="120"/>
        <w:ind w:left="1134" w:hanging="567"/>
        <w:jc w:val="both"/>
        <w:rPr>
          <w:rFonts w:ascii="Arial" w:hAnsi="Arial" w:cs="Arial"/>
          <w:sz w:val="22"/>
          <w:szCs w:val="22"/>
        </w:rPr>
      </w:pPr>
      <w:r w:rsidRPr="00C14775">
        <w:rPr>
          <w:rFonts w:ascii="Arial" w:hAnsi="Arial" w:cs="Arial"/>
          <w:sz w:val="22"/>
          <w:u w:val="single"/>
        </w:rPr>
        <w:t>Encourage</w:t>
      </w:r>
      <w:r w:rsidRPr="00C14775">
        <w:rPr>
          <w:rFonts w:ascii="Arial" w:hAnsi="Arial" w:cs="Arial"/>
          <w:sz w:val="22"/>
        </w:rPr>
        <w:t xml:space="preserve"> l</w:t>
      </w:r>
      <w:r w:rsidR="00E93319" w:rsidRPr="00C14775">
        <w:rPr>
          <w:rFonts w:ascii="Arial" w:hAnsi="Arial" w:cs="Arial"/>
          <w:sz w:val="22"/>
        </w:rPr>
        <w:t>’</w:t>
      </w:r>
      <w:r w:rsidRPr="00C14775">
        <w:rPr>
          <w:rFonts w:ascii="Arial" w:hAnsi="Arial" w:cs="Arial"/>
          <w:sz w:val="22"/>
        </w:rPr>
        <w:t xml:space="preserve">État soumissionnaire à </w:t>
      </w:r>
      <w:r w:rsidR="00B930DF" w:rsidRPr="00C14775">
        <w:rPr>
          <w:rFonts w:ascii="Arial" w:hAnsi="Arial" w:cs="Arial"/>
          <w:sz w:val="22"/>
        </w:rPr>
        <w:t xml:space="preserve">fournir </w:t>
      </w:r>
      <w:r w:rsidR="008032E9" w:rsidRPr="00C14775">
        <w:rPr>
          <w:rFonts w:ascii="Arial" w:hAnsi="Arial" w:cs="Arial"/>
          <w:sz w:val="22"/>
        </w:rPr>
        <w:t>une</w:t>
      </w:r>
      <w:r w:rsidR="00B930DF" w:rsidRPr="00C14775">
        <w:rPr>
          <w:rFonts w:ascii="Arial" w:hAnsi="Arial" w:cs="Arial"/>
          <w:sz w:val="22"/>
        </w:rPr>
        <w:t xml:space="preserve"> traduction</w:t>
      </w:r>
      <w:r w:rsidRPr="00C14775">
        <w:rPr>
          <w:rFonts w:ascii="Arial" w:hAnsi="Arial" w:cs="Arial"/>
          <w:sz w:val="22"/>
        </w:rPr>
        <w:t xml:space="preserve"> </w:t>
      </w:r>
      <w:r w:rsidR="00B930DF" w:rsidRPr="00C14775">
        <w:rPr>
          <w:rFonts w:ascii="Arial" w:hAnsi="Arial" w:cs="Arial"/>
          <w:sz w:val="22"/>
        </w:rPr>
        <w:t>d</w:t>
      </w:r>
      <w:r w:rsidRPr="00C14775">
        <w:rPr>
          <w:rFonts w:ascii="Arial" w:hAnsi="Arial" w:cs="Arial"/>
          <w:sz w:val="22"/>
        </w:rPr>
        <w:t xml:space="preserve">es paroles des chants cosaques dans des langues </w:t>
      </w:r>
      <w:r w:rsidR="008032E9" w:rsidRPr="00C14775">
        <w:rPr>
          <w:rFonts w:ascii="Arial" w:hAnsi="Arial" w:cs="Arial"/>
          <w:sz w:val="22"/>
        </w:rPr>
        <w:t xml:space="preserve">répandues, </w:t>
      </w:r>
      <w:r w:rsidRPr="00C14775">
        <w:rPr>
          <w:rFonts w:ascii="Arial" w:hAnsi="Arial" w:cs="Arial"/>
          <w:sz w:val="22"/>
        </w:rPr>
        <w:t>dans le cadre de la promotion de l</w:t>
      </w:r>
      <w:r w:rsidR="00E93319" w:rsidRPr="00C14775">
        <w:rPr>
          <w:rFonts w:ascii="Arial" w:hAnsi="Arial" w:cs="Arial"/>
          <w:sz w:val="22"/>
        </w:rPr>
        <w:t>’</w:t>
      </w:r>
      <w:r w:rsidRPr="00C14775">
        <w:rPr>
          <w:rFonts w:ascii="Arial" w:hAnsi="Arial" w:cs="Arial"/>
          <w:sz w:val="22"/>
        </w:rPr>
        <w:t>élément au niveau international.</w:t>
      </w:r>
    </w:p>
    <w:p w:rsidR="003E6EC3" w:rsidRPr="00C14775" w:rsidRDefault="003E6EC3" w:rsidP="00470503">
      <w:pPr>
        <w:pStyle w:val="NormalWeb"/>
        <w:keepNext/>
        <w:tabs>
          <w:tab w:val="left" w:pos="567"/>
          <w:tab w:val="left" w:pos="1134"/>
          <w:tab w:val="left" w:pos="1701"/>
          <w:tab w:val="left" w:pos="2268"/>
        </w:tabs>
        <w:spacing w:before="360" w:beforeAutospacing="0" w:after="120" w:afterAutospacing="0"/>
        <w:ind w:left="567"/>
        <w:jc w:val="both"/>
        <w:rPr>
          <w:rFonts w:ascii="Arial" w:hAnsi="Arial" w:cs="Arial"/>
          <w:b/>
          <w:sz w:val="22"/>
          <w:szCs w:val="22"/>
        </w:rPr>
      </w:pPr>
      <w:bookmarkStart w:id="11" w:name="DRAFT_DECISION_11COM_10a6"/>
      <w:r w:rsidRPr="00C14775">
        <w:rPr>
          <w:rFonts w:ascii="Arial" w:hAnsi="Arial" w:cs="Arial"/>
          <w:b/>
          <w:sz w:val="22"/>
        </w:rPr>
        <w:t>PROJET DE DÉCISION 11.COM 10.a.6</w:t>
      </w:r>
      <w:r w:rsidRPr="00C14775">
        <w:rPr>
          <w:rFonts w:ascii="Arial" w:hAnsi="Arial" w:cs="Arial"/>
        </w:rPr>
        <w:tab/>
      </w:r>
      <w:r w:rsidR="00B930DF" w:rsidRPr="00C14775">
        <w:rPr>
          <w:rFonts w:ascii="Arial" w:hAnsi="Arial" w:cs="Arial"/>
        </w:rPr>
        <w:tab/>
      </w:r>
      <w:r w:rsidRPr="00C14775">
        <w:rPr>
          <w:rFonts w:ascii="Arial" w:hAnsi="Arial" w:cs="Arial"/>
          <w:noProof/>
          <w:color w:val="0000FF"/>
          <w:sz w:val="22"/>
          <w:szCs w:val="22"/>
          <w:lang w:eastAsia="ko-KR" w:bidi="ar-SA"/>
        </w:rPr>
        <w:drawing>
          <wp:inline distT="0" distB="0" distL="0" distR="0" wp14:anchorId="489F32E5" wp14:editId="1E705376">
            <wp:extent cx="104775" cy="104775"/>
            <wp:effectExtent l="0" t="0" r="9525" b="9525"/>
            <wp:docPr id="7" name="Picture 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bookmarkEnd w:id="11"/>
    <w:p w:rsidR="003E6EC3" w:rsidRPr="00C14775" w:rsidRDefault="003E6EC3" w:rsidP="00B522FD">
      <w:pPr>
        <w:pStyle w:val="NoSpacing"/>
        <w:keepNext/>
        <w:tabs>
          <w:tab w:val="left" w:pos="567"/>
          <w:tab w:val="left" w:pos="1134"/>
          <w:tab w:val="left" w:pos="1701"/>
          <w:tab w:val="left" w:pos="2268"/>
        </w:tabs>
        <w:spacing w:before="120" w:after="120"/>
        <w:ind w:left="567"/>
        <w:jc w:val="both"/>
        <w:rPr>
          <w:rFonts w:ascii="Arial" w:hAnsi="Arial" w:cs="Arial"/>
        </w:rPr>
      </w:pPr>
      <w:r w:rsidRPr="00C14775">
        <w:rPr>
          <w:rFonts w:ascii="Arial" w:hAnsi="Arial" w:cs="Arial"/>
        </w:rPr>
        <w:t>Le Comité</w:t>
      </w:r>
    </w:p>
    <w:p w:rsidR="003E6EC3" w:rsidRPr="00C14775" w:rsidRDefault="003E6EC3" w:rsidP="00470503">
      <w:pPr>
        <w:numPr>
          <w:ilvl w:val="0"/>
          <w:numId w:val="21"/>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Prend note</w:t>
      </w:r>
      <w:r w:rsidRPr="00C14775">
        <w:rPr>
          <w:rFonts w:cs="Arial"/>
          <w:sz w:val="22"/>
        </w:rPr>
        <w:t xml:space="preserve"> que le Cambodge a proposé la candidature du </w:t>
      </w:r>
      <w:proofErr w:type="spellStart"/>
      <w:r w:rsidRPr="00C14775">
        <w:rPr>
          <w:rFonts w:cs="Arial"/>
          <w:b/>
          <w:sz w:val="22"/>
        </w:rPr>
        <w:t>chapei</w:t>
      </w:r>
      <w:proofErr w:type="spellEnd"/>
      <w:r w:rsidRPr="00C14775">
        <w:rPr>
          <w:rFonts w:cs="Arial"/>
          <w:b/>
          <w:sz w:val="22"/>
        </w:rPr>
        <w:t xml:space="preserve"> Dang </w:t>
      </w:r>
      <w:proofErr w:type="spellStart"/>
      <w:r w:rsidRPr="00C14775">
        <w:rPr>
          <w:rFonts w:cs="Arial"/>
          <w:b/>
          <w:sz w:val="22"/>
        </w:rPr>
        <w:t>Veng</w:t>
      </w:r>
      <w:proofErr w:type="spellEnd"/>
      <w:r w:rsidRPr="00C14775">
        <w:rPr>
          <w:rFonts w:cs="Arial"/>
          <w:sz w:val="22"/>
        </w:rPr>
        <w:t xml:space="preserve"> (</w:t>
      </w:r>
      <w:r w:rsidR="00127914" w:rsidRPr="00C14775">
        <w:rPr>
          <w:rFonts w:cs="Arial"/>
          <w:sz w:val="22"/>
        </w:rPr>
        <w:t>n</w:t>
      </w:r>
      <w:r w:rsidRPr="00C14775">
        <w:rPr>
          <w:rFonts w:cs="Arial"/>
          <w:sz w:val="22"/>
        </w:rPr>
        <w:t>° 01165) pour inscription sur la Liste du patrimoine culturel immatériel nécessitant une sauvegarde urgente :</w:t>
      </w:r>
    </w:p>
    <w:p w:rsidR="00627004" w:rsidRPr="00C14775" w:rsidRDefault="00627004" w:rsidP="00627004">
      <w:pPr>
        <w:pStyle w:val="ListParagraph"/>
        <w:tabs>
          <w:tab w:val="left" w:pos="1134"/>
          <w:tab w:val="left" w:pos="1701"/>
          <w:tab w:val="left" w:pos="2268"/>
        </w:tabs>
        <w:spacing w:before="120" w:after="120"/>
        <w:ind w:left="1134"/>
        <w:jc w:val="both"/>
        <w:rPr>
          <w:rFonts w:ascii="Arial" w:hAnsi="Arial" w:cs="Arial"/>
          <w:sz w:val="22"/>
        </w:rPr>
      </w:pPr>
      <w:r w:rsidRPr="00C14775">
        <w:rPr>
          <w:rFonts w:ascii="Arial" w:hAnsi="Arial" w:cs="Arial"/>
          <w:sz w:val="22"/>
        </w:rPr>
        <w:t xml:space="preserve">Le </w:t>
      </w:r>
      <w:proofErr w:type="spellStart"/>
      <w:r w:rsidRPr="00C14775">
        <w:rPr>
          <w:rFonts w:ascii="Arial" w:hAnsi="Arial" w:cs="Arial"/>
          <w:sz w:val="22"/>
        </w:rPr>
        <w:t>chapei</w:t>
      </w:r>
      <w:proofErr w:type="spellEnd"/>
      <w:r w:rsidRPr="00C14775">
        <w:rPr>
          <w:rFonts w:ascii="Arial" w:hAnsi="Arial" w:cs="Arial"/>
          <w:sz w:val="22"/>
        </w:rPr>
        <w:t xml:space="preserve"> Dang </w:t>
      </w:r>
      <w:proofErr w:type="spellStart"/>
      <w:r w:rsidRPr="00C14775">
        <w:rPr>
          <w:rFonts w:ascii="Arial" w:hAnsi="Arial" w:cs="Arial"/>
          <w:sz w:val="22"/>
        </w:rPr>
        <w:t>Veng</w:t>
      </w:r>
      <w:proofErr w:type="spellEnd"/>
      <w:r w:rsidRPr="00C14775">
        <w:rPr>
          <w:rFonts w:ascii="Arial" w:hAnsi="Arial" w:cs="Arial"/>
          <w:sz w:val="22"/>
        </w:rPr>
        <w:t xml:space="preserve"> est une tradition musicale cambodgienne étroitement liée à la vie, aux coutumes et aux croyances de la population</w:t>
      </w:r>
      <w:r w:rsidR="00B930DF" w:rsidRPr="00C14775">
        <w:rPr>
          <w:rFonts w:ascii="Arial" w:hAnsi="Arial" w:cs="Arial"/>
          <w:sz w:val="22"/>
        </w:rPr>
        <w:t xml:space="preserve"> cambodgienne</w:t>
      </w:r>
      <w:r w:rsidRPr="00C14775">
        <w:rPr>
          <w:rFonts w:ascii="Arial" w:hAnsi="Arial" w:cs="Arial"/>
          <w:sz w:val="22"/>
        </w:rPr>
        <w:t xml:space="preserve">. Elle est pratiquée avec un </w:t>
      </w:r>
      <w:proofErr w:type="spellStart"/>
      <w:r w:rsidRPr="00C14775">
        <w:rPr>
          <w:rFonts w:ascii="Arial" w:hAnsi="Arial" w:cs="Arial"/>
          <w:sz w:val="22"/>
        </w:rPr>
        <w:t>chapei</w:t>
      </w:r>
      <w:proofErr w:type="spellEnd"/>
      <w:r w:rsidRPr="00C14775">
        <w:rPr>
          <w:rFonts w:ascii="Arial" w:hAnsi="Arial" w:cs="Arial"/>
          <w:sz w:val="22"/>
        </w:rPr>
        <w:t xml:space="preserve"> (sorte de luth souvent utilisé à l</w:t>
      </w:r>
      <w:r w:rsidR="00E93319" w:rsidRPr="00C14775">
        <w:rPr>
          <w:rFonts w:ascii="Arial" w:hAnsi="Arial" w:cs="Arial"/>
          <w:sz w:val="22"/>
        </w:rPr>
        <w:t>’</w:t>
      </w:r>
      <w:r w:rsidRPr="00C14775">
        <w:rPr>
          <w:rFonts w:ascii="Arial" w:hAnsi="Arial" w:cs="Arial"/>
          <w:sz w:val="22"/>
        </w:rPr>
        <w:t xml:space="preserve">occasion des festivals culturels) accompagné par le chant. Les paroles des chansons </w:t>
      </w:r>
      <w:r w:rsidR="008032E9" w:rsidRPr="00C14775">
        <w:rPr>
          <w:rFonts w:ascii="Arial" w:hAnsi="Arial" w:cs="Arial"/>
          <w:sz w:val="22"/>
        </w:rPr>
        <w:t xml:space="preserve">peuvent être </w:t>
      </w:r>
      <w:r w:rsidRPr="00C14775">
        <w:rPr>
          <w:rFonts w:ascii="Arial" w:hAnsi="Arial" w:cs="Arial"/>
          <w:sz w:val="22"/>
        </w:rPr>
        <w:t>éducatives</w:t>
      </w:r>
      <w:r w:rsidR="00A70FA6" w:rsidRPr="00C14775">
        <w:rPr>
          <w:rFonts w:ascii="Arial" w:hAnsi="Arial" w:cs="Arial"/>
          <w:sz w:val="22"/>
        </w:rPr>
        <w:t xml:space="preserve"> avec une dimension sociale mais aussi </w:t>
      </w:r>
      <w:proofErr w:type="gramStart"/>
      <w:r w:rsidRPr="00C14775">
        <w:rPr>
          <w:rFonts w:ascii="Arial" w:hAnsi="Arial" w:cs="Arial"/>
          <w:sz w:val="22"/>
        </w:rPr>
        <w:t>satiriques</w:t>
      </w:r>
      <w:proofErr w:type="gramEnd"/>
      <w:r w:rsidR="008032E9" w:rsidRPr="00C14775">
        <w:rPr>
          <w:rFonts w:ascii="Arial" w:hAnsi="Arial" w:cs="Arial"/>
          <w:sz w:val="22"/>
        </w:rPr>
        <w:t>, tout</w:t>
      </w:r>
      <w:r w:rsidRPr="00C14775">
        <w:rPr>
          <w:rFonts w:ascii="Arial" w:hAnsi="Arial" w:cs="Arial"/>
          <w:sz w:val="22"/>
        </w:rPr>
        <w:t xml:space="preserve"> en intégrant des poèmes traditionnels, des contes populaires ou des histoires inspirées du bouddhisme. Cette tradition a plusieurs fonctions dans l</w:t>
      </w:r>
      <w:r w:rsidR="00B930DF" w:rsidRPr="00C14775">
        <w:rPr>
          <w:rFonts w:ascii="Arial" w:hAnsi="Arial" w:cs="Arial"/>
          <w:sz w:val="22"/>
        </w:rPr>
        <w:t>es</w:t>
      </w:r>
      <w:r w:rsidRPr="00C14775">
        <w:rPr>
          <w:rFonts w:ascii="Arial" w:hAnsi="Arial" w:cs="Arial"/>
          <w:sz w:val="22"/>
        </w:rPr>
        <w:t xml:space="preserve"> </w:t>
      </w:r>
      <w:r w:rsidR="00B930DF" w:rsidRPr="00C14775">
        <w:rPr>
          <w:rFonts w:ascii="Arial" w:hAnsi="Arial" w:cs="Arial"/>
          <w:sz w:val="22"/>
        </w:rPr>
        <w:t xml:space="preserve">communautés </w:t>
      </w:r>
      <w:r w:rsidRPr="00C14775">
        <w:rPr>
          <w:rFonts w:ascii="Arial" w:hAnsi="Arial" w:cs="Arial"/>
          <w:sz w:val="22"/>
        </w:rPr>
        <w:t>cambodgienne</w:t>
      </w:r>
      <w:r w:rsidR="00B930DF" w:rsidRPr="00C14775">
        <w:rPr>
          <w:rFonts w:ascii="Arial" w:hAnsi="Arial" w:cs="Arial"/>
          <w:sz w:val="22"/>
        </w:rPr>
        <w:t>s</w:t>
      </w:r>
      <w:r w:rsidRPr="00C14775">
        <w:rPr>
          <w:rFonts w:ascii="Arial" w:hAnsi="Arial" w:cs="Arial"/>
          <w:sz w:val="22"/>
        </w:rPr>
        <w:t> : préservation des rituels traditionnels, transmission des connaissances et des valeurs sociales, culturelles et religieuses, exposition à la langue khmère ancienne, création d</w:t>
      </w:r>
      <w:r w:rsidR="00E93319" w:rsidRPr="00C14775">
        <w:rPr>
          <w:rFonts w:ascii="Arial" w:hAnsi="Arial" w:cs="Arial"/>
          <w:sz w:val="22"/>
        </w:rPr>
        <w:t>’</w:t>
      </w:r>
      <w:r w:rsidRPr="00C14775">
        <w:rPr>
          <w:rFonts w:ascii="Arial" w:hAnsi="Arial" w:cs="Arial"/>
          <w:sz w:val="22"/>
        </w:rPr>
        <w:t>un espace d</w:t>
      </w:r>
      <w:r w:rsidR="00E93319" w:rsidRPr="00C14775">
        <w:rPr>
          <w:rFonts w:ascii="Arial" w:hAnsi="Arial" w:cs="Arial"/>
          <w:sz w:val="22"/>
        </w:rPr>
        <w:t>’</w:t>
      </w:r>
      <w:r w:rsidRPr="00C14775">
        <w:rPr>
          <w:rFonts w:ascii="Arial" w:hAnsi="Arial" w:cs="Arial"/>
          <w:sz w:val="22"/>
        </w:rPr>
        <w:t>expression sur les questions sociales et politiques, divertissement, rapprochement des générations et renforcement de la cohésion sociale. La tradition nécessite un talent musical, de l</w:t>
      </w:r>
      <w:r w:rsidR="00E93319" w:rsidRPr="00C14775">
        <w:rPr>
          <w:rFonts w:ascii="Arial" w:hAnsi="Arial" w:cs="Arial"/>
          <w:sz w:val="22"/>
        </w:rPr>
        <w:t>’</w:t>
      </w:r>
      <w:r w:rsidRPr="00C14775">
        <w:rPr>
          <w:rFonts w:ascii="Arial" w:hAnsi="Arial" w:cs="Arial"/>
          <w:sz w:val="22"/>
        </w:rPr>
        <w:t>esprit, des qualités d</w:t>
      </w:r>
      <w:r w:rsidR="00E93319" w:rsidRPr="00C14775">
        <w:rPr>
          <w:rFonts w:ascii="Arial" w:hAnsi="Arial" w:cs="Arial"/>
          <w:sz w:val="22"/>
        </w:rPr>
        <w:t>’</w:t>
      </w:r>
      <w:r w:rsidRPr="00C14775">
        <w:rPr>
          <w:rFonts w:ascii="Arial" w:hAnsi="Arial" w:cs="Arial"/>
          <w:sz w:val="22"/>
        </w:rPr>
        <w:t xml:space="preserve">improvisation et de conteur. Si les praticiens sont souvent des hommes, aucune restriction </w:t>
      </w:r>
      <w:r w:rsidR="00A70FA6" w:rsidRPr="00C14775">
        <w:rPr>
          <w:rFonts w:ascii="Arial" w:hAnsi="Arial" w:cs="Arial"/>
          <w:sz w:val="22"/>
        </w:rPr>
        <w:t xml:space="preserve">de genre </w:t>
      </w:r>
      <w:r w:rsidRPr="00C14775">
        <w:rPr>
          <w:rFonts w:ascii="Arial" w:hAnsi="Arial" w:cs="Arial"/>
          <w:sz w:val="22"/>
        </w:rPr>
        <w:t xml:space="preserve">ne régit la pratique du </w:t>
      </w:r>
      <w:proofErr w:type="spellStart"/>
      <w:r w:rsidRPr="00C14775">
        <w:rPr>
          <w:rFonts w:ascii="Arial" w:hAnsi="Arial" w:cs="Arial"/>
          <w:sz w:val="22"/>
        </w:rPr>
        <w:t>chapei</w:t>
      </w:r>
      <w:proofErr w:type="spellEnd"/>
      <w:r w:rsidRPr="00C14775">
        <w:rPr>
          <w:rFonts w:ascii="Arial" w:hAnsi="Arial" w:cs="Arial"/>
          <w:sz w:val="22"/>
        </w:rPr>
        <w:t>. Transmise oralement au sein des familles et dans le cadre d</w:t>
      </w:r>
      <w:r w:rsidR="00E93319" w:rsidRPr="00C14775">
        <w:rPr>
          <w:rFonts w:ascii="Arial" w:hAnsi="Arial" w:cs="Arial"/>
          <w:sz w:val="22"/>
        </w:rPr>
        <w:t>’</w:t>
      </w:r>
      <w:r w:rsidRPr="00C14775">
        <w:rPr>
          <w:rFonts w:ascii="Arial" w:hAnsi="Arial" w:cs="Arial"/>
          <w:sz w:val="22"/>
        </w:rPr>
        <w:t>une relation</w:t>
      </w:r>
      <w:r w:rsidR="008032E9" w:rsidRPr="00C14775">
        <w:rPr>
          <w:rFonts w:ascii="Arial" w:hAnsi="Arial" w:cs="Arial"/>
          <w:sz w:val="22"/>
        </w:rPr>
        <w:t xml:space="preserve"> informelle</w:t>
      </w:r>
      <w:r w:rsidRPr="00C14775">
        <w:rPr>
          <w:rFonts w:ascii="Arial" w:hAnsi="Arial" w:cs="Arial"/>
          <w:sz w:val="22"/>
        </w:rPr>
        <w:t xml:space="preserve"> maître-apprenti, cette forme artistique est pratiquée par un nombre de plus en plus restreint d</w:t>
      </w:r>
      <w:r w:rsidR="00E93319" w:rsidRPr="00C14775">
        <w:rPr>
          <w:rFonts w:ascii="Arial" w:hAnsi="Arial" w:cs="Arial"/>
          <w:sz w:val="22"/>
        </w:rPr>
        <w:t>’</w:t>
      </w:r>
      <w:r w:rsidRPr="00C14775">
        <w:rPr>
          <w:rFonts w:ascii="Arial" w:hAnsi="Arial" w:cs="Arial"/>
          <w:sz w:val="22"/>
        </w:rPr>
        <w:t xml:space="preserve">artistes. Peu de maîtres sont encore en vie. Le régime khmer rouge a </w:t>
      </w:r>
      <w:r w:rsidR="008032E9" w:rsidRPr="00C14775">
        <w:rPr>
          <w:rFonts w:ascii="Arial" w:hAnsi="Arial" w:cs="Arial"/>
          <w:sz w:val="22"/>
        </w:rPr>
        <w:t xml:space="preserve">décimé </w:t>
      </w:r>
      <w:r w:rsidRPr="00C14775">
        <w:rPr>
          <w:rFonts w:ascii="Arial" w:hAnsi="Arial" w:cs="Arial"/>
          <w:sz w:val="22"/>
        </w:rPr>
        <w:t xml:space="preserve">la population de détenteurs et brisé la transmission de la pratique avec des conséquences à long terme, la tradition </w:t>
      </w:r>
      <w:r w:rsidR="008032E9" w:rsidRPr="00C14775">
        <w:rPr>
          <w:rFonts w:ascii="Arial" w:hAnsi="Arial" w:cs="Arial"/>
          <w:sz w:val="22"/>
        </w:rPr>
        <w:t>pouvant potentiellement disparaitre</w:t>
      </w:r>
      <w:r w:rsidRPr="00C14775">
        <w:rPr>
          <w:rFonts w:ascii="Arial" w:hAnsi="Arial" w:cs="Arial"/>
          <w:sz w:val="22"/>
        </w:rPr>
        <w:t>.</w:t>
      </w:r>
    </w:p>
    <w:p w:rsidR="003E6EC3" w:rsidRPr="00C14775" w:rsidRDefault="003E6EC3" w:rsidP="00470503">
      <w:pPr>
        <w:keepNext/>
        <w:numPr>
          <w:ilvl w:val="0"/>
          <w:numId w:val="21"/>
        </w:numPr>
        <w:tabs>
          <w:tab w:val="left" w:pos="1134"/>
          <w:tab w:val="left" w:pos="1701"/>
          <w:tab w:val="left" w:pos="2268"/>
        </w:tabs>
        <w:spacing w:before="120" w:after="120"/>
        <w:ind w:left="1134" w:hanging="567"/>
        <w:jc w:val="both"/>
        <w:rPr>
          <w:rFonts w:cs="Arial"/>
          <w:sz w:val="22"/>
          <w:szCs w:val="22"/>
        </w:rPr>
      </w:pPr>
      <w:r w:rsidRPr="00C14775">
        <w:rPr>
          <w:rFonts w:cs="Arial"/>
          <w:sz w:val="22"/>
          <w:u w:val="single"/>
        </w:rPr>
        <w:t>Décide</w:t>
      </w:r>
      <w:r w:rsidRPr="00C14775">
        <w:rPr>
          <w:rFonts w:cs="Arial"/>
          <w:sz w:val="22"/>
        </w:rPr>
        <w:t xml:space="preserve"> que, d</w:t>
      </w:r>
      <w:r w:rsidR="00E93319" w:rsidRPr="00C14775">
        <w:rPr>
          <w:rFonts w:cs="Arial"/>
          <w:sz w:val="22"/>
        </w:rPr>
        <w:t>’</w:t>
      </w:r>
      <w:r w:rsidRPr="00C14775">
        <w:rPr>
          <w:rFonts w:cs="Arial"/>
          <w:sz w:val="22"/>
        </w:rPr>
        <w:t>après les informations contenues dans le dossier, la candidature satisfait aux critères suivants</w:t>
      </w:r>
      <w:r w:rsidR="00AF4CFE" w:rsidRPr="00C14775">
        <w:rPr>
          <w:rFonts w:cs="Arial"/>
          <w:sz w:val="22"/>
        </w:rPr>
        <w:t> :</w:t>
      </w:r>
    </w:p>
    <w:p w:rsidR="003E6EC3" w:rsidRPr="00C14775" w:rsidRDefault="003E6EC3" w:rsidP="00927EA9">
      <w:pPr>
        <w:tabs>
          <w:tab w:val="left" w:pos="1134"/>
          <w:tab w:val="left" w:pos="1701"/>
          <w:tab w:val="left" w:pos="2268"/>
        </w:tabs>
        <w:spacing w:before="120" w:after="120"/>
        <w:ind w:left="1701" w:hanging="567"/>
        <w:jc w:val="both"/>
        <w:rPr>
          <w:rFonts w:cs="Arial"/>
          <w:sz w:val="22"/>
          <w:szCs w:val="22"/>
        </w:rPr>
      </w:pPr>
      <w:r w:rsidRPr="00C14775">
        <w:rPr>
          <w:rFonts w:cs="Arial"/>
          <w:sz w:val="22"/>
        </w:rPr>
        <w:t>U.1 :</w:t>
      </w:r>
      <w:r w:rsidRPr="00C14775">
        <w:rPr>
          <w:rFonts w:cs="Arial"/>
        </w:rPr>
        <w:tab/>
      </w:r>
      <w:r w:rsidRPr="00C14775">
        <w:rPr>
          <w:rFonts w:cs="Arial"/>
          <w:sz w:val="22"/>
        </w:rPr>
        <w:t xml:space="preserve">Le </w:t>
      </w:r>
      <w:proofErr w:type="spellStart"/>
      <w:r w:rsidRPr="00C14775">
        <w:rPr>
          <w:rFonts w:cs="Arial"/>
          <w:sz w:val="22"/>
        </w:rPr>
        <w:t>chapei</w:t>
      </w:r>
      <w:proofErr w:type="spellEnd"/>
      <w:r w:rsidRPr="00C14775">
        <w:rPr>
          <w:rFonts w:cs="Arial"/>
          <w:sz w:val="22"/>
        </w:rPr>
        <w:t xml:space="preserve"> Dang </w:t>
      </w:r>
      <w:proofErr w:type="spellStart"/>
      <w:r w:rsidRPr="00C14775">
        <w:rPr>
          <w:rFonts w:cs="Arial"/>
          <w:sz w:val="22"/>
        </w:rPr>
        <w:t>Veng</w:t>
      </w:r>
      <w:proofErr w:type="spellEnd"/>
      <w:r w:rsidRPr="00C14775">
        <w:rPr>
          <w:rFonts w:cs="Arial"/>
          <w:sz w:val="22"/>
        </w:rPr>
        <w:t xml:space="preserve"> est décrit comme un élément du patrimoine culturel immatériel de plusieurs communautés cambodgiennes. Cette tradition musicale populaire repose sur l</w:t>
      </w:r>
      <w:r w:rsidR="00E93319" w:rsidRPr="00C14775">
        <w:rPr>
          <w:rFonts w:cs="Arial"/>
          <w:sz w:val="22"/>
        </w:rPr>
        <w:t>’</w:t>
      </w:r>
      <w:r w:rsidRPr="00C14775">
        <w:rPr>
          <w:rFonts w:cs="Arial"/>
          <w:sz w:val="22"/>
        </w:rPr>
        <w:t>utilisation d</w:t>
      </w:r>
      <w:r w:rsidR="00E93319" w:rsidRPr="00C14775">
        <w:rPr>
          <w:rFonts w:cs="Arial"/>
          <w:sz w:val="22"/>
        </w:rPr>
        <w:t>’</w:t>
      </w:r>
      <w:r w:rsidRPr="00C14775">
        <w:rPr>
          <w:rFonts w:cs="Arial"/>
          <w:sz w:val="22"/>
        </w:rPr>
        <w:t xml:space="preserve">un luth (le </w:t>
      </w:r>
      <w:proofErr w:type="spellStart"/>
      <w:r w:rsidRPr="00C14775">
        <w:rPr>
          <w:rFonts w:cs="Arial"/>
          <w:sz w:val="22"/>
        </w:rPr>
        <w:t>chapei</w:t>
      </w:r>
      <w:proofErr w:type="spellEnd"/>
      <w:r w:rsidRPr="00C14775">
        <w:rPr>
          <w:rFonts w:cs="Arial"/>
          <w:sz w:val="22"/>
        </w:rPr>
        <w:t>). La candidature montre que l</w:t>
      </w:r>
      <w:r w:rsidR="00E93319" w:rsidRPr="00C14775">
        <w:rPr>
          <w:rFonts w:cs="Arial"/>
          <w:sz w:val="22"/>
        </w:rPr>
        <w:t>’</w:t>
      </w:r>
      <w:r w:rsidRPr="00C14775">
        <w:rPr>
          <w:rFonts w:cs="Arial"/>
          <w:sz w:val="22"/>
        </w:rPr>
        <w:t xml:space="preserve">élément est essentiel à la vie, aux coutumes et aux croyances traditionnelles des communautés locales. Il a plusieurs fonctions sociales comme le divertissement, le renforcement de la cohésion </w:t>
      </w:r>
      <w:r w:rsidR="008032E9" w:rsidRPr="00C14775">
        <w:rPr>
          <w:rFonts w:cs="Arial"/>
          <w:sz w:val="22"/>
        </w:rPr>
        <w:t xml:space="preserve">des communautés </w:t>
      </w:r>
      <w:r w:rsidRPr="00C14775">
        <w:rPr>
          <w:rFonts w:cs="Arial"/>
          <w:sz w:val="22"/>
        </w:rPr>
        <w:t xml:space="preserve">et la transmission des connaissances et des valeurs sociales, culturelles et religieuses. Le </w:t>
      </w:r>
      <w:proofErr w:type="spellStart"/>
      <w:r w:rsidRPr="00C14775">
        <w:rPr>
          <w:rFonts w:cs="Arial"/>
          <w:sz w:val="22"/>
        </w:rPr>
        <w:t>chapei</w:t>
      </w:r>
      <w:proofErr w:type="spellEnd"/>
      <w:r w:rsidRPr="00C14775">
        <w:rPr>
          <w:rFonts w:cs="Arial"/>
          <w:sz w:val="22"/>
        </w:rPr>
        <w:t xml:space="preserve"> est transmis oralement au sein du cer</w:t>
      </w:r>
      <w:r w:rsidR="00E93319" w:rsidRPr="00C14775">
        <w:rPr>
          <w:rFonts w:cs="Arial"/>
          <w:sz w:val="22"/>
        </w:rPr>
        <w:t>cle familial et dans le cadre d’</w:t>
      </w:r>
      <w:r w:rsidRPr="00C14775">
        <w:rPr>
          <w:rFonts w:cs="Arial"/>
          <w:sz w:val="22"/>
        </w:rPr>
        <w:t>une relation maître-apprenti ;</w:t>
      </w:r>
    </w:p>
    <w:p w:rsidR="003E6EC3" w:rsidRPr="00C14775" w:rsidRDefault="003E6EC3" w:rsidP="00927EA9">
      <w:pPr>
        <w:tabs>
          <w:tab w:val="left" w:pos="1134"/>
          <w:tab w:val="left" w:pos="1701"/>
          <w:tab w:val="left" w:pos="2268"/>
        </w:tabs>
        <w:spacing w:before="120" w:after="120"/>
        <w:ind w:left="1701" w:hanging="567"/>
        <w:jc w:val="both"/>
        <w:rPr>
          <w:rFonts w:cs="Arial"/>
          <w:sz w:val="22"/>
          <w:szCs w:val="22"/>
        </w:rPr>
      </w:pPr>
      <w:r w:rsidRPr="00C14775">
        <w:rPr>
          <w:rFonts w:cs="Arial"/>
          <w:sz w:val="22"/>
        </w:rPr>
        <w:t>U.2 :</w:t>
      </w:r>
      <w:r w:rsidRPr="00C14775">
        <w:rPr>
          <w:rFonts w:cs="Arial"/>
        </w:rPr>
        <w:tab/>
      </w:r>
      <w:r w:rsidRPr="00C14775">
        <w:rPr>
          <w:rFonts w:cs="Arial"/>
          <w:sz w:val="22"/>
        </w:rPr>
        <w:t>Le dossier démontre la nécessité d</w:t>
      </w:r>
      <w:r w:rsidR="00E93319" w:rsidRPr="00C14775">
        <w:rPr>
          <w:rFonts w:cs="Arial"/>
          <w:sz w:val="22"/>
        </w:rPr>
        <w:t>’</w:t>
      </w:r>
      <w:r w:rsidRPr="00C14775">
        <w:rPr>
          <w:rFonts w:cs="Arial"/>
          <w:sz w:val="22"/>
        </w:rPr>
        <w:t>une sauvegarde urgente malgré les efforts accomplis par les détenteurs et praticiens. L</w:t>
      </w:r>
      <w:r w:rsidR="00E93319" w:rsidRPr="00C14775">
        <w:rPr>
          <w:rFonts w:cs="Arial"/>
          <w:sz w:val="22"/>
        </w:rPr>
        <w:t>’</w:t>
      </w:r>
      <w:r w:rsidRPr="00C14775">
        <w:rPr>
          <w:rFonts w:cs="Arial"/>
          <w:sz w:val="22"/>
        </w:rPr>
        <w:t xml:space="preserve">élément est menacé par la réduction du nombre de maîtres, aggravée par la concentration des artistes dans les zones urbaines, le désintérêt des jeunes, la difficulté à gagner sa vie en pratiquant </w:t>
      </w:r>
      <w:r w:rsidR="00320DE3" w:rsidRPr="00C14775">
        <w:rPr>
          <w:rFonts w:cs="Arial"/>
          <w:sz w:val="22"/>
        </w:rPr>
        <w:t xml:space="preserve">le </w:t>
      </w:r>
      <w:proofErr w:type="spellStart"/>
      <w:r w:rsidR="00320DE3" w:rsidRPr="00C14775">
        <w:rPr>
          <w:rFonts w:cs="Arial"/>
          <w:sz w:val="22"/>
        </w:rPr>
        <w:t>chapei</w:t>
      </w:r>
      <w:proofErr w:type="spellEnd"/>
      <w:r w:rsidRPr="00C14775">
        <w:rPr>
          <w:rFonts w:cs="Arial"/>
          <w:sz w:val="22"/>
        </w:rPr>
        <w:t xml:space="preserve"> et le manque de recherche et de documentation, </w:t>
      </w:r>
      <w:r w:rsidR="00CF0AB5" w:rsidRPr="00C14775">
        <w:rPr>
          <w:rFonts w:cs="Arial"/>
          <w:sz w:val="22"/>
        </w:rPr>
        <w:t xml:space="preserve">ce </w:t>
      </w:r>
      <w:r w:rsidRPr="00C14775">
        <w:rPr>
          <w:rFonts w:cs="Arial"/>
          <w:sz w:val="22"/>
        </w:rPr>
        <w:t>qui compromet la transmission de l</w:t>
      </w:r>
      <w:r w:rsidR="00E93319" w:rsidRPr="00C14775">
        <w:rPr>
          <w:rFonts w:cs="Arial"/>
          <w:sz w:val="22"/>
        </w:rPr>
        <w:t>’</w:t>
      </w:r>
      <w:r w:rsidRPr="00C14775">
        <w:rPr>
          <w:rFonts w:cs="Arial"/>
          <w:sz w:val="22"/>
        </w:rPr>
        <w:t>élément aux jeunes générations ;</w:t>
      </w:r>
    </w:p>
    <w:p w:rsidR="003E6EC3"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U.3 :</w:t>
      </w:r>
      <w:r w:rsidRPr="00C14775">
        <w:rPr>
          <w:rFonts w:cs="Arial"/>
        </w:rPr>
        <w:tab/>
      </w:r>
      <w:r w:rsidR="00320DE3" w:rsidRPr="00C14775">
        <w:rPr>
          <w:rFonts w:cs="Arial"/>
          <w:sz w:val="22"/>
          <w:szCs w:val="22"/>
        </w:rPr>
        <w:t>Complétant les efforts passés, l</w:t>
      </w:r>
      <w:r w:rsidRPr="00C14775">
        <w:rPr>
          <w:rFonts w:cs="Arial"/>
          <w:sz w:val="22"/>
          <w:szCs w:val="22"/>
        </w:rPr>
        <w:t>es activités proposées sont diverses. Elles incluent l</w:t>
      </w:r>
      <w:r w:rsidR="00CF0AB5" w:rsidRPr="00C14775">
        <w:rPr>
          <w:rFonts w:cs="Arial"/>
          <w:sz w:val="22"/>
          <w:szCs w:val="22"/>
        </w:rPr>
        <w:t>e recensement</w:t>
      </w:r>
      <w:r w:rsidRPr="00C14775">
        <w:rPr>
          <w:rFonts w:cs="Arial"/>
          <w:sz w:val="22"/>
          <w:szCs w:val="22"/>
        </w:rPr>
        <w:t xml:space="preserve"> et la documentation, la couverture médiatique, l</w:t>
      </w:r>
      <w:r w:rsidR="00E93319" w:rsidRPr="00C14775">
        <w:rPr>
          <w:rFonts w:cs="Arial"/>
          <w:sz w:val="22"/>
          <w:szCs w:val="22"/>
        </w:rPr>
        <w:t>’</w:t>
      </w:r>
      <w:r w:rsidRPr="00C14775">
        <w:rPr>
          <w:rFonts w:cs="Arial"/>
          <w:sz w:val="22"/>
          <w:szCs w:val="22"/>
        </w:rPr>
        <w:t>éducation et la formation, l</w:t>
      </w:r>
      <w:r w:rsidR="00E93319" w:rsidRPr="00C14775">
        <w:rPr>
          <w:rFonts w:cs="Arial"/>
          <w:sz w:val="22"/>
          <w:szCs w:val="22"/>
        </w:rPr>
        <w:t>’</w:t>
      </w:r>
      <w:r w:rsidRPr="00C14775">
        <w:rPr>
          <w:rFonts w:cs="Arial"/>
          <w:sz w:val="22"/>
          <w:szCs w:val="22"/>
        </w:rPr>
        <w:t>octroi de bourses aux étudiants talentueux et l</w:t>
      </w:r>
      <w:r w:rsidR="00E93319" w:rsidRPr="00C14775">
        <w:rPr>
          <w:rFonts w:cs="Arial"/>
          <w:sz w:val="22"/>
          <w:szCs w:val="22"/>
        </w:rPr>
        <w:t>’</w:t>
      </w:r>
      <w:r w:rsidRPr="00C14775">
        <w:rPr>
          <w:rFonts w:cs="Arial"/>
          <w:sz w:val="22"/>
          <w:szCs w:val="22"/>
        </w:rPr>
        <w:t>organisation d</w:t>
      </w:r>
      <w:r w:rsidR="00E93319" w:rsidRPr="00C14775">
        <w:rPr>
          <w:rFonts w:cs="Arial"/>
          <w:sz w:val="22"/>
          <w:szCs w:val="22"/>
        </w:rPr>
        <w:t>’</w:t>
      </w:r>
      <w:r w:rsidRPr="00C14775">
        <w:rPr>
          <w:rFonts w:cs="Arial"/>
          <w:sz w:val="22"/>
          <w:szCs w:val="22"/>
        </w:rPr>
        <w:t>un festival. Les objectifs du plan de sauvegarde répondent aux menaces. Le dossier propose un délai pour chaque activité et le budget est généralement bien expliqué. Le</w:t>
      </w:r>
      <w:r w:rsidRPr="00C14775">
        <w:rPr>
          <w:rFonts w:cs="Arial"/>
          <w:sz w:val="22"/>
        </w:rPr>
        <w:t xml:space="preserve"> dossier de candidature précise que les communautés concernées participeront au suivi, au rapport et à l</w:t>
      </w:r>
      <w:r w:rsidR="00E93319" w:rsidRPr="00C14775">
        <w:rPr>
          <w:rFonts w:cs="Arial"/>
          <w:sz w:val="22"/>
        </w:rPr>
        <w:t>’</w:t>
      </w:r>
      <w:r w:rsidRPr="00C14775">
        <w:rPr>
          <w:rFonts w:cs="Arial"/>
          <w:sz w:val="22"/>
        </w:rPr>
        <w:t>évaluation du projet. Leurs capacités seront développées par l</w:t>
      </w:r>
      <w:r w:rsidR="00E93319" w:rsidRPr="00C14775">
        <w:rPr>
          <w:rFonts w:cs="Arial"/>
          <w:sz w:val="22"/>
        </w:rPr>
        <w:t>’</w:t>
      </w:r>
      <w:r w:rsidRPr="00C14775">
        <w:rPr>
          <w:rFonts w:cs="Arial"/>
          <w:sz w:val="22"/>
        </w:rPr>
        <w:t>ethnomusicologie et le renforcement des compétences en matière de sauvegarde et des collaborations avec les différentes parties impliquées dans la mise en œuvre du projet. Les résultats du projet seront pérennisés au-delà de son cycle de vie par des programmes et un appui nationaux, le développement et la délivrance d</w:t>
      </w:r>
      <w:r w:rsidR="00E93319" w:rsidRPr="00C14775">
        <w:rPr>
          <w:rFonts w:cs="Arial"/>
          <w:sz w:val="22"/>
        </w:rPr>
        <w:t>’</w:t>
      </w:r>
      <w:r w:rsidRPr="00C14775">
        <w:rPr>
          <w:rFonts w:cs="Arial"/>
          <w:sz w:val="22"/>
        </w:rPr>
        <w:t>un programme d</w:t>
      </w:r>
      <w:r w:rsidR="00E93319" w:rsidRPr="00C14775">
        <w:rPr>
          <w:rFonts w:cs="Arial"/>
          <w:sz w:val="22"/>
        </w:rPr>
        <w:t>’</w:t>
      </w:r>
      <w:r w:rsidRPr="00C14775">
        <w:rPr>
          <w:rFonts w:cs="Arial"/>
          <w:sz w:val="22"/>
        </w:rPr>
        <w:t xml:space="preserve">enseignement du </w:t>
      </w:r>
      <w:proofErr w:type="spellStart"/>
      <w:r w:rsidRPr="00C14775">
        <w:rPr>
          <w:rFonts w:cs="Arial"/>
          <w:sz w:val="22"/>
        </w:rPr>
        <w:t>chapei</w:t>
      </w:r>
      <w:proofErr w:type="spellEnd"/>
      <w:r w:rsidRPr="00C14775">
        <w:rPr>
          <w:rFonts w:cs="Arial"/>
          <w:sz w:val="22"/>
        </w:rPr>
        <w:t xml:space="preserve"> et d</w:t>
      </w:r>
      <w:r w:rsidR="00E93319" w:rsidRPr="00C14775">
        <w:rPr>
          <w:rFonts w:cs="Arial"/>
          <w:sz w:val="22"/>
        </w:rPr>
        <w:t>’</w:t>
      </w:r>
      <w:r w:rsidRPr="00C14775">
        <w:rPr>
          <w:rFonts w:cs="Arial"/>
          <w:sz w:val="22"/>
        </w:rPr>
        <w:t>autres activités de renforcement des capacités ;</w:t>
      </w:r>
    </w:p>
    <w:p w:rsidR="003E6EC3"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U.4 :</w:t>
      </w:r>
      <w:r w:rsidRPr="00C14775">
        <w:rPr>
          <w:rFonts w:cs="Arial"/>
        </w:rPr>
        <w:tab/>
      </w:r>
      <w:r w:rsidRPr="00C14775">
        <w:rPr>
          <w:rFonts w:cs="Arial"/>
          <w:sz w:val="22"/>
        </w:rPr>
        <w:t xml:space="preserve">La candidature et le plan de projet ont été élaborés par le </w:t>
      </w:r>
      <w:r w:rsidR="00DC5E4C">
        <w:rPr>
          <w:rFonts w:cs="Arial"/>
          <w:sz w:val="22"/>
        </w:rPr>
        <w:t>M</w:t>
      </w:r>
      <w:r w:rsidRPr="00C14775">
        <w:rPr>
          <w:rFonts w:cs="Arial"/>
          <w:sz w:val="22"/>
        </w:rPr>
        <w:t xml:space="preserve">inistère de la </w:t>
      </w:r>
      <w:r w:rsidR="00DC5E4C">
        <w:rPr>
          <w:rFonts w:cs="Arial"/>
          <w:sz w:val="22"/>
        </w:rPr>
        <w:t>culture et des b</w:t>
      </w:r>
      <w:r w:rsidRPr="00C14775">
        <w:rPr>
          <w:rFonts w:cs="Arial"/>
          <w:sz w:val="22"/>
        </w:rPr>
        <w:t xml:space="preserve">eaux-arts avec la participation des communautés locales et </w:t>
      </w:r>
      <w:r w:rsidR="00320DE3" w:rsidRPr="00C14775">
        <w:rPr>
          <w:rFonts w:cs="Arial"/>
          <w:sz w:val="22"/>
        </w:rPr>
        <w:t xml:space="preserve">plusieurs </w:t>
      </w:r>
      <w:r w:rsidRPr="00C14775">
        <w:rPr>
          <w:rFonts w:cs="Arial"/>
          <w:sz w:val="22"/>
        </w:rPr>
        <w:t xml:space="preserve">institutions concernées. Le dossier a été préparé en plusieurs phases, de la conceptualisation initiale à la planification, avec des commentaires </w:t>
      </w:r>
      <w:r w:rsidR="00CF0AB5" w:rsidRPr="00C14775">
        <w:rPr>
          <w:rFonts w:cs="Arial"/>
          <w:sz w:val="22"/>
        </w:rPr>
        <w:t>réguliers</w:t>
      </w:r>
      <w:r w:rsidR="00320DE3" w:rsidRPr="00C14775">
        <w:rPr>
          <w:rFonts w:cs="Arial"/>
          <w:sz w:val="22"/>
        </w:rPr>
        <w:t xml:space="preserve"> </w:t>
      </w:r>
      <w:r w:rsidRPr="00C14775">
        <w:rPr>
          <w:rFonts w:cs="Arial"/>
          <w:sz w:val="22"/>
        </w:rPr>
        <w:t>des communautés concernées. Le dossier indique qu</w:t>
      </w:r>
      <w:r w:rsidR="00E93319" w:rsidRPr="00C14775">
        <w:rPr>
          <w:rFonts w:cs="Arial"/>
          <w:sz w:val="22"/>
        </w:rPr>
        <w:t>’</w:t>
      </w:r>
      <w:r w:rsidRPr="00C14775">
        <w:rPr>
          <w:rFonts w:cs="Arial"/>
          <w:sz w:val="22"/>
        </w:rPr>
        <w:t>elles sont au cœur de la mise en œuvre et de la transmission des connaissances et de l</w:t>
      </w:r>
      <w:r w:rsidR="00E93319" w:rsidRPr="00C14775">
        <w:rPr>
          <w:rFonts w:cs="Arial"/>
          <w:sz w:val="22"/>
        </w:rPr>
        <w:t>’</w:t>
      </w:r>
      <w:r w:rsidRPr="00C14775">
        <w:rPr>
          <w:rFonts w:cs="Arial"/>
          <w:sz w:val="22"/>
        </w:rPr>
        <w:t xml:space="preserve">expertise culturelles, en </w:t>
      </w:r>
      <w:r w:rsidR="00320DE3" w:rsidRPr="00C14775">
        <w:rPr>
          <w:rFonts w:cs="Arial"/>
          <w:sz w:val="22"/>
        </w:rPr>
        <w:t xml:space="preserve">fournissant </w:t>
      </w:r>
      <w:r w:rsidRPr="00C14775">
        <w:rPr>
          <w:rFonts w:cs="Arial"/>
          <w:sz w:val="22"/>
        </w:rPr>
        <w:t>des conseils, en participant à la formation, en évaluant les résultats et en prenant la tête de certaines activités ;</w:t>
      </w:r>
    </w:p>
    <w:p w:rsidR="003E6EC3"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U.5 :</w:t>
      </w:r>
      <w:r w:rsidRPr="00C14775">
        <w:rPr>
          <w:rFonts w:cs="Arial"/>
        </w:rPr>
        <w:tab/>
      </w:r>
      <w:r w:rsidRPr="00C14775">
        <w:rPr>
          <w:rFonts w:cs="Arial"/>
          <w:sz w:val="22"/>
        </w:rPr>
        <w:t>L</w:t>
      </w:r>
      <w:r w:rsidR="00E93319" w:rsidRPr="00C14775">
        <w:rPr>
          <w:rFonts w:cs="Arial"/>
          <w:sz w:val="22"/>
        </w:rPr>
        <w:t>’</w:t>
      </w:r>
      <w:r w:rsidRPr="00C14775">
        <w:rPr>
          <w:rFonts w:cs="Arial"/>
          <w:sz w:val="22"/>
        </w:rPr>
        <w:t>élément a été inscrit, en 2004, à l</w:t>
      </w:r>
      <w:r w:rsidR="00E93319" w:rsidRPr="00C14775">
        <w:rPr>
          <w:rFonts w:cs="Arial"/>
          <w:sz w:val="22"/>
        </w:rPr>
        <w:t>’</w:t>
      </w:r>
      <w:r w:rsidR="00CF0AB5" w:rsidRPr="00C14775">
        <w:rPr>
          <w:rFonts w:cs="Arial"/>
          <w:sz w:val="22"/>
        </w:rPr>
        <w:t>I</w:t>
      </w:r>
      <w:r w:rsidRPr="00C14775">
        <w:rPr>
          <w:rFonts w:cs="Arial"/>
          <w:sz w:val="22"/>
        </w:rPr>
        <w:t>nventaire cambodgien du patrimoine culturel immatériel, géré et tenu par la Direction des Affaire</w:t>
      </w:r>
      <w:r w:rsidR="00DC5E4C">
        <w:rPr>
          <w:rFonts w:cs="Arial"/>
          <w:sz w:val="22"/>
        </w:rPr>
        <w:t>s culturelles et techniques du Ministère de la culture et des b</w:t>
      </w:r>
      <w:r w:rsidRPr="00C14775">
        <w:rPr>
          <w:rFonts w:cs="Arial"/>
          <w:sz w:val="22"/>
        </w:rPr>
        <w:t>eaux-arts. L</w:t>
      </w:r>
      <w:r w:rsidR="00E93319" w:rsidRPr="00C14775">
        <w:rPr>
          <w:rFonts w:cs="Arial"/>
          <w:sz w:val="22"/>
        </w:rPr>
        <w:t>’</w:t>
      </w:r>
      <w:r w:rsidRPr="00C14775">
        <w:rPr>
          <w:rFonts w:cs="Arial"/>
          <w:sz w:val="22"/>
        </w:rPr>
        <w:t>inventaire est régulièrement mis à jour et actualisé tous les deux ans environ. Les communautés ont participé à la constitution de l</w:t>
      </w:r>
      <w:r w:rsidR="00E93319" w:rsidRPr="00C14775">
        <w:rPr>
          <w:rFonts w:cs="Arial"/>
          <w:sz w:val="22"/>
        </w:rPr>
        <w:t>’</w:t>
      </w:r>
      <w:r w:rsidRPr="00C14775">
        <w:rPr>
          <w:rFonts w:cs="Arial"/>
          <w:sz w:val="22"/>
        </w:rPr>
        <w:t xml:space="preserve">inventaire au moyen de questionnaires distribués aux artistes, praticiens et </w:t>
      </w:r>
      <w:r w:rsidR="00320DE3" w:rsidRPr="00C14775">
        <w:rPr>
          <w:rFonts w:cs="Arial"/>
          <w:sz w:val="22"/>
        </w:rPr>
        <w:t xml:space="preserve">organisations non gouvernementales </w:t>
      </w:r>
      <w:r w:rsidRPr="00C14775">
        <w:rPr>
          <w:rFonts w:cs="Arial"/>
          <w:sz w:val="22"/>
        </w:rPr>
        <w:t>pour collecter des données.</w:t>
      </w:r>
    </w:p>
    <w:p w:rsidR="003E6EC3" w:rsidRPr="00C14775" w:rsidRDefault="003E6EC3" w:rsidP="00470503">
      <w:pPr>
        <w:numPr>
          <w:ilvl w:val="0"/>
          <w:numId w:val="21"/>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Inscrit</w:t>
      </w:r>
      <w:r w:rsidRPr="00C14775">
        <w:rPr>
          <w:rFonts w:cs="Arial"/>
          <w:sz w:val="22"/>
        </w:rPr>
        <w:t xml:space="preserve"> </w:t>
      </w:r>
      <w:r w:rsidRPr="00C14775">
        <w:rPr>
          <w:rFonts w:cs="Arial"/>
          <w:b/>
          <w:sz w:val="22"/>
        </w:rPr>
        <w:t>le</w:t>
      </w:r>
      <w:r w:rsidRPr="00C14775">
        <w:rPr>
          <w:rFonts w:cs="Arial"/>
          <w:sz w:val="22"/>
        </w:rPr>
        <w:t xml:space="preserve"> </w:t>
      </w:r>
      <w:proofErr w:type="spellStart"/>
      <w:r w:rsidRPr="00C14775">
        <w:rPr>
          <w:rFonts w:cs="Arial"/>
          <w:b/>
          <w:sz w:val="22"/>
        </w:rPr>
        <w:t>chapei</w:t>
      </w:r>
      <w:proofErr w:type="spellEnd"/>
      <w:r w:rsidRPr="00C14775">
        <w:rPr>
          <w:rFonts w:cs="Arial"/>
          <w:b/>
          <w:sz w:val="22"/>
        </w:rPr>
        <w:t xml:space="preserve"> Dang </w:t>
      </w:r>
      <w:proofErr w:type="spellStart"/>
      <w:r w:rsidRPr="00C14775">
        <w:rPr>
          <w:rFonts w:cs="Arial"/>
          <w:b/>
          <w:sz w:val="22"/>
        </w:rPr>
        <w:t>Veng</w:t>
      </w:r>
      <w:proofErr w:type="spellEnd"/>
      <w:r w:rsidRPr="00C14775">
        <w:rPr>
          <w:rFonts w:cs="Arial"/>
          <w:sz w:val="22"/>
        </w:rPr>
        <w:t xml:space="preserve"> sur la Liste du patrimoine culturel immatériel nécessitant une sauvegarde urgente ;</w:t>
      </w:r>
    </w:p>
    <w:p w:rsidR="003E6EC3" w:rsidRPr="00C14775" w:rsidRDefault="003E6EC3" w:rsidP="00551BB9">
      <w:pPr>
        <w:numPr>
          <w:ilvl w:val="0"/>
          <w:numId w:val="21"/>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Note également</w:t>
      </w:r>
      <w:r w:rsidRPr="00C14775">
        <w:rPr>
          <w:rFonts w:cs="Arial"/>
          <w:sz w:val="22"/>
        </w:rPr>
        <w:t xml:space="preserve"> que le Cambodge a demandé une aide de 238 970 dollars des États-Unis du Fonds du patrimoine culturel immatériel pour mettre en œuvre le plan de sauvegarde du </w:t>
      </w:r>
      <w:proofErr w:type="spellStart"/>
      <w:r w:rsidRPr="00C14775">
        <w:rPr>
          <w:rFonts w:cs="Arial"/>
          <w:sz w:val="22"/>
        </w:rPr>
        <w:t>chapei</w:t>
      </w:r>
      <w:proofErr w:type="spellEnd"/>
      <w:r w:rsidRPr="00C14775">
        <w:rPr>
          <w:rFonts w:cs="Arial"/>
          <w:sz w:val="22"/>
        </w:rPr>
        <w:t xml:space="preserve"> Dang </w:t>
      </w:r>
      <w:proofErr w:type="spellStart"/>
      <w:r w:rsidRPr="00C14775">
        <w:rPr>
          <w:rFonts w:cs="Arial"/>
          <w:sz w:val="22"/>
        </w:rPr>
        <w:t>Veng</w:t>
      </w:r>
      <w:proofErr w:type="spellEnd"/>
      <w:r w:rsidRPr="00C14775">
        <w:rPr>
          <w:rFonts w:cs="Arial"/>
          <w:sz w:val="22"/>
        </w:rPr>
        <w:t> ;</w:t>
      </w:r>
    </w:p>
    <w:p w:rsidR="003E6EC3" w:rsidRPr="00C14775" w:rsidRDefault="003E6EC3" w:rsidP="00551BB9">
      <w:pPr>
        <w:numPr>
          <w:ilvl w:val="0"/>
          <w:numId w:val="21"/>
        </w:numPr>
        <w:tabs>
          <w:tab w:val="left" w:pos="1134"/>
          <w:tab w:val="left" w:pos="1701"/>
          <w:tab w:val="left" w:pos="2268"/>
        </w:tabs>
        <w:spacing w:before="120" w:after="120"/>
        <w:ind w:left="1134" w:hanging="567"/>
        <w:jc w:val="both"/>
        <w:rPr>
          <w:rFonts w:cs="Arial"/>
          <w:bCs/>
          <w:sz w:val="22"/>
          <w:szCs w:val="22"/>
          <w:u w:val="single"/>
        </w:rPr>
      </w:pPr>
      <w:r w:rsidRPr="00C14775">
        <w:rPr>
          <w:rFonts w:cs="Arial"/>
          <w:sz w:val="22"/>
          <w:u w:val="single"/>
        </w:rPr>
        <w:t>Décide, en outre</w:t>
      </w:r>
      <w:r w:rsidRPr="00C14775">
        <w:rPr>
          <w:rFonts w:cs="Arial"/>
          <w:sz w:val="22"/>
        </w:rPr>
        <w:t>,</w:t>
      </w:r>
      <w:r w:rsidR="00544A72" w:rsidRPr="00C14775">
        <w:rPr>
          <w:rFonts w:cs="Arial"/>
          <w:sz w:val="22"/>
        </w:rPr>
        <w:t xml:space="preserve"> </w:t>
      </w:r>
      <w:r w:rsidRPr="00C14775">
        <w:rPr>
          <w:rFonts w:cs="Arial"/>
          <w:sz w:val="22"/>
        </w:rPr>
        <w:t>sur la base des informations contenues dans le dossier, que la demande répond comme suit aux critères d</w:t>
      </w:r>
      <w:r w:rsidR="00E93319" w:rsidRPr="00C14775">
        <w:rPr>
          <w:rFonts w:cs="Arial"/>
          <w:sz w:val="22"/>
        </w:rPr>
        <w:t>’</w:t>
      </w:r>
      <w:r w:rsidRPr="00C14775">
        <w:rPr>
          <w:rFonts w:cs="Arial"/>
          <w:sz w:val="22"/>
        </w:rPr>
        <w:t>octroi de l</w:t>
      </w:r>
      <w:r w:rsidR="00E93319" w:rsidRPr="00C14775">
        <w:rPr>
          <w:rFonts w:cs="Arial"/>
          <w:sz w:val="22"/>
        </w:rPr>
        <w:t>’</w:t>
      </w:r>
      <w:r w:rsidRPr="00C14775">
        <w:rPr>
          <w:rFonts w:cs="Arial"/>
          <w:sz w:val="22"/>
        </w:rPr>
        <w:t>assistance internationale énoncés aux paragraphes 10 et 12 des Directives opérationnelles :</w:t>
      </w:r>
    </w:p>
    <w:p w:rsidR="00D14220"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 xml:space="preserve">A.1 : </w:t>
      </w:r>
      <w:r w:rsidRPr="00C14775">
        <w:rPr>
          <w:rFonts w:cs="Arial"/>
        </w:rPr>
        <w:tab/>
      </w:r>
      <w:r w:rsidRPr="00C14775">
        <w:rPr>
          <w:rFonts w:cs="Arial"/>
          <w:sz w:val="22"/>
        </w:rPr>
        <w:t xml:space="preserve">Le dossier </w:t>
      </w:r>
      <w:r w:rsidR="000C5D6A" w:rsidRPr="00C14775">
        <w:rPr>
          <w:rFonts w:cs="Arial"/>
          <w:sz w:val="22"/>
        </w:rPr>
        <w:t xml:space="preserve">décrit </w:t>
      </w:r>
      <w:r w:rsidRPr="00C14775">
        <w:rPr>
          <w:rFonts w:cs="Arial"/>
          <w:sz w:val="22"/>
        </w:rPr>
        <w:t>comment les détenteurs de l</w:t>
      </w:r>
      <w:r w:rsidR="00E93319" w:rsidRPr="00C14775">
        <w:rPr>
          <w:rFonts w:cs="Arial"/>
          <w:sz w:val="22"/>
        </w:rPr>
        <w:t>’</w:t>
      </w:r>
      <w:r w:rsidRPr="00C14775">
        <w:rPr>
          <w:rFonts w:cs="Arial"/>
          <w:sz w:val="22"/>
        </w:rPr>
        <w:t>élément</w:t>
      </w:r>
      <w:r w:rsidR="00AE137D" w:rsidRPr="00C14775">
        <w:rPr>
          <w:rFonts w:cs="Arial"/>
          <w:sz w:val="22"/>
        </w:rPr>
        <w:t xml:space="preserve"> et</w:t>
      </w:r>
      <w:r w:rsidRPr="00C14775">
        <w:rPr>
          <w:rFonts w:cs="Arial"/>
          <w:sz w:val="22"/>
        </w:rPr>
        <w:t xml:space="preserve"> les organisations artistiques et éducatives concernées ont participé à la préparation du plan proposé et participeront à la mise en œuvre des activités. La demande pourrait, toutefois, mieux décrire les mécanismes d</w:t>
      </w:r>
      <w:r w:rsidR="00E93319" w:rsidRPr="00C14775">
        <w:rPr>
          <w:rFonts w:cs="Arial"/>
          <w:sz w:val="22"/>
        </w:rPr>
        <w:t>’</w:t>
      </w:r>
      <w:r w:rsidRPr="00C14775">
        <w:rPr>
          <w:rFonts w:cs="Arial"/>
          <w:sz w:val="22"/>
        </w:rPr>
        <w:t>implication des communautés rurales, des maîtres et praticiens traditionnels ainsi que des organisations non gouvernementales locales à toutes les étapes d</w:t>
      </w:r>
      <w:r w:rsidR="00E93319" w:rsidRPr="00C14775">
        <w:rPr>
          <w:rFonts w:cs="Arial"/>
          <w:sz w:val="22"/>
        </w:rPr>
        <w:t>’</w:t>
      </w:r>
      <w:r w:rsidRPr="00C14775">
        <w:rPr>
          <w:rFonts w:cs="Arial"/>
          <w:sz w:val="22"/>
        </w:rPr>
        <w:t>exécution et de suivi du projet ;</w:t>
      </w:r>
    </w:p>
    <w:p w:rsidR="00EB701F"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 xml:space="preserve">A.2 : </w:t>
      </w:r>
      <w:r w:rsidRPr="00C14775">
        <w:rPr>
          <w:rFonts w:cs="Arial"/>
        </w:rPr>
        <w:tab/>
      </w:r>
      <w:r w:rsidRPr="00C14775">
        <w:rPr>
          <w:rFonts w:cs="Arial"/>
          <w:sz w:val="22"/>
        </w:rPr>
        <w:t>Un ensemble d</w:t>
      </w:r>
      <w:r w:rsidR="00E93319" w:rsidRPr="00C14775">
        <w:rPr>
          <w:rFonts w:cs="Arial"/>
          <w:sz w:val="22"/>
        </w:rPr>
        <w:t>’</w:t>
      </w:r>
      <w:r w:rsidRPr="00C14775">
        <w:rPr>
          <w:rFonts w:cs="Arial"/>
          <w:sz w:val="22"/>
        </w:rPr>
        <w:t>activités dont le coût semble raisonnable ont été justifiées de manière cohérente et détaillée. Le Fonds du patrimoine culturel immatériel devrait couvrir environ les deux tiers des coûts totaux, laissant à l</w:t>
      </w:r>
      <w:r w:rsidR="00E93319" w:rsidRPr="00C14775">
        <w:rPr>
          <w:rFonts w:cs="Arial"/>
          <w:sz w:val="22"/>
        </w:rPr>
        <w:t>’</w:t>
      </w:r>
      <w:r w:rsidRPr="00C14775">
        <w:rPr>
          <w:rFonts w:cs="Arial"/>
          <w:sz w:val="22"/>
        </w:rPr>
        <w:t>État le soin d</w:t>
      </w:r>
      <w:r w:rsidR="00E93319" w:rsidRPr="00C14775">
        <w:rPr>
          <w:rFonts w:cs="Arial"/>
          <w:sz w:val="22"/>
        </w:rPr>
        <w:t>’</w:t>
      </w:r>
      <w:r w:rsidRPr="00C14775">
        <w:rPr>
          <w:rFonts w:cs="Arial"/>
          <w:sz w:val="22"/>
        </w:rPr>
        <w:t xml:space="preserve">apporter une contribution importante. Un calendrier détaillé est également fourni. Généralement clair, détaillé et conforme aux activités prévues et aux résultats </w:t>
      </w:r>
      <w:r w:rsidR="00AE137D" w:rsidRPr="00C14775">
        <w:rPr>
          <w:rFonts w:cs="Arial"/>
          <w:sz w:val="22"/>
        </w:rPr>
        <w:t>escomptés</w:t>
      </w:r>
      <w:r w:rsidRPr="00C14775">
        <w:rPr>
          <w:rFonts w:cs="Arial"/>
          <w:sz w:val="22"/>
        </w:rPr>
        <w:t>, le budget comporte toutefois des incohérences et certain</w:t>
      </w:r>
      <w:r w:rsidR="00AE137D" w:rsidRPr="00C14775">
        <w:rPr>
          <w:rFonts w:cs="Arial"/>
          <w:sz w:val="22"/>
        </w:rPr>
        <w:t>e</w:t>
      </w:r>
      <w:r w:rsidRPr="00C14775">
        <w:rPr>
          <w:rFonts w:cs="Arial"/>
          <w:sz w:val="22"/>
        </w:rPr>
        <w:t xml:space="preserve">s </w:t>
      </w:r>
      <w:r w:rsidR="00AE137D" w:rsidRPr="00C14775">
        <w:rPr>
          <w:rFonts w:cs="Arial"/>
          <w:sz w:val="22"/>
        </w:rPr>
        <w:t>sommes</w:t>
      </w:r>
      <w:r w:rsidRPr="00C14775">
        <w:rPr>
          <w:rFonts w:cs="Arial"/>
          <w:sz w:val="22"/>
        </w:rPr>
        <w:t>, qui semblent excessi</w:t>
      </w:r>
      <w:r w:rsidR="00AE137D" w:rsidRPr="00C14775">
        <w:rPr>
          <w:rFonts w:cs="Arial"/>
          <w:sz w:val="22"/>
        </w:rPr>
        <w:t>ves</w:t>
      </w:r>
      <w:r w:rsidRPr="00C14775">
        <w:rPr>
          <w:rFonts w:cs="Arial"/>
          <w:sz w:val="22"/>
        </w:rPr>
        <w:t>, doivent être ventilé</w:t>
      </w:r>
      <w:r w:rsidR="00AE137D" w:rsidRPr="00C14775">
        <w:rPr>
          <w:rFonts w:cs="Arial"/>
          <w:sz w:val="22"/>
        </w:rPr>
        <w:t>e</w:t>
      </w:r>
      <w:r w:rsidRPr="00C14775">
        <w:rPr>
          <w:rFonts w:cs="Arial"/>
          <w:sz w:val="22"/>
        </w:rPr>
        <w:t>s. Les provisions budgétaires doivent être suffisantes pour renforcer les capacités de sauvegarde des communautés concernées pour les placer au cœur des efforts à fournir ;</w:t>
      </w:r>
    </w:p>
    <w:p w:rsidR="006337E0"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 xml:space="preserve">A.3 : </w:t>
      </w:r>
      <w:r w:rsidRPr="00C14775">
        <w:rPr>
          <w:rFonts w:cs="Arial"/>
        </w:rPr>
        <w:tab/>
      </w:r>
      <w:r w:rsidRPr="00C14775">
        <w:rPr>
          <w:rFonts w:cs="Arial"/>
          <w:sz w:val="22"/>
        </w:rPr>
        <w:t>Les activités proposées sont bien conçues, réalisables et présentées dans un flux logique. Elles visent principalement à (</w:t>
      </w:r>
      <w:r w:rsidR="00AE137D" w:rsidRPr="00C14775">
        <w:rPr>
          <w:rFonts w:cs="Arial"/>
          <w:sz w:val="22"/>
        </w:rPr>
        <w:t>i</w:t>
      </w:r>
      <w:r w:rsidRPr="00C14775">
        <w:rPr>
          <w:rFonts w:cs="Arial"/>
          <w:sz w:val="22"/>
        </w:rPr>
        <w:t>) contrebalancer les risques identifiés, notamment le problème de transmission des connaissances et savoir-faire traditionnels entre les générations</w:t>
      </w:r>
      <w:r w:rsidR="00AE137D" w:rsidRPr="00C14775">
        <w:rPr>
          <w:rFonts w:cs="Arial"/>
          <w:sz w:val="22"/>
        </w:rPr>
        <w:t>,</w:t>
      </w:r>
      <w:r w:rsidRPr="00C14775">
        <w:rPr>
          <w:rFonts w:cs="Arial"/>
          <w:sz w:val="22"/>
        </w:rPr>
        <w:t xml:space="preserve"> et (</w:t>
      </w:r>
      <w:r w:rsidR="00AE137D" w:rsidRPr="00C14775">
        <w:rPr>
          <w:rFonts w:cs="Arial"/>
          <w:sz w:val="22"/>
        </w:rPr>
        <w:t>ii</w:t>
      </w:r>
      <w:r w:rsidRPr="00C14775">
        <w:rPr>
          <w:rFonts w:cs="Arial"/>
          <w:sz w:val="22"/>
        </w:rPr>
        <w:t>) mettre en avant l</w:t>
      </w:r>
      <w:r w:rsidR="00E93319" w:rsidRPr="00C14775">
        <w:rPr>
          <w:rFonts w:cs="Arial"/>
          <w:sz w:val="22"/>
        </w:rPr>
        <w:t>’</w:t>
      </w:r>
      <w:r w:rsidRPr="00C14775">
        <w:rPr>
          <w:rFonts w:cs="Arial"/>
          <w:sz w:val="22"/>
        </w:rPr>
        <w:t>analyse et la documentation, la formation et l</w:t>
      </w:r>
      <w:r w:rsidR="00E93319" w:rsidRPr="00C14775">
        <w:rPr>
          <w:rFonts w:cs="Arial"/>
          <w:sz w:val="22"/>
        </w:rPr>
        <w:t>’</w:t>
      </w:r>
      <w:r w:rsidRPr="00C14775">
        <w:rPr>
          <w:rFonts w:cs="Arial"/>
          <w:sz w:val="22"/>
        </w:rPr>
        <w:t xml:space="preserve">éducation, </w:t>
      </w:r>
      <w:r w:rsidR="00AE137D" w:rsidRPr="00C14775">
        <w:rPr>
          <w:rFonts w:cs="Arial"/>
          <w:sz w:val="22"/>
        </w:rPr>
        <w:t>reflétant</w:t>
      </w:r>
      <w:r w:rsidRPr="00C14775">
        <w:rPr>
          <w:rFonts w:cs="Arial"/>
          <w:sz w:val="22"/>
        </w:rPr>
        <w:t xml:space="preserve"> la participation des organisations non gouvernementales et des représentants de certaines communautés </w:t>
      </w:r>
      <w:r w:rsidR="00544A72" w:rsidRPr="00C14775">
        <w:rPr>
          <w:rFonts w:cs="Arial"/>
          <w:sz w:val="22"/>
        </w:rPr>
        <w:t xml:space="preserve">concernées </w:t>
      </w:r>
      <w:r w:rsidRPr="00C14775">
        <w:rPr>
          <w:rFonts w:cs="Arial"/>
          <w:sz w:val="22"/>
        </w:rPr>
        <w:t>à leur élaboration. La Direction des Affaire</w:t>
      </w:r>
      <w:r w:rsidR="00DC5E4C">
        <w:rPr>
          <w:rFonts w:cs="Arial"/>
          <w:sz w:val="22"/>
        </w:rPr>
        <w:t>s culturelles et techniques du Ministère de la culture et des b</w:t>
      </w:r>
      <w:r w:rsidRPr="00C14775">
        <w:rPr>
          <w:rFonts w:cs="Arial"/>
          <w:sz w:val="22"/>
        </w:rPr>
        <w:t xml:space="preserve">eaux-arts sera chargée de la gestion et de la mise en œuvre du projet. Un groupe de travail sera mis en place avec des membres des communautés, des organisations non gouvernementales et des </w:t>
      </w:r>
      <w:r w:rsidR="00231CEA" w:rsidRPr="00C14775">
        <w:rPr>
          <w:rFonts w:cs="Arial"/>
          <w:sz w:val="22"/>
        </w:rPr>
        <w:t xml:space="preserve">représentants des </w:t>
      </w:r>
      <w:r w:rsidRPr="00C14775">
        <w:rPr>
          <w:rFonts w:cs="Arial"/>
          <w:sz w:val="22"/>
        </w:rPr>
        <w:t>ministères pour le suivi et l</w:t>
      </w:r>
      <w:r w:rsidR="00E93319" w:rsidRPr="00C14775">
        <w:rPr>
          <w:rFonts w:cs="Arial"/>
          <w:sz w:val="22"/>
        </w:rPr>
        <w:t>’</w:t>
      </w:r>
      <w:r w:rsidRPr="00C14775">
        <w:rPr>
          <w:rFonts w:cs="Arial"/>
          <w:sz w:val="22"/>
        </w:rPr>
        <w:t xml:space="preserve">évaluation en </w:t>
      </w:r>
      <w:r w:rsidR="00BC273E" w:rsidRPr="00C14775">
        <w:rPr>
          <w:rFonts w:cs="Arial"/>
          <w:sz w:val="22"/>
        </w:rPr>
        <w:t xml:space="preserve">plus </w:t>
      </w:r>
      <w:r w:rsidRPr="00C14775">
        <w:rPr>
          <w:rFonts w:cs="Arial"/>
          <w:sz w:val="22"/>
        </w:rPr>
        <w:t>des évaluations périodiques externes. Il convient de veiller, toutefois, à ce que les activités ne soient pas conçues exclusivement autour des communautés urbaines et organisations artistiques mais à ce qu</w:t>
      </w:r>
      <w:r w:rsidR="00E93319" w:rsidRPr="00C14775">
        <w:rPr>
          <w:rFonts w:cs="Arial"/>
          <w:sz w:val="22"/>
        </w:rPr>
        <w:t>’</w:t>
      </w:r>
      <w:r w:rsidRPr="00C14775">
        <w:rPr>
          <w:rFonts w:cs="Arial"/>
          <w:sz w:val="22"/>
        </w:rPr>
        <w:t xml:space="preserve">elles impliquent les communautés locales, au sens large, les détenteurs </w:t>
      </w:r>
      <w:r w:rsidR="00AE137D" w:rsidRPr="00C14775">
        <w:rPr>
          <w:rFonts w:cs="Arial"/>
          <w:sz w:val="22"/>
        </w:rPr>
        <w:t xml:space="preserve">traditionnels </w:t>
      </w:r>
      <w:r w:rsidRPr="00C14775">
        <w:rPr>
          <w:rFonts w:cs="Arial"/>
          <w:sz w:val="22"/>
        </w:rPr>
        <w:t>et praticiens afin de prévenir tout risque de décontextualisation de l</w:t>
      </w:r>
      <w:r w:rsidR="00E93319" w:rsidRPr="00C14775">
        <w:rPr>
          <w:rFonts w:cs="Arial"/>
          <w:sz w:val="22"/>
        </w:rPr>
        <w:t>’</w:t>
      </w:r>
      <w:r w:rsidRPr="00C14775">
        <w:rPr>
          <w:rFonts w:cs="Arial"/>
          <w:sz w:val="22"/>
        </w:rPr>
        <w:t>élément ;</w:t>
      </w:r>
    </w:p>
    <w:p w:rsidR="003E6EC3"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 xml:space="preserve">A.4 : </w:t>
      </w:r>
      <w:r w:rsidRPr="00C14775">
        <w:rPr>
          <w:rFonts w:cs="Arial"/>
        </w:rPr>
        <w:tab/>
      </w:r>
      <w:r w:rsidR="00124B83" w:rsidRPr="00C14775">
        <w:rPr>
          <w:rFonts w:cs="Arial"/>
          <w:sz w:val="22"/>
          <w:szCs w:val="22"/>
        </w:rPr>
        <w:t>Il est prévu que</w:t>
      </w:r>
      <w:r w:rsidR="00DD15ED" w:rsidRPr="00C14775">
        <w:rPr>
          <w:rFonts w:cs="Arial"/>
          <w:sz w:val="22"/>
        </w:rPr>
        <w:t xml:space="preserve"> l</w:t>
      </w:r>
      <w:r w:rsidRPr="00C14775">
        <w:rPr>
          <w:rFonts w:cs="Arial"/>
          <w:sz w:val="22"/>
        </w:rPr>
        <w:t xml:space="preserve">a communauté concernée assure la </w:t>
      </w:r>
      <w:r w:rsidR="00231CEA" w:rsidRPr="00C14775">
        <w:rPr>
          <w:rFonts w:cs="Arial"/>
          <w:sz w:val="22"/>
        </w:rPr>
        <w:t xml:space="preserve">pérennité </w:t>
      </w:r>
      <w:r w:rsidRPr="00C14775">
        <w:rPr>
          <w:rFonts w:cs="Arial"/>
          <w:sz w:val="22"/>
        </w:rPr>
        <w:t>du projet. Le volet central de la transmission (formation de professeurs) devrait produire des résultats durables. Le projet est également soutenu par le cadre législatif de l</w:t>
      </w:r>
      <w:r w:rsidR="00E93319" w:rsidRPr="00C14775">
        <w:rPr>
          <w:rFonts w:cs="Arial"/>
          <w:sz w:val="22"/>
        </w:rPr>
        <w:t>’</w:t>
      </w:r>
      <w:r w:rsidRPr="00C14775">
        <w:rPr>
          <w:rFonts w:cs="Arial"/>
          <w:sz w:val="22"/>
        </w:rPr>
        <w:t>État. Des collaborations entre les différents partenaires impliqués devraient également avoir un impact positif. Certaines activités devront toutefois être soutenues au-delà du calendrier du projet (bourses et festival). Ce projet devra également impliquer activement les communautés locales, les maîtres encore en vie et les</w:t>
      </w:r>
      <w:r w:rsidR="00AE137D" w:rsidRPr="00C14775">
        <w:rPr>
          <w:rFonts w:cs="Arial"/>
          <w:sz w:val="22"/>
        </w:rPr>
        <w:t xml:space="preserve"> autres</w:t>
      </w:r>
      <w:r w:rsidRPr="00C14775">
        <w:rPr>
          <w:rFonts w:cs="Arial"/>
          <w:sz w:val="22"/>
        </w:rPr>
        <w:t xml:space="preserve"> détenteurs traditionnels dans la mise en œuvre des activités proposées pour en assurer la durabilité</w:t>
      </w:r>
      <w:r w:rsidR="00AE137D" w:rsidRPr="00C14775">
        <w:rPr>
          <w:rFonts w:cs="Arial"/>
          <w:sz w:val="22"/>
        </w:rPr>
        <w:t xml:space="preserve"> maximale</w:t>
      </w:r>
      <w:r w:rsidRPr="00C14775">
        <w:rPr>
          <w:rFonts w:cs="Arial"/>
          <w:sz w:val="22"/>
        </w:rPr>
        <w:t> ;</w:t>
      </w:r>
    </w:p>
    <w:p w:rsidR="003E6EC3"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 xml:space="preserve">A.5 : </w:t>
      </w:r>
      <w:r w:rsidRPr="00C14775">
        <w:rPr>
          <w:rFonts w:cs="Arial"/>
        </w:rPr>
        <w:tab/>
      </w:r>
      <w:r w:rsidRPr="00C14775">
        <w:rPr>
          <w:rFonts w:cs="Arial"/>
          <w:sz w:val="22"/>
        </w:rPr>
        <w:t>L</w:t>
      </w:r>
      <w:r w:rsidR="00E93319" w:rsidRPr="00C14775">
        <w:rPr>
          <w:rFonts w:cs="Arial"/>
          <w:sz w:val="22"/>
        </w:rPr>
        <w:t>’</w:t>
      </w:r>
      <w:r w:rsidRPr="00C14775">
        <w:rPr>
          <w:rFonts w:cs="Arial"/>
          <w:sz w:val="22"/>
        </w:rPr>
        <w:t>État soumissionnaire s</w:t>
      </w:r>
      <w:r w:rsidR="00E93319" w:rsidRPr="00C14775">
        <w:rPr>
          <w:rFonts w:cs="Arial"/>
          <w:sz w:val="22"/>
        </w:rPr>
        <w:t>’</w:t>
      </w:r>
      <w:r w:rsidRPr="00C14775">
        <w:rPr>
          <w:rFonts w:cs="Arial"/>
          <w:sz w:val="22"/>
        </w:rPr>
        <w:t>est engagé à verser jusqu</w:t>
      </w:r>
      <w:r w:rsidR="00E93319" w:rsidRPr="00C14775">
        <w:rPr>
          <w:rFonts w:cs="Arial"/>
          <w:sz w:val="22"/>
        </w:rPr>
        <w:t>’</w:t>
      </w:r>
      <w:r w:rsidRPr="00C14775">
        <w:rPr>
          <w:rFonts w:cs="Arial"/>
          <w:sz w:val="22"/>
        </w:rPr>
        <w:t>à 31 % du budget du projet, les autres partenaires participant à hauteur de 7 %. La contribution de l</w:t>
      </w:r>
      <w:r w:rsidR="00E93319" w:rsidRPr="00C14775">
        <w:rPr>
          <w:rFonts w:cs="Arial"/>
          <w:sz w:val="22"/>
        </w:rPr>
        <w:t>’</w:t>
      </w:r>
      <w:r w:rsidRPr="00C14775">
        <w:rPr>
          <w:rFonts w:cs="Arial"/>
          <w:sz w:val="22"/>
        </w:rPr>
        <w:t>État couvre le temps de travail du personnel, le matériel d</w:t>
      </w:r>
      <w:r w:rsidR="00E93319" w:rsidRPr="00C14775">
        <w:rPr>
          <w:rFonts w:cs="Arial"/>
          <w:sz w:val="22"/>
        </w:rPr>
        <w:t>’</w:t>
      </w:r>
      <w:r w:rsidRPr="00C14775">
        <w:rPr>
          <w:rFonts w:cs="Arial"/>
          <w:sz w:val="22"/>
        </w:rPr>
        <w:t>enregistrement, des conseils d</w:t>
      </w:r>
      <w:r w:rsidR="00E93319" w:rsidRPr="00C14775">
        <w:rPr>
          <w:rFonts w:cs="Arial"/>
          <w:sz w:val="22"/>
        </w:rPr>
        <w:t>’</w:t>
      </w:r>
      <w:r w:rsidRPr="00C14775">
        <w:rPr>
          <w:rFonts w:cs="Arial"/>
          <w:sz w:val="22"/>
        </w:rPr>
        <w:t xml:space="preserve">experts, </w:t>
      </w:r>
      <w:r w:rsidR="00AE137D" w:rsidRPr="00C14775">
        <w:rPr>
          <w:rFonts w:cs="Arial"/>
          <w:sz w:val="22"/>
        </w:rPr>
        <w:t xml:space="preserve">la préparation, </w:t>
      </w:r>
      <w:r w:rsidRPr="00C14775">
        <w:rPr>
          <w:rFonts w:cs="Arial"/>
          <w:sz w:val="22"/>
        </w:rPr>
        <w:t>la mise en page et l</w:t>
      </w:r>
      <w:r w:rsidR="00E93319" w:rsidRPr="00C14775">
        <w:rPr>
          <w:rFonts w:cs="Arial"/>
          <w:sz w:val="22"/>
        </w:rPr>
        <w:t>’</w:t>
      </w:r>
      <w:r w:rsidRPr="00C14775">
        <w:rPr>
          <w:rFonts w:cs="Arial"/>
          <w:sz w:val="22"/>
        </w:rPr>
        <w:t xml:space="preserve">impression, la traduction et la distribution des publications, les cachets des artistes, le marketing et la promotion, les coûts de diffusion, </w:t>
      </w:r>
      <w:proofErr w:type="spellStart"/>
      <w:r w:rsidRPr="00C14775">
        <w:rPr>
          <w:rFonts w:cs="Arial"/>
          <w:sz w:val="22"/>
        </w:rPr>
        <w:t>etc</w:t>
      </w:r>
      <w:proofErr w:type="spellEnd"/>
      <w:r w:rsidRPr="00C14775">
        <w:rPr>
          <w:rFonts w:cs="Arial"/>
          <w:sz w:val="22"/>
        </w:rPr>
        <w:t> ;</w:t>
      </w:r>
    </w:p>
    <w:p w:rsidR="003E6EC3"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 xml:space="preserve">A.6 : </w:t>
      </w:r>
      <w:r w:rsidRPr="00C14775">
        <w:rPr>
          <w:rFonts w:cs="Arial"/>
        </w:rPr>
        <w:tab/>
      </w:r>
      <w:r w:rsidRPr="00C14775">
        <w:rPr>
          <w:rFonts w:cs="Arial"/>
          <w:sz w:val="22"/>
        </w:rPr>
        <w:t>L</w:t>
      </w:r>
      <w:r w:rsidR="00E93319" w:rsidRPr="00C14775">
        <w:rPr>
          <w:rFonts w:cs="Arial"/>
          <w:sz w:val="22"/>
        </w:rPr>
        <w:t>’</w:t>
      </w:r>
      <w:r w:rsidRPr="00C14775">
        <w:rPr>
          <w:rFonts w:cs="Arial"/>
          <w:sz w:val="22"/>
        </w:rPr>
        <w:t>initiative proposée implique un partage des connaissances et un renforcement des capacités des communautés concernées et des jeunes (</w:t>
      </w:r>
      <w:r w:rsidR="003C0AB4" w:rsidRPr="00C14775">
        <w:rPr>
          <w:rFonts w:cs="Arial"/>
          <w:sz w:val="22"/>
        </w:rPr>
        <w:t>modélisation des recherches</w:t>
      </w:r>
      <w:r w:rsidRPr="00C14775">
        <w:rPr>
          <w:rFonts w:cs="Arial"/>
          <w:sz w:val="22"/>
        </w:rPr>
        <w:t>, renforcement des réseaux, consultation d</w:t>
      </w:r>
      <w:r w:rsidR="00E93319" w:rsidRPr="00C14775">
        <w:rPr>
          <w:rFonts w:cs="Arial"/>
          <w:sz w:val="22"/>
        </w:rPr>
        <w:t>’</w:t>
      </w:r>
      <w:r w:rsidRPr="00C14775">
        <w:rPr>
          <w:rFonts w:cs="Arial"/>
          <w:sz w:val="22"/>
        </w:rPr>
        <w:t xml:space="preserve">experts, implication de partenaires). Le dossier </w:t>
      </w:r>
      <w:r w:rsidR="003C0AB4" w:rsidRPr="00C14775">
        <w:rPr>
          <w:rFonts w:cs="Arial"/>
          <w:sz w:val="22"/>
        </w:rPr>
        <w:t xml:space="preserve">souligne la nature collaborative du projet entre le gouvernement et les communautés concernées et précise </w:t>
      </w:r>
      <w:r w:rsidRPr="00C14775">
        <w:rPr>
          <w:rFonts w:cs="Arial"/>
          <w:sz w:val="22"/>
        </w:rPr>
        <w:t>que les mécanismes de collaboration prévus dans le projet serviront de base aux futures initiatives de sauvegarde ;</w:t>
      </w:r>
    </w:p>
    <w:p w:rsidR="003E6EC3"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 xml:space="preserve">A.7 : </w:t>
      </w:r>
      <w:r w:rsidRPr="00C14775">
        <w:rPr>
          <w:rFonts w:cs="Arial"/>
        </w:rPr>
        <w:tab/>
      </w:r>
      <w:r w:rsidRPr="00C14775">
        <w:rPr>
          <w:rFonts w:cs="Arial"/>
          <w:sz w:val="22"/>
        </w:rPr>
        <w:t>Le Cambodge n</w:t>
      </w:r>
      <w:r w:rsidR="00E93319" w:rsidRPr="00C14775">
        <w:rPr>
          <w:rFonts w:cs="Arial"/>
          <w:sz w:val="22"/>
        </w:rPr>
        <w:t>’</w:t>
      </w:r>
      <w:r w:rsidRPr="00C14775">
        <w:rPr>
          <w:rFonts w:cs="Arial"/>
          <w:sz w:val="22"/>
        </w:rPr>
        <w:t>a encore reçu aucune assistance internationale du Fonds du patrimoine culturel immatériel ;</w:t>
      </w:r>
    </w:p>
    <w:p w:rsidR="003E6EC3" w:rsidRPr="00C14775" w:rsidRDefault="003E6EC3" w:rsidP="006A7327">
      <w:pPr>
        <w:tabs>
          <w:tab w:val="left" w:pos="1134"/>
          <w:tab w:val="left" w:pos="2268"/>
        </w:tabs>
        <w:spacing w:before="120" w:after="120"/>
        <w:ind w:left="1701" w:hanging="567"/>
        <w:jc w:val="both"/>
        <w:rPr>
          <w:rFonts w:cs="Arial"/>
          <w:sz w:val="22"/>
          <w:szCs w:val="22"/>
        </w:rPr>
      </w:pPr>
      <w:r w:rsidRPr="00C14775">
        <w:rPr>
          <w:rFonts w:cs="Arial"/>
          <w:sz w:val="22"/>
        </w:rPr>
        <w:t>Considération 10(a) : Le projet proposé est national et implique des partenaires locaux et nationaux ;</w:t>
      </w:r>
    </w:p>
    <w:p w:rsidR="003E6EC3" w:rsidRPr="00C14775" w:rsidRDefault="003E6EC3" w:rsidP="00470503">
      <w:pPr>
        <w:tabs>
          <w:tab w:val="left" w:pos="1134"/>
          <w:tab w:val="left" w:pos="1701"/>
          <w:tab w:val="left" w:pos="2268"/>
        </w:tabs>
        <w:spacing w:before="120" w:after="120"/>
        <w:ind w:left="1701" w:hanging="567"/>
        <w:jc w:val="both"/>
        <w:rPr>
          <w:rFonts w:cs="Arial"/>
          <w:sz w:val="22"/>
          <w:szCs w:val="22"/>
        </w:rPr>
      </w:pPr>
      <w:r w:rsidRPr="00C14775">
        <w:rPr>
          <w:rFonts w:cs="Arial"/>
          <w:sz w:val="22"/>
        </w:rPr>
        <w:t xml:space="preserve">Considération 10(b) : Le dossier décrit plusieurs mécanismes </w:t>
      </w:r>
      <w:r w:rsidR="0048763F" w:rsidRPr="00C14775">
        <w:rPr>
          <w:rFonts w:cs="Arial"/>
          <w:sz w:val="22"/>
        </w:rPr>
        <w:t xml:space="preserve">de levier </w:t>
      </w:r>
      <w:r w:rsidRPr="00C14775">
        <w:rPr>
          <w:rFonts w:cs="Arial"/>
          <w:sz w:val="22"/>
        </w:rPr>
        <w:t>(création de modèles facilitant l</w:t>
      </w:r>
      <w:r w:rsidR="00E93319" w:rsidRPr="00C14775">
        <w:rPr>
          <w:rFonts w:cs="Arial"/>
          <w:sz w:val="22"/>
        </w:rPr>
        <w:t>’</w:t>
      </w:r>
      <w:r w:rsidRPr="00C14775">
        <w:rPr>
          <w:rFonts w:cs="Arial"/>
          <w:sz w:val="22"/>
        </w:rPr>
        <w:t>accès à l</w:t>
      </w:r>
      <w:r w:rsidR="00E93319" w:rsidRPr="00C14775">
        <w:rPr>
          <w:rFonts w:cs="Arial"/>
          <w:sz w:val="22"/>
        </w:rPr>
        <w:t>’</w:t>
      </w:r>
      <w:r w:rsidRPr="00C14775">
        <w:rPr>
          <w:rFonts w:cs="Arial"/>
          <w:sz w:val="22"/>
        </w:rPr>
        <w:t xml:space="preserve">enseignement artistique dans les écoles publiques ; renforcement des mécanismes de transmission </w:t>
      </w:r>
      <w:r w:rsidR="0048763F" w:rsidRPr="00C14775">
        <w:rPr>
          <w:rFonts w:cs="Arial"/>
          <w:sz w:val="22"/>
        </w:rPr>
        <w:t>dans les communautés</w:t>
      </w:r>
      <w:r w:rsidRPr="00C14775">
        <w:rPr>
          <w:rFonts w:cs="Arial"/>
          <w:sz w:val="22"/>
        </w:rPr>
        <w:t>, accès renforcé aux sources internationales d</w:t>
      </w:r>
      <w:r w:rsidR="00E93319" w:rsidRPr="00C14775">
        <w:rPr>
          <w:rFonts w:cs="Arial"/>
          <w:sz w:val="22"/>
        </w:rPr>
        <w:t>’</w:t>
      </w:r>
      <w:r w:rsidRPr="00C14775">
        <w:rPr>
          <w:rFonts w:cs="Arial"/>
          <w:sz w:val="22"/>
        </w:rPr>
        <w:t>appui) au niveau des partenariats proposés et du renforcement de la visibilité de l</w:t>
      </w:r>
      <w:r w:rsidR="00E93319" w:rsidRPr="00C14775">
        <w:rPr>
          <w:rFonts w:cs="Arial"/>
          <w:sz w:val="22"/>
        </w:rPr>
        <w:t>’</w:t>
      </w:r>
      <w:r w:rsidRPr="00C14775">
        <w:rPr>
          <w:rFonts w:cs="Arial"/>
          <w:sz w:val="22"/>
        </w:rPr>
        <w:t>élément.</w:t>
      </w:r>
    </w:p>
    <w:p w:rsidR="003E6EC3" w:rsidRPr="00C14775" w:rsidRDefault="003E6EC3" w:rsidP="00551BB9">
      <w:pPr>
        <w:numPr>
          <w:ilvl w:val="0"/>
          <w:numId w:val="21"/>
        </w:numPr>
        <w:tabs>
          <w:tab w:val="left" w:pos="1134"/>
          <w:tab w:val="left" w:pos="1701"/>
          <w:tab w:val="left" w:pos="2268"/>
        </w:tabs>
        <w:spacing w:before="120" w:after="120"/>
        <w:ind w:left="1134" w:hanging="567"/>
        <w:jc w:val="both"/>
        <w:rPr>
          <w:rFonts w:cs="Arial"/>
          <w:bCs/>
          <w:sz w:val="22"/>
          <w:szCs w:val="22"/>
          <w:u w:val="single"/>
        </w:rPr>
      </w:pPr>
      <w:r w:rsidRPr="00C14775">
        <w:rPr>
          <w:rFonts w:cs="Arial"/>
          <w:sz w:val="22"/>
          <w:u w:val="single"/>
        </w:rPr>
        <w:t>Décide d</w:t>
      </w:r>
      <w:r w:rsidR="00E93319" w:rsidRPr="00C14775">
        <w:rPr>
          <w:rFonts w:cs="Arial"/>
          <w:sz w:val="22"/>
          <w:u w:val="single"/>
        </w:rPr>
        <w:t>’</w:t>
      </w:r>
      <w:r w:rsidRPr="00C14775">
        <w:rPr>
          <w:rFonts w:cs="Arial"/>
          <w:sz w:val="22"/>
          <w:u w:val="single"/>
        </w:rPr>
        <w:t>approuver</w:t>
      </w:r>
      <w:r w:rsidRPr="00C14775">
        <w:rPr>
          <w:rFonts w:cs="Arial"/>
          <w:sz w:val="22"/>
        </w:rPr>
        <w:t xml:space="preserve"> la demande d</w:t>
      </w:r>
      <w:r w:rsidR="00E93319" w:rsidRPr="00C14775">
        <w:rPr>
          <w:rFonts w:cs="Arial"/>
          <w:sz w:val="22"/>
        </w:rPr>
        <w:t>’</w:t>
      </w:r>
      <w:r w:rsidRPr="00C14775">
        <w:rPr>
          <w:rFonts w:cs="Arial"/>
          <w:sz w:val="22"/>
        </w:rPr>
        <w:t xml:space="preserve">assistance internationale du Cambodge pour mettre en œuvre le plan de sauvegarde du </w:t>
      </w:r>
      <w:proofErr w:type="spellStart"/>
      <w:r w:rsidRPr="00C14775">
        <w:rPr>
          <w:rFonts w:cs="Arial"/>
          <w:sz w:val="22"/>
        </w:rPr>
        <w:t>chapei</w:t>
      </w:r>
      <w:proofErr w:type="spellEnd"/>
      <w:r w:rsidRPr="00C14775">
        <w:rPr>
          <w:rFonts w:cs="Arial"/>
          <w:sz w:val="22"/>
        </w:rPr>
        <w:t xml:space="preserve"> Dang </w:t>
      </w:r>
      <w:proofErr w:type="spellStart"/>
      <w:r w:rsidRPr="00C14775">
        <w:rPr>
          <w:rFonts w:cs="Arial"/>
          <w:sz w:val="22"/>
        </w:rPr>
        <w:t>Veng</w:t>
      </w:r>
      <w:proofErr w:type="spellEnd"/>
      <w:r w:rsidRPr="00C14775">
        <w:rPr>
          <w:rFonts w:cs="Arial"/>
          <w:sz w:val="22"/>
        </w:rPr>
        <w:t xml:space="preserve"> et d</w:t>
      </w:r>
      <w:r w:rsidR="00E93319" w:rsidRPr="00C14775">
        <w:rPr>
          <w:rFonts w:cs="Arial"/>
          <w:sz w:val="22"/>
        </w:rPr>
        <w:t>’</w:t>
      </w:r>
      <w:r w:rsidRPr="00C14775">
        <w:rPr>
          <w:rFonts w:cs="Arial"/>
          <w:sz w:val="22"/>
        </w:rPr>
        <w:t>accorder à l</w:t>
      </w:r>
      <w:r w:rsidR="00E93319" w:rsidRPr="00C14775">
        <w:rPr>
          <w:rFonts w:cs="Arial"/>
          <w:sz w:val="22"/>
        </w:rPr>
        <w:t>’</w:t>
      </w:r>
      <w:r w:rsidRPr="00C14775">
        <w:rPr>
          <w:rFonts w:cs="Arial"/>
          <w:sz w:val="22"/>
        </w:rPr>
        <w:t>État soumissionnaire une somme de 238 970 dollars des États-Unis à cet effet ;</w:t>
      </w:r>
    </w:p>
    <w:p w:rsidR="0046424E" w:rsidRPr="00C14775" w:rsidRDefault="0046424E" w:rsidP="00551BB9">
      <w:pPr>
        <w:numPr>
          <w:ilvl w:val="0"/>
          <w:numId w:val="21"/>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Demande</w:t>
      </w:r>
      <w:r w:rsidRPr="00C14775">
        <w:rPr>
          <w:rFonts w:cs="Arial"/>
          <w:sz w:val="22"/>
        </w:rPr>
        <w:t xml:space="preserve"> à l</w:t>
      </w:r>
      <w:r w:rsidR="00E93319" w:rsidRPr="00C14775">
        <w:rPr>
          <w:rFonts w:cs="Arial"/>
          <w:sz w:val="22"/>
        </w:rPr>
        <w:t>’</w:t>
      </w:r>
      <w:r w:rsidRPr="00C14775">
        <w:rPr>
          <w:rFonts w:cs="Arial"/>
          <w:sz w:val="22"/>
        </w:rPr>
        <w:t xml:space="preserve">État soumissionnaire de </w:t>
      </w:r>
      <w:r w:rsidR="0048763F" w:rsidRPr="00C14775">
        <w:rPr>
          <w:rFonts w:cs="Arial"/>
          <w:sz w:val="22"/>
        </w:rPr>
        <w:t xml:space="preserve">travailler avec le Secrétariat, dans les meilleurs délais, afin de </w:t>
      </w:r>
      <w:r w:rsidRPr="00C14775">
        <w:rPr>
          <w:rFonts w:cs="Arial"/>
          <w:sz w:val="22"/>
        </w:rPr>
        <w:t>clarifier la ventilation du budget et de veiller à ce qu</w:t>
      </w:r>
      <w:r w:rsidR="00E93319" w:rsidRPr="00C14775">
        <w:rPr>
          <w:rFonts w:cs="Arial"/>
          <w:sz w:val="22"/>
        </w:rPr>
        <w:t>’</w:t>
      </w:r>
      <w:r w:rsidRPr="00C14775">
        <w:rPr>
          <w:rFonts w:cs="Arial"/>
          <w:sz w:val="22"/>
        </w:rPr>
        <w:t xml:space="preserve">il corresponde </w:t>
      </w:r>
      <w:r w:rsidR="00C95B46" w:rsidRPr="00C14775">
        <w:rPr>
          <w:rFonts w:cs="Arial"/>
          <w:sz w:val="22"/>
        </w:rPr>
        <w:t xml:space="preserve">exactement </w:t>
      </w:r>
      <w:r w:rsidRPr="00C14775">
        <w:rPr>
          <w:rFonts w:cs="Arial"/>
          <w:sz w:val="22"/>
        </w:rPr>
        <w:t>et co</w:t>
      </w:r>
      <w:r w:rsidR="00037342">
        <w:rPr>
          <w:rFonts w:cs="Arial"/>
          <w:sz w:val="22"/>
        </w:rPr>
        <w:t>nvienne aux activités prévues ;</w:t>
      </w:r>
    </w:p>
    <w:p w:rsidR="008B4CAE" w:rsidRPr="00C14775" w:rsidRDefault="003E6EC3" w:rsidP="00470503">
      <w:pPr>
        <w:numPr>
          <w:ilvl w:val="0"/>
          <w:numId w:val="21"/>
        </w:numPr>
        <w:tabs>
          <w:tab w:val="left" w:pos="1134"/>
          <w:tab w:val="left" w:pos="1701"/>
          <w:tab w:val="left" w:pos="2268"/>
        </w:tabs>
        <w:spacing w:before="120" w:after="120"/>
        <w:ind w:left="1134" w:hanging="567"/>
        <w:jc w:val="both"/>
        <w:rPr>
          <w:rFonts w:cs="Arial"/>
          <w:bCs/>
          <w:sz w:val="22"/>
          <w:szCs w:val="22"/>
        </w:rPr>
      </w:pPr>
      <w:r w:rsidRPr="00C14775">
        <w:rPr>
          <w:rFonts w:cs="Arial"/>
          <w:sz w:val="22"/>
          <w:u w:val="single"/>
        </w:rPr>
        <w:t>Invite également</w:t>
      </w:r>
      <w:r w:rsidRPr="00C14775">
        <w:rPr>
          <w:rFonts w:cs="Arial"/>
          <w:sz w:val="22"/>
        </w:rPr>
        <w:t xml:space="preserve"> l</w:t>
      </w:r>
      <w:r w:rsidR="00E93319" w:rsidRPr="00C14775">
        <w:rPr>
          <w:rFonts w:cs="Arial"/>
          <w:sz w:val="22"/>
        </w:rPr>
        <w:t>’</w:t>
      </w:r>
      <w:r w:rsidRPr="00C14775">
        <w:rPr>
          <w:rFonts w:cs="Arial"/>
          <w:sz w:val="22"/>
        </w:rPr>
        <w:t>État soumissionnaire à rendre compte de l</w:t>
      </w:r>
      <w:r w:rsidR="00E93319" w:rsidRPr="00C14775">
        <w:rPr>
          <w:rFonts w:cs="Arial"/>
          <w:sz w:val="22"/>
        </w:rPr>
        <w:t>’</w:t>
      </w:r>
      <w:r w:rsidRPr="00C14775">
        <w:rPr>
          <w:rFonts w:cs="Arial"/>
          <w:sz w:val="22"/>
        </w:rPr>
        <w:t>utilisation de l</w:t>
      </w:r>
      <w:r w:rsidR="00E93319" w:rsidRPr="00C14775">
        <w:rPr>
          <w:rFonts w:cs="Arial"/>
          <w:sz w:val="22"/>
        </w:rPr>
        <w:t>’</w:t>
      </w:r>
      <w:r w:rsidRPr="00C14775">
        <w:rPr>
          <w:rFonts w:cs="Arial"/>
          <w:sz w:val="22"/>
        </w:rPr>
        <w:t xml:space="preserve">assistance </w:t>
      </w:r>
      <w:r w:rsidR="0048763F" w:rsidRPr="00C14775">
        <w:rPr>
          <w:rFonts w:cs="Arial"/>
          <w:sz w:val="22"/>
        </w:rPr>
        <w:t xml:space="preserve">accordée </w:t>
      </w:r>
      <w:r w:rsidRPr="00C14775">
        <w:rPr>
          <w:rFonts w:cs="Arial"/>
          <w:sz w:val="22"/>
        </w:rPr>
        <w:t>au moyen du formulaire ICH-04-R</w:t>
      </w:r>
      <w:r w:rsidR="0048763F" w:rsidRPr="00C14775">
        <w:rPr>
          <w:rFonts w:cs="Arial"/>
          <w:sz w:val="22"/>
        </w:rPr>
        <w:t>ap</w:t>
      </w:r>
      <w:r w:rsidRPr="00C14775">
        <w:rPr>
          <w:rFonts w:cs="Arial"/>
          <w:sz w:val="22"/>
        </w:rPr>
        <w:t>port.</w:t>
      </w:r>
    </w:p>
    <w:sectPr w:rsidR="008B4CAE" w:rsidRPr="00C14775" w:rsidSect="00037342">
      <w:headerReference w:type="first" r:id="rId23"/>
      <w:pgSz w:w="11906" w:h="16838"/>
      <w:pgMar w:top="1418" w:right="1134" w:bottom="1134" w:left="1134" w:header="39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2C" w:rsidRDefault="00717F2C" w:rsidP="004963DE">
      <w:r>
        <w:separator/>
      </w:r>
    </w:p>
  </w:endnote>
  <w:endnote w:type="continuationSeparator" w:id="0">
    <w:p w:rsidR="00717F2C" w:rsidRDefault="00717F2C" w:rsidP="004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2C" w:rsidRDefault="00717F2C" w:rsidP="004963DE">
      <w:r>
        <w:separator/>
      </w:r>
    </w:p>
  </w:footnote>
  <w:footnote w:type="continuationSeparator" w:id="0">
    <w:p w:rsidR="00717F2C" w:rsidRDefault="00717F2C" w:rsidP="00496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E9" w:rsidRPr="00037342" w:rsidRDefault="008032E9">
    <w:pPr>
      <w:pStyle w:val="Header"/>
      <w:rPr>
        <w:rFonts w:eastAsia="Malgun Gothic" w:cs="Arial"/>
        <w:sz w:val="20"/>
        <w:szCs w:val="20"/>
        <w:lang w:eastAsia="ko-KR"/>
      </w:rPr>
    </w:pPr>
    <w:r>
      <w:rPr>
        <w:sz w:val="20"/>
      </w:rPr>
      <w:t xml:space="preserve">ITH/16/11.COM/10.a – page </w:t>
    </w:r>
    <w:r w:rsidRPr="00470503">
      <w:rPr>
        <w:rStyle w:val="PageNumber"/>
        <w:rFonts w:cs="Arial"/>
        <w:sz w:val="20"/>
        <w:szCs w:val="20"/>
      </w:rPr>
      <w:fldChar w:fldCharType="begin"/>
    </w:r>
    <w:r w:rsidRPr="00470503">
      <w:rPr>
        <w:rStyle w:val="PageNumber"/>
        <w:rFonts w:cs="Arial"/>
        <w:sz w:val="20"/>
        <w:szCs w:val="20"/>
      </w:rPr>
      <w:instrText xml:space="preserve"> PAGE </w:instrText>
    </w:r>
    <w:r w:rsidRPr="00470503">
      <w:rPr>
        <w:rStyle w:val="PageNumber"/>
        <w:rFonts w:cs="Arial"/>
        <w:sz w:val="20"/>
        <w:szCs w:val="20"/>
      </w:rPr>
      <w:fldChar w:fldCharType="separate"/>
    </w:r>
    <w:r w:rsidR="00F616D9">
      <w:rPr>
        <w:rStyle w:val="PageNumber"/>
        <w:rFonts w:cs="Arial"/>
        <w:noProof/>
        <w:sz w:val="20"/>
        <w:szCs w:val="20"/>
      </w:rPr>
      <w:t>4</w:t>
    </w:r>
    <w:r w:rsidRPr="00470503">
      <w:rPr>
        <w:rStyle w:val="PageNumber"/>
        <w:rFonts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E9" w:rsidRPr="00037342" w:rsidRDefault="008032E9" w:rsidP="00037342">
    <w:pPr>
      <w:pStyle w:val="Header"/>
      <w:jc w:val="right"/>
      <w:rPr>
        <w:rFonts w:eastAsia="Malgun Gothic" w:cs="Arial"/>
        <w:sz w:val="20"/>
        <w:szCs w:val="20"/>
        <w:lang w:eastAsia="ko-KR"/>
      </w:rPr>
    </w:pPr>
    <w:r>
      <w:tab/>
    </w:r>
    <w:r>
      <w:rPr>
        <w:sz w:val="20"/>
      </w:rPr>
      <w:t xml:space="preserve">ITH/16/11.COM/10.a – page </w:t>
    </w:r>
    <w:r w:rsidRPr="00470503">
      <w:rPr>
        <w:rStyle w:val="PageNumber"/>
        <w:rFonts w:cs="Arial"/>
        <w:sz w:val="20"/>
        <w:szCs w:val="20"/>
      </w:rPr>
      <w:fldChar w:fldCharType="begin"/>
    </w:r>
    <w:r w:rsidRPr="00470503">
      <w:rPr>
        <w:rStyle w:val="PageNumber"/>
        <w:rFonts w:cs="Arial"/>
        <w:sz w:val="20"/>
        <w:szCs w:val="20"/>
      </w:rPr>
      <w:instrText xml:space="preserve"> PAGE </w:instrText>
    </w:r>
    <w:r w:rsidRPr="00470503">
      <w:rPr>
        <w:rStyle w:val="PageNumber"/>
        <w:rFonts w:cs="Arial"/>
        <w:sz w:val="20"/>
        <w:szCs w:val="20"/>
      </w:rPr>
      <w:fldChar w:fldCharType="separate"/>
    </w:r>
    <w:r w:rsidR="00F616D9">
      <w:rPr>
        <w:rStyle w:val="PageNumber"/>
        <w:rFonts w:cs="Arial"/>
        <w:noProof/>
        <w:sz w:val="20"/>
        <w:szCs w:val="20"/>
      </w:rPr>
      <w:t>3</w:t>
    </w:r>
    <w:r w:rsidRPr="00470503">
      <w:rPr>
        <w:rStyle w:val="PageNumber"/>
        <w:rFonts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E9" w:rsidRPr="00F32C23" w:rsidRDefault="008032E9" w:rsidP="00FB03A8">
    <w:pPr>
      <w:pStyle w:val="Header"/>
    </w:pPr>
    <w:r w:rsidRPr="003677D7">
      <w:rPr>
        <w:noProof/>
        <w:lang w:eastAsia="ko-KR" w:bidi="ar-SA"/>
      </w:rPr>
      <w:drawing>
        <wp:anchor distT="0" distB="0" distL="114300" distR="114300" simplePos="0" relativeHeight="251659264" behindDoc="0" locked="0" layoutInCell="1" allowOverlap="1" wp14:anchorId="0FF328BC" wp14:editId="7E6E7B2D">
          <wp:simplePos x="0" y="0"/>
          <wp:positionH relativeFrom="column">
            <wp:posOffset>-377190</wp:posOffset>
          </wp:positionH>
          <wp:positionV relativeFrom="page">
            <wp:posOffset>255905</wp:posOffset>
          </wp:positionV>
          <wp:extent cx="2037600" cy="1533600"/>
          <wp:effectExtent l="0" t="0" r="1270" b="0"/>
          <wp:wrapNone/>
          <wp:docPr id="9"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32E9" w:rsidRPr="00627004" w:rsidRDefault="008032E9" w:rsidP="00FB03A8">
    <w:pPr>
      <w:pStyle w:val="Header"/>
      <w:spacing w:after="520"/>
      <w:jc w:val="right"/>
      <w:rPr>
        <w:rFonts w:cs="Arial"/>
        <w:b/>
        <w:sz w:val="44"/>
        <w:szCs w:val="44"/>
        <w:lang w:val="pt-BR"/>
      </w:rPr>
    </w:pPr>
    <w:r w:rsidRPr="00627004">
      <w:rPr>
        <w:b/>
        <w:sz w:val="44"/>
        <w:lang w:val="pt-BR"/>
      </w:rPr>
      <w:t>11 COM</w:t>
    </w:r>
  </w:p>
  <w:p w:rsidR="008032E9" w:rsidRDefault="008032E9" w:rsidP="00FB03A8">
    <w:pPr>
      <w:jc w:val="right"/>
      <w:rPr>
        <w:b/>
        <w:sz w:val="22"/>
        <w:lang w:val="pt-BR"/>
      </w:rPr>
    </w:pPr>
    <w:r w:rsidRPr="00627004">
      <w:rPr>
        <w:b/>
        <w:sz w:val="22"/>
        <w:lang w:val="pt-BR"/>
      </w:rPr>
      <w:t>ITH/</w:t>
    </w:r>
    <w:proofErr w:type="gramStart"/>
    <w:r w:rsidRPr="00627004">
      <w:rPr>
        <w:b/>
        <w:sz w:val="22"/>
        <w:lang w:val="pt-BR"/>
      </w:rPr>
      <w:t>16/11.</w:t>
    </w:r>
    <w:proofErr w:type="gramEnd"/>
    <w:r w:rsidRPr="00627004">
      <w:rPr>
        <w:b/>
        <w:sz w:val="22"/>
        <w:lang w:val="pt-BR"/>
      </w:rPr>
      <w:t>COM</w:t>
    </w:r>
    <w:r w:rsidR="004F0FAB">
      <w:rPr>
        <w:b/>
        <w:sz w:val="22"/>
        <w:lang w:val="pt-BR"/>
      </w:rPr>
      <w:t>/10.a</w:t>
    </w:r>
    <w:r w:rsidR="00027C2A">
      <w:rPr>
        <w:b/>
        <w:sz w:val="22"/>
        <w:lang w:val="pt-BR"/>
      </w:rPr>
      <w:t xml:space="preserve"> </w:t>
    </w:r>
    <w:proofErr w:type="spellStart"/>
    <w:r w:rsidR="00027C2A">
      <w:rPr>
        <w:b/>
        <w:sz w:val="22"/>
        <w:lang w:val="pt-BR"/>
      </w:rPr>
      <w:t>Add</w:t>
    </w:r>
    <w:proofErr w:type="spellEnd"/>
    <w:r w:rsidR="00027C2A">
      <w:rPr>
        <w:b/>
        <w:sz w:val="22"/>
        <w:lang w:val="pt-BR"/>
      </w:rPr>
      <w:t>.</w:t>
    </w:r>
  </w:p>
  <w:p w:rsidR="008032E9" w:rsidRPr="00627004" w:rsidRDefault="008032E9" w:rsidP="00FB03A8">
    <w:pPr>
      <w:jc w:val="right"/>
      <w:rPr>
        <w:rFonts w:cs="Arial"/>
        <w:b/>
        <w:sz w:val="22"/>
        <w:szCs w:val="22"/>
        <w:lang w:val="pt-BR"/>
      </w:rPr>
    </w:pPr>
    <w:r w:rsidRPr="00627004">
      <w:rPr>
        <w:b/>
        <w:sz w:val="22"/>
        <w:lang w:val="pt-BR"/>
      </w:rPr>
      <w:t xml:space="preserve">Paris, </w:t>
    </w:r>
    <w:proofErr w:type="spellStart"/>
    <w:proofErr w:type="gramStart"/>
    <w:r>
      <w:rPr>
        <w:b/>
        <w:sz w:val="22"/>
        <w:lang w:val="pt-BR"/>
      </w:rPr>
      <w:t>le</w:t>
    </w:r>
    <w:proofErr w:type="spellEnd"/>
    <w:proofErr w:type="gramEnd"/>
    <w:r>
      <w:rPr>
        <w:b/>
        <w:sz w:val="22"/>
        <w:lang w:val="pt-BR"/>
      </w:rPr>
      <w:t xml:space="preserve"> </w:t>
    </w:r>
    <w:r w:rsidR="00027C2A" w:rsidRPr="00F616D9">
      <w:rPr>
        <w:rFonts w:eastAsia="Malgun Gothic"/>
        <w:b/>
        <w:sz w:val="22"/>
        <w:lang w:val="pt-BR" w:eastAsia="ko-KR"/>
      </w:rPr>
      <w:t>18</w:t>
    </w:r>
    <w:r w:rsidR="00027C2A">
      <w:rPr>
        <w:rFonts w:eastAsia="Malgun Gothic"/>
        <w:b/>
        <w:sz w:val="22"/>
        <w:lang w:val="pt-BR" w:eastAsia="ko-KR"/>
      </w:rPr>
      <w:t xml:space="preserve"> </w:t>
    </w:r>
    <w:proofErr w:type="spellStart"/>
    <w:r w:rsidR="00027C2A">
      <w:rPr>
        <w:rFonts w:eastAsia="Malgun Gothic"/>
        <w:b/>
        <w:sz w:val="22"/>
        <w:lang w:val="pt-BR" w:eastAsia="ko-KR"/>
      </w:rPr>
      <w:t>novembre</w:t>
    </w:r>
    <w:proofErr w:type="spellEnd"/>
    <w:r w:rsidR="004F0FAB" w:rsidRPr="00627004">
      <w:rPr>
        <w:b/>
        <w:sz w:val="22"/>
        <w:lang w:val="pt-BR"/>
      </w:rPr>
      <w:t xml:space="preserve"> </w:t>
    </w:r>
    <w:r w:rsidRPr="00627004">
      <w:rPr>
        <w:b/>
        <w:sz w:val="22"/>
        <w:lang w:val="pt-BR"/>
      </w:rPr>
      <w:t>2016</w:t>
    </w:r>
  </w:p>
  <w:p w:rsidR="008032E9" w:rsidRPr="00037342" w:rsidRDefault="008032E9" w:rsidP="00037342">
    <w:pPr>
      <w:jc w:val="right"/>
      <w:rPr>
        <w:rFonts w:eastAsia="Malgun Gothic" w:cs="Arial"/>
        <w:b/>
        <w:sz w:val="22"/>
        <w:szCs w:val="22"/>
        <w:lang w:eastAsia="ko-KR"/>
      </w:rPr>
    </w:pPr>
    <w:r>
      <w:rPr>
        <w:b/>
        <w:sz w:val="22"/>
      </w:rPr>
      <w:t>Original : anglais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2A" w:rsidRPr="00F32C23" w:rsidRDefault="00027C2A" w:rsidP="00FB03A8">
    <w:pPr>
      <w:pStyle w:val="Header"/>
    </w:pPr>
    <w:r w:rsidRPr="003677D7">
      <w:rPr>
        <w:noProof/>
        <w:lang w:eastAsia="ko-KR" w:bidi="ar-SA"/>
      </w:rPr>
      <w:drawing>
        <wp:anchor distT="0" distB="0" distL="114300" distR="114300" simplePos="0" relativeHeight="251661312" behindDoc="0" locked="0" layoutInCell="1" allowOverlap="1" wp14:anchorId="5A494F4A" wp14:editId="4973B495">
          <wp:simplePos x="0" y="0"/>
          <wp:positionH relativeFrom="column">
            <wp:posOffset>-377190</wp:posOffset>
          </wp:positionH>
          <wp:positionV relativeFrom="page">
            <wp:posOffset>255905</wp:posOffset>
          </wp:positionV>
          <wp:extent cx="2037600" cy="1533600"/>
          <wp:effectExtent l="0" t="0" r="1270" b="0"/>
          <wp:wrapNone/>
          <wp:docPr id="10"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7C2A" w:rsidRPr="00627004" w:rsidRDefault="00027C2A" w:rsidP="00FB03A8">
    <w:pPr>
      <w:pStyle w:val="Header"/>
      <w:spacing w:after="520"/>
      <w:jc w:val="right"/>
      <w:rPr>
        <w:rFonts w:cs="Arial"/>
        <w:b/>
        <w:sz w:val="44"/>
        <w:szCs w:val="44"/>
        <w:lang w:val="pt-BR"/>
      </w:rPr>
    </w:pPr>
    <w:r w:rsidRPr="00627004">
      <w:rPr>
        <w:b/>
        <w:sz w:val="44"/>
        <w:lang w:val="pt-BR"/>
      </w:rPr>
      <w:t>11 COM</w:t>
    </w:r>
  </w:p>
  <w:p w:rsidR="00027C2A" w:rsidRDefault="00027C2A" w:rsidP="00FB03A8">
    <w:pPr>
      <w:jc w:val="right"/>
      <w:rPr>
        <w:b/>
        <w:sz w:val="22"/>
        <w:lang w:val="pt-BR"/>
      </w:rPr>
    </w:pPr>
    <w:r w:rsidRPr="00627004">
      <w:rPr>
        <w:b/>
        <w:sz w:val="22"/>
        <w:lang w:val="pt-BR"/>
      </w:rPr>
      <w:t>ITH/</w:t>
    </w:r>
    <w:proofErr w:type="gramStart"/>
    <w:r w:rsidRPr="00627004">
      <w:rPr>
        <w:b/>
        <w:sz w:val="22"/>
        <w:lang w:val="pt-BR"/>
      </w:rPr>
      <w:t>16/11.</w:t>
    </w:r>
    <w:proofErr w:type="gramEnd"/>
    <w:r w:rsidRPr="00627004">
      <w:rPr>
        <w:b/>
        <w:sz w:val="22"/>
        <w:lang w:val="pt-BR"/>
      </w:rPr>
      <w:t>COM</w:t>
    </w:r>
    <w:r>
      <w:rPr>
        <w:b/>
        <w:sz w:val="22"/>
        <w:lang w:val="pt-BR"/>
      </w:rPr>
      <w:t>/10.a</w:t>
    </w:r>
  </w:p>
  <w:p w:rsidR="00027C2A" w:rsidRPr="00627004" w:rsidRDefault="00027C2A" w:rsidP="00FB03A8">
    <w:pPr>
      <w:jc w:val="right"/>
      <w:rPr>
        <w:rFonts w:cs="Arial"/>
        <w:b/>
        <w:sz w:val="22"/>
        <w:szCs w:val="22"/>
        <w:lang w:val="pt-BR"/>
      </w:rPr>
    </w:pPr>
    <w:r w:rsidRPr="00627004">
      <w:rPr>
        <w:b/>
        <w:sz w:val="22"/>
        <w:lang w:val="pt-BR"/>
      </w:rPr>
      <w:t xml:space="preserve">Paris, </w:t>
    </w:r>
    <w:proofErr w:type="spellStart"/>
    <w:proofErr w:type="gramStart"/>
    <w:r>
      <w:rPr>
        <w:b/>
        <w:sz w:val="22"/>
        <w:lang w:val="pt-BR"/>
      </w:rPr>
      <w:t>le</w:t>
    </w:r>
    <w:proofErr w:type="spellEnd"/>
    <w:proofErr w:type="gramEnd"/>
    <w:r>
      <w:rPr>
        <w:b/>
        <w:sz w:val="22"/>
        <w:lang w:val="pt-BR"/>
      </w:rPr>
      <w:t xml:space="preserve"> </w:t>
    </w:r>
    <w:r>
      <w:rPr>
        <w:rFonts w:eastAsia="Malgun Gothic" w:hint="eastAsia"/>
        <w:b/>
        <w:sz w:val="22"/>
        <w:lang w:val="pt-BR" w:eastAsia="ko-KR"/>
      </w:rPr>
      <w:t>31</w:t>
    </w:r>
    <w:r>
      <w:rPr>
        <w:b/>
        <w:sz w:val="22"/>
        <w:lang w:val="pt-BR"/>
      </w:rPr>
      <w:t xml:space="preserve"> </w:t>
    </w:r>
    <w:proofErr w:type="spellStart"/>
    <w:r>
      <w:rPr>
        <w:b/>
        <w:sz w:val="22"/>
        <w:lang w:val="pt-BR"/>
      </w:rPr>
      <w:t>octobre</w:t>
    </w:r>
    <w:proofErr w:type="spellEnd"/>
    <w:r w:rsidRPr="00627004">
      <w:rPr>
        <w:b/>
        <w:sz w:val="22"/>
        <w:lang w:val="pt-BR"/>
      </w:rPr>
      <w:t xml:space="preserve"> 2016</w:t>
    </w:r>
  </w:p>
  <w:p w:rsidR="00027C2A" w:rsidRPr="00037342" w:rsidRDefault="00027C2A" w:rsidP="00037342">
    <w:pPr>
      <w:jc w:val="right"/>
      <w:rPr>
        <w:rFonts w:eastAsia="Malgun Gothic" w:cs="Arial"/>
        <w:b/>
        <w:sz w:val="22"/>
        <w:szCs w:val="22"/>
        <w:lang w:eastAsia="ko-KR"/>
      </w:rPr>
    </w:pPr>
    <w:r>
      <w:rPr>
        <w:b/>
        <w:sz w:val="22"/>
      </w:rPr>
      <w:t>Original : anglais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C94"/>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B031E6"/>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34109C"/>
    <w:multiLevelType w:val="hybridMultilevel"/>
    <w:tmpl w:val="CEA67528"/>
    <w:lvl w:ilvl="0" w:tplc="AB78B04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4176C6"/>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854"/>
    <w:multiLevelType w:val="hybridMultilevel"/>
    <w:tmpl w:val="752C9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A37A5F"/>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2A4B87"/>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F07BFE"/>
    <w:multiLevelType w:val="hybridMultilevel"/>
    <w:tmpl w:val="E24AD55A"/>
    <w:lvl w:ilvl="0" w:tplc="C30476CA">
      <w:start w:val="1"/>
      <w:numFmt w:val="decimal"/>
      <w:pStyle w:val="COMPara"/>
      <w:lvlText w:val="%1."/>
      <w:lvlJc w:val="left"/>
      <w:pPr>
        <w:ind w:left="720" w:hanging="360"/>
      </w:pPr>
    </w:lvl>
    <w:lvl w:ilvl="1" w:tplc="0019040C">
      <w:start w:val="1"/>
      <w:numFmt w:val="lowerLetter"/>
      <w:lvlText w:val="%2."/>
      <w:lvlJc w:val="left"/>
      <w:pPr>
        <w:ind w:left="1440" w:hanging="360"/>
      </w:pPr>
    </w:lvl>
    <w:lvl w:ilvl="2" w:tplc="001B040C">
      <w:start w:val="1"/>
      <w:numFmt w:val="lowerRoman"/>
      <w:lvlText w:val="%3."/>
      <w:lvlJc w:val="right"/>
      <w:pPr>
        <w:ind w:left="2160" w:hanging="180"/>
      </w:pPr>
    </w:lvl>
    <w:lvl w:ilvl="3" w:tplc="000F040C">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9">
    <w:nsid w:val="397A4DB1"/>
    <w:multiLevelType w:val="hybridMultilevel"/>
    <w:tmpl w:val="6472FB38"/>
    <w:lvl w:ilvl="0" w:tplc="8C342E58">
      <w:start w:val="1"/>
      <w:numFmt w:val="decimal"/>
      <w:pStyle w:val="COMParaDecision"/>
      <w:lvlText w:val="%1."/>
      <w:lvlJc w:val="left"/>
      <w:pPr>
        <w:ind w:left="1287" w:hanging="360"/>
      </w:pPr>
      <w:rPr>
        <w:rFonts w:ascii="Arial" w:hAnsi="Arial" w:cs="Arial"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40AF411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615619"/>
    <w:multiLevelType w:val="hybridMultilevel"/>
    <w:tmpl w:val="692E75EE"/>
    <w:lvl w:ilvl="0" w:tplc="68E6DBF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53374C4"/>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AF021EC"/>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0C7EBB"/>
    <w:multiLevelType w:val="hybridMultilevel"/>
    <w:tmpl w:val="4968705E"/>
    <w:lvl w:ilvl="0" w:tplc="2D8CC14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639AD"/>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16C5D06"/>
    <w:multiLevelType w:val="hybridMultilevel"/>
    <w:tmpl w:val="03E497A6"/>
    <w:lvl w:ilvl="0" w:tplc="F35CBE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20147D4"/>
    <w:multiLevelType w:val="hybridMultilevel"/>
    <w:tmpl w:val="D54A3686"/>
    <w:lvl w:ilvl="0" w:tplc="59B27ED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005CE7"/>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E90C99"/>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AE01B18"/>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CD172C"/>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BCF5277"/>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DA2697C"/>
    <w:multiLevelType w:val="hybridMultilevel"/>
    <w:tmpl w:val="2F1487DA"/>
    <w:lvl w:ilvl="0" w:tplc="8618C46C">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01A0A"/>
    <w:multiLevelType w:val="hybridMultilevel"/>
    <w:tmpl w:val="03CAD052"/>
    <w:lvl w:ilvl="0" w:tplc="D8EAC81E">
      <w:start w:val="1"/>
      <w:numFmt w:val="upperLetter"/>
      <w:lvlText w:val="%1."/>
      <w:lvlJc w:val="left"/>
      <w:pPr>
        <w:ind w:left="930" w:hanging="570"/>
      </w:pPr>
      <w:rPr>
        <w:rFonts w:hint="default"/>
      </w:rPr>
    </w:lvl>
    <w:lvl w:ilvl="1" w:tplc="0019040C">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25">
    <w:nsid w:val="63452B39"/>
    <w:multiLevelType w:val="hybridMultilevel"/>
    <w:tmpl w:val="B22AA128"/>
    <w:lvl w:ilvl="0" w:tplc="EC7A85BC">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765" w:hanging="360"/>
      </w:pPr>
    </w:lvl>
    <w:lvl w:ilvl="2" w:tplc="040C001B" w:tentative="1">
      <w:start w:val="1"/>
      <w:numFmt w:val="lowerRoman"/>
      <w:lvlText w:val="%3."/>
      <w:lvlJc w:val="right"/>
      <w:pPr>
        <w:ind w:left="1485" w:hanging="180"/>
      </w:pPr>
    </w:lvl>
    <w:lvl w:ilvl="3" w:tplc="040C000F" w:tentative="1">
      <w:start w:val="1"/>
      <w:numFmt w:val="decimal"/>
      <w:lvlText w:val="%4."/>
      <w:lvlJc w:val="left"/>
      <w:pPr>
        <w:ind w:left="2205" w:hanging="360"/>
      </w:pPr>
    </w:lvl>
    <w:lvl w:ilvl="4" w:tplc="040C0019" w:tentative="1">
      <w:start w:val="1"/>
      <w:numFmt w:val="lowerLetter"/>
      <w:lvlText w:val="%5."/>
      <w:lvlJc w:val="left"/>
      <w:pPr>
        <w:ind w:left="2925" w:hanging="360"/>
      </w:pPr>
    </w:lvl>
    <w:lvl w:ilvl="5" w:tplc="040C001B" w:tentative="1">
      <w:start w:val="1"/>
      <w:numFmt w:val="lowerRoman"/>
      <w:lvlText w:val="%6."/>
      <w:lvlJc w:val="right"/>
      <w:pPr>
        <w:ind w:left="3645" w:hanging="180"/>
      </w:pPr>
    </w:lvl>
    <w:lvl w:ilvl="6" w:tplc="040C000F" w:tentative="1">
      <w:start w:val="1"/>
      <w:numFmt w:val="decimal"/>
      <w:lvlText w:val="%7."/>
      <w:lvlJc w:val="left"/>
      <w:pPr>
        <w:ind w:left="4365" w:hanging="360"/>
      </w:pPr>
    </w:lvl>
    <w:lvl w:ilvl="7" w:tplc="040C0019" w:tentative="1">
      <w:start w:val="1"/>
      <w:numFmt w:val="lowerLetter"/>
      <w:lvlText w:val="%8."/>
      <w:lvlJc w:val="left"/>
      <w:pPr>
        <w:ind w:left="5085" w:hanging="360"/>
      </w:pPr>
    </w:lvl>
    <w:lvl w:ilvl="8" w:tplc="040C001B" w:tentative="1">
      <w:start w:val="1"/>
      <w:numFmt w:val="lowerRoman"/>
      <w:lvlText w:val="%9."/>
      <w:lvlJc w:val="right"/>
      <w:pPr>
        <w:ind w:left="5805" w:hanging="180"/>
      </w:pPr>
    </w:lvl>
  </w:abstractNum>
  <w:abstractNum w:abstractNumId="26">
    <w:nsid w:val="646C53AC"/>
    <w:multiLevelType w:val="hybridMultilevel"/>
    <w:tmpl w:val="FD229418"/>
    <w:lvl w:ilvl="0" w:tplc="93B85C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B5E078B"/>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4"/>
  </w:num>
  <w:num w:numId="3">
    <w:abstractNumId w:val="27"/>
  </w:num>
  <w:num w:numId="4">
    <w:abstractNumId w:val="7"/>
  </w:num>
  <w:num w:numId="5">
    <w:abstractNumId w:val="5"/>
  </w:num>
  <w:num w:numId="6">
    <w:abstractNumId w:val="10"/>
  </w:num>
  <w:num w:numId="7">
    <w:abstractNumId w:val="25"/>
  </w:num>
  <w:num w:numId="8">
    <w:abstractNumId w:val="2"/>
  </w:num>
  <w:num w:numId="9">
    <w:abstractNumId w:val="16"/>
  </w:num>
  <w:num w:numId="10">
    <w:abstractNumId w:val="13"/>
  </w:num>
  <w:num w:numId="11">
    <w:abstractNumId w:val="17"/>
  </w:num>
  <w:num w:numId="12">
    <w:abstractNumId w:val="12"/>
  </w:num>
  <w:num w:numId="13">
    <w:abstractNumId w:val="19"/>
  </w:num>
  <w:num w:numId="14">
    <w:abstractNumId w:val="22"/>
  </w:num>
  <w:num w:numId="15">
    <w:abstractNumId w:val="21"/>
  </w:num>
  <w:num w:numId="16">
    <w:abstractNumId w:val="15"/>
  </w:num>
  <w:num w:numId="17">
    <w:abstractNumId w:val="26"/>
  </w:num>
  <w:num w:numId="18">
    <w:abstractNumId w:val="11"/>
  </w:num>
  <w:num w:numId="19">
    <w:abstractNumId w:val="14"/>
  </w:num>
  <w:num w:numId="20">
    <w:abstractNumId w:val="6"/>
  </w:num>
  <w:num w:numId="21">
    <w:abstractNumId w:val="3"/>
  </w:num>
  <w:num w:numId="22">
    <w:abstractNumId w:val="20"/>
  </w:num>
  <w:num w:numId="23">
    <w:abstractNumId w:val="1"/>
  </w:num>
  <w:num w:numId="24">
    <w:abstractNumId w:val="0"/>
  </w:num>
  <w:num w:numId="25">
    <w:abstractNumId w:val="18"/>
  </w:num>
  <w:num w:numId="26">
    <w:abstractNumId w:val="8"/>
  </w:num>
  <w:num w:numId="27">
    <w:abstractNumId w:val="24"/>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567"/>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F1"/>
    <w:rsid w:val="000018A5"/>
    <w:rsid w:val="00003016"/>
    <w:rsid w:val="0000380D"/>
    <w:rsid w:val="00003E81"/>
    <w:rsid w:val="00004BA0"/>
    <w:rsid w:val="00012A86"/>
    <w:rsid w:val="00021510"/>
    <w:rsid w:val="0002471E"/>
    <w:rsid w:val="000257B5"/>
    <w:rsid w:val="00027C2A"/>
    <w:rsid w:val="00031AE8"/>
    <w:rsid w:val="00035E2B"/>
    <w:rsid w:val="00036D4C"/>
    <w:rsid w:val="00037342"/>
    <w:rsid w:val="00042D0B"/>
    <w:rsid w:val="00044B05"/>
    <w:rsid w:val="00051D0F"/>
    <w:rsid w:val="00062E0E"/>
    <w:rsid w:val="00066F2A"/>
    <w:rsid w:val="000752CA"/>
    <w:rsid w:val="00075C4A"/>
    <w:rsid w:val="00077110"/>
    <w:rsid w:val="000816E0"/>
    <w:rsid w:val="000833A5"/>
    <w:rsid w:val="00084A1C"/>
    <w:rsid w:val="00090B01"/>
    <w:rsid w:val="00090BFA"/>
    <w:rsid w:val="00091C1C"/>
    <w:rsid w:val="00091E2E"/>
    <w:rsid w:val="00092807"/>
    <w:rsid w:val="00095A8B"/>
    <w:rsid w:val="000968B2"/>
    <w:rsid w:val="000A18EC"/>
    <w:rsid w:val="000A6D2D"/>
    <w:rsid w:val="000B4B06"/>
    <w:rsid w:val="000C1816"/>
    <w:rsid w:val="000C28B7"/>
    <w:rsid w:val="000C5D6A"/>
    <w:rsid w:val="000D1665"/>
    <w:rsid w:val="000E3503"/>
    <w:rsid w:val="000E396A"/>
    <w:rsid w:val="000E3D27"/>
    <w:rsid w:val="000E43A1"/>
    <w:rsid w:val="000E541D"/>
    <w:rsid w:val="000E7684"/>
    <w:rsid w:val="000F2639"/>
    <w:rsid w:val="000F2DA1"/>
    <w:rsid w:val="000F30D3"/>
    <w:rsid w:val="000F4A40"/>
    <w:rsid w:val="001011D5"/>
    <w:rsid w:val="00102AE8"/>
    <w:rsid w:val="001037DE"/>
    <w:rsid w:val="001057B9"/>
    <w:rsid w:val="0010727B"/>
    <w:rsid w:val="00111BD2"/>
    <w:rsid w:val="00111C08"/>
    <w:rsid w:val="00116253"/>
    <w:rsid w:val="0012058A"/>
    <w:rsid w:val="00120A2D"/>
    <w:rsid w:val="00123386"/>
    <w:rsid w:val="00124094"/>
    <w:rsid w:val="00124B83"/>
    <w:rsid w:val="00127914"/>
    <w:rsid w:val="001348D6"/>
    <w:rsid w:val="00134BD0"/>
    <w:rsid w:val="00135214"/>
    <w:rsid w:val="001356EF"/>
    <w:rsid w:val="00135E6A"/>
    <w:rsid w:val="00136E20"/>
    <w:rsid w:val="001412CD"/>
    <w:rsid w:val="0014538B"/>
    <w:rsid w:val="00147D26"/>
    <w:rsid w:val="00151EF2"/>
    <w:rsid w:val="00155EE3"/>
    <w:rsid w:val="00157F10"/>
    <w:rsid w:val="00163E7F"/>
    <w:rsid w:val="001643B0"/>
    <w:rsid w:val="00164762"/>
    <w:rsid w:val="00167664"/>
    <w:rsid w:val="00170700"/>
    <w:rsid w:val="00175834"/>
    <w:rsid w:val="001771C3"/>
    <w:rsid w:val="001773A0"/>
    <w:rsid w:val="00191DD1"/>
    <w:rsid w:val="001977CC"/>
    <w:rsid w:val="001A6512"/>
    <w:rsid w:val="001A6898"/>
    <w:rsid w:val="001A6D0F"/>
    <w:rsid w:val="001A78BC"/>
    <w:rsid w:val="001B1690"/>
    <w:rsid w:val="001B2A6E"/>
    <w:rsid w:val="001B4D6C"/>
    <w:rsid w:val="001B5342"/>
    <w:rsid w:val="001B5430"/>
    <w:rsid w:val="001C0D0F"/>
    <w:rsid w:val="001C2779"/>
    <w:rsid w:val="001C2E16"/>
    <w:rsid w:val="001C37B4"/>
    <w:rsid w:val="001C3E8C"/>
    <w:rsid w:val="001D5834"/>
    <w:rsid w:val="001D5A13"/>
    <w:rsid w:val="001E1C87"/>
    <w:rsid w:val="001E44BF"/>
    <w:rsid w:val="001E4887"/>
    <w:rsid w:val="001E5A4A"/>
    <w:rsid w:val="001F06F3"/>
    <w:rsid w:val="001F0852"/>
    <w:rsid w:val="001F23C7"/>
    <w:rsid w:val="001F28C5"/>
    <w:rsid w:val="001F3F82"/>
    <w:rsid w:val="001F78A0"/>
    <w:rsid w:val="00203881"/>
    <w:rsid w:val="00205E7E"/>
    <w:rsid w:val="002060D6"/>
    <w:rsid w:val="002069B1"/>
    <w:rsid w:val="00214A09"/>
    <w:rsid w:val="00215B93"/>
    <w:rsid w:val="00215F6C"/>
    <w:rsid w:val="002250E5"/>
    <w:rsid w:val="00231CEA"/>
    <w:rsid w:val="00232C8B"/>
    <w:rsid w:val="0023552F"/>
    <w:rsid w:val="00235CE7"/>
    <w:rsid w:val="00242101"/>
    <w:rsid w:val="002438B0"/>
    <w:rsid w:val="00243F07"/>
    <w:rsid w:val="002507AB"/>
    <w:rsid w:val="00252CE8"/>
    <w:rsid w:val="00255D05"/>
    <w:rsid w:val="002724A5"/>
    <w:rsid w:val="00276395"/>
    <w:rsid w:val="00282287"/>
    <w:rsid w:val="002823B8"/>
    <w:rsid w:val="00291855"/>
    <w:rsid w:val="002930F9"/>
    <w:rsid w:val="002A1A7C"/>
    <w:rsid w:val="002A28C1"/>
    <w:rsid w:val="002B0495"/>
    <w:rsid w:val="002B0FE6"/>
    <w:rsid w:val="002B3A3D"/>
    <w:rsid w:val="002B3ED7"/>
    <w:rsid w:val="002C735A"/>
    <w:rsid w:val="002D1A1F"/>
    <w:rsid w:val="002D33F1"/>
    <w:rsid w:val="002D343E"/>
    <w:rsid w:val="002D4BE0"/>
    <w:rsid w:val="002D7AD9"/>
    <w:rsid w:val="002E1D15"/>
    <w:rsid w:val="002E364A"/>
    <w:rsid w:val="002F44E0"/>
    <w:rsid w:val="002F588E"/>
    <w:rsid w:val="003017ED"/>
    <w:rsid w:val="00302A22"/>
    <w:rsid w:val="00304ED8"/>
    <w:rsid w:val="0030744C"/>
    <w:rsid w:val="00310CD4"/>
    <w:rsid w:val="003167E6"/>
    <w:rsid w:val="00316C80"/>
    <w:rsid w:val="00320DE3"/>
    <w:rsid w:val="00323991"/>
    <w:rsid w:val="00323F45"/>
    <w:rsid w:val="00336C8B"/>
    <w:rsid w:val="00336CFB"/>
    <w:rsid w:val="003404A5"/>
    <w:rsid w:val="0034170A"/>
    <w:rsid w:val="00343164"/>
    <w:rsid w:val="00343545"/>
    <w:rsid w:val="00345D5D"/>
    <w:rsid w:val="0035420E"/>
    <w:rsid w:val="00354AD5"/>
    <w:rsid w:val="00356743"/>
    <w:rsid w:val="0036040C"/>
    <w:rsid w:val="00367638"/>
    <w:rsid w:val="003677D7"/>
    <w:rsid w:val="003729E7"/>
    <w:rsid w:val="0037341E"/>
    <w:rsid w:val="0037642E"/>
    <w:rsid w:val="00377524"/>
    <w:rsid w:val="003913B6"/>
    <w:rsid w:val="0039331A"/>
    <w:rsid w:val="00396D9E"/>
    <w:rsid w:val="00396FE6"/>
    <w:rsid w:val="003973B2"/>
    <w:rsid w:val="00397DEC"/>
    <w:rsid w:val="003A4CE7"/>
    <w:rsid w:val="003B2FE0"/>
    <w:rsid w:val="003B534D"/>
    <w:rsid w:val="003C0AB4"/>
    <w:rsid w:val="003C24FF"/>
    <w:rsid w:val="003D1A9F"/>
    <w:rsid w:val="003D4148"/>
    <w:rsid w:val="003D7E53"/>
    <w:rsid w:val="003E6EC3"/>
    <w:rsid w:val="003F1DD8"/>
    <w:rsid w:val="003F23B5"/>
    <w:rsid w:val="003F61A7"/>
    <w:rsid w:val="003F6BE4"/>
    <w:rsid w:val="003F7D47"/>
    <w:rsid w:val="004023FF"/>
    <w:rsid w:val="00402E93"/>
    <w:rsid w:val="0040539B"/>
    <w:rsid w:val="00406035"/>
    <w:rsid w:val="00407A24"/>
    <w:rsid w:val="00416348"/>
    <w:rsid w:val="00416D6E"/>
    <w:rsid w:val="00420146"/>
    <w:rsid w:val="0042217A"/>
    <w:rsid w:val="0042282D"/>
    <w:rsid w:val="00423EB3"/>
    <w:rsid w:val="0042533D"/>
    <w:rsid w:val="00427011"/>
    <w:rsid w:val="00427F26"/>
    <w:rsid w:val="00430B83"/>
    <w:rsid w:val="004419B6"/>
    <w:rsid w:val="004424D7"/>
    <w:rsid w:val="00442F9A"/>
    <w:rsid w:val="00443E12"/>
    <w:rsid w:val="00444B1B"/>
    <w:rsid w:val="00446180"/>
    <w:rsid w:val="00446BDC"/>
    <w:rsid w:val="004508A5"/>
    <w:rsid w:val="00452EFE"/>
    <w:rsid w:val="00460553"/>
    <w:rsid w:val="00461916"/>
    <w:rsid w:val="004627CF"/>
    <w:rsid w:val="0046424E"/>
    <w:rsid w:val="0046556C"/>
    <w:rsid w:val="00465734"/>
    <w:rsid w:val="00470503"/>
    <w:rsid w:val="0047247F"/>
    <w:rsid w:val="00473697"/>
    <w:rsid w:val="004771A2"/>
    <w:rsid w:val="00481920"/>
    <w:rsid w:val="0048407B"/>
    <w:rsid w:val="00485CE3"/>
    <w:rsid w:val="0048763F"/>
    <w:rsid w:val="0049612A"/>
    <w:rsid w:val="004963DE"/>
    <w:rsid w:val="004979FB"/>
    <w:rsid w:val="00497C1B"/>
    <w:rsid w:val="004A04A5"/>
    <w:rsid w:val="004A6120"/>
    <w:rsid w:val="004B0BD6"/>
    <w:rsid w:val="004B2C66"/>
    <w:rsid w:val="004B2E23"/>
    <w:rsid w:val="004B4884"/>
    <w:rsid w:val="004C1A07"/>
    <w:rsid w:val="004C1FD7"/>
    <w:rsid w:val="004C3649"/>
    <w:rsid w:val="004C3D21"/>
    <w:rsid w:val="004C686A"/>
    <w:rsid w:val="004C6AAD"/>
    <w:rsid w:val="004D0AF0"/>
    <w:rsid w:val="004D3573"/>
    <w:rsid w:val="004E18B6"/>
    <w:rsid w:val="004E439D"/>
    <w:rsid w:val="004F0FAB"/>
    <w:rsid w:val="004F173B"/>
    <w:rsid w:val="004F3F6C"/>
    <w:rsid w:val="004F4632"/>
    <w:rsid w:val="00501418"/>
    <w:rsid w:val="0050371D"/>
    <w:rsid w:val="00506F05"/>
    <w:rsid w:val="00507DA1"/>
    <w:rsid w:val="005118A2"/>
    <w:rsid w:val="005137D1"/>
    <w:rsid w:val="0051401F"/>
    <w:rsid w:val="00517175"/>
    <w:rsid w:val="00520878"/>
    <w:rsid w:val="00524CE1"/>
    <w:rsid w:val="00525A13"/>
    <w:rsid w:val="00531768"/>
    <w:rsid w:val="005365F6"/>
    <w:rsid w:val="00542F45"/>
    <w:rsid w:val="0054365F"/>
    <w:rsid w:val="00544A72"/>
    <w:rsid w:val="00545B9B"/>
    <w:rsid w:val="005508D1"/>
    <w:rsid w:val="0055114C"/>
    <w:rsid w:val="00551BB9"/>
    <w:rsid w:val="0055212C"/>
    <w:rsid w:val="00552FFF"/>
    <w:rsid w:val="00553374"/>
    <w:rsid w:val="005564AC"/>
    <w:rsid w:val="00557566"/>
    <w:rsid w:val="00562906"/>
    <w:rsid w:val="0056321C"/>
    <w:rsid w:val="00564F37"/>
    <w:rsid w:val="00575905"/>
    <w:rsid w:val="00591BDB"/>
    <w:rsid w:val="00592B45"/>
    <w:rsid w:val="0059357A"/>
    <w:rsid w:val="0059372E"/>
    <w:rsid w:val="005A4F83"/>
    <w:rsid w:val="005A502C"/>
    <w:rsid w:val="005A68DA"/>
    <w:rsid w:val="005B0D53"/>
    <w:rsid w:val="005B0F13"/>
    <w:rsid w:val="005B11B9"/>
    <w:rsid w:val="005B1D08"/>
    <w:rsid w:val="005B274E"/>
    <w:rsid w:val="005B3223"/>
    <w:rsid w:val="005B66E9"/>
    <w:rsid w:val="005B7708"/>
    <w:rsid w:val="005C20A3"/>
    <w:rsid w:val="005C235B"/>
    <w:rsid w:val="005C2B7E"/>
    <w:rsid w:val="005C41AC"/>
    <w:rsid w:val="005C6926"/>
    <w:rsid w:val="005D2844"/>
    <w:rsid w:val="005D5D3C"/>
    <w:rsid w:val="005D73A3"/>
    <w:rsid w:val="005E1705"/>
    <w:rsid w:val="005E2EC6"/>
    <w:rsid w:val="005E36FD"/>
    <w:rsid w:val="005E7715"/>
    <w:rsid w:val="005F4F0E"/>
    <w:rsid w:val="00600AFC"/>
    <w:rsid w:val="006017AB"/>
    <w:rsid w:val="00602A75"/>
    <w:rsid w:val="00604594"/>
    <w:rsid w:val="0060718D"/>
    <w:rsid w:val="00613C60"/>
    <w:rsid w:val="00614F3E"/>
    <w:rsid w:val="00615B74"/>
    <w:rsid w:val="006239F3"/>
    <w:rsid w:val="00627004"/>
    <w:rsid w:val="00632ACA"/>
    <w:rsid w:val="006337E0"/>
    <w:rsid w:val="00637894"/>
    <w:rsid w:val="006415CC"/>
    <w:rsid w:val="00662949"/>
    <w:rsid w:val="006660FD"/>
    <w:rsid w:val="0066695D"/>
    <w:rsid w:val="00666BDC"/>
    <w:rsid w:val="0067248F"/>
    <w:rsid w:val="006751CE"/>
    <w:rsid w:val="00677925"/>
    <w:rsid w:val="00677954"/>
    <w:rsid w:val="00677D03"/>
    <w:rsid w:val="00681269"/>
    <w:rsid w:val="00684ED7"/>
    <w:rsid w:val="00687871"/>
    <w:rsid w:val="006906EB"/>
    <w:rsid w:val="00694B89"/>
    <w:rsid w:val="006A335A"/>
    <w:rsid w:val="006A5628"/>
    <w:rsid w:val="006A7327"/>
    <w:rsid w:val="006B1199"/>
    <w:rsid w:val="006B5222"/>
    <w:rsid w:val="006B6D8F"/>
    <w:rsid w:val="006B6DA4"/>
    <w:rsid w:val="006C34F1"/>
    <w:rsid w:val="006C41FD"/>
    <w:rsid w:val="006C4F14"/>
    <w:rsid w:val="006C5294"/>
    <w:rsid w:val="006C57E9"/>
    <w:rsid w:val="006D35DD"/>
    <w:rsid w:val="006D5D4C"/>
    <w:rsid w:val="006D6087"/>
    <w:rsid w:val="006D6243"/>
    <w:rsid w:val="006D792F"/>
    <w:rsid w:val="006E3844"/>
    <w:rsid w:val="006F0075"/>
    <w:rsid w:val="006F201B"/>
    <w:rsid w:val="006F3E31"/>
    <w:rsid w:val="006F6815"/>
    <w:rsid w:val="00700571"/>
    <w:rsid w:val="00702103"/>
    <w:rsid w:val="00706E57"/>
    <w:rsid w:val="00707336"/>
    <w:rsid w:val="00710221"/>
    <w:rsid w:val="00717F2C"/>
    <w:rsid w:val="0072192C"/>
    <w:rsid w:val="00733935"/>
    <w:rsid w:val="00734660"/>
    <w:rsid w:val="00735A2A"/>
    <w:rsid w:val="00735E16"/>
    <w:rsid w:val="0074069B"/>
    <w:rsid w:val="00743B35"/>
    <w:rsid w:val="00747D6D"/>
    <w:rsid w:val="007511D9"/>
    <w:rsid w:val="00753B15"/>
    <w:rsid w:val="00754CE4"/>
    <w:rsid w:val="00763C17"/>
    <w:rsid w:val="00764161"/>
    <w:rsid w:val="00772853"/>
    <w:rsid w:val="00773175"/>
    <w:rsid w:val="00773EE9"/>
    <w:rsid w:val="007766BB"/>
    <w:rsid w:val="007800BA"/>
    <w:rsid w:val="0078310C"/>
    <w:rsid w:val="00785E80"/>
    <w:rsid w:val="0078635B"/>
    <w:rsid w:val="007916DF"/>
    <w:rsid w:val="00793937"/>
    <w:rsid w:val="00796FEE"/>
    <w:rsid w:val="007A1136"/>
    <w:rsid w:val="007A1739"/>
    <w:rsid w:val="007A3A97"/>
    <w:rsid w:val="007B12B4"/>
    <w:rsid w:val="007B20B9"/>
    <w:rsid w:val="007B4CC7"/>
    <w:rsid w:val="007B614E"/>
    <w:rsid w:val="007B662E"/>
    <w:rsid w:val="007C0466"/>
    <w:rsid w:val="007C17E8"/>
    <w:rsid w:val="007C4712"/>
    <w:rsid w:val="007C6E86"/>
    <w:rsid w:val="007D6706"/>
    <w:rsid w:val="007E17ED"/>
    <w:rsid w:val="007E3FE7"/>
    <w:rsid w:val="007E6D51"/>
    <w:rsid w:val="007F0990"/>
    <w:rsid w:val="007F09A8"/>
    <w:rsid w:val="007F11F9"/>
    <w:rsid w:val="007F34F1"/>
    <w:rsid w:val="00801BED"/>
    <w:rsid w:val="008032E9"/>
    <w:rsid w:val="0080382A"/>
    <w:rsid w:val="00804955"/>
    <w:rsid w:val="00810B57"/>
    <w:rsid w:val="00811497"/>
    <w:rsid w:val="00811D5C"/>
    <w:rsid w:val="00812B7E"/>
    <w:rsid w:val="0081599E"/>
    <w:rsid w:val="00816C9E"/>
    <w:rsid w:val="008209AA"/>
    <w:rsid w:val="0082537D"/>
    <w:rsid w:val="00836395"/>
    <w:rsid w:val="00837E5F"/>
    <w:rsid w:val="00845432"/>
    <w:rsid w:val="008506B2"/>
    <w:rsid w:val="008546EF"/>
    <w:rsid w:val="008618E0"/>
    <w:rsid w:val="00862834"/>
    <w:rsid w:val="00863091"/>
    <w:rsid w:val="00874210"/>
    <w:rsid w:val="008805F9"/>
    <w:rsid w:val="0088407F"/>
    <w:rsid w:val="00886479"/>
    <w:rsid w:val="00890BF4"/>
    <w:rsid w:val="008A5764"/>
    <w:rsid w:val="008A5877"/>
    <w:rsid w:val="008A7169"/>
    <w:rsid w:val="008B1B7C"/>
    <w:rsid w:val="008B2AFA"/>
    <w:rsid w:val="008B2CEA"/>
    <w:rsid w:val="008B3FD1"/>
    <w:rsid w:val="008B4CAE"/>
    <w:rsid w:val="008C2273"/>
    <w:rsid w:val="008C2459"/>
    <w:rsid w:val="008D06B7"/>
    <w:rsid w:val="008D0C1F"/>
    <w:rsid w:val="008D1B7A"/>
    <w:rsid w:val="008D1D6B"/>
    <w:rsid w:val="008D5ED1"/>
    <w:rsid w:val="008E0E2D"/>
    <w:rsid w:val="008E1F0E"/>
    <w:rsid w:val="008E3042"/>
    <w:rsid w:val="008F3186"/>
    <w:rsid w:val="008F349E"/>
    <w:rsid w:val="00903851"/>
    <w:rsid w:val="00904D8F"/>
    <w:rsid w:val="009156E5"/>
    <w:rsid w:val="00915930"/>
    <w:rsid w:val="00916B38"/>
    <w:rsid w:val="009171E5"/>
    <w:rsid w:val="0092107B"/>
    <w:rsid w:val="00923742"/>
    <w:rsid w:val="0092702F"/>
    <w:rsid w:val="00927EA9"/>
    <w:rsid w:val="00931865"/>
    <w:rsid w:val="00932893"/>
    <w:rsid w:val="009335DB"/>
    <w:rsid w:val="00933A6C"/>
    <w:rsid w:val="00937BDD"/>
    <w:rsid w:val="00940069"/>
    <w:rsid w:val="009400AE"/>
    <w:rsid w:val="00945AC3"/>
    <w:rsid w:val="0094645E"/>
    <w:rsid w:val="00951845"/>
    <w:rsid w:val="00952393"/>
    <w:rsid w:val="009536B6"/>
    <w:rsid w:val="00960C7F"/>
    <w:rsid w:val="00965037"/>
    <w:rsid w:val="00971E88"/>
    <w:rsid w:val="00973D87"/>
    <w:rsid w:val="009761A3"/>
    <w:rsid w:val="00977279"/>
    <w:rsid w:val="0097737C"/>
    <w:rsid w:val="00985F05"/>
    <w:rsid w:val="0099584C"/>
    <w:rsid w:val="00997BA4"/>
    <w:rsid w:val="009A4765"/>
    <w:rsid w:val="009A52F7"/>
    <w:rsid w:val="009B5109"/>
    <w:rsid w:val="009B5F49"/>
    <w:rsid w:val="009B6BAC"/>
    <w:rsid w:val="009C484D"/>
    <w:rsid w:val="009C6CAD"/>
    <w:rsid w:val="009C76F7"/>
    <w:rsid w:val="009D084C"/>
    <w:rsid w:val="009D156F"/>
    <w:rsid w:val="009D19BD"/>
    <w:rsid w:val="009D48E0"/>
    <w:rsid w:val="009D6A73"/>
    <w:rsid w:val="009E1D96"/>
    <w:rsid w:val="009E3A6D"/>
    <w:rsid w:val="009E5A9D"/>
    <w:rsid w:val="009E6D11"/>
    <w:rsid w:val="009F1CC6"/>
    <w:rsid w:val="009F27C3"/>
    <w:rsid w:val="009F617C"/>
    <w:rsid w:val="00A0054F"/>
    <w:rsid w:val="00A03B45"/>
    <w:rsid w:val="00A06442"/>
    <w:rsid w:val="00A10E4A"/>
    <w:rsid w:val="00A11B1D"/>
    <w:rsid w:val="00A12C9E"/>
    <w:rsid w:val="00A142AD"/>
    <w:rsid w:val="00A15B21"/>
    <w:rsid w:val="00A1614A"/>
    <w:rsid w:val="00A31083"/>
    <w:rsid w:val="00A329AA"/>
    <w:rsid w:val="00A37BCF"/>
    <w:rsid w:val="00A412CB"/>
    <w:rsid w:val="00A42939"/>
    <w:rsid w:val="00A44F6D"/>
    <w:rsid w:val="00A45AAF"/>
    <w:rsid w:val="00A5120A"/>
    <w:rsid w:val="00A517A8"/>
    <w:rsid w:val="00A53B47"/>
    <w:rsid w:val="00A578CA"/>
    <w:rsid w:val="00A64D66"/>
    <w:rsid w:val="00A66D19"/>
    <w:rsid w:val="00A70FA6"/>
    <w:rsid w:val="00A71D87"/>
    <w:rsid w:val="00A75B64"/>
    <w:rsid w:val="00A76668"/>
    <w:rsid w:val="00A81A01"/>
    <w:rsid w:val="00A83613"/>
    <w:rsid w:val="00A842FA"/>
    <w:rsid w:val="00A845E1"/>
    <w:rsid w:val="00A97DB5"/>
    <w:rsid w:val="00AA27FA"/>
    <w:rsid w:val="00AA756A"/>
    <w:rsid w:val="00AA7D06"/>
    <w:rsid w:val="00AB2162"/>
    <w:rsid w:val="00AB4562"/>
    <w:rsid w:val="00AB5DF0"/>
    <w:rsid w:val="00AC00D5"/>
    <w:rsid w:val="00AC37FD"/>
    <w:rsid w:val="00AC46F5"/>
    <w:rsid w:val="00AC6123"/>
    <w:rsid w:val="00AD1315"/>
    <w:rsid w:val="00AD15E3"/>
    <w:rsid w:val="00AD3A3F"/>
    <w:rsid w:val="00AD5E3A"/>
    <w:rsid w:val="00AD7B8F"/>
    <w:rsid w:val="00AE0C3C"/>
    <w:rsid w:val="00AE137D"/>
    <w:rsid w:val="00AE2789"/>
    <w:rsid w:val="00AE3099"/>
    <w:rsid w:val="00AE5D84"/>
    <w:rsid w:val="00AE7E4B"/>
    <w:rsid w:val="00AF2696"/>
    <w:rsid w:val="00AF4CFE"/>
    <w:rsid w:val="00AF6DAC"/>
    <w:rsid w:val="00B03189"/>
    <w:rsid w:val="00B0712B"/>
    <w:rsid w:val="00B07BF6"/>
    <w:rsid w:val="00B11665"/>
    <w:rsid w:val="00B1285F"/>
    <w:rsid w:val="00B13203"/>
    <w:rsid w:val="00B1754A"/>
    <w:rsid w:val="00B20FC6"/>
    <w:rsid w:val="00B26DA6"/>
    <w:rsid w:val="00B308C2"/>
    <w:rsid w:val="00B3341C"/>
    <w:rsid w:val="00B409DC"/>
    <w:rsid w:val="00B43896"/>
    <w:rsid w:val="00B52121"/>
    <w:rsid w:val="00B522FD"/>
    <w:rsid w:val="00B529BE"/>
    <w:rsid w:val="00B57022"/>
    <w:rsid w:val="00B60B21"/>
    <w:rsid w:val="00B64E40"/>
    <w:rsid w:val="00B65E15"/>
    <w:rsid w:val="00B72BD0"/>
    <w:rsid w:val="00B735C0"/>
    <w:rsid w:val="00B76BCD"/>
    <w:rsid w:val="00B77DA9"/>
    <w:rsid w:val="00B812C2"/>
    <w:rsid w:val="00B82853"/>
    <w:rsid w:val="00B83658"/>
    <w:rsid w:val="00B90524"/>
    <w:rsid w:val="00B930DF"/>
    <w:rsid w:val="00B949D9"/>
    <w:rsid w:val="00B9699B"/>
    <w:rsid w:val="00B97C0C"/>
    <w:rsid w:val="00BA3304"/>
    <w:rsid w:val="00BA54CE"/>
    <w:rsid w:val="00BA5787"/>
    <w:rsid w:val="00BA71C2"/>
    <w:rsid w:val="00BA7C8E"/>
    <w:rsid w:val="00BB0D36"/>
    <w:rsid w:val="00BB4794"/>
    <w:rsid w:val="00BC21D3"/>
    <w:rsid w:val="00BC273E"/>
    <w:rsid w:val="00BC4D9D"/>
    <w:rsid w:val="00BC7C4C"/>
    <w:rsid w:val="00BD13A6"/>
    <w:rsid w:val="00BD3186"/>
    <w:rsid w:val="00BD64D6"/>
    <w:rsid w:val="00BD6FD7"/>
    <w:rsid w:val="00BE7AC4"/>
    <w:rsid w:val="00BF3591"/>
    <w:rsid w:val="00BF5B68"/>
    <w:rsid w:val="00C01FBE"/>
    <w:rsid w:val="00C04309"/>
    <w:rsid w:val="00C049B8"/>
    <w:rsid w:val="00C05A98"/>
    <w:rsid w:val="00C075DC"/>
    <w:rsid w:val="00C10FC3"/>
    <w:rsid w:val="00C124F1"/>
    <w:rsid w:val="00C14775"/>
    <w:rsid w:val="00C15885"/>
    <w:rsid w:val="00C21C04"/>
    <w:rsid w:val="00C2597F"/>
    <w:rsid w:val="00C304D6"/>
    <w:rsid w:val="00C30586"/>
    <w:rsid w:val="00C34AF0"/>
    <w:rsid w:val="00C35C24"/>
    <w:rsid w:val="00C36879"/>
    <w:rsid w:val="00C37979"/>
    <w:rsid w:val="00C37E2D"/>
    <w:rsid w:val="00C50EF9"/>
    <w:rsid w:val="00C53E8E"/>
    <w:rsid w:val="00C658A0"/>
    <w:rsid w:val="00C70103"/>
    <w:rsid w:val="00C729C7"/>
    <w:rsid w:val="00C740ED"/>
    <w:rsid w:val="00C74743"/>
    <w:rsid w:val="00C81822"/>
    <w:rsid w:val="00C90F1A"/>
    <w:rsid w:val="00C92061"/>
    <w:rsid w:val="00C921FD"/>
    <w:rsid w:val="00C955DF"/>
    <w:rsid w:val="00C95B46"/>
    <w:rsid w:val="00C96DBC"/>
    <w:rsid w:val="00C979C2"/>
    <w:rsid w:val="00CA3D2B"/>
    <w:rsid w:val="00CA5C3B"/>
    <w:rsid w:val="00CB3CC1"/>
    <w:rsid w:val="00CB7D9D"/>
    <w:rsid w:val="00CC7935"/>
    <w:rsid w:val="00CD0958"/>
    <w:rsid w:val="00CD14A6"/>
    <w:rsid w:val="00CD657F"/>
    <w:rsid w:val="00CE5747"/>
    <w:rsid w:val="00CE77CF"/>
    <w:rsid w:val="00CF004C"/>
    <w:rsid w:val="00CF02C4"/>
    <w:rsid w:val="00CF0AB5"/>
    <w:rsid w:val="00CF2C64"/>
    <w:rsid w:val="00D0589B"/>
    <w:rsid w:val="00D1012A"/>
    <w:rsid w:val="00D14150"/>
    <w:rsid w:val="00D14220"/>
    <w:rsid w:val="00D153F9"/>
    <w:rsid w:val="00D16EF2"/>
    <w:rsid w:val="00D174D2"/>
    <w:rsid w:val="00D17761"/>
    <w:rsid w:val="00D17890"/>
    <w:rsid w:val="00D23097"/>
    <w:rsid w:val="00D239C3"/>
    <w:rsid w:val="00D25DAE"/>
    <w:rsid w:val="00D31E86"/>
    <w:rsid w:val="00D34F13"/>
    <w:rsid w:val="00D41D38"/>
    <w:rsid w:val="00D42A6F"/>
    <w:rsid w:val="00D448BA"/>
    <w:rsid w:val="00D47EBF"/>
    <w:rsid w:val="00D505CB"/>
    <w:rsid w:val="00D60ECA"/>
    <w:rsid w:val="00D63208"/>
    <w:rsid w:val="00D719D4"/>
    <w:rsid w:val="00D72809"/>
    <w:rsid w:val="00D72DC2"/>
    <w:rsid w:val="00D81C73"/>
    <w:rsid w:val="00D859DA"/>
    <w:rsid w:val="00D85E51"/>
    <w:rsid w:val="00D87D16"/>
    <w:rsid w:val="00D91081"/>
    <w:rsid w:val="00D945A4"/>
    <w:rsid w:val="00D9694A"/>
    <w:rsid w:val="00DA7CD5"/>
    <w:rsid w:val="00DB29FC"/>
    <w:rsid w:val="00DB305B"/>
    <w:rsid w:val="00DB4B93"/>
    <w:rsid w:val="00DC3F16"/>
    <w:rsid w:val="00DC5E4C"/>
    <w:rsid w:val="00DD15ED"/>
    <w:rsid w:val="00DF0608"/>
    <w:rsid w:val="00DF0E07"/>
    <w:rsid w:val="00DF357C"/>
    <w:rsid w:val="00DF459A"/>
    <w:rsid w:val="00DF5C5D"/>
    <w:rsid w:val="00DF7B2F"/>
    <w:rsid w:val="00E00F39"/>
    <w:rsid w:val="00E0195C"/>
    <w:rsid w:val="00E048D0"/>
    <w:rsid w:val="00E12F1C"/>
    <w:rsid w:val="00E16C6F"/>
    <w:rsid w:val="00E17B68"/>
    <w:rsid w:val="00E205C7"/>
    <w:rsid w:val="00E2068B"/>
    <w:rsid w:val="00E216B6"/>
    <w:rsid w:val="00E23B0C"/>
    <w:rsid w:val="00E27AAC"/>
    <w:rsid w:val="00E32682"/>
    <w:rsid w:val="00E32F91"/>
    <w:rsid w:val="00E33988"/>
    <w:rsid w:val="00E3787A"/>
    <w:rsid w:val="00E42224"/>
    <w:rsid w:val="00E43134"/>
    <w:rsid w:val="00E438AA"/>
    <w:rsid w:val="00E43DB7"/>
    <w:rsid w:val="00E45529"/>
    <w:rsid w:val="00E45881"/>
    <w:rsid w:val="00E539C0"/>
    <w:rsid w:val="00E65915"/>
    <w:rsid w:val="00E6635E"/>
    <w:rsid w:val="00E715F5"/>
    <w:rsid w:val="00E744D6"/>
    <w:rsid w:val="00E76D0D"/>
    <w:rsid w:val="00E77922"/>
    <w:rsid w:val="00E80831"/>
    <w:rsid w:val="00E83339"/>
    <w:rsid w:val="00E852B4"/>
    <w:rsid w:val="00E8698F"/>
    <w:rsid w:val="00E901DD"/>
    <w:rsid w:val="00E93319"/>
    <w:rsid w:val="00E96747"/>
    <w:rsid w:val="00E97D3D"/>
    <w:rsid w:val="00EA08E2"/>
    <w:rsid w:val="00EA1247"/>
    <w:rsid w:val="00EA443B"/>
    <w:rsid w:val="00EA6970"/>
    <w:rsid w:val="00EB0E75"/>
    <w:rsid w:val="00EB62B9"/>
    <w:rsid w:val="00EB701F"/>
    <w:rsid w:val="00EB7DE4"/>
    <w:rsid w:val="00EC2F24"/>
    <w:rsid w:val="00EC4AFB"/>
    <w:rsid w:val="00ED43DB"/>
    <w:rsid w:val="00ED486C"/>
    <w:rsid w:val="00ED57E8"/>
    <w:rsid w:val="00ED6F59"/>
    <w:rsid w:val="00EE0251"/>
    <w:rsid w:val="00EE6BE9"/>
    <w:rsid w:val="00EF44D2"/>
    <w:rsid w:val="00EF5560"/>
    <w:rsid w:val="00EF7AC7"/>
    <w:rsid w:val="00F014DF"/>
    <w:rsid w:val="00F030A5"/>
    <w:rsid w:val="00F03C66"/>
    <w:rsid w:val="00F0459D"/>
    <w:rsid w:val="00F1040F"/>
    <w:rsid w:val="00F12BA5"/>
    <w:rsid w:val="00F13A4D"/>
    <w:rsid w:val="00F13B19"/>
    <w:rsid w:val="00F171C9"/>
    <w:rsid w:val="00F17690"/>
    <w:rsid w:val="00F202C1"/>
    <w:rsid w:val="00F20A77"/>
    <w:rsid w:val="00F23D71"/>
    <w:rsid w:val="00F26EB5"/>
    <w:rsid w:val="00F30DD6"/>
    <w:rsid w:val="00F363BB"/>
    <w:rsid w:val="00F41D80"/>
    <w:rsid w:val="00F44162"/>
    <w:rsid w:val="00F44794"/>
    <w:rsid w:val="00F45D99"/>
    <w:rsid w:val="00F4667A"/>
    <w:rsid w:val="00F51ED9"/>
    <w:rsid w:val="00F53E6F"/>
    <w:rsid w:val="00F54D68"/>
    <w:rsid w:val="00F54D70"/>
    <w:rsid w:val="00F606E1"/>
    <w:rsid w:val="00F60A77"/>
    <w:rsid w:val="00F616D9"/>
    <w:rsid w:val="00F6276E"/>
    <w:rsid w:val="00F62D78"/>
    <w:rsid w:val="00F63295"/>
    <w:rsid w:val="00F6462C"/>
    <w:rsid w:val="00F66453"/>
    <w:rsid w:val="00F70928"/>
    <w:rsid w:val="00F713F4"/>
    <w:rsid w:val="00F71506"/>
    <w:rsid w:val="00F71847"/>
    <w:rsid w:val="00F73E0F"/>
    <w:rsid w:val="00F73FE2"/>
    <w:rsid w:val="00F7778A"/>
    <w:rsid w:val="00F8277D"/>
    <w:rsid w:val="00F836D7"/>
    <w:rsid w:val="00F84519"/>
    <w:rsid w:val="00F865F0"/>
    <w:rsid w:val="00F8770E"/>
    <w:rsid w:val="00F9024B"/>
    <w:rsid w:val="00F911D2"/>
    <w:rsid w:val="00F94E78"/>
    <w:rsid w:val="00F96E1D"/>
    <w:rsid w:val="00FA542E"/>
    <w:rsid w:val="00FB004B"/>
    <w:rsid w:val="00FB03A8"/>
    <w:rsid w:val="00FB2612"/>
    <w:rsid w:val="00FB3246"/>
    <w:rsid w:val="00FC20D4"/>
    <w:rsid w:val="00FC57F5"/>
    <w:rsid w:val="00FC5D1E"/>
    <w:rsid w:val="00FD2B65"/>
    <w:rsid w:val="00FD4D57"/>
    <w:rsid w:val="00FE011D"/>
    <w:rsid w:val="00FE67F2"/>
    <w:rsid w:val="00FF0715"/>
    <w:rsid w:val="00FF35C6"/>
    <w:rsid w:val="00FF4192"/>
    <w:rsid w:val="00FF6692"/>
    <w:rsid w:val="00FF6D46"/>
    <w:rsid w:val="00FF70E6"/>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F1"/>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fr-FR" w:eastAsia="fr-FR"/>
    </w:rPr>
  </w:style>
  <w:style w:type="paragraph" w:styleId="ListParagraph">
    <w:name w:val="List Paragraph"/>
    <w:basedOn w:val="Normal"/>
    <w:uiPriority w:val="34"/>
    <w:qFormat/>
    <w:rsid w:val="00E744D6"/>
    <w:pPr>
      <w:ind w:left="708"/>
    </w:pPr>
    <w:rPr>
      <w:rFonts w:ascii="Times New Roman" w:hAnsi="Times New Roman"/>
    </w:rPr>
  </w:style>
  <w:style w:type="character" w:styleId="Hyperlink">
    <w:name w:val="Hyperlink"/>
    <w:basedOn w:val="DefaultParagraphFont"/>
    <w:unhideWhenUsed/>
    <w:rsid w:val="008D06B7"/>
    <w:rPr>
      <w:color w:val="0000FF"/>
      <w:u w:val="single"/>
    </w:rPr>
  </w:style>
  <w:style w:type="paragraph" w:styleId="NormalWeb">
    <w:name w:val="Normal (Web)"/>
    <w:basedOn w:val="Normal"/>
    <w:unhideWhenUsed/>
    <w:rsid w:val="00E43134"/>
    <w:pPr>
      <w:spacing w:before="100" w:beforeAutospacing="1" w:after="100" w:afterAutospacing="1"/>
    </w:pPr>
    <w:rPr>
      <w:rFonts w:ascii="Times New Roman" w:hAnsi="Times New Roman"/>
    </w:rPr>
  </w:style>
  <w:style w:type="paragraph" w:styleId="Header">
    <w:name w:val="header"/>
    <w:basedOn w:val="Normal"/>
    <w:link w:val="HeaderChar"/>
    <w:unhideWhenUsed/>
    <w:rsid w:val="004963DE"/>
    <w:pPr>
      <w:tabs>
        <w:tab w:val="center" w:pos="4513"/>
        <w:tab w:val="right" w:pos="9026"/>
      </w:tabs>
    </w:pPr>
  </w:style>
  <w:style w:type="character" w:customStyle="1" w:styleId="HeaderChar">
    <w:name w:val="Header Char"/>
    <w:basedOn w:val="DefaultParagraphFont"/>
    <w:link w:val="Header"/>
    <w:rsid w:val="004963DE"/>
    <w:rPr>
      <w:rFonts w:ascii="Arial" w:eastAsia="Times New Roman" w:hAnsi="Arial"/>
      <w:sz w:val="24"/>
      <w:szCs w:val="24"/>
      <w:lang w:val="fr-FR"/>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fr-FR"/>
    </w:rPr>
  </w:style>
  <w:style w:type="character" w:styleId="CommentReference">
    <w:name w:val="annotation reference"/>
    <w:basedOn w:val="DefaultParagraphFont"/>
    <w:uiPriority w:val="99"/>
    <w:semiHidden/>
    <w:unhideWhenUsed/>
    <w:rsid w:val="0023552F"/>
    <w:rPr>
      <w:sz w:val="16"/>
      <w:szCs w:val="16"/>
    </w:rPr>
  </w:style>
  <w:style w:type="paragraph" w:styleId="CommentText">
    <w:name w:val="annotation text"/>
    <w:basedOn w:val="Normal"/>
    <w:link w:val="CommentTextChar"/>
    <w:uiPriority w:val="99"/>
    <w:semiHidden/>
    <w:unhideWhenUsed/>
    <w:rsid w:val="0023552F"/>
    <w:rPr>
      <w:sz w:val="20"/>
      <w:szCs w:val="20"/>
    </w:rPr>
  </w:style>
  <w:style w:type="character" w:customStyle="1" w:styleId="CommentTextChar">
    <w:name w:val="Comment Text Char"/>
    <w:basedOn w:val="DefaultParagraphFont"/>
    <w:link w:val="CommentText"/>
    <w:uiPriority w:val="99"/>
    <w:semiHidden/>
    <w:rsid w:val="0023552F"/>
    <w:rPr>
      <w:rFonts w:ascii="Arial" w:eastAsia="Times New Roman" w:hAnsi="Arial"/>
      <w:lang w:val="fr-FR"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fr-FR"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51EF2"/>
    <w:rPr>
      <w:sz w:val="22"/>
      <w:szCs w:val="22"/>
    </w:rPr>
  </w:style>
  <w:style w:type="paragraph" w:customStyle="1" w:styleId="formtext">
    <w:name w:val="formtext"/>
    <w:basedOn w:val="Normal"/>
    <w:rsid w:val="005B274E"/>
    <w:pPr>
      <w:spacing w:before="80" w:after="80" w:line="240" w:lineRule="exact"/>
    </w:pPr>
    <w:rPr>
      <w:rFonts w:eastAsia="SimSun"/>
      <w:sz w:val="22"/>
      <w:szCs w:val="22"/>
    </w:rPr>
  </w:style>
  <w:style w:type="paragraph" w:styleId="Revision">
    <w:name w:val="Revision"/>
    <w:hidden/>
    <w:uiPriority w:val="99"/>
    <w:semiHidden/>
    <w:rsid w:val="00BD6FD7"/>
    <w:rPr>
      <w:rFonts w:ascii="Arial" w:eastAsia="Times New Roman" w:hAnsi="Arial"/>
      <w:sz w:val="24"/>
      <w:szCs w:val="24"/>
    </w:rPr>
  </w:style>
  <w:style w:type="paragraph" w:customStyle="1" w:styleId="Sansinterligne2">
    <w:name w:val="Sans interligne2"/>
    <w:uiPriority w:val="1"/>
    <w:rsid w:val="00F44794"/>
    <w:rPr>
      <w:rFonts w:ascii="Times New Roman" w:eastAsia="Times New Roman" w:hAnsi="Times New Roman"/>
      <w:sz w:val="24"/>
      <w:szCs w:val="24"/>
    </w:rPr>
  </w:style>
  <w:style w:type="paragraph" w:customStyle="1" w:styleId="Sansinterligne1">
    <w:name w:val="Sans interligne1"/>
    <w:uiPriority w:val="1"/>
    <w:rsid w:val="00F44794"/>
    <w:rPr>
      <w:rFonts w:ascii="Times New Roman" w:eastAsia="Times New Roman" w:hAnsi="Times New Roman"/>
      <w:sz w:val="24"/>
      <w:szCs w:val="24"/>
    </w:rPr>
  </w:style>
  <w:style w:type="paragraph" w:customStyle="1" w:styleId="COMPara">
    <w:name w:val="COM Para"/>
    <w:rsid w:val="00B522FD"/>
    <w:pPr>
      <w:numPr>
        <w:numId w:val="26"/>
      </w:numPr>
      <w:spacing w:after="120"/>
    </w:pPr>
    <w:rPr>
      <w:rFonts w:ascii="Arial" w:hAnsi="Arial" w:cs="Arial"/>
      <w:sz w:val="22"/>
      <w:szCs w:val="22"/>
    </w:rPr>
  </w:style>
  <w:style w:type="paragraph" w:customStyle="1" w:styleId="NoSpacing1">
    <w:name w:val="No Spacing1"/>
    <w:rsid w:val="00B522FD"/>
    <w:rPr>
      <w:sz w:val="22"/>
      <w:szCs w:val="22"/>
    </w:rPr>
  </w:style>
  <w:style w:type="character" w:styleId="PageNumber">
    <w:name w:val="page number"/>
    <w:semiHidden/>
    <w:rsid w:val="00F865F0"/>
    <w:rPr>
      <w:rFonts w:cs="Times New Roman"/>
    </w:rPr>
  </w:style>
  <w:style w:type="character" w:styleId="FollowedHyperlink">
    <w:name w:val="FollowedHyperlink"/>
    <w:basedOn w:val="DefaultParagraphFont"/>
    <w:uiPriority w:val="99"/>
    <w:semiHidden/>
    <w:unhideWhenUsed/>
    <w:rsid w:val="00BC7C4C"/>
    <w:rPr>
      <w:color w:val="800080" w:themeColor="followedHyperlink"/>
      <w:u w:val="single"/>
    </w:rPr>
  </w:style>
  <w:style w:type="paragraph" w:customStyle="1" w:styleId="COMParaDecision">
    <w:name w:val="COM Para Decision"/>
    <w:basedOn w:val="Normal"/>
    <w:qFormat/>
    <w:rsid w:val="00147D26"/>
    <w:pPr>
      <w:numPr>
        <w:numId w:val="29"/>
      </w:numPr>
      <w:autoSpaceDE w:val="0"/>
      <w:autoSpaceDN w:val="0"/>
      <w:adjustRightInd w:val="0"/>
      <w:spacing w:after="120"/>
      <w:jc w:val="both"/>
    </w:pPr>
    <w:rPr>
      <w:rFonts w:eastAsia="SimSun" w:cs="Arial"/>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F1"/>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fr-FR" w:eastAsia="fr-FR"/>
    </w:rPr>
  </w:style>
  <w:style w:type="paragraph" w:styleId="ListParagraph">
    <w:name w:val="List Paragraph"/>
    <w:basedOn w:val="Normal"/>
    <w:uiPriority w:val="34"/>
    <w:qFormat/>
    <w:rsid w:val="00E744D6"/>
    <w:pPr>
      <w:ind w:left="708"/>
    </w:pPr>
    <w:rPr>
      <w:rFonts w:ascii="Times New Roman" w:hAnsi="Times New Roman"/>
    </w:rPr>
  </w:style>
  <w:style w:type="character" w:styleId="Hyperlink">
    <w:name w:val="Hyperlink"/>
    <w:basedOn w:val="DefaultParagraphFont"/>
    <w:unhideWhenUsed/>
    <w:rsid w:val="008D06B7"/>
    <w:rPr>
      <w:color w:val="0000FF"/>
      <w:u w:val="single"/>
    </w:rPr>
  </w:style>
  <w:style w:type="paragraph" w:styleId="NormalWeb">
    <w:name w:val="Normal (Web)"/>
    <w:basedOn w:val="Normal"/>
    <w:unhideWhenUsed/>
    <w:rsid w:val="00E43134"/>
    <w:pPr>
      <w:spacing w:before="100" w:beforeAutospacing="1" w:after="100" w:afterAutospacing="1"/>
    </w:pPr>
    <w:rPr>
      <w:rFonts w:ascii="Times New Roman" w:hAnsi="Times New Roman"/>
    </w:rPr>
  </w:style>
  <w:style w:type="paragraph" w:styleId="Header">
    <w:name w:val="header"/>
    <w:basedOn w:val="Normal"/>
    <w:link w:val="HeaderChar"/>
    <w:unhideWhenUsed/>
    <w:rsid w:val="004963DE"/>
    <w:pPr>
      <w:tabs>
        <w:tab w:val="center" w:pos="4513"/>
        <w:tab w:val="right" w:pos="9026"/>
      </w:tabs>
    </w:pPr>
  </w:style>
  <w:style w:type="character" w:customStyle="1" w:styleId="HeaderChar">
    <w:name w:val="Header Char"/>
    <w:basedOn w:val="DefaultParagraphFont"/>
    <w:link w:val="Header"/>
    <w:rsid w:val="004963DE"/>
    <w:rPr>
      <w:rFonts w:ascii="Arial" w:eastAsia="Times New Roman" w:hAnsi="Arial"/>
      <w:sz w:val="24"/>
      <w:szCs w:val="24"/>
      <w:lang w:val="fr-FR"/>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fr-FR"/>
    </w:rPr>
  </w:style>
  <w:style w:type="character" w:styleId="CommentReference">
    <w:name w:val="annotation reference"/>
    <w:basedOn w:val="DefaultParagraphFont"/>
    <w:uiPriority w:val="99"/>
    <w:semiHidden/>
    <w:unhideWhenUsed/>
    <w:rsid w:val="0023552F"/>
    <w:rPr>
      <w:sz w:val="16"/>
      <w:szCs w:val="16"/>
    </w:rPr>
  </w:style>
  <w:style w:type="paragraph" w:styleId="CommentText">
    <w:name w:val="annotation text"/>
    <w:basedOn w:val="Normal"/>
    <w:link w:val="CommentTextChar"/>
    <w:uiPriority w:val="99"/>
    <w:semiHidden/>
    <w:unhideWhenUsed/>
    <w:rsid w:val="0023552F"/>
    <w:rPr>
      <w:sz w:val="20"/>
      <w:szCs w:val="20"/>
    </w:rPr>
  </w:style>
  <w:style w:type="character" w:customStyle="1" w:styleId="CommentTextChar">
    <w:name w:val="Comment Text Char"/>
    <w:basedOn w:val="DefaultParagraphFont"/>
    <w:link w:val="CommentText"/>
    <w:uiPriority w:val="99"/>
    <w:semiHidden/>
    <w:rsid w:val="0023552F"/>
    <w:rPr>
      <w:rFonts w:ascii="Arial" w:eastAsia="Times New Roman" w:hAnsi="Arial"/>
      <w:lang w:val="fr-FR"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fr-FR"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51EF2"/>
    <w:rPr>
      <w:sz w:val="22"/>
      <w:szCs w:val="22"/>
    </w:rPr>
  </w:style>
  <w:style w:type="paragraph" w:customStyle="1" w:styleId="formtext">
    <w:name w:val="formtext"/>
    <w:basedOn w:val="Normal"/>
    <w:rsid w:val="005B274E"/>
    <w:pPr>
      <w:spacing w:before="80" w:after="80" w:line="240" w:lineRule="exact"/>
    </w:pPr>
    <w:rPr>
      <w:rFonts w:eastAsia="SimSun"/>
      <w:sz w:val="22"/>
      <w:szCs w:val="22"/>
    </w:rPr>
  </w:style>
  <w:style w:type="paragraph" w:styleId="Revision">
    <w:name w:val="Revision"/>
    <w:hidden/>
    <w:uiPriority w:val="99"/>
    <w:semiHidden/>
    <w:rsid w:val="00BD6FD7"/>
    <w:rPr>
      <w:rFonts w:ascii="Arial" w:eastAsia="Times New Roman" w:hAnsi="Arial"/>
      <w:sz w:val="24"/>
      <w:szCs w:val="24"/>
    </w:rPr>
  </w:style>
  <w:style w:type="paragraph" w:customStyle="1" w:styleId="Sansinterligne2">
    <w:name w:val="Sans interligne2"/>
    <w:uiPriority w:val="1"/>
    <w:rsid w:val="00F44794"/>
    <w:rPr>
      <w:rFonts w:ascii="Times New Roman" w:eastAsia="Times New Roman" w:hAnsi="Times New Roman"/>
      <w:sz w:val="24"/>
      <w:szCs w:val="24"/>
    </w:rPr>
  </w:style>
  <w:style w:type="paragraph" w:customStyle="1" w:styleId="Sansinterligne1">
    <w:name w:val="Sans interligne1"/>
    <w:uiPriority w:val="1"/>
    <w:rsid w:val="00F44794"/>
    <w:rPr>
      <w:rFonts w:ascii="Times New Roman" w:eastAsia="Times New Roman" w:hAnsi="Times New Roman"/>
      <w:sz w:val="24"/>
      <w:szCs w:val="24"/>
    </w:rPr>
  </w:style>
  <w:style w:type="paragraph" w:customStyle="1" w:styleId="COMPara">
    <w:name w:val="COM Para"/>
    <w:rsid w:val="00B522FD"/>
    <w:pPr>
      <w:numPr>
        <w:numId w:val="26"/>
      </w:numPr>
      <w:spacing w:after="120"/>
    </w:pPr>
    <w:rPr>
      <w:rFonts w:ascii="Arial" w:hAnsi="Arial" w:cs="Arial"/>
      <w:sz w:val="22"/>
      <w:szCs w:val="22"/>
    </w:rPr>
  </w:style>
  <w:style w:type="paragraph" w:customStyle="1" w:styleId="NoSpacing1">
    <w:name w:val="No Spacing1"/>
    <w:rsid w:val="00B522FD"/>
    <w:rPr>
      <w:sz w:val="22"/>
      <w:szCs w:val="22"/>
    </w:rPr>
  </w:style>
  <w:style w:type="character" w:styleId="PageNumber">
    <w:name w:val="page number"/>
    <w:semiHidden/>
    <w:rsid w:val="00F865F0"/>
    <w:rPr>
      <w:rFonts w:cs="Times New Roman"/>
    </w:rPr>
  </w:style>
  <w:style w:type="character" w:styleId="FollowedHyperlink">
    <w:name w:val="FollowedHyperlink"/>
    <w:basedOn w:val="DefaultParagraphFont"/>
    <w:uiPriority w:val="99"/>
    <w:semiHidden/>
    <w:unhideWhenUsed/>
    <w:rsid w:val="00BC7C4C"/>
    <w:rPr>
      <w:color w:val="800080" w:themeColor="followedHyperlink"/>
      <w:u w:val="single"/>
    </w:rPr>
  </w:style>
  <w:style w:type="paragraph" w:customStyle="1" w:styleId="COMParaDecision">
    <w:name w:val="COM Para Decision"/>
    <w:basedOn w:val="Normal"/>
    <w:qFormat/>
    <w:rsid w:val="00147D26"/>
    <w:pPr>
      <w:numPr>
        <w:numId w:val="29"/>
      </w:numPr>
      <w:autoSpaceDE w:val="0"/>
      <w:autoSpaceDN w:val="0"/>
      <w:adjustRightInd w:val="0"/>
      <w:spacing w:after="120"/>
      <w:jc w:val="both"/>
    </w:pPr>
    <w:rPr>
      <w:rFonts w:eastAsia="SimSun" w:cs="Arial"/>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5302">
      <w:bodyDiv w:val="1"/>
      <w:marLeft w:val="0"/>
      <w:marRight w:val="0"/>
      <w:marTop w:val="0"/>
      <w:marBottom w:val="0"/>
      <w:divBdr>
        <w:top w:val="none" w:sz="0" w:space="0" w:color="auto"/>
        <w:left w:val="none" w:sz="0" w:space="0" w:color="auto"/>
        <w:bottom w:val="none" w:sz="0" w:space="0" w:color="auto"/>
        <w:right w:val="none" w:sz="0" w:space="0" w:color="auto"/>
      </w:divBdr>
    </w:div>
    <w:div w:id="200097068">
      <w:bodyDiv w:val="1"/>
      <w:marLeft w:val="0"/>
      <w:marRight w:val="0"/>
      <w:marTop w:val="0"/>
      <w:marBottom w:val="0"/>
      <w:divBdr>
        <w:top w:val="none" w:sz="0" w:space="0" w:color="auto"/>
        <w:left w:val="none" w:sz="0" w:space="0" w:color="auto"/>
        <w:bottom w:val="none" w:sz="0" w:space="0" w:color="auto"/>
        <w:right w:val="none" w:sz="0" w:space="0" w:color="auto"/>
      </w:divBdr>
      <w:divsChild>
        <w:div w:id="717898968">
          <w:marLeft w:val="0"/>
          <w:marRight w:val="0"/>
          <w:marTop w:val="0"/>
          <w:marBottom w:val="0"/>
          <w:divBdr>
            <w:top w:val="none" w:sz="0" w:space="0" w:color="auto"/>
            <w:left w:val="none" w:sz="0" w:space="0" w:color="auto"/>
            <w:bottom w:val="none" w:sz="0" w:space="0" w:color="auto"/>
            <w:right w:val="none" w:sz="0" w:space="0" w:color="auto"/>
          </w:divBdr>
          <w:divsChild>
            <w:div w:id="1126392880">
              <w:marLeft w:val="0"/>
              <w:marRight w:val="0"/>
              <w:marTop w:val="0"/>
              <w:marBottom w:val="0"/>
              <w:divBdr>
                <w:top w:val="single" w:sz="6" w:space="0" w:color="4D90FE"/>
                <w:left w:val="single" w:sz="6" w:space="0" w:color="4D90FE"/>
                <w:bottom w:val="single" w:sz="6" w:space="0" w:color="4D90FE"/>
                <w:right w:val="none" w:sz="0" w:space="0" w:color="auto"/>
              </w:divBdr>
              <w:divsChild>
                <w:div w:id="1055200719">
                  <w:marLeft w:val="0"/>
                  <w:marRight w:val="0"/>
                  <w:marTop w:val="0"/>
                  <w:marBottom w:val="0"/>
                  <w:divBdr>
                    <w:top w:val="none" w:sz="0" w:space="0" w:color="auto"/>
                    <w:left w:val="none" w:sz="0" w:space="0" w:color="auto"/>
                    <w:bottom w:val="none" w:sz="0" w:space="0" w:color="auto"/>
                    <w:right w:val="none" w:sz="0" w:space="0" w:color="auto"/>
                  </w:divBdr>
                  <w:divsChild>
                    <w:div w:id="1400863828">
                      <w:marLeft w:val="0"/>
                      <w:marRight w:val="0"/>
                      <w:marTop w:val="0"/>
                      <w:marBottom w:val="0"/>
                      <w:divBdr>
                        <w:top w:val="none" w:sz="0" w:space="0" w:color="auto"/>
                        <w:left w:val="none" w:sz="0" w:space="0" w:color="auto"/>
                        <w:bottom w:val="none" w:sz="0" w:space="0" w:color="auto"/>
                        <w:right w:val="none" w:sz="0" w:space="0" w:color="auto"/>
                      </w:divBdr>
                      <w:divsChild>
                        <w:div w:id="1648823492">
                          <w:marLeft w:val="0"/>
                          <w:marRight w:val="0"/>
                          <w:marTop w:val="0"/>
                          <w:marBottom w:val="0"/>
                          <w:divBdr>
                            <w:top w:val="none" w:sz="0" w:space="0" w:color="auto"/>
                            <w:left w:val="none" w:sz="0" w:space="0" w:color="auto"/>
                            <w:bottom w:val="none" w:sz="0" w:space="0" w:color="auto"/>
                            <w:right w:val="none" w:sz="0" w:space="0" w:color="auto"/>
                          </w:divBdr>
                          <w:divsChild>
                            <w:div w:id="1684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1832">
      <w:bodyDiv w:val="1"/>
      <w:marLeft w:val="0"/>
      <w:marRight w:val="0"/>
      <w:marTop w:val="0"/>
      <w:marBottom w:val="0"/>
      <w:divBdr>
        <w:top w:val="none" w:sz="0" w:space="0" w:color="auto"/>
        <w:left w:val="none" w:sz="0" w:space="0" w:color="auto"/>
        <w:bottom w:val="none" w:sz="0" w:space="0" w:color="auto"/>
        <w:right w:val="none" w:sz="0" w:space="0" w:color="auto"/>
      </w:divBdr>
    </w:div>
    <w:div w:id="476652449">
      <w:bodyDiv w:val="1"/>
      <w:marLeft w:val="0"/>
      <w:marRight w:val="0"/>
      <w:marTop w:val="0"/>
      <w:marBottom w:val="0"/>
      <w:divBdr>
        <w:top w:val="none" w:sz="0" w:space="0" w:color="auto"/>
        <w:left w:val="none" w:sz="0" w:space="0" w:color="auto"/>
        <w:bottom w:val="none" w:sz="0" w:space="0" w:color="auto"/>
        <w:right w:val="none" w:sz="0" w:space="0" w:color="auto"/>
      </w:divBdr>
    </w:div>
    <w:div w:id="657340328">
      <w:bodyDiv w:val="1"/>
      <w:marLeft w:val="0"/>
      <w:marRight w:val="0"/>
      <w:marTop w:val="0"/>
      <w:marBottom w:val="0"/>
      <w:divBdr>
        <w:top w:val="none" w:sz="0" w:space="0" w:color="auto"/>
        <w:left w:val="none" w:sz="0" w:space="0" w:color="auto"/>
        <w:bottom w:val="none" w:sz="0" w:space="0" w:color="auto"/>
        <w:right w:val="none" w:sz="0" w:space="0" w:color="auto"/>
      </w:divBdr>
    </w:div>
    <w:div w:id="1514999844">
      <w:bodyDiv w:val="1"/>
      <w:marLeft w:val="0"/>
      <w:marRight w:val="0"/>
      <w:marTop w:val="0"/>
      <w:marBottom w:val="0"/>
      <w:divBdr>
        <w:top w:val="none" w:sz="0" w:space="0" w:color="auto"/>
        <w:left w:val="none" w:sz="0" w:space="0" w:color="auto"/>
        <w:bottom w:val="none" w:sz="0" w:space="0" w:color="auto"/>
        <w:right w:val="none" w:sz="0" w:space="0" w:color="auto"/>
      </w:divBdr>
    </w:div>
    <w:div w:id="1735353193">
      <w:bodyDiv w:val="1"/>
      <w:marLeft w:val="0"/>
      <w:marRight w:val="0"/>
      <w:marTop w:val="0"/>
      <w:marBottom w:val="0"/>
      <w:divBdr>
        <w:top w:val="none" w:sz="0" w:space="0" w:color="auto"/>
        <w:left w:val="none" w:sz="0" w:space="0" w:color="auto"/>
        <w:bottom w:val="none" w:sz="0" w:space="0" w:color="auto"/>
        <w:right w:val="none" w:sz="0" w:space="0" w:color="auto"/>
      </w:divBdr>
    </w:div>
    <w:div w:id="18521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fr/10a-liste-de-sauvegarde-urgente-00890" TargetMode="External"/><Relationship Id="rId18" Type="http://schemas.openxmlformats.org/officeDocument/2006/relationships/hyperlink" Target="http://www.unesco.org/culture/ich/fr/10a-liste-de-sauvegarde-urgente-00890" TargetMode="External"/><Relationship Id="rId3" Type="http://schemas.openxmlformats.org/officeDocument/2006/relationships/styles" Target="styles.xml"/><Relationship Id="rId21" Type="http://schemas.openxmlformats.org/officeDocument/2006/relationships/hyperlink" Target="#recommend_to_inscribe"/><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unesco.org/culture/ich/fr/10a-liste-de-sauvegarde-urgente-008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esco.org/culture/ich/fr/10a-liste-de-sauvegarde-urgente-0089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esco.org/culture/ich/fr/10a-liste-de-sauvegarde-urgente-00890"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recommend_to_refer"/><Relationship Id="rId4" Type="http://schemas.microsoft.com/office/2007/relationships/stylesWithEffects" Target="stylesWithEffects.xml"/><Relationship Id="rId9" Type="http://schemas.openxmlformats.org/officeDocument/2006/relationships/hyperlink" Target="http://www.unesco.org/culture/ich/fr/10a-liste-de-sauvegarde-urgente-00890" TargetMode="External"/><Relationship Id="rId14" Type="http://schemas.openxmlformats.org/officeDocument/2006/relationships/hyperlink" Target="http://www.unesco.org/culture/ich/fr/10a-liste-de-sauvegarde-urgente-00890" TargetMode="External"/><Relationship Id="rId22" Type="http://schemas.openxmlformats.org/officeDocument/2006/relationships/hyperlink" Target="#recommend_to_inscribe_and_approve"/></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07DA-39D9-4987-ADF2-0BC7A2BC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5546</Words>
  <Characters>30505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2016-11-18T09:35:00Z</dcterms:created>
  <dcterms:modified xsi:type="dcterms:W3CDTF">2016-11-18T09:35:00Z</dcterms:modified>
</cp:coreProperties>
</file>