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A41B" w14:textId="77777777" w:rsidR="00BC3420" w:rsidRPr="00FC0A44" w:rsidRDefault="00BC3420" w:rsidP="007037C3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C0A44">
        <w:rPr>
          <w:rFonts w:ascii="Arial" w:hAnsi="Arial" w:cs="Arial"/>
          <w:b/>
          <w:sz w:val="22"/>
          <w:szCs w:val="22"/>
        </w:rPr>
        <w:t>CONVENTION POUR LA SAUVEGARDE DU</w:t>
      </w:r>
      <w:r w:rsidRPr="00FC0A44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66035FA5" w14:textId="77777777" w:rsidR="00BC3420" w:rsidRPr="00FC0A44" w:rsidRDefault="00BC3420" w:rsidP="006026D7">
      <w:pPr>
        <w:spacing w:before="960"/>
        <w:jc w:val="center"/>
        <w:rPr>
          <w:rFonts w:ascii="Arial" w:hAnsi="Arial" w:cs="Arial"/>
          <w:b/>
          <w:sz w:val="22"/>
          <w:szCs w:val="22"/>
        </w:rPr>
      </w:pPr>
      <w:r w:rsidRPr="00FC0A44">
        <w:rPr>
          <w:rFonts w:ascii="Arial" w:hAnsi="Arial" w:cs="Arial"/>
          <w:b/>
          <w:sz w:val="22"/>
          <w:szCs w:val="22"/>
        </w:rPr>
        <w:t>COMITÉ INTERGOUVERNEMENTAL DE SAUVEGARDE</w:t>
      </w:r>
      <w:r w:rsidRPr="00FC0A44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2A7933DB" w14:textId="77777777" w:rsidR="00BC3420" w:rsidRPr="00FC0A44" w:rsidRDefault="00165170" w:rsidP="00BC3420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FC0A44">
        <w:rPr>
          <w:rFonts w:ascii="Arial" w:hAnsi="Arial" w:cs="Arial"/>
          <w:b/>
          <w:sz w:val="22"/>
          <w:szCs w:val="22"/>
        </w:rPr>
        <w:t>Dixième</w:t>
      </w:r>
      <w:r w:rsidR="00BC3420" w:rsidRPr="00FC0A44">
        <w:rPr>
          <w:rFonts w:ascii="Arial" w:hAnsi="Arial" w:cs="Arial"/>
          <w:b/>
          <w:sz w:val="22"/>
          <w:szCs w:val="22"/>
        </w:rPr>
        <w:t xml:space="preserve"> session</w:t>
      </w:r>
    </w:p>
    <w:p w14:paraId="06C71627" w14:textId="77777777" w:rsidR="00A61C6E" w:rsidRPr="00FC0A44" w:rsidRDefault="00F134B7" w:rsidP="00871C8F">
      <w:pPr>
        <w:jc w:val="center"/>
        <w:rPr>
          <w:rFonts w:ascii="Arial" w:hAnsi="Arial" w:cs="Arial"/>
          <w:b/>
          <w:sz w:val="22"/>
          <w:szCs w:val="22"/>
        </w:rPr>
      </w:pPr>
      <w:r w:rsidRPr="00FC0A44">
        <w:rPr>
          <w:rFonts w:ascii="Arial" w:hAnsi="Arial" w:cs="Arial"/>
          <w:b/>
          <w:sz w:val="22"/>
          <w:szCs w:val="22"/>
        </w:rPr>
        <w:t>Windhoek</w:t>
      </w:r>
      <w:r w:rsidR="00FC4715" w:rsidRPr="00FC0A44">
        <w:rPr>
          <w:rFonts w:ascii="Arial" w:hAnsi="Arial" w:cs="Arial"/>
          <w:b/>
          <w:sz w:val="22"/>
          <w:szCs w:val="22"/>
        </w:rPr>
        <w:t>, Namibie</w:t>
      </w:r>
    </w:p>
    <w:p w14:paraId="1EA9957C" w14:textId="77777777" w:rsidR="00BC3420" w:rsidRPr="00FC0A44" w:rsidRDefault="00764CF9" w:rsidP="00BC3420">
      <w:pPr>
        <w:jc w:val="center"/>
        <w:rPr>
          <w:rFonts w:ascii="Arial" w:hAnsi="Arial" w:cs="Arial"/>
          <w:b/>
          <w:sz w:val="22"/>
          <w:szCs w:val="22"/>
        </w:rPr>
      </w:pPr>
      <w:r w:rsidRPr="00FC0A44">
        <w:rPr>
          <w:rFonts w:ascii="Arial" w:hAnsi="Arial" w:cs="Arial"/>
          <w:b/>
          <w:sz w:val="22"/>
          <w:szCs w:val="22"/>
        </w:rPr>
        <w:t>30</w:t>
      </w:r>
      <w:r w:rsidR="00165170" w:rsidRPr="00FC0A44">
        <w:rPr>
          <w:rFonts w:ascii="Arial" w:hAnsi="Arial" w:cs="Arial"/>
          <w:b/>
          <w:sz w:val="22"/>
          <w:szCs w:val="22"/>
        </w:rPr>
        <w:t xml:space="preserve"> novembre</w:t>
      </w:r>
      <w:r w:rsidR="00BC3420" w:rsidRPr="00FC0A44">
        <w:rPr>
          <w:rFonts w:ascii="Arial" w:hAnsi="Arial" w:cs="Arial"/>
          <w:b/>
          <w:sz w:val="22"/>
          <w:szCs w:val="22"/>
        </w:rPr>
        <w:t xml:space="preserve"> – </w:t>
      </w:r>
      <w:r w:rsidR="00165170" w:rsidRPr="00FC0A44">
        <w:rPr>
          <w:rFonts w:ascii="Arial" w:hAnsi="Arial" w:cs="Arial"/>
          <w:b/>
          <w:sz w:val="22"/>
          <w:szCs w:val="22"/>
        </w:rPr>
        <w:t>4</w:t>
      </w:r>
      <w:r w:rsidR="00BC3420" w:rsidRPr="00FC0A44">
        <w:rPr>
          <w:rFonts w:ascii="Arial" w:hAnsi="Arial" w:cs="Arial"/>
          <w:b/>
          <w:sz w:val="22"/>
          <w:szCs w:val="22"/>
        </w:rPr>
        <w:t xml:space="preserve"> </w:t>
      </w:r>
      <w:r w:rsidR="00165170" w:rsidRPr="00FC0A44">
        <w:rPr>
          <w:rFonts w:ascii="Arial" w:hAnsi="Arial" w:cs="Arial"/>
          <w:b/>
          <w:sz w:val="22"/>
          <w:szCs w:val="22"/>
        </w:rPr>
        <w:t>décembre</w:t>
      </w:r>
      <w:r w:rsidRPr="00FC0A44">
        <w:rPr>
          <w:rFonts w:ascii="Arial" w:hAnsi="Arial" w:cs="Arial"/>
          <w:b/>
          <w:sz w:val="22"/>
          <w:szCs w:val="22"/>
        </w:rPr>
        <w:t xml:space="preserve"> 2015</w:t>
      </w:r>
    </w:p>
    <w:p w14:paraId="6AD87C2D" w14:textId="71AFEBE7" w:rsidR="00BC3420" w:rsidRPr="00FC0A44" w:rsidRDefault="00BC3420" w:rsidP="00F51CBF">
      <w:pPr>
        <w:pStyle w:val="Sansinterligne2"/>
        <w:spacing w:before="960"/>
        <w:jc w:val="center"/>
        <w:rPr>
          <w:rFonts w:ascii="Arial" w:hAnsi="Arial" w:cs="Arial"/>
          <w:b/>
          <w:sz w:val="22"/>
          <w:szCs w:val="22"/>
        </w:rPr>
      </w:pPr>
      <w:r w:rsidRPr="00FC0A4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DC64C1" w:rsidRPr="00FC0A44">
        <w:rPr>
          <w:rFonts w:ascii="Arial" w:hAnsi="Arial" w:cs="Arial"/>
          <w:b/>
          <w:sz w:val="22"/>
          <w:szCs w:val="22"/>
          <w:u w:val="single"/>
        </w:rPr>
        <w:t>9</w:t>
      </w:r>
      <w:r w:rsidRPr="00FC0A44">
        <w:rPr>
          <w:rFonts w:ascii="Arial" w:hAnsi="Arial" w:cs="Arial"/>
          <w:b/>
          <w:sz w:val="22"/>
          <w:szCs w:val="22"/>
          <w:u w:val="single"/>
        </w:rPr>
        <w:t xml:space="preserve"> de l</w:t>
      </w:r>
      <w:r w:rsidR="00260217">
        <w:rPr>
          <w:rFonts w:ascii="Arial" w:hAnsi="Arial" w:cs="Arial"/>
          <w:b/>
          <w:sz w:val="22"/>
          <w:szCs w:val="22"/>
          <w:u w:val="single"/>
        </w:rPr>
        <w:t>’</w:t>
      </w:r>
      <w:r w:rsidRPr="00FC0A44">
        <w:rPr>
          <w:rFonts w:ascii="Arial" w:hAnsi="Arial" w:cs="Arial"/>
          <w:b/>
          <w:sz w:val="22"/>
          <w:szCs w:val="22"/>
          <w:u w:val="single"/>
        </w:rPr>
        <w:t>ordre du jour provisoire</w:t>
      </w:r>
      <w:r w:rsidRPr="00FC0A44">
        <w:rPr>
          <w:rFonts w:ascii="Arial" w:hAnsi="Arial" w:cs="Arial"/>
          <w:b/>
          <w:sz w:val="22"/>
          <w:szCs w:val="22"/>
        </w:rPr>
        <w:t> :</w:t>
      </w:r>
    </w:p>
    <w:p w14:paraId="0E20CB27" w14:textId="77777777" w:rsidR="00BC3420" w:rsidRPr="00FC0A44" w:rsidRDefault="00A51273" w:rsidP="00EC1E63">
      <w:pPr>
        <w:pStyle w:val="NoSpacing"/>
        <w:spacing w:after="720"/>
        <w:jc w:val="center"/>
        <w:rPr>
          <w:rFonts w:ascii="Arial" w:hAnsi="Arial" w:cs="Arial"/>
          <w:b/>
          <w:sz w:val="22"/>
          <w:szCs w:val="22"/>
        </w:rPr>
      </w:pPr>
      <w:r w:rsidRPr="00FC0A44">
        <w:rPr>
          <w:rFonts w:ascii="Arial" w:hAnsi="Arial" w:cs="Arial"/>
          <w:b/>
          <w:sz w:val="22"/>
          <w:szCs w:val="22"/>
        </w:rPr>
        <w:t>Contributions volontaires supplémentaires au Fonds du patrimoine culturel immatériel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BC3420" w:rsidRPr="00FC0A44" w14:paraId="630B720A" w14:textId="77777777" w:rsidTr="0019264E">
        <w:trPr>
          <w:jc w:val="center"/>
        </w:trPr>
        <w:tc>
          <w:tcPr>
            <w:tcW w:w="7825" w:type="dxa"/>
            <w:vAlign w:val="center"/>
          </w:tcPr>
          <w:p w14:paraId="1B1E53F0" w14:textId="77777777" w:rsidR="00BC3420" w:rsidRPr="00FC0A44" w:rsidRDefault="00BC3420" w:rsidP="0019264E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44">
              <w:rPr>
                <w:rFonts w:ascii="Arial" w:hAnsi="Arial" w:cs="Arial"/>
                <w:b/>
                <w:sz w:val="22"/>
                <w:szCs w:val="22"/>
              </w:rPr>
              <w:t>Résumé</w:t>
            </w:r>
          </w:p>
          <w:p w14:paraId="7586DD93" w14:textId="0200C796" w:rsidR="00BC3420" w:rsidRPr="00FC0A44" w:rsidRDefault="00A51273" w:rsidP="0019264E">
            <w:pPr>
              <w:pStyle w:val="Sansinterligne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C0A44">
              <w:rPr>
                <w:rFonts w:ascii="Arial" w:hAnsi="Arial" w:cs="Arial"/>
                <w:sz w:val="22"/>
                <w:szCs w:val="22"/>
              </w:rPr>
              <w:t>Conformément à l</w:t>
            </w:r>
            <w:r w:rsidR="00260217">
              <w:rPr>
                <w:rFonts w:ascii="Arial" w:hAnsi="Arial" w:cs="Arial"/>
                <w:sz w:val="22"/>
                <w:szCs w:val="22"/>
              </w:rPr>
              <w:t>’</w:t>
            </w:r>
            <w:r w:rsidRPr="00FC0A44">
              <w:rPr>
                <w:rFonts w:ascii="Arial" w:hAnsi="Arial" w:cs="Arial"/>
                <w:sz w:val="22"/>
                <w:szCs w:val="22"/>
              </w:rPr>
              <w:t>a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rticle 25.5 </w:t>
            </w:r>
            <w:r w:rsidR="0055245E" w:rsidRPr="00FC0A44">
              <w:rPr>
                <w:rFonts w:ascii="Arial" w:hAnsi="Arial" w:cs="Arial"/>
                <w:sz w:val="22"/>
                <w:szCs w:val="22"/>
              </w:rPr>
              <w:t>de la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 Convention, </w:t>
            </w:r>
            <w:r w:rsidR="0055245E" w:rsidRPr="00FC0A44">
              <w:rPr>
                <w:rFonts w:ascii="Arial" w:hAnsi="Arial" w:cs="Arial"/>
                <w:sz w:val="22"/>
                <w:szCs w:val="22"/>
              </w:rPr>
              <w:t>l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>e Comit</w:t>
            </w:r>
            <w:r w:rsidR="0055245E" w:rsidRPr="00FC0A44">
              <w:rPr>
                <w:rFonts w:ascii="Arial" w:hAnsi="Arial" w:cs="Arial"/>
                <w:sz w:val="22"/>
                <w:szCs w:val="22"/>
              </w:rPr>
              <w:t xml:space="preserve">é peut accepter des 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contributions </w:t>
            </w:r>
            <w:r w:rsidR="0055245E" w:rsidRPr="00FC0A44">
              <w:rPr>
                <w:rFonts w:ascii="Arial" w:hAnsi="Arial" w:cs="Arial"/>
                <w:sz w:val="22"/>
                <w:szCs w:val="22"/>
              </w:rPr>
              <w:t>au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="0055245E" w:rsidRPr="00FC0A44">
              <w:rPr>
                <w:rFonts w:ascii="Arial" w:hAnsi="Arial" w:cs="Arial"/>
                <w:sz w:val="22"/>
                <w:szCs w:val="22"/>
              </w:rPr>
              <w:t>o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>nd</w:t>
            </w:r>
            <w:r w:rsidR="0055245E" w:rsidRPr="00FC0A44">
              <w:rPr>
                <w:rFonts w:ascii="Arial" w:hAnsi="Arial" w:cs="Arial"/>
                <w:sz w:val="22"/>
                <w:szCs w:val="22"/>
              </w:rPr>
              <w:t>s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77C7" w:rsidRPr="00FC0A44">
              <w:rPr>
                <w:rFonts w:ascii="Arial" w:hAnsi="Arial" w:cs="Arial"/>
                <w:sz w:val="22"/>
                <w:szCs w:val="22"/>
              </w:rPr>
              <w:t xml:space="preserve">fournies </w:t>
            </w:r>
            <w:r w:rsidR="0055245E" w:rsidRPr="00FC0A44">
              <w:rPr>
                <w:rFonts w:ascii="Arial" w:hAnsi="Arial" w:cs="Arial"/>
                <w:sz w:val="22"/>
                <w:szCs w:val="22"/>
              </w:rPr>
              <w:t xml:space="preserve">à des fins spécifiques </w:t>
            </w:r>
            <w:r w:rsidR="00F12538" w:rsidRPr="00FC0A44">
              <w:rPr>
                <w:rFonts w:ascii="Arial" w:hAnsi="Arial" w:cs="Arial"/>
                <w:sz w:val="22"/>
                <w:szCs w:val="22"/>
              </w:rPr>
              <w:t>se rapportant</w:t>
            </w:r>
            <w:r w:rsidR="0055245E" w:rsidRPr="00FC0A44">
              <w:rPr>
                <w:rFonts w:ascii="Arial" w:hAnsi="Arial" w:cs="Arial"/>
                <w:sz w:val="22"/>
                <w:szCs w:val="22"/>
              </w:rPr>
              <w:t xml:space="preserve"> à des projets spécifiques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677C7" w:rsidRPr="00FC0A44">
              <w:rPr>
                <w:rFonts w:ascii="Arial" w:hAnsi="Arial" w:cs="Arial"/>
                <w:sz w:val="22"/>
                <w:szCs w:val="22"/>
              </w:rPr>
              <w:t>pourvu</w:t>
            </w:r>
            <w:r w:rsidR="00D53DD0" w:rsidRPr="00FC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245E" w:rsidRPr="00FC0A44">
              <w:rPr>
                <w:rFonts w:ascii="Arial" w:hAnsi="Arial" w:cs="Arial"/>
                <w:sz w:val="22"/>
                <w:szCs w:val="22"/>
              </w:rPr>
              <w:t>que ces projets aient été approuvés par le Comité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356BF" w:rsidRPr="00FC0A44">
              <w:rPr>
                <w:rFonts w:ascii="Arial" w:hAnsi="Arial" w:cs="Arial"/>
                <w:sz w:val="22"/>
                <w:szCs w:val="22"/>
              </w:rPr>
              <w:t>L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>e pr</w:t>
            </w:r>
            <w:r w:rsidR="005356BF" w:rsidRPr="00FC0A44">
              <w:rPr>
                <w:rFonts w:ascii="Arial" w:hAnsi="Arial" w:cs="Arial"/>
                <w:sz w:val="22"/>
                <w:szCs w:val="22"/>
              </w:rPr>
              <w:t>é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sent document </w:t>
            </w:r>
            <w:r w:rsidR="005356BF" w:rsidRPr="00FC0A44">
              <w:rPr>
                <w:rFonts w:ascii="Arial" w:hAnsi="Arial" w:cs="Arial"/>
                <w:sz w:val="22"/>
                <w:szCs w:val="22"/>
              </w:rPr>
              <w:t xml:space="preserve">rend compte de ces 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contributions </w:t>
            </w:r>
            <w:r w:rsidR="005356BF" w:rsidRPr="00FC0A44">
              <w:rPr>
                <w:rFonts w:ascii="Arial" w:hAnsi="Arial" w:cs="Arial"/>
                <w:sz w:val="22"/>
                <w:szCs w:val="22"/>
              </w:rPr>
              <w:t>depuis la neuvième session du Comité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56BF" w:rsidRPr="00FC0A44">
              <w:rPr>
                <w:rFonts w:ascii="Arial" w:hAnsi="Arial" w:cs="Arial"/>
                <w:sz w:val="22"/>
                <w:szCs w:val="22"/>
              </w:rPr>
              <w:t>et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 pr</w:t>
            </w:r>
            <w:r w:rsidR="005356BF" w:rsidRPr="00FC0A44">
              <w:rPr>
                <w:rFonts w:ascii="Arial" w:hAnsi="Arial" w:cs="Arial"/>
                <w:sz w:val="22"/>
                <w:szCs w:val="22"/>
              </w:rPr>
              <w:t>é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>sent</w:t>
            </w:r>
            <w:r w:rsidR="005356BF" w:rsidRPr="00FC0A44">
              <w:rPr>
                <w:rFonts w:ascii="Arial" w:hAnsi="Arial" w:cs="Arial"/>
                <w:sz w:val="22"/>
                <w:szCs w:val="22"/>
              </w:rPr>
              <w:t>e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56BF" w:rsidRPr="00FC0A44">
              <w:rPr>
                <w:rFonts w:ascii="Arial" w:hAnsi="Arial" w:cs="Arial"/>
                <w:sz w:val="22"/>
                <w:szCs w:val="22"/>
              </w:rPr>
              <w:t xml:space="preserve">une offre de la Commission nationale de la République populaire de Chine de soutenir </w:t>
            </w:r>
            <w:r w:rsidR="00821CDE" w:rsidRPr="00FC0A44">
              <w:rPr>
                <w:rFonts w:ascii="Arial" w:hAnsi="Arial" w:cs="Arial"/>
                <w:sz w:val="22"/>
                <w:szCs w:val="22"/>
              </w:rPr>
              <w:t>une réunion préliminaire d</w:t>
            </w:r>
            <w:r w:rsidR="00260217">
              <w:rPr>
                <w:rFonts w:ascii="Arial" w:hAnsi="Arial" w:cs="Arial"/>
                <w:sz w:val="22"/>
                <w:szCs w:val="22"/>
              </w:rPr>
              <w:t>’</w:t>
            </w:r>
            <w:r w:rsidR="00821CDE" w:rsidRPr="00FC0A44">
              <w:rPr>
                <w:rFonts w:ascii="Arial" w:hAnsi="Arial" w:cs="Arial"/>
                <w:sz w:val="22"/>
                <w:szCs w:val="22"/>
              </w:rPr>
              <w:t xml:space="preserve">experts sur un cadre </w:t>
            </w:r>
            <w:r w:rsidR="00784004" w:rsidRPr="00FC0A44">
              <w:rPr>
                <w:rFonts w:ascii="Arial" w:hAnsi="Arial" w:cs="Arial"/>
                <w:sz w:val="22"/>
                <w:szCs w:val="22"/>
              </w:rPr>
              <w:t xml:space="preserve">global </w:t>
            </w:r>
            <w:r w:rsidR="00821CDE" w:rsidRPr="00FC0A44">
              <w:rPr>
                <w:rFonts w:ascii="Arial" w:hAnsi="Arial" w:cs="Arial"/>
                <w:sz w:val="22"/>
                <w:szCs w:val="22"/>
              </w:rPr>
              <w:t xml:space="preserve">de résultats pour la </w:t>
            </w:r>
            <w:r w:rsidR="00DC64C1" w:rsidRPr="00FC0A44">
              <w:rPr>
                <w:rFonts w:ascii="Arial" w:hAnsi="Arial" w:cs="Arial"/>
                <w:sz w:val="22"/>
                <w:szCs w:val="22"/>
              </w:rPr>
              <w:t>Convention</w:t>
            </w:r>
            <w:r w:rsidR="00821CDE" w:rsidRPr="00FC0A4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EF43DE" w14:textId="14903461" w:rsidR="00BC3420" w:rsidRPr="00FC0A44" w:rsidRDefault="00BC3420" w:rsidP="006677C7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C0A4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="006677C7" w:rsidRPr="00FC0A44">
              <w:rPr>
                <w:rFonts w:ascii="Arial" w:hAnsi="Arial" w:cs="Arial"/>
                <w:bCs/>
                <w:sz w:val="22"/>
                <w:szCs w:val="22"/>
              </w:rPr>
              <w:t>paragraphe 11</w:t>
            </w:r>
          </w:p>
        </w:tc>
      </w:tr>
    </w:tbl>
    <w:p w14:paraId="4922D408" w14:textId="4E6AF10D" w:rsidR="00BC3420" w:rsidRPr="00FC0A44" w:rsidRDefault="00BC3420" w:rsidP="00FC0A44">
      <w:pPr>
        <w:pStyle w:val="COMParabodytext"/>
        <w:ind w:left="567" w:hanging="567"/>
        <w:rPr>
          <w:lang w:val="fr-FR"/>
        </w:rPr>
      </w:pPr>
      <w:r w:rsidRPr="00FC0A44">
        <w:rPr>
          <w:lang w:val="fr-FR"/>
        </w:rPr>
        <w:br w:type="page"/>
      </w:r>
      <w:r w:rsidR="002C4F28" w:rsidRPr="00FC0A44">
        <w:rPr>
          <w:lang w:val="fr-FR"/>
        </w:rPr>
        <w:lastRenderedPageBreak/>
        <w:t>Le</w:t>
      </w:r>
      <w:r w:rsidR="00821CDE" w:rsidRPr="00FC0A44">
        <w:rPr>
          <w:lang w:val="fr-FR"/>
        </w:rPr>
        <w:t xml:space="preserve"> chapitre</w:t>
      </w:r>
      <w:r w:rsidR="00DC64C1" w:rsidRPr="00FC0A44">
        <w:rPr>
          <w:lang w:val="fr-FR"/>
        </w:rPr>
        <w:t xml:space="preserve"> VI </w:t>
      </w:r>
      <w:r w:rsidR="00821CDE" w:rsidRPr="00FC0A44">
        <w:rPr>
          <w:lang w:val="fr-FR"/>
        </w:rPr>
        <w:t>de la</w:t>
      </w:r>
      <w:r w:rsidR="00DC64C1" w:rsidRPr="00FC0A44">
        <w:rPr>
          <w:lang w:val="fr-FR"/>
        </w:rPr>
        <w:t xml:space="preserve"> Convention </w:t>
      </w:r>
      <w:r w:rsidR="002C6564" w:rsidRPr="00FC0A44">
        <w:rPr>
          <w:lang w:val="fr-FR"/>
        </w:rPr>
        <w:t>consacré</w:t>
      </w:r>
      <w:r w:rsidR="00EC1E63" w:rsidRPr="00FC0A44">
        <w:rPr>
          <w:lang w:val="fr-FR"/>
        </w:rPr>
        <w:t xml:space="preserve"> au</w:t>
      </w:r>
      <w:r w:rsidR="00821CDE" w:rsidRPr="00FC0A44">
        <w:rPr>
          <w:lang w:val="fr-FR"/>
        </w:rPr>
        <w:t xml:space="preserve"> Fonds du patrimoine culturel immatériel </w:t>
      </w:r>
      <w:r w:rsidR="002C4F28" w:rsidRPr="00FC0A44">
        <w:rPr>
          <w:lang w:val="fr-FR"/>
        </w:rPr>
        <w:t xml:space="preserve">prévoit </w:t>
      </w:r>
      <w:r w:rsidR="00EC1E63" w:rsidRPr="00FC0A44">
        <w:rPr>
          <w:lang w:val="fr-FR"/>
        </w:rPr>
        <w:t xml:space="preserve">que les </w:t>
      </w:r>
      <w:r w:rsidR="000F0156" w:rsidRPr="00FC0A44">
        <w:rPr>
          <w:lang w:val="fr-FR"/>
        </w:rPr>
        <w:t>États</w:t>
      </w:r>
      <w:r w:rsidR="00EC1E63" w:rsidRPr="00FC0A44">
        <w:rPr>
          <w:lang w:val="fr-FR"/>
        </w:rPr>
        <w:t xml:space="preserve"> </w:t>
      </w:r>
      <w:r w:rsidR="00784004" w:rsidRPr="00FC0A44">
        <w:rPr>
          <w:lang w:val="fr-FR"/>
        </w:rPr>
        <w:t xml:space="preserve">parties </w:t>
      </w:r>
      <w:r w:rsidR="00EC1E63" w:rsidRPr="00FC0A44">
        <w:rPr>
          <w:lang w:val="fr-FR"/>
        </w:rPr>
        <w:t xml:space="preserve">peuvent </w:t>
      </w:r>
      <w:r w:rsidR="002C4F28" w:rsidRPr="00FC0A44">
        <w:rPr>
          <w:lang w:val="fr-FR"/>
        </w:rPr>
        <w:t>souhaiter</w:t>
      </w:r>
      <w:r w:rsidR="00EC1E63" w:rsidRPr="00FC0A44">
        <w:rPr>
          <w:lang w:val="fr-FR"/>
        </w:rPr>
        <w:t xml:space="preserve"> verser des contribution</w:t>
      </w:r>
      <w:r w:rsidR="00DC64C1" w:rsidRPr="00FC0A44">
        <w:rPr>
          <w:lang w:val="fr-FR"/>
        </w:rPr>
        <w:t>s</w:t>
      </w:r>
      <w:r w:rsidR="004A26E1" w:rsidRPr="00FC0A44">
        <w:rPr>
          <w:lang w:val="fr-FR"/>
        </w:rPr>
        <w:t xml:space="preserve"> volontaires </w:t>
      </w:r>
      <w:r w:rsidR="00784004" w:rsidRPr="00FC0A44">
        <w:rPr>
          <w:lang w:val="fr-FR"/>
        </w:rPr>
        <w:t xml:space="preserve">supplémentaires </w:t>
      </w:r>
      <w:r w:rsidR="004A26E1" w:rsidRPr="00FC0A44">
        <w:rPr>
          <w:lang w:val="fr-FR"/>
        </w:rPr>
        <w:t xml:space="preserve">(article 27) en sus de </w:t>
      </w:r>
      <w:r w:rsidR="00203903" w:rsidRPr="00FC0A44">
        <w:rPr>
          <w:lang w:val="fr-FR"/>
        </w:rPr>
        <w:t xml:space="preserve">leurs contributions </w:t>
      </w:r>
      <w:r w:rsidR="00784004" w:rsidRPr="00FC0A44">
        <w:rPr>
          <w:lang w:val="fr-FR"/>
        </w:rPr>
        <w:t>réglementaires prévues à</w:t>
      </w:r>
      <w:r w:rsidR="004A26E1" w:rsidRPr="00FC0A44">
        <w:rPr>
          <w:lang w:val="fr-FR"/>
        </w:rPr>
        <w:t xml:space="preserve"> l</w:t>
      </w:r>
      <w:r w:rsidR="00260217">
        <w:rPr>
          <w:lang w:val="fr-FR"/>
        </w:rPr>
        <w:t>’</w:t>
      </w:r>
      <w:r w:rsidR="004A26E1" w:rsidRPr="00FC0A44">
        <w:rPr>
          <w:lang w:val="fr-FR"/>
        </w:rPr>
        <w:t>a</w:t>
      </w:r>
      <w:r w:rsidR="00DC64C1" w:rsidRPr="00FC0A44">
        <w:rPr>
          <w:lang w:val="fr-FR"/>
        </w:rPr>
        <w:t xml:space="preserve">rticle 26. </w:t>
      </w:r>
      <w:r w:rsidR="004A26E1" w:rsidRPr="00FC0A44">
        <w:rPr>
          <w:lang w:val="fr-FR"/>
        </w:rPr>
        <w:t>L</w:t>
      </w:r>
      <w:r w:rsidR="00260217">
        <w:rPr>
          <w:lang w:val="fr-FR"/>
        </w:rPr>
        <w:t>’</w:t>
      </w:r>
      <w:r w:rsidR="004A26E1" w:rsidRPr="00FC0A44">
        <w:rPr>
          <w:lang w:val="fr-FR"/>
        </w:rPr>
        <w:t>a</w:t>
      </w:r>
      <w:r w:rsidR="00DC64C1" w:rsidRPr="00FC0A44">
        <w:rPr>
          <w:rStyle w:val="hps"/>
          <w:lang w:val="fr-FR"/>
        </w:rPr>
        <w:t>rticle 25.5</w:t>
      </w:r>
      <w:r w:rsidR="00DC64C1" w:rsidRPr="00FC0A44">
        <w:rPr>
          <w:lang w:val="fr-FR"/>
        </w:rPr>
        <w:t xml:space="preserve"> </w:t>
      </w:r>
      <w:r w:rsidR="004A26E1" w:rsidRPr="00FC0A44">
        <w:rPr>
          <w:lang w:val="fr-FR"/>
        </w:rPr>
        <w:t xml:space="preserve">prévoit également la possibilité que ces contributions soient </w:t>
      </w:r>
      <w:r w:rsidR="002C4F28" w:rsidRPr="00FC0A44">
        <w:rPr>
          <w:lang w:val="fr-FR"/>
        </w:rPr>
        <w:t>faites en faveur</w:t>
      </w:r>
      <w:r w:rsidR="004A26E1" w:rsidRPr="00FC0A44">
        <w:rPr>
          <w:lang w:val="fr-FR"/>
        </w:rPr>
        <w:t xml:space="preserve"> de projets spécifiques, </w:t>
      </w:r>
      <w:r w:rsidR="002C6564" w:rsidRPr="00FC0A44">
        <w:rPr>
          <w:lang w:val="fr-FR"/>
        </w:rPr>
        <w:t>« pourvu que ces projets soient approuvés par le Comité »</w:t>
      </w:r>
      <w:r w:rsidR="00DC64C1" w:rsidRPr="00FC0A44">
        <w:rPr>
          <w:lang w:val="fr-FR"/>
        </w:rPr>
        <w:t>.</w:t>
      </w:r>
    </w:p>
    <w:p w14:paraId="582D0E0C" w14:textId="62D27EDD" w:rsidR="0057439C" w:rsidRPr="00FC0A44" w:rsidRDefault="00203903" w:rsidP="00FC0A44">
      <w:pPr>
        <w:pStyle w:val="COMParabodytext"/>
        <w:ind w:left="567" w:hanging="567"/>
        <w:rPr>
          <w:lang w:val="fr-FR"/>
        </w:rPr>
      </w:pPr>
      <w:r w:rsidRPr="00FC0A44">
        <w:rPr>
          <w:lang w:val="fr-FR"/>
        </w:rPr>
        <w:t>Lors de sa dernière</w:t>
      </w:r>
      <w:r w:rsidR="00DC64C1" w:rsidRPr="00FC0A44">
        <w:rPr>
          <w:lang w:val="fr-FR"/>
        </w:rPr>
        <w:t xml:space="preserve"> session, </w:t>
      </w:r>
      <w:r w:rsidRPr="00FC0A44">
        <w:rPr>
          <w:lang w:val="fr-FR"/>
        </w:rPr>
        <w:t>l</w:t>
      </w:r>
      <w:r w:rsidR="00DC64C1" w:rsidRPr="00FC0A44">
        <w:rPr>
          <w:lang w:val="fr-FR"/>
        </w:rPr>
        <w:t>e Comit</w:t>
      </w:r>
      <w:r w:rsidRPr="00FC0A44">
        <w:rPr>
          <w:lang w:val="fr-FR"/>
        </w:rPr>
        <w:t>é</w:t>
      </w:r>
      <w:r w:rsidR="00DC64C1" w:rsidRPr="00FC0A44">
        <w:rPr>
          <w:lang w:val="fr-FR"/>
        </w:rPr>
        <w:t xml:space="preserve"> </w:t>
      </w:r>
      <w:r w:rsidR="009E1E08" w:rsidRPr="00FC0A44">
        <w:rPr>
          <w:lang w:val="fr-FR"/>
        </w:rPr>
        <w:t xml:space="preserve">est allé </w:t>
      </w:r>
      <w:r w:rsidRPr="00FC0A44">
        <w:rPr>
          <w:lang w:val="fr-FR"/>
        </w:rPr>
        <w:t>plus loin</w:t>
      </w:r>
      <w:r w:rsidR="009E1E08" w:rsidRPr="00FC0A44">
        <w:rPr>
          <w:lang w:val="fr-FR"/>
        </w:rPr>
        <w:t xml:space="preserve"> </w:t>
      </w:r>
      <w:r w:rsidRPr="00FC0A44">
        <w:rPr>
          <w:lang w:val="fr-FR"/>
        </w:rPr>
        <w:t xml:space="preserve">en approuvant la Note conceptuelle </w:t>
      </w:r>
      <w:r w:rsidR="009E1E08" w:rsidRPr="00FC0A44">
        <w:rPr>
          <w:lang w:val="fr-FR"/>
        </w:rPr>
        <w:t>pour le</w:t>
      </w:r>
      <w:r w:rsidRPr="00FC0A44">
        <w:rPr>
          <w:lang w:val="fr-FR"/>
        </w:rPr>
        <w:t xml:space="preserve"> Programme additionnel complémentaire </w:t>
      </w:r>
      <w:r w:rsidR="00DC64C1" w:rsidRPr="00FC0A44">
        <w:rPr>
          <w:lang w:val="fr-FR"/>
        </w:rPr>
        <w:t xml:space="preserve">2014-2017 </w:t>
      </w:r>
      <w:r w:rsidRPr="00FC0A44">
        <w:rPr>
          <w:lang w:val="fr-FR"/>
        </w:rPr>
        <w:t xml:space="preserve">intitulé </w:t>
      </w:r>
      <w:r w:rsidR="0046466E" w:rsidRPr="00FC0A44">
        <w:rPr>
          <w:lang w:val="fr-FR"/>
        </w:rPr>
        <w:t>« </w:t>
      </w:r>
      <w:r w:rsidRPr="00FC0A44">
        <w:rPr>
          <w:lang w:val="fr-FR"/>
        </w:rPr>
        <w:t xml:space="preserve">Renforcement des capacités </w:t>
      </w:r>
      <w:r w:rsidR="0046466E" w:rsidRPr="00FC0A44">
        <w:rPr>
          <w:lang w:val="fr-FR"/>
        </w:rPr>
        <w:t xml:space="preserve">de sauvegarde du patrimoine culturel immatériel pour </w:t>
      </w:r>
      <w:r w:rsidR="00940119" w:rsidRPr="00FC0A44">
        <w:rPr>
          <w:lang w:val="fr-FR"/>
        </w:rPr>
        <w:t>le</w:t>
      </w:r>
      <w:r w:rsidR="0046466E" w:rsidRPr="00FC0A44">
        <w:rPr>
          <w:lang w:val="fr-FR"/>
        </w:rPr>
        <w:t xml:space="preserve"> développement durable »</w:t>
      </w:r>
      <w:r w:rsidR="00DC64C1" w:rsidRPr="00FC0A44">
        <w:rPr>
          <w:lang w:val="fr-FR"/>
        </w:rPr>
        <w:t xml:space="preserve"> (</w:t>
      </w:r>
      <w:hyperlink r:id="rId8" w:history="1">
        <w:r w:rsidR="00940119" w:rsidRPr="00FC0A44">
          <w:rPr>
            <w:rStyle w:val="Hyperlink"/>
            <w:lang w:val="fr-FR"/>
          </w:rPr>
          <w:t>dé</w:t>
        </w:r>
        <w:r w:rsidR="00DC64C1" w:rsidRPr="00FC0A44">
          <w:rPr>
            <w:rStyle w:val="Hyperlink"/>
            <w:lang w:val="fr-FR"/>
          </w:rPr>
          <w:t>cision 9.COM 7</w:t>
        </w:r>
      </w:hyperlink>
      <w:r w:rsidR="00DC64C1" w:rsidRPr="00FC0A44">
        <w:rPr>
          <w:lang w:val="fr-FR"/>
        </w:rPr>
        <w:t>)</w:t>
      </w:r>
      <w:r w:rsidR="009E1E08" w:rsidRPr="00FC0A44">
        <w:rPr>
          <w:lang w:val="fr-FR"/>
        </w:rPr>
        <w:t>,</w:t>
      </w:r>
      <w:r w:rsidR="00DC64C1" w:rsidRPr="00FC0A44">
        <w:rPr>
          <w:lang w:val="fr-FR"/>
        </w:rPr>
        <w:t xml:space="preserve"> </w:t>
      </w:r>
      <w:r w:rsidR="00940119" w:rsidRPr="00FC0A44">
        <w:rPr>
          <w:lang w:val="fr-FR"/>
        </w:rPr>
        <w:t xml:space="preserve">élaborée par le </w:t>
      </w:r>
      <w:r w:rsidR="00DC64C1" w:rsidRPr="00FC0A44">
        <w:rPr>
          <w:lang w:val="fr-FR"/>
        </w:rPr>
        <w:t>Secr</w:t>
      </w:r>
      <w:r w:rsidR="00940119" w:rsidRPr="00FC0A44">
        <w:rPr>
          <w:lang w:val="fr-FR"/>
        </w:rPr>
        <w:t>é</w:t>
      </w:r>
      <w:r w:rsidR="00DC64C1" w:rsidRPr="00FC0A44">
        <w:rPr>
          <w:lang w:val="fr-FR"/>
        </w:rPr>
        <w:t>tariat</w:t>
      </w:r>
      <w:r w:rsidR="00940119" w:rsidRPr="00FC0A44">
        <w:rPr>
          <w:lang w:val="fr-FR"/>
        </w:rPr>
        <w:t xml:space="preserve"> pour élargir la portée et l</w:t>
      </w:r>
      <w:r w:rsidR="00260217">
        <w:rPr>
          <w:lang w:val="fr-FR"/>
        </w:rPr>
        <w:t>’</w:t>
      </w:r>
      <w:r w:rsidR="00940119" w:rsidRPr="00FC0A44">
        <w:rPr>
          <w:lang w:val="fr-FR"/>
        </w:rPr>
        <w:t xml:space="preserve">efficacité de cette stratégie globale de renforcement des capacités et informer les donateurs des besoins </w:t>
      </w:r>
      <w:r w:rsidR="00784004" w:rsidRPr="00FC0A44">
        <w:rPr>
          <w:lang w:val="fr-FR"/>
        </w:rPr>
        <w:t xml:space="preserve">de </w:t>
      </w:r>
      <w:r w:rsidR="00940119" w:rsidRPr="00FC0A44">
        <w:rPr>
          <w:lang w:val="fr-FR"/>
        </w:rPr>
        <w:t>financement de ce programme</w:t>
      </w:r>
      <w:r w:rsidR="00DC64C1" w:rsidRPr="00FC0A44">
        <w:rPr>
          <w:lang w:val="fr-FR"/>
        </w:rPr>
        <w:t xml:space="preserve">. </w:t>
      </w:r>
      <w:r w:rsidR="00513DBB" w:rsidRPr="00FC0A44">
        <w:rPr>
          <w:lang w:val="fr-FR"/>
        </w:rPr>
        <w:t>En effet, afin que le Comité</w:t>
      </w:r>
      <w:r w:rsidR="00DC64C1" w:rsidRPr="00FC0A44">
        <w:rPr>
          <w:lang w:val="fr-FR"/>
        </w:rPr>
        <w:t xml:space="preserve"> – </w:t>
      </w:r>
      <w:r w:rsidR="00513DBB" w:rsidRPr="00FC0A44">
        <w:rPr>
          <w:lang w:val="fr-FR"/>
        </w:rPr>
        <w:t>en tant qu</w:t>
      </w:r>
      <w:r w:rsidR="00260217">
        <w:rPr>
          <w:lang w:val="fr-FR"/>
        </w:rPr>
        <w:t>’</w:t>
      </w:r>
      <w:r w:rsidR="00513DBB" w:rsidRPr="00FC0A44">
        <w:rPr>
          <w:lang w:val="fr-FR"/>
        </w:rPr>
        <w:t xml:space="preserve">organe directeur de la </w:t>
      </w:r>
      <w:r w:rsidR="00DC64C1" w:rsidRPr="00FC0A44">
        <w:rPr>
          <w:lang w:val="fr-FR"/>
        </w:rPr>
        <w:t>Convention</w:t>
      </w:r>
      <w:r w:rsidR="00513DBB" w:rsidRPr="00FC0A44">
        <w:rPr>
          <w:lang w:val="fr-FR"/>
        </w:rPr>
        <w:t xml:space="preserve"> décidant de l</w:t>
      </w:r>
      <w:r w:rsidR="00260217">
        <w:rPr>
          <w:lang w:val="fr-FR"/>
        </w:rPr>
        <w:t>’</w:t>
      </w:r>
      <w:r w:rsidR="00513DBB" w:rsidRPr="00FC0A44">
        <w:rPr>
          <w:lang w:val="fr-FR"/>
        </w:rPr>
        <w:t>utilisation des ressources du Fonds du patrimoine culturel immatériel</w:t>
      </w:r>
      <w:r w:rsidR="00DC64C1" w:rsidRPr="00FC0A44">
        <w:rPr>
          <w:lang w:val="fr-FR"/>
        </w:rPr>
        <w:t xml:space="preserve"> – </w:t>
      </w:r>
      <w:r w:rsidR="00513DBB" w:rsidRPr="00FC0A44">
        <w:rPr>
          <w:lang w:val="fr-FR"/>
        </w:rPr>
        <w:t>et</w:t>
      </w:r>
      <w:r w:rsidR="00DC64C1" w:rsidRPr="00FC0A44">
        <w:rPr>
          <w:lang w:val="fr-FR"/>
        </w:rPr>
        <w:t xml:space="preserve"> </w:t>
      </w:r>
      <w:r w:rsidR="00A82EDA" w:rsidRPr="00FC0A44">
        <w:rPr>
          <w:lang w:val="fr-FR"/>
        </w:rPr>
        <w:t xml:space="preserve">la Conférence </w:t>
      </w:r>
      <w:r w:rsidR="00513DBB" w:rsidRPr="00FC0A44">
        <w:rPr>
          <w:lang w:val="fr-FR"/>
        </w:rPr>
        <w:t xml:space="preserve">générale des </w:t>
      </w:r>
      <w:r w:rsidR="000F0156" w:rsidRPr="00FC0A44">
        <w:rPr>
          <w:lang w:val="fr-FR"/>
        </w:rPr>
        <w:t>États</w:t>
      </w:r>
      <w:r w:rsidR="00513DBB" w:rsidRPr="00FC0A44">
        <w:rPr>
          <w:lang w:val="fr-FR"/>
        </w:rPr>
        <w:t xml:space="preserve"> m</w:t>
      </w:r>
      <w:r w:rsidR="00F70106" w:rsidRPr="00FC0A44">
        <w:rPr>
          <w:lang w:val="fr-FR"/>
        </w:rPr>
        <w:t>e</w:t>
      </w:r>
      <w:r w:rsidR="00513DBB" w:rsidRPr="00FC0A44">
        <w:rPr>
          <w:lang w:val="fr-FR"/>
        </w:rPr>
        <w:t>mbres</w:t>
      </w:r>
      <w:r w:rsidR="00DC64C1" w:rsidRPr="00FC0A44">
        <w:rPr>
          <w:lang w:val="fr-FR"/>
        </w:rPr>
        <w:t xml:space="preserve"> – </w:t>
      </w:r>
      <w:r w:rsidR="00513DBB" w:rsidRPr="00FC0A44">
        <w:rPr>
          <w:lang w:val="fr-FR"/>
        </w:rPr>
        <w:t>en tant qu</w:t>
      </w:r>
      <w:r w:rsidR="00260217">
        <w:rPr>
          <w:lang w:val="fr-FR"/>
        </w:rPr>
        <w:t>’</w:t>
      </w:r>
      <w:r w:rsidR="00513DBB" w:rsidRPr="00FC0A44">
        <w:rPr>
          <w:lang w:val="fr-FR"/>
        </w:rPr>
        <w:t>organe directeur de l</w:t>
      </w:r>
      <w:r w:rsidR="00260217">
        <w:rPr>
          <w:lang w:val="fr-FR"/>
        </w:rPr>
        <w:t>’</w:t>
      </w:r>
      <w:r w:rsidR="00513DBB" w:rsidRPr="00FC0A44">
        <w:rPr>
          <w:lang w:val="fr-FR"/>
        </w:rPr>
        <w:t>UNESCO</w:t>
      </w:r>
      <w:r w:rsidR="00DC64C1" w:rsidRPr="00FC0A44">
        <w:rPr>
          <w:lang w:val="fr-FR"/>
        </w:rPr>
        <w:t xml:space="preserve"> </w:t>
      </w:r>
      <w:r w:rsidR="00513DBB" w:rsidRPr="00FC0A44">
        <w:rPr>
          <w:lang w:val="fr-FR"/>
        </w:rPr>
        <w:t>définissant les politiques et les principaux axes de travail de l</w:t>
      </w:r>
      <w:r w:rsidR="00260217">
        <w:rPr>
          <w:lang w:val="fr-FR"/>
        </w:rPr>
        <w:t>’</w:t>
      </w:r>
      <w:r w:rsidR="00513DBB" w:rsidRPr="00FC0A44">
        <w:rPr>
          <w:lang w:val="fr-FR"/>
        </w:rPr>
        <w:t>Organisation</w:t>
      </w:r>
      <w:r w:rsidR="00DC64C1" w:rsidRPr="00FC0A44">
        <w:rPr>
          <w:lang w:val="fr-FR"/>
        </w:rPr>
        <w:t xml:space="preserve"> – </w:t>
      </w:r>
      <w:r w:rsidR="00513DBB" w:rsidRPr="00FC0A44">
        <w:rPr>
          <w:lang w:val="fr-FR"/>
        </w:rPr>
        <w:t>partagent la même vision des priorité</w:t>
      </w:r>
      <w:r w:rsidR="00F70106" w:rsidRPr="00FC0A44">
        <w:rPr>
          <w:lang w:val="fr-FR"/>
        </w:rPr>
        <w:t>s</w:t>
      </w:r>
      <w:r w:rsidR="00513DBB" w:rsidRPr="00FC0A44">
        <w:rPr>
          <w:lang w:val="fr-FR"/>
        </w:rPr>
        <w:t xml:space="preserve"> de l</w:t>
      </w:r>
      <w:r w:rsidR="00260217">
        <w:rPr>
          <w:lang w:val="fr-FR"/>
        </w:rPr>
        <w:t>’</w:t>
      </w:r>
      <w:r w:rsidR="00513DBB" w:rsidRPr="00FC0A44">
        <w:rPr>
          <w:lang w:val="fr-FR"/>
        </w:rPr>
        <w:t>action de l</w:t>
      </w:r>
      <w:r w:rsidR="00260217">
        <w:rPr>
          <w:lang w:val="fr-FR"/>
        </w:rPr>
        <w:t>’</w:t>
      </w:r>
      <w:r w:rsidR="00DC64C1" w:rsidRPr="00FC0A44">
        <w:rPr>
          <w:lang w:val="fr-FR"/>
        </w:rPr>
        <w:t>UNESCO</w:t>
      </w:r>
      <w:r w:rsidR="00513DBB" w:rsidRPr="00FC0A44">
        <w:rPr>
          <w:lang w:val="fr-FR"/>
        </w:rPr>
        <w:t xml:space="preserve"> dans le domaine du patrimoine culturel immaté</w:t>
      </w:r>
      <w:r w:rsidR="00F70106" w:rsidRPr="00FC0A44">
        <w:rPr>
          <w:lang w:val="fr-FR"/>
        </w:rPr>
        <w:t xml:space="preserve">riel, le Comité a jugé </w:t>
      </w:r>
      <w:r w:rsidR="00F77896" w:rsidRPr="00FC0A44">
        <w:rPr>
          <w:lang w:val="fr-FR"/>
        </w:rPr>
        <w:t>opportun</w:t>
      </w:r>
      <w:r w:rsidR="00513DBB" w:rsidRPr="00FC0A44">
        <w:rPr>
          <w:lang w:val="fr-FR"/>
        </w:rPr>
        <w:t xml:space="preserve"> d</w:t>
      </w:r>
      <w:r w:rsidR="00260217">
        <w:rPr>
          <w:lang w:val="fr-FR"/>
        </w:rPr>
        <w:t>’</w:t>
      </w:r>
      <w:r w:rsidR="00513DBB" w:rsidRPr="00FC0A44">
        <w:rPr>
          <w:lang w:val="fr-FR"/>
        </w:rPr>
        <w:t xml:space="preserve">approuver </w:t>
      </w:r>
      <w:r w:rsidR="00CC0309" w:rsidRPr="00FC0A44">
        <w:rPr>
          <w:lang w:val="fr-FR"/>
        </w:rPr>
        <w:t xml:space="preserve">le cadre programmatique décrit dans </w:t>
      </w:r>
      <w:r w:rsidR="00513DBB" w:rsidRPr="00FC0A44">
        <w:rPr>
          <w:lang w:val="fr-FR"/>
        </w:rPr>
        <w:t xml:space="preserve">le Programme additionnel complémentaire </w:t>
      </w:r>
      <w:r w:rsidR="00F77896" w:rsidRPr="00FC0A44">
        <w:rPr>
          <w:lang w:val="fr-FR"/>
        </w:rPr>
        <w:t>dès lors qu</w:t>
      </w:r>
      <w:r w:rsidR="00260217">
        <w:rPr>
          <w:lang w:val="fr-FR"/>
        </w:rPr>
        <w:t>’</w:t>
      </w:r>
      <w:r w:rsidR="00F77896" w:rsidRPr="00FC0A44">
        <w:rPr>
          <w:lang w:val="fr-FR"/>
        </w:rPr>
        <w:t xml:space="preserve">il est </w:t>
      </w:r>
      <w:r w:rsidR="00BF5192" w:rsidRPr="00FC0A44">
        <w:rPr>
          <w:lang w:val="fr-FR"/>
        </w:rPr>
        <w:t xml:space="preserve">parfaitement </w:t>
      </w:r>
      <w:r w:rsidR="00F77896" w:rsidRPr="00FC0A44">
        <w:rPr>
          <w:lang w:val="fr-FR"/>
        </w:rPr>
        <w:t xml:space="preserve">en </w:t>
      </w:r>
      <w:r w:rsidR="00BF5192" w:rsidRPr="00FC0A44">
        <w:rPr>
          <w:lang w:val="fr-FR"/>
        </w:rPr>
        <w:t>phase</w:t>
      </w:r>
      <w:r w:rsidR="00F77896" w:rsidRPr="00FC0A44">
        <w:rPr>
          <w:lang w:val="fr-FR"/>
        </w:rPr>
        <w:t xml:space="preserve"> avec le Programme ordinaire</w:t>
      </w:r>
      <w:r w:rsidR="00DC64C1" w:rsidRPr="00FC0A44">
        <w:rPr>
          <w:lang w:val="fr-FR"/>
        </w:rPr>
        <w:t xml:space="preserve">. </w:t>
      </w:r>
      <w:r w:rsidR="00BF5192" w:rsidRPr="00FC0A44">
        <w:rPr>
          <w:lang w:val="fr-FR"/>
        </w:rPr>
        <w:t>Par e</w:t>
      </w:r>
      <w:r w:rsidR="00DC64C1" w:rsidRPr="00FC0A44">
        <w:rPr>
          <w:lang w:val="fr-FR"/>
        </w:rPr>
        <w:t>xtension</w:t>
      </w:r>
      <w:r w:rsidR="00F70106" w:rsidRPr="00FC0A44">
        <w:rPr>
          <w:lang w:val="fr-FR"/>
        </w:rPr>
        <w:t xml:space="preserve"> et</w:t>
      </w:r>
      <w:r w:rsidR="00DC64C1" w:rsidRPr="00FC0A44">
        <w:rPr>
          <w:lang w:val="fr-FR"/>
        </w:rPr>
        <w:t xml:space="preserve"> </w:t>
      </w:r>
      <w:r w:rsidR="00F70106" w:rsidRPr="00FC0A44">
        <w:rPr>
          <w:lang w:val="fr-FR"/>
        </w:rPr>
        <w:t xml:space="preserve">dans cette même décision, </w:t>
      </w:r>
      <w:r w:rsidR="00BF5192" w:rsidRPr="00FC0A44">
        <w:rPr>
          <w:lang w:val="fr-FR"/>
        </w:rPr>
        <w:t>l</w:t>
      </w:r>
      <w:r w:rsidR="00DC64C1" w:rsidRPr="00FC0A44">
        <w:rPr>
          <w:lang w:val="fr-FR"/>
        </w:rPr>
        <w:t>e Comit</w:t>
      </w:r>
      <w:r w:rsidR="00BF5192" w:rsidRPr="00FC0A44">
        <w:rPr>
          <w:lang w:val="fr-FR"/>
        </w:rPr>
        <w:t xml:space="preserve">é a accepté toute contribution volontaire supplémentaire future qui pourrait être versée </w:t>
      </w:r>
      <w:r w:rsidR="00866D20" w:rsidRPr="00FC0A44">
        <w:rPr>
          <w:lang w:val="fr-FR"/>
        </w:rPr>
        <w:t xml:space="preserve">entre deux sessions du Comité </w:t>
      </w:r>
      <w:r w:rsidR="00BF5192" w:rsidRPr="00FC0A44">
        <w:rPr>
          <w:lang w:val="fr-FR"/>
        </w:rPr>
        <w:t xml:space="preserve">pour soutenir des activités de renforcement des capacités entrant dans </w:t>
      </w:r>
      <w:r w:rsidR="00CC0309" w:rsidRPr="00FC0A44">
        <w:rPr>
          <w:lang w:val="fr-FR"/>
        </w:rPr>
        <w:t>ce cadre programmatique</w:t>
      </w:r>
      <w:r w:rsidR="00866D20" w:rsidRPr="00FC0A44">
        <w:rPr>
          <w:lang w:val="fr-FR"/>
        </w:rPr>
        <w:t> ; il</w:t>
      </w:r>
      <w:r w:rsidR="00A1448C" w:rsidRPr="00FC0A44">
        <w:rPr>
          <w:lang w:val="fr-FR"/>
        </w:rPr>
        <w:t xml:space="preserve"> a </w:t>
      </w:r>
      <w:r w:rsidR="00866D20" w:rsidRPr="00FC0A44">
        <w:rPr>
          <w:lang w:val="fr-FR"/>
        </w:rPr>
        <w:t xml:space="preserve">en outre </w:t>
      </w:r>
      <w:r w:rsidR="00A1448C" w:rsidRPr="00FC0A44">
        <w:rPr>
          <w:lang w:val="fr-FR"/>
        </w:rPr>
        <w:t>autorisé le Secrétariat à en faire un usage immédiat</w:t>
      </w:r>
      <w:r w:rsidR="001B27B8" w:rsidRPr="00FC0A44">
        <w:rPr>
          <w:lang w:val="fr-FR"/>
        </w:rPr>
        <w:t xml:space="preserve"> et </w:t>
      </w:r>
      <w:r w:rsidR="00A1448C" w:rsidRPr="00FC0A44">
        <w:rPr>
          <w:lang w:val="fr-FR"/>
        </w:rPr>
        <w:t>lui</w:t>
      </w:r>
      <w:r w:rsidR="001B27B8" w:rsidRPr="00FC0A44">
        <w:rPr>
          <w:lang w:val="fr-FR"/>
        </w:rPr>
        <w:t xml:space="preserve"> a</w:t>
      </w:r>
      <w:r w:rsidR="00A1448C" w:rsidRPr="00FC0A44">
        <w:rPr>
          <w:lang w:val="fr-FR"/>
        </w:rPr>
        <w:t xml:space="preserve"> demand</w:t>
      </w:r>
      <w:r w:rsidR="001B27B8" w:rsidRPr="00FC0A44">
        <w:rPr>
          <w:lang w:val="fr-FR"/>
        </w:rPr>
        <w:t>é</w:t>
      </w:r>
      <w:r w:rsidR="00A1448C" w:rsidRPr="00FC0A44">
        <w:rPr>
          <w:lang w:val="fr-FR"/>
        </w:rPr>
        <w:t xml:space="preserve"> de lui faire rapport sur l</w:t>
      </w:r>
      <w:r w:rsidR="00260217">
        <w:rPr>
          <w:lang w:val="fr-FR"/>
        </w:rPr>
        <w:t>’</w:t>
      </w:r>
      <w:r w:rsidR="00A1448C" w:rsidRPr="00FC0A44">
        <w:rPr>
          <w:lang w:val="fr-FR"/>
        </w:rPr>
        <w:t xml:space="preserve">avancement de la mise en </w:t>
      </w:r>
      <w:r w:rsidR="001C7122" w:rsidRPr="00FC0A44">
        <w:rPr>
          <w:lang w:val="fr-FR"/>
        </w:rPr>
        <w:t xml:space="preserve">œuvre </w:t>
      </w:r>
      <w:r w:rsidR="00A1448C" w:rsidRPr="00FC0A44">
        <w:rPr>
          <w:lang w:val="fr-FR"/>
        </w:rPr>
        <w:t>de toute contribution volontaire supplémentaire reçue depuis sa dernière session</w:t>
      </w:r>
      <w:r w:rsidR="00DC64C1" w:rsidRPr="00FC0A44">
        <w:rPr>
          <w:lang w:val="fr-FR"/>
        </w:rPr>
        <w:t>.</w:t>
      </w:r>
    </w:p>
    <w:p w14:paraId="0E2DD1C7" w14:textId="01274A05" w:rsidR="00327C1A" w:rsidRPr="00FC0A44" w:rsidRDefault="0006539C" w:rsidP="00FC0A44">
      <w:pPr>
        <w:pStyle w:val="COMParabodytext"/>
        <w:ind w:left="567" w:hanging="567"/>
        <w:rPr>
          <w:lang w:val="fr-FR"/>
        </w:rPr>
      </w:pPr>
      <w:r w:rsidRPr="00FC0A44">
        <w:rPr>
          <w:lang w:val="fr-FR"/>
        </w:rPr>
        <w:t xml:space="preserve">Depuis sa neuvième </w:t>
      </w:r>
      <w:r w:rsidR="00327C1A" w:rsidRPr="00FC0A44">
        <w:rPr>
          <w:lang w:val="fr-FR"/>
        </w:rPr>
        <w:t xml:space="preserve">session, </w:t>
      </w:r>
      <w:r w:rsidRPr="00FC0A44">
        <w:rPr>
          <w:lang w:val="fr-FR"/>
        </w:rPr>
        <w:t>le Fonds du patrimoine culturel immatériel n</w:t>
      </w:r>
      <w:r w:rsidR="00260217">
        <w:rPr>
          <w:lang w:val="fr-FR"/>
        </w:rPr>
        <w:t>’</w:t>
      </w:r>
      <w:r w:rsidRPr="00FC0A44">
        <w:rPr>
          <w:lang w:val="fr-FR"/>
        </w:rPr>
        <w:t>a reçu aucun</w:t>
      </w:r>
      <w:r w:rsidR="00E012FD" w:rsidRPr="00FC0A44">
        <w:rPr>
          <w:lang w:val="fr-FR"/>
        </w:rPr>
        <w:t>e</w:t>
      </w:r>
      <w:r w:rsidRPr="00FC0A44">
        <w:rPr>
          <w:lang w:val="fr-FR"/>
        </w:rPr>
        <w:t xml:space="preserve"> contribution au titre du </w:t>
      </w:r>
      <w:r w:rsidR="000905D3" w:rsidRPr="00FC0A44">
        <w:rPr>
          <w:lang w:val="fr-FR"/>
        </w:rPr>
        <w:t xml:space="preserve">cadre programmatique prévu dans le </w:t>
      </w:r>
      <w:r w:rsidRPr="00FC0A44">
        <w:rPr>
          <w:lang w:val="fr-FR"/>
        </w:rPr>
        <w:t>Programme additionnel complémentaire</w:t>
      </w:r>
      <w:r w:rsidR="00327C1A" w:rsidRPr="00FC0A44">
        <w:rPr>
          <w:lang w:val="fr-FR"/>
        </w:rPr>
        <w:t xml:space="preserve">. </w:t>
      </w:r>
      <w:r w:rsidR="00E012FD" w:rsidRPr="00FC0A44">
        <w:rPr>
          <w:lang w:val="fr-FR"/>
        </w:rPr>
        <w:t>Une</w:t>
      </w:r>
      <w:r w:rsidR="00327C1A" w:rsidRPr="00FC0A44">
        <w:rPr>
          <w:lang w:val="fr-FR"/>
        </w:rPr>
        <w:t xml:space="preserve"> contribution </w:t>
      </w:r>
      <w:r w:rsidR="000905D3" w:rsidRPr="00FC0A44">
        <w:rPr>
          <w:lang w:val="fr-FR"/>
        </w:rPr>
        <w:t xml:space="preserve">volontaire supplémentaire </w:t>
      </w:r>
      <w:r w:rsidR="00E012FD" w:rsidRPr="00FC0A44">
        <w:rPr>
          <w:lang w:val="fr-FR"/>
        </w:rPr>
        <w:t>en faveur de ce</w:t>
      </w:r>
      <w:r w:rsidR="00327C1A" w:rsidRPr="00FC0A44">
        <w:rPr>
          <w:lang w:val="fr-FR"/>
        </w:rPr>
        <w:t xml:space="preserve"> programme </w:t>
      </w:r>
      <w:r w:rsidR="00E012FD" w:rsidRPr="00FC0A44">
        <w:rPr>
          <w:lang w:val="fr-FR"/>
        </w:rPr>
        <w:t>est toutefois attendue</w:t>
      </w:r>
      <w:r w:rsidR="008D4178" w:rsidRPr="00FC0A44">
        <w:rPr>
          <w:lang w:val="fr-FR"/>
        </w:rPr>
        <w:t xml:space="preserve"> de façon imminente</w:t>
      </w:r>
      <w:r w:rsidR="00E012FD" w:rsidRPr="00FC0A44">
        <w:rPr>
          <w:lang w:val="fr-FR"/>
        </w:rPr>
        <w:t xml:space="preserve">, </w:t>
      </w:r>
      <w:r w:rsidR="000905D3" w:rsidRPr="00FC0A44">
        <w:rPr>
          <w:lang w:val="fr-FR"/>
        </w:rPr>
        <w:t xml:space="preserve">suite à la confirmation officielle du Gouvernement de la Catalogne (Espagne) le 30 Octobre 2015. Cette prochaine </w:t>
      </w:r>
      <w:r w:rsidR="008D4178" w:rsidRPr="00FC0A44">
        <w:rPr>
          <w:lang w:val="fr-FR"/>
        </w:rPr>
        <w:t xml:space="preserve">contribution de </w:t>
      </w:r>
      <w:r w:rsidR="00327C1A" w:rsidRPr="00FC0A44">
        <w:rPr>
          <w:lang w:val="fr-FR"/>
        </w:rPr>
        <w:t>120</w:t>
      </w:r>
      <w:r w:rsidR="008D4178" w:rsidRPr="00FC0A44">
        <w:rPr>
          <w:lang w:val="fr-FR"/>
        </w:rPr>
        <w:t> </w:t>
      </w:r>
      <w:r w:rsidR="00327C1A" w:rsidRPr="00FC0A44">
        <w:rPr>
          <w:lang w:val="fr-FR"/>
        </w:rPr>
        <w:t>000</w:t>
      </w:r>
      <w:r w:rsidR="008D4178" w:rsidRPr="00FC0A44">
        <w:rPr>
          <w:lang w:val="fr-FR"/>
        </w:rPr>
        <w:t xml:space="preserve"> € au Fonds du patrimoine culturel immatériel </w:t>
      </w:r>
      <w:r w:rsidR="00A56CD6" w:rsidRPr="00FC0A44">
        <w:rPr>
          <w:lang w:val="fr-FR"/>
        </w:rPr>
        <w:t xml:space="preserve">sera utilisée </w:t>
      </w:r>
      <w:r w:rsidR="008D4178" w:rsidRPr="00FC0A44">
        <w:rPr>
          <w:lang w:val="fr-FR"/>
        </w:rPr>
        <w:t xml:space="preserve">pour </w:t>
      </w:r>
      <w:r w:rsidR="00FC131A" w:rsidRPr="00FC0A44">
        <w:rPr>
          <w:lang w:val="fr-FR"/>
        </w:rPr>
        <w:t>mettre à profit les</w:t>
      </w:r>
      <w:r w:rsidR="008D4178" w:rsidRPr="00FC0A44">
        <w:rPr>
          <w:lang w:val="fr-FR"/>
        </w:rPr>
        <w:t xml:space="preserve"> résultats du </w:t>
      </w:r>
      <w:r w:rsidR="00A56CD6" w:rsidRPr="00FC0A44">
        <w:rPr>
          <w:lang w:val="fr-FR"/>
        </w:rPr>
        <w:t xml:space="preserve">projet </w:t>
      </w:r>
      <w:r w:rsidR="008D4178" w:rsidRPr="00FC0A44">
        <w:rPr>
          <w:lang w:val="fr-FR"/>
        </w:rPr>
        <w:t>de renforcement des capacités qui</w:t>
      </w:r>
      <w:r w:rsidR="00F5508D" w:rsidRPr="00FC0A44">
        <w:rPr>
          <w:lang w:val="fr-FR"/>
        </w:rPr>
        <w:t xml:space="preserve"> arrive</w:t>
      </w:r>
      <w:r w:rsidR="008D4178" w:rsidRPr="00FC0A44">
        <w:rPr>
          <w:lang w:val="fr-FR"/>
        </w:rPr>
        <w:t xml:space="preserve"> actuellement à s</w:t>
      </w:r>
      <w:r w:rsidR="00F5508D" w:rsidRPr="00FC0A44">
        <w:rPr>
          <w:lang w:val="fr-FR"/>
        </w:rPr>
        <w:t>on terme</w:t>
      </w:r>
      <w:r w:rsidR="008D4178" w:rsidRPr="00FC0A44">
        <w:rPr>
          <w:lang w:val="fr-FR"/>
        </w:rPr>
        <w:t xml:space="preserve"> en Mauritanie,</w:t>
      </w:r>
      <w:r w:rsidR="00F5508D" w:rsidRPr="00FC0A44">
        <w:rPr>
          <w:lang w:val="fr-FR"/>
        </w:rPr>
        <w:t xml:space="preserve"> au Maroc et en Tunisie,</w:t>
      </w:r>
      <w:r w:rsidR="008D4178" w:rsidRPr="00FC0A44">
        <w:rPr>
          <w:lang w:val="fr-FR"/>
        </w:rPr>
        <w:t xml:space="preserve"> </w:t>
      </w:r>
      <w:r w:rsidR="00483B27" w:rsidRPr="00FC0A44">
        <w:rPr>
          <w:lang w:val="fr-FR"/>
        </w:rPr>
        <w:t xml:space="preserve">ainsi que les partenariats instaurés dans ce cadre. </w:t>
      </w:r>
      <w:r w:rsidR="00E81AA4" w:rsidRPr="00FC0A44">
        <w:rPr>
          <w:lang w:val="fr-FR"/>
        </w:rPr>
        <w:t>On espère</w:t>
      </w:r>
      <w:r w:rsidR="00AE7B62" w:rsidRPr="00FC0A44">
        <w:rPr>
          <w:lang w:val="fr-FR"/>
        </w:rPr>
        <w:t xml:space="preserve"> que cette </w:t>
      </w:r>
      <w:r w:rsidR="00A56CD6" w:rsidRPr="00FC0A44">
        <w:rPr>
          <w:lang w:val="fr-FR"/>
        </w:rPr>
        <w:t xml:space="preserve">nouvelle </w:t>
      </w:r>
      <w:r w:rsidR="00AE7B62" w:rsidRPr="00FC0A44">
        <w:rPr>
          <w:lang w:val="fr-FR"/>
        </w:rPr>
        <w:t xml:space="preserve">contribution </w:t>
      </w:r>
      <w:r w:rsidR="00A56CD6" w:rsidRPr="00FC0A44">
        <w:rPr>
          <w:lang w:val="fr-FR"/>
        </w:rPr>
        <w:t>au Fonds du patrimoine culturel immatériel</w:t>
      </w:r>
      <w:r w:rsidR="00AE7B62" w:rsidRPr="00FC0A44">
        <w:rPr>
          <w:lang w:val="fr-FR"/>
        </w:rPr>
        <w:t xml:space="preserve"> s</w:t>
      </w:r>
      <w:r w:rsidR="00E81AA4" w:rsidRPr="00FC0A44">
        <w:rPr>
          <w:lang w:val="fr-FR"/>
        </w:rPr>
        <w:t>era</w:t>
      </w:r>
      <w:r w:rsidR="00AE7B62" w:rsidRPr="00FC0A44">
        <w:rPr>
          <w:lang w:val="fr-FR"/>
        </w:rPr>
        <w:t xml:space="preserve"> reçue à temps pour compléter les efforts importants que les pays bénéficiaires concernés ont faits ces dernières années pour s</w:t>
      </w:r>
      <w:r w:rsidR="00260217">
        <w:rPr>
          <w:lang w:val="fr-FR"/>
        </w:rPr>
        <w:t>’</w:t>
      </w:r>
      <w:r w:rsidR="00AE7B62" w:rsidRPr="00FC0A44">
        <w:rPr>
          <w:lang w:val="fr-FR"/>
        </w:rPr>
        <w:t xml:space="preserve">approprier </w:t>
      </w:r>
      <w:r w:rsidR="002C7330" w:rsidRPr="00FC0A44">
        <w:rPr>
          <w:lang w:val="fr-FR"/>
        </w:rPr>
        <w:t xml:space="preserve">de </w:t>
      </w:r>
      <w:r w:rsidR="00AE7B62" w:rsidRPr="00FC0A44">
        <w:rPr>
          <w:lang w:val="fr-FR"/>
        </w:rPr>
        <w:t>la Convention en tant qu</w:t>
      </w:r>
      <w:r w:rsidR="00260217">
        <w:rPr>
          <w:lang w:val="fr-FR"/>
        </w:rPr>
        <w:t>’</w:t>
      </w:r>
      <w:r w:rsidR="00AE7B62" w:rsidRPr="00FC0A44">
        <w:rPr>
          <w:lang w:val="fr-FR"/>
        </w:rPr>
        <w:t xml:space="preserve">outil opérationnel pour </w:t>
      </w:r>
      <w:r w:rsidR="009E1E08" w:rsidRPr="00FC0A44">
        <w:rPr>
          <w:lang w:val="fr-FR"/>
        </w:rPr>
        <w:t xml:space="preserve">la </w:t>
      </w:r>
      <w:r w:rsidR="00AE7B62" w:rsidRPr="00FC0A44">
        <w:rPr>
          <w:lang w:val="fr-FR"/>
        </w:rPr>
        <w:t>sauvegarde</w:t>
      </w:r>
      <w:r w:rsidR="009E1E08" w:rsidRPr="00FC0A44">
        <w:rPr>
          <w:lang w:val="fr-FR"/>
        </w:rPr>
        <w:t xml:space="preserve"> du</w:t>
      </w:r>
      <w:r w:rsidR="00AE7B62" w:rsidRPr="00FC0A44">
        <w:rPr>
          <w:lang w:val="fr-FR"/>
        </w:rPr>
        <w:t xml:space="preserve"> patrimoine culturel immatériel présent sur leur territoire</w:t>
      </w:r>
      <w:r w:rsidR="00327C1A" w:rsidRPr="00FC0A44">
        <w:rPr>
          <w:lang w:val="fr-FR"/>
        </w:rPr>
        <w:t>.</w:t>
      </w:r>
    </w:p>
    <w:p w14:paraId="0ED58009" w14:textId="4B386DFE" w:rsidR="0057439C" w:rsidRPr="00FC0A44" w:rsidRDefault="00F906EA" w:rsidP="00FC0A44">
      <w:pPr>
        <w:pStyle w:val="COMParabodytext"/>
        <w:ind w:left="567" w:hanging="567"/>
        <w:rPr>
          <w:lang w:val="fr-FR"/>
        </w:rPr>
      </w:pPr>
      <w:r w:rsidRPr="00FC0A44">
        <w:rPr>
          <w:lang w:val="fr-FR"/>
        </w:rPr>
        <w:t>La</w:t>
      </w:r>
      <w:r w:rsidR="00AE7B62" w:rsidRPr="00FC0A44">
        <w:rPr>
          <w:lang w:val="fr-FR"/>
        </w:rPr>
        <w:t xml:space="preserve"> Commission nationale de la République populaire de Chine pour l</w:t>
      </w:r>
      <w:r w:rsidR="00260217">
        <w:rPr>
          <w:lang w:val="fr-FR"/>
        </w:rPr>
        <w:t>’</w:t>
      </w:r>
      <w:r w:rsidR="00327C1A" w:rsidRPr="00FC0A44">
        <w:rPr>
          <w:lang w:val="fr-FR"/>
        </w:rPr>
        <w:t xml:space="preserve">UNESCO </w:t>
      </w:r>
      <w:r w:rsidR="00AE7B62" w:rsidRPr="00FC0A44">
        <w:rPr>
          <w:lang w:val="fr-FR"/>
        </w:rPr>
        <w:t>apporter</w:t>
      </w:r>
      <w:r w:rsidRPr="00FC0A44">
        <w:rPr>
          <w:lang w:val="fr-FR"/>
        </w:rPr>
        <w:t>a</w:t>
      </w:r>
      <w:r w:rsidR="00AE7B62" w:rsidRPr="00FC0A44">
        <w:rPr>
          <w:lang w:val="fr-FR"/>
        </w:rPr>
        <w:t xml:space="preserve"> </w:t>
      </w:r>
      <w:r w:rsidRPr="00FC0A44">
        <w:rPr>
          <w:lang w:val="fr-FR"/>
        </w:rPr>
        <w:t xml:space="preserve">également </w:t>
      </w:r>
      <w:r w:rsidR="00AE7B62" w:rsidRPr="00FC0A44">
        <w:rPr>
          <w:lang w:val="fr-FR"/>
        </w:rPr>
        <w:t>son soutien à la C</w:t>
      </w:r>
      <w:r w:rsidR="00327C1A" w:rsidRPr="00FC0A44">
        <w:rPr>
          <w:lang w:val="fr-FR"/>
        </w:rPr>
        <w:t>onvention</w:t>
      </w:r>
      <w:r w:rsidRPr="00FC0A44">
        <w:rPr>
          <w:lang w:val="fr-FR"/>
        </w:rPr>
        <w:t xml:space="preserve"> en contribuant au Fonds du patrimoine culturel immatériel</w:t>
      </w:r>
      <w:r w:rsidR="00327C1A" w:rsidRPr="00FC0A44">
        <w:rPr>
          <w:lang w:val="fr-FR"/>
        </w:rPr>
        <w:t xml:space="preserve">. </w:t>
      </w:r>
      <w:r w:rsidR="00AE7B62" w:rsidRPr="00FC0A44">
        <w:rPr>
          <w:lang w:val="fr-FR"/>
        </w:rPr>
        <w:t xml:space="preserve">Lors de sa neuvième </w:t>
      </w:r>
      <w:r w:rsidR="00327C1A" w:rsidRPr="00FC0A44">
        <w:rPr>
          <w:lang w:val="fr-FR"/>
        </w:rPr>
        <w:t xml:space="preserve">session, </w:t>
      </w:r>
      <w:r w:rsidR="00AE7B62" w:rsidRPr="00FC0A44">
        <w:rPr>
          <w:lang w:val="fr-FR"/>
        </w:rPr>
        <w:t>l</w:t>
      </w:r>
      <w:r w:rsidR="00327C1A" w:rsidRPr="00FC0A44">
        <w:rPr>
          <w:lang w:val="fr-FR"/>
        </w:rPr>
        <w:t>e Comit</w:t>
      </w:r>
      <w:r w:rsidR="00AE7B62" w:rsidRPr="00FC0A44">
        <w:rPr>
          <w:lang w:val="fr-FR"/>
        </w:rPr>
        <w:t>é</w:t>
      </w:r>
      <w:r w:rsidR="00327C1A" w:rsidRPr="00FC0A44">
        <w:rPr>
          <w:lang w:val="fr-FR"/>
        </w:rPr>
        <w:t xml:space="preserve"> a</w:t>
      </w:r>
      <w:r w:rsidR="00AE7B62" w:rsidRPr="00FC0A44">
        <w:rPr>
          <w:lang w:val="fr-FR"/>
        </w:rPr>
        <w:t xml:space="preserve"> reconnu </w:t>
      </w:r>
      <w:r w:rsidR="00783354" w:rsidRPr="00FC0A44">
        <w:rPr>
          <w:lang w:val="fr-FR"/>
        </w:rPr>
        <w:t>« l</w:t>
      </w:r>
      <w:r w:rsidR="00260217">
        <w:rPr>
          <w:lang w:val="fr-FR"/>
        </w:rPr>
        <w:t>’</w:t>
      </w:r>
      <w:r w:rsidR="00783354" w:rsidRPr="00FC0A44">
        <w:rPr>
          <w:lang w:val="fr-FR"/>
        </w:rPr>
        <w:t>importance d</w:t>
      </w:r>
      <w:r w:rsidR="00260217">
        <w:rPr>
          <w:lang w:val="fr-FR"/>
        </w:rPr>
        <w:t>’</w:t>
      </w:r>
      <w:r w:rsidR="00783354" w:rsidRPr="00FC0A44">
        <w:rPr>
          <w:lang w:val="fr-FR"/>
        </w:rPr>
        <w:t>élaborer un cadre global de résultats pour la Convention incluant des objectifs, des calendriers, des indicateurs et des références clairs » ainsi que « la nécessité d</w:t>
      </w:r>
      <w:r w:rsidR="00260217">
        <w:rPr>
          <w:lang w:val="fr-FR"/>
        </w:rPr>
        <w:t>’</w:t>
      </w:r>
      <w:r w:rsidR="00783354" w:rsidRPr="00FC0A44">
        <w:rPr>
          <w:lang w:val="fr-FR"/>
        </w:rPr>
        <w:t>un processus inclusif de consultation et de discussion pour l</w:t>
      </w:r>
      <w:r w:rsidR="00260217">
        <w:rPr>
          <w:lang w:val="fr-FR"/>
        </w:rPr>
        <w:t>’</w:t>
      </w:r>
      <w:r w:rsidR="00783354" w:rsidRPr="00FC0A44">
        <w:rPr>
          <w:lang w:val="fr-FR"/>
        </w:rPr>
        <w:t>élaboration dudit cadre »</w:t>
      </w:r>
      <w:r w:rsidR="00327C1A" w:rsidRPr="00FC0A44">
        <w:rPr>
          <w:lang w:val="fr-FR"/>
        </w:rPr>
        <w:t xml:space="preserve"> (</w:t>
      </w:r>
      <w:hyperlink r:id="rId9" w:history="1">
        <w:r w:rsidR="00783354" w:rsidRPr="00FC0A44">
          <w:rPr>
            <w:rStyle w:val="Hyperlink"/>
            <w:lang w:val="fr-FR"/>
          </w:rPr>
          <w:t>dé</w:t>
        </w:r>
        <w:r w:rsidR="00327C1A" w:rsidRPr="00FC0A44">
          <w:rPr>
            <w:rStyle w:val="Hyperlink"/>
            <w:lang w:val="fr-FR"/>
          </w:rPr>
          <w:t>cision 9.COM 13.e</w:t>
        </w:r>
      </w:hyperlink>
      <w:r w:rsidR="00327C1A" w:rsidRPr="00FC0A44">
        <w:rPr>
          <w:lang w:val="fr-FR"/>
        </w:rPr>
        <w:t xml:space="preserve">). </w:t>
      </w:r>
      <w:r w:rsidR="00A25C3E" w:rsidRPr="00FC0A44">
        <w:rPr>
          <w:lang w:val="fr-FR"/>
        </w:rPr>
        <w:t>Afin que ce cadre soit bien le résultat d</w:t>
      </w:r>
      <w:r w:rsidR="00260217">
        <w:rPr>
          <w:lang w:val="fr-FR"/>
        </w:rPr>
        <w:t>’</w:t>
      </w:r>
      <w:r w:rsidR="00A25C3E" w:rsidRPr="00FC0A44">
        <w:rPr>
          <w:lang w:val="fr-FR"/>
        </w:rPr>
        <w:t xml:space="preserve">un processus participatif, le </w:t>
      </w:r>
      <w:r w:rsidR="00AE7B62" w:rsidRPr="00FC0A44">
        <w:rPr>
          <w:lang w:val="fr-FR"/>
        </w:rPr>
        <w:t>Comité</w:t>
      </w:r>
      <w:r w:rsidR="00327C1A" w:rsidRPr="00FC0A44">
        <w:rPr>
          <w:lang w:val="fr-FR"/>
        </w:rPr>
        <w:t xml:space="preserve"> </w:t>
      </w:r>
      <w:r w:rsidR="00A25C3E" w:rsidRPr="00FC0A44">
        <w:rPr>
          <w:lang w:val="fr-FR"/>
        </w:rPr>
        <w:t>a dé</w:t>
      </w:r>
      <w:r w:rsidR="00327C1A" w:rsidRPr="00FC0A44">
        <w:rPr>
          <w:lang w:val="fr-FR"/>
        </w:rPr>
        <w:t>cid</w:t>
      </w:r>
      <w:r w:rsidR="00A25C3E" w:rsidRPr="00FC0A44">
        <w:rPr>
          <w:lang w:val="fr-FR"/>
        </w:rPr>
        <w:t>é</w:t>
      </w:r>
      <w:r w:rsidR="00327C1A" w:rsidRPr="00FC0A44">
        <w:rPr>
          <w:lang w:val="fr-FR"/>
        </w:rPr>
        <w:t xml:space="preserve">, </w:t>
      </w:r>
      <w:r w:rsidR="00A25C3E" w:rsidRPr="00FC0A44">
        <w:rPr>
          <w:lang w:val="fr-FR"/>
        </w:rPr>
        <w:t>toujours dans cette même décision, de « convoquer un groupe de travail intergouvernemental à composition non limitée courant 2016 afin d</w:t>
      </w:r>
      <w:r w:rsidR="00260217">
        <w:rPr>
          <w:lang w:val="fr-FR"/>
        </w:rPr>
        <w:t>’</w:t>
      </w:r>
      <w:r w:rsidR="00A25C3E" w:rsidRPr="00FC0A44">
        <w:rPr>
          <w:lang w:val="fr-FR"/>
        </w:rPr>
        <w:t>examiner les recommandations préliminaires relatives à d</w:t>
      </w:r>
      <w:r w:rsidR="00260217">
        <w:rPr>
          <w:lang w:val="fr-FR"/>
        </w:rPr>
        <w:t>’</w:t>
      </w:r>
      <w:r w:rsidR="00A25C3E" w:rsidRPr="00FC0A44">
        <w:rPr>
          <w:lang w:val="fr-FR"/>
        </w:rPr>
        <w:t>éventuelles directives » sur ce sujet</w:t>
      </w:r>
      <w:r w:rsidR="00327C1A" w:rsidRPr="00FC0A44">
        <w:rPr>
          <w:lang w:val="fr-FR"/>
        </w:rPr>
        <w:t xml:space="preserve">. </w:t>
      </w:r>
      <w:r w:rsidR="00A25C3E" w:rsidRPr="00FC0A44">
        <w:rPr>
          <w:lang w:val="fr-FR"/>
        </w:rPr>
        <w:t xml:space="preserve">Cependant, le </w:t>
      </w:r>
      <w:r w:rsidR="00327C1A" w:rsidRPr="00FC0A44">
        <w:rPr>
          <w:lang w:val="fr-FR"/>
        </w:rPr>
        <w:t>Secr</w:t>
      </w:r>
      <w:r w:rsidR="00A25C3E" w:rsidRPr="00FC0A44">
        <w:rPr>
          <w:lang w:val="fr-FR"/>
        </w:rPr>
        <w:t>é</w:t>
      </w:r>
      <w:r w:rsidR="00327C1A" w:rsidRPr="00FC0A44">
        <w:rPr>
          <w:lang w:val="fr-FR"/>
        </w:rPr>
        <w:t xml:space="preserve">tariat </w:t>
      </w:r>
      <w:r w:rsidR="00A25C3E" w:rsidRPr="00FC0A44">
        <w:rPr>
          <w:lang w:val="fr-FR"/>
        </w:rPr>
        <w:t>ne sera pas en mesure de fournir une base solide de discussion dans les délais prévus</w:t>
      </w:r>
      <w:r w:rsidR="00327C1A" w:rsidRPr="00FC0A44">
        <w:rPr>
          <w:lang w:val="fr-FR"/>
        </w:rPr>
        <w:t xml:space="preserve">. </w:t>
      </w:r>
      <w:r w:rsidR="00A25C3E" w:rsidRPr="00FC0A44">
        <w:rPr>
          <w:lang w:val="fr-FR"/>
        </w:rPr>
        <w:t>C</w:t>
      </w:r>
      <w:r w:rsidR="00260217">
        <w:rPr>
          <w:lang w:val="fr-FR"/>
        </w:rPr>
        <w:t>’</w:t>
      </w:r>
      <w:r w:rsidR="00A25C3E" w:rsidRPr="00FC0A44">
        <w:rPr>
          <w:lang w:val="fr-FR"/>
        </w:rPr>
        <w:t xml:space="preserve">est pourquoi, </w:t>
      </w:r>
      <w:r w:rsidR="007A5AD8" w:rsidRPr="00FC0A44">
        <w:rPr>
          <w:lang w:val="fr-FR"/>
        </w:rPr>
        <w:t xml:space="preserve">à titre de première étape, il est demandé au </w:t>
      </w:r>
      <w:r w:rsidR="00AE7B62" w:rsidRPr="00FC0A44">
        <w:rPr>
          <w:lang w:val="fr-FR"/>
        </w:rPr>
        <w:t>Comité</w:t>
      </w:r>
      <w:r w:rsidR="00327C1A" w:rsidRPr="00FC0A44">
        <w:rPr>
          <w:lang w:val="fr-FR"/>
        </w:rPr>
        <w:t xml:space="preserve"> </w:t>
      </w:r>
      <w:r w:rsidR="007A5AD8" w:rsidRPr="00FC0A44">
        <w:rPr>
          <w:lang w:val="fr-FR"/>
        </w:rPr>
        <w:t>d</w:t>
      </w:r>
      <w:r w:rsidR="00260217">
        <w:rPr>
          <w:lang w:val="fr-FR"/>
        </w:rPr>
        <w:t>’</w:t>
      </w:r>
      <w:r w:rsidR="007A5AD8" w:rsidRPr="00FC0A44">
        <w:rPr>
          <w:lang w:val="fr-FR"/>
        </w:rPr>
        <w:t>approuver lors de la présente session l</w:t>
      </w:r>
      <w:r w:rsidR="00260217">
        <w:rPr>
          <w:lang w:val="fr-FR"/>
        </w:rPr>
        <w:t>’</w:t>
      </w:r>
      <w:r w:rsidR="007A5AD8" w:rsidRPr="00FC0A44">
        <w:rPr>
          <w:lang w:val="fr-FR"/>
        </w:rPr>
        <w:t xml:space="preserve">offre de la </w:t>
      </w:r>
      <w:r w:rsidR="00327C1A" w:rsidRPr="00FC0A44">
        <w:rPr>
          <w:lang w:val="fr-FR"/>
        </w:rPr>
        <w:t>Chin</w:t>
      </w:r>
      <w:r w:rsidR="007A5AD8" w:rsidRPr="00FC0A44">
        <w:rPr>
          <w:lang w:val="fr-FR"/>
        </w:rPr>
        <w:t>e</w:t>
      </w:r>
      <w:r w:rsidR="00327C1A" w:rsidRPr="00FC0A44">
        <w:rPr>
          <w:lang w:val="fr-FR"/>
        </w:rPr>
        <w:t xml:space="preserve"> – </w:t>
      </w:r>
      <w:r w:rsidR="007A5AD8" w:rsidRPr="00FC0A44">
        <w:rPr>
          <w:lang w:val="fr-FR"/>
        </w:rPr>
        <w:t>telle qu</w:t>
      </w:r>
      <w:r w:rsidR="00260217">
        <w:rPr>
          <w:lang w:val="fr-FR"/>
        </w:rPr>
        <w:t>’</w:t>
      </w:r>
      <w:r w:rsidR="007A5AD8" w:rsidRPr="00FC0A44">
        <w:rPr>
          <w:lang w:val="fr-FR"/>
        </w:rPr>
        <w:t xml:space="preserve">elle est énoncée dans la lettre </w:t>
      </w:r>
      <w:r w:rsidR="006B198D" w:rsidRPr="00FC0A44">
        <w:rPr>
          <w:lang w:val="fr-FR"/>
        </w:rPr>
        <w:t>de la Commission nationale de la République populaire de Chine pour l</w:t>
      </w:r>
      <w:r w:rsidR="00260217">
        <w:rPr>
          <w:lang w:val="fr-FR"/>
        </w:rPr>
        <w:t>’</w:t>
      </w:r>
      <w:r w:rsidR="006B198D" w:rsidRPr="00FC0A44">
        <w:rPr>
          <w:lang w:val="fr-FR"/>
        </w:rPr>
        <w:t>UNESCO</w:t>
      </w:r>
      <w:r w:rsidR="00327C1A" w:rsidRPr="00FC0A44">
        <w:rPr>
          <w:lang w:val="fr-FR"/>
        </w:rPr>
        <w:t xml:space="preserve"> </w:t>
      </w:r>
      <w:r w:rsidR="007A5AD8" w:rsidRPr="00FC0A44">
        <w:rPr>
          <w:lang w:val="fr-FR"/>
        </w:rPr>
        <w:t xml:space="preserve">jointe en </w:t>
      </w:r>
      <w:r w:rsidR="006B198D" w:rsidRPr="00FC0A44">
        <w:rPr>
          <w:lang w:val="fr-FR"/>
        </w:rPr>
        <w:t xml:space="preserve">annexe I </w:t>
      </w:r>
      <w:r w:rsidR="007A5AD8" w:rsidRPr="00FC0A44">
        <w:rPr>
          <w:lang w:val="fr-FR"/>
        </w:rPr>
        <w:t>au présent document</w:t>
      </w:r>
      <w:r w:rsidR="00327C1A" w:rsidRPr="00FC0A44">
        <w:rPr>
          <w:lang w:val="fr-FR"/>
        </w:rPr>
        <w:t xml:space="preserve"> – </w:t>
      </w:r>
      <w:r w:rsidR="007A5AD8" w:rsidRPr="00FC0A44">
        <w:rPr>
          <w:lang w:val="fr-FR"/>
        </w:rPr>
        <w:t>afin de soutenir l</w:t>
      </w:r>
      <w:r w:rsidR="00260217">
        <w:rPr>
          <w:lang w:val="fr-FR"/>
        </w:rPr>
        <w:t>’</w:t>
      </w:r>
      <w:r w:rsidR="007A5AD8" w:rsidRPr="00FC0A44">
        <w:rPr>
          <w:lang w:val="fr-FR"/>
        </w:rPr>
        <w:t>organisation d</w:t>
      </w:r>
      <w:r w:rsidR="00260217">
        <w:rPr>
          <w:lang w:val="fr-FR"/>
        </w:rPr>
        <w:t>’</w:t>
      </w:r>
      <w:r w:rsidR="007A5AD8" w:rsidRPr="00FC0A44">
        <w:rPr>
          <w:lang w:val="fr-FR"/>
        </w:rPr>
        <w:t>une réunion préliminaire d</w:t>
      </w:r>
      <w:r w:rsidR="00260217">
        <w:rPr>
          <w:lang w:val="fr-FR"/>
        </w:rPr>
        <w:t>’</w:t>
      </w:r>
      <w:r w:rsidR="007A5AD8" w:rsidRPr="00FC0A44">
        <w:rPr>
          <w:lang w:val="fr-FR"/>
        </w:rPr>
        <w:t>experts a</w:t>
      </w:r>
      <w:r w:rsidR="001B33AD" w:rsidRPr="00FC0A44">
        <w:rPr>
          <w:lang w:val="fr-FR"/>
        </w:rPr>
        <w:t xml:space="preserve">yant </w:t>
      </w:r>
      <w:r w:rsidR="007A5AD8" w:rsidRPr="00FC0A44">
        <w:rPr>
          <w:lang w:val="fr-FR"/>
        </w:rPr>
        <w:t xml:space="preserve">pour mission de poser les bases sur lesquelles un cadre </w:t>
      </w:r>
      <w:r w:rsidR="006B198D" w:rsidRPr="00FC0A44">
        <w:rPr>
          <w:lang w:val="fr-FR"/>
        </w:rPr>
        <w:t xml:space="preserve">global </w:t>
      </w:r>
      <w:r w:rsidR="007A5AD8" w:rsidRPr="00FC0A44">
        <w:rPr>
          <w:lang w:val="fr-FR"/>
        </w:rPr>
        <w:t>de résultats pourra être élaboré</w:t>
      </w:r>
      <w:r w:rsidR="00A81DAF" w:rsidRPr="00FC0A44">
        <w:rPr>
          <w:lang w:val="fr-FR"/>
        </w:rPr>
        <w:t xml:space="preserve"> puis discuté par un groupe de travail intergouvernemental spécial</w:t>
      </w:r>
      <w:r w:rsidR="00327C1A" w:rsidRPr="00FC0A44">
        <w:rPr>
          <w:lang w:val="fr-FR"/>
        </w:rPr>
        <w:t xml:space="preserve">. </w:t>
      </w:r>
    </w:p>
    <w:p w14:paraId="2F9D8A59" w14:textId="4EE099AA" w:rsidR="0057439C" w:rsidRPr="00FC0A44" w:rsidRDefault="00A81DAF" w:rsidP="00FC0A44">
      <w:pPr>
        <w:pStyle w:val="COMParabodytext"/>
        <w:keepLines/>
        <w:ind w:left="567" w:hanging="567"/>
        <w:rPr>
          <w:lang w:val="fr-FR"/>
        </w:rPr>
      </w:pPr>
      <w:r w:rsidRPr="00FC0A44">
        <w:rPr>
          <w:lang w:val="fr-FR"/>
        </w:rPr>
        <w:t xml:space="preserve">Dans sa </w:t>
      </w:r>
      <w:hyperlink r:id="rId10" w:history="1">
        <w:r w:rsidRPr="00FC0A44">
          <w:rPr>
            <w:rStyle w:val="Hyperlink"/>
            <w:lang w:val="fr-FR"/>
          </w:rPr>
          <w:t>dé</w:t>
        </w:r>
        <w:r w:rsidR="00327C1A" w:rsidRPr="00FC0A44">
          <w:rPr>
            <w:rStyle w:val="Hyperlink"/>
            <w:lang w:val="fr-FR"/>
          </w:rPr>
          <w:t>cision 7.COM 20.1</w:t>
        </w:r>
      </w:hyperlink>
      <w:r w:rsidR="00327C1A" w:rsidRPr="00FC0A44">
        <w:rPr>
          <w:lang w:val="fr-FR"/>
        </w:rPr>
        <w:t xml:space="preserve">, </w:t>
      </w:r>
      <w:r w:rsidRPr="00FC0A44">
        <w:rPr>
          <w:lang w:val="fr-FR"/>
        </w:rPr>
        <w:t>l</w:t>
      </w:r>
      <w:r w:rsidR="00327C1A" w:rsidRPr="00FC0A44">
        <w:rPr>
          <w:lang w:val="fr-FR"/>
        </w:rPr>
        <w:t xml:space="preserve">e </w:t>
      </w:r>
      <w:r w:rsidR="00AE7B62" w:rsidRPr="00FC0A44">
        <w:rPr>
          <w:lang w:val="fr-FR"/>
        </w:rPr>
        <w:t>Comité</w:t>
      </w:r>
      <w:r w:rsidR="00327C1A" w:rsidRPr="00FC0A44">
        <w:rPr>
          <w:lang w:val="fr-FR"/>
        </w:rPr>
        <w:t xml:space="preserve"> </w:t>
      </w:r>
      <w:r w:rsidRPr="00FC0A44">
        <w:rPr>
          <w:lang w:val="fr-FR"/>
        </w:rPr>
        <w:t xml:space="preserve">a </w:t>
      </w:r>
      <w:r w:rsidR="00D91053" w:rsidRPr="00FC0A44">
        <w:rPr>
          <w:lang w:val="fr-FR"/>
        </w:rPr>
        <w:t xml:space="preserve">pris </w:t>
      </w:r>
      <w:r w:rsidRPr="00FC0A44">
        <w:rPr>
          <w:lang w:val="fr-FR"/>
        </w:rPr>
        <w:t>not</w:t>
      </w:r>
      <w:r w:rsidR="00D91053" w:rsidRPr="00FC0A44">
        <w:rPr>
          <w:lang w:val="fr-FR"/>
        </w:rPr>
        <w:t>e</w:t>
      </w:r>
      <w:r w:rsidRPr="00FC0A44">
        <w:rPr>
          <w:lang w:val="fr-FR"/>
        </w:rPr>
        <w:t xml:space="preserve"> </w:t>
      </w:r>
      <w:r w:rsidR="00FA417C" w:rsidRPr="00FC0A44">
        <w:rPr>
          <w:lang w:val="fr-FR"/>
        </w:rPr>
        <w:t xml:space="preserve">du fait </w:t>
      </w:r>
      <w:r w:rsidRPr="00FC0A44">
        <w:rPr>
          <w:lang w:val="fr-FR"/>
        </w:rPr>
        <w:t xml:space="preserve">que les </w:t>
      </w:r>
      <w:r w:rsidR="000F0156" w:rsidRPr="00FC0A44">
        <w:rPr>
          <w:lang w:val="fr-FR"/>
        </w:rPr>
        <w:t>États</w:t>
      </w:r>
      <w:r w:rsidRPr="00FC0A44">
        <w:rPr>
          <w:lang w:val="fr-FR"/>
        </w:rPr>
        <w:t xml:space="preserve"> recourent à différentes formes </w:t>
      </w:r>
      <w:r w:rsidR="001B33AD" w:rsidRPr="00FC0A44">
        <w:rPr>
          <w:lang w:val="fr-FR"/>
        </w:rPr>
        <w:t>d</w:t>
      </w:r>
      <w:r w:rsidR="00FA417C" w:rsidRPr="00FC0A44">
        <w:rPr>
          <w:lang w:val="fr-FR"/>
        </w:rPr>
        <w:t>e soutien</w:t>
      </w:r>
      <w:r w:rsidRPr="00FC0A44">
        <w:rPr>
          <w:lang w:val="fr-FR"/>
        </w:rPr>
        <w:t>, financi</w:t>
      </w:r>
      <w:r w:rsidR="00FA417C" w:rsidRPr="00FC0A44">
        <w:rPr>
          <w:lang w:val="fr-FR"/>
        </w:rPr>
        <w:t>er</w:t>
      </w:r>
      <w:r w:rsidRPr="00FC0A44">
        <w:rPr>
          <w:lang w:val="fr-FR"/>
        </w:rPr>
        <w:t xml:space="preserve"> et en nature</w:t>
      </w:r>
      <w:r w:rsidR="00327C1A" w:rsidRPr="00FC0A44">
        <w:rPr>
          <w:lang w:val="fr-FR"/>
        </w:rPr>
        <w:t xml:space="preserve">, </w:t>
      </w:r>
      <w:r w:rsidRPr="00FC0A44">
        <w:rPr>
          <w:lang w:val="fr-FR"/>
        </w:rPr>
        <w:t>à la Convention de</w:t>
      </w:r>
      <w:r w:rsidR="00327C1A" w:rsidRPr="00FC0A44">
        <w:rPr>
          <w:lang w:val="fr-FR"/>
        </w:rPr>
        <w:t xml:space="preserve"> 2003 </w:t>
      </w:r>
      <w:r w:rsidRPr="00FC0A44">
        <w:rPr>
          <w:lang w:val="fr-FR"/>
        </w:rPr>
        <w:t>pour la sauvegarde du patrimoine culturel immatériel</w:t>
      </w:r>
      <w:r w:rsidR="00B742D4" w:rsidRPr="00FC0A44">
        <w:rPr>
          <w:lang w:val="fr-FR"/>
        </w:rPr>
        <w:t>,</w:t>
      </w:r>
      <w:r w:rsidRPr="00FC0A44">
        <w:rPr>
          <w:lang w:val="fr-FR"/>
        </w:rPr>
        <w:t xml:space="preserve"> et pas seulement </w:t>
      </w:r>
      <w:r w:rsidR="001B33AD" w:rsidRPr="00FC0A44">
        <w:rPr>
          <w:lang w:val="fr-FR"/>
        </w:rPr>
        <w:t>aux</w:t>
      </w:r>
      <w:r w:rsidRPr="00FC0A44">
        <w:rPr>
          <w:lang w:val="fr-FR"/>
        </w:rPr>
        <w:t xml:space="preserve"> contribution</w:t>
      </w:r>
      <w:r w:rsidR="00D91053" w:rsidRPr="00FC0A44">
        <w:rPr>
          <w:lang w:val="fr-FR"/>
        </w:rPr>
        <w:t>s</w:t>
      </w:r>
      <w:r w:rsidRPr="00FC0A44">
        <w:rPr>
          <w:lang w:val="fr-FR"/>
        </w:rPr>
        <w:t xml:space="preserve"> volontaires supplémentaires au Fonds du patrimoine culturel visé</w:t>
      </w:r>
      <w:r w:rsidR="00D91053" w:rsidRPr="00FC0A44">
        <w:rPr>
          <w:lang w:val="fr-FR"/>
        </w:rPr>
        <w:t>es</w:t>
      </w:r>
      <w:r w:rsidRPr="00FC0A44">
        <w:rPr>
          <w:lang w:val="fr-FR"/>
        </w:rPr>
        <w:t xml:space="preserve"> à l</w:t>
      </w:r>
      <w:r w:rsidR="00260217">
        <w:rPr>
          <w:lang w:val="fr-FR"/>
        </w:rPr>
        <w:t>’</w:t>
      </w:r>
      <w:r w:rsidRPr="00FC0A44">
        <w:rPr>
          <w:lang w:val="fr-FR"/>
        </w:rPr>
        <w:t>a</w:t>
      </w:r>
      <w:r w:rsidR="00327C1A" w:rsidRPr="00FC0A44">
        <w:rPr>
          <w:lang w:val="fr-FR"/>
        </w:rPr>
        <w:t xml:space="preserve">rticle 25.5 </w:t>
      </w:r>
      <w:r w:rsidRPr="00FC0A44">
        <w:rPr>
          <w:lang w:val="fr-FR"/>
        </w:rPr>
        <w:t xml:space="preserve">de la </w:t>
      </w:r>
      <w:r w:rsidR="00327C1A" w:rsidRPr="00FC0A44">
        <w:rPr>
          <w:lang w:val="fr-FR"/>
        </w:rPr>
        <w:t xml:space="preserve">Convention. </w:t>
      </w:r>
      <w:r w:rsidR="003141D0" w:rsidRPr="00FC0A44">
        <w:rPr>
          <w:lang w:val="fr-FR"/>
        </w:rPr>
        <w:t xml:space="preserve">Il a ainsi demandé au </w:t>
      </w:r>
      <w:r w:rsidR="00327C1A" w:rsidRPr="00FC0A44">
        <w:rPr>
          <w:lang w:val="fr-FR"/>
        </w:rPr>
        <w:t>Secr</w:t>
      </w:r>
      <w:r w:rsidR="003141D0" w:rsidRPr="00FC0A44">
        <w:rPr>
          <w:lang w:val="fr-FR"/>
        </w:rPr>
        <w:t>é</w:t>
      </w:r>
      <w:r w:rsidR="00327C1A" w:rsidRPr="00FC0A44">
        <w:rPr>
          <w:lang w:val="fr-FR"/>
        </w:rPr>
        <w:t>tariat</w:t>
      </w:r>
      <w:r w:rsidR="003141D0" w:rsidRPr="00FC0A44">
        <w:rPr>
          <w:lang w:val="fr-FR"/>
        </w:rPr>
        <w:t xml:space="preserve"> de faire rapport à chaque session du Comité sur la réception de telles contributions depuis sa session</w:t>
      </w:r>
      <w:r w:rsidR="00455CF4" w:rsidRPr="00FC0A44">
        <w:rPr>
          <w:lang w:val="fr-FR"/>
        </w:rPr>
        <w:t xml:space="preserve"> précédente</w:t>
      </w:r>
      <w:r w:rsidR="00327C1A" w:rsidRPr="00FC0A44">
        <w:rPr>
          <w:lang w:val="fr-FR"/>
        </w:rPr>
        <w:t xml:space="preserve">. </w:t>
      </w:r>
      <w:r w:rsidR="003141D0" w:rsidRPr="00FC0A44">
        <w:rPr>
          <w:lang w:val="fr-FR"/>
        </w:rPr>
        <w:t>En conséquence,</w:t>
      </w:r>
      <w:r w:rsidR="00327C1A" w:rsidRPr="00FC0A44">
        <w:rPr>
          <w:lang w:val="fr-FR"/>
        </w:rPr>
        <w:t xml:space="preserve"> </w:t>
      </w:r>
      <w:r w:rsidR="003141D0" w:rsidRPr="00FC0A44">
        <w:rPr>
          <w:lang w:val="fr-FR"/>
        </w:rPr>
        <w:t xml:space="preserve">on trouvera en </w:t>
      </w:r>
      <w:r w:rsidR="006B198D" w:rsidRPr="00FC0A44">
        <w:rPr>
          <w:lang w:val="fr-FR"/>
        </w:rPr>
        <w:t xml:space="preserve">annexe II </w:t>
      </w:r>
      <w:r w:rsidR="003141D0" w:rsidRPr="00FC0A44">
        <w:rPr>
          <w:lang w:val="fr-FR"/>
        </w:rPr>
        <w:t>au présent document la</w:t>
      </w:r>
      <w:r w:rsidR="00327C1A" w:rsidRPr="00FC0A44">
        <w:rPr>
          <w:lang w:val="fr-FR"/>
        </w:rPr>
        <w:t xml:space="preserve"> list</w:t>
      </w:r>
      <w:r w:rsidR="003141D0" w:rsidRPr="00FC0A44">
        <w:rPr>
          <w:lang w:val="fr-FR"/>
        </w:rPr>
        <w:t>e</w:t>
      </w:r>
      <w:r w:rsidR="00327C1A" w:rsidRPr="00FC0A44">
        <w:rPr>
          <w:lang w:val="fr-FR"/>
        </w:rPr>
        <w:t xml:space="preserve"> </w:t>
      </w:r>
      <w:r w:rsidR="003141D0" w:rsidRPr="00FC0A44">
        <w:rPr>
          <w:lang w:val="fr-FR"/>
        </w:rPr>
        <w:t>des</w:t>
      </w:r>
      <w:r w:rsidR="00327C1A" w:rsidRPr="00FC0A44">
        <w:rPr>
          <w:lang w:val="fr-FR"/>
        </w:rPr>
        <w:t xml:space="preserve"> contributions </w:t>
      </w:r>
      <w:r w:rsidR="003141D0" w:rsidRPr="00FC0A44">
        <w:rPr>
          <w:lang w:val="fr-FR"/>
        </w:rPr>
        <w:t xml:space="preserve">en faveur de la Convention de </w:t>
      </w:r>
      <w:r w:rsidR="00327C1A" w:rsidRPr="00FC0A44">
        <w:rPr>
          <w:lang w:val="fr-FR"/>
        </w:rPr>
        <w:t>2003</w:t>
      </w:r>
      <w:r w:rsidR="002C3CEB" w:rsidRPr="00FC0A44">
        <w:rPr>
          <w:lang w:val="fr-FR"/>
        </w:rPr>
        <w:t xml:space="preserve"> depuis la neuvième </w:t>
      </w:r>
      <w:r w:rsidR="00327C1A" w:rsidRPr="00FC0A44">
        <w:rPr>
          <w:lang w:val="fr-FR"/>
        </w:rPr>
        <w:t xml:space="preserve">session </w:t>
      </w:r>
      <w:r w:rsidR="002C3CEB" w:rsidRPr="00FC0A44">
        <w:rPr>
          <w:lang w:val="fr-FR"/>
        </w:rPr>
        <w:t>du</w:t>
      </w:r>
      <w:r w:rsidR="00327C1A" w:rsidRPr="00FC0A44">
        <w:rPr>
          <w:lang w:val="fr-FR"/>
        </w:rPr>
        <w:t xml:space="preserve"> </w:t>
      </w:r>
      <w:r w:rsidR="00AE7B62" w:rsidRPr="00FC0A44">
        <w:rPr>
          <w:lang w:val="fr-FR"/>
        </w:rPr>
        <w:t>Comité</w:t>
      </w:r>
      <w:r w:rsidR="00327C1A" w:rsidRPr="00FC0A44">
        <w:rPr>
          <w:lang w:val="fr-FR"/>
        </w:rPr>
        <w:t>.</w:t>
      </w:r>
    </w:p>
    <w:p w14:paraId="49D15132" w14:textId="3EC8710A" w:rsidR="002630C2" w:rsidRPr="00FC0A44" w:rsidRDefault="002C3CEB" w:rsidP="00FC0A44">
      <w:pPr>
        <w:pStyle w:val="COMParabodytext"/>
        <w:ind w:left="567" w:hanging="567"/>
        <w:rPr>
          <w:lang w:val="fr-FR"/>
        </w:rPr>
      </w:pPr>
      <w:r w:rsidRPr="00FC0A44">
        <w:rPr>
          <w:lang w:val="fr-FR"/>
        </w:rPr>
        <w:t>Dans la mesure où l</w:t>
      </w:r>
      <w:r w:rsidR="00260217">
        <w:rPr>
          <w:lang w:val="fr-FR"/>
        </w:rPr>
        <w:t>’</w:t>
      </w:r>
      <w:r w:rsidRPr="00FC0A44">
        <w:rPr>
          <w:lang w:val="fr-FR"/>
        </w:rPr>
        <w:t xml:space="preserve">aide reçue par la </w:t>
      </w:r>
      <w:r w:rsidR="002630C2" w:rsidRPr="00FC0A44">
        <w:rPr>
          <w:lang w:val="fr-FR"/>
        </w:rPr>
        <w:t>Convention b</w:t>
      </w:r>
      <w:r w:rsidRPr="00FC0A44">
        <w:rPr>
          <w:lang w:val="fr-FR"/>
        </w:rPr>
        <w:t>é</w:t>
      </w:r>
      <w:r w:rsidR="002630C2" w:rsidRPr="00FC0A44">
        <w:rPr>
          <w:lang w:val="fr-FR"/>
        </w:rPr>
        <w:t>n</w:t>
      </w:r>
      <w:r w:rsidRPr="00FC0A44">
        <w:rPr>
          <w:lang w:val="fr-FR"/>
        </w:rPr>
        <w:t>é</w:t>
      </w:r>
      <w:r w:rsidR="002630C2" w:rsidRPr="00FC0A44">
        <w:rPr>
          <w:lang w:val="fr-FR"/>
        </w:rPr>
        <w:t>fi</w:t>
      </w:r>
      <w:r w:rsidRPr="00FC0A44">
        <w:rPr>
          <w:lang w:val="fr-FR"/>
        </w:rPr>
        <w:t xml:space="preserve">cie en </w:t>
      </w:r>
      <w:r w:rsidR="00315ECC" w:rsidRPr="00FC0A44">
        <w:rPr>
          <w:lang w:val="fr-FR"/>
        </w:rPr>
        <w:t>majeure</w:t>
      </w:r>
      <w:r w:rsidRPr="00FC0A44">
        <w:rPr>
          <w:lang w:val="fr-FR"/>
        </w:rPr>
        <w:t xml:space="preserve"> partie au programme </w:t>
      </w:r>
      <w:r w:rsidR="00691F02" w:rsidRPr="00FC0A44">
        <w:rPr>
          <w:lang w:val="fr-FR"/>
        </w:rPr>
        <w:t xml:space="preserve">global </w:t>
      </w:r>
      <w:r w:rsidRPr="00FC0A44">
        <w:rPr>
          <w:lang w:val="fr-FR"/>
        </w:rPr>
        <w:t xml:space="preserve">de renforcement des capacités et dans une moindre mesure au renforcement des ressources humaines du </w:t>
      </w:r>
      <w:r w:rsidR="002630C2" w:rsidRPr="00FC0A44">
        <w:rPr>
          <w:lang w:val="fr-FR"/>
        </w:rPr>
        <w:t>Secr</w:t>
      </w:r>
      <w:r w:rsidRPr="00FC0A44">
        <w:rPr>
          <w:lang w:val="fr-FR"/>
        </w:rPr>
        <w:t>é</w:t>
      </w:r>
      <w:r w:rsidR="002630C2" w:rsidRPr="00FC0A44">
        <w:rPr>
          <w:lang w:val="fr-FR"/>
        </w:rPr>
        <w:t>tariat, i</w:t>
      </w:r>
      <w:r w:rsidRPr="00FC0A44">
        <w:rPr>
          <w:lang w:val="fr-FR"/>
        </w:rPr>
        <w:t xml:space="preserve">l semble approprié </w:t>
      </w:r>
      <w:r w:rsidR="00C35627" w:rsidRPr="00FC0A44">
        <w:rPr>
          <w:lang w:val="fr-FR"/>
        </w:rPr>
        <w:t xml:space="preserve">de montrer au </w:t>
      </w:r>
      <w:r w:rsidR="00AE7B62" w:rsidRPr="00FC0A44">
        <w:rPr>
          <w:lang w:val="fr-FR"/>
        </w:rPr>
        <w:t>Comité</w:t>
      </w:r>
      <w:r w:rsidR="002630C2" w:rsidRPr="00FC0A44">
        <w:rPr>
          <w:lang w:val="fr-FR"/>
        </w:rPr>
        <w:t xml:space="preserve"> </w:t>
      </w:r>
      <w:r w:rsidR="00C35627" w:rsidRPr="00FC0A44">
        <w:rPr>
          <w:lang w:val="fr-FR"/>
        </w:rPr>
        <w:t>l</w:t>
      </w:r>
      <w:r w:rsidR="00260217">
        <w:rPr>
          <w:lang w:val="fr-FR"/>
        </w:rPr>
        <w:t>’</w:t>
      </w:r>
      <w:r w:rsidR="00C35627" w:rsidRPr="00FC0A44">
        <w:rPr>
          <w:lang w:val="fr-FR"/>
        </w:rPr>
        <w:t>é</w:t>
      </w:r>
      <w:r w:rsidR="002630C2" w:rsidRPr="00FC0A44">
        <w:rPr>
          <w:lang w:val="fr-FR"/>
        </w:rPr>
        <w:t xml:space="preserve">volution </w:t>
      </w:r>
      <w:r w:rsidR="00C35627" w:rsidRPr="00FC0A44">
        <w:rPr>
          <w:lang w:val="fr-FR"/>
        </w:rPr>
        <w:t>de cette aide au cours des trois derniers exercices biennaux</w:t>
      </w:r>
      <w:r w:rsidR="00771645" w:rsidRPr="00FC0A44">
        <w:rPr>
          <w:rStyle w:val="FootnoteReference"/>
          <w:lang w:val="fr-FR"/>
        </w:rPr>
        <w:footnoteReference w:id="1"/>
      </w:r>
      <w:r w:rsidR="002630C2" w:rsidRPr="00FC0A44">
        <w:rPr>
          <w:lang w:val="fr-FR"/>
        </w:rPr>
        <w:t xml:space="preserve">. </w:t>
      </w:r>
      <w:r w:rsidR="00C226C4" w:rsidRPr="00FC0A44">
        <w:rPr>
          <w:lang w:val="fr-FR"/>
        </w:rPr>
        <w:t>L</w:t>
      </w:r>
      <w:r w:rsidR="00CA296E" w:rsidRPr="00FC0A44">
        <w:rPr>
          <w:lang w:val="fr-FR"/>
        </w:rPr>
        <w:t>a f</w:t>
      </w:r>
      <w:r w:rsidR="002630C2" w:rsidRPr="00FC0A44">
        <w:rPr>
          <w:lang w:val="fr-FR"/>
        </w:rPr>
        <w:t xml:space="preserve">igure 1 </w:t>
      </w:r>
      <w:r w:rsidR="00CA296E" w:rsidRPr="00FC0A44">
        <w:rPr>
          <w:lang w:val="fr-FR"/>
        </w:rPr>
        <w:t>montre que l</w:t>
      </w:r>
      <w:r w:rsidR="00260217">
        <w:rPr>
          <w:lang w:val="fr-FR"/>
        </w:rPr>
        <w:t>’</w:t>
      </w:r>
      <w:r w:rsidR="00CA296E" w:rsidRPr="00FC0A44">
        <w:rPr>
          <w:lang w:val="fr-FR"/>
        </w:rPr>
        <w:t>objectif pour l</w:t>
      </w:r>
      <w:r w:rsidR="00260217">
        <w:rPr>
          <w:lang w:val="fr-FR"/>
        </w:rPr>
        <w:t>’</w:t>
      </w:r>
      <w:r w:rsidR="00CA296E" w:rsidRPr="00FC0A44">
        <w:rPr>
          <w:lang w:val="fr-FR"/>
        </w:rPr>
        <w:t>exercice biennal qui arrive à son terme a été atteint</w:t>
      </w:r>
      <w:r w:rsidR="00FA417C" w:rsidRPr="00FC0A44">
        <w:rPr>
          <w:lang w:val="fr-FR"/>
        </w:rPr>
        <w:t>,</w:t>
      </w:r>
      <w:r w:rsidR="00CA296E" w:rsidRPr="00FC0A44">
        <w:rPr>
          <w:lang w:val="fr-FR"/>
        </w:rPr>
        <w:t xml:space="preserve"> et confirme la baisse du montant des ressources mobilisées pour le programme de renforcement des capacités. </w:t>
      </w:r>
    </w:p>
    <w:p w14:paraId="4ECA11C1" w14:textId="77777777" w:rsidR="001A6734" w:rsidRPr="00FC0A44" w:rsidRDefault="007B2B79" w:rsidP="001A6734">
      <w:pPr>
        <w:pStyle w:val="COMParabodytext"/>
        <w:keepNext/>
        <w:numPr>
          <w:ilvl w:val="0"/>
          <w:numId w:val="0"/>
        </w:numPr>
        <w:spacing w:before="600"/>
        <w:ind w:left="567"/>
        <w:jc w:val="left"/>
        <w:rPr>
          <w:lang w:val="fr-FR"/>
        </w:rPr>
      </w:pPr>
      <w:r w:rsidRPr="00FC0A44">
        <w:rPr>
          <w:noProof/>
          <w:lang w:val="fr-FR" w:eastAsia="fr-FR"/>
        </w:rPr>
        <w:drawing>
          <wp:inline distT="0" distB="0" distL="0" distR="0" wp14:anchorId="083D0291" wp14:editId="0BD029A6">
            <wp:extent cx="6120130" cy="4087495"/>
            <wp:effectExtent l="0" t="0" r="0" b="825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17E684" w14:textId="1D966218" w:rsidR="001A6734" w:rsidRPr="00FC0A44" w:rsidRDefault="001A6734" w:rsidP="00FC0A44">
      <w:pPr>
        <w:pStyle w:val="Caption"/>
        <w:ind w:left="567"/>
        <w:rPr>
          <w:rFonts w:ascii="Arial" w:hAnsi="Arial" w:cs="Arial"/>
          <w:i w:val="0"/>
          <w:color w:val="auto"/>
        </w:rPr>
      </w:pPr>
      <w:r w:rsidRPr="00FC0A44">
        <w:rPr>
          <w:rFonts w:ascii="Arial" w:hAnsi="Arial" w:cs="Arial"/>
          <w:b/>
          <w:i w:val="0"/>
          <w:color w:val="auto"/>
        </w:rPr>
        <w:t xml:space="preserve">Figure </w:t>
      </w:r>
      <w:r w:rsidRPr="00FC0A44">
        <w:rPr>
          <w:rFonts w:ascii="Arial" w:hAnsi="Arial" w:cs="Arial"/>
          <w:b/>
          <w:i w:val="0"/>
          <w:color w:val="auto"/>
        </w:rPr>
        <w:fldChar w:fldCharType="begin"/>
      </w:r>
      <w:r w:rsidRPr="00FC0A44">
        <w:rPr>
          <w:rFonts w:ascii="Arial" w:hAnsi="Arial" w:cs="Arial"/>
          <w:b/>
          <w:i w:val="0"/>
          <w:color w:val="auto"/>
        </w:rPr>
        <w:instrText xml:space="preserve"> SEQ Figure \* ARABIC </w:instrText>
      </w:r>
      <w:r w:rsidRPr="00FC0A44">
        <w:rPr>
          <w:rFonts w:ascii="Arial" w:hAnsi="Arial" w:cs="Arial"/>
          <w:b/>
          <w:i w:val="0"/>
          <w:color w:val="auto"/>
        </w:rPr>
        <w:fldChar w:fldCharType="separate"/>
      </w:r>
      <w:r w:rsidR="005769D5" w:rsidRPr="00FC0A44">
        <w:rPr>
          <w:rFonts w:ascii="Arial" w:hAnsi="Arial" w:cs="Arial"/>
          <w:b/>
          <w:i w:val="0"/>
          <w:color w:val="auto"/>
        </w:rPr>
        <w:t>1</w:t>
      </w:r>
      <w:r w:rsidRPr="00FC0A44">
        <w:rPr>
          <w:rFonts w:ascii="Arial" w:hAnsi="Arial" w:cs="Arial"/>
          <w:b/>
          <w:i w:val="0"/>
          <w:color w:val="auto"/>
        </w:rPr>
        <w:fldChar w:fldCharType="end"/>
      </w:r>
      <w:r w:rsidRPr="00FC0A44">
        <w:rPr>
          <w:rFonts w:ascii="Arial" w:hAnsi="Arial" w:cs="Arial"/>
          <w:i w:val="0"/>
          <w:color w:val="auto"/>
        </w:rPr>
        <w:t> : Évolution du soutien volontaire au programme global de renforcement des capacités</w:t>
      </w:r>
    </w:p>
    <w:p w14:paraId="66192CD7" w14:textId="2B239816" w:rsidR="0057439C" w:rsidRPr="00FC0A44" w:rsidRDefault="00D52BE6" w:rsidP="00FC0A44">
      <w:pPr>
        <w:pStyle w:val="COMParabodytext"/>
        <w:ind w:left="567" w:hanging="567"/>
        <w:rPr>
          <w:lang w:val="fr-FR"/>
        </w:rPr>
      </w:pPr>
      <w:r w:rsidRPr="00FC0A44">
        <w:rPr>
          <w:lang w:val="fr-FR"/>
        </w:rPr>
        <w:t>L</w:t>
      </w:r>
      <w:r w:rsidR="00260217">
        <w:rPr>
          <w:lang w:val="fr-FR"/>
        </w:rPr>
        <w:t>’</w:t>
      </w:r>
      <w:r w:rsidR="00C73A16" w:rsidRPr="00FC0A44">
        <w:rPr>
          <w:lang w:val="fr-FR"/>
        </w:rPr>
        <w:t xml:space="preserve">exercice biennal </w:t>
      </w:r>
      <w:r w:rsidR="002630C2" w:rsidRPr="00FC0A44">
        <w:rPr>
          <w:lang w:val="fr-FR"/>
        </w:rPr>
        <w:t xml:space="preserve">35 C/5  </w:t>
      </w:r>
      <w:r w:rsidR="00C73A16" w:rsidRPr="00FC0A44">
        <w:rPr>
          <w:lang w:val="fr-FR"/>
        </w:rPr>
        <w:t xml:space="preserve">a </w:t>
      </w:r>
      <w:r w:rsidRPr="00FC0A44">
        <w:rPr>
          <w:lang w:val="fr-FR"/>
        </w:rPr>
        <w:t>connu le lancement</w:t>
      </w:r>
      <w:r w:rsidR="00353781" w:rsidRPr="00FC0A44">
        <w:rPr>
          <w:lang w:val="fr-FR"/>
        </w:rPr>
        <w:t xml:space="preserve"> </w:t>
      </w:r>
      <w:r w:rsidRPr="00FC0A44">
        <w:rPr>
          <w:lang w:val="fr-FR"/>
        </w:rPr>
        <w:t xml:space="preserve">du </w:t>
      </w:r>
      <w:r w:rsidR="00C73A16" w:rsidRPr="00FC0A44">
        <w:rPr>
          <w:lang w:val="fr-FR"/>
        </w:rPr>
        <w:t xml:space="preserve">programme </w:t>
      </w:r>
      <w:r w:rsidR="00691F02" w:rsidRPr="00FC0A44">
        <w:rPr>
          <w:lang w:val="fr-FR"/>
        </w:rPr>
        <w:t xml:space="preserve">global </w:t>
      </w:r>
      <w:r w:rsidR="00C73A16" w:rsidRPr="00FC0A44">
        <w:rPr>
          <w:lang w:val="fr-FR"/>
        </w:rPr>
        <w:t>de renforcement des capacités</w:t>
      </w:r>
      <w:r w:rsidR="002630C2" w:rsidRPr="00FC0A44">
        <w:rPr>
          <w:lang w:val="fr-FR"/>
        </w:rPr>
        <w:t xml:space="preserve"> </w:t>
      </w:r>
      <w:r w:rsidR="00691F02" w:rsidRPr="00FC0A44">
        <w:rPr>
          <w:lang w:val="fr-FR"/>
        </w:rPr>
        <w:t>qui a suscité l</w:t>
      </w:r>
      <w:r w:rsidR="00260217">
        <w:rPr>
          <w:lang w:val="fr-FR"/>
        </w:rPr>
        <w:t>’</w:t>
      </w:r>
      <w:r w:rsidR="00691F02" w:rsidRPr="00FC0A44">
        <w:rPr>
          <w:lang w:val="fr-FR"/>
        </w:rPr>
        <w:t>enthousiasme des donateurs</w:t>
      </w:r>
      <w:r w:rsidR="002630C2" w:rsidRPr="00FC0A44">
        <w:rPr>
          <w:lang w:val="fr-FR"/>
        </w:rPr>
        <w:t xml:space="preserve">. </w:t>
      </w:r>
      <w:r w:rsidR="00691F02" w:rsidRPr="00FC0A44">
        <w:rPr>
          <w:lang w:val="fr-FR"/>
        </w:rPr>
        <w:t>L</w:t>
      </w:r>
      <w:r w:rsidR="00260217">
        <w:rPr>
          <w:lang w:val="fr-FR"/>
        </w:rPr>
        <w:t>’</w:t>
      </w:r>
      <w:r w:rsidR="00691F02" w:rsidRPr="00FC0A44">
        <w:rPr>
          <w:lang w:val="fr-FR"/>
        </w:rPr>
        <w:t>exercice biennal</w:t>
      </w:r>
      <w:r w:rsidR="002630C2" w:rsidRPr="00FC0A44">
        <w:rPr>
          <w:lang w:val="fr-FR"/>
        </w:rPr>
        <w:t xml:space="preserve"> 36C/5 a</w:t>
      </w:r>
      <w:r w:rsidR="00691F02" w:rsidRPr="00FC0A44">
        <w:rPr>
          <w:lang w:val="fr-FR"/>
        </w:rPr>
        <w:t xml:space="preserve"> été, quant à lui, </w:t>
      </w:r>
      <w:r w:rsidR="0073598E" w:rsidRPr="00FC0A44">
        <w:rPr>
          <w:lang w:val="fr-FR"/>
        </w:rPr>
        <w:t xml:space="preserve">marqué </w:t>
      </w:r>
      <w:r w:rsidR="00691F02" w:rsidRPr="00FC0A44">
        <w:rPr>
          <w:lang w:val="fr-FR"/>
        </w:rPr>
        <w:t xml:space="preserve">par la mise en </w:t>
      </w:r>
      <w:r w:rsidR="00524D88" w:rsidRPr="00FC0A44">
        <w:rPr>
          <w:lang w:val="fr-FR"/>
        </w:rPr>
        <w:t xml:space="preserve">œuvre </w:t>
      </w:r>
      <w:r w:rsidR="00691F02" w:rsidRPr="00FC0A44">
        <w:rPr>
          <w:lang w:val="fr-FR"/>
        </w:rPr>
        <w:t>des ressources mobilisées pendant l</w:t>
      </w:r>
      <w:r w:rsidR="00260217">
        <w:rPr>
          <w:lang w:val="fr-FR"/>
        </w:rPr>
        <w:t>’</w:t>
      </w:r>
      <w:r w:rsidR="00691F02" w:rsidRPr="00FC0A44">
        <w:rPr>
          <w:lang w:val="fr-FR"/>
        </w:rPr>
        <w:t>exercice bienn</w:t>
      </w:r>
      <w:r w:rsidR="00353781" w:rsidRPr="00FC0A44">
        <w:rPr>
          <w:lang w:val="fr-FR"/>
        </w:rPr>
        <w:t>a</w:t>
      </w:r>
      <w:r w:rsidR="00691F02" w:rsidRPr="00FC0A44">
        <w:rPr>
          <w:lang w:val="fr-FR"/>
        </w:rPr>
        <w:t xml:space="preserve">l précédent, mais a moins </w:t>
      </w:r>
      <w:r w:rsidRPr="00FC0A44">
        <w:rPr>
          <w:lang w:val="fr-FR"/>
        </w:rPr>
        <w:t>attiré l</w:t>
      </w:r>
      <w:r w:rsidR="00260217">
        <w:rPr>
          <w:lang w:val="fr-FR"/>
        </w:rPr>
        <w:t>’</w:t>
      </w:r>
      <w:r w:rsidRPr="00FC0A44">
        <w:rPr>
          <w:lang w:val="fr-FR"/>
        </w:rPr>
        <w:t xml:space="preserve">intérêt </w:t>
      </w:r>
      <w:r w:rsidR="00691F02" w:rsidRPr="00FC0A44">
        <w:rPr>
          <w:lang w:val="fr-FR"/>
        </w:rPr>
        <w:t>des donateurs</w:t>
      </w:r>
      <w:r w:rsidR="002630C2" w:rsidRPr="00FC0A44">
        <w:rPr>
          <w:lang w:val="fr-FR"/>
        </w:rPr>
        <w:t xml:space="preserve">. </w:t>
      </w:r>
      <w:r w:rsidR="0073598E" w:rsidRPr="00FC0A44">
        <w:rPr>
          <w:lang w:val="fr-FR"/>
        </w:rPr>
        <w:t>Enfin, si l</w:t>
      </w:r>
      <w:r w:rsidR="00260217">
        <w:rPr>
          <w:lang w:val="fr-FR"/>
        </w:rPr>
        <w:t>’</w:t>
      </w:r>
      <w:r w:rsidR="0073598E" w:rsidRPr="00FC0A44">
        <w:rPr>
          <w:lang w:val="fr-FR"/>
        </w:rPr>
        <w:t xml:space="preserve">exercice biennal </w:t>
      </w:r>
      <w:r w:rsidR="002630C2" w:rsidRPr="00FC0A44">
        <w:rPr>
          <w:lang w:val="fr-FR"/>
        </w:rPr>
        <w:t>37C/5</w:t>
      </w:r>
      <w:r w:rsidR="00015C5C" w:rsidRPr="00FC0A44">
        <w:rPr>
          <w:lang w:val="fr-FR"/>
        </w:rPr>
        <w:t xml:space="preserve"> </w:t>
      </w:r>
      <w:r w:rsidR="0073598E" w:rsidRPr="00FC0A44">
        <w:rPr>
          <w:lang w:val="fr-FR"/>
        </w:rPr>
        <w:t xml:space="preserve">a vu un nouvel afflux de fonds, ces fonds </w:t>
      </w:r>
      <w:r w:rsidR="00FA417C" w:rsidRPr="00FC0A44">
        <w:rPr>
          <w:lang w:val="fr-FR"/>
        </w:rPr>
        <w:t>s</w:t>
      </w:r>
      <w:r w:rsidR="0073598E" w:rsidRPr="00FC0A44">
        <w:rPr>
          <w:lang w:val="fr-FR"/>
        </w:rPr>
        <w:t>ont loin d</w:t>
      </w:r>
      <w:r w:rsidR="00260217">
        <w:rPr>
          <w:lang w:val="fr-FR"/>
        </w:rPr>
        <w:t>’</w:t>
      </w:r>
      <w:r w:rsidR="00FA417C" w:rsidRPr="00FC0A44">
        <w:rPr>
          <w:lang w:val="fr-FR"/>
        </w:rPr>
        <w:t xml:space="preserve">avoir </w:t>
      </w:r>
      <w:r w:rsidR="0073598E" w:rsidRPr="00FC0A44">
        <w:rPr>
          <w:lang w:val="fr-FR"/>
        </w:rPr>
        <w:t>attein</w:t>
      </w:r>
      <w:r w:rsidR="00FA417C" w:rsidRPr="00FC0A44">
        <w:rPr>
          <w:lang w:val="fr-FR"/>
        </w:rPr>
        <w:t xml:space="preserve">t </w:t>
      </w:r>
      <w:r w:rsidR="0073598E" w:rsidRPr="00FC0A44">
        <w:rPr>
          <w:lang w:val="fr-FR"/>
        </w:rPr>
        <w:t>le niveau de l</w:t>
      </w:r>
      <w:r w:rsidR="00260217">
        <w:rPr>
          <w:lang w:val="fr-FR"/>
        </w:rPr>
        <w:t>’</w:t>
      </w:r>
      <w:r w:rsidR="0073598E" w:rsidRPr="00FC0A44">
        <w:rPr>
          <w:lang w:val="fr-FR"/>
        </w:rPr>
        <w:t>exercice 35C/5</w:t>
      </w:r>
      <w:r w:rsidR="002630C2" w:rsidRPr="00FC0A44">
        <w:rPr>
          <w:lang w:val="fr-FR"/>
        </w:rPr>
        <w:t xml:space="preserve">. </w:t>
      </w:r>
      <w:r w:rsidR="0073598E" w:rsidRPr="00FC0A44">
        <w:rPr>
          <w:lang w:val="fr-FR"/>
        </w:rPr>
        <w:t>De plus, à l</w:t>
      </w:r>
      <w:r w:rsidR="00260217">
        <w:rPr>
          <w:lang w:val="fr-FR"/>
        </w:rPr>
        <w:t>’</w:t>
      </w:r>
      <w:r w:rsidR="0073598E" w:rsidRPr="00FC0A44">
        <w:rPr>
          <w:lang w:val="fr-FR"/>
        </w:rPr>
        <w:t xml:space="preserve">exception de quelques projets qui seront </w:t>
      </w:r>
      <w:r w:rsidR="00015C5C" w:rsidRPr="00FC0A44">
        <w:rPr>
          <w:lang w:val="fr-FR"/>
        </w:rPr>
        <w:t xml:space="preserve">soumis </w:t>
      </w:r>
      <w:r w:rsidR="0073598E" w:rsidRPr="00FC0A44">
        <w:rPr>
          <w:lang w:val="fr-FR"/>
        </w:rPr>
        <w:t>pour financement l</w:t>
      </w:r>
      <w:r w:rsidR="00260217">
        <w:rPr>
          <w:lang w:val="fr-FR"/>
        </w:rPr>
        <w:t>’</w:t>
      </w:r>
      <w:r w:rsidR="0073598E" w:rsidRPr="00FC0A44">
        <w:rPr>
          <w:lang w:val="fr-FR"/>
        </w:rPr>
        <w:t xml:space="preserve">année prochaine </w:t>
      </w:r>
      <w:r w:rsidR="000203BF" w:rsidRPr="00FC0A44">
        <w:rPr>
          <w:lang w:val="fr-FR"/>
        </w:rPr>
        <w:t>dans le cadre</w:t>
      </w:r>
      <w:r w:rsidR="005D6506" w:rsidRPr="00FC0A44">
        <w:rPr>
          <w:lang w:val="fr-FR"/>
        </w:rPr>
        <w:t xml:space="preserve"> de fonds </w:t>
      </w:r>
      <w:r w:rsidR="000203BF" w:rsidRPr="00FC0A44">
        <w:rPr>
          <w:lang w:val="fr-FR"/>
        </w:rPr>
        <w:t xml:space="preserve">généraux déjà </w:t>
      </w:r>
      <w:r w:rsidR="005D6506" w:rsidRPr="00FC0A44">
        <w:rPr>
          <w:lang w:val="fr-FR"/>
        </w:rPr>
        <w:t>existants, les perspectives de financement pour le prochain exercice biennal sont pratiquement nulles</w:t>
      </w:r>
      <w:r w:rsidR="002630C2" w:rsidRPr="00FC0A44">
        <w:rPr>
          <w:lang w:val="fr-FR"/>
        </w:rPr>
        <w:t xml:space="preserve">. </w:t>
      </w:r>
      <w:r w:rsidR="005D6506" w:rsidRPr="00FC0A44">
        <w:rPr>
          <w:lang w:val="fr-FR"/>
        </w:rPr>
        <w:t>C</w:t>
      </w:r>
      <w:r w:rsidR="00260217">
        <w:rPr>
          <w:lang w:val="fr-FR"/>
        </w:rPr>
        <w:t>’</w:t>
      </w:r>
      <w:r w:rsidR="005D6506" w:rsidRPr="00FC0A44">
        <w:rPr>
          <w:lang w:val="fr-FR"/>
        </w:rPr>
        <w:t>est pourquoi, bien que l</w:t>
      </w:r>
      <w:r w:rsidR="00260217">
        <w:rPr>
          <w:lang w:val="fr-FR"/>
        </w:rPr>
        <w:t>’</w:t>
      </w:r>
      <w:r w:rsidR="005D6506" w:rsidRPr="00FC0A44">
        <w:rPr>
          <w:lang w:val="fr-FR"/>
        </w:rPr>
        <w:t>objectif à m</w:t>
      </w:r>
      <w:r w:rsidR="00C467A6" w:rsidRPr="00FC0A44">
        <w:rPr>
          <w:lang w:val="fr-FR"/>
        </w:rPr>
        <w:t xml:space="preserve">i-parcours </w:t>
      </w:r>
      <w:r w:rsidR="000203BF" w:rsidRPr="00FC0A44">
        <w:rPr>
          <w:lang w:val="fr-FR"/>
        </w:rPr>
        <w:t xml:space="preserve">de la note conceptuelle pour le </w:t>
      </w:r>
      <w:r w:rsidR="00C467A6" w:rsidRPr="00FC0A44">
        <w:rPr>
          <w:lang w:val="fr-FR"/>
        </w:rPr>
        <w:t>Programme additionnel complémentaire ait été atteint</w:t>
      </w:r>
      <w:r w:rsidR="000203BF" w:rsidRPr="00FC0A44">
        <w:rPr>
          <w:lang w:val="fr-FR"/>
        </w:rPr>
        <w:t xml:space="preserve"> de 2014-2017</w:t>
      </w:r>
      <w:r w:rsidR="00C467A6" w:rsidRPr="00FC0A44">
        <w:rPr>
          <w:lang w:val="fr-FR"/>
        </w:rPr>
        <w:t xml:space="preserve">, il sera </w:t>
      </w:r>
      <w:r w:rsidR="00FA417C" w:rsidRPr="00FC0A44">
        <w:rPr>
          <w:lang w:val="fr-FR"/>
        </w:rPr>
        <w:t>pratiquement</w:t>
      </w:r>
      <w:r w:rsidR="00C467A6" w:rsidRPr="00FC0A44">
        <w:rPr>
          <w:lang w:val="fr-FR"/>
        </w:rPr>
        <w:t xml:space="preserve"> impossible d</w:t>
      </w:r>
      <w:r w:rsidR="00260217">
        <w:rPr>
          <w:lang w:val="fr-FR"/>
        </w:rPr>
        <w:t>’</w:t>
      </w:r>
      <w:r w:rsidR="00C467A6" w:rsidRPr="00FC0A44">
        <w:rPr>
          <w:lang w:val="fr-FR"/>
        </w:rPr>
        <w:t xml:space="preserve">atteindre celui fixé pour la période quadriennale </w:t>
      </w:r>
      <w:r w:rsidR="002630C2" w:rsidRPr="00FC0A44">
        <w:rPr>
          <w:lang w:val="fr-FR"/>
        </w:rPr>
        <w:t>2014-2017</w:t>
      </w:r>
      <w:r w:rsidR="002630C2" w:rsidRPr="00FC0A44">
        <w:rPr>
          <w:rStyle w:val="FootnoteReference"/>
          <w:lang w:val="fr-FR"/>
        </w:rPr>
        <w:footnoteReference w:id="2"/>
      </w:r>
      <w:r w:rsidR="002630C2" w:rsidRPr="00FC0A44">
        <w:rPr>
          <w:lang w:val="fr-FR"/>
        </w:rPr>
        <w:t>.</w:t>
      </w:r>
    </w:p>
    <w:p w14:paraId="6EDA23D2" w14:textId="54B45E2D" w:rsidR="002256FD" w:rsidRPr="00FC0A44" w:rsidRDefault="00C33C02" w:rsidP="00FC0A44">
      <w:pPr>
        <w:pStyle w:val="COMParabodytext"/>
        <w:ind w:left="567" w:hanging="567"/>
        <w:rPr>
          <w:lang w:val="fr-FR"/>
        </w:rPr>
      </w:pPr>
      <w:r w:rsidRPr="00FC0A44">
        <w:rPr>
          <w:lang w:val="fr-FR"/>
        </w:rPr>
        <w:t xml:space="preserve">Conscients que la capacité du </w:t>
      </w:r>
      <w:r w:rsidR="002256FD" w:rsidRPr="00FC0A44">
        <w:rPr>
          <w:lang w:val="fr-FR"/>
        </w:rPr>
        <w:t>Secr</w:t>
      </w:r>
      <w:r w:rsidRPr="00FC0A44">
        <w:rPr>
          <w:lang w:val="fr-FR"/>
        </w:rPr>
        <w:t>é</w:t>
      </w:r>
      <w:r w:rsidR="002256FD" w:rsidRPr="00FC0A44">
        <w:rPr>
          <w:lang w:val="fr-FR"/>
        </w:rPr>
        <w:t>tariat</w:t>
      </w:r>
      <w:r w:rsidRPr="00FC0A44">
        <w:rPr>
          <w:lang w:val="fr-FR"/>
        </w:rPr>
        <w:t xml:space="preserve"> de fournir des services de qualité aux </w:t>
      </w:r>
      <w:r w:rsidR="000F0156" w:rsidRPr="00FC0A44">
        <w:rPr>
          <w:lang w:val="fr-FR"/>
        </w:rPr>
        <w:t>États</w:t>
      </w:r>
      <w:r w:rsidRPr="00FC0A44">
        <w:rPr>
          <w:lang w:val="fr-FR"/>
        </w:rPr>
        <w:t xml:space="preserve"> membres dépend en grande partie des ressources humaines dont il dispose</w:t>
      </w:r>
      <w:r w:rsidR="002256FD" w:rsidRPr="00FC0A44">
        <w:rPr>
          <w:lang w:val="fr-FR"/>
        </w:rPr>
        <w:t xml:space="preserve">, </w:t>
      </w:r>
      <w:r w:rsidRPr="00FC0A44">
        <w:rPr>
          <w:lang w:val="fr-FR"/>
        </w:rPr>
        <w:t xml:space="preserve">de nombreux donateurs ont apporté un soutien dans ce sens </w:t>
      </w:r>
      <w:r w:rsidR="00B1183D" w:rsidRPr="00FC0A44">
        <w:rPr>
          <w:lang w:val="fr-FR"/>
        </w:rPr>
        <w:t>selon</w:t>
      </w:r>
      <w:r w:rsidRPr="00FC0A44">
        <w:rPr>
          <w:lang w:val="fr-FR"/>
        </w:rPr>
        <w:t xml:space="preserve"> diverses modalités</w:t>
      </w:r>
      <w:r w:rsidR="002256FD" w:rsidRPr="00FC0A44">
        <w:rPr>
          <w:lang w:val="fr-FR"/>
        </w:rPr>
        <w:t xml:space="preserve">. </w:t>
      </w:r>
      <w:r w:rsidR="00C36E8E" w:rsidRPr="00FC0A44">
        <w:rPr>
          <w:lang w:val="fr-FR"/>
        </w:rPr>
        <w:t xml:space="preserve">Néanmoins, le graphique ci-dessous fait apparaître une diminution de ce soutien, </w:t>
      </w:r>
      <w:r w:rsidR="000203BF" w:rsidRPr="00FC0A44">
        <w:rPr>
          <w:lang w:val="fr-FR"/>
        </w:rPr>
        <w:t>bien que</w:t>
      </w:r>
      <w:r w:rsidR="00C36E8E" w:rsidRPr="00FC0A44">
        <w:rPr>
          <w:lang w:val="fr-FR"/>
        </w:rPr>
        <w:t xml:space="preserve"> le niveau </w:t>
      </w:r>
      <w:r w:rsidR="000203BF" w:rsidRPr="00FC0A44">
        <w:rPr>
          <w:lang w:val="fr-FR"/>
        </w:rPr>
        <w:t xml:space="preserve">se soit </w:t>
      </w:r>
      <w:r w:rsidR="00C36E8E" w:rsidRPr="00FC0A44">
        <w:rPr>
          <w:lang w:val="fr-FR"/>
        </w:rPr>
        <w:t xml:space="preserve">maintenu entre les exercices biennaux </w:t>
      </w:r>
      <w:r w:rsidR="002256FD" w:rsidRPr="00FC0A44">
        <w:rPr>
          <w:lang w:val="fr-FR"/>
        </w:rPr>
        <w:t xml:space="preserve">36C/5 </w:t>
      </w:r>
      <w:r w:rsidR="00C36E8E" w:rsidRPr="00FC0A44">
        <w:rPr>
          <w:lang w:val="fr-FR"/>
        </w:rPr>
        <w:t>et</w:t>
      </w:r>
      <w:r w:rsidR="002256FD" w:rsidRPr="00FC0A44">
        <w:rPr>
          <w:lang w:val="fr-FR"/>
        </w:rPr>
        <w:t xml:space="preserve"> 37C/5. </w:t>
      </w:r>
      <w:r w:rsidR="00C36E8E" w:rsidRPr="00FC0A44">
        <w:rPr>
          <w:lang w:val="fr-FR"/>
        </w:rPr>
        <w:t>En tout cas, ce soutien est loin d</w:t>
      </w:r>
      <w:r w:rsidR="00260217">
        <w:rPr>
          <w:lang w:val="fr-FR"/>
        </w:rPr>
        <w:t>’</w:t>
      </w:r>
      <w:r w:rsidR="00C36E8E" w:rsidRPr="00FC0A44">
        <w:rPr>
          <w:lang w:val="fr-FR"/>
        </w:rPr>
        <w:t>atteindre l</w:t>
      </w:r>
      <w:r w:rsidR="00260217">
        <w:rPr>
          <w:lang w:val="fr-FR"/>
        </w:rPr>
        <w:t>’</w:t>
      </w:r>
      <w:r w:rsidR="00C36E8E" w:rsidRPr="00FC0A44">
        <w:rPr>
          <w:lang w:val="fr-FR"/>
        </w:rPr>
        <w:t xml:space="preserve">objectif annuel de </w:t>
      </w:r>
      <w:r w:rsidR="002256FD" w:rsidRPr="00FC0A44">
        <w:rPr>
          <w:lang w:val="fr-FR"/>
        </w:rPr>
        <w:t>1</w:t>
      </w:r>
      <w:r w:rsidR="00C36E8E" w:rsidRPr="00FC0A44">
        <w:rPr>
          <w:lang w:val="fr-FR"/>
        </w:rPr>
        <w:t>,</w:t>
      </w:r>
      <w:r w:rsidR="002256FD" w:rsidRPr="00FC0A44">
        <w:rPr>
          <w:lang w:val="fr-FR"/>
        </w:rPr>
        <w:t>1 million</w:t>
      </w:r>
      <w:r w:rsidR="00C36E8E" w:rsidRPr="00FC0A44">
        <w:rPr>
          <w:lang w:val="fr-FR"/>
        </w:rPr>
        <w:t xml:space="preserve"> de dollars des </w:t>
      </w:r>
      <w:r w:rsidR="000F0156" w:rsidRPr="00FC0A44">
        <w:rPr>
          <w:lang w:val="fr-FR"/>
        </w:rPr>
        <w:t>États-Unis</w:t>
      </w:r>
      <w:r w:rsidR="00C36E8E" w:rsidRPr="00FC0A44">
        <w:rPr>
          <w:lang w:val="fr-FR"/>
        </w:rPr>
        <w:t xml:space="preserve"> fixé par l</w:t>
      </w:r>
      <w:r w:rsidR="00260217">
        <w:rPr>
          <w:lang w:val="fr-FR"/>
        </w:rPr>
        <w:t>’</w:t>
      </w:r>
      <w:r w:rsidR="00C36E8E" w:rsidRPr="00FC0A44">
        <w:rPr>
          <w:lang w:val="fr-FR"/>
        </w:rPr>
        <w:t>Assemblée générale</w:t>
      </w:r>
      <w:r w:rsidR="002256FD" w:rsidRPr="00FC0A44">
        <w:rPr>
          <w:lang w:val="fr-FR"/>
        </w:rPr>
        <w:t xml:space="preserve"> (</w:t>
      </w:r>
      <w:hyperlink r:id="rId12" w:history="1">
        <w:r w:rsidR="00C36E8E" w:rsidRPr="00FC0A44">
          <w:rPr>
            <w:rStyle w:val="Hyperlink"/>
            <w:lang w:val="fr-FR"/>
          </w:rPr>
          <w:t>ré</w:t>
        </w:r>
        <w:r w:rsidR="002256FD" w:rsidRPr="00FC0A44">
          <w:rPr>
            <w:rStyle w:val="Hyperlink"/>
            <w:lang w:val="fr-FR"/>
          </w:rPr>
          <w:t>solution 3.GA 9</w:t>
        </w:r>
      </w:hyperlink>
      <w:r w:rsidR="002256FD" w:rsidRPr="00FC0A44">
        <w:rPr>
          <w:lang w:val="fr-FR"/>
        </w:rPr>
        <w:t xml:space="preserve">). </w:t>
      </w:r>
      <w:r w:rsidR="00C36E8E" w:rsidRPr="00FC0A44">
        <w:rPr>
          <w:lang w:val="fr-FR"/>
        </w:rPr>
        <w:t>Plus précisément</w:t>
      </w:r>
      <w:r w:rsidR="002256FD" w:rsidRPr="00FC0A44">
        <w:rPr>
          <w:lang w:val="fr-FR"/>
        </w:rPr>
        <w:t>, i</w:t>
      </w:r>
      <w:r w:rsidR="00C36E8E" w:rsidRPr="00FC0A44">
        <w:rPr>
          <w:lang w:val="fr-FR"/>
        </w:rPr>
        <w:t>l convient de noter que</w:t>
      </w:r>
      <w:r w:rsidR="00B1183D" w:rsidRPr="00FC0A44">
        <w:rPr>
          <w:lang w:val="fr-FR"/>
        </w:rPr>
        <w:t>,</w:t>
      </w:r>
      <w:r w:rsidR="00C36E8E" w:rsidRPr="00FC0A44">
        <w:rPr>
          <w:lang w:val="fr-FR"/>
        </w:rPr>
        <w:t xml:space="preserve"> depuis la neuvième session du </w:t>
      </w:r>
      <w:r w:rsidR="00AE7B62" w:rsidRPr="00FC0A44">
        <w:rPr>
          <w:lang w:val="fr-FR"/>
        </w:rPr>
        <w:t>Comité</w:t>
      </w:r>
      <w:r w:rsidR="00B1183D" w:rsidRPr="00FC0A44">
        <w:rPr>
          <w:lang w:val="fr-FR"/>
        </w:rPr>
        <w:t>,</w:t>
      </w:r>
      <w:r w:rsidR="002256FD" w:rsidRPr="00FC0A44">
        <w:rPr>
          <w:lang w:val="fr-FR"/>
        </w:rPr>
        <w:t xml:space="preserve"> </w:t>
      </w:r>
      <w:r w:rsidR="00C36E8E" w:rsidRPr="00FC0A44">
        <w:rPr>
          <w:lang w:val="fr-FR"/>
        </w:rPr>
        <w:t xml:space="preserve">le sous-fonds du Fonds du patrimoine culturel immatériel destiné à renforcer les ressources humaines du </w:t>
      </w:r>
      <w:r w:rsidR="002256FD" w:rsidRPr="00FC0A44">
        <w:rPr>
          <w:lang w:val="fr-FR"/>
        </w:rPr>
        <w:t>Secr</w:t>
      </w:r>
      <w:r w:rsidR="00C36E8E" w:rsidRPr="00FC0A44">
        <w:rPr>
          <w:lang w:val="fr-FR"/>
        </w:rPr>
        <w:t>é</w:t>
      </w:r>
      <w:r w:rsidR="002256FD" w:rsidRPr="00FC0A44">
        <w:rPr>
          <w:lang w:val="fr-FR"/>
        </w:rPr>
        <w:t xml:space="preserve">tariat </w:t>
      </w:r>
      <w:r w:rsidR="00C36E8E" w:rsidRPr="00FC0A44">
        <w:rPr>
          <w:lang w:val="fr-FR"/>
        </w:rPr>
        <w:t>a reçu des contribution</w:t>
      </w:r>
      <w:r w:rsidR="00524D88" w:rsidRPr="00FC0A44">
        <w:rPr>
          <w:lang w:val="fr-FR"/>
        </w:rPr>
        <w:t>s</w:t>
      </w:r>
      <w:r w:rsidR="00C36E8E" w:rsidRPr="00FC0A44">
        <w:rPr>
          <w:lang w:val="fr-FR"/>
        </w:rPr>
        <w:t xml:space="preserve"> volontaires pour un total de </w:t>
      </w:r>
      <w:r w:rsidR="000203BF" w:rsidRPr="00FC0A44">
        <w:rPr>
          <w:lang w:val="fr-FR"/>
        </w:rPr>
        <w:t>213 763</w:t>
      </w:r>
      <w:r w:rsidR="00C36E8E" w:rsidRPr="00FC0A44">
        <w:rPr>
          <w:lang w:val="fr-FR"/>
        </w:rPr>
        <w:t xml:space="preserve"> dollars des </w:t>
      </w:r>
      <w:r w:rsidR="000F0156" w:rsidRPr="00FC0A44">
        <w:rPr>
          <w:lang w:val="fr-FR"/>
        </w:rPr>
        <w:t>États-Unis</w:t>
      </w:r>
      <w:r w:rsidR="00C36E8E" w:rsidRPr="00FC0A44">
        <w:rPr>
          <w:lang w:val="fr-FR"/>
        </w:rPr>
        <w:t xml:space="preserve"> entre octobre</w:t>
      </w:r>
      <w:r w:rsidR="002256FD" w:rsidRPr="00FC0A44">
        <w:rPr>
          <w:lang w:val="fr-FR"/>
        </w:rPr>
        <w:t xml:space="preserve"> 2014 </w:t>
      </w:r>
      <w:r w:rsidR="00C36E8E" w:rsidRPr="00FC0A44">
        <w:rPr>
          <w:lang w:val="fr-FR"/>
        </w:rPr>
        <w:t>e</w:t>
      </w:r>
      <w:r w:rsidR="002256FD" w:rsidRPr="00FC0A44">
        <w:rPr>
          <w:lang w:val="fr-FR"/>
        </w:rPr>
        <w:t xml:space="preserve">t </w:t>
      </w:r>
      <w:r w:rsidR="00C36E8E" w:rsidRPr="00FC0A44">
        <w:rPr>
          <w:lang w:val="fr-FR"/>
        </w:rPr>
        <w:t>o</w:t>
      </w:r>
      <w:r w:rsidR="002256FD" w:rsidRPr="00FC0A44">
        <w:rPr>
          <w:lang w:val="fr-FR"/>
        </w:rPr>
        <w:t>ctob</w:t>
      </w:r>
      <w:r w:rsidR="00C36E8E" w:rsidRPr="00FC0A44">
        <w:rPr>
          <w:lang w:val="fr-FR"/>
        </w:rPr>
        <w:t>r</w:t>
      </w:r>
      <w:r w:rsidR="002256FD" w:rsidRPr="00FC0A44">
        <w:rPr>
          <w:lang w:val="fr-FR"/>
        </w:rPr>
        <w:t xml:space="preserve">e 2015, </w:t>
      </w:r>
      <w:r w:rsidR="00C36E8E" w:rsidRPr="00FC0A44">
        <w:rPr>
          <w:lang w:val="fr-FR"/>
        </w:rPr>
        <w:t>soit la moitié du montant crédité au sous-fonds entre la huitième et la neuvième session</w:t>
      </w:r>
      <w:r w:rsidR="002256FD" w:rsidRPr="00FC0A44">
        <w:rPr>
          <w:lang w:val="fr-FR"/>
        </w:rPr>
        <w:t>.</w:t>
      </w:r>
    </w:p>
    <w:p w14:paraId="67FA6627" w14:textId="77777777" w:rsidR="001A6734" w:rsidRPr="00FC0A44" w:rsidRDefault="007B2B79" w:rsidP="001A6734">
      <w:pPr>
        <w:pStyle w:val="COMParabodytext"/>
        <w:keepNext/>
        <w:numPr>
          <w:ilvl w:val="0"/>
          <w:numId w:val="0"/>
        </w:numPr>
        <w:ind w:left="567"/>
        <w:rPr>
          <w:lang w:val="fr-FR"/>
        </w:rPr>
      </w:pPr>
      <w:r w:rsidRPr="00FC0A44">
        <w:rPr>
          <w:noProof/>
          <w:lang w:val="fr-FR" w:eastAsia="fr-FR"/>
        </w:rPr>
        <w:drawing>
          <wp:inline distT="0" distB="0" distL="0" distR="0" wp14:anchorId="2CD940FE" wp14:editId="33DF42B4">
            <wp:extent cx="6120130" cy="447929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33F21B" w14:textId="08A77637" w:rsidR="002256FD" w:rsidRPr="00FC0A44" w:rsidRDefault="001A6734" w:rsidP="001A6734">
      <w:pPr>
        <w:pStyle w:val="Caption"/>
        <w:ind w:left="567"/>
        <w:rPr>
          <w:rFonts w:ascii="Arial" w:hAnsi="Arial" w:cs="Arial"/>
          <w:i w:val="0"/>
          <w:color w:val="auto"/>
        </w:rPr>
      </w:pPr>
      <w:r w:rsidRPr="00FC0A44">
        <w:rPr>
          <w:rFonts w:ascii="Arial" w:hAnsi="Arial" w:cs="Arial"/>
          <w:b/>
          <w:i w:val="0"/>
          <w:color w:val="auto"/>
        </w:rPr>
        <w:t>Figure </w:t>
      </w:r>
      <w:r w:rsidRPr="00FC0A44">
        <w:rPr>
          <w:rFonts w:ascii="Arial" w:hAnsi="Arial" w:cs="Arial"/>
          <w:b/>
          <w:i w:val="0"/>
          <w:color w:val="auto"/>
        </w:rPr>
        <w:fldChar w:fldCharType="begin"/>
      </w:r>
      <w:r w:rsidRPr="00FC0A44">
        <w:rPr>
          <w:rFonts w:ascii="Arial" w:hAnsi="Arial" w:cs="Arial"/>
          <w:b/>
          <w:i w:val="0"/>
          <w:color w:val="auto"/>
        </w:rPr>
        <w:instrText xml:space="preserve"> SEQ Figure \* ARABIC </w:instrText>
      </w:r>
      <w:r w:rsidRPr="00FC0A44">
        <w:rPr>
          <w:rFonts w:ascii="Arial" w:hAnsi="Arial" w:cs="Arial"/>
          <w:b/>
          <w:i w:val="0"/>
          <w:color w:val="auto"/>
        </w:rPr>
        <w:fldChar w:fldCharType="separate"/>
      </w:r>
      <w:r w:rsidR="005769D5" w:rsidRPr="00FC0A44">
        <w:rPr>
          <w:rFonts w:ascii="Arial" w:hAnsi="Arial" w:cs="Arial"/>
          <w:b/>
          <w:i w:val="0"/>
          <w:color w:val="auto"/>
        </w:rPr>
        <w:t>2</w:t>
      </w:r>
      <w:r w:rsidRPr="00FC0A44">
        <w:rPr>
          <w:rFonts w:ascii="Arial" w:hAnsi="Arial" w:cs="Arial"/>
          <w:b/>
          <w:i w:val="0"/>
          <w:color w:val="auto"/>
        </w:rPr>
        <w:fldChar w:fldCharType="end"/>
      </w:r>
      <w:r w:rsidRPr="00FC0A44">
        <w:rPr>
          <w:rFonts w:ascii="Arial" w:hAnsi="Arial" w:cs="Arial"/>
          <w:i w:val="0"/>
          <w:color w:val="auto"/>
        </w:rPr>
        <w:t> : Évolution du soutien volontaire aux ressources humaines</w:t>
      </w:r>
    </w:p>
    <w:p w14:paraId="2F388ACC" w14:textId="2E285ECC" w:rsidR="002256FD" w:rsidRPr="00FC0A44" w:rsidRDefault="00E94D7C" w:rsidP="00FC0A44">
      <w:pPr>
        <w:pStyle w:val="COMParabodytext"/>
        <w:ind w:left="567" w:hanging="567"/>
        <w:rPr>
          <w:lang w:val="fr-FR"/>
        </w:rPr>
      </w:pPr>
      <w:r w:rsidRPr="00FC0A44">
        <w:rPr>
          <w:lang w:val="fr-FR"/>
        </w:rPr>
        <w:t xml:space="preserve">Outre les perspectives peu réjouissantes pour le prochain exercice biennal, les deux </w:t>
      </w:r>
      <w:r w:rsidR="00F77B0A" w:rsidRPr="00FC0A44">
        <w:rPr>
          <w:lang w:val="fr-FR"/>
        </w:rPr>
        <w:t xml:space="preserve">graphiques </w:t>
      </w:r>
      <w:r w:rsidRPr="00FC0A44">
        <w:rPr>
          <w:lang w:val="fr-FR"/>
        </w:rPr>
        <w:t xml:space="preserve">ci-dessus </w:t>
      </w:r>
      <w:r w:rsidR="00B1183D" w:rsidRPr="00FC0A44">
        <w:rPr>
          <w:lang w:val="fr-FR"/>
        </w:rPr>
        <w:t>témoignent d</w:t>
      </w:r>
      <w:r w:rsidR="00260217">
        <w:rPr>
          <w:lang w:val="fr-FR"/>
        </w:rPr>
        <w:t>’</w:t>
      </w:r>
      <w:r w:rsidRPr="00FC0A44">
        <w:rPr>
          <w:lang w:val="fr-FR"/>
        </w:rPr>
        <w:t xml:space="preserve">une nette diminution </w:t>
      </w:r>
      <w:r w:rsidR="00F77B0A" w:rsidRPr="00FC0A44">
        <w:rPr>
          <w:lang w:val="fr-FR"/>
        </w:rPr>
        <w:t>du soutien</w:t>
      </w:r>
      <w:r w:rsidRPr="00FC0A44">
        <w:rPr>
          <w:lang w:val="fr-FR"/>
        </w:rPr>
        <w:t xml:space="preserve"> à la Convention via le Fonds du patrimoine culturel immatériel</w:t>
      </w:r>
      <w:r w:rsidR="009F1042" w:rsidRPr="00FC0A44">
        <w:rPr>
          <w:lang w:val="fr-FR"/>
        </w:rPr>
        <w:t xml:space="preserve"> </w:t>
      </w:r>
      <w:r w:rsidR="008C57DF" w:rsidRPr="00FC0A44">
        <w:rPr>
          <w:lang w:val="fr-FR"/>
        </w:rPr>
        <w:t>en termes</w:t>
      </w:r>
      <w:r w:rsidR="00755A7F" w:rsidRPr="00FC0A44">
        <w:rPr>
          <w:lang w:val="fr-FR"/>
        </w:rPr>
        <w:t xml:space="preserve"> de contributions affectées à des fins spécifiques </w:t>
      </w:r>
      <w:r w:rsidR="00B1183D" w:rsidRPr="00FC0A44">
        <w:rPr>
          <w:lang w:val="fr-FR"/>
        </w:rPr>
        <w:t>se rapportant</w:t>
      </w:r>
      <w:r w:rsidR="00755A7F" w:rsidRPr="00FC0A44">
        <w:rPr>
          <w:lang w:val="fr-FR"/>
        </w:rPr>
        <w:t xml:space="preserve"> au programme de renforcement des capacités</w:t>
      </w:r>
      <w:r w:rsidR="008C57DF" w:rsidRPr="00FC0A44">
        <w:rPr>
          <w:lang w:val="fr-FR"/>
        </w:rPr>
        <w:t xml:space="preserve"> et de</w:t>
      </w:r>
      <w:r w:rsidR="00755A7F" w:rsidRPr="00FC0A44">
        <w:rPr>
          <w:lang w:val="fr-FR"/>
        </w:rPr>
        <w:t xml:space="preserve"> contributions au sous-fonds pour le renforcement des ressources humaines du </w:t>
      </w:r>
      <w:r w:rsidR="009F1042" w:rsidRPr="00FC0A44">
        <w:rPr>
          <w:color w:val="000000"/>
          <w:lang w:val="fr-FR"/>
        </w:rPr>
        <w:t>Secr</w:t>
      </w:r>
      <w:r w:rsidR="00755A7F" w:rsidRPr="00FC0A44">
        <w:rPr>
          <w:color w:val="000000"/>
          <w:lang w:val="fr-FR"/>
        </w:rPr>
        <w:t>é</w:t>
      </w:r>
      <w:r w:rsidR="009F1042" w:rsidRPr="00FC0A44">
        <w:rPr>
          <w:color w:val="000000"/>
          <w:lang w:val="fr-FR"/>
        </w:rPr>
        <w:t xml:space="preserve">tariat. </w:t>
      </w:r>
      <w:r w:rsidR="00755A7F" w:rsidRPr="00FC0A44">
        <w:rPr>
          <w:color w:val="000000"/>
          <w:lang w:val="fr-FR"/>
        </w:rPr>
        <w:t>Pour les premières, la sous-utilisation de cette modalité est</w:t>
      </w:r>
      <w:r w:rsidR="00C870CD" w:rsidRPr="00FC0A44">
        <w:rPr>
          <w:color w:val="000000"/>
          <w:lang w:val="fr-FR"/>
        </w:rPr>
        <w:t xml:space="preserve"> fort </w:t>
      </w:r>
      <w:r w:rsidR="00755A7F" w:rsidRPr="00FC0A44">
        <w:rPr>
          <w:color w:val="000000"/>
          <w:lang w:val="fr-FR"/>
        </w:rPr>
        <w:t>regrettable</w:t>
      </w:r>
      <w:r w:rsidR="00C870CD" w:rsidRPr="00FC0A44">
        <w:rPr>
          <w:color w:val="000000"/>
          <w:lang w:val="fr-FR"/>
        </w:rPr>
        <w:t>,</w:t>
      </w:r>
      <w:r w:rsidR="00755A7F" w:rsidRPr="00FC0A44">
        <w:rPr>
          <w:color w:val="000000"/>
          <w:lang w:val="fr-FR"/>
        </w:rPr>
        <w:t xml:space="preserve"> car elle s</w:t>
      </w:r>
      <w:r w:rsidR="00260217">
        <w:rPr>
          <w:color w:val="000000"/>
          <w:lang w:val="fr-FR"/>
        </w:rPr>
        <w:t>’</w:t>
      </w:r>
      <w:r w:rsidR="00755A7F" w:rsidRPr="00FC0A44">
        <w:rPr>
          <w:color w:val="000000"/>
          <w:lang w:val="fr-FR"/>
        </w:rPr>
        <w:t>est avérée particulièrement adaptée à l</w:t>
      </w:r>
      <w:r w:rsidR="00260217">
        <w:rPr>
          <w:color w:val="000000"/>
          <w:lang w:val="fr-FR"/>
        </w:rPr>
        <w:t>’</w:t>
      </w:r>
      <w:r w:rsidR="00755A7F" w:rsidRPr="00FC0A44">
        <w:rPr>
          <w:color w:val="000000"/>
          <w:lang w:val="fr-FR"/>
        </w:rPr>
        <w:t xml:space="preserve">esprit de la stratégie </w:t>
      </w:r>
      <w:r w:rsidR="001045C1" w:rsidRPr="00FC0A44">
        <w:rPr>
          <w:color w:val="000000"/>
          <w:lang w:val="fr-FR"/>
        </w:rPr>
        <w:t>de renforcement des capacités en permettant un usage efficace des ressources par l</w:t>
      </w:r>
      <w:r w:rsidR="00260217">
        <w:rPr>
          <w:color w:val="000000"/>
          <w:lang w:val="fr-FR"/>
        </w:rPr>
        <w:t>’</w:t>
      </w:r>
      <w:r w:rsidR="009F1042" w:rsidRPr="00FC0A44">
        <w:rPr>
          <w:lang w:val="fr-FR"/>
        </w:rPr>
        <w:t xml:space="preserve">UNESCO, </w:t>
      </w:r>
      <w:r w:rsidR="001045C1" w:rsidRPr="00FC0A44">
        <w:rPr>
          <w:lang w:val="fr-FR"/>
        </w:rPr>
        <w:t>depuis l</w:t>
      </w:r>
      <w:r w:rsidR="00260217">
        <w:rPr>
          <w:lang w:val="fr-FR"/>
        </w:rPr>
        <w:t>’</w:t>
      </w:r>
      <w:r w:rsidR="001045C1" w:rsidRPr="00FC0A44">
        <w:rPr>
          <w:lang w:val="fr-FR"/>
        </w:rPr>
        <w:t>évaluation approfondie des besoins et la consultation des homologues nationau</w:t>
      </w:r>
      <w:r w:rsidR="00AB303A" w:rsidRPr="00FC0A44">
        <w:rPr>
          <w:lang w:val="fr-FR"/>
        </w:rPr>
        <w:t>x,</w:t>
      </w:r>
      <w:r w:rsidR="001045C1" w:rsidRPr="00FC0A44">
        <w:rPr>
          <w:lang w:val="fr-FR"/>
        </w:rPr>
        <w:t xml:space="preserve"> jusqu</w:t>
      </w:r>
      <w:r w:rsidR="00260217">
        <w:rPr>
          <w:lang w:val="fr-FR"/>
        </w:rPr>
        <w:t>’</w:t>
      </w:r>
      <w:r w:rsidR="001045C1" w:rsidRPr="00FC0A44">
        <w:rPr>
          <w:lang w:val="fr-FR"/>
        </w:rPr>
        <w:t>à la mise en œuvre des projets</w:t>
      </w:r>
      <w:r w:rsidR="009F1042" w:rsidRPr="00FC0A44">
        <w:rPr>
          <w:lang w:val="fr-FR"/>
        </w:rPr>
        <w:t xml:space="preserve">. </w:t>
      </w:r>
      <w:r w:rsidR="001045C1" w:rsidRPr="00FC0A44">
        <w:rPr>
          <w:lang w:val="fr-FR"/>
        </w:rPr>
        <w:t>Pour les dernières, c</w:t>
      </w:r>
      <w:r w:rsidR="00260217">
        <w:rPr>
          <w:lang w:val="fr-FR"/>
        </w:rPr>
        <w:t>’</w:t>
      </w:r>
      <w:r w:rsidR="001045C1" w:rsidRPr="00FC0A44">
        <w:rPr>
          <w:lang w:val="fr-FR"/>
        </w:rPr>
        <w:t xml:space="preserve">est tout aussi </w:t>
      </w:r>
      <w:r w:rsidR="000E7DC5" w:rsidRPr="00FC0A44">
        <w:rPr>
          <w:lang w:val="fr-FR"/>
        </w:rPr>
        <w:t xml:space="preserve">fâcheux car, sans vouloir </w:t>
      </w:r>
      <w:r w:rsidR="003D28EE" w:rsidRPr="00FC0A44">
        <w:rPr>
          <w:lang w:val="fr-FR"/>
        </w:rPr>
        <w:t xml:space="preserve">mettre en </w:t>
      </w:r>
      <w:r w:rsidR="000E7DC5" w:rsidRPr="00FC0A44">
        <w:rPr>
          <w:lang w:val="fr-FR"/>
        </w:rPr>
        <w:t xml:space="preserve">doute les mérites des autres modalités, le sous-fonds est le seul mécanisme permettant de disposer </w:t>
      </w:r>
      <w:r w:rsidR="00223900" w:rsidRPr="00FC0A44">
        <w:rPr>
          <w:lang w:val="fr-FR"/>
        </w:rPr>
        <w:t xml:space="preserve">durablement </w:t>
      </w:r>
      <w:r w:rsidR="000E7DC5" w:rsidRPr="00FC0A44">
        <w:rPr>
          <w:lang w:val="fr-FR"/>
        </w:rPr>
        <w:t>d</w:t>
      </w:r>
      <w:r w:rsidR="00223900" w:rsidRPr="00FC0A44">
        <w:rPr>
          <w:lang w:val="fr-FR"/>
        </w:rPr>
        <w:t xml:space="preserve">e personnels adaptés aux fonctions statutaires que le </w:t>
      </w:r>
      <w:r w:rsidR="009F1042" w:rsidRPr="00FC0A44">
        <w:rPr>
          <w:lang w:val="fr-FR"/>
        </w:rPr>
        <w:t>Secr</w:t>
      </w:r>
      <w:r w:rsidR="00223900" w:rsidRPr="00FC0A44">
        <w:rPr>
          <w:lang w:val="fr-FR"/>
        </w:rPr>
        <w:t>é</w:t>
      </w:r>
      <w:r w:rsidR="009F1042" w:rsidRPr="00FC0A44">
        <w:rPr>
          <w:lang w:val="fr-FR"/>
        </w:rPr>
        <w:t xml:space="preserve">tariat </w:t>
      </w:r>
      <w:r w:rsidR="00223900" w:rsidRPr="00FC0A44">
        <w:rPr>
          <w:lang w:val="fr-FR"/>
        </w:rPr>
        <w:t>doit remplir</w:t>
      </w:r>
      <w:r w:rsidR="009F1042" w:rsidRPr="00FC0A44">
        <w:rPr>
          <w:lang w:val="fr-FR"/>
        </w:rPr>
        <w:t>.</w:t>
      </w:r>
    </w:p>
    <w:p w14:paraId="47AB0102" w14:textId="2AC7AA00" w:rsidR="00F412E7" w:rsidRPr="00FC0A44" w:rsidRDefault="00DD6B4E" w:rsidP="00FC0A44">
      <w:pPr>
        <w:pStyle w:val="COMParabodytext"/>
        <w:ind w:left="567" w:hanging="567"/>
        <w:rPr>
          <w:lang w:val="fr-FR"/>
        </w:rPr>
      </w:pPr>
      <w:r w:rsidRPr="00FC0A44">
        <w:rPr>
          <w:lang w:val="fr-FR"/>
        </w:rPr>
        <w:t>Un</w:t>
      </w:r>
      <w:r w:rsidR="00C80C7D" w:rsidRPr="00FC0A44">
        <w:rPr>
          <w:lang w:val="fr-FR"/>
        </w:rPr>
        <w:t>e</w:t>
      </w:r>
      <w:r w:rsidRPr="00FC0A44">
        <w:rPr>
          <w:lang w:val="fr-FR"/>
        </w:rPr>
        <w:t xml:space="preserve"> autre </w:t>
      </w:r>
      <w:r w:rsidR="00C80C7D" w:rsidRPr="00FC0A44">
        <w:rPr>
          <w:lang w:val="fr-FR"/>
        </w:rPr>
        <w:t>circonstance fâcheuse concern</w:t>
      </w:r>
      <w:r w:rsidR="003D28EE" w:rsidRPr="00FC0A44">
        <w:rPr>
          <w:lang w:val="fr-FR"/>
        </w:rPr>
        <w:t>ant</w:t>
      </w:r>
      <w:r w:rsidR="00C80C7D" w:rsidRPr="00FC0A44">
        <w:rPr>
          <w:lang w:val="fr-FR"/>
        </w:rPr>
        <w:t xml:space="preserve"> l</w:t>
      </w:r>
      <w:r w:rsidR="00260217">
        <w:rPr>
          <w:lang w:val="fr-FR"/>
        </w:rPr>
        <w:t>’</w:t>
      </w:r>
      <w:r w:rsidR="00C80C7D" w:rsidRPr="00FC0A44">
        <w:rPr>
          <w:lang w:val="fr-FR"/>
        </w:rPr>
        <w:t xml:space="preserve">aide volontaire à la </w:t>
      </w:r>
      <w:r w:rsidR="009F1042" w:rsidRPr="00FC0A44">
        <w:rPr>
          <w:lang w:val="fr-FR"/>
        </w:rPr>
        <w:t>Convention</w:t>
      </w:r>
      <w:r w:rsidR="003D28EE" w:rsidRPr="00FC0A44">
        <w:rPr>
          <w:lang w:val="fr-FR"/>
        </w:rPr>
        <w:t xml:space="preserve"> est portée à l</w:t>
      </w:r>
      <w:r w:rsidR="00260217">
        <w:rPr>
          <w:lang w:val="fr-FR"/>
        </w:rPr>
        <w:t>’</w:t>
      </w:r>
      <w:r w:rsidR="003D28EE" w:rsidRPr="00FC0A44">
        <w:rPr>
          <w:lang w:val="fr-FR"/>
        </w:rPr>
        <w:t>attention du Comité</w:t>
      </w:r>
      <w:r w:rsidR="009F1042" w:rsidRPr="00FC0A44">
        <w:rPr>
          <w:lang w:val="fr-FR"/>
        </w:rPr>
        <w:t xml:space="preserve">. </w:t>
      </w:r>
      <w:r w:rsidR="00F412E7" w:rsidRPr="00FC0A44">
        <w:rPr>
          <w:lang w:val="fr-FR"/>
        </w:rPr>
        <w:t>P</w:t>
      </w:r>
      <w:r w:rsidR="00C80C7D" w:rsidRPr="00FC0A44">
        <w:rPr>
          <w:lang w:val="fr-FR"/>
        </w:rPr>
        <w:t>armi les contributions volontaires déjà acceptées par le</w:t>
      </w:r>
      <w:r w:rsidR="009F1042" w:rsidRPr="00FC0A44">
        <w:rPr>
          <w:lang w:val="fr-FR"/>
        </w:rPr>
        <w:t xml:space="preserve"> </w:t>
      </w:r>
      <w:r w:rsidR="00AE7B62" w:rsidRPr="00FC0A44">
        <w:rPr>
          <w:lang w:val="fr-FR"/>
        </w:rPr>
        <w:t>Comité</w:t>
      </w:r>
      <w:r w:rsidR="009F1042" w:rsidRPr="00FC0A44">
        <w:rPr>
          <w:lang w:val="fr-FR"/>
        </w:rPr>
        <w:t xml:space="preserve"> </w:t>
      </w:r>
      <w:r w:rsidR="00C80C7D" w:rsidRPr="00FC0A44">
        <w:rPr>
          <w:lang w:val="fr-FR"/>
        </w:rPr>
        <w:t>lors de sessions précédentes</w:t>
      </w:r>
      <w:r w:rsidR="009F1042" w:rsidRPr="00FC0A44">
        <w:rPr>
          <w:lang w:val="fr-FR"/>
        </w:rPr>
        <w:t>, tr</w:t>
      </w:r>
      <w:r w:rsidR="00C80C7D" w:rsidRPr="00FC0A44">
        <w:rPr>
          <w:lang w:val="fr-FR"/>
        </w:rPr>
        <w:t>ois n</w:t>
      </w:r>
      <w:r w:rsidR="00260217">
        <w:rPr>
          <w:lang w:val="fr-FR"/>
        </w:rPr>
        <w:t>’</w:t>
      </w:r>
      <w:r w:rsidR="00C80C7D" w:rsidRPr="00FC0A44">
        <w:rPr>
          <w:lang w:val="fr-FR"/>
        </w:rPr>
        <w:t>étaient toujours pas payées au moment de la rédaction des présentes</w:t>
      </w:r>
      <w:r w:rsidR="009F1042" w:rsidRPr="00FC0A44">
        <w:rPr>
          <w:lang w:val="fr-FR"/>
        </w:rPr>
        <w:t xml:space="preserve">, </w:t>
      </w:r>
      <w:r w:rsidR="00F347B2" w:rsidRPr="00FC0A44">
        <w:rPr>
          <w:lang w:val="fr-FR"/>
        </w:rPr>
        <w:t>ce qui diffère la mise en œuvre de projets spécifiques approuvés par le</w:t>
      </w:r>
      <w:r w:rsidR="009F1042" w:rsidRPr="00FC0A44">
        <w:rPr>
          <w:lang w:val="fr-FR"/>
        </w:rPr>
        <w:t xml:space="preserve"> </w:t>
      </w:r>
      <w:r w:rsidR="00AE7B62" w:rsidRPr="00FC0A44">
        <w:rPr>
          <w:lang w:val="fr-FR"/>
        </w:rPr>
        <w:t>Comité</w:t>
      </w:r>
      <w:r w:rsidR="009F1042" w:rsidRPr="00FC0A44">
        <w:rPr>
          <w:lang w:val="fr-FR"/>
        </w:rPr>
        <w:t xml:space="preserve">. </w:t>
      </w:r>
    </w:p>
    <w:p w14:paraId="27318735" w14:textId="12C9097D" w:rsidR="002256FD" w:rsidRPr="00FC0A44" w:rsidRDefault="00F412E7" w:rsidP="00FC0A44">
      <w:pPr>
        <w:pStyle w:val="COMParabodytext"/>
        <w:numPr>
          <w:ilvl w:val="1"/>
          <w:numId w:val="9"/>
        </w:numPr>
        <w:tabs>
          <w:tab w:val="clear" w:pos="567"/>
          <w:tab w:val="left" w:pos="1134"/>
        </w:tabs>
        <w:ind w:left="1134" w:hanging="567"/>
        <w:rPr>
          <w:lang w:val="fr-FR"/>
        </w:rPr>
      </w:pPr>
      <w:r w:rsidRPr="00FC0A44">
        <w:rPr>
          <w:lang w:val="fr-FR"/>
        </w:rPr>
        <w:t>Suite</w:t>
      </w:r>
      <w:r w:rsidR="000B126D" w:rsidRPr="00FC0A44">
        <w:rPr>
          <w:lang w:val="fr-FR"/>
        </w:rPr>
        <w:t xml:space="preserve"> à l</w:t>
      </w:r>
      <w:r w:rsidR="00260217">
        <w:rPr>
          <w:lang w:val="fr-FR"/>
        </w:rPr>
        <w:t>’</w:t>
      </w:r>
      <w:r w:rsidRPr="00FC0A44">
        <w:rPr>
          <w:lang w:val="fr-FR"/>
        </w:rPr>
        <w:t xml:space="preserve">engagement de </w:t>
      </w:r>
      <w:r w:rsidR="000B126D" w:rsidRPr="00FC0A44">
        <w:rPr>
          <w:lang w:val="fr-FR"/>
        </w:rPr>
        <w:t xml:space="preserve">la Norvège </w:t>
      </w:r>
      <w:r w:rsidRPr="00FC0A44">
        <w:rPr>
          <w:lang w:val="fr-FR"/>
        </w:rPr>
        <w:t xml:space="preserve">en 2012 </w:t>
      </w:r>
      <w:r w:rsidR="000B126D" w:rsidRPr="00FC0A44">
        <w:rPr>
          <w:lang w:val="fr-FR"/>
        </w:rPr>
        <w:t>d</w:t>
      </w:r>
      <w:r w:rsidR="0066636E" w:rsidRPr="00FC0A44">
        <w:rPr>
          <w:lang w:val="fr-FR"/>
        </w:rPr>
        <w:t xml:space="preserve">e verser </w:t>
      </w:r>
      <w:r w:rsidRPr="00FC0A44">
        <w:rPr>
          <w:lang w:val="fr-FR"/>
        </w:rPr>
        <w:t xml:space="preserve">en 2012 et 2013 </w:t>
      </w:r>
      <w:r w:rsidR="0066636E" w:rsidRPr="00FC0A44">
        <w:rPr>
          <w:lang w:val="fr-FR"/>
        </w:rPr>
        <w:t xml:space="preserve">une </w:t>
      </w:r>
      <w:r w:rsidRPr="00FC0A44">
        <w:rPr>
          <w:lang w:val="fr-FR"/>
        </w:rPr>
        <w:t xml:space="preserve">somme totale </w:t>
      </w:r>
      <w:r w:rsidR="0066636E" w:rsidRPr="00FC0A44">
        <w:rPr>
          <w:lang w:val="fr-FR"/>
        </w:rPr>
        <w:t xml:space="preserve">de </w:t>
      </w:r>
      <w:r w:rsidR="009F1042" w:rsidRPr="00FC0A44">
        <w:rPr>
          <w:lang w:val="fr-FR"/>
        </w:rPr>
        <w:t>10</w:t>
      </w:r>
      <w:r w:rsidR="000E2D6E" w:rsidRPr="00FC0A44">
        <w:rPr>
          <w:lang w:val="fr-FR"/>
        </w:rPr>
        <w:t> </w:t>
      </w:r>
      <w:r w:rsidR="009F1042" w:rsidRPr="00FC0A44">
        <w:rPr>
          <w:lang w:val="fr-FR"/>
        </w:rPr>
        <w:t>million</w:t>
      </w:r>
      <w:r w:rsidR="0066636E" w:rsidRPr="00FC0A44">
        <w:rPr>
          <w:lang w:val="fr-FR"/>
        </w:rPr>
        <w:t>s de couronnes norvégiennes</w:t>
      </w:r>
      <w:r w:rsidR="009F1042" w:rsidRPr="00FC0A44">
        <w:rPr>
          <w:rStyle w:val="hps"/>
          <w:lang w:val="fr-FR"/>
        </w:rPr>
        <w:t xml:space="preserve"> (</w:t>
      </w:r>
      <w:r w:rsidR="0066636E" w:rsidRPr="00FC0A44">
        <w:rPr>
          <w:rStyle w:val="hps"/>
          <w:lang w:val="fr-FR"/>
        </w:rPr>
        <w:t xml:space="preserve">environ </w:t>
      </w:r>
      <w:r w:rsidR="009F1042" w:rsidRPr="00FC0A44">
        <w:rPr>
          <w:lang w:val="fr-FR"/>
        </w:rPr>
        <w:t>1</w:t>
      </w:r>
      <w:r w:rsidR="0066636E" w:rsidRPr="00FC0A44">
        <w:rPr>
          <w:lang w:val="fr-FR"/>
        </w:rPr>
        <w:t>,</w:t>
      </w:r>
      <w:r w:rsidR="009F1042" w:rsidRPr="00FC0A44">
        <w:rPr>
          <w:lang w:val="fr-FR"/>
        </w:rPr>
        <w:t>76 million</w:t>
      </w:r>
      <w:r w:rsidR="0066636E" w:rsidRPr="00FC0A44">
        <w:rPr>
          <w:lang w:val="fr-FR"/>
        </w:rPr>
        <w:t xml:space="preserve"> de dollars des </w:t>
      </w:r>
      <w:r w:rsidR="000F0156" w:rsidRPr="00FC0A44">
        <w:rPr>
          <w:lang w:val="fr-FR"/>
        </w:rPr>
        <w:t>États-Unis</w:t>
      </w:r>
      <w:r w:rsidR="0066636E" w:rsidRPr="00FC0A44">
        <w:rPr>
          <w:lang w:val="fr-FR"/>
        </w:rPr>
        <w:t xml:space="preserve"> au taux de change </w:t>
      </w:r>
      <w:r w:rsidR="000E2D6E" w:rsidRPr="00FC0A44">
        <w:rPr>
          <w:lang w:val="fr-FR"/>
        </w:rPr>
        <w:t>en vigueur</w:t>
      </w:r>
      <w:r w:rsidR="0066636E" w:rsidRPr="00FC0A44">
        <w:rPr>
          <w:lang w:val="fr-FR"/>
        </w:rPr>
        <w:t xml:space="preserve"> aux Nations Unies en novembre </w:t>
      </w:r>
      <w:r w:rsidR="009F1042" w:rsidRPr="00FC0A44">
        <w:rPr>
          <w:lang w:val="fr-FR"/>
        </w:rPr>
        <w:t xml:space="preserve">2012) </w:t>
      </w:r>
      <w:r w:rsidR="0066636E" w:rsidRPr="00FC0A44">
        <w:rPr>
          <w:lang w:val="fr-FR"/>
        </w:rPr>
        <w:t>au Fonds du patrimoine culturel immatériel</w:t>
      </w:r>
      <w:r w:rsidRPr="00FC0A44">
        <w:rPr>
          <w:lang w:val="fr-FR"/>
        </w:rPr>
        <w:t xml:space="preserve"> et l</w:t>
      </w:r>
      <w:r w:rsidR="00260217">
        <w:rPr>
          <w:lang w:val="fr-FR"/>
        </w:rPr>
        <w:t>’</w:t>
      </w:r>
      <w:r w:rsidRPr="00FC0A44">
        <w:rPr>
          <w:lang w:val="fr-FR"/>
        </w:rPr>
        <w:t>approbation ultérieure du</w:t>
      </w:r>
      <w:r w:rsidR="0066636E" w:rsidRPr="00FC0A44">
        <w:rPr>
          <w:lang w:val="fr-FR"/>
        </w:rPr>
        <w:t xml:space="preserve"> </w:t>
      </w:r>
      <w:r w:rsidR="00AE7B62" w:rsidRPr="00FC0A44">
        <w:rPr>
          <w:rStyle w:val="hps"/>
          <w:lang w:val="fr-FR"/>
        </w:rPr>
        <w:t>Comité</w:t>
      </w:r>
      <w:r w:rsidR="009F1042" w:rsidRPr="00FC0A44">
        <w:rPr>
          <w:lang w:val="fr-FR"/>
        </w:rPr>
        <w:t xml:space="preserve"> (</w:t>
      </w:r>
      <w:hyperlink r:id="rId14" w:history="1">
        <w:r w:rsidR="0066636E" w:rsidRPr="00FC0A44">
          <w:rPr>
            <w:rStyle w:val="Hyperlink"/>
            <w:lang w:val="fr-FR"/>
          </w:rPr>
          <w:t>dé</w:t>
        </w:r>
        <w:r w:rsidR="009F1042" w:rsidRPr="00FC0A44">
          <w:rPr>
            <w:rStyle w:val="Hyperlink"/>
            <w:lang w:val="fr-FR"/>
          </w:rPr>
          <w:t>cision 7.COM 19</w:t>
        </w:r>
      </w:hyperlink>
      <w:r w:rsidR="009F1042" w:rsidRPr="00FC0A44">
        <w:rPr>
          <w:lang w:val="fr-FR"/>
        </w:rPr>
        <w:t xml:space="preserve">), </w:t>
      </w:r>
      <w:r w:rsidR="00160B17" w:rsidRPr="00FC0A44">
        <w:rPr>
          <w:lang w:val="fr-FR"/>
        </w:rPr>
        <w:t xml:space="preserve">un montant total de </w:t>
      </w:r>
      <w:r w:rsidR="009F1042" w:rsidRPr="00FC0A44">
        <w:rPr>
          <w:lang w:val="fr-FR"/>
        </w:rPr>
        <w:t>NOK 9</w:t>
      </w:r>
      <w:r w:rsidR="00160B17" w:rsidRPr="00FC0A44">
        <w:rPr>
          <w:lang w:val="fr-FR"/>
        </w:rPr>
        <w:t>,</w:t>
      </w:r>
      <w:r w:rsidR="009F1042" w:rsidRPr="00FC0A44">
        <w:rPr>
          <w:lang w:val="fr-FR"/>
        </w:rPr>
        <w:t>5 million</w:t>
      </w:r>
      <w:r w:rsidR="00160B17" w:rsidRPr="00FC0A44">
        <w:rPr>
          <w:lang w:val="fr-FR"/>
        </w:rPr>
        <w:t xml:space="preserve">s NOK a été reçu, soit </w:t>
      </w:r>
      <w:r w:rsidR="009F1042" w:rsidRPr="00FC0A44">
        <w:rPr>
          <w:rStyle w:val="hps"/>
          <w:lang w:val="fr-FR"/>
        </w:rPr>
        <w:t>95</w:t>
      </w:r>
      <w:r w:rsidR="00160B17" w:rsidRPr="00FC0A44">
        <w:rPr>
          <w:rStyle w:val="hps"/>
          <w:lang w:val="fr-FR"/>
        </w:rPr>
        <w:t> </w:t>
      </w:r>
      <w:r w:rsidR="009F1042" w:rsidRPr="00FC0A44">
        <w:rPr>
          <w:rStyle w:val="hps"/>
          <w:lang w:val="fr-FR"/>
        </w:rPr>
        <w:t xml:space="preserve">% </w:t>
      </w:r>
      <w:r w:rsidR="00160B17" w:rsidRPr="00FC0A44">
        <w:rPr>
          <w:rStyle w:val="hps"/>
          <w:lang w:val="fr-FR"/>
        </w:rPr>
        <w:t>de l</w:t>
      </w:r>
      <w:r w:rsidR="00260217">
        <w:rPr>
          <w:rStyle w:val="hps"/>
          <w:lang w:val="fr-FR"/>
        </w:rPr>
        <w:t>’</w:t>
      </w:r>
      <w:r w:rsidR="00160B17" w:rsidRPr="00FC0A44">
        <w:rPr>
          <w:rStyle w:val="hps"/>
          <w:lang w:val="fr-FR"/>
        </w:rPr>
        <w:t>engagement total</w:t>
      </w:r>
      <w:r w:rsidR="009F1042" w:rsidRPr="00FC0A44">
        <w:rPr>
          <w:rStyle w:val="hps"/>
          <w:lang w:val="fr-FR"/>
        </w:rPr>
        <w:t xml:space="preserve">. </w:t>
      </w:r>
      <w:r w:rsidR="00160B17" w:rsidRPr="00FC0A44">
        <w:rPr>
          <w:rStyle w:val="hps"/>
          <w:lang w:val="fr-FR"/>
        </w:rPr>
        <w:t xml:space="preserve">Cinq millions </w:t>
      </w:r>
      <w:r w:rsidR="009F1042" w:rsidRPr="00FC0A44">
        <w:rPr>
          <w:rStyle w:val="hps"/>
          <w:lang w:val="fr-FR"/>
        </w:rPr>
        <w:t xml:space="preserve">NOK </w:t>
      </w:r>
      <w:r w:rsidR="00160B17" w:rsidRPr="00FC0A44">
        <w:rPr>
          <w:rStyle w:val="hps"/>
          <w:lang w:val="fr-FR"/>
        </w:rPr>
        <w:t>ont été re</w:t>
      </w:r>
      <w:r w:rsidR="00D3618E" w:rsidRPr="00FC0A44">
        <w:rPr>
          <w:rStyle w:val="hps"/>
          <w:lang w:val="fr-FR"/>
        </w:rPr>
        <w:t>çus e</w:t>
      </w:r>
      <w:r w:rsidR="009F1042" w:rsidRPr="00FC0A44">
        <w:rPr>
          <w:lang w:val="fr-FR"/>
        </w:rPr>
        <w:t>n 2012, 3</w:t>
      </w:r>
      <w:r w:rsidR="00D3618E" w:rsidRPr="00FC0A44">
        <w:rPr>
          <w:lang w:val="fr-FR"/>
        </w:rPr>
        <w:t>,</w:t>
      </w:r>
      <w:r w:rsidR="009F1042" w:rsidRPr="00FC0A44">
        <w:rPr>
          <w:lang w:val="fr-FR"/>
        </w:rPr>
        <w:t>5 million</w:t>
      </w:r>
      <w:r w:rsidR="00D3618E" w:rsidRPr="00FC0A44">
        <w:rPr>
          <w:lang w:val="fr-FR"/>
        </w:rPr>
        <w:t>s NOK en</w:t>
      </w:r>
      <w:r w:rsidR="009F1042" w:rsidRPr="00FC0A44">
        <w:rPr>
          <w:lang w:val="fr-FR"/>
        </w:rPr>
        <w:t xml:space="preserve"> 2014 </w:t>
      </w:r>
      <w:r w:rsidR="00D3618E" w:rsidRPr="00FC0A44">
        <w:rPr>
          <w:lang w:val="fr-FR"/>
        </w:rPr>
        <w:t>et</w:t>
      </w:r>
      <w:r w:rsidR="009F1042" w:rsidRPr="00FC0A44">
        <w:rPr>
          <w:lang w:val="fr-FR"/>
        </w:rPr>
        <w:t xml:space="preserve"> 1 million </w:t>
      </w:r>
      <w:r w:rsidR="00D3618E" w:rsidRPr="00FC0A44">
        <w:rPr>
          <w:lang w:val="fr-FR"/>
        </w:rPr>
        <w:t>NOK e</w:t>
      </w:r>
      <w:r w:rsidR="009F1042" w:rsidRPr="00FC0A44">
        <w:rPr>
          <w:lang w:val="fr-FR"/>
        </w:rPr>
        <w:t xml:space="preserve">n 2015. </w:t>
      </w:r>
      <w:r w:rsidR="00D3618E" w:rsidRPr="00FC0A44">
        <w:rPr>
          <w:lang w:val="fr-FR"/>
        </w:rPr>
        <w:t xml:space="preserve">Cet échelonnement des paiements a </w:t>
      </w:r>
      <w:r w:rsidRPr="00FC0A44">
        <w:rPr>
          <w:lang w:val="fr-FR"/>
        </w:rPr>
        <w:t xml:space="preserve">conduit </w:t>
      </w:r>
      <w:r w:rsidR="00D3618E" w:rsidRPr="00FC0A44">
        <w:rPr>
          <w:lang w:val="fr-FR"/>
        </w:rPr>
        <w:t xml:space="preserve">le </w:t>
      </w:r>
      <w:r w:rsidR="009F1042" w:rsidRPr="00FC0A44">
        <w:rPr>
          <w:rStyle w:val="hps"/>
          <w:lang w:val="fr-FR"/>
        </w:rPr>
        <w:t>Secr</w:t>
      </w:r>
      <w:r w:rsidR="00D3618E" w:rsidRPr="00FC0A44">
        <w:rPr>
          <w:rStyle w:val="hps"/>
          <w:lang w:val="fr-FR"/>
        </w:rPr>
        <w:t>é</w:t>
      </w:r>
      <w:r w:rsidR="009F1042" w:rsidRPr="00FC0A44">
        <w:rPr>
          <w:rStyle w:val="hps"/>
          <w:lang w:val="fr-FR"/>
        </w:rPr>
        <w:t>tariat</w:t>
      </w:r>
      <w:r w:rsidR="009F1042" w:rsidRPr="00FC0A44">
        <w:rPr>
          <w:lang w:val="fr-FR"/>
        </w:rPr>
        <w:t xml:space="preserve"> </w:t>
      </w:r>
      <w:r w:rsidR="00D3618E" w:rsidRPr="00FC0A44">
        <w:rPr>
          <w:lang w:val="fr-FR"/>
        </w:rPr>
        <w:t xml:space="preserve">à </w:t>
      </w:r>
      <w:r w:rsidRPr="00FC0A44">
        <w:rPr>
          <w:rStyle w:val="hps"/>
          <w:lang w:val="fr-FR"/>
        </w:rPr>
        <w:t>reprogrammer</w:t>
      </w:r>
      <w:r w:rsidR="009F1042" w:rsidRPr="00FC0A44">
        <w:rPr>
          <w:lang w:val="fr-FR"/>
        </w:rPr>
        <w:t xml:space="preserve"> </w:t>
      </w:r>
      <w:r w:rsidR="00D3618E" w:rsidRPr="00FC0A44">
        <w:rPr>
          <w:lang w:val="fr-FR"/>
        </w:rPr>
        <w:t>les activités prévues et à étaler dans le temps la mise en œuvre des projets</w:t>
      </w:r>
      <w:r w:rsidR="009F1042" w:rsidRPr="00FC0A44">
        <w:rPr>
          <w:rStyle w:val="hps"/>
          <w:lang w:val="fr-FR"/>
        </w:rPr>
        <w:t xml:space="preserve">. </w:t>
      </w:r>
      <w:r w:rsidRPr="00FC0A44">
        <w:rPr>
          <w:rStyle w:val="hps"/>
          <w:lang w:val="fr-FR"/>
        </w:rPr>
        <w:t>E</w:t>
      </w:r>
      <w:r w:rsidR="00D3618E" w:rsidRPr="00FC0A44">
        <w:rPr>
          <w:rStyle w:val="hps"/>
          <w:lang w:val="fr-FR"/>
        </w:rPr>
        <w:t>n mars</w:t>
      </w:r>
      <w:r w:rsidR="009F1042" w:rsidRPr="00FC0A44">
        <w:rPr>
          <w:rStyle w:val="hps"/>
          <w:lang w:val="fr-FR"/>
        </w:rPr>
        <w:t xml:space="preserve"> 2015, </w:t>
      </w:r>
      <w:r w:rsidR="006F1249" w:rsidRPr="00FC0A44">
        <w:rPr>
          <w:rStyle w:val="hps"/>
          <w:lang w:val="fr-FR"/>
        </w:rPr>
        <w:t xml:space="preserve">le </w:t>
      </w:r>
      <w:r w:rsidR="009F1042" w:rsidRPr="00FC0A44">
        <w:rPr>
          <w:rStyle w:val="hps"/>
          <w:lang w:val="fr-FR"/>
        </w:rPr>
        <w:t>Secr</w:t>
      </w:r>
      <w:r w:rsidR="006F1249" w:rsidRPr="00FC0A44">
        <w:rPr>
          <w:rStyle w:val="hps"/>
          <w:lang w:val="fr-FR"/>
        </w:rPr>
        <w:t>é</w:t>
      </w:r>
      <w:r w:rsidR="009F1042" w:rsidRPr="00FC0A44">
        <w:rPr>
          <w:rStyle w:val="hps"/>
          <w:lang w:val="fr-FR"/>
        </w:rPr>
        <w:t>tariat a</w:t>
      </w:r>
      <w:r w:rsidR="006F1249" w:rsidRPr="00FC0A44">
        <w:rPr>
          <w:rStyle w:val="hps"/>
          <w:lang w:val="fr-FR"/>
        </w:rPr>
        <w:t xml:space="preserve"> été informé </w:t>
      </w:r>
      <w:r w:rsidRPr="00FC0A44">
        <w:rPr>
          <w:rStyle w:val="hps"/>
          <w:lang w:val="fr-FR"/>
        </w:rPr>
        <w:t>que, pour des raisons internes, la Norvège ne prévoyait pas d</w:t>
      </w:r>
      <w:r w:rsidR="00260217">
        <w:rPr>
          <w:rStyle w:val="hps"/>
          <w:lang w:val="fr-FR"/>
        </w:rPr>
        <w:t>’</w:t>
      </w:r>
      <w:r w:rsidRPr="00FC0A44">
        <w:rPr>
          <w:rStyle w:val="hps"/>
          <w:lang w:val="fr-FR"/>
        </w:rPr>
        <w:t xml:space="preserve">autres paiements </w:t>
      </w:r>
      <w:r w:rsidR="006F1249" w:rsidRPr="00FC0A44">
        <w:rPr>
          <w:rStyle w:val="hps"/>
          <w:lang w:val="fr-FR"/>
        </w:rPr>
        <w:t>pour les quatre projets concernés</w:t>
      </w:r>
      <w:r w:rsidR="009F1042" w:rsidRPr="00FC0A44">
        <w:rPr>
          <w:color w:val="000000"/>
          <w:lang w:val="fr-FR"/>
        </w:rPr>
        <w:t xml:space="preserve">. </w:t>
      </w:r>
      <w:r w:rsidR="006F1249" w:rsidRPr="00FC0A44">
        <w:rPr>
          <w:color w:val="000000"/>
          <w:lang w:val="fr-FR"/>
        </w:rPr>
        <w:t>Par conséquent, afin de pouvoir clôturer ces projets, le Comité souhaitera peut-être prendre note de la différence entre le</w:t>
      </w:r>
      <w:r w:rsidR="00A46C9A" w:rsidRPr="00FC0A44">
        <w:rPr>
          <w:color w:val="000000"/>
          <w:lang w:val="fr-FR"/>
        </w:rPr>
        <w:t xml:space="preserve"> </w:t>
      </w:r>
      <w:r w:rsidR="006F1249" w:rsidRPr="00FC0A44">
        <w:rPr>
          <w:color w:val="000000"/>
          <w:lang w:val="fr-FR"/>
        </w:rPr>
        <w:t>budget</w:t>
      </w:r>
      <w:r w:rsidR="00A46C9A" w:rsidRPr="00FC0A44">
        <w:rPr>
          <w:color w:val="000000"/>
          <w:lang w:val="fr-FR"/>
        </w:rPr>
        <w:t xml:space="preserve"> de ces projet</w:t>
      </w:r>
      <w:r w:rsidR="006F1249" w:rsidRPr="00FC0A44">
        <w:rPr>
          <w:color w:val="000000"/>
          <w:lang w:val="fr-FR"/>
        </w:rPr>
        <w:t xml:space="preserve">s </w:t>
      </w:r>
      <w:r w:rsidR="00A46C9A" w:rsidRPr="00FC0A44">
        <w:rPr>
          <w:color w:val="000000"/>
          <w:lang w:val="fr-FR"/>
        </w:rPr>
        <w:t>tel qu</w:t>
      </w:r>
      <w:r w:rsidR="00260217">
        <w:rPr>
          <w:color w:val="000000"/>
          <w:lang w:val="fr-FR"/>
        </w:rPr>
        <w:t>’</w:t>
      </w:r>
      <w:r w:rsidR="006F1249" w:rsidRPr="00FC0A44">
        <w:rPr>
          <w:color w:val="000000"/>
          <w:lang w:val="fr-FR"/>
        </w:rPr>
        <w:t xml:space="preserve">approuvé par lui et le budget révisé sur la base des fonds reçus, comme indiqué en </w:t>
      </w:r>
      <w:r w:rsidRPr="00FC0A44">
        <w:rPr>
          <w:color w:val="000000"/>
          <w:lang w:val="fr-FR"/>
        </w:rPr>
        <w:t>annexe </w:t>
      </w:r>
      <w:r w:rsidR="009F1042" w:rsidRPr="00FC0A44">
        <w:rPr>
          <w:color w:val="000000"/>
          <w:lang w:val="fr-FR"/>
        </w:rPr>
        <w:t xml:space="preserve">II (b) </w:t>
      </w:r>
      <w:r w:rsidR="006F1249" w:rsidRPr="00FC0A44">
        <w:rPr>
          <w:color w:val="000000"/>
          <w:lang w:val="fr-FR"/>
        </w:rPr>
        <w:t xml:space="preserve">et </w:t>
      </w:r>
      <w:r w:rsidRPr="00FC0A44">
        <w:rPr>
          <w:color w:val="000000"/>
          <w:lang w:val="fr-FR"/>
        </w:rPr>
        <w:t xml:space="preserve">annexe </w:t>
      </w:r>
      <w:r w:rsidR="009F1042" w:rsidRPr="00FC0A44">
        <w:rPr>
          <w:color w:val="000000"/>
          <w:lang w:val="fr-FR"/>
        </w:rPr>
        <w:t xml:space="preserve">II (c) </w:t>
      </w:r>
      <w:r w:rsidR="00BB033D" w:rsidRPr="00FC0A44">
        <w:rPr>
          <w:color w:val="000000"/>
          <w:lang w:val="fr-FR"/>
        </w:rPr>
        <w:t>a</w:t>
      </w:r>
      <w:r w:rsidR="006F1249" w:rsidRPr="00FC0A44">
        <w:rPr>
          <w:color w:val="000000"/>
          <w:lang w:val="fr-FR"/>
        </w:rPr>
        <w:t>u</w:t>
      </w:r>
      <w:r w:rsidR="009F1042" w:rsidRPr="00FC0A44">
        <w:rPr>
          <w:color w:val="000000"/>
          <w:lang w:val="fr-FR"/>
        </w:rPr>
        <w:t xml:space="preserve"> </w:t>
      </w:r>
      <w:hyperlink r:id="rId15" w:history="1">
        <w:r w:rsidRPr="00FC0A44">
          <w:rPr>
            <w:rStyle w:val="Hyperlink"/>
            <w:lang w:val="fr-FR"/>
          </w:rPr>
          <w:t>document </w:t>
        </w:r>
        <w:r w:rsidR="009F1042" w:rsidRPr="00FC0A44">
          <w:rPr>
            <w:rStyle w:val="Hyperlink"/>
            <w:lang w:val="fr-FR"/>
          </w:rPr>
          <w:t>ITH/15/10.COM/8</w:t>
        </w:r>
      </w:hyperlink>
      <w:r w:rsidR="009F1042" w:rsidRPr="00FC0A44">
        <w:rPr>
          <w:color w:val="000000"/>
          <w:lang w:val="fr-FR"/>
        </w:rPr>
        <w:t xml:space="preserve">, </w:t>
      </w:r>
      <w:r w:rsidR="00821043" w:rsidRPr="00FC0A44">
        <w:rPr>
          <w:color w:val="000000"/>
          <w:lang w:val="fr-FR"/>
        </w:rPr>
        <w:t xml:space="preserve">et de ne plus considérer cette contribution non réglée comme un </w:t>
      </w:r>
      <w:r w:rsidR="00B948BB" w:rsidRPr="00FC0A44">
        <w:rPr>
          <w:color w:val="000000"/>
          <w:lang w:val="fr-FR"/>
        </w:rPr>
        <w:t>déficit de financement</w:t>
      </w:r>
      <w:r w:rsidR="00F347B2" w:rsidRPr="00FC0A44">
        <w:rPr>
          <w:color w:val="000000"/>
          <w:lang w:val="fr-FR"/>
        </w:rPr>
        <w:t>.</w:t>
      </w:r>
    </w:p>
    <w:p w14:paraId="321CC097" w14:textId="4F8486DA" w:rsidR="002256FD" w:rsidRPr="00FC0A44" w:rsidRDefault="00453544" w:rsidP="00FC0A44">
      <w:pPr>
        <w:pStyle w:val="COMParabodytext"/>
        <w:numPr>
          <w:ilvl w:val="1"/>
          <w:numId w:val="9"/>
        </w:numPr>
        <w:tabs>
          <w:tab w:val="clear" w:pos="567"/>
          <w:tab w:val="left" w:pos="1134"/>
        </w:tabs>
        <w:ind w:left="1134" w:hanging="567"/>
        <w:rPr>
          <w:lang w:val="fr-FR"/>
        </w:rPr>
      </w:pPr>
      <w:r w:rsidRPr="00FC0A44">
        <w:rPr>
          <w:rStyle w:val="hps"/>
          <w:lang w:val="fr-FR"/>
        </w:rPr>
        <w:t>L</w:t>
      </w:r>
      <w:r w:rsidR="00B948BB" w:rsidRPr="00FC0A44">
        <w:rPr>
          <w:rStyle w:val="hps"/>
          <w:lang w:val="fr-FR"/>
        </w:rPr>
        <w:t xml:space="preserve">ors de sa huitième </w:t>
      </w:r>
      <w:r w:rsidR="009F1042" w:rsidRPr="00FC0A44">
        <w:rPr>
          <w:lang w:val="fr-FR"/>
        </w:rPr>
        <w:t xml:space="preserve">session, </w:t>
      </w:r>
      <w:r w:rsidR="00B948BB" w:rsidRPr="00FC0A44">
        <w:rPr>
          <w:lang w:val="fr-FR"/>
        </w:rPr>
        <w:t xml:space="preserve">le </w:t>
      </w:r>
      <w:r w:rsidR="00AE7B62" w:rsidRPr="00FC0A44">
        <w:rPr>
          <w:lang w:val="fr-FR"/>
        </w:rPr>
        <w:t>Comité</w:t>
      </w:r>
      <w:r w:rsidR="009F1042" w:rsidRPr="00FC0A44">
        <w:rPr>
          <w:lang w:val="fr-FR"/>
        </w:rPr>
        <w:t xml:space="preserve"> </w:t>
      </w:r>
      <w:r w:rsidR="00B948BB" w:rsidRPr="00FC0A44">
        <w:rPr>
          <w:lang w:val="fr-FR"/>
        </w:rPr>
        <w:t xml:space="preserve">a </w:t>
      </w:r>
      <w:r w:rsidR="009F1042" w:rsidRPr="00FC0A44">
        <w:rPr>
          <w:lang w:val="fr-FR"/>
        </w:rPr>
        <w:t>appro</w:t>
      </w:r>
      <w:r w:rsidR="00B948BB" w:rsidRPr="00FC0A44">
        <w:rPr>
          <w:lang w:val="fr-FR"/>
        </w:rPr>
        <w:t>uvé deux autres projets à financer par des contributions affectées à des fins spéci</w:t>
      </w:r>
      <w:r w:rsidR="001C6746" w:rsidRPr="00FC0A44">
        <w:rPr>
          <w:lang w:val="fr-FR"/>
        </w:rPr>
        <w:t>fiques dans le cadre du Fonds du patrimoine culturel immatériel </w:t>
      </w:r>
      <w:r w:rsidR="009F1042" w:rsidRPr="00FC0A44">
        <w:rPr>
          <w:lang w:val="fr-FR"/>
        </w:rPr>
        <w:t xml:space="preserve">: </w:t>
      </w:r>
      <w:r w:rsidR="001C6746" w:rsidRPr="00FC0A44">
        <w:rPr>
          <w:lang w:val="fr-FR"/>
        </w:rPr>
        <w:t>une</w:t>
      </w:r>
      <w:r w:rsidR="009F1042" w:rsidRPr="00FC0A44">
        <w:rPr>
          <w:lang w:val="fr-FR"/>
        </w:rPr>
        <w:t xml:space="preserve"> contribution </w:t>
      </w:r>
      <w:r w:rsidR="00BB033D" w:rsidRPr="00FC0A44">
        <w:rPr>
          <w:lang w:val="fr-FR"/>
        </w:rPr>
        <w:t xml:space="preserve">du Brésil </w:t>
      </w:r>
      <w:r w:rsidR="001C6746" w:rsidRPr="00FC0A44">
        <w:rPr>
          <w:lang w:val="fr-FR"/>
        </w:rPr>
        <w:t xml:space="preserve">de </w:t>
      </w:r>
      <w:r w:rsidR="009F1042" w:rsidRPr="00FC0A44">
        <w:rPr>
          <w:lang w:val="fr-FR"/>
        </w:rPr>
        <w:t>200</w:t>
      </w:r>
      <w:r w:rsidR="001C6746" w:rsidRPr="00FC0A44">
        <w:rPr>
          <w:lang w:val="fr-FR"/>
        </w:rPr>
        <w:t> </w:t>
      </w:r>
      <w:r w:rsidR="009F1042" w:rsidRPr="00FC0A44">
        <w:rPr>
          <w:lang w:val="fr-FR"/>
        </w:rPr>
        <w:t>000</w:t>
      </w:r>
      <w:r w:rsidR="001C6746" w:rsidRPr="00FC0A44">
        <w:rPr>
          <w:lang w:val="fr-FR"/>
        </w:rPr>
        <w:t xml:space="preserve"> dollars des </w:t>
      </w:r>
      <w:r w:rsidR="000F0156" w:rsidRPr="00FC0A44">
        <w:rPr>
          <w:lang w:val="fr-FR"/>
        </w:rPr>
        <w:t>États-Unis</w:t>
      </w:r>
      <w:r w:rsidR="001C6746" w:rsidRPr="00FC0A44">
        <w:rPr>
          <w:lang w:val="fr-FR"/>
        </w:rPr>
        <w:t xml:space="preserve"> pour financer un programme sur deux ans portant sur le renforcement des capacités nationales en matière de sauvegarde du patrimoine culturel immatériel au Paraguay, et une </w:t>
      </w:r>
      <w:r w:rsidR="009F1042" w:rsidRPr="00FC0A44">
        <w:rPr>
          <w:lang w:val="fr-FR"/>
        </w:rPr>
        <w:t xml:space="preserve">contribution </w:t>
      </w:r>
      <w:r w:rsidR="00BB033D" w:rsidRPr="00FC0A44">
        <w:rPr>
          <w:lang w:val="fr-FR"/>
        </w:rPr>
        <w:t xml:space="preserve">du Viet Nam </w:t>
      </w:r>
      <w:r w:rsidR="001C6746" w:rsidRPr="00FC0A44">
        <w:rPr>
          <w:lang w:val="fr-FR"/>
        </w:rPr>
        <w:t>de</w:t>
      </w:r>
      <w:r w:rsidR="009F1042" w:rsidRPr="00FC0A44">
        <w:rPr>
          <w:lang w:val="fr-FR"/>
        </w:rPr>
        <w:t xml:space="preserve"> 48</w:t>
      </w:r>
      <w:r w:rsidR="001C6746" w:rsidRPr="00FC0A44">
        <w:rPr>
          <w:lang w:val="fr-FR"/>
        </w:rPr>
        <w:t> </w:t>
      </w:r>
      <w:r w:rsidR="009F1042" w:rsidRPr="00FC0A44">
        <w:rPr>
          <w:lang w:val="fr-FR"/>
        </w:rPr>
        <w:t>469</w:t>
      </w:r>
      <w:r w:rsidR="001C6746" w:rsidRPr="00FC0A44">
        <w:rPr>
          <w:lang w:val="fr-FR"/>
        </w:rPr>
        <w:t xml:space="preserve"> dollars des </w:t>
      </w:r>
      <w:r w:rsidR="000F0156" w:rsidRPr="00FC0A44">
        <w:rPr>
          <w:rStyle w:val="hps"/>
          <w:lang w:val="fr-FR"/>
        </w:rPr>
        <w:t>États</w:t>
      </w:r>
      <w:r w:rsidR="000F0156" w:rsidRPr="00FC0A44">
        <w:rPr>
          <w:lang w:val="fr-FR"/>
        </w:rPr>
        <w:t>-Unis</w:t>
      </w:r>
      <w:r w:rsidR="001C6746" w:rsidRPr="00FC0A44">
        <w:rPr>
          <w:lang w:val="fr-FR"/>
        </w:rPr>
        <w:t xml:space="preserve"> pour financier une réunion d</w:t>
      </w:r>
      <w:r w:rsidR="00260217">
        <w:rPr>
          <w:lang w:val="fr-FR"/>
        </w:rPr>
        <w:t>’</w:t>
      </w:r>
      <w:r w:rsidR="001C6746" w:rsidRPr="00FC0A44">
        <w:rPr>
          <w:lang w:val="fr-FR"/>
        </w:rPr>
        <w:t>experts de catégorie</w:t>
      </w:r>
      <w:r w:rsidR="009F1042" w:rsidRPr="00FC0A44">
        <w:rPr>
          <w:lang w:val="fr-FR"/>
        </w:rPr>
        <w:t xml:space="preserve"> VI </w:t>
      </w:r>
      <w:r w:rsidR="001C6746" w:rsidRPr="00FC0A44">
        <w:rPr>
          <w:lang w:val="fr-FR"/>
        </w:rPr>
        <w:t>sur les liens entre le patrimoine culturel immatériel et le changement climatique (</w:t>
      </w:r>
      <w:hyperlink r:id="rId16" w:history="1">
        <w:r w:rsidR="001C6746" w:rsidRPr="00FC0A44">
          <w:rPr>
            <w:rStyle w:val="Hyperlink"/>
            <w:lang w:val="fr-FR"/>
          </w:rPr>
          <w:t>déc</w:t>
        </w:r>
        <w:r w:rsidR="009F1042" w:rsidRPr="00FC0A44">
          <w:rPr>
            <w:rStyle w:val="Hyperlink"/>
            <w:lang w:val="fr-FR"/>
          </w:rPr>
          <w:t>ision 8.COM 12</w:t>
        </w:r>
      </w:hyperlink>
      <w:r w:rsidR="009F1042" w:rsidRPr="00FC0A44">
        <w:rPr>
          <w:lang w:val="fr-FR"/>
        </w:rPr>
        <w:t xml:space="preserve">). </w:t>
      </w:r>
      <w:r w:rsidR="007F3240" w:rsidRPr="00FC0A44">
        <w:rPr>
          <w:lang w:val="fr-FR"/>
        </w:rPr>
        <w:t xml:space="preserve">Or, dans les deux cas, bien que deux ans se soient écoulés depuis cette décision, au moment de la rédaction </w:t>
      </w:r>
      <w:r w:rsidR="00B77F67" w:rsidRPr="00FC0A44">
        <w:rPr>
          <w:lang w:val="fr-FR"/>
        </w:rPr>
        <w:t>du présent document</w:t>
      </w:r>
      <w:r w:rsidR="007F3240" w:rsidRPr="00FC0A44">
        <w:rPr>
          <w:lang w:val="fr-FR"/>
        </w:rPr>
        <w:t xml:space="preserve">, le </w:t>
      </w:r>
      <w:r w:rsidR="009F1042" w:rsidRPr="00FC0A44">
        <w:rPr>
          <w:lang w:val="fr-FR"/>
        </w:rPr>
        <w:t>Secr</w:t>
      </w:r>
      <w:r w:rsidR="007F3240" w:rsidRPr="00FC0A44">
        <w:rPr>
          <w:lang w:val="fr-FR"/>
        </w:rPr>
        <w:t>é</w:t>
      </w:r>
      <w:r w:rsidR="009F1042" w:rsidRPr="00FC0A44">
        <w:rPr>
          <w:lang w:val="fr-FR"/>
        </w:rPr>
        <w:t xml:space="preserve">tariat </w:t>
      </w:r>
      <w:r w:rsidR="007F3240" w:rsidRPr="00FC0A44">
        <w:rPr>
          <w:lang w:val="fr-FR"/>
        </w:rPr>
        <w:t>n</w:t>
      </w:r>
      <w:r w:rsidR="00260217">
        <w:rPr>
          <w:lang w:val="fr-FR"/>
        </w:rPr>
        <w:t>’</w:t>
      </w:r>
      <w:r w:rsidR="007F3240" w:rsidRPr="00FC0A44">
        <w:rPr>
          <w:lang w:val="fr-FR"/>
        </w:rPr>
        <w:t xml:space="preserve">avait reçu </w:t>
      </w:r>
      <w:r w:rsidR="00781E02" w:rsidRPr="00FC0A44">
        <w:rPr>
          <w:lang w:val="fr-FR"/>
        </w:rPr>
        <w:t xml:space="preserve">de la part des donateurs </w:t>
      </w:r>
      <w:r w:rsidR="007F3240" w:rsidRPr="00FC0A44">
        <w:rPr>
          <w:lang w:val="fr-FR"/>
        </w:rPr>
        <w:t>ni confirmation du non-paiement de leurs contributions en attente, ni d</w:t>
      </w:r>
      <w:r w:rsidR="00260217">
        <w:rPr>
          <w:lang w:val="fr-FR"/>
        </w:rPr>
        <w:t>’</w:t>
      </w:r>
      <w:r w:rsidR="007F3240" w:rsidRPr="00FC0A44">
        <w:rPr>
          <w:lang w:val="fr-FR"/>
        </w:rPr>
        <w:t>informations sur la date à laquelle il peut espérer les recevoir</w:t>
      </w:r>
      <w:r w:rsidR="009F1042" w:rsidRPr="00FC0A44">
        <w:rPr>
          <w:lang w:val="fr-FR"/>
        </w:rPr>
        <w:t xml:space="preserve">. </w:t>
      </w:r>
      <w:r w:rsidR="007F3240" w:rsidRPr="00FC0A44">
        <w:rPr>
          <w:lang w:val="fr-FR"/>
        </w:rPr>
        <w:t xml:space="preserve">Le défaut de paiement de ces </w:t>
      </w:r>
      <w:r w:rsidR="009F1042" w:rsidRPr="00FC0A44">
        <w:rPr>
          <w:lang w:val="fr-FR"/>
        </w:rPr>
        <w:t xml:space="preserve">contributions </w:t>
      </w:r>
      <w:r w:rsidR="007F3240" w:rsidRPr="00FC0A44">
        <w:rPr>
          <w:lang w:val="fr-FR"/>
        </w:rPr>
        <w:t xml:space="preserve">retarde inévitablement la mise en </w:t>
      </w:r>
      <w:r w:rsidR="00781E02" w:rsidRPr="00FC0A44">
        <w:rPr>
          <w:lang w:val="fr-FR"/>
        </w:rPr>
        <w:t xml:space="preserve">œuvre </w:t>
      </w:r>
      <w:r w:rsidR="007F3240" w:rsidRPr="00FC0A44">
        <w:rPr>
          <w:lang w:val="fr-FR"/>
        </w:rPr>
        <w:t>des projets et le manque d</w:t>
      </w:r>
      <w:r w:rsidR="00260217">
        <w:rPr>
          <w:lang w:val="fr-FR"/>
        </w:rPr>
        <w:t>’</w:t>
      </w:r>
      <w:r w:rsidR="007F3240" w:rsidRPr="00FC0A44">
        <w:rPr>
          <w:lang w:val="fr-FR"/>
        </w:rPr>
        <w:t xml:space="preserve">information </w:t>
      </w:r>
      <w:r w:rsidR="00DE0E90" w:rsidRPr="00FC0A44">
        <w:rPr>
          <w:lang w:val="fr-FR"/>
        </w:rPr>
        <w:t xml:space="preserve">empêche </w:t>
      </w:r>
      <w:r w:rsidR="007F3240" w:rsidRPr="00FC0A44">
        <w:rPr>
          <w:lang w:val="fr-FR"/>
        </w:rPr>
        <w:t>toute planification</w:t>
      </w:r>
      <w:r w:rsidR="00DE0E90" w:rsidRPr="00FC0A44">
        <w:rPr>
          <w:lang w:val="fr-FR"/>
        </w:rPr>
        <w:t>.</w:t>
      </w:r>
    </w:p>
    <w:p w14:paraId="14152D83" w14:textId="77777777" w:rsidR="0057439C" w:rsidRPr="00FC0A44" w:rsidRDefault="009E1B50" w:rsidP="007037C3">
      <w:pPr>
        <w:pStyle w:val="COMParabodytext"/>
        <w:ind w:left="567" w:hanging="567"/>
        <w:rPr>
          <w:lang w:val="fr-FR"/>
        </w:rPr>
      </w:pPr>
      <w:r w:rsidRPr="00FC0A44">
        <w:rPr>
          <w:rFonts w:eastAsia="SimSun"/>
          <w:lang w:val="fr-FR"/>
        </w:rPr>
        <w:t xml:space="preserve">Le Comité souhaitera peut-être </w:t>
      </w:r>
      <w:r w:rsidRPr="00FC0A44">
        <w:rPr>
          <w:lang w:val="fr-FR"/>
        </w:rPr>
        <w:t>adopter</w:t>
      </w:r>
      <w:r w:rsidRPr="00FC0A44">
        <w:rPr>
          <w:rFonts w:eastAsia="SimSun"/>
          <w:lang w:val="fr-FR"/>
        </w:rPr>
        <w:t xml:space="preserve"> la décision suivante</w:t>
      </w:r>
      <w:r w:rsidR="00B90701" w:rsidRPr="00FC0A44">
        <w:rPr>
          <w:rFonts w:eastAsia="SimSun"/>
          <w:lang w:val="fr-FR"/>
        </w:rPr>
        <w:t> </w:t>
      </w:r>
      <w:r w:rsidR="00962119" w:rsidRPr="00FC0A44">
        <w:rPr>
          <w:rFonts w:eastAsia="SimSun"/>
          <w:lang w:val="fr-FR"/>
        </w:rPr>
        <w:t>:</w:t>
      </w:r>
    </w:p>
    <w:p w14:paraId="0B7FA71A" w14:textId="77777777" w:rsidR="0057439C" w:rsidRPr="00FC0A44" w:rsidRDefault="009E1B50" w:rsidP="00A51273">
      <w:pPr>
        <w:pStyle w:val="GATitleResolution"/>
      </w:pPr>
      <w:r w:rsidRPr="00FC0A44">
        <w:t>PROJET DE DÉCIS</w:t>
      </w:r>
      <w:r w:rsidR="00165170" w:rsidRPr="00FC0A44">
        <w:t>ION 10</w:t>
      </w:r>
      <w:r w:rsidR="00BC3420" w:rsidRPr="00FC0A44">
        <w:t>.COM</w:t>
      </w:r>
      <w:r w:rsidR="00962119" w:rsidRPr="00FC0A44">
        <w:t xml:space="preserve"> </w:t>
      </w:r>
      <w:r w:rsidR="00DE0E90" w:rsidRPr="00FC0A44">
        <w:t>9</w:t>
      </w:r>
    </w:p>
    <w:p w14:paraId="3B3A3FE0" w14:textId="77777777" w:rsidR="0057439C" w:rsidRPr="00FC0A44" w:rsidRDefault="00E62B4C" w:rsidP="00A51273">
      <w:pPr>
        <w:pStyle w:val="COMPreambulaDecision"/>
      </w:pPr>
      <w:r w:rsidRPr="00FC0A44">
        <w:t>Le Comité</w:t>
      </w:r>
      <w:r w:rsidR="00962119" w:rsidRPr="00FC0A44">
        <w:t>,</w:t>
      </w:r>
    </w:p>
    <w:p w14:paraId="44B14D64" w14:textId="77777777" w:rsidR="0057439C" w:rsidRPr="00FC0A44" w:rsidRDefault="00DB4A84" w:rsidP="00FC0A44">
      <w:pPr>
        <w:pStyle w:val="COMParaDecision"/>
        <w:ind w:left="1134" w:hanging="567"/>
      </w:pPr>
      <w:r w:rsidRPr="00FC0A44">
        <w:t>Ayant examiné</w:t>
      </w:r>
      <w:r w:rsidRPr="00FC0A44">
        <w:rPr>
          <w:u w:val="none"/>
        </w:rPr>
        <w:t xml:space="preserve"> le document</w:t>
      </w:r>
      <w:r w:rsidR="00764CF9" w:rsidRPr="00FC0A44">
        <w:rPr>
          <w:u w:val="none"/>
        </w:rPr>
        <w:t xml:space="preserve"> ITH/15/10</w:t>
      </w:r>
      <w:r w:rsidR="00BC3420" w:rsidRPr="00FC0A44">
        <w:rPr>
          <w:u w:val="none"/>
        </w:rPr>
        <w:t>.COM</w:t>
      </w:r>
      <w:r w:rsidR="0057439C" w:rsidRPr="00FC0A44">
        <w:rPr>
          <w:u w:val="none"/>
        </w:rPr>
        <w:t>/</w:t>
      </w:r>
      <w:r w:rsidR="009F1042" w:rsidRPr="00FC0A44">
        <w:rPr>
          <w:u w:val="none"/>
        </w:rPr>
        <w:t>9 et ses annexes,</w:t>
      </w:r>
    </w:p>
    <w:p w14:paraId="60F2C713" w14:textId="2A3635E2" w:rsidR="0057439C" w:rsidRPr="00FC0A44" w:rsidRDefault="00DB4A84" w:rsidP="00FC0A44">
      <w:pPr>
        <w:pStyle w:val="COMParaDecision"/>
        <w:ind w:left="1134" w:hanging="567"/>
      </w:pPr>
      <w:r w:rsidRPr="00FC0A44">
        <w:t>Rappelant</w:t>
      </w:r>
      <w:r w:rsidRPr="00FC0A44">
        <w:rPr>
          <w:u w:val="none"/>
        </w:rPr>
        <w:t xml:space="preserve"> </w:t>
      </w:r>
      <w:r w:rsidR="00DE0E90" w:rsidRPr="00FC0A44">
        <w:rPr>
          <w:u w:val="none"/>
        </w:rPr>
        <w:t>l</w:t>
      </w:r>
      <w:r w:rsidR="00260217">
        <w:rPr>
          <w:u w:val="none"/>
        </w:rPr>
        <w:t>’</w:t>
      </w:r>
      <w:r w:rsidR="00DE0E90" w:rsidRPr="00FC0A44">
        <w:rPr>
          <w:u w:val="none"/>
        </w:rPr>
        <w:t>a</w:t>
      </w:r>
      <w:r w:rsidR="009F1042" w:rsidRPr="00FC0A44">
        <w:rPr>
          <w:u w:val="none"/>
        </w:rPr>
        <w:t xml:space="preserve">rticle 25.5 </w:t>
      </w:r>
      <w:r w:rsidR="00DE0E90" w:rsidRPr="00FC0A44">
        <w:rPr>
          <w:u w:val="none"/>
        </w:rPr>
        <w:t>de la</w:t>
      </w:r>
      <w:r w:rsidR="009F1042" w:rsidRPr="00FC0A44">
        <w:rPr>
          <w:u w:val="none"/>
        </w:rPr>
        <w:t xml:space="preserve"> Convention </w:t>
      </w:r>
      <w:r w:rsidR="00DE0E90" w:rsidRPr="00FC0A44">
        <w:rPr>
          <w:u w:val="none"/>
        </w:rPr>
        <w:t xml:space="preserve">et le chapitre </w:t>
      </w:r>
      <w:r w:rsidR="009F1042" w:rsidRPr="00FC0A44">
        <w:rPr>
          <w:u w:val="none"/>
        </w:rPr>
        <w:t xml:space="preserve">II </w:t>
      </w:r>
      <w:r w:rsidR="00DE0E90" w:rsidRPr="00FC0A44">
        <w:rPr>
          <w:u w:val="none"/>
        </w:rPr>
        <w:t>des Directives opérationnelles</w:t>
      </w:r>
      <w:r w:rsidR="0057439C" w:rsidRPr="00FC0A44">
        <w:rPr>
          <w:u w:val="none"/>
        </w:rPr>
        <w:t>,</w:t>
      </w:r>
    </w:p>
    <w:p w14:paraId="5CCC0442" w14:textId="77777777" w:rsidR="00443880" w:rsidRPr="00FC0A44" w:rsidRDefault="00443880" w:rsidP="00FC0A44">
      <w:pPr>
        <w:pStyle w:val="COMParaDecision"/>
        <w:ind w:left="1134" w:hanging="567"/>
      </w:pPr>
      <w:r w:rsidRPr="00FC0A44">
        <w:t>Rappelant également</w:t>
      </w:r>
      <w:r w:rsidR="009B601A" w:rsidRPr="00FC0A44">
        <w:rPr>
          <w:u w:val="none"/>
        </w:rPr>
        <w:t xml:space="preserve"> </w:t>
      </w:r>
      <w:r w:rsidR="00DE0E90" w:rsidRPr="00FC0A44">
        <w:rPr>
          <w:u w:val="none"/>
        </w:rPr>
        <w:t>les dé</w:t>
      </w:r>
      <w:r w:rsidR="009B601A" w:rsidRPr="00FC0A44">
        <w:rPr>
          <w:u w:val="none"/>
        </w:rPr>
        <w:t xml:space="preserve">cisions 7.COM 18, 8.COM 12 </w:t>
      </w:r>
      <w:r w:rsidR="00DE0E90" w:rsidRPr="00FC0A44">
        <w:rPr>
          <w:u w:val="none"/>
        </w:rPr>
        <w:t>et</w:t>
      </w:r>
      <w:r w:rsidR="009B601A" w:rsidRPr="00FC0A44">
        <w:rPr>
          <w:u w:val="none"/>
        </w:rPr>
        <w:t xml:space="preserve"> 9.COM 7</w:t>
      </w:r>
      <w:r w:rsidRPr="00FC0A44">
        <w:rPr>
          <w:u w:val="none"/>
        </w:rPr>
        <w:t>,</w:t>
      </w:r>
    </w:p>
    <w:p w14:paraId="19CC4872" w14:textId="7ADA2A8D" w:rsidR="00443880" w:rsidRPr="00FC0A44" w:rsidRDefault="00DE0E90" w:rsidP="00FC0A44">
      <w:pPr>
        <w:pStyle w:val="COMParaDecision"/>
        <w:ind w:left="1134" w:hanging="567"/>
      </w:pPr>
      <w:r w:rsidRPr="00FC0A44">
        <w:t>Félicite</w:t>
      </w:r>
      <w:r w:rsidRPr="00FC0A44">
        <w:rPr>
          <w:u w:val="none"/>
        </w:rPr>
        <w:t xml:space="preserve"> la </w:t>
      </w:r>
      <w:r w:rsidR="009B601A" w:rsidRPr="00FC0A44">
        <w:rPr>
          <w:rStyle w:val="hps"/>
          <w:u w:val="none"/>
        </w:rPr>
        <w:t xml:space="preserve">Commission </w:t>
      </w:r>
      <w:r w:rsidRPr="00FC0A44">
        <w:rPr>
          <w:rStyle w:val="hps"/>
          <w:u w:val="none"/>
        </w:rPr>
        <w:t>nationale de la République populaire de Chine pour son offre généreuse de contribution volontaire supplémentaire au Fonds du patrimoine culturel immatériel pour financer l</w:t>
      </w:r>
      <w:r w:rsidR="00260217">
        <w:rPr>
          <w:rStyle w:val="hps"/>
          <w:u w:val="none"/>
        </w:rPr>
        <w:t>’</w:t>
      </w:r>
      <w:r w:rsidRPr="00FC0A44">
        <w:rPr>
          <w:rStyle w:val="hps"/>
          <w:u w:val="none"/>
        </w:rPr>
        <w:t xml:space="preserve">organisation en </w:t>
      </w:r>
      <w:r w:rsidR="009B601A" w:rsidRPr="00FC0A44">
        <w:rPr>
          <w:u w:val="none"/>
        </w:rPr>
        <w:t xml:space="preserve">2016 </w:t>
      </w:r>
      <w:r w:rsidRPr="00FC0A44">
        <w:rPr>
          <w:u w:val="none"/>
        </w:rPr>
        <w:t>d</w:t>
      </w:r>
      <w:r w:rsidR="00260217">
        <w:rPr>
          <w:u w:val="none"/>
        </w:rPr>
        <w:t>’</w:t>
      </w:r>
      <w:r w:rsidRPr="00FC0A44">
        <w:rPr>
          <w:u w:val="none"/>
        </w:rPr>
        <w:t>une réunion préliminaire d</w:t>
      </w:r>
      <w:r w:rsidR="00260217">
        <w:rPr>
          <w:u w:val="none"/>
        </w:rPr>
        <w:t>’</w:t>
      </w:r>
      <w:r w:rsidRPr="00FC0A44">
        <w:rPr>
          <w:u w:val="none"/>
        </w:rPr>
        <w:t xml:space="preserve">experts </w:t>
      </w:r>
      <w:r w:rsidR="00D64A42" w:rsidRPr="00FC0A44">
        <w:rPr>
          <w:u w:val="none"/>
        </w:rPr>
        <w:t xml:space="preserve">visant à </w:t>
      </w:r>
      <w:r w:rsidRPr="00FC0A44">
        <w:rPr>
          <w:u w:val="none"/>
        </w:rPr>
        <w:t xml:space="preserve">poser les bases </w:t>
      </w:r>
      <w:r w:rsidR="00075395" w:rsidRPr="00FC0A44">
        <w:rPr>
          <w:u w:val="none"/>
        </w:rPr>
        <w:t xml:space="preserve">sur lesquelles </w:t>
      </w:r>
      <w:r w:rsidR="00D64A42" w:rsidRPr="00FC0A44">
        <w:rPr>
          <w:u w:val="none"/>
        </w:rPr>
        <w:t xml:space="preserve">un </w:t>
      </w:r>
      <w:r w:rsidRPr="00FC0A44">
        <w:rPr>
          <w:u w:val="none"/>
        </w:rPr>
        <w:t xml:space="preserve">cadre </w:t>
      </w:r>
      <w:r w:rsidR="00B64C2F" w:rsidRPr="00FC0A44">
        <w:rPr>
          <w:u w:val="none"/>
        </w:rPr>
        <w:t xml:space="preserve">global </w:t>
      </w:r>
      <w:r w:rsidRPr="00FC0A44">
        <w:rPr>
          <w:u w:val="none"/>
        </w:rPr>
        <w:t xml:space="preserve">de résultats </w:t>
      </w:r>
      <w:r w:rsidR="00B64C2F" w:rsidRPr="00FC0A44">
        <w:rPr>
          <w:u w:val="none"/>
        </w:rPr>
        <w:t xml:space="preserve">pour </w:t>
      </w:r>
      <w:r w:rsidRPr="00FC0A44">
        <w:rPr>
          <w:u w:val="none"/>
        </w:rPr>
        <w:t xml:space="preserve">la </w:t>
      </w:r>
      <w:r w:rsidR="009B601A" w:rsidRPr="00FC0A44">
        <w:rPr>
          <w:u w:val="none"/>
        </w:rPr>
        <w:t>Convention</w:t>
      </w:r>
      <w:r w:rsidRPr="00FC0A44">
        <w:rPr>
          <w:u w:val="none"/>
        </w:rPr>
        <w:t xml:space="preserve"> </w:t>
      </w:r>
      <w:r w:rsidR="00075395" w:rsidRPr="00FC0A44">
        <w:rPr>
          <w:u w:val="none"/>
        </w:rPr>
        <w:t>pourrait être élaboré </w:t>
      </w:r>
      <w:r w:rsidR="009B601A" w:rsidRPr="00FC0A44">
        <w:rPr>
          <w:u w:val="none"/>
        </w:rPr>
        <w:t>;</w:t>
      </w:r>
    </w:p>
    <w:p w14:paraId="4D04098A" w14:textId="659628D2" w:rsidR="00443880" w:rsidRPr="00FC0A44" w:rsidRDefault="009B601A" w:rsidP="00FC0A44">
      <w:pPr>
        <w:pStyle w:val="COMParaDecision"/>
        <w:ind w:left="1134" w:hanging="567"/>
      </w:pPr>
      <w:r w:rsidRPr="00FC0A44">
        <w:t>Accept</w:t>
      </w:r>
      <w:r w:rsidR="00DE0E90" w:rsidRPr="00FC0A44">
        <w:t>e</w:t>
      </w:r>
      <w:r w:rsidRPr="00FC0A44">
        <w:t xml:space="preserve"> </w:t>
      </w:r>
      <w:r w:rsidR="00DE0E90" w:rsidRPr="00FC0A44">
        <w:t>avec</w:t>
      </w:r>
      <w:r w:rsidRPr="00FC0A44">
        <w:t xml:space="preserve"> gratitude</w:t>
      </w:r>
      <w:r w:rsidRPr="00FC0A44">
        <w:rPr>
          <w:u w:val="none"/>
        </w:rPr>
        <w:t xml:space="preserve"> </w:t>
      </w:r>
      <w:r w:rsidR="006A0431" w:rsidRPr="00FC0A44">
        <w:rPr>
          <w:u w:val="none"/>
        </w:rPr>
        <w:t>la</w:t>
      </w:r>
      <w:r w:rsidRPr="00FC0A44">
        <w:rPr>
          <w:u w:val="none"/>
        </w:rPr>
        <w:t xml:space="preserve"> contribution </w:t>
      </w:r>
      <w:r w:rsidR="006A0431" w:rsidRPr="00FC0A44">
        <w:rPr>
          <w:u w:val="none"/>
        </w:rPr>
        <w:t>généreuse de la Commission nationale de la République populaire de Chine</w:t>
      </w:r>
      <w:r w:rsidRPr="00FC0A44">
        <w:rPr>
          <w:u w:val="none"/>
        </w:rPr>
        <w:t xml:space="preserve">, </w:t>
      </w:r>
      <w:r w:rsidRPr="00FC0A44">
        <w:t>appro</w:t>
      </w:r>
      <w:r w:rsidR="006A0431" w:rsidRPr="00FC0A44">
        <w:t>u</w:t>
      </w:r>
      <w:r w:rsidRPr="00FC0A44">
        <w:t>ve</w:t>
      </w:r>
      <w:r w:rsidRPr="00FC0A44">
        <w:rPr>
          <w:u w:val="none"/>
        </w:rPr>
        <w:t xml:space="preserve"> </w:t>
      </w:r>
      <w:r w:rsidR="006A0431" w:rsidRPr="00FC0A44">
        <w:rPr>
          <w:u w:val="none"/>
        </w:rPr>
        <w:t>son objet spécifique et</w:t>
      </w:r>
      <w:r w:rsidRPr="00FC0A44">
        <w:rPr>
          <w:u w:val="none"/>
        </w:rPr>
        <w:t xml:space="preserve"> </w:t>
      </w:r>
      <w:r w:rsidR="006A0431" w:rsidRPr="00FC0A44">
        <w:t>d</w:t>
      </w:r>
      <w:r w:rsidRPr="00FC0A44">
        <w:t>e</w:t>
      </w:r>
      <w:r w:rsidR="006A0431" w:rsidRPr="00FC0A44">
        <w:t>mande</w:t>
      </w:r>
      <w:r w:rsidR="006A0431" w:rsidRPr="00FC0A44">
        <w:rPr>
          <w:u w:val="none"/>
        </w:rPr>
        <w:t xml:space="preserve"> au</w:t>
      </w:r>
      <w:r w:rsidRPr="00FC0A44">
        <w:rPr>
          <w:u w:val="none"/>
        </w:rPr>
        <w:t xml:space="preserve"> Secr</w:t>
      </w:r>
      <w:r w:rsidR="006A0431" w:rsidRPr="00FC0A44">
        <w:rPr>
          <w:u w:val="none"/>
        </w:rPr>
        <w:t>é</w:t>
      </w:r>
      <w:r w:rsidRPr="00FC0A44">
        <w:rPr>
          <w:u w:val="none"/>
        </w:rPr>
        <w:t xml:space="preserve">tariat </w:t>
      </w:r>
      <w:r w:rsidR="00B64C2F" w:rsidRPr="00FC0A44">
        <w:rPr>
          <w:u w:val="none"/>
        </w:rPr>
        <w:t>d</w:t>
      </w:r>
      <w:r w:rsidR="00260217">
        <w:rPr>
          <w:u w:val="none"/>
        </w:rPr>
        <w:t>’</w:t>
      </w:r>
      <w:r w:rsidR="00B64C2F" w:rsidRPr="00FC0A44">
        <w:rPr>
          <w:u w:val="none"/>
        </w:rPr>
        <w:t>assurer la bonne organisation de</w:t>
      </w:r>
      <w:r w:rsidR="006A0431" w:rsidRPr="00FC0A44">
        <w:rPr>
          <w:u w:val="none"/>
        </w:rPr>
        <w:t xml:space="preserve"> la réunion d</w:t>
      </w:r>
      <w:r w:rsidR="00260217">
        <w:rPr>
          <w:u w:val="none"/>
        </w:rPr>
        <w:t>’</w:t>
      </w:r>
      <w:r w:rsidR="006A0431" w:rsidRPr="00FC0A44">
        <w:rPr>
          <w:u w:val="none"/>
        </w:rPr>
        <w:t>experts </w:t>
      </w:r>
      <w:r w:rsidRPr="00FC0A44">
        <w:rPr>
          <w:u w:val="none"/>
        </w:rPr>
        <w:t>;</w:t>
      </w:r>
    </w:p>
    <w:p w14:paraId="1D5F19EC" w14:textId="07237A60" w:rsidR="00443880" w:rsidRPr="00FC0A44" w:rsidRDefault="00B64C2F" w:rsidP="00FC0A44">
      <w:pPr>
        <w:pStyle w:val="COMParaDecision"/>
        <w:ind w:left="1134" w:hanging="567"/>
      </w:pPr>
      <w:r w:rsidRPr="00FC0A44">
        <w:t>Exprime sa préoccupation</w:t>
      </w:r>
      <w:r w:rsidR="009B601A" w:rsidRPr="00FC0A44">
        <w:rPr>
          <w:u w:val="none"/>
        </w:rPr>
        <w:t xml:space="preserve"> </w:t>
      </w:r>
      <w:r w:rsidR="00C238A0" w:rsidRPr="00FC0A44">
        <w:rPr>
          <w:u w:val="none"/>
        </w:rPr>
        <w:t>par la non-réception</w:t>
      </w:r>
      <w:r w:rsidR="00C34325" w:rsidRPr="00FC0A44">
        <w:rPr>
          <w:u w:val="none"/>
        </w:rPr>
        <w:t xml:space="preserve"> </w:t>
      </w:r>
      <w:r w:rsidRPr="00FC0A44">
        <w:rPr>
          <w:u w:val="none"/>
        </w:rPr>
        <w:t xml:space="preserve">de </w:t>
      </w:r>
      <w:r w:rsidR="00C34325" w:rsidRPr="00FC0A44">
        <w:rPr>
          <w:u w:val="none"/>
        </w:rPr>
        <w:t>contribution</w:t>
      </w:r>
      <w:r w:rsidRPr="00FC0A44">
        <w:rPr>
          <w:u w:val="none"/>
        </w:rPr>
        <w:t>s</w:t>
      </w:r>
      <w:r w:rsidR="00C34325" w:rsidRPr="00FC0A44">
        <w:rPr>
          <w:u w:val="none"/>
        </w:rPr>
        <w:t xml:space="preserve"> volontaire</w:t>
      </w:r>
      <w:r w:rsidRPr="00FC0A44">
        <w:rPr>
          <w:u w:val="none"/>
        </w:rPr>
        <w:t>s</w:t>
      </w:r>
      <w:r w:rsidR="00C34325" w:rsidRPr="00FC0A44">
        <w:rPr>
          <w:u w:val="none"/>
        </w:rPr>
        <w:t xml:space="preserve"> supplémentaire</w:t>
      </w:r>
      <w:r w:rsidRPr="00FC0A44">
        <w:rPr>
          <w:u w:val="none"/>
        </w:rPr>
        <w:t>s</w:t>
      </w:r>
      <w:r w:rsidR="00C34325" w:rsidRPr="00FC0A44">
        <w:rPr>
          <w:u w:val="none"/>
        </w:rPr>
        <w:t xml:space="preserve"> au Fonds du patrimoine culturel immatériel pour soutenir le </w:t>
      </w:r>
      <w:r w:rsidRPr="00FC0A44">
        <w:rPr>
          <w:u w:val="none"/>
        </w:rPr>
        <w:t xml:space="preserve">cadre programmatique du </w:t>
      </w:r>
      <w:r w:rsidR="00C34325" w:rsidRPr="00FC0A44">
        <w:rPr>
          <w:u w:val="none"/>
        </w:rPr>
        <w:t xml:space="preserve">Programme additionnel complémentaire </w:t>
      </w:r>
      <w:r w:rsidR="009B601A" w:rsidRPr="00FC0A44">
        <w:rPr>
          <w:u w:val="none"/>
        </w:rPr>
        <w:t xml:space="preserve">2014-2017 </w:t>
      </w:r>
      <w:r w:rsidR="00C34325" w:rsidRPr="00FC0A44">
        <w:rPr>
          <w:u w:val="none"/>
        </w:rPr>
        <w:t>intitulé « Renforcement des capacités de sauvegarde du patrimoine culturel immatériel pour le développement durable », tout en</w:t>
      </w:r>
      <w:r w:rsidR="009B601A" w:rsidRPr="00FC0A44">
        <w:rPr>
          <w:u w:val="none"/>
        </w:rPr>
        <w:t xml:space="preserve"> </w:t>
      </w:r>
      <w:r w:rsidR="009B601A" w:rsidRPr="00FC0A44">
        <w:t>not</w:t>
      </w:r>
      <w:r w:rsidR="00C34325" w:rsidRPr="00FC0A44">
        <w:t>a</w:t>
      </w:r>
      <w:r w:rsidR="009B601A" w:rsidRPr="00FC0A44">
        <w:t>n</w:t>
      </w:r>
      <w:r w:rsidR="00C34325" w:rsidRPr="00FC0A44">
        <w:t>t</w:t>
      </w:r>
      <w:r w:rsidR="00C34325" w:rsidRPr="00FC0A44">
        <w:rPr>
          <w:u w:val="none"/>
        </w:rPr>
        <w:t xml:space="preserve"> l</w:t>
      </w:r>
      <w:r w:rsidR="00260217">
        <w:rPr>
          <w:u w:val="none"/>
        </w:rPr>
        <w:t>’</w:t>
      </w:r>
      <w:r w:rsidR="00C34325" w:rsidRPr="00FC0A44">
        <w:rPr>
          <w:u w:val="none"/>
        </w:rPr>
        <w:t>engagement du gouvernement de la Catalogne (Espagne) d</w:t>
      </w:r>
      <w:r w:rsidR="00260217">
        <w:rPr>
          <w:u w:val="none"/>
        </w:rPr>
        <w:t>’</w:t>
      </w:r>
      <w:r w:rsidR="00C34325" w:rsidRPr="00FC0A44">
        <w:rPr>
          <w:u w:val="none"/>
        </w:rPr>
        <w:t xml:space="preserve">offrir une contribution pour continuer </w:t>
      </w:r>
      <w:r w:rsidRPr="00FC0A44">
        <w:rPr>
          <w:u w:val="none"/>
        </w:rPr>
        <w:t>davantage</w:t>
      </w:r>
      <w:r w:rsidR="00C34325" w:rsidRPr="00FC0A44">
        <w:rPr>
          <w:u w:val="none"/>
        </w:rPr>
        <w:t xml:space="preserve"> la</w:t>
      </w:r>
      <w:r w:rsidR="009B601A" w:rsidRPr="00FC0A44">
        <w:rPr>
          <w:u w:val="none"/>
        </w:rPr>
        <w:t xml:space="preserve"> Mauritani</w:t>
      </w:r>
      <w:r w:rsidR="00C34325" w:rsidRPr="00FC0A44">
        <w:rPr>
          <w:u w:val="none"/>
        </w:rPr>
        <w:t>e</w:t>
      </w:r>
      <w:r w:rsidR="009B601A" w:rsidRPr="00FC0A44">
        <w:rPr>
          <w:u w:val="none"/>
        </w:rPr>
        <w:t xml:space="preserve">, </w:t>
      </w:r>
      <w:r w:rsidR="00C34325" w:rsidRPr="00FC0A44">
        <w:rPr>
          <w:u w:val="none"/>
        </w:rPr>
        <w:t>le Ma</w:t>
      </w:r>
      <w:r w:rsidR="009B601A" w:rsidRPr="00FC0A44">
        <w:rPr>
          <w:u w:val="none"/>
        </w:rPr>
        <w:t xml:space="preserve">roc </w:t>
      </w:r>
      <w:r w:rsidR="00C34325" w:rsidRPr="00FC0A44">
        <w:rPr>
          <w:u w:val="none"/>
        </w:rPr>
        <w:t>et la</w:t>
      </w:r>
      <w:r w:rsidR="009B601A" w:rsidRPr="00FC0A44">
        <w:rPr>
          <w:u w:val="none"/>
        </w:rPr>
        <w:t xml:space="preserve"> Tunisi</w:t>
      </w:r>
      <w:r w:rsidR="00C34325" w:rsidRPr="00FC0A44">
        <w:rPr>
          <w:u w:val="none"/>
        </w:rPr>
        <w:t>e</w:t>
      </w:r>
      <w:r w:rsidR="009B601A" w:rsidRPr="00FC0A44">
        <w:rPr>
          <w:u w:val="none"/>
        </w:rPr>
        <w:t xml:space="preserve"> </w:t>
      </w:r>
      <w:r w:rsidR="00C34325" w:rsidRPr="00FC0A44">
        <w:rPr>
          <w:u w:val="none"/>
        </w:rPr>
        <w:t>dans ce cadre</w:t>
      </w:r>
      <w:r w:rsidR="004F514B" w:rsidRPr="00FC0A44">
        <w:rPr>
          <w:u w:val="none"/>
        </w:rPr>
        <w:t> ;</w:t>
      </w:r>
    </w:p>
    <w:p w14:paraId="647222C3" w14:textId="09218E35" w:rsidR="0057439C" w:rsidRPr="00FC0A44" w:rsidRDefault="004F514B" w:rsidP="00FC0A44">
      <w:pPr>
        <w:pStyle w:val="COMParaDecision"/>
        <w:ind w:left="1134" w:hanging="567"/>
      </w:pPr>
      <w:r w:rsidRPr="00FC0A44">
        <w:t>Reconnaît</w:t>
      </w:r>
      <w:r w:rsidRPr="00FC0A44">
        <w:rPr>
          <w:u w:val="none"/>
        </w:rPr>
        <w:t xml:space="preserve"> le</w:t>
      </w:r>
      <w:r w:rsidR="009B601A" w:rsidRPr="00FC0A44">
        <w:rPr>
          <w:u w:val="none"/>
        </w:rPr>
        <w:t xml:space="preserve"> s</w:t>
      </w:r>
      <w:r w:rsidRPr="00FC0A44">
        <w:rPr>
          <w:u w:val="none"/>
        </w:rPr>
        <w:t xml:space="preserve">outien majeur et </w:t>
      </w:r>
      <w:r w:rsidR="00B64C2F" w:rsidRPr="00FC0A44">
        <w:rPr>
          <w:u w:val="none"/>
        </w:rPr>
        <w:t xml:space="preserve">pionnier </w:t>
      </w:r>
      <w:r w:rsidRPr="00FC0A44">
        <w:rPr>
          <w:u w:val="none"/>
        </w:rPr>
        <w:t xml:space="preserve">apporté par la Norvège à la stratégie globale de renforcement des capacités, tout en </w:t>
      </w:r>
      <w:r w:rsidR="009B601A" w:rsidRPr="00FC0A44">
        <w:t>regr</w:t>
      </w:r>
      <w:r w:rsidRPr="00FC0A44">
        <w:t>et</w:t>
      </w:r>
      <w:r w:rsidR="009B601A" w:rsidRPr="00FC0A44">
        <w:t>t</w:t>
      </w:r>
      <w:r w:rsidRPr="00FC0A44">
        <w:t>a</w:t>
      </w:r>
      <w:r w:rsidR="009B601A" w:rsidRPr="00FC0A44">
        <w:t>n</w:t>
      </w:r>
      <w:r w:rsidRPr="00FC0A44">
        <w:t>t</w:t>
      </w:r>
      <w:r w:rsidR="00745807" w:rsidRPr="00FC0A44">
        <w:rPr>
          <w:u w:val="none"/>
        </w:rPr>
        <w:t xml:space="preserve"> que</w:t>
      </w:r>
      <w:r w:rsidR="00B64C2F" w:rsidRPr="00FC0A44">
        <w:rPr>
          <w:u w:val="none"/>
        </w:rPr>
        <w:t xml:space="preserve"> la contribution volontaire supplémentaire acceptée en 2012</w:t>
      </w:r>
      <w:r w:rsidR="00745807" w:rsidRPr="00FC0A44">
        <w:rPr>
          <w:u w:val="none"/>
        </w:rPr>
        <w:t xml:space="preserve"> ait été </w:t>
      </w:r>
      <w:r w:rsidR="00B64C2F" w:rsidRPr="00FC0A44">
        <w:rPr>
          <w:u w:val="none"/>
        </w:rPr>
        <w:t xml:space="preserve">réduite </w:t>
      </w:r>
      <w:r w:rsidR="00745807" w:rsidRPr="00FC0A44">
        <w:rPr>
          <w:u w:val="none"/>
        </w:rPr>
        <w:t xml:space="preserve">de </w:t>
      </w:r>
      <w:r w:rsidR="009B601A" w:rsidRPr="00FC0A44">
        <w:rPr>
          <w:u w:val="none"/>
        </w:rPr>
        <w:t>5</w:t>
      </w:r>
      <w:r w:rsidR="00745807" w:rsidRPr="00FC0A44">
        <w:rPr>
          <w:u w:val="none"/>
        </w:rPr>
        <w:t> % </w:t>
      </w:r>
      <w:r w:rsidR="009B601A" w:rsidRPr="00FC0A44">
        <w:rPr>
          <w:u w:val="none"/>
        </w:rPr>
        <w:t>;</w:t>
      </w:r>
    </w:p>
    <w:p w14:paraId="09AC7D3E" w14:textId="09232D93" w:rsidR="0057439C" w:rsidRPr="00FC0A44" w:rsidRDefault="00745807" w:rsidP="00FC0A44">
      <w:pPr>
        <w:pStyle w:val="COMParaDecision"/>
        <w:ind w:left="1134" w:hanging="567"/>
      </w:pPr>
      <w:r w:rsidRPr="00FC0A44">
        <w:t>Prend note</w:t>
      </w:r>
      <w:r w:rsidR="009B601A" w:rsidRPr="00FC0A44">
        <w:rPr>
          <w:u w:val="none"/>
        </w:rPr>
        <w:t xml:space="preserve"> </w:t>
      </w:r>
      <w:r w:rsidRPr="00FC0A44">
        <w:rPr>
          <w:u w:val="none"/>
        </w:rPr>
        <w:t xml:space="preserve">du fait que le Brésil et le </w:t>
      </w:r>
      <w:r w:rsidR="009B601A" w:rsidRPr="00FC0A44">
        <w:rPr>
          <w:u w:val="none"/>
        </w:rPr>
        <w:t xml:space="preserve">Viet Nam </w:t>
      </w:r>
      <w:r w:rsidRPr="00FC0A44">
        <w:rPr>
          <w:u w:val="none"/>
        </w:rPr>
        <w:t>n</w:t>
      </w:r>
      <w:r w:rsidR="00260217">
        <w:rPr>
          <w:u w:val="none"/>
        </w:rPr>
        <w:t>’</w:t>
      </w:r>
      <w:r w:rsidRPr="00FC0A44">
        <w:rPr>
          <w:u w:val="none"/>
        </w:rPr>
        <w:t>ont</w:t>
      </w:r>
      <w:r w:rsidR="00F977F2" w:rsidRPr="00FC0A44">
        <w:rPr>
          <w:u w:val="none"/>
        </w:rPr>
        <w:t>,</w:t>
      </w:r>
      <w:r w:rsidRPr="00FC0A44">
        <w:rPr>
          <w:u w:val="none"/>
        </w:rPr>
        <w:t xml:space="preserve"> à ce jour</w:t>
      </w:r>
      <w:r w:rsidR="00F977F2" w:rsidRPr="00FC0A44">
        <w:rPr>
          <w:u w:val="none"/>
        </w:rPr>
        <w:t>,</w:t>
      </w:r>
      <w:r w:rsidRPr="00FC0A44">
        <w:rPr>
          <w:u w:val="none"/>
        </w:rPr>
        <w:t xml:space="preserve"> pas été en mesure d</w:t>
      </w:r>
      <w:r w:rsidR="00260217">
        <w:rPr>
          <w:u w:val="none"/>
        </w:rPr>
        <w:t>’</w:t>
      </w:r>
      <w:r w:rsidRPr="00FC0A44">
        <w:rPr>
          <w:u w:val="none"/>
        </w:rPr>
        <w:t>honorer les offres qu</w:t>
      </w:r>
      <w:r w:rsidR="00260217">
        <w:rPr>
          <w:u w:val="none"/>
        </w:rPr>
        <w:t>’</w:t>
      </w:r>
      <w:r w:rsidRPr="00FC0A44">
        <w:rPr>
          <w:u w:val="none"/>
        </w:rPr>
        <w:t>il avait approuvées e</w:t>
      </w:r>
      <w:r w:rsidR="009B601A" w:rsidRPr="00FC0A44">
        <w:rPr>
          <w:u w:val="none"/>
        </w:rPr>
        <w:t xml:space="preserve">n 2013 </w:t>
      </w:r>
      <w:r w:rsidRPr="00FC0A44">
        <w:rPr>
          <w:u w:val="none"/>
        </w:rPr>
        <w:t>et les</w:t>
      </w:r>
      <w:r w:rsidR="009B601A" w:rsidRPr="00FC0A44">
        <w:rPr>
          <w:u w:val="none"/>
        </w:rPr>
        <w:t xml:space="preserve"> </w:t>
      </w:r>
      <w:r w:rsidR="009B601A" w:rsidRPr="00FC0A44">
        <w:t>invite</w:t>
      </w:r>
      <w:r w:rsidR="009B601A" w:rsidRPr="00FC0A44">
        <w:rPr>
          <w:u w:val="none"/>
        </w:rPr>
        <w:t xml:space="preserve"> </w:t>
      </w:r>
      <w:r w:rsidR="00BE4805" w:rsidRPr="00FC0A44">
        <w:rPr>
          <w:u w:val="none"/>
        </w:rPr>
        <w:t>à informer le Secrétariat dans les plus brefs délais de la situation au regard de ces contributions en attente </w:t>
      </w:r>
      <w:r w:rsidR="009B601A" w:rsidRPr="00FC0A44">
        <w:rPr>
          <w:u w:val="none"/>
        </w:rPr>
        <w:t>;</w:t>
      </w:r>
    </w:p>
    <w:p w14:paraId="394D644D" w14:textId="259826B0" w:rsidR="0057439C" w:rsidRPr="00FC0A44" w:rsidRDefault="00BE4805" w:rsidP="00FC0A44">
      <w:pPr>
        <w:pStyle w:val="COMParaDecision"/>
        <w:ind w:left="1134" w:hanging="567"/>
      </w:pPr>
      <w:r w:rsidRPr="00FC0A44">
        <w:t>Prend également note</w:t>
      </w:r>
      <w:r w:rsidRPr="00FC0A44">
        <w:rPr>
          <w:u w:val="none"/>
        </w:rPr>
        <w:t xml:space="preserve"> du fait que les </w:t>
      </w:r>
      <w:r w:rsidR="000F0156" w:rsidRPr="00FC0A44">
        <w:rPr>
          <w:u w:val="none"/>
        </w:rPr>
        <w:t>États</w:t>
      </w:r>
      <w:r w:rsidR="00237FB2" w:rsidRPr="00FC0A44">
        <w:rPr>
          <w:u w:val="none"/>
        </w:rPr>
        <w:t>, a</w:t>
      </w:r>
      <w:r w:rsidRPr="00FC0A44">
        <w:rPr>
          <w:u w:val="none"/>
        </w:rPr>
        <w:t>in</w:t>
      </w:r>
      <w:r w:rsidR="00237FB2" w:rsidRPr="00FC0A44">
        <w:rPr>
          <w:u w:val="none"/>
        </w:rPr>
        <w:t>s</w:t>
      </w:r>
      <w:r w:rsidRPr="00FC0A44">
        <w:rPr>
          <w:u w:val="none"/>
        </w:rPr>
        <w:t>i que d</w:t>
      </w:r>
      <w:r w:rsidR="00260217">
        <w:rPr>
          <w:u w:val="none"/>
        </w:rPr>
        <w:t>’</w:t>
      </w:r>
      <w:r w:rsidRPr="00FC0A44">
        <w:rPr>
          <w:u w:val="none"/>
        </w:rPr>
        <w:t>autres entités</w:t>
      </w:r>
      <w:r w:rsidR="00237FB2" w:rsidRPr="00FC0A44">
        <w:rPr>
          <w:u w:val="none"/>
        </w:rPr>
        <w:t xml:space="preserve">, </w:t>
      </w:r>
      <w:r w:rsidR="001A0D71" w:rsidRPr="00FC0A44">
        <w:rPr>
          <w:u w:val="none"/>
        </w:rPr>
        <w:t>ont eu recours à di</w:t>
      </w:r>
      <w:r w:rsidR="00A84719" w:rsidRPr="00FC0A44">
        <w:rPr>
          <w:u w:val="none"/>
        </w:rPr>
        <w:t>verses</w:t>
      </w:r>
      <w:r w:rsidR="001A0D71" w:rsidRPr="00FC0A44">
        <w:rPr>
          <w:u w:val="none"/>
        </w:rPr>
        <w:t xml:space="preserve"> formes de soutien</w:t>
      </w:r>
      <w:r w:rsidR="00A84719" w:rsidRPr="00FC0A44">
        <w:rPr>
          <w:u w:val="none"/>
        </w:rPr>
        <w:t>,</w:t>
      </w:r>
      <w:r w:rsidR="001A0D71" w:rsidRPr="00FC0A44">
        <w:rPr>
          <w:u w:val="none"/>
        </w:rPr>
        <w:t xml:space="preserve"> financier ou en nature, telles que les contributions volontaires supplémentaires au Fonds du patrimoine culturel immatériel affectées à des fins spécifiques ou au sous-fonds pour </w:t>
      </w:r>
      <w:r w:rsidR="00A84719" w:rsidRPr="00FC0A44">
        <w:rPr>
          <w:u w:val="none"/>
        </w:rPr>
        <w:t xml:space="preserve">le </w:t>
      </w:r>
      <w:r w:rsidR="001A0D71" w:rsidRPr="00FC0A44">
        <w:rPr>
          <w:u w:val="none"/>
        </w:rPr>
        <w:t>renforce</w:t>
      </w:r>
      <w:r w:rsidR="00A84719" w:rsidRPr="00FC0A44">
        <w:rPr>
          <w:u w:val="none"/>
        </w:rPr>
        <w:t>ment de</w:t>
      </w:r>
      <w:r w:rsidR="001A0D71" w:rsidRPr="00FC0A44">
        <w:rPr>
          <w:u w:val="none"/>
        </w:rPr>
        <w:t xml:space="preserve">s capacités humaines du </w:t>
      </w:r>
      <w:r w:rsidR="00237FB2" w:rsidRPr="00FC0A44">
        <w:rPr>
          <w:u w:val="none"/>
        </w:rPr>
        <w:t>Secr</w:t>
      </w:r>
      <w:r w:rsidR="001A0D71" w:rsidRPr="00FC0A44">
        <w:rPr>
          <w:u w:val="none"/>
        </w:rPr>
        <w:t>é</w:t>
      </w:r>
      <w:r w:rsidR="00237FB2" w:rsidRPr="00FC0A44">
        <w:rPr>
          <w:u w:val="none"/>
        </w:rPr>
        <w:t xml:space="preserve">tariat, </w:t>
      </w:r>
      <w:r w:rsidR="001A0D71" w:rsidRPr="00FC0A44">
        <w:rPr>
          <w:u w:val="none"/>
        </w:rPr>
        <w:t>les fonds-en-dépôt</w:t>
      </w:r>
      <w:r w:rsidR="00237FB2" w:rsidRPr="00FC0A44">
        <w:rPr>
          <w:u w:val="none"/>
        </w:rPr>
        <w:t xml:space="preserve">, </w:t>
      </w:r>
      <w:r w:rsidR="001A0D71" w:rsidRPr="00FC0A44">
        <w:rPr>
          <w:u w:val="none"/>
        </w:rPr>
        <w:t xml:space="preserve">les dotations au Programme ordinaire </w:t>
      </w:r>
      <w:r w:rsidR="000868F0" w:rsidRPr="00FC0A44">
        <w:rPr>
          <w:u w:val="none"/>
        </w:rPr>
        <w:t xml:space="preserve">ou le </w:t>
      </w:r>
      <w:r w:rsidR="00A84719" w:rsidRPr="00FC0A44">
        <w:rPr>
          <w:u w:val="none"/>
        </w:rPr>
        <w:t xml:space="preserve">détachement de </w:t>
      </w:r>
      <w:r w:rsidR="000868F0" w:rsidRPr="00FC0A44">
        <w:rPr>
          <w:u w:val="none"/>
        </w:rPr>
        <w:t>personnel </w:t>
      </w:r>
      <w:r w:rsidR="0057439C" w:rsidRPr="00FC0A44">
        <w:rPr>
          <w:u w:val="none"/>
        </w:rPr>
        <w:t>;</w:t>
      </w:r>
    </w:p>
    <w:p w14:paraId="690DC153" w14:textId="05CF3A16" w:rsidR="00443880" w:rsidRPr="00FC0A44" w:rsidRDefault="000868F0" w:rsidP="00FC0A44">
      <w:pPr>
        <w:pStyle w:val="COMParaDecision"/>
        <w:ind w:left="1134" w:hanging="567"/>
      </w:pPr>
      <w:r w:rsidRPr="00FC0A44">
        <w:t>Remercie</w:t>
      </w:r>
      <w:r w:rsidR="00237FB2" w:rsidRPr="00FC0A44">
        <w:rPr>
          <w:u w:val="none"/>
        </w:rPr>
        <w:t xml:space="preserve"> </w:t>
      </w:r>
      <w:r w:rsidRPr="00FC0A44">
        <w:rPr>
          <w:u w:val="none"/>
        </w:rPr>
        <w:t xml:space="preserve">tous </w:t>
      </w:r>
      <w:r w:rsidR="00B63619" w:rsidRPr="00FC0A44">
        <w:rPr>
          <w:u w:val="none"/>
        </w:rPr>
        <w:t xml:space="preserve">les </w:t>
      </w:r>
      <w:r w:rsidR="00F977F2" w:rsidRPr="00FC0A44">
        <w:rPr>
          <w:u w:val="none"/>
        </w:rPr>
        <w:t xml:space="preserve">contributeurs </w:t>
      </w:r>
      <w:r w:rsidR="00B63619" w:rsidRPr="00FC0A44">
        <w:rPr>
          <w:u w:val="none"/>
        </w:rPr>
        <w:t xml:space="preserve">qui ont </w:t>
      </w:r>
      <w:r w:rsidR="00B64C2F" w:rsidRPr="00FC0A44">
        <w:rPr>
          <w:u w:val="none"/>
        </w:rPr>
        <w:t xml:space="preserve">généreusement </w:t>
      </w:r>
      <w:r w:rsidR="00B63619" w:rsidRPr="00FC0A44">
        <w:rPr>
          <w:u w:val="none"/>
        </w:rPr>
        <w:t xml:space="preserve">soutenu la </w:t>
      </w:r>
      <w:r w:rsidR="00237FB2" w:rsidRPr="00FC0A44">
        <w:rPr>
          <w:u w:val="none"/>
        </w:rPr>
        <w:t xml:space="preserve">Convention </w:t>
      </w:r>
      <w:r w:rsidR="00B63619" w:rsidRPr="00FC0A44">
        <w:rPr>
          <w:u w:val="none"/>
        </w:rPr>
        <w:t>et so</w:t>
      </w:r>
      <w:r w:rsidR="00237FB2" w:rsidRPr="00FC0A44">
        <w:rPr>
          <w:u w:val="none"/>
        </w:rPr>
        <w:t>n Secr</w:t>
      </w:r>
      <w:r w:rsidR="00B63619" w:rsidRPr="00FC0A44">
        <w:rPr>
          <w:u w:val="none"/>
        </w:rPr>
        <w:t>é</w:t>
      </w:r>
      <w:r w:rsidR="00237FB2" w:rsidRPr="00FC0A44">
        <w:rPr>
          <w:u w:val="none"/>
        </w:rPr>
        <w:t xml:space="preserve">tariat </w:t>
      </w:r>
      <w:r w:rsidR="00B63619" w:rsidRPr="00FC0A44">
        <w:rPr>
          <w:u w:val="none"/>
        </w:rPr>
        <w:t xml:space="preserve">depuis sa dernière </w:t>
      </w:r>
      <w:r w:rsidR="00237FB2" w:rsidRPr="00FC0A44">
        <w:rPr>
          <w:u w:val="none"/>
        </w:rPr>
        <w:t xml:space="preserve">session, </w:t>
      </w:r>
      <w:r w:rsidR="00B63619" w:rsidRPr="00FC0A44">
        <w:rPr>
          <w:u w:val="none"/>
        </w:rPr>
        <w:t>à savoir l</w:t>
      </w:r>
      <w:r w:rsidR="00260217">
        <w:rPr>
          <w:u w:val="none"/>
        </w:rPr>
        <w:t>’</w:t>
      </w:r>
      <w:r w:rsidR="00B64C2F" w:rsidRPr="00FC0A44">
        <w:rPr>
          <w:u w:val="none"/>
        </w:rPr>
        <w:t>Autorité d</w:t>
      </w:r>
      <w:r w:rsidR="00260217">
        <w:rPr>
          <w:u w:val="none"/>
        </w:rPr>
        <w:t>’</w:t>
      </w:r>
      <w:r w:rsidR="00771645" w:rsidRPr="00FC0A44">
        <w:rPr>
          <w:color w:val="000000"/>
          <w:u w:val="none"/>
        </w:rPr>
        <w:t>Abou</w:t>
      </w:r>
      <w:r w:rsidR="00237FB2" w:rsidRPr="00FC0A44">
        <w:rPr>
          <w:color w:val="000000"/>
          <w:u w:val="none"/>
        </w:rPr>
        <w:t xml:space="preserve"> Dhabi </w:t>
      </w:r>
      <w:r w:rsidR="00B64C2F" w:rsidRPr="00FC0A44">
        <w:rPr>
          <w:color w:val="000000"/>
          <w:u w:val="none"/>
        </w:rPr>
        <w:t>pour le tourisme et la culture</w:t>
      </w:r>
      <w:r w:rsidR="00237FB2" w:rsidRPr="00FC0A44">
        <w:rPr>
          <w:color w:val="000000"/>
          <w:u w:val="none"/>
        </w:rPr>
        <w:t>,</w:t>
      </w:r>
      <w:r w:rsidR="00237FB2" w:rsidRPr="00FC0A44">
        <w:rPr>
          <w:u w:val="none"/>
        </w:rPr>
        <w:t xml:space="preserve"> </w:t>
      </w:r>
      <w:r w:rsidR="00B63619" w:rsidRPr="00FC0A44">
        <w:rPr>
          <w:u w:val="none"/>
        </w:rPr>
        <w:t>l</w:t>
      </w:r>
      <w:r w:rsidR="00260217">
        <w:rPr>
          <w:u w:val="none"/>
        </w:rPr>
        <w:t>’</w:t>
      </w:r>
      <w:r w:rsidR="00237FB2" w:rsidRPr="00FC0A44">
        <w:rPr>
          <w:u w:val="none"/>
        </w:rPr>
        <w:t>Azerba</w:t>
      </w:r>
      <w:r w:rsidR="00B63619" w:rsidRPr="00FC0A44">
        <w:rPr>
          <w:u w:val="none"/>
        </w:rPr>
        <w:t>ïd</w:t>
      </w:r>
      <w:r w:rsidR="00237FB2" w:rsidRPr="00FC0A44">
        <w:rPr>
          <w:u w:val="none"/>
        </w:rPr>
        <w:t xml:space="preserve">jan, </w:t>
      </w:r>
      <w:r w:rsidR="00B63619" w:rsidRPr="00FC0A44">
        <w:rPr>
          <w:u w:val="none"/>
        </w:rPr>
        <w:t xml:space="preserve">le </w:t>
      </w:r>
      <w:r w:rsidR="00237FB2" w:rsidRPr="00FC0A44">
        <w:rPr>
          <w:u w:val="none"/>
        </w:rPr>
        <w:t xml:space="preserve">Burkina Faso, </w:t>
      </w:r>
      <w:r w:rsidR="00B63619" w:rsidRPr="00FC0A44">
        <w:rPr>
          <w:u w:val="none"/>
        </w:rPr>
        <w:t xml:space="preserve">la </w:t>
      </w:r>
      <w:r w:rsidR="00237FB2" w:rsidRPr="00FC0A44">
        <w:rPr>
          <w:u w:val="none"/>
        </w:rPr>
        <w:t>Catalo</w:t>
      </w:r>
      <w:r w:rsidR="00B63619" w:rsidRPr="00FC0A44">
        <w:rPr>
          <w:u w:val="none"/>
        </w:rPr>
        <w:t>g</w:t>
      </w:r>
      <w:r w:rsidR="00237FB2" w:rsidRPr="00FC0A44">
        <w:rPr>
          <w:u w:val="none"/>
        </w:rPr>
        <w:t>n</w:t>
      </w:r>
      <w:r w:rsidR="00B63619" w:rsidRPr="00FC0A44">
        <w:rPr>
          <w:u w:val="none"/>
        </w:rPr>
        <w:t>e</w:t>
      </w:r>
      <w:r w:rsidR="00237FB2" w:rsidRPr="00FC0A44">
        <w:rPr>
          <w:u w:val="none"/>
        </w:rPr>
        <w:t xml:space="preserve"> (</w:t>
      </w:r>
      <w:r w:rsidR="00B63619" w:rsidRPr="00FC0A44">
        <w:rPr>
          <w:u w:val="none"/>
        </w:rPr>
        <w:t>Es</w:t>
      </w:r>
      <w:r w:rsidR="00237FB2" w:rsidRPr="00FC0A44">
        <w:rPr>
          <w:u w:val="none"/>
        </w:rPr>
        <w:t>pa</w:t>
      </w:r>
      <w:r w:rsidR="00B63619" w:rsidRPr="00FC0A44">
        <w:rPr>
          <w:u w:val="none"/>
        </w:rPr>
        <w:t>g</w:t>
      </w:r>
      <w:r w:rsidR="00237FB2" w:rsidRPr="00FC0A44">
        <w:rPr>
          <w:u w:val="none"/>
        </w:rPr>
        <w:t>n</w:t>
      </w:r>
      <w:r w:rsidR="00B63619" w:rsidRPr="00FC0A44">
        <w:rPr>
          <w:u w:val="none"/>
        </w:rPr>
        <w:t>e</w:t>
      </w:r>
      <w:r w:rsidR="00237FB2" w:rsidRPr="00FC0A44">
        <w:rPr>
          <w:u w:val="none"/>
        </w:rPr>
        <w:t xml:space="preserve">), </w:t>
      </w:r>
      <w:r w:rsidR="00B63619" w:rsidRPr="00FC0A44">
        <w:rPr>
          <w:u w:val="none"/>
        </w:rPr>
        <w:t xml:space="preserve">la </w:t>
      </w:r>
      <w:r w:rsidR="00237FB2" w:rsidRPr="00FC0A44">
        <w:rPr>
          <w:u w:val="none"/>
        </w:rPr>
        <w:t>Chin</w:t>
      </w:r>
      <w:r w:rsidR="00B63619" w:rsidRPr="00FC0A44">
        <w:rPr>
          <w:u w:val="none"/>
        </w:rPr>
        <w:t>e</w:t>
      </w:r>
      <w:r w:rsidR="00237FB2" w:rsidRPr="00FC0A44">
        <w:rPr>
          <w:u w:val="none"/>
        </w:rPr>
        <w:t xml:space="preserve">, </w:t>
      </w:r>
      <w:r w:rsidR="00B63619" w:rsidRPr="00FC0A44">
        <w:rPr>
          <w:u w:val="none"/>
        </w:rPr>
        <w:t xml:space="preserve">le </w:t>
      </w:r>
      <w:r w:rsidR="00237FB2" w:rsidRPr="00FC0A44">
        <w:rPr>
          <w:u w:val="none"/>
        </w:rPr>
        <w:t>Jap</w:t>
      </w:r>
      <w:r w:rsidR="00B63619" w:rsidRPr="00FC0A44">
        <w:rPr>
          <w:u w:val="none"/>
        </w:rPr>
        <w:t>o</w:t>
      </w:r>
      <w:r w:rsidR="00237FB2" w:rsidRPr="00FC0A44">
        <w:rPr>
          <w:u w:val="none"/>
        </w:rPr>
        <w:t xml:space="preserve">n, Monaco, </w:t>
      </w:r>
      <w:r w:rsidR="00B64C2F" w:rsidRPr="00FC0A44">
        <w:rPr>
          <w:u w:val="none"/>
        </w:rPr>
        <w:t xml:space="preserve">les Pays-Bas, </w:t>
      </w:r>
      <w:r w:rsidR="00B63619" w:rsidRPr="00FC0A44">
        <w:rPr>
          <w:u w:val="none"/>
        </w:rPr>
        <w:t xml:space="preserve">la </w:t>
      </w:r>
      <w:r w:rsidR="00237FB2" w:rsidRPr="00FC0A44">
        <w:rPr>
          <w:u w:val="none"/>
        </w:rPr>
        <w:t>Nor</w:t>
      </w:r>
      <w:r w:rsidR="00B63619" w:rsidRPr="00FC0A44">
        <w:rPr>
          <w:u w:val="none"/>
        </w:rPr>
        <w:t>vège</w:t>
      </w:r>
      <w:r w:rsidR="00237FB2" w:rsidRPr="00FC0A44">
        <w:rPr>
          <w:u w:val="none"/>
        </w:rPr>
        <w:t xml:space="preserve">, </w:t>
      </w:r>
      <w:r w:rsidR="00B63619" w:rsidRPr="00FC0A44">
        <w:rPr>
          <w:u w:val="none"/>
        </w:rPr>
        <w:t xml:space="preserve">le </w:t>
      </w:r>
      <w:r w:rsidR="00237FB2" w:rsidRPr="00FC0A44">
        <w:rPr>
          <w:u w:val="none"/>
        </w:rPr>
        <w:t xml:space="preserve">Portugal, </w:t>
      </w:r>
      <w:r w:rsidR="00B63619" w:rsidRPr="00FC0A44">
        <w:rPr>
          <w:u w:val="none"/>
        </w:rPr>
        <w:t xml:space="preserve">la </w:t>
      </w:r>
      <w:r w:rsidR="00237FB2" w:rsidRPr="00FC0A44">
        <w:rPr>
          <w:u w:val="none"/>
        </w:rPr>
        <w:t>Tur</w:t>
      </w:r>
      <w:r w:rsidR="00B63619" w:rsidRPr="00FC0A44">
        <w:rPr>
          <w:u w:val="none"/>
        </w:rPr>
        <w:t>qui</w:t>
      </w:r>
      <w:r w:rsidR="00237FB2" w:rsidRPr="00FC0A44">
        <w:rPr>
          <w:u w:val="none"/>
        </w:rPr>
        <w:t xml:space="preserve">e, </w:t>
      </w:r>
      <w:r w:rsidR="00B63619" w:rsidRPr="00FC0A44">
        <w:rPr>
          <w:u w:val="none"/>
        </w:rPr>
        <w:t>le</w:t>
      </w:r>
      <w:r w:rsidR="00237FB2" w:rsidRPr="00FC0A44">
        <w:rPr>
          <w:u w:val="none"/>
        </w:rPr>
        <w:t xml:space="preserve"> </w:t>
      </w:r>
      <w:r w:rsidR="00B64C2F" w:rsidRPr="00FC0A44">
        <w:rPr>
          <w:u w:val="none"/>
        </w:rPr>
        <w:t xml:space="preserve">Centre pour le patrimoine </w:t>
      </w:r>
      <w:proofErr w:type="spellStart"/>
      <w:r w:rsidR="00237FB2" w:rsidRPr="00FC0A44">
        <w:rPr>
          <w:bCs/>
          <w:color w:val="000000"/>
          <w:u w:val="none"/>
        </w:rPr>
        <w:t>Hamdan</w:t>
      </w:r>
      <w:proofErr w:type="spellEnd"/>
      <w:r w:rsidR="00237FB2" w:rsidRPr="00FC0A44">
        <w:rPr>
          <w:bCs/>
          <w:color w:val="000000"/>
          <w:u w:val="none"/>
        </w:rPr>
        <w:t xml:space="preserve"> Bin Mohammed (</w:t>
      </w:r>
      <w:r w:rsidR="000F0156" w:rsidRPr="00FC0A44">
        <w:rPr>
          <w:bCs/>
          <w:color w:val="000000"/>
          <w:u w:val="none"/>
        </w:rPr>
        <w:t>Émirats</w:t>
      </w:r>
      <w:r w:rsidR="00B63619" w:rsidRPr="00FC0A44">
        <w:rPr>
          <w:bCs/>
          <w:color w:val="000000"/>
          <w:u w:val="none"/>
        </w:rPr>
        <w:t xml:space="preserve"> arabes unis</w:t>
      </w:r>
      <w:r w:rsidR="00237FB2" w:rsidRPr="00FC0A44">
        <w:rPr>
          <w:bCs/>
          <w:color w:val="000000"/>
          <w:u w:val="none"/>
        </w:rPr>
        <w:t xml:space="preserve">) </w:t>
      </w:r>
      <w:r w:rsidR="00B63619" w:rsidRPr="00FC0A44">
        <w:rPr>
          <w:bCs/>
          <w:color w:val="000000"/>
          <w:u w:val="none"/>
        </w:rPr>
        <w:t>et</w:t>
      </w:r>
      <w:r w:rsidR="00237FB2" w:rsidRPr="00FC0A44">
        <w:rPr>
          <w:bCs/>
          <w:color w:val="000000"/>
          <w:u w:val="none"/>
        </w:rPr>
        <w:t xml:space="preserve"> </w:t>
      </w:r>
      <w:r w:rsidR="006B424C" w:rsidRPr="00FC0A44">
        <w:rPr>
          <w:bCs/>
          <w:color w:val="000000"/>
          <w:u w:val="none"/>
        </w:rPr>
        <w:t>l</w:t>
      </w:r>
      <w:r w:rsidR="00260217">
        <w:rPr>
          <w:bCs/>
          <w:color w:val="000000"/>
          <w:u w:val="none"/>
        </w:rPr>
        <w:t>’</w:t>
      </w:r>
      <w:r w:rsidR="00237FB2" w:rsidRPr="00FC0A44">
        <w:rPr>
          <w:rFonts w:cs="Times New Roman"/>
          <w:szCs w:val="24"/>
          <w:u w:val="none"/>
        </w:rPr>
        <w:t xml:space="preserve">Association </w:t>
      </w:r>
      <w:r w:rsidR="006B424C" w:rsidRPr="00FC0A44">
        <w:rPr>
          <w:rFonts w:cs="Times New Roman"/>
          <w:szCs w:val="24"/>
          <w:u w:val="none"/>
        </w:rPr>
        <w:t xml:space="preserve">pour la sauvegarde du patrimoine culturel immatériel </w:t>
      </w:r>
      <w:r w:rsidR="00237FB2" w:rsidRPr="00FC0A44">
        <w:rPr>
          <w:rFonts w:cs="Times New Roman"/>
          <w:szCs w:val="24"/>
          <w:u w:val="none"/>
        </w:rPr>
        <w:t>(Ital</w:t>
      </w:r>
      <w:r w:rsidR="006B424C" w:rsidRPr="00FC0A44">
        <w:rPr>
          <w:rFonts w:cs="Times New Roman"/>
          <w:szCs w:val="24"/>
          <w:u w:val="none"/>
        </w:rPr>
        <w:t>ie</w:t>
      </w:r>
      <w:r w:rsidR="00237FB2" w:rsidRPr="00FC0A44">
        <w:rPr>
          <w:rFonts w:cs="Times New Roman"/>
          <w:szCs w:val="24"/>
          <w:u w:val="none"/>
        </w:rPr>
        <w:t>)</w:t>
      </w:r>
      <w:r w:rsidR="006B424C" w:rsidRPr="00FC0A44">
        <w:rPr>
          <w:rFonts w:cs="Times New Roman"/>
          <w:szCs w:val="24"/>
          <w:u w:val="none"/>
        </w:rPr>
        <w:t> </w:t>
      </w:r>
      <w:r w:rsidR="00237FB2" w:rsidRPr="00FC0A44">
        <w:rPr>
          <w:bCs/>
          <w:u w:val="none"/>
        </w:rPr>
        <w:t>;</w:t>
      </w:r>
    </w:p>
    <w:p w14:paraId="4FBE87CF" w14:textId="235799E1" w:rsidR="00443880" w:rsidRPr="00FC0A44" w:rsidRDefault="00237FB2" w:rsidP="00FC0A44">
      <w:pPr>
        <w:pStyle w:val="COMParaDecision"/>
        <w:ind w:left="1134" w:hanging="567"/>
      </w:pPr>
      <w:r w:rsidRPr="00FC0A44">
        <w:t>Encourage</w:t>
      </w:r>
      <w:r w:rsidR="006B424C" w:rsidRPr="00FC0A44">
        <w:rPr>
          <w:u w:val="none"/>
        </w:rPr>
        <w:t xml:space="preserve"> d</w:t>
      </w:r>
      <w:r w:rsidR="00260217">
        <w:rPr>
          <w:u w:val="none"/>
        </w:rPr>
        <w:t>’</w:t>
      </w:r>
      <w:r w:rsidR="006B424C" w:rsidRPr="00FC0A44">
        <w:rPr>
          <w:u w:val="none"/>
        </w:rPr>
        <w:t xml:space="preserve">autres </w:t>
      </w:r>
      <w:r w:rsidR="00F977F2" w:rsidRPr="00FC0A44">
        <w:rPr>
          <w:u w:val="none"/>
        </w:rPr>
        <w:t>contributeurs</w:t>
      </w:r>
      <w:r w:rsidR="006B424C" w:rsidRPr="00FC0A44">
        <w:rPr>
          <w:u w:val="none"/>
        </w:rPr>
        <w:t xml:space="preserve"> à envisager la possibilité de soutenir la </w:t>
      </w:r>
      <w:r w:rsidRPr="00FC0A44">
        <w:rPr>
          <w:u w:val="none"/>
        </w:rPr>
        <w:t xml:space="preserve">Convention, </w:t>
      </w:r>
      <w:r w:rsidR="006B424C" w:rsidRPr="00FC0A44">
        <w:rPr>
          <w:u w:val="none"/>
        </w:rPr>
        <w:t>e</w:t>
      </w:r>
      <w:r w:rsidRPr="00FC0A44">
        <w:rPr>
          <w:u w:val="none"/>
        </w:rPr>
        <w:t>n particul</w:t>
      </w:r>
      <w:r w:rsidR="006B424C" w:rsidRPr="00FC0A44">
        <w:rPr>
          <w:u w:val="none"/>
        </w:rPr>
        <w:t>ier par l</w:t>
      </w:r>
      <w:r w:rsidR="00260217">
        <w:rPr>
          <w:u w:val="none"/>
        </w:rPr>
        <w:t>’</w:t>
      </w:r>
      <w:r w:rsidR="006B424C" w:rsidRPr="00FC0A44">
        <w:rPr>
          <w:u w:val="none"/>
        </w:rPr>
        <w:t>intermédiaire du Fonds du p</w:t>
      </w:r>
      <w:r w:rsidRPr="00FC0A44">
        <w:rPr>
          <w:u w:val="none"/>
        </w:rPr>
        <w:t>a</w:t>
      </w:r>
      <w:r w:rsidR="006B424C" w:rsidRPr="00FC0A44">
        <w:rPr>
          <w:u w:val="none"/>
        </w:rPr>
        <w:t xml:space="preserve">trimoine culturel immatériel, tout en les </w:t>
      </w:r>
      <w:r w:rsidRPr="00FC0A44">
        <w:t>invit</w:t>
      </w:r>
      <w:r w:rsidR="006B424C" w:rsidRPr="00FC0A44">
        <w:t>a</w:t>
      </w:r>
      <w:r w:rsidRPr="00FC0A44">
        <w:t>n</w:t>
      </w:r>
      <w:r w:rsidR="006B424C" w:rsidRPr="00FC0A44">
        <w:t>t</w:t>
      </w:r>
      <w:r w:rsidR="006B424C" w:rsidRPr="00FC0A44">
        <w:rPr>
          <w:u w:val="none"/>
        </w:rPr>
        <w:t xml:space="preserve"> à </w:t>
      </w:r>
      <w:r w:rsidR="00B64C2F" w:rsidRPr="006F64A5">
        <w:rPr>
          <w:u w:val="none"/>
        </w:rPr>
        <w:t>verser leur contribution à temps</w:t>
      </w:r>
      <w:r w:rsidR="00B64C2F" w:rsidRPr="00FC0A44">
        <w:rPr>
          <w:u w:val="none"/>
        </w:rPr>
        <w:t xml:space="preserve"> et donc à </w:t>
      </w:r>
      <w:r w:rsidR="006B424C" w:rsidRPr="00FC0A44">
        <w:rPr>
          <w:u w:val="none"/>
        </w:rPr>
        <w:t>raccourcir le plus possible le délai entre leur offre et le paiement des contributions annoncées</w:t>
      </w:r>
      <w:r w:rsidR="00B64C2F" w:rsidRPr="00FC0A44">
        <w:rPr>
          <w:u w:val="none"/>
        </w:rPr>
        <w:t>, permettant ainsi la mise en œuvre des activités, sans heurts et sans délais</w:t>
      </w:r>
      <w:r w:rsidR="006B424C" w:rsidRPr="00FC0A44">
        <w:rPr>
          <w:u w:val="none"/>
        </w:rPr>
        <w:t> </w:t>
      </w:r>
      <w:r w:rsidRPr="00FC0A44">
        <w:rPr>
          <w:u w:val="none"/>
        </w:rPr>
        <w:t>;</w:t>
      </w:r>
    </w:p>
    <w:p w14:paraId="5B6CF74D" w14:textId="7567236C" w:rsidR="0057439C" w:rsidRPr="00FC0A44" w:rsidRDefault="006B424C" w:rsidP="00FC0A44">
      <w:pPr>
        <w:pStyle w:val="COMParaDecision"/>
        <w:ind w:left="1134" w:hanging="567"/>
      </w:pPr>
      <w:r w:rsidRPr="00FC0A44">
        <w:t>D</w:t>
      </w:r>
      <w:r w:rsidR="00237FB2" w:rsidRPr="00FC0A44">
        <w:t>e</w:t>
      </w:r>
      <w:r w:rsidRPr="00FC0A44">
        <w:t>mande</w:t>
      </w:r>
      <w:r w:rsidRPr="00FC0A44">
        <w:rPr>
          <w:u w:val="none"/>
        </w:rPr>
        <w:t xml:space="preserve"> au</w:t>
      </w:r>
      <w:r w:rsidR="00237FB2" w:rsidRPr="00FC0A44">
        <w:rPr>
          <w:u w:val="none"/>
        </w:rPr>
        <w:t xml:space="preserve"> Secr</w:t>
      </w:r>
      <w:r w:rsidRPr="00FC0A44">
        <w:rPr>
          <w:u w:val="none"/>
        </w:rPr>
        <w:t>é</w:t>
      </w:r>
      <w:r w:rsidR="00237FB2" w:rsidRPr="00FC0A44">
        <w:rPr>
          <w:u w:val="none"/>
        </w:rPr>
        <w:t xml:space="preserve">tariat </w:t>
      </w:r>
      <w:r w:rsidRPr="00FC0A44">
        <w:rPr>
          <w:u w:val="none"/>
        </w:rPr>
        <w:t xml:space="preserve">de lui rendre compte, lors de </w:t>
      </w:r>
      <w:r w:rsidR="00E23BF6" w:rsidRPr="00FC0A44">
        <w:rPr>
          <w:u w:val="none"/>
        </w:rPr>
        <w:t xml:space="preserve">sa </w:t>
      </w:r>
      <w:r w:rsidRPr="00FC0A44">
        <w:rPr>
          <w:u w:val="none"/>
        </w:rPr>
        <w:t xml:space="preserve">onzième </w:t>
      </w:r>
      <w:r w:rsidR="00237FB2" w:rsidRPr="00FC0A44">
        <w:rPr>
          <w:u w:val="none"/>
        </w:rPr>
        <w:t xml:space="preserve">session, </w:t>
      </w:r>
      <w:r w:rsidR="00F10BB5" w:rsidRPr="00FC0A44">
        <w:rPr>
          <w:u w:val="none"/>
        </w:rPr>
        <w:t>de l</w:t>
      </w:r>
      <w:r w:rsidR="00260217">
        <w:rPr>
          <w:u w:val="none"/>
        </w:rPr>
        <w:t>’</w:t>
      </w:r>
      <w:r w:rsidR="00F10BB5" w:rsidRPr="00FC0A44">
        <w:rPr>
          <w:u w:val="none"/>
        </w:rPr>
        <w:t>avancement de la mise en œuvre de tout</w:t>
      </w:r>
      <w:r w:rsidR="00A84719" w:rsidRPr="00FC0A44">
        <w:rPr>
          <w:u w:val="none"/>
        </w:rPr>
        <w:t>e</w:t>
      </w:r>
      <w:r w:rsidR="00F10BB5" w:rsidRPr="00FC0A44">
        <w:rPr>
          <w:u w:val="none"/>
        </w:rPr>
        <w:t xml:space="preserve"> contribution volontaire supplémentaire </w:t>
      </w:r>
      <w:r w:rsidR="00E23BF6" w:rsidRPr="00FC0A44">
        <w:rPr>
          <w:u w:val="none"/>
        </w:rPr>
        <w:t>qu</w:t>
      </w:r>
      <w:r w:rsidR="00260217">
        <w:rPr>
          <w:u w:val="none"/>
        </w:rPr>
        <w:t>’</w:t>
      </w:r>
      <w:r w:rsidR="00E23BF6" w:rsidRPr="00FC0A44">
        <w:rPr>
          <w:u w:val="none"/>
        </w:rPr>
        <w:t xml:space="preserve">il aurait </w:t>
      </w:r>
      <w:r w:rsidR="00F10BB5" w:rsidRPr="00FC0A44">
        <w:rPr>
          <w:u w:val="none"/>
        </w:rPr>
        <w:t xml:space="preserve">reçue </w:t>
      </w:r>
      <w:r w:rsidR="00A84719" w:rsidRPr="00FC0A44">
        <w:rPr>
          <w:u w:val="none"/>
        </w:rPr>
        <w:t xml:space="preserve">depuis </w:t>
      </w:r>
      <w:r w:rsidR="00E23BF6" w:rsidRPr="00FC0A44">
        <w:rPr>
          <w:u w:val="none"/>
        </w:rPr>
        <w:t xml:space="preserve">sa </w:t>
      </w:r>
      <w:r w:rsidR="00F10BB5" w:rsidRPr="00FC0A44">
        <w:rPr>
          <w:u w:val="none"/>
        </w:rPr>
        <w:t>dernière session</w:t>
      </w:r>
      <w:r w:rsidR="00237FB2" w:rsidRPr="00FC0A44">
        <w:rPr>
          <w:u w:val="none"/>
        </w:rPr>
        <w:t>.</w:t>
      </w:r>
    </w:p>
    <w:p w14:paraId="7E581C69" w14:textId="77777777" w:rsidR="00A51273" w:rsidRPr="00FC0A44" w:rsidRDefault="00A51273" w:rsidP="00A51273">
      <w:pPr>
        <w:jc w:val="both"/>
        <w:rPr>
          <w:rFonts w:ascii="Arial" w:hAnsi="Arial" w:cs="Arial"/>
          <w:sz w:val="22"/>
          <w:szCs w:val="22"/>
          <w:u w:val="single"/>
        </w:rPr>
      </w:pPr>
      <w:r w:rsidRPr="00FC0A44">
        <w:br w:type="page"/>
      </w:r>
    </w:p>
    <w:p w14:paraId="1CF5B606" w14:textId="77777777" w:rsidR="00771645" w:rsidRPr="00FC0A44" w:rsidRDefault="00771645" w:rsidP="00771645">
      <w:pPr>
        <w:spacing w:before="120" w:after="120"/>
        <w:jc w:val="center"/>
        <w:rPr>
          <w:rFonts w:ascii="Arial" w:hAnsi="Arial" w:cs="Arial"/>
          <w:b/>
          <w:caps/>
          <w:snapToGrid w:val="0"/>
          <w:sz w:val="22"/>
          <w:szCs w:val="22"/>
          <w:lang w:eastAsia="en-US"/>
        </w:rPr>
      </w:pPr>
      <w:r w:rsidRPr="00FC0A44">
        <w:rPr>
          <w:rFonts w:ascii="Arial" w:hAnsi="Arial" w:cs="Arial"/>
          <w:b/>
          <w:caps/>
          <w:snapToGrid w:val="0"/>
          <w:sz w:val="22"/>
          <w:szCs w:val="22"/>
          <w:lang w:eastAsia="en-US"/>
        </w:rPr>
        <w:t>ANNEXE I</w:t>
      </w:r>
    </w:p>
    <w:p w14:paraId="5B660F4F" w14:textId="35E41B0E" w:rsidR="005769D5" w:rsidRPr="00FC0A44" w:rsidRDefault="005769D5" w:rsidP="005769D5">
      <w:pPr>
        <w:shd w:val="clear" w:color="auto" w:fill="FFFFFF"/>
        <w:spacing w:after="225"/>
        <w:jc w:val="center"/>
        <w:rPr>
          <w:b/>
          <w:caps/>
        </w:rPr>
      </w:pPr>
      <w:r w:rsidRPr="00FC0A44">
        <w:rPr>
          <w:b/>
          <w:caps/>
          <w:noProof/>
        </w:rPr>
        <w:drawing>
          <wp:inline distT="0" distB="0" distL="0" distR="0" wp14:anchorId="73722741" wp14:editId="65EFA6EF">
            <wp:extent cx="6113780" cy="8612505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861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7A39" w14:textId="7B7BB00B" w:rsidR="005769D5" w:rsidRPr="00FC0A44" w:rsidRDefault="005769D5" w:rsidP="007037C3">
      <w:pPr>
        <w:shd w:val="clear" w:color="auto" w:fill="FFFFFF"/>
        <w:spacing w:before="400" w:after="400"/>
        <w:jc w:val="center"/>
        <w:rPr>
          <w:rFonts w:ascii="Arial" w:hAnsi="Arial" w:cs="Arial"/>
          <w:i/>
          <w:sz w:val="22"/>
          <w:szCs w:val="22"/>
        </w:rPr>
      </w:pPr>
      <w:r w:rsidRPr="00FC0A44">
        <w:rPr>
          <w:rFonts w:ascii="Arial" w:hAnsi="Arial" w:cs="Arial"/>
          <w:i/>
          <w:sz w:val="22"/>
          <w:szCs w:val="22"/>
        </w:rPr>
        <w:t>Original en anglais, traduction par le Secrétariat</w:t>
      </w:r>
    </w:p>
    <w:p w14:paraId="0891DA0E" w14:textId="31A10B9C" w:rsidR="005769D5" w:rsidRPr="00FC0A44" w:rsidRDefault="005769D5" w:rsidP="005769D5">
      <w:pPr>
        <w:shd w:val="clear" w:color="auto" w:fill="FFFFFF"/>
        <w:spacing w:after="225"/>
        <w:jc w:val="center"/>
        <w:rPr>
          <w:rFonts w:ascii="Arial" w:hAnsi="Arial" w:cs="Arial"/>
          <w:b/>
          <w:bCs/>
          <w:color w:val="000000"/>
          <w:u w:val="single"/>
        </w:rPr>
      </w:pPr>
      <w:r w:rsidRPr="00FC0A44">
        <w:rPr>
          <w:noProof/>
        </w:rPr>
        <w:drawing>
          <wp:inline distT="0" distB="0" distL="0" distR="0" wp14:anchorId="7D58CF30" wp14:editId="5522C309">
            <wp:extent cx="5347970" cy="1265555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AdminBlankPageContent"/>
      <w:bookmarkEnd w:id="1"/>
    </w:p>
    <w:p w14:paraId="5E670EAB" w14:textId="043D4E79" w:rsidR="005769D5" w:rsidRPr="00FC0A44" w:rsidRDefault="005769D5" w:rsidP="005769D5">
      <w:pPr>
        <w:shd w:val="clear" w:color="auto" w:fill="FFFFFF"/>
        <w:jc w:val="right"/>
        <w:rPr>
          <w:rFonts w:ascii="Arial" w:hAnsi="Arial" w:cs="Arial"/>
          <w:b/>
          <w:bCs/>
          <w:color w:val="000000"/>
          <w:u w:val="single"/>
        </w:rPr>
      </w:pPr>
      <w:r w:rsidRPr="00FC0A44">
        <w:rPr>
          <w:noProof/>
        </w:rPr>
        <w:drawing>
          <wp:inline distT="0" distB="0" distL="0" distR="0" wp14:anchorId="531157E7" wp14:editId="158E0407">
            <wp:extent cx="1626870" cy="104203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AB02E" w14:textId="53E05870" w:rsidR="005769D5" w:rsidRPr="00FC0A44" w:rsidRDefault="005769D5" w:rsidP="007037C3">
      <w:pPr>
        <w:shd w:val="clear" w:color="auto" w:fill="FFFFFF"/>
        <w:ind w:left="567" w:right="566"/>
        <w:rPr>
          <w:rFonts w:ascii="Arial" w:hAnsi="Arial" w:cs="Arial"/>
          <w:sz w:val="22"/>
          <w:szCs w:val="22"/>
        </w:rPr>
      </w:pPr>
      <w:r w:rsidRPr="00FC0A4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À</w:t>
      </w:r>
      <w:r w:rsidRPr="00FC0A44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FC0A44">
        <w:rPr>
          <w:rFonts w:ascii="Arial" w:hAnsi="Arial" w:cs="Arial"/>
          <w:sz w:val="22"/>
          <w:szCs w:val="22"/>
        </w:rPr>
        <w:t xml:space="preserve"> M. Alfredo Pérez de </w:t>
      </w:r>
      <w:proofErr w:type="spellStart"/>
      <w:r w:rsidRPr="00FC0A44">
        <w:rPr>
          <w:rFonts w:ascii="Arial" w:hAnsi="Arial" w:cs="Arial"/>
          <w:sz w:val="22"/>
          <w:szCs w:val="22"/>
        </w:rPr>
        <w:t>Armiñán</w:t>
      </w:r>
      <w:proofErr w:type="spellEnd"/>
    </w:p>
    <w:p w14:paraId="7AD81001" w14:textId="10C6C9AB" w:rsidR="005769D5" w:rsidRPr="00FC0A44" w:rsidRDefault="005769D5" w:rsidP="007037C3">
      <w:pPr>
        <w:shd w:val="clear" w:color="auto" w:fill="FFFFFF"/>
        <w:spacing w:after="40"/>
        <w:ind w:left="567" w:right="566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>Sous-Directeur général</w:t>
      </w:r>
      <w:r w:rsidRPr="00FC0A44">
        <w:rPr>
          <w:rFonts w:ascii="Arial" w:hAnsi="Arial" w:cs="Arial"/>
          <w:color w:val="000000"/>
          <w:sz w:val="22"/>
          <w:szCs w:val="22"/>
        </w:rPr>
        <w:br/>
        <w:t xml:space="preserve">Secteur de la culture </w:t>
      </w:r>
      <w:r w:rsidRPr="00FC0A44">
        <w:rPr>
          <w:rFonts w:ascii="Arial" w:hAnsi="Arial" w:cs="Arial"/>
          <w:color w:val="000000"/>
          <w:sz w:val="22"/>
          <w:szCs w:val="22"/>
        </w:rPr>
        <w:br/>
        <w:t>Organisation des Nations Unies pour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éducation, la science et la culture</w:t>
      </w:r>
      <w:r w:rsidRPr="00FC0A44">
        <w:rPr>
          <w:rFonts w:ascii="Arial" w:hAnsi="Arial" w:cs="Arial"/>
          <w:color w:val="000000"/>
          <w:sz w:val="22"/>
          <w:szCs w:val="22"/>
        </w:rPr>
        <w:br/>
        <w:t>7, Place de Fontenoy</w:t>
      </w:r>
      <w:r w:rsidRPr="00FC0A44">
        <w:rPr>
          <w:rFonts w:ascii="Arial" w:hAnsi="Arial" w:cs="Arial"/>
          <w:color w:val="000000"/>
          <w:sz w:val="22"/>
          <w:szCs w:val="22"/>
        </w:rPr>
        <w:br/>
        <w:t>75352 Paris 07 SP</w:t>
      </w:r>
      <w:r w:rsidRPr="00FC0A44">
        <w:rPr>
          <w:rFonts w:ascii="Arial" w:hAnsi="Arial" w:cs="Arial"/>
          <w:color w:val="000000"/>
          <w:sz w:val="22"/>
          <w:szCs w:val="22"/>
        </w:rPr>
        <w:br/>
        <w:t xml:space="preserve">France </w:t>
      </w:r>
    </w:p>
    <w:p w14:paraId="4DEAF298" w14:textId="77777777" w:rsidR="005769D5" w:rsidRPr="00FC0A44" w:rsidRDefault="005769D5" w:rsidP="006F64A5">
      <w:pPr>
        <w:spacing w:before="360" w:after="60"/>
        <w:ind w:left="567" w:right="567"/>
        <w:jc w:val="right"/>
        <w:rPr>
          <w:rFonts w:ascii="Arial" w:hAnsi="Arial" w:cs="Arial"/>
          <w:bCs/>
          <w:sz w:val="22"/>
          <w:szCs w:val="22"/>
        </w:rPr>
      </w:pPr>
      <w:r w:rsidRPr="00FC0A44">
        <w:rPr>
          <w:rFonts w:ascii="Arial" w:hAnsi="Arial" w:cs="Arial"/>
          <w:bCs/>
          <w:sz w:val="22"/>
          <w:szCs w:val="22"/>
        </w:rPr>
        <w:t>Beijing, le 12 octobre 2015</w:t>
      </w:r>
    </w:p>
    <w:p w14:paraId="71FA0541" w14:textId="5103BB9B" w:rsidR="005769D5" w:rsidRPr="00FC0A44" w:rsidRDefault="005769D5" w:rsidP="00FC0A44">
      <w:pPr>
        <w:shd w:val="clear" w:color="auto" w:fill="FFFFFF"/>
        <w:spacing w:before="600" w:after="120"/>
        <w:ind w:left="567" w:right="567"/>
        <w:jc w:val="both"/>
        <w:rPr>
          <w:rFonts w:ascii="Arial" w:hAnsi="Arial" w:cs="Arial"/>
          <w:sz w:val="22"/>
          <w:szCs w:val="22"/>
        </w:rPr>
      </w:pPr>
      <w:r w:rsidRPr="00FC0A44">
        <w:rPr>
          <w:rFonts w:ascii="Arial" w:hAnsi="Arial" w:cs="Arial"/>
          <w:b/>
          <w:bCs/>
          <w:sz w:val="22"/>
          <w:szCs w:val="22"/>
        </w:rPr>
        <w:t>Objet :</w:t>
      </w:r>
      <w:r w:rsidRPr="00FC0A44">
        <w:rPr>
          <w:rFonts w:ascii="Arial" w:hAnsi="Arial" w:cs="Arial"/>
          <w:b/>
          <w:bCs/>
          <w:sz w:val="22"/>
          <w:szCs w:val="22"/>
        </w:rPr>
        <w:tab/>
        <w:t>Contributions affectées à des fins spécifiques en faveur du Fonds pour la sauvegarde du patrimoine culturel immatériel</w:t>
      </w:r>
    </w:p>
    <w:p w14:paraId="1FA88D78" w14:textId="7DEE8BA5" w:rsidR="005769D5" w:rsidRPr="00FC0A44" w:rsidRDefault="005769D5" w:rsidP="006F64A5">
      <w:pPr>
        <w:shd w:val="clear" w:color="auto" w:fill="FFFFFF"/>
        <w:spacing w:after="120"/>
        <w:ind w:left="567" w:right="567"/>
        <w:jc w:val="both"/>
        <w:rPr>
          <w:rFonts w:ascii="Arial" w:hAnsi="Arial" w:cs="Arial"/>
          <w:sz w:val="22"/>
          <w:szCs w:val="22"/>
        </w:rPr>
      </w:pPr>
      <w:bookmarkStart w:id="2" w:name="_DV_M21"/>
      <w:bookmarkEnd w:id="2"/>
      <w:r w:rsidRPr="00FC0A44">
        <w:rPr>
          <w:rFonts w:ascii="Arial" w:hAnsi="Arial" w:cs="Arial"/>
          <w:sz w:val="22"/>
          <w:szCs w:val="22"/>
        </w:rPr>
        <w:t xml:space="preserve">Cher M. Pérez </w:t>
      </w:r>
      <w:proofErr w:type="gramStart"/>
      <w:r w:rsidRPr="00FC0A44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FC0A44">
        <w:rPr>
          <w:rFonts w:ascii="Arial" w:hAnsi="Arial" w:cs="Arial"/>
          <w:sz w:val="22"/>
          <w:szCs w:val="22"/>
        </w:rPr>
        <w:t>Armiñán</w:t>
      </w:r>
      <w:proofErr w:type="spellEnd"/>
      <w:proofErr w:type="gramEnd"/>
      <w:r w:rsidRPr="00FC0A44">
        <w:rPr>
          <w:rFonts w:ascii="Arial" w:hAnsi="Arial" w:cs="Arial"/>
          <w:sz w:val="22"/>
          <w:szCs w:val="22"/>
        </w:rPr>
        <w:t>,</w:t>
      </w:r>
    </w:p>
    <w:p w14:paraId="2047FC01" w14:textId="26F1E239" w:rsidR="005769D5" w:rsidRPr="00FC0A44" w:rsidRDefault="005769D5" w:rsidP="006F64A5">
      <w:pPr>
        <w:shd w:val="clear" w:color="auto" w:fill="FFFFFF"/>
        <w:spacing w:after="120"/>
        <w:ind w:left="567" w:right="567"/>
        <w:jc w:val="both"/>
        <w:rPr>
          <w:rFonts w:ascii="Arial" w:hAnsi="Arial" w:cs="Arial"/>
          <w:sz w:val="22"/>
          <w:szCs w:val="22"/>
        </w:rPr>
      </w:pPr>
      <w:r w:rsidRPr="00FC0A44">
        <w:rPr>
          <w:rFonts w:ascii="Arial" w:hAnsi="Arial" w:cs="Arial"/>
          <w:sz w:val="22"/>
          <w:szCs w:val="22"/>
        </w:rPr>
        <w:t>Le Comité intergouvernemental pour la sauvegarde du patrimoine culturel immatériel a reconnu à sa neuvième session «</w:t>
      </w:r>
      <w:r w:rsidR="00260217">
        <w:rPr>
          <w:rFonts w:ascii="Arial" w:hAnsi="Arial" w:cs="Arial"/>
          <w:sz w:val="22"/>
          <w:szCs w:val="22"/>
        </w:rPr>
        <w:t> </w:t>
      </w:r>
      <w:r w:rsidR="00260217" w:rsidRPr="00FC0A44">
        <w:rPr>
          <w:rFonts w:ascii="Arial" w:hAnsi="Arial" w:cs="Arial"/>
          <w:sz w:val="22"/>
          <w:szCs w:val="22"/>
        </w:rPr>
        <w:t>l</w:t>
      </w:r>
      <w:r w:rsidR="00260217">
        <w:rPr>
          <w:rFonts w:ascii="Arial" w:hAnsi="Arial" w:cs="Arial"/>
          <w:sz w:val="22"/>
          <w:szCs w:val="22"/>
        </w:rPr>
        <w:t>’</w:t>
      </w:r>
      <w:r w:rsidR="00260217" w:rsidRPr="00FC0A44">
        <w:rPr>
          <w:rFonts w:ascii="Arial" w:hAnsi="Arial" w:cs="Arial"/>
          <w:sz w:val="22"/>
          <w:szCs w:val="22"/>
        </w:rPr>
        <w:t xml:space="preserve">importance </w:t>
      </w:r>
      <w:r w:rsidRPr="00FC0A44">
        <w:rPr>
          <w:rFonts w:ascii="Arial" w:hAnsi="Arial" w:cs="Arial"/>
          <w:sz w:val="22"/>
          <w:szCs w:val="22"/>
        </w:rPr>
        <w:t xml:space="preserve">de </w:t>
      </w:r>
      <w:r w:rsidR="00260217" w:rsidRPr="00FC0A44">
        <w:rPr>
          <w:rFonts w:ascii="Arial" w:hAnsi="Arial" w:cs="Arial"/>
          <w:sz w:val="22"/>
          <w:szCs w:val="22"/>
        </w:rPr>
        <w:t>l</w:t>
      </w:r>
      <w:r w:rsidR="00260217">
        <w:rPr>
          <w:rFonts w:ascii="Arial" w:hAnsi="Arial" w:cs="Arial"/>
          <w:sz w:val="22"/>
          <w:szCs w:val="22"/>
        </w:rPr>
        <w:t>’</w:t>
      </w:r>
      <w:r w:rsidR="00260217" w:rsidRPr="00FC0A44">
        <w:rPr>
          <w:rFonts w:ascii="Arial" w:hAnsi="Arial" w:cs="Arial"/>
          <w:sz w:val="22"/>
          <w:szCs w:val="22"/>
        </w:rPr>
        <w:t xml:space="preserve">élaboration </w:t>
      </w:r>
      <w:r w:rsidRPr="00FC0A44">
        <w:rPr>
          <w:rFonts w:ascii="Arial" w:hAnsi="Arial" w:cs="Arial"/>
          <w:sz w:val="22"/>
          <w:szCs w:val="22"/>
        </w:rPr>
        <w:t>d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un cadre global de résultats pour la Convention, y compris des objectifs clairs, des délais, des indicateurs et des repères</w:t>
      </w:r>
      <w:r w:rsidR="00260217">
        <w:rPr>
          <w:rFonts w:ascii="Arial" w:hAnsi="Arial" w:cs="Arial"/>
          <w:sz w:val="22"/>
          <w:szCs w:val="22"/>
        </w:rPr>
        <w:t> </w:t>
      </w:r>
      <w:r w:rsidRPr="00FC0A44">
        <w:rPr>
          <w:rFonts w:ascii="Arial" w:hAnsi="Arial" w:cs="Arial"/>
          <w:sz w:val="22"/>
          <w:szCs w:val="22"/>
        </w:rPr>
        <w:t>» et reconnu «</w:t>
      </w:r>
      <w:r w:rsidR="00260217">
        <w:rPr>
          <w:rFonts w:ascii="Arial" w:hAnsi="Arial" w:cs="Arial"/>
          <w:sz w:val="22"/>
          <w:szCs w:val="22"/>
        </w:rPr>
        <w:t> </w:t>
      </w:r>
      <w:r w:rsidRPr="00FC0A44">
        <w:rPr>
          <w:rFonts w:ascii="Arial" w:hAnsi="Arial" w:cs="Arial"/>
          <w:sz w:val="22"/>
          <w:szCs w:val="22"/>
        </w:rPr>
        <w:t>la nécessité d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 xml:space="preserve">un processus inclusif de consultation et de discussion dans le </w:t>
      </w:r>
      <w:r w:rsidR="006F64A5">
        <w:rPr>
          <w:rFonts w:ascii="Arial" w:hAnsi="Arial" w:cs="Arial"/>
          <w:sz w:val="22"/>
          <w:szCs w:val="22"/>
        </w:rPr>
        <w:t>développement d</w:t>
      </w:r>
      <w:r w:rsidR="00260217">
        <w:rPr>
          <w:rFonts w:ascii="Arial" w:hAnsi="Arial" w:cs="Arial"/>
          <w:sz w:val="22"/>
          <w:szCs w:val="22"/>
        </w:rPr>
        <w:t>’</w:t>
      </w:r>
      <w:r w:rsidR="006F64A5">
        <w:rPr>
          <w:rFonts w:ascii="Arial" w:hAnsi="Arial" w:cs="Arial"/>
          <w:sz w:val="22"/>
          <w:szCs w:val="22"/>
        </w:rPr>
        <w:t xml:space="preserve">un tel </w:t>
      </w:r>
      <w:r w:rsidR="00260217">
        <w:rPr>
          <w:rFonts w:ascii="Arial" w:hAnsi="Arial" w:cs="Arial"/>
          <w:sz w:val="22"/>
          <w:szCs w:val="22"/>
        </w:rPr>
        <w:t>cadre </w:t>
      </w:r>
      <w:r w:rsidR="006F64A5">
        <w:rPr>
          <w:rFonts w:ascii="Arial" w:hAnsi="Arial" w:cs="Arial"/>
          <w:sz w:val="22"/>
          <w:szCs w:val="22"/>
        </w:rPr>
        <w:t xml:space="preserve">» </w:t>
      </w:r>
      <w:r w:rsidRPr="00FC0A44">
        <w:rPr>
          <w:rFonts w:ascii="Arial" w:hAnsi="Arial" w:cs="Arial"/>
          <w:sz w:val="22"/>
          <w:szCs w:val="22"/>
        </w:rPr>
        <w:t>(</w:t>
      </w:r>
      <w:r w:rsidR="00260217">
        <w:rPr>
          <w:rFonts w:ascii="Arial" w:hAnsi="Arial" w:cs="Arial"/>
          <w:sz w:val="22"/>
          <w:szCs w:val="22"/>
        </w:rPr>
        <w:t>d</w:t>
      </w:r>
      <w:r w:rsidR="00260217" w:rsidRPr="00FC0A44">
        <w:rPr>
          <w:rFonts w:ascii="Arial" w:hAnsi="Arial" w:cs="Arial"/>
          <w:sz w:val="22"/>
          <w:szCs w:val="22"/>
        </w:rPr>
        <w:t xml:space="preserve">écision </w:t>
      </w:r>
      <w:r w:rsidRPr="00FC0A44">
        <w:rPr>
          <w:rFonts w:ascii="Arial" w:hAnsi="Arial" w:cs="Arial"/>
          <w:sz w:val="22"/>
          <w:szCs w:val="22"/>
        </w:rPr>
        <w:t>9.COM 13.e).</w:t>
      </w:r>
    </w:p>
    <w:p w14:paraId="049B69D0" w14:textId="44ADEAFD" w:rsidR="005769D5" w:rsidRPr="00FC0A44" w:rsidRDefault="005769D5" w:rsidP="006F64A5">
      <w:pPr>
        <w:shd w:val="clear" w:color="auto" w:fill="FFFFFF"/>
        <w:spacing w:after="120"/>
        <w:ind w:left="567" w:right="566"/>
        <w:jc w:val="both"/>
        <w:rPr>
          <w:rFonts w:ascii="Arial" w:hAnsi="Arial" w:cs="Arial"/>
          <w:sz w:val="22"/>
          <w:szCs w:val="22"/>
        </w:rPr>
      </w:pPr>
      <w:r w:rsidRPr="00FC0A44">
        <w:rPr>
          <w:rFonts w:ascii="Arial" w:hAnsi="Arial" w:cs="Arial"/>
          <w:sz w:val="22"/>
          <w:szCs w:val="22"/>
        </w:rPr>
        <w:t xml:space="preserve">La </w:t>
      </w:r>
      <w:r w:rsidRPr="00FC0A44">
        <w:rPr>
          <w:rFonts w:ascii="Arial" w:hAnsi="Arial" w:cs="Arial"/>
          <w:bCs/>
          <w:sz w:val="22"/>
          <w:szCs w:val="22"/>
        </w:rPr>
        <w:t xml:space="preserve">Commission </w:t>
      </w:r>
      <w:r w:rsidR="007037C3" w:rsidRPr="00FC0A44">
        <w:rPr>
          <w:rFonts w:ascii="Arial" w:hAnsi="Arial" w:cs="Arial"/>
          <w:bCs/>
          <w:sz w:val="22"/>
          <w:szCs w:val="22"/>
        </w:rPr>
        <w:t>n</w:t>
      </w:r>
      <w:r w:rsidRPr="00FC0A44">
        <w:rPr>
          <w:rFonts w:ascii="Arial" w:hAnsi="Arial" w:cs="Arial"/>
          <w:bCs/>
          <w:sz w:val="22"/>
          <w:szCs w:val="22"/>
        </w:rPr>
        <w:t xml:space="preserve">ationale de la République </w:t>
      </w:r>
      <w:r w:rsidR="007037C3" w:rsidRPr="00FC0A44">
        <w:rPr>
          <w:rFonts w:ascii="Arial" w:hAnsi="Arial" w:cs="Arial"/>
          <w:bCs/>
          <w:sz w:val="22"/>
          <w:szCs w:val="22"/>
        </w:rPr>
        <w:t>p</w:t>
      </w:r>
      <w:r w:rsidRPr="00FC0A44">
        <w:rPr>
          <w:rFonts w:ascii="Arial" w:hAnsi="Arial" w:cs="Arial"/>
          <w:bCs/>
          <w:sz w:val="22"/>
          <w:szCs w:val="22"/>
        </w:rPr>
        <w:t xml:space="preserve">opulaire de Chine </w:t>
      </w:r>
      <w:r w:rsidRPr="00FC0A44">
        <w:rPr>
          <w:rFonts w:ascii="Arial" w:hAnsi="Arial" w:cs="Arial"/>
          <w:sz w:val="22"/>
          <w:szCs w:val="22"/>
        </w:rPr>
        <w:t>a le plaisir d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 xml:space="preserve">apporter son soutien pour initier ce processus grâce à une contribution de </w:t>
      </w:r>
      <w:r w:rsidRPr="00FC0A44">
        <w:rPr>
          <w:rFonts w:ascii="Arial" w:hAnsi="Arial" w:cs="Arial"/>
          <w:bCs/>
          <w:sz w:val="22"/>
          <w:szCs w:val="22"/>
        </w:rPr>
        <w:t>50 000 dollars des États-Unis</w:t>
      </w:r>
      <w:r w:rsidRPr="00FC0A44">
        <w:rPr>
          <w:rFonts w:ascii="Arial" w:hAnsi="Arial" w:cs="Arial"/>
          <w:sz w:val="22"/>
          <w:szCs w:val="22"/>
        </w:rPr>
        <w:t xml:space="preserve"> (ci-après dénommée la « contribution financière »)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à la Convention pour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la sauvegarde du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patrimoine culturel immatériel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(ci-après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dénommée le « Programme »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) </w:t>
      </w:r>
      <w:r w:rsidRPr="00FC0A44">
        <w:rPr>
          <w:rFonts w:ascii="Arial" w:hAnsi="Arial" w:cs="Arial"/>
          <w:sz w:val="22"/>
          <w:szCs w:val="22"/>
        </w:rPr>
        <w:t>pour soutenir l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organisation d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une réunion préliminaire sur le développement d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un cadre global de résultats pour la Convention.</w:t>
      </w:r>
    </w:p>
    <w:p w14:paraId="593713EC" w14:textId="3CCB509C" w:rsidR="005769D5" w:rsidRPr="00FC0A44" w:rsidRDefault="005769D5" w:rsidP="006F64A5">
      <w:pPr>
        <w:shd w:val="clear" w:color="auto" w:fill="FFFFFF"/>
        <w:spacing w:after="120"/>
        <w:ind w:left="567" w:right="566"/>
        <w:jc w:val="both"/>
        <w:rPr>
          <w:rFonts w:ascii="Arial" w:hAnsi="Arial" w:cs="Arial"/>
          <w:sz w:val="22"/>
          <w:szCs w:val="22"/>
        </w:rPr>
      </w:pPr>
      <w:r w:rsidRPr="00FC0A44">
        <w:rPr>
          <w:rFonts w:ascii="Arial" w:hAnsi="Arial" w:cs="Arial"/>
          <w:sz w:val="22"/>
          <w:szCs w:val="22"/>
        </w:rPr>
        <w:t xml:space="preserve">En outre, la </w:t>
      </w:r>
      <w:r w:rsidRPr="00FC0A44">
        <w:rPr>
          <w:rFonts w:ascii="Arial" w:hAnsi="Arial" w:cs="Arial"/>
          <w:bCs/>
          <w:sz w:val="22"/>
          <w:szCs w:val="22"/>
        </w:rPr>
        <w:t xml:space="preserve">Commission </w:t>
      </w:r>
      <w:r w:rsidR="007037C3" w:rsidRPr="00FC0A44">
        <w:rPr>
          <w:rFonts w:ascii="Arial" w:hAnsi="Arial" w:cs="Arial"/>
          <w:bCs/>
          <w:sz w:val="22"/>
          <w:szCs w:val="22"/>
        </w:rPr>
        <w:t>n</w:t>
      </w:r>
      <w:r w:rsidRPr="00FC0A44">
        <w:rPr>
          <w:rFonts w:ascii="Arial" w:hAnsi="Arial" w:cs="Arial"/>
          <w:bCs/>
          <w:sz w:val="22"/>
          <w:szCs w:val="22"/>
        </w:rPr>
        <w:t xml:space="preserve">ationale de la République </w:t>
      </w:r>
      <w:r w:rsidR="007037C3" w:rsidRPr="00FC0A44">
        <w:rPr>
          <w:rFonts w:ascii="Arial" w:hAnsi="Arial" w:cs="Arial"/>
          <w:bCs/>
          <w:sz w:val="22"/>
          <w:szCs w:val="22"/>
        </w:rPr>
        <w:t>p</w:t>
      </w:r>
      <w:r w:rsidRPr="00FC0A44">
        <w:rPr>
          <w:rFonts w:ascii="Arial" w:hAnsi="Arial" w:cs="Arial"/>
          <w:bCs/>
          <w:sz w:val="22"/>
          <w:szCs w:val="22"/>
        </w:rPr>
        <w:t>opulaire de Chine</w:t>
      </w:r>
      <w:r w:rsidRPr="00FC0A44">
        <w:rPr>
          <w:rFonts w:ascii="Arial" w:hAnsi="Arial" w:cs="Arial"/>
          <w:sz w:val="22"/>
          <w:szCs w:val="22"/>
        </w:rPr>
        <w:t xml:space="preserve"> est prête à accueillir cette réunion préliminaire qui se tiendra en Chine en 2016 au cours de la période agrée entre l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 xml:space="preserve">UNESCO et la </w:t>
      </w:r>
      <w:r w:rsidRPr="00FC0A44">
        <w:rPr>
          <w:rFonts w:ascii="Arial" w:hAnsi="Arial" w:cs="Arial"/>
          <w:bCs/>
          <w:sz w:val="22"/>
          <w:szCs w:val="22"/>
        </w:rPr>
        <w:t xml:space="preserve">Commission </w:t>
      </w:r>
      <w:r w:rsidR="007037C3" w:rsidRPr="00FC0A44">
        <w:rPr>
          <w:rFonts w:ascii="Arial" w:hAnsi="Arial" w:cs="Arial"/>
          <w:bCs/>
          <w:sz w:val="22"/>
          <w:szCs w:val="22"/>
        </w:rPr>
        <w:t>n</w:t>
      </w:r>
      <w:r w:rsidRPr="00FC0A44">
        <w:rPr>
          <w:rFonts w:ascii="Arial" w:hAnsi="Arial" w:cs="Arial"/>
          <w:bCs/>
          <w:sz w:val="22"/>
          <w:szCs w:val="22"/>
        </w:rPr>
        <w:t xml:space="preserve">ationale de la République </w:t>
      </w:r>
      <w:r w:rsidR="007037C3" w:rsidRPr="00FC0A44">
        <w:rPr>
          <w:rFonts w:ascii="Arial" w:hAnsi="Arial" w:cs="Arial"/>
          <w:bCs/>
          <w:sz w:val="22"/>
          <w:szCs w:val="22"/>
        </w:rPr>
        <w:t>p</w:t>
      </w:r>
      <w:r w:rsidRPr="00FC0A44">
        <w:rPr>
          <w:rFonts w:ascii="Arial" w:hAnsi="Arial" w:cs="Arial"/>
          <w:bCs/>
          <w:sz w:val="22"/>
          <w:szCs w:val="22"/>
        </w:rPr>
        <w:t>opulaire de Chine</w:t>
      </w:r>
      <w:r w:rsidRPr="00FC0A44">
        <w:rPr>
          <w:rFonts w:ascii="Arial" w:hAnsi="Arial" w:cs="Arial"/>
          <w:sz w:val="22"/>
          <w:szCs w:val="22"/>
        </w:rPr>
        <w:t xml:space="preserve">. La Chine est prête à fournir un soutien additionnel si nécessaire et encourage </w:t>
      </w:r>
      <w:r w:rsidR="00260217">
        <w:rPr>
          <w:rFonts w:ascii="Arial" w:hAnsi="Arial" w:cs="Arial"/>
          <w:sz w:val="22"/>
          <w:szCs w:val="22"/>
        </w:rPr>
        <w:t xml:space="preserve">à ce </w:t>
      </w:r>
      <w:r w:rsidRPr="00FC0A44">
        <w:rPr>
          <w:rFonts w:ascii="Arial" w:hAnsi="Arial" w:cs="Arial"/>
          <w:sz w:val="22"/>
          <w:szCs w:val="22"/>
        </w:rPr>
        <w:t xml:space="preserve">que le personnel détaché par le </w:t>
      </w:r>
      <w:r w:rsidR="00260217">
        <w:rPr>
          <w:rFonts w:ascii="Arial" w:hAnsi="Arial" w:cs="Arial"/>
          <w:sz w:val="22"/>
          <w:szCs w:val="22"/>
        </w:rPr>
        <w:t>G</w:t>
      </w:r>
      <w:r w:rsidR="00260217" w:rsidRPr="00FC0A44">
        <w:rPr>
          <w:rFonts w:ascii="Arial" w:hAnsi="Arial" w:cs="Arial"/>
          <w:sz w:val="22"/>
          <w:szCs w:val="22"/>
        </w:rPr>
        <w:t xml:space="preserve">ouvernement </w:t>
      </w:r>
      <w:r w:rsidRPr="00FC0A44">
        <w:rPr>
          <w:rFonts w:ascii="Arial" w:hAnsi="Arial" w:cs="Arial"/>
          <w:sz w:val="22"/>
          <w:szCs w:val="22"/>
        </w:rPr>
        <w:t>chinois à la Convention de 2003 coordonne cette activité.</w:t>
      </w:r>
    </w:p>
    <w:p w14:paraId="310429E4" w14:textId="5EE05380" w:rsidR="005769D5" w:rsidRPr="00FC0A44" w:rsidRDefault="005769D5" w:rsidP="006F64A5">
      <w:pPr>
        <w:shd w:val="clear" w:color="auto" w:fill="FFFFFF"/>
        <w:spacing w:after="120"/>
        <w:ind w:left="567" w:right="566"/>
        <w:jc w:val="both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 xml:space="preserve">La </w:t>
      </w:r>
      <w:r w:rsidRPr="00FC0A44">
        <w:rPr>
          <w:rFonts w:ascii="Arial" w:hAnsi="Arial" w:cs="Arial"/>
          <w:bCs/>
          <w:sz w:val="22"/>
          <w:szCs w:val="22"/>
        </w:rPr>
        <w:t xml:space="preserve">Commission </w:t>
      </w:r>
      <w:r w:rsidR="007037C3" w:rsidRPr="00FC0A44">
        <w:rPr>
          <w:rFonts w:ascii="Arial" w:hAnsi="Arial" w:cs="Arial"/>
          <w:bCs/>
          <w:sz w:val="22"/>
          <w:szCs w:val="22"/>
        </w:rPr>
        <w:t>n</w:t>
      </w:r>
      <w:r w:rsidRPr="00FC0A44">
        <w:rPr>
          <w:rFonts w:ascii="Arial" w:hAnsi="Arial" w:cs="Arial"/>
          <w:bCs/>
          <w:sz w:val="22"/>
          <w:szCs w:val="22"/>
        </w:rPr>
        <w:t xml:space="preserve">ationale de la République </w:t>
      </w:r>
      <w:r w:rsidR="007037C3" w:rsidRPr="00FC0A44">
        <w:rPr>
          <w:rFonts w:ascii="Arial" w:hAnsi="Arial" w:cs="Arial"/>
          <w:bCs/>
          <w:sz w:val="22"/>
          <w:szCs w:val="22"/>
        </w:rPr>
        <w:t>p</w:t>
      </w:r>
      <w:r w:rsidRPr="00FC0A44">
        <w:rPr>
          <w:rFonts w:ascii="Arial" w:hAnsi="Arial" w:cs="Arial"/>
          <w:bCs/>
          <w:sz w:val="22"/>
          <w:szCs w:val="22"/>
        </w:rPr>
        <w:t>opulaire de Chine</w:t>
      </w:r>
      <w:r w:rsidRPr="00FC0A44">
        <w:rPr>
          <w:rFonts w:ascii="Arial" w:hAnsi="Arial" w:cs="Arial"/>
          <w:sz w:val="22"/>
          <w:szCs w:val="22"/>
        </w:rPr>
        <w:t xml:space="preserve"> </w:t>
      </w:r>
      <w:r w:rsidRPr="00FC0A44">
        <w:rPr>
          <w:rFonts w:ascii="Arial" w:hAnsi="Arial" w:cs="Arial"/>
          <w:color w:val="000000"/>
          <w:sz w:val="22"/>
          <w:szCs w:val="22"/>
        </w:rPr>
        <w:t>est informé(e) que la contribution financière sera déposée sur le Fonds pour la sauvegarde du patrimoine culturel immatériel (ci-après dénommé « le Fonds ») géré par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 xml:space="preserve">UNESCO pour soutenir le Programme susmentionné. Le règlement financier du Fonds figure en annexe 1 au présent accord. </w:t>
      </w:r>
    </w:p>
    <w:p w14:paraId="07C7CB8D" w14:textId="42B0679C" w:rsidR="005769D5" w:rsidRPr="00FC0A44" w:rsidRDefault="005769D5" w:rsidP="006F64A5">
      <w:pPr>
        <w:shd w:val="clear" w:color="auto" w:fill="FFFFFF"/>
        <w:spacing w:after="120"/>
        <w:ind w:left="567" w:right="56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0A44">
        <w:rPr>
          <w:rFonts w:ascii="Arial" w:hAnsi="Arial" w:cs="Arial"/>
          <w:b/>
          <w:color w:val="000000"/>
          <w:sz w:val="22"/>
          <w:szCs w:val="22"/>
        </w:rPr>
        <w:t xml:space="preserve">La </w:t>
      </w:r>
      <w:r w:rsidRPr="00FC0A44">
        <w:rPr>
          <w:rFonts w:ascii="Arial" w:hAnsi="Arial" w:cs="Arial"/>
          <w:b/>
          <w:bCs/>
          <w:sz w:val="22"/>
          <w:szCs w:val="22"/>
        </w:rPr>
        <w:t xml:space="preserve">Commission </w:t>
      </w:r>
      <w:r w:rsidR="007037C3" w:rsidRPr="00FC0A44">
        <w:rPr>
          <w:rFonts w:ascii="Arial" w:hAnsi="Arial" w:cs="Arial"/>
          <w:b/>
          <w:bCs/>
          <w:sz w:val="22"/>
          <w:szCs w:val="22"/>
        </w:rPr>
        <w:t>n</w:t>
      </w:r>
      <w:r w:rsidRPr="00FC0A44">
        <w:rPr>
          <w:rFonts w:ascii="Arial" w:hAnsi="Arial" w:cs="Arial"/>
          <w:b/>
          <w:bCs/>
          <w:sz w:val="22"/>
          <w:szCs w:val="22"/>
        </w:rPr>
        <w:t xml:space="preserve">ationale de la République </w:t>
      </w:r>
      <w:r w:rsidR="007037C3" w:rsidRPr="00FC0A44">
        <w:rPr>
          <w:rFonts w:ascii="Arial" w:hAnsi="Arial" w:cs="Arial"/>
          <w:b/>
          <w:bCs/>
          <w:sz w:val="22"/>
          <w:szCs w:val="22"/>
        </w:rPr>
        <w:t>p</w:t>
      </w:r>
      <w:r w:rsidRPr="00FC0A44">
        <w:rPr>
          <w:rFonts w:ascii="Arial" w:hAnsi="Arial" w:cs="Arial"/>
          <w:b/>
          <w:bCs/>
          <w:sz w:val="22"/>
          <w:szCs w:val="22"/>
        </w:rPr>
        <w:t>opulaire de Chine</w:t>
      </w:r>
      <w:r w:rsidRPr="00FC0A44">
        <w:rPr>
          <w:rFonts w:ascii="Arial" w:hAnsi="Arial" w:cs="Arial"/>
          <w:b/>
          <w:color w:val="000000"/>
          <w:sz w:val="22"/>
          <w:szCs w:val="22"/>
        </w:rPr>
        <w:t xml:space="preserve"> accepte de verser la contribution financière à l</w:t>
      </w:r>
      <w:r w:rsidR="00260217">
        <w:rPr>
          <w:rFonts w:ascii="Arial" w:hAnsi="Arial" w:cs="Arial"/>
          <w:b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b/>
          <w:color w:val="000000"/>
          <w:sz w:val="22"/>
          <w:szCs w:val="22"/>
        </w:rPr>
        <w:t>UNESCO sous réserve que l</w:t>
      </w:r>
      <w:r w:rsidR="00260217">
        <w:rPr>
          <w:rFonts w:ascii="Arial" w:hAnsi="Arial" w:cs="Arial"/>
          <w:b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b/>
          <w:color w:val="000000"/>
          <w:sz w:val="22"/>
          <w:szCs w:val="22"/>
        </w:rPr>
        <w:t>UNESCO :</w:t>
      </w:r>
    </w:p>
    <w:p w14:paraId="16D88AC9" w14:textId="41B2810E" w:rsidR="005769D5" w:rsidRPr="00FC0A44" w:rsidRDefault="005769D5" w:rsidP="006F64A5">
      <w:pPr>
        <w:numPr>
          <w:ilvl w:val="0"/>
          <w:numId w:val="24"/>
        </w:numPr>
        <w:shd w:val="clear" w:color="auto" w:fill="FFFFFF"/>
        <w:spacing w:after="120"/>
        <w:ind w:left="1134" w:right="566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 xml:space="preserve">fasse usage de la contribution financière aux fins prévues pour </w:t>
      </w:r>
      <w:r w:rsidRPr="00FC0A44">
        <w:rPr>
          <w:rFonts w:ascii="Arial" w:hAnsi="Arial" w:cs="Arial"/>
          <w:sz w:val="22"/>
          <w:szCs w:val="22"/>
        </w:rPr>
        <w:t>l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organisation d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une réunion préliminaire sur le développement d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un cadre global de résultats pour la Convention (Décision 9.COM 13.e)</w:t>
      </w:r>
      <w:r w:rsidR="006F64A5">
        <w:rPr>
          <w:rFonts w:ascii="Arial" w:hAnsi="Arial" w:cs="Arial"/>
          <w:sz w:val="22"/>
          <w:szCs w:val="22"/>
        </w:rPr>
        <w:t> </w:t>
      </w:r>
      <w:r w:rsidRPr="00FC0A44">
        <w:rPr>
          <w:rFonts w:ascii="Arial" w:hAnsi="Arial" w:cs="Arial"/>
          <w:color w:val="000000"/>
          <w:sz w:val="22"/>
          <w:szCs w:val="22"/>
        </w:rPr>
        <w:t>;</w:t>
      </w:r>
    </w:p>
    <w:p w14:paraId="0C50FB18" w14:textId="780DD192" w:rsidR="005769D5" w:rsidRPr="00FC0A44" w:rsidRDefault="005769D5" w:rsidP="006F64A5">
      <w:pPr>
        <w:numPr>
          <w:ilvl w:val="0"/>
          <w:numId w:val="24"/>
        </w:numPr>
        <w:shd w:val="clear" w:color="auto" w:fill="FFFFFF"/>
        <w:spacing w:after="120"/>
        <w:ind w:left="1134" w:right="566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 xml:space="preserve">remette à la </w:t>
      </w:r>
      <w:r w:rsidRPr="00FC0A44">
        <w:rPr>
          <w:rFonts w:ascii="Arial" w:hAnsi="Arial" w:cs="Arial"/>
          <w:bCs/>
          <w:sz w:val="22"/>
          <w:szCs w:val="22"/>
        </w:rPr>
        <w:t xml:space="preserve">Commission </w:t>
      </w:r>
      <w:r w:rsidR="007037C3" w:rsidRPr="00FC0A44">
        <w:rPr>
          <w:rFonts w:ascii="Arial" w:hAnsi="Arial" w:cs="Arial"/>
          <w:bCs/>
          <w:sz w:val="22"/>
          <w:szCs w:val="22"/>
        </w:rPr>
        <w:t>n</w:t>
      </w:r>
      <w:r w:rsidRPr="00FC0A44">
        <w:rPr>
          <w:rFonts w:ascii="Arial" w:hAnsi="Arial" w:cs="Arial"/>
          <w:bCs/>
          <w:sz w:val="22"/>
          <w:szCs w:val="22"/>
        </w:rPr>
        <w:t xml:space="preserve">ationale de la République </w:t>
      </w:r>
      <w:r w:rsidR="007037C3" w:rsidRPr="00FC0A44">
        <w:rPr>
          <w:rFonts w:ascii="Arial" w:hAnsi="Arial" w:cs="Arial"/>
          <w:bCs/>
          <w:sz w:val="22"/>
          <w:szCs w:val="22"/>
        </w:rPr>
        <w:t>p</w:t>
      </w:r>
      <w:r w:rsidRPr="00FC0A44">
        <w:rPr>
          <w:rFonts w:ascii="Arial" w:hAnsi="Arial" w:cs="Arial"/>
          <w:bCs/>
          <w:sz w:val="22"/>
          <w:szCs w:val="22"/>
        </w:rPr>
        <w:t>opulaire de Chine, sur demande,</w:t>
      </w:r>
      <w:r w:rsidRPr="00FC0A44">
        <w:rPr>
          <w:rFonts w:ascii="Arial" w:hAnsi="Arial" w:cs="Arial"/>
          <w:color w:val="000000"/>
          <w:sz w:val="22"/>
          <w:szCs w:val="22"/>
        </w:rPr>
        <w:t xml:space="preserve"> un accusé de réception spécifiant que la contribution financière sera utilisée aux fins prévues pour </w:t>
      </w:r>
      <w:r w:rsidRPr="00FC0A44">
        <w:rPr>
          <w:rFonts w:ascii="Arial" w:hAnsi="Arial" w:cs="Arial"/>
          <w:sz w:val="22"/>
          <w:szCs w:val="22"/>
        </w:rPr>
        <w:t>l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organisation de la réunion mentionnée ci-dessus</w:t>
      </w:r>
      <w:r w:rsidR="006F64A5">
        <w:rPr>
          <w:rFonts w:ascii="Arial" w:hAnsi="Arial" w:cs="Arial"/>
          <w:sz w:val="22"/>
          <w:szCs w:val="22"/>
        </w:rPr>
        <w:t> </w:t>
      </w:r>
      <w:r w:rsidRPr="00FC0A44">
        <w:rPr>
          <w:rFonts w:ascii="Arial" w:hAnsi="Arial" w:cs="Arial"/>
          <w:color w:val="000000"/>
          <w:sz w:val="22"/>
          <w:szCs w:val="22"/>
        </w:rPr>
        <w:t>;</w:t>
      </w:r>
    </w:p>
    <w:p w14:paraId="19BD726E" w14:textId="7035EC4D" w:rsidR="005769D5" w:rsidRPr="00FC0A44" w:rsidRDefault="005769D5" w:rsidP="006F64A5">
      <w:pPr>
        <w:numPr>
          <w:ilvl w:val="0"/>
          <w:numId w:val="24"/>
        </w:numPr>
        <w:shd w:val="clear" w:color="auto" w:fill="FFFFFF"/>
        <w:spacing w:after="120"/>
        <w:ind w:left="1134" w:right="566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>fournisse un rapport financier consolidé du Fonds ainsi qu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un rapport narratif sur les progrès accomplis dans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exécution des activités mises en œuvre par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intermédiaire du Fonds, conformément aux procédures de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UNESCO concernant les contributions multi-donateurs créditées à un compte spécial. Ces rapports auront le même format que ceux présentés aux Organes directeurs de la Convention ;</w:t>
      </w:r>
    </w:p>
    <w:p w14:paraId="13DBADF8" w14:textId="529F0803" w:rsidR="005769D5" w:rsidRPr="00FC0A44" w:rsidRDefault="005769D5" w:rsidP="006F64A5">
      <w:pPr>
        <w:numPr>
          <w:ilvl w:val="0"/>
          <w:numId w:val="24"/>
        </w:numPr>
        <w:shd w:val="clear" w:color="auto" w:fill="FFFFFF"/>
        <w:spacing w:after="120"/>
        <w:ind w:left="1134" w:right="566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 xml:space="preserve">fournisse un rapport narratif final et un rapport financier consolidé final à la </w:t>
      </w:r>
      <w:r w:rsidRPr="00FC0A44">
        <w:rPr>
          <w:rFonts w:ascii="Arial" w:hAnsi="Arial" w:cs="Arial"/>
          <w:bCs/>
          <w:sz w:val="22"/>
          <w:szCs w:val="22"/>
        </w:rPr>
        <w:t xml:space="preserve">Commission </w:t>
      </w:r>
      <w:r w:rsidR="007037C3" w:rsidRPr="00FC0A44">
        <w:rPr>
          <w:rFonts w:ascii="Arial" w:hAnsi="Arial" w:cs="Arial"/>
          <w:bCs/>
          <w:sz w:val="22"/>
          <w:szCs w:val="22"/>
        </w:rPr>
        <w:t>n</w:t>
      </w:r>
      <w:r w:rsidRPr="00FC0A44">
        <w:rPr>
          <w:rFonts w:ascii="Arial" w:hAnsi="Arial" w:cs="Arial"/>
          <w:bCs/>
          <w:sz w:val="22"/>
          <w:szCs w:val="22"/>
        </w:rPr>
        <w:t xml:space="preserve">ationale de la République </w:t>
      </w:r>
      <w:r w:rsidR="007037C3" w:rsidRPr="00FC0A44">
        <w:rPr>
          <w:rFonts w:ascii="Arial" w:hAnsi="Arial" w:cs="Arial"/>
          <w:bCs/>
          <w:sz w:val="22"/>
          <w:szCs w:val="22"/>
        </w:rPr>
        <w:t>p</w:t>
      </w:r>
      <w:r w:rsidRPr="00FC0A44">
        <w:rPr>
          <w:rFonts w:ascii="Arial" w:hAnsi="Arial" w:cs="Arial"/>
          <w:bCs/>
          <w:sz w:val="22"/>
          <w:szCs w:val="22"/>
        </w:rPr>
        <w:t>opulaire de Chine</w:t>
      </w:r>
      <w:r w:rsidRPr="00FC0A44">
        <w:rPr>
          <w:rFonts w:ascii="Arial" w:hAnsi="Arial" w:cs="Arial"/>
          <w:color w:val="000000"/>
          <w:sz w:val="22"/>
          <w:szCs w:val="22"/>
        </w:rPr>
        <w:t xml:space="preserve"> à la fin du Programme et à la clôture du Fonds y afférent.</w:t>
      </w:r>
    </w:p>
    <w:p w14:paraId="6DADCBEC" w14:textId="74CD302D" w:rsidR="005769D5" w:rsidRPr="00FC0A44" w:rsidRDefault="005769D5" w:rsidP="006F64A5">
      <w:pPr>
        <w:shd w:val="clear" w:color="auto" w:fill="FFFFFF"/>
        <w:spacing w:after="120"/>
        <w:ind w:left="567" w:right="566"/>
        <w:jc w:val="both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 xml:space="preserve">La </w:t>
      </w:r>
      <w:r w:rsidRPr="00FC0A44">
        <w:rPr>
          <w:rFonts w:ascii="Arial" w:hAnsi="Arial" w:cs="Arial"/>
          <w:bCs/>
          <w:sz w:val="22"/>
          <w:szCs w:val="22"/>
        </w:rPr>
        <w:t xml:space="preserve">Commission </w:t>
      </w:r>
      <w:r w:rsidR="007037C3" w:rsidRPr="00FC0A44">
        <w:rPr>
          <w:rFonts w:ascii="Arial" w:hAnsi="Arial" w:cs="Arial"/>
          <w:bCs/>
          <w:sz w:val="22"/>
          <w:szCs w:val="22"/>
        </w:rPr>
        <w:t>n</w:t>
      </w:r>
      <w:r w:rsidRPr="00FC0A44">
        <w:rPr>
          <w:rFonts w:ascii="Arial" w:hAnsi="Arial" w:cs="Arial"/>
          <w:bCs/>
          <w:sz w:val="22"/>
          <w:szCs w:val="22"/>
        </w:rPr>
        <w:t xml:space="preserve">ationale de la République </w:t>
      </w:r>
      <w:r w:rsidR="007037C3" w:rsidRPr="00FC0A44">
        <w:rPr>
          <w:rFonts w:ascii="Arial" w:hAnsi="Arial" w:cs="Arial"/>
          <w:bCs/>
          <w:sz w:val="22"/>
          <w:szCs w:val="22"/>
        </w:rPr>
        <w:t>p</w:t>
      </w:r>
      <w:r w:rsidRPr="00FC0A44">
        <w:rPr>
          <w:rFonts w:ascii="Arial" w:hAnsi="Arial" w:cs="Arial"/>
          <w:bCs/>
          <w:sz w:val="22"/>
          <w:szCs w:val="22"/>
        </w:rPr>
        <w:t>opulaire de Chine</w:t>
      </w:r>
      <w:r w:rsidRPr="00FC0A44">
        <w:rPr>
          <w:rFonts w:ascii="Arial" w:hAnsi="Arial" w:cs="Arial"/>
          <w:color w:val="000000"/>
          <w:sz w:val="22"/>
          <w:szCs w:val="22"/>
        </w:rPr>
        <w:t xml:space="preserve"> est informée que conformément aux procédures de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UNESCO relatives aux contributions multi-donateurs, la Directrice générale de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UNESCO décidera de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affectation à d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autres activités de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UNESCO du solde inutilisé qui pourrait subsister à la fin du Programme en consultation avec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organe Directeur  impliqué  dans la gestion du Fonds.</w:t>
      </w:r>
    </w:p>
    <w:p w14:paraId="3F750BDA" w14:textId="41E595AA" w:rsidR="005769D5" w:rsidRPr="00FC0A44" w:rsidRDefault="005769D5" w:rsidP="006F64A5">
      <w:pPr>
        <w:shd w:val="clear" w:color="auto" w:fill="FFFFFF"/>
        <w:spacing w:after="120"/>
        <w:ind w:left="567" w:right="566"/>
        <w:jc w:val="both"/>
        <w:rPr>
          <w:rFonts w:ascii="Arial" w:hAnsi="Arial" w:cs="Arial"/>
          <w:sz w:val="22"/>
          <w:szCs w:val="22"/>
        </w:rPr>
      </w:pPr>
      <w:bookmarkStart w:id="3" w:name="Texte7"/>
      <w:bookmarkStart w:id="4" w:name="Text14"/>
      <w:bookmarkEnd w:id="3"/>
      <w:bookmarkEnd w:id="4"/>
      <w:r w:rsidRPr="00FC0A44">
        <w:rPr>
          <w:rFonts w:ascii="Arial" w:hAnsi="Arial" w:cs="Arial"/>
          <w:sz w:val="22"/>
          <w:szCs w:val="22"/>
        </w:rPr>
        <w:t xml:space="preserve">La contribution </w:t>
      </w:r>
      <w:r w:rsidR="002162A0" w:rsidRPr="00FC0A44">
        <w:rPr>
          <w:rFonts w:ascii="Arial" w:hAnsi="Arial" w:cs="Arial"/>
          <w:sz w:val="22"/>
          <w:szCs w:val="22"/>
        </w:rPr>
        <w:t xml:space="preserve">financière </w:t>
      </w:r>
      <w:r w:rsidRPr="00FC0A44">
        <w:rPr>
          <w:rFonts w:ascii="Arial" w:hAnsi="Arial" w:cs="Arial"/>
          <w:sz w:val="22"/>
          <w:szCs w:val="22"/>
        </w:rPr>
        <w:t>est destinée à couvrir les coûts directs des activités de l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UNESCO dans le cadre de l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organisation de la réunion mentionnée ci-dessus, et à financer, à hauteur de 10%, les dépenses indirectes de l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UNESCO afférentes à la supervision technique et administrative du Fonds. Elle sera soumise aux procédures d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audit internes et externes, comme le prévoient le Règlement financier, le Règlement d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administration financière et les directives financières de l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UNESCO.</w:t>
      </w:r>
    </w:p>
    <w:p w14:paraId="0854926D" w14:textId="1170CE91" w:rsidR="005769D5" w:rsidRPr="00FC0A44" w:rsidRDefault="005769D5" w:rsidP="006F64A5">
      <w:pPr>
        <w:shd w:val="clear" w:color="auto" w:fill="FFFFFF"/>
        <w:spacing w:after="120"/>
        <w:ind w:left="567" w:right="566"/>
        <w:jc w:val="both"/>
        <w:rPr>
          <w:rFonts w:ascii="Arial" w:hAnsi="Arial" w:cs="Arial"/>
          <w:color w:val="222222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 xml:space="preserve">La </w:t>
      </w:r>
      <w:r w:rsidRPr="00FC0A44">
        <w:rPr>
          <w:rFonts w:ascii="Arial" w:hAnsi="Arial" w:cs="Arial"/>
          <w:bCs/>
          <w:sz w:val="22"/>
          <w:szCs w:val="22"/>
        </w:rPr>
        <w:t xml:space="preserve">Commission </w:t>
      </w:r>
      <w:r w:rsidR="007037C3" w:rsidRPr="00FC0A44">
        <w:rPr>
          <w:rFonts w:ascii="Arial" w:hAnsi="Arial" w:cs="Arial"/>
          <w:bCs/>
          <w:sz w:val="22"/>
          <w:szCs w:val="22"/>
        </w:rPr>
        <w:t>n</w:t>
      </w:r>
      <w:r w:rsidRPr="00FC0A44">
        <w:rPr>
          <w:rFonts w:ascii="Arial" w:hAnsi="Arial" w:cs="Arial"/>
          <w:bCs/>
          <w:sz w:val="22"/>
          <w:szCs w:val="22"/>
        </w:rPr>
        <w:t xml:space="preserve">ationale de la République </w:t>
      </w:r>
      <w:r w:rsidR="007037C3" w:rsidRPr="00FC0A44">
        <w:rPr>
          <w:rFonts w:ascii="Arial" w:hAnsi="Arial" w:cs="Arial"/>
          <w:bCs/>
          <w:sz w:val="22"/>
          <w:szCs w:val="22"/>
        </w:rPr>
        <w:t>p</w:t>
      </w:r>
      <w:r w:rsidRPr="00FC0A44">
        <w:rPr>
          <w:rFonts w:ascii="Arial" w:hAnsi="Arial" w:cs="Arial"/>
          <w:bCs/>
          <w:sz w:val="22"/>
          <w:szCs w:val="22"/>
        </w:rPr>
        <w:t>opulaire de Chine</w:t>
      </w:r>
      <w:r w:rsidRPr="00FC0A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se félicite de cette occasion de coopérer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avec le secteur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de la culture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de l</w:t>
      </w:r>
      <w:r w:rsidR="00260217">
        <w:rPr>
          <w:rStyle w:val="hps"/>
          <w:rFonts w:ascii="Arial" w:hAnsi="Arial" w:cs="Arial"/>
          <w:color w:val="222222"/>
          <w:sz w:val="22"/>
          <w:szCs w:val="22"/>
        </w:rPr>
        <w:t>’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UNESCO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dans le cadre d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es activités de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son programme de sensibilisation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, en particulier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à l</w:t>
      </w:r>
      <w:r w:rsidR="00260217">
        <w:rPr>
          <w:rStyle w:val="hps"/>
          <w:rFonts w:ascii="Arial" w:hAnsi="Arial" w:cs="Arial"/>
          <w:color w:val="222222"/>
          <w:sz w:val="22"/>
          <w:szCs w:val="22"/>
        </w:rPr>
        <w:t>’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appui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à la Convention pour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la sauvegarde du</w:t>
      </w:r>
      <w:r w:rsidRPr="00FC0A44">
        <w:rPr>
          <w:rFonts w:ascii="Arial" w:hAnsi="Arial" w:cs="Arial"/>
          <w:color w:val="222222"/>
          <w:sz w:val="22"/>
          <w:szCs w:val="22"/>
        </w:rPr>
        <w:t xml:space="preserve"> </w:t>
      </w:r>
      <w:r w:rsidRPr="00FC0A44">
        <w:rPr>
          <w:rStyle w:val="hps"/>
          <w:rFonts w:ascii="Arial" w:hAnsi="Arial" w:cs="Arial"/>
          <w:color w:val="222222"/>
          <w:sz w:val="22"/>
          <w:szCs w:val="22"/>
        </w:rPr>
        <w:t>patrimoine culturel immatériel</w:t>
      </w:r>
      <w:r w:rsidRPr="00FC0A44">
        <w:rPr>
          <w:rFonts w:ascii="Arial" w:hAnsi="Arial" w:cs="Arial"/>
          <w:color w:val="222222"/>
          <w:sz w:val="22"/>
          <w:szCs w:val="22"/>
        </w:rPr>
        <w:t>.</w:t>
      </w:r>
    </w:p>
    <w:p w14:paraId="2F82061D" w14:textId="2FB13C83" w:rsidR="005769D5" w:rsidRPr="00FC0A44" w:rsidRDefault="005769D5" w:rsidP="006F64A5">
      <w:pPr>
        <w:shd w:val="clear" w:color="auto" w:fill="FFFFFF"/>
        <w:spacing w:after="600"/>
        <w:ind w:left="567" w:right="567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Text12"/>
      <w:bookmarkStart w:id="6" w:name="Text13"/>
      <w:bookmarkStart w:id="7" w:name="Text15"/>
      <w:bookmarkStart w:id="8" w:name="Text16"/>
      <w:bookmarkStart w:id="9" w:name="Text18"/>
      <w:bookmarkStart w:id="10" w:name="Text19"/>
      <w:bookmarkStart w:id="11" w:name="Text20"/>
      <w:bookmarkEnd w:id="5"/>
      <w:bookmarkEnd w:id="6"/>
      <w:bookmarkEnd w:id="7"/>
      <w:bookmarkEnd w:id="8"/>
      <w:bookmarkEnd w:id="9"/>
      <w:bookmarkEnd w:id="10"/>
      <w:bookmarkEnd w:id="11"/>
      <w:r w:rsidRPr="00FC0A44">
        <w:rPr>
          <w:rFonts w:ascii="Arial" w:hAnsi="Arial" w:cs="Arial"/>
          <w:color w:val="000000"/>
          <w:sz w:val="22"/>
          <w:szCs w:val="22"/>
        </w:rPr>
        <w:t>Veuillez agréer, Madame, Monsieur,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 xml:space="preserve">expression de ma considération </w:t>
      </w:r>
      <w:r w:rsidRPr="00FC0A44">
        <w:rPr>
          <w:rFonts w:ascii="Arial" w:hAnsi="Arial" w:cs="Arial"/>
          <w:bCs/>
          <w:sz w:val="22"/>
          <w:szCs w:val="22"/>
        </w:rPr>
        <w:t>distinguée</w:t>
      </w:r>
      <w:r w:rsidRPr="00FC0A44">
        <w:rPr>
          <w:rFonts w:ascii="Arial" w:hAnsi="Arial" w:cs="Arial"/>
          <w:color w:val="000000"/>
          <w:sz w:val="22"/>
          <w:szCs w:val="22"/>
        </w:rPr>
        <w:t>.</w:t>
      </w:r>
    </w:p>
    <w:p w14:paraId="2A3147F3" w14:textId="77777777" w:rsidR="005769D5" w:rsidRPr="00FC0A44" w:rsidRDefault="005769D5" w:rsidP="007037C3">
      <w:pPr>
        <w:ind w:left="4820" w:right="566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>_________________________</w:t>
      </w:r>
    </w:p>
    <w:p w14:paraId="3FA1FEB5" w14:textId="77777777" w:rsidR="005769D5" w:rsidRPr="00FC0A44" w:rsidRDefault="005769D5" w:rsidP="007037C3">
      <w:pPr>
        <w:spacing w:after="60"/>
        <w:ind w:left="4820" w:right="566"/>
        <w:rPr>
          <w:rFonts w:ascii="Arial" w:hAnsi="Arial" w:cs="Arial"/>
          <w:bCs/>
          <w:sz w:val="22"/>
          <w:szCs w:val="22"/>
          <w:highlight w:val="lightGray"/>
        </w:rPr>
      </w:pPr>
      <w:r w:rsidRPr="00FC0A44">
        <w:rPr>
          <w:rFonts w:ascii="Arial" w:hAnsi="Arial" w:cs="Arial"/>
          <w:bCs/>
          <w:sz w:val="22"/>
          <w:szCs w:val="22"/>
          <w:highlight w:val="lightGray"/>
        </w:rPr>
        <w:t>DU Yue</w:t>
      </w:r>
    </w:p>
    <w:p w14:paraId="44B53FE5" w14:textId="77777777" w:rsidR="005769D5" w:rsidRPr="00FC0A44" w:rsidRDefault="005769D5" w:rsidP="007037C3">
      <w:pPr>
        <w:spacing w:after="60"/>
        <w:ind w:left="4820" w:right="566"/>
        <w:rPr>
          <w:rFonts w:ascii="Arial" w:hAnsi="Arial" w:cs="Arial"/>
          <w:bCs/>
          <w:sz w:val="22"/>
          <w:szCs w:val="22"/>
          <w:highlight w:val="lightGray"/>
        </w:rPr>
      </w:pPr>
      <w:r w:rsidRPr="00FC0A44">
        <w:rPr>
          <w:rFonts w:ascii="Arial" w:hAnsi="Arial" w:cs="Arial"/>
          <w:bCs/>
          <w:sz w:val="22"/>
          <w:szCs w:val="22"/>
          <w:highlight w:val="lightGray"/>
        </w:rPr>
        <w:t>Secrétaire général</w:t>
      </w:r>
    </w:p>
    <w:p w14:paraId="7860FB5F" w14:textId="3D6B2B08" w:rsidR="005769D5" w:rsidRPr="00FC0A44" w:rsidRDefault="005769D5" w:rsidP="007037C3">
      <w:pPr>
        <w:spacing w:after="60"/>
        <w:ind w:left="4820" w:right="566"/>
        <w:rPr>
          <w:rFonts w:ascii="Arial" w:hAnsi="Arial" w:cs="Arial"/>
          <w:sz w:val="22"/>
          <w:szCs w:val="22"/>
        </w:rPr>
      </w:pPr>
      <w:r w:rsidRPr="00FC0A44">
        <w:rPr>
          <w:rFonts w:ascii="Arial" w:hAnsi="Arial" w:cs="Arial"/>
          <w:sz w:val="22"/>
          <w:szCs w:val="22"/>
        </w:rPr>
        <w:t>Commission Nationale de la République Populaire de Chine pour l</w:t>
      </w:r>
      <w:r w:rsidR="00260217">
        <w:rPr>
          <w:rFonts w:ascii="Arial" w:hAnsi="Arial" w:cs="Arial"/>
          <w:sz w:val="22"/>
          <w:szCs w:val="22"/>
        </w:rPr>
        <w:t>’</w:t>
      </w:r>
      <w:r w:rsidRPr="00FC0A44">
        <w:rPr>
          <w:rFonts w:ascii="Arial" w:hAnsi="Arial" w:cs="Arial"/>
          <w:sz w:val="22"/>
          <w:szCs w:val="22"/>
        </w:rPr>
        <w:t>UNESCO</w:t>
      </w:r>
    </w:p>
    <w:p w14:paraId="3B985AC8" w14:textId="77777777" w:rsidR="005769D5" w:rsidRPr="00FC0A44" w:rsidRDefault="005769D5" w:rsidP="006F64A5">
      <w:pPr>
        <w:shd w:val="clear" w:color="auto" w:fill="FFFFFF"/>
        <w:spacing w:before="120"/>
        <w:ind w:left="567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>Approuvé par :</w:t>
      </w:r>
    </w:p>
    <w:p w14:paraId="5EDF7A74" w14:textId="535EA9A5" w:rsidR="005769D5" w:rsidRPr="00FC0A44" w:rsidRDefault="005769D5" w:rsidP="007037C3">
      <w:pPr>
        <w:shd w:val="clear" w:color="auto" w:fill="FFFFFF"/>
        <w:ind w:left="567" w:right="566"/>
        <w:jc w:val="both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>Organisation des Nations Unies pour l</w:t>
      </w:r>
      <w:r w:rsidR="00260217">
        <w:rPr>
          <w:rFonts w:ascii="Arial" w:hAnsi="Arial" w:cs="Arial"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color w:val="000000"/>
          <w:sz w:val="22"/>
          <w:szCs w:val="22"/>
        </w:rPr>
        <w:t>éducation, la science et la culture</w:t>
      </w:r>
    </w:p>
    <w:p w14:paraId="3E699F23" w14:textId="77777777" w:rsidR="005769D5" w:rsidRPr="00FC0A44" w:rsidRDefault="005769D5" w:rsidP="007037C3">
      <w:pPr>
        <w:shd w:val="clear" w:color="auto" w:fill="FFFFFF"/>
        <w:tabs>
          <w:tab w:val="left" w:pos="709"/>
        </w:tabs>
        <w:spacing w:before="800" w:after="120"/>
        <w:ind w:left="567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>Par : ___________________________________</w:t>
      </w:r>
    </w:p>
    <w:p w14:paraId="3EC90EE9" w14:textId="00132E5B" w:rsidR="005769D5" w:rsidRPr="00FC0A44" w:rsidRDefault="005769D5" w:rsidP="007037C3">
      <w:pPr>
        <w:shd w:val="clear" w:color="auto" w:fill="FFFFFF"/>
        <w:tabs>
          <w:tab w:val="left" w:pos="1276"/>
          <w:tab w:val="right" w:pos="2552"/>
        </w:tabs>
        <w:spacing w:after="60"/>
        <w:ind w:left="567" w:right="566"/>
        <w:rPr>
          <w:rFonts w:ascii="Arial" w:hAnsi="Arial" w:cs="Arial"/>
          <w:sz w:val="22"/>
          <w:szCs w:val="22"/>
        </w:rPr>
      </w:pPr>
      <w:r w:rsidRPr="00FC0A44">
        <w:rPr>
          <w:rFonts w:ascii="Arial" w:hAnsi="Arial" w:cs="Arial"/>
          <w:color w:val="000000"/>
          <w:sz w:val="22"/>
          <w:szCs w:val="22"/>
        </w:rPr>
        <w:t>Nom :</w:t>
      </w:r>
      <w:r w:rsidRPr="00FC0A44">
        <w:rPr>
          <w:rFonts w:ascii="Arial" w:hAnsi="Arial" w:cs="Arial"/>
          <w:color w:val="000000"/>
          <w:sz w:val="22"/>
          <w:szCs w:val="22"/>
        </w:rPr>
        <w:tab/>
      </w:r>
      <w:r w:rsidRPr="00FC0A44">
        <w:rPr>
          <w:rFonts w:ascii="Arial" w:hAnsi="Arial" w:cs="Arial"/>
          <w:sz w:val="22"/>
          <w:szCs w:val="22"/>
        </w:rPr>
        <w:t xml:space="preserve">M. Alfredo Pérez de </w:t>
      </w:r>
      <w:proofErr w:type="spellStart"/>
      <w:r w:rsidRPr="00FC0A44">
        <w:rPr>
          <w:rFonts w:ascii="Arial" w:hAnsi="Arial" w:cs="Arial"/>
          <w:sz w:val="22"/>
          <w:szCs w:val="22"/>
        </w:rPr>
        <w:t>Armiñán</w:t>
      </w:r>
      <w:proofErr w:type="spellEnd"/>
      <w:r w:rsidR="007037C3" w:rsidRPr="00FC0A44">
        <w:rPr>
          <w:rFonts w:ascii="Arial" w:hAnsi="Arial" w:cs="Arial"/>
          <w:sz w:val="22"/>
          <w:szCs w:val="22"/>
        </w:rPr>
        <w:br/>
      </w:r>
      <w:r w:rsidRPr="00FC0A44">
        <w:rPr>
          <w:rFonts w:ascii="Arial" w:hAnsi="Arial" w:cs="Arial"/>
          <w:color w:val="000000"/>
          <w:sz w:val="22"/>
          <w:szCs w:val="22"/>
        </w:rPr>
        <w:t>Titre :</w:t>
      </w:r>
      <w:r w:rsidR="007037C3" w:rsidRPr="00FC0A44">
        <w:rPr>
          <w:rFonts w:ascii="Arial" w:hAnsi="Arial" w:cs="Arial"/>
          <w:color w:val="000000"/>
          <w:sz w:val="22"/>
          <w:szCs w:val="22"/>
        </w:rPr>
        <w:tab/>
      </w:r>
      <w:r w:rsidRPr="00FC0A44">
        <w:rPr>
          <w:rFonts w:ascii="Arial" w:hAnsi="Arial" w:cs="Arial"/>
          <w:color w:val="000000"/>
          <w:sz w:val="22"/>
          <w:szCs w:val="22"/>
        </w:rPr>
        <w:t>Sous-Directeur général, Secteur de la culture</w:t>
      </w:r>
    </w:p>
    <w:p w14:paraId="424DD816" w14:textId="378C6A14" w:rsidR="005769D5" w:rsidRPr="00FC0A44" w:rsidRDefault="005769D5" w:rsidP="005769D5">
      <w:pPr>
        <w:pageBreakBefore/>
        <w:widowControl w:val="0"/>
        <w:autoSpaceDE w:val="0"/>
        <w:autoSpaceDN w:val="0"/>
        <w:adjustRightInd w:val="0"/>
        <w:spacing w:after="360"/>
        <w:ind w:left="567" w:right="-23" w:hanging="567"/>
        <w:jc w:val="right"/>
        <w:rPr>
          <w:rFonts w:ascii="Arial" w:hAnsi="Arial"/>
          <w:b/>
          <w:sz w:val="22"/>
          <w:szCs w:val="22"/>
        </w:rPr>
      </w:pPr>
      <w:r w:rsidRPr="00FC0A44">
        <w:rPr>
          <w:rFonts w:ascii="Arial" w:hAnsi="Arial"/>
          <w:b/>
          <w:sz w:val="22"/>
          <w:szCs w:val="22"/>
        </w:rPr>
        <w:t>Annexe</w:t>
      </w:r>
      <w:r w:rsidR="007037C3" w:rsidRPr="00FC0A44">
        <w:rPr>
          <w:rFonts w:ascii="Arial" w:hAnsi="Arial"/>
          <w:b/>
          <w:sz w:val="22"/>
          <w:szCs w:val="22"/>
        </w:rPr>
        <w:t> </w:t>
      </w:r>
      <w:r w:rsidRPr="00FC0A44">
        <w:rPr>
          <w:rFonts w:ascii="Arial" w:hAnsi="Arial"/>
          <w:b/>
          <w:sz w:val="22"/>
          <w:szCs w:val="22"/>
        </w:rPr>
        <w:t>1 :</w:t>
      </w:r>
    </w:p>
    <w:p w14:paraId="3F679CDC" w14:textId="77777777" w:rsidR="005769D5" w:rsidRPr="00FC0A44" w:rsidRDefault="005769D5" w:rsidP="007037C3">
      <w:pPr>
        <w:widowControl w:val="0"/>
        <w:autoSpaceDE w:val="0"/>
        <w:autoSpaceDN w:val="0"/>
        <w:adjustRightInd w:val="0"/>
        <w:spacing w:after="360"/>
        <w:ind w:right="-20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Règlement financier du Compte spécial pour le Fonds pour la sauvegarde du patrimoine culturel immatériel</w:t>
      </w:r>
    </w:p>
    <w:p w14:paraId="04F967BC" w14:textId="719F13AD" w:rsidR="005769D5" w:rsidRPr="00FC0A44" w:rsidRDefault="005769D5" w:rsidP="005769D5">
      <w:pPr>
        <w:pStyle w:val="Article"/>
        <w:tabs>
          <w:tab w:val="clear" w:pos="1418"/>
          <w:tab w:val="right" w:pos="1559"/>
          <w:tab w:val="left" w:pos="1843"/>
        </w:tabs>
        <w:ind w:left="1843" w:hanging="1843"/>
        <w:outlineLvl w:val="0"/>
        <w:rPr>
          <w:noProof w:val="0"/>
        </w:rPr>
      </w:pPr>
      <w:r w:rsidRPr="00FC0A44">
        <w:rPr>
          <w:noProof w:val="0"/>
        </w:rPr>
        <w:tab/>
        <w:t>Article premier</w:t>
      </w:r>
      <w:r w:rsidRPr="00FC0A44">
        <w:rPr>
          <w:noProof w:val="0"/>
        </w:rPr>
        <w:tab/>
        <w:t>Création d</w:t>
      </w:r>
      <w:r w:rsidR="00260217">
        <w:rPr>
          <w:noProof w:val="0"/>
        </w:rPr>
        <w:t>’</w:t>
      </w:r>
      <w:r w:rsidRPr="00FC0A44">
        <w:rPr>
          <w:noProof w:val="0"/>
        </w:rPr>
        <w:t>un Compte spécial pour le patrimoine immatériel</w:t>
      </w:r>
    </w:p>
    <w:p w14:paraId="6F0D5988" w14:textId="4D83B03F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1.1</w:t>
      </w:r>
      <w:r w:rsidRPr="00FC0A44">
        <w:rPr>
          <w:lang w:val="fr-FR"/>
        </w:rPr>
        <w:tab/>
        <w:t>L</w:t>
      </w:r>
      <w:r w:rsidR="00260217">
        <w:rPr>
          <w:lang w:val="fr-FR"/>
        </w:rPr>
        <w:t>’</w:t>
      </w:r>
      <w:r w:rsidRPr="00FC0A44">
        <w:rPr>
          <w:lang w:val="fr-FR"/>
        </w:rPr>
        <w:t>article 25 de la Convention pour la sauvegarde du patrimoine culturel immatériel (ci-</w:t>
      </w:r>
      <w:r w:rsidRPr="00FC0A44">
        <w:rPr>
          <w:snapToGrid w:val="0"/>
          <w:lang w:val="fr-FR"/>
        </w:rPr>
        <w:t>après</w:t>
      </w:r>
      <w:r w:rsidRPr="00FC0A44">
        <w:rPr>
          <w:lang w:val="fr-FR"/>
        </w:rPr>
        <w:t xml:space="preserve"> dénommée la « Convention ») porte création d</w:t>
      </w:r>
      <w:r w:rsidR="00260217">
        <w:rPr>
          <w:lang w:val="fr-FR"/>
        </w:rPr>
        <w:t>’</w:t>
      </w:r>
      <w:r w:rsidRPr="00FC0A44">
        <w:rPr>
          <w:lang w:val="fr-FR"/>
        </w:rPr>
        <w:t xml:space="preserve">un </w:t>
      </w:r>
      <w:r w:rsidRPr="00FC0A44">
        <w:rPr>
          <w:snapToGrid w:val="0"/>
          <w:lang w:val="fr-FR"/>
        </w:rPr>
        <w:t>Fonds</w:t>
      </w:r>
      <w:r w:rsidRPr="00FC0A44">
        <w:rPr>
          <w:lang w:val="fr-FR"/>
        </w:rPr>
        <w:t xml:space="preserve"> dit « Fonds pour la sauvegarde du patrimoine culturel immatériel » (ci-après dénommé le « Fonds »). Étant donné que le Fonds sera alimenté par plusieurs donateurs, celui-ci sera géré sous la forme d</w:t>
      </w:r>
      <w:r w:rsidR="00260217">
        <w:rPr>
          <w:lang w:val="fr-FR"/>
        </w:rPr>
        <w:t>’</w:t>
      </w:r>
      <w:r w:rsidRPr="00FC0A44">
        <w:rPr>
          <w:lang w:val="fr-FR"/>
        </w:rPr>
        <w:t>un compte spécial.</w:t>
      </w:r>
    </w:p>
    <w:p w14:paraId="6E30A61F" w14:textId="2525B3AB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1.2</w:t>
      </w:r>
      <w:r w:rsidRPr="00FC0A44">
        <w:rPr>
          <w:lang w:val="fr-FR"/>
        </w:rPr>
        <w:tab/>
        <w:t>Conformément à l</w:t>
      </w:r>
      <w:r w:rsidR="00260217">
        <w:rPr>
          <w:lang w:val="fr-FR"/>
        </w:rPr>
        <w:t>’</w:t>
      </w:r>
      <w:r w:rsidRPr="00FC0A44">
        <w:rPr>
          <w:lang w:val="fr-FR"/>
        </w:rPr>
        <w:t>article 6.6 du Règlement financier de l</w:t>
      </w:r>
      <w:r w:rsidR="00260217">
        <w:rPr>
          <w:lang w:val="fr-FR"/>
        </w:rPr>
        <w:t>’</w:t>
      </w:r>
      <w:r w:rsidRPr="00FC0A44">
        <w:rPr>
          <w:lang w:val="fr-FR"/>
        </w:rPr>
        <w:t xml:space="preserve">UNESCO, il est créé en vertu du présent un Compte spécial affecté au Fonds pour la sauvegarde du </w:t>
      </w:r>
      <w:r w:rsidRPr="00FC0A44">
        <w:rPr>
          <w:snapToGrid w:val="0"/>
          <w:lang w:val="fr-FR"/>
        </w:rPr>
        <w:t>patrimoine</w:t>
      </w:r>
      <w:r w:rsidRPr="00FC0A44">
        <w:rPr>
          <w:lang w:val="fr-FR"/>
        </w:rPr>
        <w:t xml:space="preserve"> culturel immatériel (ci-après </w:t>
      </w:r>
      <w:proofErr w:type="gramStart"/>
      <w:r w:rsidRPr="00FC0A44">
        <w:rPr>
          <w:lang w:val="fr-FR"/>
        </w:rPr>
        <w:t>dénommé</w:t>
      </w:r>
      <w:proofErr w:type="gramEnd"/>
      <w:r w:rsidRPr="00FC0A44">
        <w:rPr>
          <w:lang w:val="fr-FR"/>
        </w:rPr>
        <w:t xml:space="preserve"> le « Compte spécial »).</w:t>
      </w:r>
    </w:p>
    <w:p w14:paraId="5B61ECDE" w14:textId="77777777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1.3</w:t>
      </w:r>
      <w:r w:rsidRPr="00FC0A44">
        <w:rPr>
          <w:lang w:val="fr-FR"/>
        </w:rPr>
        <w:tab/>
        <w:t>La gestion du Compte spécial est régie par les dispositions ci-après.</w:t>
      </w:r>
    </w:p>
    <w:p w14:paraId="56C8F95B" w14:textId="77777777" w:rsidR="005769D5" w:rsidRPr="00FC0A44" w:rsidRDefault="005769D5" w:rsidP="005769D5">
      <w:pPr>
        <w:pStyle w:val="Article"/>
        <w:tabs>
          <w:tab w:val="clear" w:pos="1418"/>
          <w:tab w:val="right" w:pos="1559"/>
          <w:tab w:val="left" w:pos="1843"/>
        </w:tabs>
        <w:ind w:left="1843" w:hanging="1843"/>
        <w:outlineLvl w:val="0"/>
        <w:rPr>
          <w:noProof w:val="0"/>
        </w:rPr>
      </w:pPr>
      <w:r w:rsidRPr="00FC0A44">
        <w:rPr>
          <w:noProof w:val="0"/>
        </w:rPr>
        <w:tab/>
        <w:t>Article 2</w:t>
      </w:r>
      <w:r w:rsidRPr="00FC0A44">
        <w:rPr>
          <w:noProof w:val="0"/>
        </w:rPr>
        <w:tab/>
        <w:t>Exercice financier</w:t>
      </w:r>
    </w:p>
    <w:p w14:paraId="771309CC" w14:textId="38C2E77B" w:rsidR="005769D5" w:rsidRPr="00FC0A44" w:rsidRDefault="005769D5" w:rsidP="005769D5">
      <w:pPr>
        <w:widowControl w:val="0"/>
        <w:autoSpaceDE w:val="0"/>
        <w:autoSpaceDN w:val="0"/>
        <w:adjustRightInd w:val="0"/>
        <w:ind w:left="1843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L</w:t>
      </w:r>
      <w:r w:rsidR="00260217">
        <w:rPr>
          <w:rFonts w:ascii="Arial" w:hAnsi="Arial"/>
          <w:sz w:val="22"/>
          <w:szCs w:val="22"/>
        </w:rPr>
        <w:t>’</w:t>
      </w:r>
      <w:r w:rsidRPr="00FC0A44">
        <w:rPr>
          <w:rFonts w:ascii="Arial" w:hAnsi="Arial"/>
          <w:sz w:val="22"/>
          <w:szCs w:val="22"/>
        </w:rPr>
        <w:t xml:space="preserve">exercice </w:t>
      </w:r>
      <w:r w:rsidRPr="00FC0A44">
        <w:rPr>
          <w:rFonts w:ascii="Arial" w:hAnsi="Arial"/>
          <w:snapToGrid w:val="0"/>
          <w:sz w:val="22"/>
          <w:szCs w:val="22"/>
        </w:rPr>
        <w:t>financier</w:t>
      </w:r>
      <w:r w:rsidRPr="00FC0A44">
        <w:rPr>
          <w:rFonts w:ascii="Arial" w:hAnsi="Arial"/>
          <w:sz w:val="22"/>
          <w:szCs w:val="22"/>
        </w:rPr>
        <w:t xml:space="preserve"> correspond à celui de l</w:t>
      </w:r>
      <w:r w:rsidR="00260217">
        <w:rPr>
          <w:rFonts w:ascii="Arial" w:hAnsi="Arial"/>
          <w:sz w:val="22"/>
          <w:szCs w:val="22"/>
        </w:rPr>
        <w:t>’</w:t>
      </w:r>
      <w:r w:rsidRPr="00FC0A44">
        <w:rPr>
          <w:rFonts w:ascii="Arial" w:hAnsi="Arial"/>
          <w:sz w:val="22"/>
          <w:szCs w:val="22"/>
        </w:rPr>
        <w:t>UNESCO.</w:t>
      </w:r>
    </w:p>
    <w:p w14:paraId="306BCCF9" w14:textId="77777777" w:rsidR="005769D5" w:rsidRPr="00FC0A44" w:rsidRDefault="005769D5" w:rsidP="005769D5">
      <w:pPr>
        <w:pStyle w:val="Article"/>
        <w:tabs>
          <w:tab w:val="clear" w:pos="1418"/>
          <w:tab w:val="right" w:pos="1559"/>
          <w:tab w:val="left" w:pos="1843"/>
        </w:tabs>
        <w:ind w:left="1843" w:hanging="1843"/>
        <w:outlineLvl w:val="0"/>
        <w:rPr>
          <w:noProof w:val="0"/>
        </w:rPr>
      </w:pPr>
      <w:r w:rsidRPr="00FC0A44">
        <w:rPr>
          <w:noProof w:val="0"/>
        </w:rPr>
        <w:tab/>
        <w:t>Article 3</w:t>
      </w:r>
      <w:r w:rsidRPr="00FC0A44">
        <w:rPr>
          <w:noProof w:val="0"/>
        </w:rPr>
        <w:tab/>
        <w:t>Objet</w:t>
      </w:r>
    </w:p>
    <w:p w14:paraId="32A33BA8" w14:textId="28373EB0" w:rsidR="005769D5" w:rsidRPr="00FC0A44" w:rsidRDefault="005769D5" w:rsidP="005769D5">
      <w:pPr>
        <w:widowControl w:val="0"/>
        <w:autoSpaceDE w:val="0"/>
        <w:autoSpaceDN w:val="0"/>
        <w:adjustRightInd w:val="0"/>
        <w:ind w:left="1843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 xml:space="preserve">Le présent Compte spécial a pour objet de recevoir des contributions émanant de sources </w:t>
      </w:r>
      <w:r w:rsidRPr="00FC0A44">
        <w:rPr>
          <w:rFonts w:ascii="Arial" w:hAnsi="Arial"/>
          <w:snapToGrid w:val="0"/>
          <w:sz w:val="22"/>
          <w:szCs w:val="22"/>
        </w:rPr>
        <w:t>telles</w:t>
      </w:r>
      <w:r w:rsidRPr="00FC0A44">
        <w:rPr>
          <w:rFonts w:ascii="Arial" w:hAnsi="Arial"/>
          <w:sz w:val="22"/>
          <w:szCs w:val="22"/>
        </w:rPr>
        <w:t xml:space="preserve"> que mentionnées dans l</w:t>
      </w:r>
      <w:r w:rsidR="00260217">
        <w:rPr>
          <w:rFonts w:ascii="Arial" w:hAnsi="Arial"/>
          <w:sz w:val="22"/>
          <w:szCs w:val="22"/>
        </w:rPr>
        <w:t>’</w:t>
      </w:r>
      <w:r w:rsidRPr="00FC0A44">
        <w:rPr>
          <w:rFonts w:ascii="Arial" w:hAnsi="Arial"/>
          <w:sz w:val="22"/>
          <w:szCs w:val="22"/>
        </w:rPr>
        <w:t>article 4.1 ci-après et de réaliser des paiements, en vue de contribuer à la sauvegarde du patrimoine culturel immatériel conformément aux dispositions de la Convention et au présent Règlement.</w:t>
      </w:r>
    </w:p>
    <w:p w14:paraId="3B3475A5" w14:textId="77777777" w:rsidR="005769D5" w:rsidRPr="00FC0A44" w:rsidRDefault="005769D5" w:rsidP="005769D5">
      <w:pPr>
        <w:pStyle w:val="Article"/>
        <w:tabs>
          <w:tab w:val="clear" w:pos="1418"/>
          <w:tab w:val="right" w:pos="1559"/>
          <w:tab w:val="left" w:pos="1843"/>
        </w:tabs>
        <w:ind w:left="1843" w:hanging="1843"/>
        <w:outlineLvl w:val="0"/>
        <w:rPr>
          <w:noProof w:val="0"/>
        </w:rPr>
      </w:pPr>
      <w:r w:rsidRPr="00FC0A44">
        <w:rPr>
          <w:noProof w:val="0"/>
        </w:rPr>
        <w:tab/>
        <w:t>Article 4</w:t>
      </w:r>
      <w:r w:rsidRPr="00FC0A44">
        <w:rPr>
          <w:noProof w:val="0"/>
        </w:rPr>
        <w:tab/>
        <w:t>Recettes</w:t>
      </w:r>
    </w:p>
    <w:p w14:paraId="66921E12" w14:textId="6A6CBA14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4.1</w:t>
      </w:r>
      <w:r w:rsidRPr="00FC0A44">
        <w:rPr>
          <w:lang w:val="fr-FR"/>
        </w:rPr>
        <w:tab/>
        <w:t>Comme le prévoit l</w:t>
      </w:r>
      <w:r w:rsidR="00260217">
        <w:rPr>
          <w:lang w:val="fr-FR"/>
        </w:rPr>
        <w:t>’</w:t>
      </w:r>
      <w:r w:rsidRPr="00FC0A44">
        <w:rPr>
          <w:lang w:val="fr-FR"/>
        </w:rPr>
        <w:t>article 25.3 de la Convention, les recettes du Compte spécial sont constituées par :</w:t>
      </w:r>
    </w:p>
    <w:p w14:paraId="0E987E4C" w14:textId="682B90CB" w:rsidR="005769D5" w:rsidRPr="00FC0A44" w:rsidRDefault="005769D5" w:rsidP="005769D5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410" w:hanging="567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(a)</w:t>
      </w:r>
      <w:r w:rsidRPr="00FC0A44">
        <w:rPr>
          <w:rFonts w:ascii="Arial" w:hAnsi="Arial"/>
          <w:sz w:val="22"/>
          <w:szCs w:val="22"/>
        </w:rPr>
        <w:tab/>
        <w:t>les contributions des États parties à la Convention, conformément à l</w:t>
      </w:r>
      <w:r w:rsidR="00260217">
        <w:rPr>
          <w:rFonts w:ascii="Arial" w:hAnsi="Arial"/>
          <w:sz w:val="22"/>
          <w:szCs w:val="22"/>
        </w:rPr>
        <w:t>’</w:t>
      </w:r>
      <w:r w:rsidRPr="00FC0A44">
        <w:rPr>
          <w:rFonts w:ascii="Arial" w:hAnsi="Arial"/>
          <w:sz w:val="22"/>
          <w:szCs w:val="22"/>
        </w:rPr>
        <w:t>article 26 de celle-ci ;</w:t>
      </w:r>
    </w:p>
    <w:p w14:paraId="0B31D05A" w14:textId="6A5E9B6D" w:rsidR="005769D5" w:rsidRPr="00FC0A44" w:rsidRDefault="005769D5" w:rsidP="005769D5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410" w:hanging="567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(b)</w:t>
      </w:r>
      <w:r w:rsidRPr="00FC0A44">
        <w:rPr>
          <w:rFonts w:ascii="Arial" w:hAnsi="Arial"/>
          <w:sz w:val="22"/>
          <w:szCs w:val="22"/>
        </w:rPr>
        <w:tab/>
        <w:t>les fonds alloués à cette fin par la Conférence générale de l</w:t>
      </w:r>
      <w:r w:rsidR="00260217">
        <w:rPr>
          <w:rFonts w:ascii="Arial" w:hAnsi="Arial"/>
          <w:sz w:val="22"/>
          <w:szCs w:val="22"/>
        </w:rPr>
        <w:t>’</w:t>
      </w:r>
      <w:r w:rsidRPr="00FC0A44">
        <w:rPr>
          <w:rFonts w:ascii="Arial" w:hAnsi="Arial"/>
          <w:sz w:val="22"/>
          <w:szCs w:val="22"/>
        </w:rPr>
        <w:t>UNESCO ;</w:t>
      </w:r>
    </w:p>
    <w:p w14:paraId="1112BCA7" w14:textId="77777777" w:rsidR="005769D5" w:rsidRPr="00FC0A44" w:rsidRDefault="005769D5" w:rsidP="005769D5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410" w:hanging="567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(c)</w:t>
      </w:r>
      <w:r w:rsidRPr="00FC0A44">
        <w:rPr>
          <w:rFonts w:ascii="Arial" w:hAnsi="Arial"/>
          <w:sz w:val="22"/>
          <w:szCs w:val="22"/>
        </w:rPr>
        <w:tab/>
        <w:t>les versements, dons ou legs que pourront faire :</w:t>
      </w:r>
    </w:p>
    <w:p w14:paraId="16DC0FBD" w14:textId="4A7DA314" w:rsidR="005769D5" w:rsidRPr="00FC0A44" w:rsidRDefault="005769D5" w:rsidP="005769D5">
      <w:pPr>
        <w:widowControl w:val="0"/>
        <w:tabs>
          <w:tab w:val="left" w:pos="3261"/>
        </w:tabs>
        <w:autoSpaceDE w:val="0"/>
        <w:autoSpaceDN w:val="0"/>
        <w:adjustRightInd w:val="0"/>
        <w:spacing w:after="120"/>
        <w:ind w:left="2835" w:hanging="425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(i)</w:t>
      </w:r>
      <w:r w:rsidRPr="00FC0A44">
        <w:rPr>
          <w:rFonts w:ascii="Arial" w:hAnsi="Arial"/>
          <w:sz w:val="22"/>
          <w:szCs w:val="22"/>
        </w:rPr>
        <w:tab/>
        <w:t>d</w:t>
      </w:r>
      <w:r w:rsidR="00260217">
        <w:rPr>
          <w:rFonts w:ascii="Arial" w:hAnsi="Arial"/>
          <w:sz w:val="22"/>
          <w:szCs w:val="22"/>
        </w:rPr>
        <w:t>’</w:t>
      </w:r>
      <w:r w:rsidRPr="00FC0A44">
        <w:rPr>
          <w:rFonts w:ascii="Arial" w:hAnsi="Arial"/>
          <w:sz w:val="22"/>
          <w:szCs w:val="22"/>
        </w:rPr>
        <w:t>autres États ;</w:t>
      </w:r>
    </w:p>
    <w:p w14:paraId="13547A90" w14:textId="50E6011E" w:rsidR="005769D5" w:rsidRPr="00FC0A44" w:rsidRDefault="005769D5" w:rsidP="005769D5">
      <w:pPr>
        <w:widowControl w:val="0"/>
        <w:tabs>
          <w:tab w:val="left" w:pos="3261"/>
        </w:tabs>
        <w:autoSpaceDE w:val="0"/>
        <w:autoSpaceDN w:val="0"/>
        <w:adjustRightInd w:val="0"/>
        <w:spacing w:after="120"/>
        <w:ind w:left="2835" w:right="-20" w:hanging="425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(ii)</w:t>
      </w:r>
      <w:r w:rsidRPr="00FC0A44">
        <w:rPr>
          <w:rFonts w:ascii="Arial" w:hAnsi="Arial"/>
          <w:sz w:val="22"/>
          <w:szCs w:val="22"/>
        </w:rPr>
        <w:tab/>
        <w:t>les organisations et programmes du système des Nations Unies, notamment le Programme des Nations Unies pour le développement, ainsi que d</w:t>
      </w:r>
      <w:r w:rsidR="00260217">
        <w:rPr>
          <w:rFonts w:ascii="Arial" w:hAnsi="Arial"/>
          <w:sz w:val="22"/>
          <w:szCs w:val="22"/>
        </w:rPr>
        <w:t>’</w:t>
      </w:r>
      <w:r w:rsidRPr="00FC0A44">
        <w:rPr>
          <w:rFonts w:ascii="Arial" w:hAnsi="Arial"/>
          <w:sz w:val="22"/>
          <w:szCs w:val="22"/>
        </w:rPr>
        <w:t>autres organisations internationales ;</w:t>
      </w:r>
    </w:p>
    <w:p w14:paraId="2AEEA2EE" w14:textId="77777777" w:rsidR="005769D5" w:rsidRPr="00FC0A44" w:rsidRDefault="005769D5" w:rsidP="005769D5">
      <w:pPr>
        <w:widowControl w:val="0"/>
        <w:tabs>
          <w:tab w:val="left" w:pos="3261"/>
        </w:tabs>
        <w:autoSpaceDE w:val="0"/>
        <w:autoSpaceDN w:val="0"/>
        <w:adjustRightInd w:val="0"/>
        <w:spacing w:after="120"/>
        <w:ind w:left="2835" w:right="-20" w:hanging="425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(iii)</w:t>
      </w:r>
      <w:r w:rsidRPr="00FC0A44">
        <w:rPr>
          <w:rFonts w:ascii="Arial" w:hAnsi="Arial"/>
          <w:sz w:val="22"/>
          <w:szCs w:val="22"/>
        </w:rPr>
        <w:tab/>
        <w:t>des organismes publics ou privés ou des personnes privées ;</w:t>
      </w:r>
    </w:p>
    <w:p w14:paraId="1FED5C47" w14:textId="77777777" w:rsidR="005769D5" w:rsidRPr="00FC0A44" w:rsidRDefault="005769D5" w:rsidP="005769D5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410" w:hanging="567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(d)</w:t>
      </w:r>
      <w:r w:rsidRPr="00FC0A44">
        <w:rPr>
          <w:rFonts w:ascii="Arial" w:hAnsi="Arial"/>
          <w:sz w:val="22"/>
          <w:szCs w:val="22"/>
        </w:rPr>
        <w:tab/>
        <w:t>tout intérêt dû sur les ressources du Compte spécial ;</w:t>
      </w:r>
    </w:p>
    <w:p w14:paraId="6FF9E522" w14:textId="77777777" w:rsidR="005769D5" w:rsidRPr="00FC0A44" w:rsidRDefault="005769D5" w:rsidP="005769D5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410" w:hanging="567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(e)</w:t>
      </w:r>
      <w:r w:rsidRPr="00FC0A44">
        <w:rPr>
          <w:rFonts w:ascii="Arial" w:hAnsi="Arial"/>
          <w:sz w:val="22"/>
          <w:szCs w:val="22"/>
        </w:rPr>
        <w:tab/>
        <w:t>le produit des collectes et les recettes des manifestations organisées au profit du Compte spécial ;</w:t>
      </w:r>
    </w:p>
    <w:p w14:paraId="60D84548" w14:textId="77777777" w:rsidR="005769D5" w:rsidRPr="00FC0A44" w:rsidRDefault="005769D5" w:rsidP="005769D5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410" w:hanging="567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(f)</w:t>
      </w:r>
      <w:r w:rsidRPr="00FC0A44">
        <w:rPr>
          <w:rFonts w:ascii="Arial" w:hAnsi="Arial"/>
          <w:sz w:val="22"/>
          <w:szCs w:val="22"/>
        </w:rPr>
        <w:tab/>
        <w:t>toutes autres ressources autorisées par le Comité.</w:t>
      </w:r>
    </w:p>
    <w:p w14:paraId="63E6C5C7" w14:textId="27DA0FF2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4.2</w:t>
      </w:r>
      <w:r w:rsidRPr="00FC0A44">
        <w:rPr>
          <w:lang w:val="fr-FR"/>
        </w:rPr>
        <w:tab/>
        <w:t>Comme le prévoit l</w:t>
      </w:r>
      <w:r w:rsidR="00260217">
        <w:rPr>
          <w:lang w:val="fr-FR"/>
        </w:rPr>
        <w:t>’</w:t>
      </w:r>
      <w:r w:rsidRPr="00FC0A44">
        <w:rPr>
          <w:lang w:val="fr-FR"/>
        </w:rPr>
        <w:t>article 26.1 de la Convention, les contributions des États parties n</w:t>
      </w:r>
      <w:r w:rsidR="00260217">
        <w:rPr>
          <w:lang w:val="fr-FR"/>
        </w:rPr>
        <w:t>’</w:t>
      </w:r>
      <w:r w:rsidRPr="00FC0A44">
        <w:rPr>
          <w:lang w:val="fr-FR"/>
        </w:rPr>
        <w:t>ayant pas procédé à la déclaration visée à l</w:t>
      </w:r>
      <w:r w:rsidR="00260217">
        <w:rPr>
          <w:lang w:val="fr-FR"/>
        </w:rPr>
        <w:t>’</w:t>
      </w:r>
      <w:r w:rsidRPr="00FC0A44">
        <w:rPr>
          <w:lang w:val="fr-FR"/>
        </w:rPr>
        <w:t>article 26.2 de la Convention doivent être versées conformément au pourcentage uniforme déterminé par l</w:t>
      </w:r>
      <w:r w:rsidR="00260217">
        <w:rPr>
          <w:lang w:val="fr-FR"/>
        </w:rPr>
        <w:t>’</w:t>
      </w:r>
      <w:r w:rsidRPr="00FC0A44">
        <w:rPr>
          <w:lang w:val="fr-FR"/>
        </w:rPr>
        <w:t>Assemblée générale des États parties à la Convention.</w:t>
      </w:r>
    </w:p>
    <w:p w14:paraId="273E4F57" w14:textId="77777777" w:rsidR="005769D5" w:rsidRPr="00FC0A44" w:rsidRDefault="005769D5" w:rsidP="005769D5">
      <w:pPr>
        <w:pStyle w:val="Article"/>
        <w:tabs>
          <w:tab w:val="clear" w:pos="1418"/>
          <w:tab w:val="right" w:pos="1559"/>
          <w:tab w:val="left" w:pos="1843"/>
        </w:tabs>
        <w:ind w:left="1843" w:hanging="1843"/>
        <w:outlineLvl w:val="0"/>
        <w:rPr>
          <w:noProof w:val="0"/>
        </w:rPr>
      </w:pPr>
      <w:r w:rsidRPr="00FC0A44">
        <w:rPr>
          <w:noProof w:val="0"/>
        </w:rPr>
        <w:tab/>
        <w:t>Article 5</w:t>
      </w:r>
      <w:r w:rsidRPr="00FC0A44">
        <w:rPr>
          <w:noProof w:val="0"/>
        </w:rPr>
        <w:tab/>
        <w:t>Dépenses</w:t>
      </w:r>
    </w:p>
    <w:p w14:paraId="1C76939A" w14:textId="422405B6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5.1</w:t>
      </w:r>
      <w:r w:rsidRPr="00FC0A44">
        <w:rPr>
          <w:lang w:val="fr-FR"/>
        </w:rPr>
        <w:tab/>
        <w:t>Conformément à l</w:t>
      </w:r>
      <w:r w:rsidR="00260217">
        <w:rPr>
          <w:lang w:val="fr-FR"/>
        </w:rPr>
        <w:t>’</w:t>
      </w:r>
      <w:r w:rsidRPr="00FC0A44">
        <w:rPr>
          <w:lang w:val="fr-FR"/>
        </w:rPr>
        <w:t>article 25.4 de la Convention, l</w:t>
      </w:r>
      <w:r w:rsidR="00260217">
        <w:rPr>
          <w:lang w:val="fr-FR"/>
        </w:rPr>
        <w:t>’</w:t>
      </w:r>
      <w:r w:rsidRPr="00FC0A44">
        <w:rPr>
          <w:lang w:val="fr-FR"/>
        </w:rPr>
        <w:t>utilisation des ressources du Compte spécial par le Comité est décidée sur la base d</w:t>
      </w:r>
      <w:r w:rsidR="00260217">
        <w:rPr>
          <w:lang w:val="fr-FR"/>
        </w:rPr>
        <w:t>’</w:t>
      </w:r>
      <w:r w:rsidRPr="00FC0A44">
        <w:rPr>
          <w:lang w:val="fr-FR"/>
        </w:rPr>
        <w:t>orientations de l</w:t>
      </w:r>
      <w:r w:rsidR="00260217">
        <w:rPr>
          <w:lang w:val="fr-FR"/>
        </w:rPr>
        <w:t>’</w:t>
      </w:r>
      <w:r w:rsidRPr="00FC0A44">
        <w:rPr>
          <w:lang w:val="fr-FR"/>
        </w:rPr>
        <w:t>Assemblée générale.</w:t>
      </w:r>
    </w:p>
    <w:p w14:paraId="0C092A01" w14:textId="5138C851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5.2</w:t>
      </w:r>
      <w:r w:rsidRPr="00FC0A44">
        <w:rPr>
          <w:lang w:val="fr-FR"/>
        </w:rPr>
        <w:tab/>
        <w:t>Le Compte spécial est débité des dépenses effectuées conformément à l</w:t>
      </w:r>
      <w:r w:rsidR="00260217">
        <w:rPr>
          <w:lang w:val="fr-FR"/>
        </w:rPr>
        <w:t>’</w:t>
      </w:r>
      <w:r w:rsidRPr="00FC0A44">
        <w:rPr>
          <w:lang w:val="fr-FR"/>
        </w:rPr>
        <w:t>objet défini à l</w:t>
      </w:r>
      <w:r w:rsidR="00260217">
        <w:rPr>
          <w:lang w:val="fr-FR"/>
        </w:rPr>
        <w:t>’</w:t>
      </w:r>
      <w:r w:rsidRPr="00FC0A44">
        <w:rPr>
          <w:lang w:val="fr-FR"/>
        </w:rPr>
        <w:t>article 3 ci-dessus, y compris les dépenses administratives directes s</w:t>
      </w:r>
      <w:r w:rsidR="00260217">
        <w:rPr>
          <w:lang w:val="fr-FR"/>
        </w:rPr>
        <w:t>’</w:t>
      </w:r>
      <w:r w:rsidRPr="00FC0A44">
        <w:rPr>
          <w:lang w:val="fr-FR"/>
        </w:rPr>
        <w:t>y rapportant expressément.</w:t>
      </w:r>
    </w:p>
    <w:p w14:paraId="569D1E89" w14:textId="77777777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5.3</w:t>
      </w:r>
      <w:r w:rsidRPr="00FC0A44">
        <w:rPr>
          <w:lang w:val="fr-FR"/>
        </w:rPr>
        <w:tab/>
        <w:t>Les dépenses sont engagées dans la limite des fonds disponibles.</w:t>
      </w:r>
    </w:p>
    <w:p w14:paraId="64A9541F" w14:textId="77777777" w:rsidR="005769D5" w:rsidRPr="00FC0A44" w:rsidRDefault="005769D5" w:rsidP="005769D5">
      <w:pPr>
        <w:pStyle w:val="Article"/>
        <w:tabs>
          <w:tab w:val="clear" w:pos="1418"/>
          <w:tab w:val="right" w:pos="1559"/>
          <w:tab w:val="left" w:pos="1843"/>
        </w:tabs>
        <w:ind w:left="1843" w:hanging="1843"/>
        <w:outlineLvl w:val="0"/>
        <w:rPr>
          <w:noProof w:val="0"/>
        </w:rPr>
      </w:pPr>
      <w:r w:rsidRPr="00FC0A44">
        <w:rPr>
          <w:noProof w:val="0"/>
        </w:rPr>
        <w:tab/>
        <w:t>Article 6</w:t>
      </w:r>
      <w:r w:rsidRPr="00FC0A44">
        <w:rPr>
          <w:noProof w:val="0"/>
        </w:rPr>
        <w:tab/>
        <w:t>Fonds de réserve</w:t>
      </w:r>
    </w:p>
    <w:p w14:paraId="4F0D07BF" w14:textId="149974FD" w:rsidR="005769D5" w:rsidRPr="00FC0A44" w:rsidRDefault="005769D5" w:rsidP="005769D5">
      <w:pPr>
        <w:widowControl w:val="0"/>
        <w:autoSpaceDE w:val="0"/>
        <w:autoSpaceDN w:val="0"/>
        <w:adjustRightInd w:val="0"/>
        <w:ind w:left="1843"/>
        <w:rPr>
          <w:rFonts w:ascii="Arial" w:hAnsi="Arial"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Il sera créé dans le cadre du Compte spécial un fonds de réserve pour répondre aux demandes d</w:t>
      </w:r>
      <w:r w:rsidR="00260217">
        <w:rPr>
          <w:rFonts w:ascii="Arial" w:hAnsi="Arial"/>
          <w:sz w:val="22"/>
          <w:szCs w:val="22"/>
        </w:rPr>
        <w:t>’</w:t>
      </w:r>
      <w:r w:rsidRPr="00FC0A44">
        <w:rPr>
          <w:rFonts w:ascii="Arial" w:hAnsi="Arial"/>
          <w:sz w:val="22"/>
          <w:szCs w:val="22"/>
        </w:rPr>
        <w:t>assistance dans les cas d</w:t>
      </w:r>
      <w:r w:rsidR="00260217">
        <w:rPr>
          <w:rFonts w:ascii="Arial" w:hAnsi="Arial"/>
          <w:sz w:val="22"/>
          <w:szCs w:val="22"/>
        </w:rPr>
        <w:t>’</w:t>
      </w:r>
      <w:r w:rsidRPr="00FC0A44">
        <w:rPr>
          <w:rFonts w:ascii="Arial" w:hAnsi="Arial"/>
          <w:sz w:val="22"/>
          <w:szCs w:val="22"/>
        </w:rPr>
        <w:t>extrême urgence tels que prévus aux articles 17.3 et 22.2 de la Convention. Le montant de cette réserve sera déterminé par le Comité.</w:t>
      </w:r>
    </w:p>
    <w:p w14:paraId="41EF0619" w14:textId="77777777" w:rsidR="005769D5" w:rsidRPr="00FC0A44" w:rsidRDefault="005769D5" w:rsidP="005769D5">
      <w:pPr>
        <w:pStyle w:val="Article"/>
        <w:tabs>
          <w:tab w:val="clear" w:pos="1418"/>
          <w:tab w:val="right" w:pos="1559"/>
          <w:tab w:val="left" w:pos="1843"/>
        </w:tabs>
        <w:ind w:left="1843" w:hanging="1843"/>
        <w:outlineLvl w:val="0"/>
        <w:rPr>
          <w:noProof w:val="0"/>
        </w:rPr>
      </w:pPr>
      <w:r w:rsidRPr="00FC0A44">
        <w:rPr>
          <w:noProof w:val="0"/>
        </w:rPr>
        <w:tab/>
        <w:t>Article 7</w:t>
      </w:r>
      <w:r w:rsidRPr="00FC0A44">
        <w:rPr>
          <w:noProof w:val="0"/>
        </w:rPr>
        <w:tab/>
        <w:t>Comptabilité</w:t>
      </w:r>
    </w:p>
    <w:p w14:paraId="09C9D383" w14:textId="5E29B792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7.1</w:t>
      </w:r>
      <w:r w:rsidRPr="00FC0A44">
        <w:rPr>
          <w:lang w:val="fr-FR"/>
        </w:rPr>
        <w:tab/>
        <w:t>Le Contrôleur financier de l</w:t>
      </w:r>
      <w:r w:rsidR="00260217">
        <w:rPr>
          <w:lang w:val="fr-FR"/>
        </w:rPr>
        <w:t>’</w:t>
      </w:r>
      <w:r w:rsidRPr="00FC0A44">
        <w:rPr>
          <w:lang w:val="fr-FR"/>
        </w:rPr>
        <w:t>UNESCO fait tenir la comptabilité nécessaire.</w:t>
      </w:r>
    </w:p>
    <w:p w14:paraId="1EC407AF" w14:textId="62384AED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7.2</w:t>
      </w:r>
      <w:r w:rsidRPr="00FC0A44">
        <w:rPr>
          <w:lang w:val="fr-FR"/>
        </w:rPr>
        <w:tab/>
        <w:t>Tout solde inutilisé en fin d</w:t>
      </w:r>
      <w:r w:rsidR="00260217">
        <w:rPr>
          <w:lang w:val="fr-FR"/>
        </w:rPr>
        <w:t>’</w:t>
      </w:r>
      <w:r w:rsidRPr="00FC0A44">
        <w:rPr>
          <w:lang w:val="fr-FR"/>
        </w:rPr>
        <w:t>exercice financier est reporté à l</w:t>
      </w:r>
      <w:r w:rsidR="00260217">
        <w:rPr>
          <w:lang w:val="fr-FR"/>
        </w:rPr>
        <w:t>’</w:t>
      </w:r>
      <w:r w:rsidRPr="00FC0A44">
        <w:rPr>
          <w:lang w:val="fr-FR"/>
        </w:rPr>
        <w:t>exercice suivant.</w:t>
      </w:r>
    </w:p>
    <w:p w14:paraId="616775CD" w14:textId="0ECBDBA7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7.3</w:t>
      </w:r>
      <w:r w:rsidRPr="00FC0A44">
        <w:rPr>
          <w:lang w:val="fr-FR"/>
        </w:rPr>
        <w:tab/>
        <w:t>Les comptes du Compte spécial sont présentés pour vérification au Commissaire aux comptes de l</w:t>
      </w:r>
      <w:r w:rsidR="00260217">
        <w:rPr>
          <w:lang w:val="fr-FR"/>
        </w:rPr>
        <w:t>’</w:t>
      </w:r>
      <w:r w:rsidRPr="00FC0A44">
        <w:rPr>
          <w:lang w:val="fr-FR"/>
        </w:rPr>
        <w:t>UNESCO, en même temps que les autres comptes de l</w:t>
      </w:r>
      <w:r w:rsidR="00260217">
        <w:rPr>
          <w:lang w:val="fr-FR"/>
        </w:rPr>
        <w:t>’</w:t>
      </w:r>
      <w:r w:rsidRPr="00FC0A44">
        <w:rPr>
          <w:lang w:val="fr-FR"/>
        </w:rPr>
        <w:t>Organisation.</w:t>
      </w:r>
    </w:p>
    <w:p w14:paraId="591F2046" w14:textId="77777777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7.4</w:t>
      </w:r>
      <w:r w:rsidRPr="00FC0A44">
        <w:rPr>
          <w:lang w:val="fr-FR"/>
        </w:rPr>
        <w:tab/>
        <w:t>Les contributions en nature sont comptabilisées en dehors du Compte spécial.</w:t>
      </w:r>
    </w:p>
    <w:p w14:paraId="1A25FF5D" w14:textId="3DB64120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7.5</w:t>
      </w:r>
      <w:r w:rsidRPr="00FC0A44">
        <w:rPr>
          <w:lang w:val="fr-FR"/>
        </w:rPr>
        <w:tab/>
        <w:t>Les comptes sont soumis par le Directeur général à l</w:t>
      </w:r>
      <w:r w:rsidR="00260217">
        <w:rPr>
          <w:lang w:val="fr-FR"/>
        </w:rPr>
        <w:t>’</w:t>
      </w:r>
      <w:r w:rsidRPr="00FC0A44">
        <w:rPr>
          <w:lang w:val="fr-FR"/>
        </w:rPr>
        <w:t>Assemblée générale des États parties à la Convention.</w:t>
      </w:r>
    </w:p>
    <w:p w14:paraId="3EC255C5" w14:textId="77777777" w:rsidR="005769D5" w:rsidRPr="00FC0A44" w:rsidRDefault="005769D5" w:rsidP="005769D5">
      <w:pPr>
        <w:pStyle w:val="Article"/>
        <w:tabs>
          <w:tab w:val="clear" w:pos="1418"/>
          <w:tab w:val="right" w:pos="1559"/>
          <w:tab w:val="left" w:pos="1843"/>
        </w:tabs>
        <w:ind w:left="1843" w:hanging="1843"/>
        <w:outlineLvl w:val="0"/>
        <w:rPr>
          <w:noProof w:val="0"/>
        </w:rPr>
      </w:pPr>
      <w:r w:rsidRPr="00FC0A44">
        <w:rPr>
          <w:noProof w:val="0"/>
        </w:rPr>
        <w:tab/>
        <w:t>Article 8</w:t>
      </w:r>
      <w:r w:rsidRPr="00FC0A44">
        <w:rPr>
          <w:noProof w:val="0"/>
        </w:rPr>
        <w:tab/>
        <w:t>Placements</w:t>
      </w:r>
    </w:p>
    <w:p w14:paraId="40614F3E" w14:textId="77777777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8.1</w:t>
      </w:r>
      <w:r w:rsidRPr="00FC0A44">
        <w:rPr>
          <w:lang w:val="fr-FR"/>
        </w:rPr>
        <w:tab/>
        <w:t>Le Directeur général est autorisé à placer à court terme les sommes figurant au crédit du Compte spécial.</w:t>
      </w:r>
    </w:p>
    <w:p w14:paraId="7029CDD8" w14:textId="77777777" w:rsidR="005769D5" w:rsidRPr="00FC0A44" w:rsidRDefault="005769D5" w:rsidP="005769D5">
      <w:pPr>
        <w:pStyle w:val="para11"/>
        <w:tabs>
          <w:tab w:val="clear" w:pos="2268"/>
          <w:tab w:val="right" w:pos="1560"/>
          <w:tab w:val="left" w:pos="1843"/>
        </w:tabs>
        <w:ind w:left="1843" w:hanging="1843"/>
        <w:rPr>
          <w:lang w:val="fr-FR"/>
        </w:rPr>
      </w:pPr>
      <w:r w:rsidRPr="00FC0A44">
        <w:rPr>
          <w:lang w:val="fr-FR"/>
        </w:rPr>
        <w:tab/>
        <w:t>8.2</w:t>
      </w:r>
      <w:r w:rsidRPr="00FC0A44">
        <w:rPr>
          <w:lang w:val="fr-FR"/>
        </w:rPr>
        <w:tab/>
        <w:t>Les intérêts produits par ces placements sont portés au crédit du Compte spécial.</w:t>
      </w:r>
    </w:p>
    <w:p w14:paraId="0ECACCE2" w14:textId="77777777" w:rsidR="005769D5" w:rsidRPr="00FC0A44" w:rsidRDefault="005769D5" w:rsidP="005769D5">
      <w:pPr>
        <w:pStyle w:val="Article"/>
        <w:tabs>
          <w:tab w:val="clear" w:pos="1418"/>
          <w:tab w:val="right" w:pos="1559"/>
          <w:tab w:val="left" w:pos="1843"/>
        </w:tabs>
        <w:ind w:left="1843" w:hanging="1843"/>
        <w:outlineLvl w:val="0"/>
        <w:rPr>
          <w:noProof w:val="0"/>
        </w:rPr>
      </w:pPr>
      <w:r w:rsidRPr="00FC0A44">
        <w:rPr>
          <w:noProof w:val="0"/>
        </w:rPr>
        <w:tab/>
        <w:t>Article 9</w:t>
      </w:r>
      <w:r w:rsidRPr="00FC0A44">
        <w:rPr>
          <w:noProof w:val="0"/>
        </w:rPr>
        <w:tab/>
        <w:t>Disposition générale</w:t>
      </w:r>
    </w:p>
    <w:p w14:paraId="1522C5DB" w14:textId="13ED4FF4" w:rsidR="005769D5" w:rsidRPr="00FC0A44" w:rsidRDefault="005769D5" w:rsidP="005769D5">
      <w:pPr>
        <w:widowControl w:val="0"/>
        <w:autoSpaceDE w:val="0"/>
        <w:autoSpaceDN w:val="0"/>
        <w:adjustRightInd w:val="0"/>
        <w:ind w:left="1843"/>
        <w:rPr>
          <w:rFonts w:ascii="Arial" w:hAnsi="Arial"/>
          <w:b/>
          <w:sz w:val="22"/>
          <w:szCs w:val="22"/>
        </w:rPr>
      </w:pPr>
      <w:r w:rsidRPr="00FC0A44">
        <w:rPr>
          <w:rFonts w:ascii="Arial" w:hAnsi="Arial"/>
          <w:sz w:val="22"/>
          <w:szCs w:val="22"/>
        </w:rPr>
        <w:t>Sauf dispositions contraires du présent Règlement, le Compte spécial est administré conformément aux dispositions du Règlement financier de l</w:t>
      </w:r>
      <w:r w:rsidR="00260217">
        <w:rPr>
          <w:rFonts w:ascii="Arial" w:hAnsi="Arial"/>
          <w:sz w:val="22"/>
          <w:szCs w:val="22"/>
        </w:rPr>
        <w:t>’</w:t>
      </w:r>
      <w:r w:rsidRPr="00FC0A44">
        <w:rPr>
          <w:rFonts w:ascii="Arial" w:hAnsi="Arial"/>
          <w:sz w:val="22"/>
          <w:szCs w:val="22"/>
        </w:rPr>
        <w:t>UNESCO</w:t>
      </w:r>
      <w:r w:rsidR="006F64A5">
        <w:rPr>
          <w:rFonts w:ascii="Arial" w:hAnsi="Arial"/>
          <w:sz w:val="22"/>
          <w:szCs w:val="22"/>
        </w:rPr>
        <w:t>.</w:t>
      </w:r>
    </w:p>
    <w:p w14:paraId="7316CC20" w14:textId="69009FD6" w:rsidR="00771645" w:rsidRPr="00FC0A44" w:rsidRDefault="00771645" w:rsidP="00771645">
      <w:pPr>
        <w:jc w:val="center"/>
        <w:rPr>
          <w:rFonts w:ascii="Arial" w:hAnsi="Arial" w:cs="Arial"/>
          <w:b/>
          <w:caps/>
          <w:snapToGrid w:val="0"/>
          <w:sz w:val="22"/>
          <w:szCs w:val="22"/>
          <w:lang w:eastAsia="en-US"/>
        </w:rPr>
      </w:pPr>
      <w:r w:rsidRPr="00FC0A44">
        <w:rPr>
          <w:rFonts w:ascii="Arial" w:hAnsi="Arial" w:cs="Arial"/>
          <w:b/>
          <w:caps/>
          <w:snapToGrid w:val="0"/>
          <w:sz w:val="22"/>
          <w:szCs w:val="22"/>
          <w:lang w:eastAsia="en-US"/>
        </w:rPr>
        <w:br w:type="page"/>
      </w:r>
    </w:p>
    <w:p w14:paraId="1546E760" w14:textId="2137C1E9" w:rsidR="00A51273" w:rsidRPr="00FC0A44" w:rsidRDefault="00A51273" w:rsidP="007037C3">
      <w:pPr>
        <w:keepNext/>
        <w:autoSpaceDE w:val="0"/>
        <w:autoSpaceDN w:val="0"/>
        <w:adjustRightInd w:val="0"/>
        <w:spacing w:after="120"/>
        <w:jc w:val="center"/>
        <w:rPr>
          <w:rFonts w:ascii="Arial" w:eastAsia="SimSun" w:hAnsi="Arial" w:cs="Arial"/>
          <w:sz w:val="22"/>
          <w:szCs w:val="22"/>
          <w:u w:val="single"/>
        </w:rPr>
      </w:pPr>
      <w:r w:rsidRPr="00FC0A44">
        <w:rPr>
          <w:rFonts w:ascii="Arial" w:hAnsi="Arial" w:cs="Arial"/>
          <w:b/>
          <w:caps/>
          <w:snapToGrid w:val="0"/>
          <w:sz w:val="22"/>
          <w:szCs w:val="22"/>
          <w:lang w:eastAsia="en-US"/>
        </w:rPr>
        <w:t>AnnexE I</w:t>
      </w:r>
      <w:r w:rsidR="00771645" w:rsidRPr="00FC0A44">
        <w:rPr>
          <w:rFonts w:ascii="Arial" w:hAnsi="Arial" w:cs="Arial"/>
          <w:b/>
          <w:caps/>
          <w:snapToGrid w:val="0"/>
          <w:sz w:val="22"/>
          <w:szCs w:val="22"/>
          <w:lang w:eastAsia="en-US"/>
        </w:rPr>
        <w:t>I</w:t>
      </w:r>
    </w:p>
    <w:p w14:paraId="5C2711D5" w14:textId="77777777" w:rsidR="00A51273" w:rsidRPr="00FC0A44" w:rsidRDefault="007E3935" w:rsidP="007037C3">
      <w:pPr>
        <w:autoSpaceDE w:val="0"/>
        <w:autoSpaceDN w:val="0"/>
        <w:adjustRightInd w:val="0"/>
        <w:spacing w:before="240" w:after="120"/>
        <w:jc w:val="center"/>
        <w:rPr>
          <w:rFonts w:ascii="Arial" w:eastAsia="SimSun" w:hAnsi="Arial" w:cs="Arial"/>
          <w:b/>
          <w:sz w:val="22"/>
          <w:szCs w:val="22"/>
        </w:rPr>
      </w:pPr>
      <w:r w:rsidRPr="00FC0A44">
        <w:rPr>
          <w:rFonts w:ascii="Arial" w:eastAsia="SimSun" w:hAnsi="Arial" w:cs="Arial"/>
          <w:b/>
          <w:sz w:val="22"/>
          <w:szCs w:val="22"/>
        </w:rPr>
        <w:t>Contributions volo</w:t>
      </w:r>
      <w:r w:rsidR="00A51273" w:rsidRPr="00FC0A44">
        <w:rPr>
          <w:rFonts w:ascii="Arial" w:eastAsia="SimSun" w:hAnsi="Arial" w:cs="Arial"/>
          <w:b/>
          <w:sz w:val="22"/>
          <w:szCs w:val="22"/>
        </w:rPr>
        <w:t>nta</w:t>
      </w:r>
      <w:r w:rsidRPr="00FC0A44">
        <w:rPr>
          <w:rFonts w:ascii="Arial" w:eastAsia="SimSun" w:hAnsi="Arial" w:cs="Arial"/>
          <w:b/>
          <w:sz w:val="22"/>
          <w:szCs w:val="22"/>
        </w:rPr>
        <w:t xml:space="preserve">ires à la Convention de </w:t>
      </w:r>
      <w:r w:rsidR="00A51273" w:rsidRPr="00FC0A44">
        <w:rPr>
          <w:rFonts w:ascii="Arial" w:eastAsia="SimSun" w:hAnsi="Arial" w:cs="Arial"/>
          <w:b/>
          <w:sz w:val="22"/>
          <w:szCs w:val="22"/>
        </w:rPr>
        <w:t xml:space="preserve">2003 </w:t>
      </w:r>
      <w:r w:rsidRPr="00FC0A44">
        <w:rPr>
          <w:rFonts w:ascii="Arial" w:eastAsia="SimSun" w:hAnsi="Arial" w:cs="Arial"/>
          <w:b/>
          <w:sz w:val="22"/>
          <w:szCs w:val="22"/>
        </w:rPr>
        <w:t xml:space="preserve">pour la sauvegarde du patrimoine culturel immatériel depuis la neuvième </w:t>
      </w:r>
      <w:r w:rsidR="00A51273" w:rsidRPr="00FC0A44">
        <w:rPr>
          <w:rFonts w:ascii="Arial" w:eastAsia="SimSun" w:hAnsi="Arial" w:cs="Arial"/>
          <w:b/>
          <w:sz w:val="22"/>
          <w:szCs w:val="22"/>
        </w:rPr>
        <w:t xml:space="preserve">session </w:t>
      </w:r>
      <w:r w:rsidR="00E62C1B" w:rsidRPr="00FC0A44">
        <w:rPr>
          <w:rFonts w:ascii="Arial" w:eastAsia="SimSun" w:hAnsi="Arial" w:cs="Arial"/>
          <w:b/>
          <w:sz w:val="22"/>
          <w:szCs w:val="22"/>
        </w:rPr>
        <w:t xml:space="preserve">du </w:t>
      </w:r>
      <w:r w:rsidR="00AE7B62" w:rsidRPr="00FC0A44">
        <w:rPr>
          <w:rFonts w:ascii="Arial" w:eastAsia="SimSun" w:hAnsi="Arial" w:cs="Arial"/>
          <w:b/>
          <w:sz w:val="22"/>
          <w:szCs w:val="22"/>
        </w:rPr>
        <w:t>Comité</w:t>
      </w:r>
      <w:proofErr w:type="gramStart"/>
      <w:r w:rsidRPr="00FC0A44">
        <w:rPr>
          <w:rFonts w:ascii="Arial" w:eastAsia="SimSun" w:hAnsi="Arial" w:cs="Arial"/>
          <w:b/>
          <w:sz w:val="22"/>
          <w:szCs w:val="22"/>
        </w:rPr>
        <w:t>,</w:t>
      </w:r>
      <w:proofErr w:type="gramEnd"/>
      <w:r w:rsidRPr="00FC0A44">
        <w:rPr>
          <w:rFonts w:ascii="Arial" w:eastAsia="SimSun" w:hAnsi="Arial" w:cs="Arial"/>
          <w:b/>
          <w:sz w:val="22"/>
          <w:szCs w:val="22"/>
        </w:rPr>
        <w:br/>
      </w:r>
      <w:r w:rsidR="00581756" w:rsidRPr="00FC0A44">
        <w:rPr>
          <w:rFonts w:ascii="Arial" w:eastAsia="SimSun" w:hAnsi="Arial" w:cs="Arial"/>
          <w:b/>
          <w:sz w:val="22"/>
          <w:szCs w:val="22"/>
        </w:rPr>
        <w:t>ent</w:t>
      </w:r>
      <w:r w:rsidRPr="00FC0A44">
        <w:rPr>
          <w:rFonts w:ascii="Arial" w:eastAsia="SimSun" w:hAnsi="Arial" w:cs="Arial"/>
          <w:b/>
          <w:sz w:val="22"/>
          <w:szCs w:val="22"/>
        </w:rPr>
        <w:t>re octobre</w:t>
      </w:r>
      <w:r w:rsidR="00A51273" w:rsidRPr="00FC0A44">
        <w:rPr>
          <w:rFonts w:ascii="Arial" w:eastAsia="SimSun" w:hAnsi="Arial" w:cs="Arial"/>
          <w:b/>
          <w:sz w:val="22"/>
          <w:szCs w:val="22"/>
        </w:rPr>
        <w:t xml:space="preserve"> 2014 </w:t>
      </w:r>
      <w:r w:rsidRPr="00FC0A44">
        <w:rPr>
          <w:rFonts w:ascii="Arial" w:eastAsia="SimSun" w:hAnsi="Arial" w:cs="Arial"/>
          <w:b/>
          <w:sz w:val="22"/>
          <w:szCs w:val="22"/>
        </w:rPr>
        <w:t>e</w:t>
      </w:r>
      <w:r w:rsidR="00A51273" w:rsidRPr="00FC0A44">
        <w:rPr>
          <w:rFonts w:ascii="Arial" w:eastAsia="SimSun" w:hAnsi="Arial" w:cs="Arial"/>
          <w:b/>
          <w:sz w:val="22"/>
          <w:szCs w:val="22"/>
        </w:rPr>
        <w:t xml:space="preserve">t </w:t>
      </w:r>
      <w:r w:rsidRPr="00FC0A44">
        <w:rPr>
          <w:rFonts w:ascii="Arial" w:eastAsia="SimSun" w:hAnsi="Arial" w:cs="Arial"/>
          <w:b/>
          <w:sz w:val="22"/>
          <w:szCs w:val="22"/>
        </w:rPr>
        <w:t>o</w:t>
      </w:r>
      <w:r w:rsidR="00A51273" w:rsidRPr="00FC0A44">
        <w:rPr>
          <w:rFonts w:ascii="Arial" w:eastAsia="SimSun" w:hAnsi="Arial" w:cs="Arial"/>
          <w:b/>
          <w:sz w:val="22"/>
          <w:szCs w:val="22"/>
        </w:rPr>
        <w:t>ctob</w:t>
      </w:r>
      <w:r w:rsidRPr="00FC0A44">
        <w:rPr>
          <w:rFonts w:ascii="Arial" w:eastAsia="SimSun" w:hAnsi="Arial" w:cs="Arial"/>
          <w:b/>
          <w:sz w:val="22"/>
          <w:szCs w:val="22"/>
        </w:rPr>
        <w:t>r</w:t>
      </w:r>
      <w:r w:rsidR="00A51273" w:rsidRPr="00FC0A44">
        <w:rPr>
          <w:rFonts w:ascii="Arial" w:eastAsia="SimSun" w:hAnsi="Arial" w:cs="Arial"/>
          <w:b/>
          <w:sz w:val="22"/>
          <w:szCs w:val="22"/>
        </w:rPr>
        <w:t>e 2015</w:t>
      </w:r>
    </w:p>
    <w:p w14:paraId="61E40EEA" w14:textId="77777777" w:rsidR="00A51273" w:rsidRPr="00FC0A44" w:rsidRDefault="00C4320F" w:rsidP="007037C3">
      <w:pPr>
        <w:spacing w:before="240" w:after="60"/>
        <w:rPr>
          <w:rFonts w:ascii="Arial" w:hAnsi="Arial" w:cs="Arial"/>
          <w:b/>
          <w:color w:val="000000"/>
          <w:sz w:val="22"/>
          <w:szCs w:val="22"/>
        </w:rPr>
      </w:pPr>
      <w:r w:rsidRPr="00FC0A44">
        <w:rPr>
          <w:rFonts w:ascii="Arial" w:hAnsi="Arial" w:cs="Arial"/>
          <w:b/>
          <w:smallCaps/>
          <w:color w:val="000000"/>
          <w:sz w:val="22"/>
          <w:szCs w:val="22"/>
        </w:rPr>
        <w:t xml:space="preserve">Contributions volontaires supplémentaires au Fonds du patrimoine culturel </w:t>
      </w:r>
      <w:r w:rsidR="000F0156" w:rsidRPr="00FC0A44">
        <w:rPr>
          <w:rFonts w:ascii="Arial" w:hAnsi="Arial" w:cs="Arial"/>
          <w:b/>
          <w:smallCaps/>
          <w:color w:val="000000"/>
          <w:sz w:val="22"/>
          <w:szCs w:val="22"/>
        </w:rPr>
        <w:t>immatériel</w:t>
      </w:r>
    </w:p>
    <w:p w14:paraId="051D0E7D" w14:textId="77777777" w:rsidR="00A51273" w:rsidRPr="00FC0A44" w:rsidRDefault="00C4320F" w:rsidP="00A51273">
      <w:pPr>
        <w:spacing w:before="60" w:after="60"/>
        <w:ind w:left="709"/>
        <w:rPr>
          <w:rFonts w:ascii="Arial" w:hAnsi="Arial" w:cs="Arial"/>
          <w:b/>
          <w:sz w:val="22"/>
          <w:szCs w:val="22"/>
        </w:rPr>
      </w:pPr>
      <w:r w:rsidRPr="00FC0A44">
        <w:rPr>
          <w:rFonts w:ascii="Arial" w:hAnsi="Arial" w:cs="Arial"/>
          <w:b/>
          <w:color w:val="000000"/>
          <w:sz w:val="22"/>
          <w:szCs w:val="22"/>
        </w:rPr>
        <w:t>Affectées à des programmes de renforcement des capacités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353"/>
        <w:gridCol w:w="3118"/>
      </w:tblGrid>
      <w:tr w:rsidR="00A51273" w:rsidRPr="00FC0A44" w14:paraId="4F83CCBE" w14:textId="77777777" w:rsidTr="00FC0A44">
        <w:trPr>
          <w:cantSplit/>
        </w:trPr>
        <w:tc>
          <w:tcPr>
            <w:tcW w:w="5353" w:type="dxa"/>
            <w:vAlign w:val="center"/>
          </w:tcPr>
          <w:p w14:paraId="46C17EF7" w14:textId="77777777" w:rsidR="00A51273" w:rsidRPr="00FC0A44" w:rsidRDefault="00A51273" w:rsidP="00C4320F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Azerba</w:t>
            </w:r>
            <w:r w:rsidR="00C4320F" w:rsidRPr="00FC0A44">
              <w:rPr>
                <w:rFonts w:ascii="Arial" w:hAnsi="Arial" w:cs="Arial"/>
                <w:color w:val="000000"/>
                <w:sz w:val="22"/>
                <w:szCs w:val="22"/>
              </w:rPr>
              <w:t>ïd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3118" w:type="dxa"/>
            <w:vAlign w:val="center"/>
          </w:tcPr>
          <w:p w14:paraId="0830B45B" w14:textId="77777777" w:rsidR="00A51273" w:rsidRPr="00FC0A44" w:rsidRDefault="00A51273" w:rsidP="00581756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400</w:t>
            </w:r>
            <w:r w:rsidR="00C4320F" w:rsidRPr="00FC0A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  <w:r w:rsidR="00C4320F" w:rsidRPr="00FC0A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81756" w:rsidRPr="00FC0A44">
              <w:rPr>
                <w:rFonts w:ascii="Arial" w:hAnsi="Arial" w:cs="Arial"/>
                <w:color w:val="000000"/>
                <w:sz w:val="22"/>
                <w:szCs w:val="22"/>
              </w:rPr>
              <w:t>USD</w:t>
            </w:r>
          </w:p>
        </w:tc>
      </w:tr>
      <w:tr w:rsidR="00A51273" w:rsidRPr="00FC0A44" w14:paraId="19D6098D" w14:textId="77777777" w:rsidTr="00FC0A44">
        <w:trPr>
          <w:cantSplit/>
        </w:trPr>
        <w:tc>
          <w:tcPr>
            <w:tcW w:w="5353" w:type="dxa"/>
            <w:vAlign w:val="center"/>
          </w:tcPr>
          <w:p w14:paraId="0E526C05" w14:textId="19104B2B" w:rsidR="00A51273" w:rsidRPr="00FC0A44" w:rsidRDefault="00771645" w:rsidP="00C432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C0A44">
              <w:rPr>
                <w:rFonts w:ascii="Arial" w:hAnsi="Arial" w:cs="Arial"/>
                <w:sz w:val="22"/>
                <w:szCs w:val="22"/>
              </w:rPr>
              <w:t>Norvège</w:t>
            </w:r>
          </w:p>
        </w:tc>
        <w:tc>
          <w:tcPr>
            <w:tcW w:w="3118" w:type="dxa"/>
            <w:vAlign w:val="center"/>
          </w:tcPr>
          <w:p w14:paraId="0B06AAE0" w14:textId="5EAF58B9" w:rsidR="00A51273" w:rsidRPr="00FC0A44" w:rsidRDefault="00A51273" w:rsidP="007716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A44">
              <w:rPr>
                <w:rFonts w:ascii="Arial" w:hAnsi="Arial" w:cs="Arial"/>
                <w:sz w:val="22"/>
                <w:szCs w:val="22"/>
              </w:rPr>
              <w:t>13</w:t>
            </w:r>
            <w:r w:rsidR="00771645" w:rsidRPr="00FC0A44">
              <w:rPr>
                <w:rFonts w:ascii="Arial" w:hAnsi="Arial" w:cs="Arial"/>
                <w:sz w:val="22"/>
                <w:szCs w:val="22"/>
              </w:rPr>
              <w:t>3</w:t>
            </w:r>
            <w:r w:rsidR="00581756" w:rsidRPr="00FC0A44">
              <w:rPr>
                <w:rFonts w:ascii="Arial" w:hAnsi="Arial" w:cs="Arial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sz w:val="22"/>
                <w:szCs w:val="22"/>
              </w:rPr>
              <w:t>6</w:t>
            </w:r>
            <w:r w:rsidR="00771645" w:rsidRPr="00FC0A44">
              <w:rPr>
                <w:rFonts w:ascii="Arial" w:hAnsi="Arial" w:cs="Arial"/>
                <w:sz w:val="22"/>
                <w:szCs w:val="22"/>
              </w:rPr>
              <w:t>09</w:t>
            </w:r>
            <w:r w:rsidR="00581756" w:rsidRPr="00FC0A44">
              <w:rPr>
                <w:rFonts w:ascii="Arial" w:hAnsi="Arial" w:cs="Arial"/>
                <w:sz w:val="22"/>
                <w:szCs w:val="22"/>
              </w:rPr>
              <w:t xml:space="preserve"> USD</w:t>
            </w:r>
          </w:p>
        </w:tc>
      </w:tr>
      <w:tr w:rsidR="00771645" w:rsidRPr="00FC0A44" w14:paraId="378C4015" w14:textId="77777777" w:rsidTr="00FC0A44">
        <w:trPr>
          <w:cantSplit/>
        </w:trPr>
        <w:tc>
          <w:tcPr>
            <w:tcW w:w="5353" w:type="dxa"/>
            <w:vAlign w:val="center"/>
          </w:tcPr>
          <w:p w14:paraId="273F87DC" w14:textId="1A833D13" w:rsidR="00771645" w:rsidRPr="00FC0A44" w:rsidRDefault="00771645" w:rsidP="00C432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C0A44">
              <w:rPr>
                <w:rFonts w:ascii="Arial" w:hAnsi="Arial" w:cs="Arial"/>
                <w:sz w:val="22"/>
                <w:szCs w:val="22"/>
              </w:rPr>
              <w:t>Pays-Bas</w:t>
            </w:r>
          </w:p>
        </w:tc>
        <w:tc>
          <w:tcPr>
            <w:tcW w:w="3118" w:type="dxa"/>
            <w:vAlign w:val="center"/>
          </w:tcPr>
          <w:p w14:paraId="4B4BD737" w14:textId="2AE97BDC" w:rsidR="00771645" w:rsidRPr="00FC0A44" w:rsidRDefault="00771645" w:rsidP="007716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0A44">
              <w:rPr>
                <w:rFonts w:ascii="Arial" w:hAnsi="Arial" w:cs="Arial"/>
                <w:sz w:val="22"/>
                <w:szCs w:val="22"/>
              </w:rPr>
              <w:t>93 867 USD</w:t>
            </w:r>
          </w:p>
        </w:tc>
      </w:tr>
    </w:tbl>
    <w:p w14:paraId="4E7F46A5" w14:textId="4379E46C" w:rsidR="00536761" w:rsidRPr="00FC0A44" w:rsidRDefault="00536761" w:rsidP="00FC0A44">
      <w:pPr>
        <w:spacing w:before="60" w:after="60"/>
        <w:ind w:left="709"/>
      </w:pPr>
      <w:r w:rsidRPr="00FC0A44">
        <w:rPr>
          <w:rFonts w:ascii="Arial" w:hAnsi="Arial" w:cs="Arial"/>
          <w:b/>
          <w:color w:val="000000"/>
          <w:sz w:val="22"/>
          <w:szCs w:val="22"/>
        </w:rPr>
        <w:t>Réunion d</w:t>
      </w:r>
      <w:r w:rsidR="00260217">
        <w:rPr>
          <w:rFonts w:ascii="Arial" w:hAnsi="Arial" w:cs="Arial"/>
          <w:b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b/>
          <w:color w:val="000000"/>
          <w:sz w:val="22"/>
          <w:szCs w:val="22"/>
        </w:rPr>
        <w:t>experts pour l</w:t>
      </w:r>
      <w:r w:rsidR="00260217">
        <w:rPr>
          <w:rFonts w:ascii="Arial" w:hAnsi="Arial" w:cs="Arial"/>
          <w:b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b/>
          <w:color w:val="000000"/>
          <w:sz w:val="22"/>
          <w:szCs w:val="22"/>
        </w:rPr>
        <w:t>élaboration d</w:t>
      </w:r>
      <w:r w:rsidR="00260217">
        <w:rPr>
          <w:rFonts w:ascii="Arial" w:hAnsi="Arial" w:cs="Arial"/>
          <w:b/>
          <w:color w:val="000000"/>
          <w:sz w:val="22"/>
          <w:szCs w:val="22"/>
        </w:rPr>
        <w:t>’</w:t>
      </w:r>
      <w:r w:rsidRPr="00FC0A44">
        <w:rPr>
          <w:rFonts w:ascii="Arial" w:hAnsi="Arial" w:cs="Arial"/>
          <w:b/>
          <w:color w:val="000000"/>
          <w:sz w:val="22"/>
          <w:szCs w:val="22"/>
        </w:rPr>
        <w:t>un cadre général de résultats pour la Convention</w:t>
      </w:r>
      <w:r w:rsidRPr="00FC0A44">
        <w:rPr>
          <w:rFonts w:ascii="Arial" w:hAnsi="Arial" w:cs="Arial"/>
          <w:b/>
          <w:color w:val="000000"/>
          <w:sz w:val="22"/>
          <w:szCs w:val="22"/>
          <w:vertAlign w:val="superscript"/>
        </w:rPr>
        <w:footnoteReference w:id="3"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353"/>
        <w:gridCol w:w="3118"/>
      </w:tblGrid>
      <w:tr w:rsidR="00A51273" w:rsidRPr="00FC0A44" w14:paraId="2615E476" w14:textId="77777777" w:rsidTr="00FC0A44">
        <w:trPr>
          <w:cantSplit/>
        </w:trPr>
        <w:tc>
          <w:tcPr>
            <w:tcW w:w="5353" w:type="dxa"/>
            <w:vAlign w:val="center"/>
          </w:tcPr>
          <w:p w14:paraId="611EF528" w14:textId="363CE145" w:rsidR="00A51273" w:rsidRPr="00FC0A44" w:rsidRDefault="00581756" w:rsidP="00581756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Commission n</w:t>
            </w:r>
            <w:r w:rsidR="00A51273" w:rsidRPr="00FC0A44">
              <w:rPr>
                <w:rFonts w:ascii="Arial" w:hAnsi="Arial" w:cs="Arial"/>
                <w:color w:val="000000"/>
                <w:sz w:val="22"/>
                <w:szCs w:val="22"/>
              </w:rPr>
              <w:t>ational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e de la République populaire de Chine pour l</w:t>
            </w:r>
            <w:r w:rsidR="00260217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="00A51273" w:rsidRPr="00FC0A44">
              <w:rPr>
                <w:rFonts w:ascii="Arial" w:hAnsi="Arial" w:cs="Arial"/>
                <w:color w:val="000000"/>
                <w:sz w:val="22"/>
                <w:szCs w:val="22"/>
              </w:rPr>
              <w:t>UNESCO</w:t>
            </w:r>
          </w:p>
        </w:tc>
        <w:tc>
          <w:tcPr>
            <w:tcW w:w="3118" w:type="dxa"/>
            <w:vAlign w:val="center"/>
          </w:tcPr>
          <w:p w14:paraId="7BAFE5F5" w14:textId="77777777" w:rsidR="00A51273" w:rsidRPr="00FC0A44" w:rsidRDefault="00A51273" w:rsidP="00581756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  <w:r w:rsidR="00581756" w:rsidRPr="00FC0A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  <w:r w:rsidR="00581756"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</w:tbl>
    <w:p w14:paraId="59A674B8" w14:textId="77777777" w:rsidR="00A51273" w:rsidRPr="00FC0A44" w:rsidRDefault="00A51273" w:rsidP="00A51273">
      <w:pPr>
        <w:spacing w:before="120" w:after="60"/>
        <w:ind w:left="709"/>
        <w:rPr>
          <w:rFonts w:ascii="Arial" w:hAnsi="Arial" w:cs="Arial"/>
          <w:b/>
          <w:color w:val="000000"/>
          <w:sz w:val="22"/>
          <w:szCs w:val="22"/>
        </w:rPr>
      </w:pPr>
      <w:r w:rsidRPr="00FC0A44">
        <w:rPr>
          <w:rFonts w:ascii="Arial" w:hAnsi="Arial" w:cs="Arial"/>
          <w:b/>
          <w:color w:val="000000"/>
          <w:sz w:val="22"/>
          <w:szCs w:val="22"/>
        </w:rPr>
        <w:t>S</w:t>
      </w:r>
      <w:r w:rsidR="00581756" w:rsidRPr="00FC0A44">
        <w:rPr>
          <w:rFonts w:ascii="Arial" w:hAnsi="Arial" w:cs="Arial"/>
          <w:b/>
          <w:color w:val="000000"/>
          <w:sz w:val="22"/>
          <w:szCs w:val="22"/>
        </w:rPr>
        <w:t>o</w:t>
      </w:r>
      <w:r w:rsidRPr="00FC0A44">
        <w:rPr>
          <w:rFonts w:ascii="Arial" w:hAnsi="Arial" w:cs="Arial"/>
          <w:b/>
          <w:color w:val="000000"/>
          <w:sz w:val="22"/>
          <w:szCs w:val="22"/>
        </w:rPr>
        <w:t>u</w:t>
      </w:r>
      <w:r w:rsidR="00581756" w:rsidRPr="00FC0A44">
        <w:rPr>
          <w:rFonts w:ascii="Arial" w:hAnsi="Arial" w:cs="Arial"/>
          <w:b/>
          <w:color w:val="000000"/>
          <w:sz w:val="22"/>
          <w:szCs w:val="22"/>
        </w:rPr>
        <w:t>s</w:t>
      </w:r>
      <w:r w:rsidRPr="00FC0A44">
        <w:rPr>
          <w:rFonts w:ascii="Arial" w:hAnsi="Arial" w:cs="Arial"/>
          <w:b/>
          <w:color w:val="000000"/>
          <w:sz w:val="22"/>
          <w:szCs w:val="22"/>
        </w:rPr>
        <w:t>-f</w:t>
      </w:r>
      <w:r w:rsidR="00581756" w:rsidRPr="00FC0A44">
        <w:rPr>
          <w:rFonts w:ascii="Arial" w:hAnsi="Arial" w:cs="Arial"/>
          <w:b/>
          <w:color w:val="000000"/>
          <w:sz w:val="22"/>
          <w:szCs w:val="22"/>
        </w:rPr>
        <w:t>o</w:t>
      </w:r>
      <w:r w:rsidRPr="00FC0A44">
        <w:rPr>
          <w:rFonts w:ascii="Arial" w:hAnsi="Arial" w:cs="Arial"/>
          <w:b/>
          <w:color w:val="000000"/>
          <w:sz w:val="22"/>
          <w:szCs w:val="22"/>
        </w:rPr>
        <w:t>nd</w:t>
      </w:r>
      <w:r w:rsidR="00581756" w:rsidRPr="00FC0A44">
        <w:rPr>
          <w:rFonts w:ascii="Arial" w:hAnsi="Arial" w:cs="Arial"/>
          <w:b/>
          <w:color w:val="000000"/>
          <w:sz w:val="22"/>
          <w:szCs w:val="22"/>
        </w:rPr>
        <w:t xml:space="preserve">s pour le renforcement des capacités humaines du </w:t>
      </w:r>
      <w:r w:rsidRPr="00FC0A44">
        <w:rPr>
          <w:rFonts w:ascii="Arial" w:hAnsi="Arial" w:cs="Arial"/>
          <w:b/>
          <w:color w:val="000000"/>
          <w:sz w:val="22"/>
          <w:szCs w:val="22"/>
        </w:rPr>
        <w:t>Secr</w:t>
      </w:r>
      <w:r w:rsidR="00581756" w:rsidRPr="00FC0A44">
        <w:rPr>
          <w:rFonts w:ascii="Arial" w:hAnsi="Arial" w:cs="Arial"/>
          <w:b/>
          <w:color w:val="000000"/>
          <w:sz w:val="22"/>
          <w:szCs w:val="22"/>
        </w:rPr>
        <w:t>é</w:t>
      </w:r>
      <w:r w:rsidRPr="00FC0A44">
        <w:rPr>
          <w:rFonts w:ascii="Arial" w:hAnsi="Arial" w:cs="Arial"/>
          <w:b/>
          <w:color w:val="000000"/>
          <w:sz w:val="22"/>
          <w:szCs w:val="22"/>
        </w:rPr>
        <w:t>tariat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353"/>
        <w:gridCol w:w="3118"/>
      </w:tblGrid>
      <w:tr w:rsidR="00A51273" w:rsidRPr="00FC0A44" w14:paraId="25E98EC1" w14:textId="77777777" w:rsidTr="001045C1">
        <w:trPr>
          <w:cantSplit/>
        </w:trPr>
        <w:tc>
          <w:tcPr>
            <w:tcW w:w="5353" w:type="dxa"/>
            <w:vAlign w:val="center"/>
            <w:hideMark/>
          </w:tcPr>
          <w:p w14:paraId="61D8A01E" w14:textId="77777777" w:rsidR="00A51273" w:rsidRPr="00FC0A44" w:rsidRDefault="00A51273" w:rsidP="00A51273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Burkina Faso</w:t>
            </w:r>
          </w:p>
        </w:tc>
        <w:tc>
          <w:tcPr>
            <w:tcW w:w="3118" w:type="dxa"/>
            <w:vAlign w:val="center"/>
            <w:hideMark/>
          </w:tcPr>
          <w:p w14:paraId="4E83809B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330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  <w:tr w:rsidR="00A51273" w:rsidRPr="00FC0A44" w14:paraId="055641BF" w14:textId="77777777" w:rsidTr="001045C1">
        <w:trPr>
          <w:cantSplit/>
        </w:trPr>
        <w:tc>
          <w:tcPr>
            <w:tcW w:w="5353" w:type="dxa"/>
            <w:vAlign w:val="center"/>
            <w:hideMark/>
          </w:tcPr>
          <w:p w14:paraId="0C1650CB" w14:textId="589AEC55" w:rsidR="00A51273" w:rsidRPr="00FC0A44" w:rsidRDefault="00581756" w:rsidP="00581756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Commission n</w:t>
            </w:r>
            <w:r w:rsidR="00A51273" w:rsidRPr="00FC0A44">
              <w:rPr>
                <w:rFonts w:ascii="Arial" w:hAnsi="Arial" w:cs="Arial"/>
                <w:color w:val="000000"/>
                <w:sz w:val="22"/>
                <w:szCs w:val="22"/>
              </w:rPr>
              <w:t>ational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e de la République populaire de Chine pour l</w:t>
            </w:r>
            <w:r w:rsidR="00260217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="00A51273" w:rsidRPr="00FC0A44">
              <w:rPr>
                <w:rFonts w:ascii="Arial" w:hAnsi="Arial" w:cs="Arial"/>
                <w:color w:val="000000"/>
                <w:sz w:val="22"/>
                <w:szCs w:val="22"/>
              </w:rPr>
              <w:t>UNESCO</w:t>
            </w:r>
          </w:p>
        </w:tc>
        <w:tc>
          <w:tcPr>
            <w:tcW w:w="3118" w:type="dxa"/>
            <w:vAlign w:val="center"/>
            <w:hideMark/>
          </w:tcPr>
          <w:p w14:paraId="4F262495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  <w:tr w:rsidR="00A51273" w:rsidRPr="00FC0A44" w14:paraId="49E954D6" w14:textId="77777777" w:rsidTr="001045C1">
        <w:trPr>
          <w:cantSplit/>
        </w:trPr>
        <w:tc>
          <w:tcPr>
            <w:tcW w:w="5353" w:type="dxa"/>
            <w:vAlign w:val="center"/>
            <w:hideMark/>
          </w:tcPr>
          <w:p w14:paraId="5924F927" w14:textId="77777777" w:rsidR="00A51273" w:rsidRPr="00FC0A44" w:rsidRDefault="00A51273" w:rsidP="00581756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Jap</w:t>
            </w:r>
            <w:r w:rsidR="00581756" w:rsidRPr="00FC0A44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3118" w:type="dxa"/>
            <w:vAlign w:val="center"/>
            <w:hideMark/>
          </w:tcPr>
          <w:p w14:paraId="7A7732EB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  <w:tr w:rsidR="00A51273" w:rsidRPr="00FC0A44" w14:paraId="29B922E5" w14:textId="77777777" w:rsidTr="001045C1">
        <w:trPr>
          <w:cantSplit/>
        </w:trPr>
        <w:tc>
          <w:tcPr>
            <w:tcW w:w="5353" w:type="dxa"/>
            <w:vAlign w:val="center"/>
            <w:hideMark/>
          </w:tcPr>
          <w:p w14:paraId="17686C23" w14:textId="77777777" w:rsidR="00A51273" w:rsidRPr="00FC0A44" w:rsidRDefault="00A51273" w:rsidP="00A51273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Monaco</w:t>
            </w:r>
          </w:p>
        </w:tc>
        <w:tc>
          <w:tcPr>
            <w:tcW w:w="3118" w:type="dxa"/>
            <w:vAlign w:val="center"/>
            <w:hideMark/>
          </w:tcPr>
          <w:p w14:paraId="1C093EC1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249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  <w:tr w:rsidR="00A51273" w:rsidRPr="00FC0A44" w14:paraId="64E2A83F" w14:textId="77777777" w:rsidTr="001045C1">
        <w:trPr>
          <w:cantSplit/>
        </w:trPr>
        <w:tc>
          <w:tcPr>
            <w:tcW w:w="5353" w:type="dxa"/>
            <w:vAlign w:val="center"/>
          </w:tcPr>
          <w:p w14:paraId="3E7C682F" w14:textId="77777777" w:rsidR="00A51273" w:rsidRPr="00FC0A44" w:rsidRDefault="00A51273" w:rsidP="00A51273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3118" w:type="dxa"/>
            <w:vAlign w:val="center"/>
          </w:tcPr>
          <w:p w14:paraId="45B5A75E" w14:textId="77777777" w:rsidR="00A51273" w:rsidRPr="00FC0A44" w:rsidRDefault="00A655EC" w:rsidP="00A51273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8 </w:t>
            </w:r>
            <w:r w:rsidR="00A51273" w:rsidRPr="00FC0A44"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  <w:tr w:rsidR="00A51273" w:rsidRPr="00FC0A44" w14:paraId="39FA5E6F" w14:textId="77777777" w:rsidTr="001045C1">
        <w:trPr>
          <w:cantSplit/>
        </w:trPr>
        <w:tc>
          <w:tcPr>
            <w:tcW w:w="5353" w:type="dxa"/>
            <w:vAlign w:val="center"/>
          </w:tcPr>
          <w:p w14:paraId="665D76B0" w14:textId="77777777" w:rsidR="00A51273" w:rsidRPr="00FC0A44" w:rsidRDefault="00A51273" w:rsidP="00581756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Tur</w:t>
            </w:r>
            <w:r w:rsidR="00581756" w:rsidRPr="00FC0A4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qui</w:t>
            </w:r>
            <w:r w:rsidRPr="00FC0A4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3118" w:type="dxa"/>
            <w:vAlign w:val="center"/>
          </w:tcPr>
          <w:p w14:paraId="2A9F3D2B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  <w:tr w:rsidR="00A51273" w:rsidRPr="00FC0A44" w14:paraId="5EAB964A" w14:textId="77777777" w:rsidTr="001045C1">
        <w:trPr>
          <w:cantSplit/>
        </w:trPr>
        <w:tc>
          <w:tcPr>
            <w:tcW w:w="5353" w:type="dxa"/>
            <w:vAlign w:val="center"/>
          </w:tcPr>
          <w:p w14:paraId="55058A8F" w14:textId="37B97FB3" w:rsidR="00A51273" w:rsidRPr="00FC0A44" w:rsidRDefault="00771645" w:rsidP="00884A69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Centre pour le patrimoine </w:t>
            </w:r>
            <w:proofErr w:type="spellStart"/>
            <w:r w:rsidRPr="00FC0A4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Hamdan</w:t>
            </w:r>
            <w:proofErr w:type="spellEnd"/>
            <w:r w:rsidRPr="00FC0A4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Bin </w:t>
            </w:r>
            <w:proofErr w:type="gramStart"/>
            <w:r w:rsidRPr="00FC0A4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Mohammed</w:t>
            </w:r>
            <w:proofErr w:type="gramEnd"/>
            <w:r w:rsidR="00A51273" w:rsidRPr="00FC0A44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(</w:t>
            </w:r>
            <w:r w:rsidR="00884A69" w:rsidRPr="00FC0A4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Emirats arabes unis</w:t>
            </w:r>
            <w:r w:rsidR="00A51273" w:rsidRPr="00FC0A4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50A17FAB" w14:textId="77777777" w:rsidR="00A51273" w:rsidRPr="00FC0A44" w:rsidRDefault="00A655EC" w:rsidP="00A51273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25 </w:t>
            </w:r>
            <w:r w:rsidR="00A51273" w:rsidRPr="00FC0A44">
              <w:rPr>
                <w:rFonts w:ascii="Arial" w:hAnsi="Arial" w:cs="Arial"/>
                <w:color w:val="000000"/>
                <w:sz w:val="22"/>
                <w:szCs w:val="22"/>
              </w:rPr>
              <w:t>999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  <w:tr w:rsidR="00A51273" w:rsidRPr="00FC0A44" w14:paraId="03619A5D" w14:textId="77777777" w:rsidTr="001045C1">
        <w:trPr>
          <w:cantSplit/>
        </w:trPr>
        <w:tc>
          <w:tcPr>
            <w:tcW w:w="5353" w:type="dxa"/>
            <w:vAlign w:val="center"/>
          </w:tcPr>
          <w:p w14:paraId="77B1868C" w14:textId="77777777" w:rsidR="00A51273" w:rsidRPr="00FC0A44" w:rsidRDefault="00884A69" w:rsidP="00884A69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C0A44">
              <w:rPr>
                <w:rFonts w:ascii="Arial" w:hAnsi="Arial"/>
                <w:sz w:val="22"/>
              </w:rPr>
              <w:t>Association p</w:t>
            </w:r>
            <w:r w:rsidR="00A51273" w:rsidRPr="00FC0A44">
              <w:rPr>
                <w:rFonts w:ascii="Arial" w:hAnsi="Arial"/>
                <w:sz w:val="22"/>
              </w:rPr>
              <w:t>o</w:t>
            </w:r>
            <w:r w:rsidRPr="00FC0A44">
              <w:rPr>
                <w:rFonts w:ascii="Arial" w:hAnsi="Arial"/>
                <w:sz w:val="22"/>
              </w:rPr>
              <w:t>u</w:t>
            </w:r>
            <w:r w:rsidR="00A51273" w:rsidRPr="00FC0A44">
              <w:rPr>
                <w:rFonts w:ascii="Arial" w:hAnsi="Arial"/>
                <w:sz w:val="22"/>
              </w:rPr>
              <w:t xml:space="preserve">r </w:t>
            </w:r>
            <w:r w:rsidRPr="00FC0A44">
              <w:rPr>
                <w:rFonts w:ascii="Arial" w:hAnsi="Arial"/>
                <w:sz w:val="22"/>
              </w:rPr>
              <w:t>la sauvegarde du patrimoine culturel immatériel</w:t>
            </w:r>
            <w:r w:rsidR="00A51273" w:rsidRPr="00FC0A44">
              <w:rPr>
                <w:rFonts w:ascii="Arial" w:hAnsi="Arial"/>
                <w:sz w:val="22"/>
              </w:rPr>
              <w:t xml:space="preserve"> (Ital</w:t>
            </w:r>
            <w:r w:rsidRPr="00FC0A44">
              <w:rPr>
                <w:rFonts w:ascii="Arial" w:hAnsi="Arial"/>
                <w:sz w:val="22"/>
              </w:rPr>
              <w:t>ie</w:t>
            </w:r>
            <w:r w:rsidR="00A51273" w:rsidRPr="00FC0A44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708397C0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377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</w:tbl>
    <w:p w14:paraId="526B8DC4" w14:textId="77777777" w:rsidR="00A51273" w:rsidRPr="00FC0A44" w:rsidRDefault="00A51273" w:rsidP="00A51273">
      <w:pPr>
        <w:spacing w:before="360" w:after="120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FC0A44">
        <w:rPr>
          <w:rFonts w:ascii="Arial" w:hAnsi="Arial" w:cs="Arial"/>
          <w:b/>
          <w:smallCaps/>
          <w:color w:val="000000"/>
          <w:sz w:val="22"/>
          <w:szCs w:val="22"/>
        </w:rPr>
        <w:t>F</w:t>
      </w:r>
      <w:r w:rsidR="00884A69" w:rsidRPr="00FC0A44">
        <w:rPr>
          <w:rFonts w:ascii="Arial" w:hAnsi="Arial" w:cs="Arial"/>
          <w:b/>
          <w:smallCaps/>
          <w:color w:val="000000"/>
          <w:sz w:val="22"/>
          <w:szCs w:val="22"/>
        </w:rPr>
        <w:t>ond</w:t>
      </w:r>
      <w:r w:rsidRPr="00FC0A44">
        <w:rPr>
          <w:rFonts w:ascii="Arial" w:hAnsi="Arial" w:cs="Arial"/>
          <w:b/>
          <w:smallCaps/>
          <w:color w:val="000000"/>
          <w:sz w:val="22"/>
          <w:szCs w:val="22"/>
        </w:rPr>
        <w:t>s-</w:t>
      </w:r>
      <w:r w:rsidR="00884A69" w:rsidRPr="00FC0A44">
        <w:rPr>
          <w:rFonts w:ascii="Arial" w:hAnsi="Arial" w:cs="Arial"/>
          <w:b/>
          <w:smallCaps/>
          <w:color w:val="000000"/>
          <w:sz w:val="22"/>
          <w:szCs w:val="22"/>
        </w:rPr>
        <w:t>e</w:t>
      </w:r>
      <w:r w:rsidRPr="00FC0A44">
        <w:rPr>
          <w:rFonts w:ascii="Arial" w:hAnsi="Arial" w:cs="Arial"/>
          <w:b/>
          <w:smallCaps/>
          <w:color w:val="000000"/>
          <w:sz w:val="22"/>
          <w:szCs w:val="22"/>
        </w:rPr>
        <w:t>n-</w:t>
      </w:r>
      <w:r w:rsidR="00884A69" w:rsidRPr="00FC0A44">
        <w:rPr>
          <w:rFonts w:ascii="Arial" w:hAnsi="Arial" w:cs="Arial"/>
          <w:b/>
          <w:smallCaps/>
          <w:color w:val="000000"/>
          <w:sz w:val="22"/>
          <w:szCs w:val="22"/>
        </w:rPr>
        <w:t>dépôt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353"/>
        <w:gridCol w:w="3118"/>
      </w:tblGrid>
      <w:tr w:rsidR="00A51273" w:rsidRPr="00FC0A44" w14:paraId="5F4D29A2" w14:textId="77777777" w:rsidTr="00771645">
        <w:trPr>
          <w:cantSplit/>
        </w:trPr>
        <w:tc>
          <w:tcPr>
            <w:tcW w:w="5353" w:type="dxa"/>
            <w:shd w:val="clear" w:color="auto" w:fill="auto"/>
            <w:vAlign w:val="center"/>
          </w:tcPr>
          <w:p w14:paraId="032A89F3" w14:textId="77777777" w:rsidR="00A51273" w:rsidRPr="00FC0A44" w:rsidRDefault="00A51273" w:rsidP="00884A69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Jap</w:t>
            </w:r>
            <w:r w:rsidR="00884A69" w:rsidRPr="00FC0A44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3118" w:type="dxa"/>
            <w:vAlign w:val="center"/>
          </w:tcPr>
          <w:p w14:paraId="11FAD86B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246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372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  <w:tr w:rsidR="00A51273" w:rsidRPr="00FC0A44" w14:paraId="3BBFF8C7" w14:textId="77777777" w:rsidTr="00771645">
        <w:trPr>
          <w:cantSplit/>
        </w:trPr>
        <w:tc>
          <w:tcPr>
            <w:tcW w:w="5353" w:type="dxa"/>
            <w:shd w:val="clear" w:color="auto" w:fill="auto"/>
            <w:vAlign w:val="center"/>
          </w:tcPr>
          <w:p w14:paraId="2E431580" w14:textId="4A6951AB" w:rsidR="00A51273" w:rsidRPr="00FC0A44" w:rsidRDefault="00771645" w:rsidP="00A51273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Autorité d</w:t>
            </w:r>
            <w:r w:rsidR="00260217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Abou Dhabi pour le tourisme et la culture</w:t>
            </w:r>
            <w:r w:rsidR="00A51273" w:rsidRPr="00FC0A44">
              <w:rPr>
                <w:rFonts w:ascii="Arial" w:hAnsi="Arial" w:cs="Arial"/>
                <w:color w:val="000000"/>
                <w:sz w:val="22"/>
                <w:szCs w:val="22"/>
              </w:rPr>
              <w:t xml:space="preserve"> (ADTCA)</w:t>
            </w:r>
          </w:p>
        </w:tc>
        <w:tc>
          <w:tcPr>
            <w:tcW w:w="3118" w:type="dxa"/>
            <w:vAlign w:val="center"/>
          </w:tcPr>
          <w:p w14:paraId="5E9CADAF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419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 USD</w:t>
            </w:r>
          </w:p>
        </w:tc>
      </w:tr>
    </w:tbl>
    <w:p w14:paraId="4EB7BAD7" w14:textId="77777777" w:rsidR="00A51273" w:rsidRPr="00FC0A44" w:rsidRDefault="00884A69" w:rsidP="00A51273">
      <w:pPr>
        <w:keepNext/>
        <w:spacing w:before="360" w:after="120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FC0A44">
        <w:rPr>
          <w:rFonts w:ascii="Arial" w:hAnsi="Arial" w:cs="Arial"/>
          <w:b/>
          <w:smallCaps/>
          <w:color w:val="000000"/>
          <w:sz w:val="22"/>
          <w:szCs w:val="22"/>
        </w:rPr>
        <w:t>Experts a</w:t>
      </w:r>
      <w:r w:rsidR="00A51273" w:rsidRPr="00FC0A44">
        <w:rPr>
          <w:rFonts w:ascii="Arial" w:hAnsi="Arial" w:cs="Arial"/>
          <w:b/>
          <w:smallCaps/>
          <w:color w:val="000000"/>
          <w:sz w:val="22"/>
          <w:szCs w:val="22"/>
        </w:rPr>
        <w:t>ssoci</w:t>
      </w:r>
      <w:r w:rsidRPr="00FC0A44">
        <w:rPr>
          <w:rFonts w:ascii="Arial" w:hAnsi="Arial" w:cs="Arial"/>
          <w:b/>
          <w:smallCaps/>
          <w:color w:val="000000"/>
          <w:sz w:val="22"/>
          <w:szCs w:val="22"/>
        </w:rPr>
        <w:t>és</w:t>
      </w:r>
      <w:r w:rsidR="00A51273" w:rsidRPr="00FC0A44">
        <w:rPr>
          <w:rFonts w:ascii="Arial" w:hAnsi="Arial" w:cs="Arial"/>
          <w:b/>
          <w:smallCaps/>
          <w:color w:val="000000"/>
          <w:sz w:val="22"/>
          <w:szCs w:val="22"/>
        </w:rPr>
        <w:t>,</w:t>
      </w:r>
      <w:r w:rsidRPr="00FC0A44">
        <w:rPr>
          <w:rFonts w:ascii="Arial" w:hAnsi="Arial" w:cs="Arial"/>
          <w:b/>
          <w:smallCaps/>
          <w:color w:val="000000"/>
          <w:sz w:val="22"/>
          <w:szCs w:val="22"/>
        </w:rPr>
        <w:t xml:space="preserve"> détachements et mises à disposition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240"/>
        <w:gridCol w:w="3148"/>
      </w:tblGrid>
      <w:tr w:rsidR="00A51273" w:rsidRPr="00FC0A44" w14:paraId="180DC733" w14:textId="77777777" w:rsidTr="00771645">
        <w:trPr>
          <w:cantSplit/>
        </w:trPr>
        <w:tc>
          <w:tcPr>
            <w:tcW w:w="5240" w:type="dxa"/>
            <w:vAlign w:val="center"/>
            <w:hideMark/>
          </w:tcPr>
          <w:p w14:paraId="7987AE0E" w14:textId="456EF053" w:rsidR="00A51273" w:rsidRPr="00FC0A44" w:rsidRDefault="00771645" w:rsidP="00A51273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Autorité d</w:t>
            </w:r>
            <w:r w:rsidR="00260217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 xml:space="preserve">Abou Dhabi pour le tourisme et la culture </w:t>
            </w:r>
            <w:r w:rsidR="00A51273" w:rsidRPr="00FC0A44">
              <w:rPr>
                <w:rFonts w:ascii="Arial" w:hAnsi="Arial" w:cs="Arial"/>
                <w:color w:val="000000"/>
                <w:sz w:val="22"/>
                <w:szCs w:val="22"/>
              </w:rPr>
              <w:t>(ADTCA)</w:t>
            </w:r>
          </w:p>
        </w:tc>
        <w:tc>
          <w:tcPr>
            <w:tcW w:w="3148" w:type="dxa"/>
            <w:vAlign w:val="center"/>
            <w:hideMark/>
          </w:tcPr>
          <w:p w14:paraId="652D5B20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12 m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oi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s a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u niveau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 xml:space="preserve"> P-2</w:t>
            </w:r>
          </w:p>
        </w:tc>
      </w:tr>
      <w:tr w:rsidR="00A51273" w:rsidRPr="00FC0A44" w14:paraId="0E0A0C9F" w14:textId="77777777" w:rsidTr="00771645">
        <w:trPr>
          <w:cantSplit/>
        </w:trPr>
        <w:tc>
          <w:tcPr>
            <w:tcW w:w="5240" w:type="dxa"/>
            <w:vAlign w:val="center"/>
            <w:hideMark/>
          </w:tcPr>
          <w:p w14:paraId="639FAA92" w14:textId="77777777" w:rsidR="00A51273" w:rsidRPr="00FC0A44" w:rsidRDefault="00A51273" w:rsidP="00884A69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Chin</w:t>
            </w:r>
            <w:r w:rsidR="00884A69" w:rsidRPr="00FC0A44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3148" w:type="dxa"/>
            <w:vAlign w:val="center"/>
            <w:hideMark/>
          </w:tcPr>
          <w:p w14:paraId="7F5F81F8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12 mo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s a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 xml:space="preserve">u niveau 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P-2</w:t>
            </w:r>
          </w:p>
        </w:tc>
      </w:tr>
      <w:tr w:rsidR="00A51273" w:rsidRPr="00FC0A44" w14:paraId="4C6DD243" w14:textId="77777777" w:rsidTr="00771645">
        <w:trPr>
          <w:cantSplit/>
        </w:trPr>
        <w:tc>
          <w:tcPr>
            <w:tcW w:w="5240" w:type="dxa"/>
            <w:vAlign w:val="center"/>
          </w:tcPr>
          <w:p w14:paraId="3292D740" w14:textId="77777777" w:rsidR="00A51273" w:rsidRPr="00FC0A44" w:rsidRDefault="00A51273" w:rsidP="00884A69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Jap</w:t>
            </w:r>
            <w:r w:rsidR="00884A69" w:rsidRPr="00FC0A44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3148" w:type="dxa"/>
            <w:vAlign w:val="center"/>
          </w:tcPr>
          <w:p w14:paraId="46588186" w14:textId="77777777" w:rsidR="00A51273" w:rsidRPr="00FC0A44" w:rsidRDefault="00A51273" w:rsidP="00A655EC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12 mo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>s a</w:t>
            </w:r>
            <w:r w:rsidR="00A655EC" w:rsidRPr="00FC0A44">
              <w:rPr>
                <w:rFonts w:ascii="Arial" w:hAnsi="Arial" w:cs="Arial"/>
                <w:color w:val="000000"/>
                <w:sz w:val="22"/>
                <w:szCs w:val="22"/>
              </w:rPr>
              <w:t>u niveau</w:t>
            </w:r>
            <w:r w:rsidRPr="00FC0A44">
              <w:rPr>
                <w:rFonts w:ascii="Arial" w:hAnsi="Arial" w:cs="Arial"/>
                <w:color w:val="000000"/>
                <w:sz w:val="22"/>
                <w:szCs w:val="22"/>
              </w:rPr>
              <w:t xml:space="preserve"> P-2</w:t>
            </w:r>
          </w:p>
        </w:tc>
      </w:tr>
    </w:tbl>
    <w:p w14:paraId="2C28335A" w14:textId="77777777" w:rsidR="00165170" w:rsidRPr="00FC0A44" w:rsidRDefault="00165170" w:rsidP="00C43EAB">
      <w:pPr>
        <w:pStyle w:val="COMParaDecision"/>
        <w:numPr>
          <w:ilvl w:val="0"/>
          <w:numId w:val="0"/>
        </w:numPr>
        <w:jc w:val="left"/>
      </w:pPr>
    </w:p>
    <w:sectPr w:rsidR="00165170" w:rsidRPr="00FC0A44" w:rsidSect="0065573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9EC21" w14:textId="77777777" w:rsidR="0062341E" w:rsidRDefault="0062341E" w:rsidP="00655736">
      <w:r>
        <w:separator/>
      </w:r>
    </w:p>
    <w:p w14:paraId="01C482A9" w14:textId="77777777" w:rsidR="0062341E" w:rsidRDefault="0062341E"/>
    <w:p w14:paraId="6AD54A9C" w14:textId="77777777" w:rsidR="0062341E" w:rsidRDefault="0062341E" w:rsidP="002E58D4"/>
    <w:p w14:paraId="139C2BE0" w14:textId="77777777" w:rsidR="0062341E" w:rsidRDefault="0062341E" w:rsidP="002E58D4"/>
    <w:p w14:paraId="694BFBD3" w14:textId="77777777" w:rsidR="0062341E" w:rsidRDefault="0062341E" w:rsidP="002E58D4"/>
  </w:endnote>
  <w:endnote w:type="continuationSeparator" w:id="0">
    <w:p w14:paraId="234CC20D" w14:textId="77777777" w:rsidR="0062341E" w:rsidRDefault="0062341E" w:rsidP="00655736">
      <w:r>
        <w:continuationSeparator/>
      </w:r>
    </w:p>
    <w:p w14:paraId="52BD3FBE" w14:textId="77777777" w:rsidR="0062341E" w:rsidRDefault="0062341E"/>
    <w:p w14:paraId="41433FC1" w14:textId="77777777" w:rsidR="0062341E" w:rsidRDefault="0062341E" w:rsidP="002E58D4"/>
    <w:p w14:paraId="4BF19FE3" w14:textId="77777777" w:rsidR="0062341E" w:rsidRDefault="0062341E" w:rsidP="002E58D4"/>
    <w:p w14:paraId="0F8F99F7" w14:textId="77777777" w:rsidR="0062341E" w:rsidRDefault="0062341E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6DA09" w14:textId="77777777" w:rsidR="00553780" w:rsidRDefault="00553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C8303" w14:textId="77777777" w:rsidR="00553780" w:rsidRDefault="00553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3CC2" w14:textId="77777777" w:rsidR="00553780" w:rsidRDefault="00553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99DE2" w14:textId="6C28080B" w:rsidR="0062341E" w:rsidRDefault="0062341E" w:rsidP="000203BF">
      <w:r>
        <w:separator/>
      </w:r>
    </w:p>
  </w:footnote>
  <w:footnote w:type="continuationSeparator" w:id="0">
    <w:p w14:paraId="370FCD66" w14:textId="77777777" w:rsidR="0062341E" w:rsidRDefault="0062341E" w:rsidP="00655736">
      <w:r>
        <w:continuationSeparator/>
      </w:r>
    </w:p>
    <w:p w14:paraId="74478171" w14:textId="77777777" w:rsidR="0062341E" w:rsidRDefault="0062341E"/>
    <w:p w14:paraId="763DBF83" w14:textId="77777777" w:rsidR="0062341E" w:rsidRDefault="0062341E" w:rsidP="002E58D4"/>
    <w:p w14:paraId="39E90159" w14:textId="77777777" w:rsidR="0062341E" w:rsidRDefault="0062341E" w:rsidP="002E58D4"/>
    <w:p w14:paraId="3AE57771" w14:textId="77777777" w:rsidR="0062341E" w:rsidRDefault="0062341E" w:rsidP="002E58D4"/>
  </w:footnote>
  <w:footnote w:id="1">
    <w:p w14:paraId="4521D92B" w14:textId="1ACAA918" w:rsidR="00771645" w:rsidRPr="00FC0A44" w:rsidRDefault="00771645" w:rsidP="00FC0A44">
      <w:pPr>
        <w:pStyle w:val="FootnoteText"/>
        <w:ind w:left="567" w:hanging="567"/>
        <w:jc w:val="both"/>
        <w:rPr>
          <w:rFonts w:ascii="Arial" w:hAnsi="Arial" w:cs="Arial"/>
        </w:rPr>
      </w:pPr>
      <w:r w:rsidRPr="00FC0A44">
        <w:rPr>
          <w:rStyle w:val="FootnoteReference"/>
          <w:rFonts w:ascii="Arial" w:hAnsi="Arial" w:cs="Arial"/>
          <w:vertAlign w:val="baseline"/>
        </w:rPr>
        <w:footnoteRef/>
      </w:r>
      <w:r w:rsidR="006F64A5">
        <w:rPr>
          <w:rFonts w:ascii="Arial" w:hAnsi="Arial" w:cs="Arial"/>
        </w:rPr>
        <w:t>.</w:t>
      </w:r>
      <w:r>
        <w:rPr>
          <w:rFonts w:ascii="Arial" w:hAnsi="Arial" w:cs="Arial"/>
        </w:rPr>
        <w:tab/>
        <w:t>Les g</w:t>
      </w:r>
      <w:r w:rsidR="00906131">
        <w:rPr>
          <w:rFonts w:ascii="Arial" w:hAnsi="Arial" w:cs="Arial"/>
        </w:rPr>
        <w:t xml:space="preserve">raphiques élaborés par la Section du patrimoine culturel immatériel </w:t>
      </w:r>
      <w:r w:rsidRPr="00FC0A44">
        <w:rPr>
          <w:rFonts w:ascii="Arial" w:hAnsi="Arial" w:cs="Arial"/>
        </w:rPr>
        <w:t>sont basés sur les allocatio</w:t>
      </w:r>
      <w:r w:rsidRPr="00771645">
        <w:rPr>
          <w:rFonts w:ascii="Arial" w:hAnsi="Arial" w:cs="Arial"/>
        </w:rPr>
        <w:t xml:space="preserve">ns budgétaires rapportés </w:t>
      </w:r>
      <w:r w:rsidR="00AB2019">
        <w:rPr>
          <w:rFonts w:ascii="Arial" w:hAnsi="Arial" w:cs="Arial"/>
        </w:rPr>
        <w:t>sur</w:t>
      </w:r>
      <w:r w:rsidRPr="00771645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’</w:t>
      </w:r>
      <w:r w:rsidRPr="00771645">
        <w:rPr>
          <w:rFonts w:ascii="Arial" w:hAnsi="Arial" w:cs="Arial"/>
        </w:rPr>
        <w:t>exercice</w:t>
      </w:r>
      <w:r>
        <w:rPr>
          <w:rFonts w:ascii="Arial" w:hAnsi="Arial" w:cs="Arial"/>
        </w:rPr>
        <w:t xml:space="preserve"> biennal d’</w:t>
      </w:r>
      <w:r w:rsidRPr="00FC0A44">
        <w:rPr>
          <w:rFonts w:ascii="Arial" w:hAnsi="Arial" w:cs="Arial"/>
        </w:rPr>
        <w:t>exécution de</w:t>
      </w:r>
      <w:r>
        <w:rPr>
          <w:rFonts w:ascii="Arial" w:hAnsi="Arial" w:cs="Arial"/>
        </w:rPr>
        <w:t>s</w:t>
      </w:r>
      <w:r w:rsidRPr="00FC0A44">
        <w:rPr>
          <w:rFonts w:ascii="Arial" w:hAnsi="Arial" w:cs="Arial"/>
        </w:rPr>
        <w:t xml:space="preserve"> projets pour </w:t>
      </w:r>
      <w:r>
        <w:rPr>
          <w:rFonts w:ascii="Arial" w:hAnsi="Arial" w:cs="Arial"/>
        </w:rPr>
        <w:t xml:space="preserve">les </w:t>
      </w:r>
      <w:r w:rsidRPr="00771645">
        <w:rPr>
          <w:rFonts w:ascii="Arial" w:hAnsi="Arial" w:cs="Arial"/>
        </w:rPr>
        <w:t>35C/5, 36C/5 et 37C/</w:t>
      </w:r>
      <w:r w:rsidRPr="00FC0A44">
        <w:rPr>
          <w:rFonts w:ascii="Arial" w:hAnsi="Arial" w:cs="Arial"/>
        </w:rPr>
        <w:t xml:space="preserve">5. Pour </w:t>
      </w:r>
      <w:r>
        <w:rPr>
          <w:rFonts w:ascii="Arial" w:hAnsi="Arial" w:cs="Arial"/>
        </w:rPr>
        <w:t xml:space="preserve">le </w:t>
      </w:r>
      <w:r w:rsidRPr="00771645">
        <w:rPr>
          <w:rFonts w:ascii="Arial" w:hAnsi="Arial" w:cs="Arial"/>
        </w:rPr>
        <w:t>38C/</w:t>
      </w:r>
      <w:r w:rsidRPr="00FC0A44">
        <w:rPr>
          <w:rFonts w:ascii="Arial" w:hAnsi="Arial" w:cs="Arial"/>
        </w:rPr>
        <w:t xml:space="preserve">5, les chiffres sont </w:t>
      </w:r>
      <w:r w:rsidRPr="00771645">
        <w:rPr>
          <w:rFonts w:ascii="Arial" w:hAnsi="Arial" w:cs="Arial"/>
        </w:rPr>
        <w:t>basé</w:t>
      </w:r>
      <w:r>
        <w:rPr>
          <w:rFonts w:ascii="Arial" w:hAnsi="Arial" w:cs="Arial"/>
        </w:rPr>
        <w:t>s</w:t>
      </w:r>
      <w:r w:rsidRPr="00FC0A44">
        <w:rPr>
          <w:rFonts w:ascii="Arial" w:hAnsi="Arial" w:cs="Arial"/>
        </w:rPr>
        <w:t xml:space="preserve"> sur </w:t>
      </w:r>
      <w:r>
        <w:rPr>
          <w:rFonts w:ascii="Arial" w:hAnsi="Arial" w:cs="Arial"/>
        </w:rPr>
        <w:t>d</w:t>
      </w:r>
      <w:r w:rsidRPr="00771645">
        <w:rPr>
          <w:rFonts w:ascii="Arial" w:hAnsi="Arial" w:cs="Arial"/>
        </w:rPr>
        <w:t>es projets en cours d</w:t>
      </w:r>
      <w:r>
        <w:rPr>
          <w:rFonts w:ascii="Arial" w:hAnsi="Arial" w:cs="Arial"/>
        </w:rPr>
        <w:t xml:space="preserve">’élaboration </w:t>
      </w:r>
      <w:r w:rsidRPr="00FC0A44">
        <w:rPr>
          <w:rFonts w:ascii="Arial" w:hAnsi="Arial" w:cs="Arial"/>
        </w:rPr>
        <w:t>dont l</w:t>
      </w:r>
      <w:r>
        <w:rPr>
          <w:rFonts w:ascii="Arial" w:hAnsi="Arial" w:cs="Arial"/>
        </w:rPr>
        <w:t>es</w:t>
      </w:r>
      <w:r w:rsidRPr="00FC0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objectifs </w:t>
      </w:r>
      <w:r w:rsidRPr="00FC0A44">
        <w:rPr>
          <w:rFonts w:ascii="Arial" w:hAnsi="Arial" w:cs="Arial"/>
        </w:rPr>
        <w:t>précis</w:t>
      </w:r>
      <w:r w:rsidRPr="00771645">
        <w:rPr>
          <w:rFonts w:ascii="Arial" w:hAnsi="Arial" w:cs="Arial"/>
        </w:rPr>
        <w:t xml:space="preserve"> ont déjà été validés</w:t>
      </w:r>
      <w:r w:rsidRPr="00FC0A44">
        <w:rPr>
          <w:rFonts w:ascii="Arial" w:hAnsi="Arial" w:cs="Arial"/>
        </w:rPr>
        <w:t xml:space="preserve"> par les </w:t>
      </w:r>
      <w:r>
        <w:rPr>
          <w:rFonts w:ascii="Arial" w:hAnsi="Arial" w:cs="Arial"/>
        </w:rPr>
        <w:t>donateurs dans le cadre de</w:t>
      </w:r>
      <w:r w:rsidRPr="00FC0A44">
        <w:rPr>
          <w:rFonts w:ascii="Arial" w:hAnsi="Arial" w:cs="Arial"/>
        </w:rPr>
        <w:t xml:space="preserve"> </w:t>
      </w:r>
      <w:r w:rsidRPr="00771645">
        <w:rPr>
          <w:rFonts w:ascii="Arial" w:hAnsi="Arial" w:cs="Arial"/>
        </w:rPr>
        <w:t>réunions d</w:t>
      </w:r>
      <w:r>
        <w:rPr>
          <w:rFonts w:ascii="Arial" w:hAnsi="Arial" w:cs="Arial"/>
        </w:rPr>
        <w:t>’</w:t>
      </w:r>
      <w:r w:rsidRPr="00FC0A44">
        <w:rPr>
          <w:rFonts w:ascii="Arial" w:hAnsi="Arial" w:cs="Arial"/>
        </w:rPr>
        <w:t xml:space="preserve">examen et </w:t>
      </w:r>
      <w:r>
        <w:rPr>
          <w:rFonts w:ascii="Arial" w:hAnsi="Arial" w:cs="Arial"/>
        </w:rPr>
        <w:t xml:space="preserve">de </w:t>
      </w:r>
      <w:r w:rsidRPr="00FC0A44">
        <w:rPr>
          <w:rFonts w:ascii="Arial" w:hAnsi="Arial" w:cs="Arial"/>
        </w:rPr>
        <w:t>stratégies à moyen terme.</w:t>
      </w:r>
    </w:p>
  </w:footnote>
  <w:footnote w:id="2">
    <w:p w14:paraId="48690FEA" w14:textId="77777777" w:rsidR="001045C1" w:rsidRPr="00771645" w:rsidRDefault="001045C1" w:rsidP="002630C2">
      <w:pPr>
        <w:pStyle w:val="FootnoteText"/>
        <w:ind w:left="567" w:hanging="567"/>
        <w:jc w:val="both"/>
        <w:rPr>
          <w:rFonts w:ascii="Arial" w:hAnsi="Arial" w:cs="Arial"/>
        </w:rPr>
      </w:pPr>
      <w:r w:rsidRPr="00771645">
        <w:rPr>
          <w:rStyle w:val="FootnoteReference"/>
          <w:rFonts w:ascii="Arial" w:hAnsi="Arial" w:cs="Arial"/>
          <w:vertAlign w:val="baseline"/>
          <w:lang w:val="en-GB"/>
        </w:rPr>
        <w:footnoteRef/>
      </w:r>
      <w:r w:rsidRPr="00771645">
        <w:rPr>
          <w:rFonts w:ascii="Arial" w:hAnsi="Arial" w:cs="Arial"/>
        </w:rPr>
        <w:t>.</w:t>
      </w:r>
      <w:r w:rsidRPr="00771645">
        <w:rPr>
          <w:rFonts w:ascii="Arial" w:hAnsi="Arial" w:cs="Arial"/>
        </w:rPr>
        <w:tab/>
        <w:t xml:space="preserve">La Note </w:t>
      </w:r>
      <w:r w:rsidR="000F0156" w:rsidRPr="00771645">
        <w:rPr>
          <w:rFonts w:ascii="Arial" w:hAnsi="Arial" w:cs="Arial"/>
        </w:rPr>
        <w:t>conceptuelle</w:t>
      </w:r>
      <w:r w:rsidRPr="00771645">
        <w:rPr>
          <w:rFonts w:ascii="Arial" w:hAnsi="Arial" w:cs="Arial"/>
        </w:rPr>
        <w:t xml:space="preserve"> </w:t>
      </w:r>
      <w:r w:rsidR="00353781" w:rsidRPr="00771645">
        <w:rPr>
          <w:rFonts w:ascii="Arial" w:hAnsi="Arial" w:cs="Arial"/>
        </w:rPr>
        <w:t>pour le</w:t>
      </w:r>
      <w:r w:rsidRPr="00771645">
        <w:rPr>
          <w:rFonts w:ascii="Arial" w:hAnsi="Arial" w:cs="Arial"/>
        </w:rPr>
        <w:t xml:space="preserve"> Programme additionnel complémentaire 2014-2017 approuvée par le Comité prévoit un besoin global pour les quatre années de 6 millions de dollars des </w:t>
      </w:r>
      <w:r w:rsidR="000F0156" w:rsidRPr="005769D5">
        <w:rPr>
          <w:rFonts w:ascii="Arial" w:hAnsi="Arial" w:cs="Arial"/>
        </w:rPr>
        <w:t>États-Unis</w:t>
      </w:r>
      <w:r w:rsidRPr="005769D5">
        <w:rPr>
          <w:rFonts w:ascii="Arial" w:hAnsi="Arial" w:cs="Arial"/>
        </w:rPr>
        <w:t xml:space="preserve"> pour mener des activités dans une vingtaine de pays.</w:t>
      </w:r>
    </w:p>
  </w:footnote>
  <w:footnote w:id="3">
    <w:p w14:paraId="5EB1B566" w14:textId="77777777" w:rsidR="00536761" w:rsidRPr="00771645" w:rsidRDefault="00536761" w:rsidP="00536761">
      <w:pPr>
        <w:pStyle w:val="FootnoteText"/>
        <w:spacing w:before="60" w:after="60"/>
        <w:ind w:left="567" w:hanging="567"/>
        <w:jc w:val="both"/>
        <w:rPr>
          <w:rFonts w:ascii="Arial" w:hAnsi="Arial" w:cs="Arial"/>
        </w:rPr>
      </w:pPr>
      <w:r w:rsidRPr="007037C3">
        <w:rPr>
          <w:rStyle w:val="FootnoteReference"/>
          <w:rFonts w:ascii="Arial" w:hAnsi="Arial" w:cs="Arial"/>
          <w:vertAlign w:val="baseline"/>
          <w:lang w:val="en-GB"/>
        </w:rPr>
        <w:footnoteRef/>
      </w:r>
      <w:r w:rsidRPr="00771645">
        <w:rPr>
          <w:rFonts w:ascii="Arial" w:hAnsi="Arial" w:cs="Arial"/>
        </w:rPr>
        <w:t>.</w:t>
      </w:r>
      <w:r w:rsidRPr="00771645">
        <w:rPr>
          <w:rFonts w:ascii="Arial" w:hAnsi="Arial" w:cs="Arial"/>
        </w:rPr>
        <w:tab/>
        <w:t>Reçues, mais allocation en attente, car subordonnée à l’adoption par le Comité de la décision 10.COM 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E3FD5" w14:textId="77777777" w:rsidR="001045C1" w:rsidRPr="002E58D4" w:rsidRDefault="001045C1" w:rsidP="002E58D4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ITH/15/10.COM/9</w:t>
    </w:r>
    <w:r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612DE2">
      <w:rPr>
        <w:rStyle w:val="PageNumber"/>
        <w:rFonts w:ascii="Arial" w:hAnsi="Arial" w:cs="Arial"/>
        <w:noProof/>
        <w:sz w:val="20"/>
        <w:szCs w:val="20"/>
        <w:lang w:val="en-US"/>
      </w:rPr>
      <w:t>12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AEF38" w14:textId="77777777" w:rsidR="001045C1" w:rsidRPr="00BC3420" w:rsidRDefault="001045C1" w:rsidP="00BC3420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ITH/15/10.COM/9</w:t>
    </w:r>
    <w:r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612DE2">
      <w:rPr>
        <w:rStyle w:val="PageNumber"/>
        <w:rFonts w:ascii="Arial" w:hAnsi="Arial" w:cs="Arial"/>
        <w:noProof/>
        <w:sz w:val="20"/>
        <w:szCs w:val="20"/>
        <w:lang w:val="en-US"/>
      </w:rPr>
      <w:t>11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D99BA" w14:textId="77777777" w:rsidR="001045C1" w:rsidRPr="006677C7" w:rsidRDefault="001045C1">
    <w:pPr>
      <w:pStyle w:val="Header"/>
    </w:pPr>
    <w:r w:rsidRPr="007037C3">
      <w:rPr>
        <w:noProof/>
      </w:rPr>
      <w:drawing>
        <wp:anchor distT="0" distB="0" distL="114300" distR="114300" simplePos="0" relativeHeight="251657728" behindDoc="0" locked="0" layoutInCell="1" allowOverlap="1" wp14:anchorId="4A2DF92C" wp14:editId="60BCDCA2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7F486A" w14:textId="77777777" w:rsidR="001045C1" w:rsidRPr="00FC0A44" w:rsidRDefault="001045C1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 w:rsidRPr="00FC0A44">
      <w:rPr>
        <w:rFonts w:ascii="Arial" w:hAnsi="Arial" w:cs="Arial"/>
        <w:b/>
        <w:sz w:val="44"/>
        <w:szCs w:val="44"/>
      </w:rPr>
      <w:t>10 COM</w:t>
    </w:r>
  </w:p>
  <w:p w14:paraId="1A09EE2A" w14:textId="77777777" w:rsidR="001045C1" w:rsidRPr="00FC0A44" w:rsidRDefault="001045C1" w:rsidP="00655736">
    <w:pPr>
      <w:jc w:val="right"/>
      <w:rPr>
        <w:rFonts w:ascii="Arial" w:hAnsi="Arial" w:cs="Arial"/>
        <w:b/>
        <w:sz w:val="22"/>
        <w:szCs w:val="22"/>
      </w:rPr>
    </w:pPr>
    <w:r w:rsidRPr="00FC0A44">
      <w:rPr>
        <w:rFonts w:ascii="Arial" w:hAnsi="Arial" w:cs="Arial"/>
        <w:b/>
        <w:sz w:val="22"/>
        <w:szCs w:val="22"/>
      </w:rPr>
      <w:t>ITH/15/10.COM/9</w:t>
    </w:r>
  </w:p>
  <w:p w14:paraId="0A028B11" w14:textId="0B364550" w:rsidR="001045C1" w:rsidRPr="00FC0A44" w:rsidRDefault="001045C1" w:rsidP="00655736">
    <w:pPr>
      <w:jc w:val="right"/>
      <w:rPr>
        <w:rFonts w:ascii="Arial" w:hAnsi="Arial" w:cs="Arial"/>
        <w:b/>
        <w:sz w:val="22"/>
        <w:szCs w:val="22"/>
      </w:rPr>
    </w:pPr>
    <w:r w:rsidRPr="00FC0A44">
      <w:rPr>
        <w:rFonts w:ascii="Arial" w:hAnsi="Arial" w:cs="Arial"/>
        <w:b/>
        <w:sz w:val="22"/>
        <w:szCs w:val="22"/>
      </w:rPr>
      <w:t xml:space="preserve">Paris, le </w:t>
    </w:r>
    <w:r w:rsidR="006677C7" w:rsidRPr="00FC0A44">
      <w:rPr>
        <w:rFonts w:ascii="Arial" w:hAnsi="Arial" w:cs="Arial"/>
        <w:b/>
        <w:sz w:val="22"/>
        <w:szCs w:val="22"/>
      </w:rPr>
      <w:t>2 novembre </w:t>
    </w:r>
    <w:r w:rsidRPr="00FC0A44">
      <w:rPr>
        <w:rFonts w:ascii="Arial" w:hAnsi="Arial" w:cs="Arial"/>
        <w:b/>
        <w:sz w:val="22"/>
        <w:szCs w:val="22"/>
      </w:rPr>
      <w:t>2015</w:t>
    </w:r>
  </w:p>
  <w:p w14:paraId="1E9DBB6F" w14:textId="77777777" w:rsidR="001045C1" w:rsidRPr="006677C7" w:rsidRDefault="001045C1" w:rsidP="003E2A08">
    <w:pPr>
      <w:jc w:val="right"/>
      <w:rPr>
        <w:rFonts w:ascii="Arial" w:hAnsi="Arial" w:cs="Arial"/>
        <w:b/>
        <w:sz w:val="22"/>
        <w:szCs w:val="22"/>
      </w:rPr>
    </w:pPr>
    <w:r w:rsidRPr="006677C7">
      <w:rPr>
        <w:rFonts w:ascii="Arial" w:hAnsi="Arial" w:cs="Arial"/>
        <w:b/>
        <w:sz w:val="22"/>
        <w:szCs w:val="22"/>
      </w:rPr>
      <w:t>Original : anglais</w:t>
    </w:r>
  </w:p>
  <w:p w14:paraId="242C43E7" w14:textId="77777777" w:rsidR="001045C1" w:rsidRPr="00784004" w:rsidRDefault="001045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6544172"/>
    <w:multiLevelType w:val="hybridMultilevel"/>
    <w:tmpl w:val="F1889A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E44611FE"/>
    <w:lvl w:ilvl="0" w:tplc="C002820E">
      <w:start w:val="1"/>
      <w:numFmt w:val="decimal"/>
      <w:pStyle w:val="COMParabodytext"/>
      <w:lvlText w:val="%1."/>
      <w:lvlJc w:val="left"/>
      <w:pPr>
        <w:ind w:left="720" w:hanging="360"/>
      </w:pPr>
      <w:rPr>
        <w:lang w:val="fr-FR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6"/>
  </w:num>
  <w:num w:numId="14">
    <w:abstractNumId w:val="6"/>
  </w:num>
  <w:num w:numId="15">
    <w:abstractNumId w:val="8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C1"/>
    <w:rsid w:val="00015C5C"/>
    <w:rsid w:val="000203BF"/>
    <w:rsid w:val="00020BFC"/>
    <w:rsid w:val="00022428"/>
    <w:rsid w:val="000263BA"/>
    <w:rsid w:val="0003530D"/>
    <w:rsid w:val="0005176E"/>
    <w:rsid w:val="0006539C"/>
    <w:rsid w:val="00075395"/>
    <w:rsid w:val="00077AB7"/>
    <w:rsid w:val="00081CD8"/>
    <w:rsid w:val="0008329C"/>
    <w:rsid w:val="000868F0"/>
    <w:rsid w:val="000905D3"/>
    <w:rsid w:val="000A7F0E"/>
    <w:rsid w:val="000B126D"/>
    <w:rsid w:val="000E2D6E"/>
    <w:rsid w:val="000E6CD7"/>
    <w:rsid w:val="000E7DC5"/>
    <w:rsid w:val="000F0156"/>
    <w:rsid w:val="000F3A3F"/>
    <w:rsid w:val="001045C1"/>
    <w:rsid w:val="00112C54"/>
    <w:rsid w:val="00160B17"/>
    <w:rsid w:val="00164D56"/>
    <w:rsid w:val="00165170"/>
    <w:rsid w:val="00167B10"/>
    <w:rsid w:val="0019264E"/>
    <w:rsid w:val="00196C1B"/>
    <w:rsid w:val="001A0D71"/>
    <w:rsid w:val="001A6734"/>
    <w:rsid w:val="001A766C"/>
    <w:rsid w:val="001B0F73"/>
    <w:rsid w:val="001B27B8"/>
    <w:rsid w:val="001B33AD"/>
    <w:rsid w:val="001B3498"/>
    <w:rsid w:val="001C6746"/>
    <w:rsid w:val="001C7122"/>
    <w:rsid w:val="0020150F"/>
    <w:rsid w:val="00203903"/>
    <w:rsid w:val="002162A0"/>
    <w:rsid w:val="00222A2D"/>
    <w:rsid w:val="00223900"/>
    <w:rsid w:val="002256FD"/>
    <w:rsid w:val="00237FB2"/>
    <w:rsid w:val="002407AF"/>
    <w:rsid w:val="00260217"/>
    <w:rsid w:val="002630C2"/>
    <w:rsid w:val="00275040"/>
    <w:rsid w:val="00280D62"/>
    <w:rsid w:val="002A6C11"/>
    <w:rsid w:val="002A6F73"/>
    <w:rsid w:val="002C0D14"/>
    <w:rsid w:val="002C3CEB"/>
    <w:rsid w:val="002C4F28"/>
    <w:rsid w:val="002C6564"/>
    <w:rsid w:val="002C7330"/>
    <w:rsid w:val="002E3D25"/>
    <w:rsid w:val="002E58D4"/>
    <w:rsid w:val="003141D0"/>
    <w:rsid w:val="00315ECC"/>
    <w:rsid w:val="00327C1A"/>
    <w:rsid w:val="00353781"/>
    <w:rsid w:val="003845BE"/>
    <w:rsid w:val="003C1678"/>
    <w:rsid w:val="003D069C"/>
    <w:rsid w:val="003D28EE"/>
    <w:rsid w:val="003E07D8"/>
    <w:rsid w:val="003E2A08"/>
    <w:rsid w:val="003E35E9"/>
    <w:rsid w:val="003E5C38"/>
    <w:rsid w:val="003F113A"/>
    <w:rsid w:val="0041400B"/>
    <w:rsid w:val="0042052A"/>
    <w:rsid w:val="004239C7"/>
    <w:rsid w:val="00440F9B"/>
    <w:rsid w:val="004421E5"/>
    <w:rsid w:val="00443880"/>
    <w:rsid w:val="00452284"/>
    <w:rsid w:val="00453544"/>
    <w:rsid w:val="00455CF4"/>
    <w:rsid w:val="0046466E"/>
    <w:rsid w:val="00483B27"/>
    <w:rsid w:val="00486948"/>
    <w:rsid w:val="0049350D"/>
    <w:rsid w:val="00495288"/>
    <w:rsid w:val="0049705E"/>
    <w:rsid w:val="004A26E1"/>
    <w:rsid w:val="004F514B"/>
    <w:rsid w:val="00513DBB"/>
    <w:rsid w:val="00524D88"/>
    <w:rsid w:val="00526B7B"/>
    <w:rsid w:val="005308CE"/>
    <w:rsid w:val="005356BF"/>
    <w:rsid w:val="00536761"/>
    <w:rsid w:val="005374B4"/>
    <w:rsid w:val="0055245E"/>
    <w:rsid w:val="00553780"/>
    <w:rsid w:val="0057439C"/>
    <w:rsid w:val="005769D5"/>
    <w:rsid w:val="00581756"/>
    <w:rsid w:val="005B0127"/>
    <w:rsid w:val="005C0613"/>
    <w:rsid w:val="005C094D"/>
    <w:rsid w:val="005C4B73"/>
    <w:rsid w:val="005D6506"/>
    <w:rsid w:val="00600D93"/>
    <w:rsid w:val="006026D7"/>
    <w:rsid w:val="00612DE2"/>
    <w:rsid w:val="0062341E"/>
    <w:rsid w:val="00627C5C"/>
    <w:rsid w:val="00655736"/>
    <w:rsid w:val="00663B8D"/>
    <w:rsid w:val="0066636E"/>
    <w:rsid w:val="006677C7"/>
    <w:rsid w:val="00691F02"/>
    <w:rsid w:val="006923BD"/>
    <w:rsid w:val="00696C8D"/>
    <w:rsid w:val="006A0431"/>
    <w:rsid w:val="006A2AC2"/>
    <w:rsid w:val="006A3617"/>
    <w:rsid w:val="006B198D"/>
    <w:rsid w:val="006B424C"/>
    <w:rsid w:val="006B5001"/>
    <w:rsid w:val="006D21D9"/>
    <w:rsid w:val="006D2536"/>
    <w:rsid w:val="006E46E4"/>
    <w:rsid w:val="006F1249"/>
    <w:rsid w:val="006F64A5"/>
    <w:rsid w:val="00700EFC"/>
    <w:rsid w:val="007037C3"/>
    <w:rsid w:val="00715986"/>
    <w:rsid w:val="00717DBD"/>
    <w:rsid w:val="0073598E"/>
    <w:rsid w:val="00745807"/>
    <w:rsid w:val="00755A7F"/>
    <w:rsid w:val="00764CF9"/>
    <w:rsid w:val="00771645"/>
    <w:rsid w:val="00781E02"/>
    <w:rsid w:val="00783354"/>
    <w:rsid w:val="00784004"/>
    <w:rsid w:val="00784B8C"/>
    <w:rsid w:val="007A5AD8"/>
    <w:rsid w:val="007B2B79"/>
    <w:rsid w:val="007B3F68"/>
    <w:rsid w:val="007E3935"/>
    <w:rsid w:val="007F3240"/>
    <w:rsid w:val="008064F0"/>
    <w:rsid w:val="00821043"/>
    <w:rsid w:val="00821CDE"/>
    <w:rsid w:val="00823A11"/>
    <w:rsid w:val="00824EF7"/>
    <w:rsid w:val="008312A8"/>
    <w:rsid w:val="0085414A"/>
    <w:rsid w:val="0086269D"/>
    <w:rsid w:val="00863302"/>
    <w:rsid w:val="00866D20"/>
    <w:rsid w:val="008712A2"/>
    <w:rsid w:val="00871C8F"/>
    <w:rsid w:val="008724E5"/>
    <w:rsid w:val="00884A69"/>
    <w:rsid w:val="00884A9D"/>
    <w:rsid w:val="00894559"/>
    <w:rsid w:val="008A4E1E"/>
    <w:rsid w:val="008C296C"/>
    <w:rsid w:val="008C57DF"/>
    <w:rsid w:val="008D4178"/>
    <w:rsid w:val="008D4305"/>
    <w:rsid w:val="00906131"/>
    <w:rsid w:val="00913D86"/>
    <w:rsid w:val="009163A7"/>
    <w:rsid w:val="00922E3E"/>
    <w:rsid w:val="00933C6B"/>
    <w:rsid w:val="00940119"/>
    <w:rsid w:val="00950F68"/>
    <w:rsid w:val="00962119"/>
    <w:rsid w:val="00974249"/>
    <w:rsid w:val="009A18CD"/>
    <w:rsid w:val="009B601A"/>
    <w:rsid w:val="009E1B50"/>
    <w:rsid w:val="009E1E08"/>
    <w:rsid w:val="009F1042"/>
    <w:rsid w:val="00A12558"/>
    <w:rsid w:val="00A13903"/>
    <w:rsid w:val="00A1448C"/>
    <w:rsid w:val="00A25C3E"/>
    <w:rsid w:val="00A34ED5"/>
    <w:rsid w:val="00A3606B"/>
    <w:rsid w:val="00A45DBF"/>
    <w:rsid w:val="00A46C9A"/>
    <w:rsid w:val="00A51273"/>
    <w:rsid w:val="00A56CD6"/>
    <w:rsid w:val="00A61C6E"/>
    <w:rsid w:val="00A655EC"/>
    <w:rsid w:val="00A755A2"/>
    <w:rsid w:val="00A776F3"/>
    <w:rsid w:val="00A81DAF"/>
    <w:rsid w:val="00A82EDA"/>
    <w:rsid w:val="00A84719"/>
    <w:rsid w:val="00A90761"/>
    <w:rsid w:val="00AB2019"/>
    <w:rsid w:val="00AB2C36"/>
    <w:rsid w:val="00AB303A"/>
    <w:rsid w:val="00AD1A86"/>
    <w:rsid w:val="00AD248A"/>
    <w:rsid w:val="00AE0003"/>
    <w:rsid w:val="00AE103E"/>
    <w:rsid w:val="00AE7B62"/>
    <w:rsid w:val="00AF0A07"/>
    <w:rsid w:val="00AF5AE5"/>
    <w:rsid w:val="00AF625E"/>
    <w:rsid w:val="00AF721B"/>
    <w:rsid w:val="00B1183D"/>
    <w:rsid w:val="00B152B1"/>
    <w:rsid w:val="00B43974"/>
    <w:rsid w:val="00B63619"/>
    <w:rsid w:val="00B64C2F"/>
    <w:rsid w:val="00B742D4"/>
    <w:rsid w:val="00B77F67"/>
    <w:rsid w:val="00B90701"/>
    <w:rsid w:val="00B948BB"/>
    <w:rsid w:val="00BB033D"/>
    <w:rsid w:val="00BC3420"/>
    <w:rsid w:val="00BD52C9"/>
    <w:rsid w:val="00BE4805"/>
    <w:rsid w:val="00BE6354"/>
    <w:rsid w:val="00BF5192"/>
    <w:rsid w:val="00C226C4"/>
    <w:rsid w:val="00C238A0"/>
    <w:rsid w:val="00C33C02"/>
    <w:rsid w:val="00C34325"/>
    <w:rsid w:val="00C35627"/>
    <w:rsid w:val="00C358C4"/>
    <w:rsid w:val="00C36E8E"/>
    <w:rsid w:val="00C377F5"/>
    <w:rsid w:val="00C4320F"/>
    <w:rsid w:val="00C43EAB"/>
    <w:rsid w:val="00C467A6"/>
    <w:rsid w:val="00C55906"/>
    <w:rsid w:val="00C70EA7"/>
    <w:rsid w:val="00C73A16"/>
    <w:rsid w:val="00C7516E"/>
    <w:rsid w:val="00C80C7D"/>
    <w:rsid w:val="00C870CD"/>
    <w:rsid w:val="00C8717D"/>
    <w:rsid w:val="00CA296E"/>
    <w:rsid w:val="00CC0309"/>
    <w:rsid w:val="00CC14A1"/>
    <w:rsid w:val="00D24877"/>
    <w:rsid w:val="00D3618E"/>
    <w:rsid w:val="00D52BE6"/>
    <w:rsid w:val="00D53DD0"/>
    <w:rsid w:val="00D64A42"/>
    <w:rsid w:val="00D75D42"/>
    <w:rsid w:val="00D91053"/>
    <w:rsid w:val="00DA36ED"/>
    <w:rsid w:val="00DB4A84"/>
    <w:rsid w:val="00DC64C1"/>
    <w:rsid w:val="00DD6B4E"/>
    <w:rsid w:val="00DE0E90"/>
    <w:rsid w:val="00DE34F1"/>
    <w:rsid w:val="00DF4942"/>
    <w:rsid w:val="00E012FD"/>
    <w:rsid w:val="00E22288"/>
    <w:rsid w:val="00E23BF6"/>
    <w:rsid w:val="00E627B1"/>
    <w:rsid w:val="00E62B4C"/>
    <w:rsid w:val="00E62C1B"/>
    <w:rsid w:val="00E81AA4"/>
    <w:rsid w:val="00E9376C"/>
    <w:rsid w:val="00E94D7C"/>
    <w:rsid w:val="00EC1E63"/>
    <w:rsid w:val="00F10BB5"/>
    <w:rsid w:val="00F12538"/>
    <w:rsid w:val="00F134B7"/>
    <w:rsid w:val="00F328F2"/>
    <w:rsid w:val="00F347B2"/>
    <w:rsid w:val="00F412E7"/>
    <w:rsid w:val="00F51CBF"/>
    <w:rsid w:val="00F5508D"/>
    <w:rsid w:val="00F576CB"/>
    <w:rsid w:val="00F70106"/>
    <w:rsid w:val="00F77896"/>
    <w:rsid w:val="00F77B0A"/>
    <w:rsid w:val="00F906EA"/>
    <w:rsid w:val="00F977F2"/>
    <w:rsid w:val="00FA417C"/>
    <w:rsid w:val="00FC0A44"/>
    <w:rsid w:val="00FC131A"/>
    <w:rsid w:val="00FC2940"/>
    <w:rsid w:val="00FC4715"/>
    <w:rsid w:val="00FC7F52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D71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0905D3"/>
    <w:pPr>
      <w:numPr>
        <w:numId w:val="9"/>
      </w:numPr>
      <w:spacing w:after="120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4C1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C64C1"/>
    <w:rPr>
      <w:sz w:val="16"/>
      <w:szCs w:val="16"/>
    </w:rPr>
  </w:style>
  <w:style w:type="character" w:customStyle="1" w:styleId="hps">
    <w:name w:val="hps"/>
    <w:rsid w:val="00DC6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630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0C2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2630C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6C4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784004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A6734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rticle">
    <w:name w:val="Article"/>
    <w:basedOn w:val="Normal"/>
    <w:link w:val="ArticleChar"/>
    <w:qFormat/>
    <w:rsid w:val="005769D5"/>
    <w:pPr>
      <w:keepNext/>
      <w:widowControl w:val="0"/>
      <w:tabs>
        <w:tab w:val="left" w:pos="1418"/>
      </w:tabs>
      <w:autoSpaceDE w:val="0"/>
      <w:autoSpaceDN w:val="0"/>
      <w:adjustRightInd w:val="0"/>
      <w:spacing w:before="360" w:after="120"/>
      <w:ind w:left="1418" w:hanging="1418"/>
      <w:contextualSpacing/>
    </w:pPr>
    <w:rPr>
      <w:rFonts w:ascii="Arial" w:eastAsia="SimSun" w:hAnsi="Arial" w:cs="Arial"/>
      <w:b/>
      <w:noProof/>
      <w:sz w:val="22"/>
      <w:szCs w:val="22"/>
    </w:rPr>
  </w:style>
  <w:style w:type="paragraph" w:customStyle="1" w:styleId="para11">
    <w:name w:val="para 1.1"/>
    <w:basedOn w:val="Normal"/>
    <w:link w:val="para11Char"/>
    <w:qFormat/>
    <w:rsid w:val="005769D5"/>
    <w:pPr>
      <w:widowControl w:val="0"/>
      <w:tabs>
        <w:tab w:val="left" w:pos="2268"/>
      </w:tabs>
      <w:autoSpaceDE w:val="0"/>
      <w:autoSpaceDN w:val="0"/>
      <w:adjustRightInd w:val="0"/>
      <w:spacing w:after="120"/>
      <w:ind w:left="1701" w:hanging="624"/>
    </w:pPr>
    <w:rPr>
      <w:rFonts w:ascii="Arial" w:eastAsia="SimSun" w:hAnsi="Arial" w:cs="Arial"/>
      <w:sz w:val="22"/>
      <w:szCs w:val="22"/>
      <w:lang w:val="en-US"/>
    </w:rPr>
  </w:style>
  <w:style w:type="character" w:customStyle="1" w:styleId="para11Char">
    <w:name w:val="para 1.1 Char"/>
    <w:link w:val="para11"/>
    <w:rsid w:val="005769D5"/>
    <w:rPr>
      <w:rFonts w:ascii="Arial" w:hAnsi="Arial" w:cs="Arial"/>
      <w:sz w:val="22"/>
      <w:szCs w:val="22"/>
      <w:lang w:val="en-US"/>
    </w:rPr>
  </w:style>
  <w:style w:type="character" w:customStyle="1" w:styleId="ArticleChar">
    <w:name w:val="Article Char"/>
    <w:link w:val="Article"/>
    <w:rsid w:val="005769D5"/>
    <w:rPr>
      <w:rFonts w:ascii="Arial" w:hAnsi="Arial" w:cs="Arial"/>
      <w:b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co.org/culture/ich/doc/src/ITH-14-9.COM-Decisions-FR.doc" TargetMode="External"/><Relationship Id="rId13" Type="http://schemas.openxmlformats.org/officeDocument/2006/relationships/chart" Target="charts/chart2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unesco.org/culture/ich/doc/src/ITH-10-3.GA-CONF.201-Resolution%20Rev.-FR.doc" TargetMode="External"/><Relationship Id="rId17" Type="http://schemas.openxmlformats.org/officeDocument/2006/relationships/image" Target="media/image1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unesco.org/culture/ich/doc/src/ITH-13-8.COM-Decisions-FR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unesco.org/culture/ich/doc/src/ITH-15-10.COM-8_FR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unesco.org/culture/ich/doc/src/ITH-12-7.COM-Decisions_-FR.doc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unesco.org/culture/ich/doc/src/ITH-14-9.COM-Decisions-FR.doc" TargetMode="External"/><Relationship Id="rId14" Type="http://schemas.openxmlformats.org/officeDocument/2006/relationships/hyperlink" Target="http://www.unesco.org/culture/ich/doc/src/ITH-12-7.COM-Decisions_-FR.doc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qfs\dfs\clt\CRE\02-ITH\Convention-Statutory%20Meetings\2015_STATUTORY%20MEETINGS\2015-11_10COM\Documents\9_10COM_Voluntary%20supplementary%20contributions%20to%20Fund\draft\Volontary%20Contibutions%20Evolution_FR_2015110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qfs\dfs\clt\CRE\02-ITH\Convention-Statutory%20Meetings\2015_STATUTORY%20MEETINGS\2015-11_10COM\Documents\9_10COM_Voluntary%20supplementary%20contributions%20to%20Fund\draft\Volontary%20Contibutions%20Evolution_FR_2015110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150957173629942E-2"/>
          <c:y val="4.1114423381557651E-2"/>
          <c:w val="0.55391405084532508"/>
          <c:h val="0.82588847203482807"/>
        </c:manualLayout>
      </c:layout>
      <c:barChart>
        <c:barDir val="col"/>
        <c:grouping val="stacked"/>
        <c:varyColors val="0"/>
        <c:ser>
          <c:idx val="2"/>
          <c:order val="1"/>
          <c:tx>
            <c:strRef>
              <c:f>'arranged data'!$E$8</c:f>
              <c:strCache>
                <c:ptCount val="1"/>
                <c:pt idx="0">
                  <c:v>Sous-Fonds</c:v>
                </c:pt>
              </c:strCache>
            </c:strRef>
          </c:tx>
          <c:spPr>
            <a:pattFill prst="wdUpDiag">
              <a:fgClr>
                <a:schemeClr val="accent5">
                  <a:lumMod val="40000"/>
                  <a:lumOff val="60000"/>
                </a:schemeClr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cat>
            <c:multiLvlStrRef>
              <c:f>'arranged data'!$A$9:$B$12</c:f>
              <c:multiLvlStrCache>
                <c:ptCount val="4"/>
                <c:lvl>
                  <c:pt idx="0">
                    <c:v>35C/5 2010-11</c:v>
                  </c:pt>
                  <c:pt idx="1">
                    <c:v>36C/5 2012-13</c:v>
                  </c:pt>
                  <c:pt idx="2">
                    <c:v>37C/5 2014-15</c:v>
                  </c:pt>
                  <c:pt idx="3">
                    <c:v>38C/5 2016-17</c:v>
                  </c:pt>
                </c:lvl>
                <c:lvl>
                  <c:pt idx="0">
                    <c:v>Renforcement des capacités</c:v>
                  </c:pt>
                </c:lvl>
              </c:multiLvlStrCache>
            </c:multiLvlStrRef>
          </c:cat>
          <c:val>
            <c:numRef>
              <c:f>'arranged data'!$E$9:$E$12</c:f>
              <c:numCache>
                <c:formatCode>\$##0.0,," M"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2"/>
          <c:tx>
            <c:strRef>
              <c:f>'arranged data'!$F$8</c:f>
              <c:strCache>
                <c:ptCount val="1"/>
                <c:pt idx="0">
                  <c:v>Contibution en nature</c:v>
                </c:pt>
              </c:strCache>
            </c:strRef>
          </c:tx>
          <c:spPr>
            <a:pattFill prst="narHorz">
              <a:fgClr>
                <a:schemeClr val="bg1">
                  <a:lumMod val="65000"/>
                </a:schemeClr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cat>
            <c:multiLvlStrRef>
              <c:f>'arranged data'!$A$9:$B$12</c:f>
              <c:multiLvlStrCache>
                <c:ptCount val="4"/>
                <c:lvl>
                  <c:pt idx="0">
                    <c:v>35C/5 2010-11</c:v>
                  </c:pt>
                  <c:pt idx="1">
                    <c:v>36C/5 2012-13</c:v>
                  </c:pt>
                  <c:pt idx="2">
                    <c:v>37C/5 2014-15</c:v>
                  </c:pt>
                  <c:pt idx="3">
                    <c:v>38C/5 2016-17</c:v>
                  </c:pt>
                </c:lvl>
                <c:lvl>
                  <c:pt idx="0">
                    <c:v>Renforcement des capacités</c:v>
                  </c:pt>
                </c:lvl>
              </c:multiLvlStrCache>
            </c:multiLvlStrRef>
          </c:cat>
          <c:val>
            <c:numRef>
              <c:f>'arranged data'!$F$9:$F$12</c:f>
              <c:numCache>
                <c:formatCode>\$##0.0,," M"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0"/>
          <c:order val="3"/>
          <c:tx>
            <c:strRef>
              <c:f>'arranged data'!$C$8</c:f>
              <c:strCache>
                <c:ptCount val="1"/>
                <c:pt idx="0">
                  <c:v>Contributions affectées à des fins spécifiques </c:v>
                </c:pt>
              </c:strCache>
            </c:strRef>
          </c:tx>
          <c:spPr>
            <a:pattFill prst="pct90">
              <a:fgClr>
                <a:schemeClr val="accent2">
                  <a:lumMod val="60000"/>
                  <a:lumOff val="40000"/>
                </a:schemeClr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##0.0,,&quot; M$&quot;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'arranged data'!$A$9:$B$12</c:f>
              <c:multiLvlStrCache>
                <c:ptCount val="4"/>
                <c:lvl>
                  <c:pt idx="0">
                    <c:v>35C/5 2010-11</c:v>
                  </c:pt>
                  <c:pt idx="1">
                    <c:v>36C/5 2012-13</c:v>
                  </c:pt>
                  <c:pt idx="2">
                    <c:v>37C/5 2014-15</c:v>
                  </c:pt>
                  <c:pt idx="3">
                    <c:v>38C/5 2016-17</c:v>
                  </c:pt>
                </c:lvl>
                <c:lvl>
                  <c:pt idx="0">
                    <c:v>Renforcement des capacités</c:v>
                  </c:pt>
                </c:lvl>
              </c:multiLvlStrCache>
            </c:multiLvlStrRef>
          </c:cat>
          <c:val>
            <c:numRef>
              <c:f>'arranged data'!$C$9:$C$12</c:f>
              <c:numCache>
                <c:formatCode>\$##0.0,," M"</c:formatCode>
                <c:ptCount val="4"/>
                <c:pt idx="0">
                  <c:v>856373</c:v>
                </c:pt>
                <c:pt idx="1">
                  <c:v>2054562</c:v>
                </c:pt>
                <c:pt idx="2">
                  <c:v>1172316</c:v>
                </c:pt>
                <c:pt idx="3">
                  <c:v>0</c:v>
                </c:pt>
              </c:numCache>
            </c:numRef>
          </c:val>
        </c:ser>
        <c:ser>
          <c:idx val="1"/>
          <c:order val="4"/>
          <c:tx>
            <c:strRef>
              <c:f>'arranged data'!$D$8</c:f>
              <c:strCache>
                <c:ptCount val="1"/>
                <c:pt idx="0">
                  <c:v>Fonds-en-dépôt</c:v>
                </c:pt>
              </c:strCache>
            </c:strRef>
          </c:tx>
          <c:spPr>
            <a:pattFill prst="pct5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dLbls>
            <c:numFmt formatCode="##0.0,,&quot; M$&quot;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'arranged data'!$A$9:$B$12</c:f>
              <c:multiLvlStrCache>
                <c:ptCount val="4"/>
                <c:lvl>
                  <c:pt idx="0">
                    <c:v>35C/5 2010-11</c:v>
                  </c:pt>
                  <c:pt idx="1">
                    <c:v>36C/5 2012-13</c:v>
                  </c:pt>
                  <c:pt idx="2">
                    <c:v>37C/5 2014-15</c:v>
                  </c:pt>
                  <c:pt idx="3">
                    <c:v>38C/5 2016-17</c:v>
                  </c:pt>
                </c:lvl>
                <c:lvl>
                  <c:pt idx="0">
                    <c:v>Renforcement des capacités</c:v>
                  </c:pt>
                </c:lvl>
              </c:multiLvlStrCache>
            </c:multiLvlStrRef>
          </c:cat>
          <c:val>
            <c:numRef>
              <c:f>'arranged data'!$D$9:$D$12</c:f>
              <c:numCache>
                <c:formatCode>\$##0.0,," M"</c:formatCode>
                <c:ptCount val="4"/>
                <c:pt idx="0">
                  <c:v>2803545</c:v>
                </c:pt>
                <c:pt idx="1">
                  <c:v>495159</c:v>
                </c:pt>
                <c:pt idx="2">
                  <c:v>1856845</c:v>
                </c:pt>
                <c:pt idx="3">
                  <c:v>885982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375284528"/>
        <c:axId val="375285088"/>
      </c:barChart>
      <c:lineChart>
        <c:grouping val="standard"/>
        <c:varyColors val="0"/>
        <c:ser>
          <c:idx val="4"/>
          <c:order val="0"/>
          <c:tx>
            <c:strRef>
              <c:f>'arranged data'!$G$8</c:f>
              <c:strCache>
                <c:ptCount val="1"/>
                <c:pt idx="0">
                  <c:v>Objectif par exercice biennal</c:v>
                </c:pt>
              </c:strCache>
            </c:strRef>
          </c:tx>
          <c:spPr>
            <a:ln w="28575">
              <a:solidFill>
                <a:srgbClr val="C0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622989955712903"/>
                  <c:y val="-7.2020793120704224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C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>
                        <a:solidFill>
                          <a:srgbClr val="C00000"/>
                        </a:solidFill>
                      </a:rPr>
                      <a:t>Objectif: 3,0 M$
(décision 9.COM 7) </a:t>
                    </a:r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5518367531813654"/>
                  <c:y val="-1.8376726631798762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C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fr-FR">
                        <a:solidFill>
                          <a:srgbClr val="C00000"/>
                        </a:solidFill>
                      </a:rPr>
                      <a:t>$2.0 M (Resolution 3.GA 9)</a:t>
                    </a:r>
                  </a:p>
                </c:rich>
              </c:tx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C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'arranged data'!$G$9:$G$12</c:f>
              <c:numCache>
                <c:formatCode>\$##0.0,," M"</c:formatCode>
                <c:ptCount val="4"/>
                <c:pt idx="0">
                  <c:v>3000000</c:v>
                </c:pt>
                <c:pt idx="1">
                  <c:v>3000000</c:v>
                </c:pt>
                <c:pt idx="2">
                  <c:v>3000000</c:v>
                </c:pt>
                <c:pt idx="3">
                  <c:v>3000000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5284528"/>
        <c:axId val="375285088"/>
      </c:lineChart>
      <c:catAx>
        <c:axId val="375284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375285088"/>
        <c:crossesAt val="0.1"/>
        <c:auto val="1"/>
        <c:lblAlgn val="ctr"/>
        <c:lblOffset val="100"/>
        <c:tickLblSkip val="1"/>
        <c:tickMarkSkip val="100"/>
        <c:noMultiLvlLbl val="0"/>
      </c:catAx>
      <c:valAx>
        <c:axId val="375285088"/>
        <c:scaling>
          <c:orientation val="minMax"/>
          <c:max val="4500000"/>
          <c:min val="0"/>
        </c:scaling>
        <c:delete val="0"/>
        <c:axPos val="l"/>
        <c:majorGridlines/>
        <c:numFmt formatCode="##0.0,,&quot; M$&quot;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375284528"/>
        <c:crosses val="autoZero"/>
        <c:crossBetween val="between"/>
        <c:majorUnit val="1000000"/>
        <c:minorUnit val="200000"/>
      </c:valAx>
      <c:spPr>
        <a:ln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71167589577345569"/>
          <c:y val="0.67172754951382208"/>
          <c:w val="0.13752582317478435"/>
          <c:h val="0.17786424952694868"/>
        </c:manualLayout>
      </c:layout>
      <c:overlay val="0"/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157328415402374E-2"/>
          <c:y val="2.2460438999489536E-2"/>
          <c:w val="0.54541292423526955"/>
          <c:h val="0.85901069142654307"/>
        </c:manualLayout>
      </c:layout>
      <c:barChart>
        <c:barDir val="col"/>
        <c:grouping val="stacked"/>
        <c:varyColors val="0"/>
        <c:ser>
          <c:idx val="2"/>
          <c:order val="0"/>
          <c:tx>
            <c:strRef>
              <c:f>'arranged data'!$E$8</c:f>
              <c:strCache>
                <c:ptCount val="1"/>
                <c:pt idx="0">
                  <c:v>Sous-Fonds</c:v>
                </c:pt>
              </c:strCache>
            </c:strRef>
          </c:tx>
          <c:spPr>
            <a:pattFill prst="lgCheck">
              <a:fgClr>
                <a:schemeClr val="accent5">
                  <a:lumMod val="40000"/>
                  <a:lumOff val="60000"/>
                </a:schemeClr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##0.0,,&quot; M$&quot;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'arranged data'!$A$13:$B$16</c:f>
              <c:multiLvlStrCache>
                <c:ptCount val="4"/>
                <c:lvl>
                  <c:pt idx="0">
                    <c:v>35C/5 2010-11</c:v>
                  </c:pt>
                  <c:pt idx="1">
                    <c:v>36C/5 2012-13</c:v>
                  </c:pt>
                  <c:pt idx="2">
                    <c:v>37C/5 2014-15</c:v>
                  </c:pt>
                  <c:pt idx="3">
                    <c:v>38C/5 2016-17</c:v>
                  </c:pt>
                </c:lvl>
                <c:lvl>
                  <c:pt idx="0">
                    <c:v>Ressources humaines </c:v>
                  </c:pt>
                </c:lvl>
              </c:multiLvlStrCache>
            </c:multiLvlStrRef>
          </c:cat>
          <c:val>
            <c:numRef>
              <c:f>'arranged data'!$E$13:$E$16</c:f>
              <c:numCache>
                <c:formatCode>\$##0.0,," M"</c:formatCode>
                <c:ptCount val="4"/>
                <c:pt idx="0">
                  <c:v>511885</c:v>
                </c:pt>
                <c:pt idx="1">
                  <c:v>436511.82</c:v>
                </c:pt>
                <c:pt idx="2">
                  <c:v>414875</c:v>
                </c:pt>
                <c:pt idx="3">
                  <c:v>0</c:v>
                </c:pt>
              </c:numCache>
            </c:numRef>
          </c:val>
        </c:ser>
        <c:ser>
          <c:idx val="3"/>
          <c:order val="1"/>
          <c:tx>
            <c:strRef>
              <c:f>'arranged data'!$F$8</c:f>
              <c:strCache>
                <c:ptCount val="1"/>
                <c:pt idx="0">
                  <c:v>Contibution en nature</c:v>
                </c:pt>
              </c:strCache>
            </c:strRef>
          </c:tx>
          <c:spPr>
            <a:pattFill prst="narHorz">
              <a:fgClr>
                <a:schemeClr val="bg1">
                  <a:lumMod val="65000"/>
                </a:schemeClr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##0.0,,&quot; M$&quot;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'arranged data'!$A$13:$B$16</c:f>
              <c:multiLvlStrCache>
                <c:ptCount val="4"/>
                <c:lvl>
                  <c:pt idx="0">
                    <c:v>35C/5 2010-11</c:v>
                  </c:pt>
                  <c:pt idx="1">
                    <c:v>36C/5 2012-13</c:v>
                  </c:pt>
                  <c:pt idx="2">
                    <c:v>37C/5 2014-15</c:v>
                  </c:pt>
                  <c:pt idx="3">
                    <c:v>38C/5 2016-17</c:v>
                  </c:pt>
                </c:lvl>
                <c:lvl>
                  <c:pt idx="0">
                    <c:v>Ressources humaines </c:v>
                  </c:pt>
                </c:lvl>
              </c:multiLvlStrCache>
            </c:multiLvlStrRef>
          </c:cat>
          <c:val>
            <c:numRef>
              <c:f>'arranged data'!$F$13:$F$16</c:f>
              <c:numCache>
                <c:formatCode>\$##0.0,," M"</c:formatCode>
                <c:ptCount val="4"/>
                <c:pt idx="0">
                  <c:v>402437.5</c:v>
                </c:pt>
                <c:pt idx="1">
                  <c:v>290125</c:v>
                </c:pt>
                <c:pt idx="2">
                  <c:v>355680</c:v>
                </c:pt>
                <c:pt idx="3">
                  <c:v>0</c:v>
                </c:pt>
              </c:numCache>
            </c:numRef>
          </c:val>
        </c:ser>
        <c:ser>
          <c:idx val="0"/>
          <c:order val="3"/>
          <c:tx>
            <c:strRef>
              <c:f>'arranged data'!$D$8</c:f>
              <c:strCache>
                <c:ptCount val="1"/>
                <c:pt idx="0">
                  <c:v>Fonds-en-dépôt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dLbls>
            <c:numFmt formatCode="##0.0,,&quot; M$&quot;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'arranged data'!$D$13:$D$16</c:f>
              <c:numCache>
                <c:formatCode>\$##0.0,," M"</c:formatCode>
                <c:ptCount val="4"/>
                <c:pt idx="0">
                  <c:v>437922</c:v>
                </c:pt>
                <c:pt idx="1">
                  <c:v>279392</c:v>
                </c:pt>
                <c:pt idx="2">
                  <c:v>339310</c:v>
                </c:pt>
                <c:pt idx="3">
                  <c:v>540059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375289008"/>
        <c:axId val="375289568"/>
      </c:barChart>
      <c:lineChart>
        <c:grouping val="standard"/>
        <c:varyColors val="0"/>
        <c:ser>
          <c:idx val="4"/>
          <c:order val="2"/>
          <c:tx>
            <c:strRef>
              <c:f>'arranged data'!$G$8</c:f>
              <c:strCache>
                <c:ptCount val="1"/>
                <c:pt idx="0">
                  <c:v>Objectif par exercice biennal</c:v>
                </c:pt>
              </c:strCache>
            </c:strRef>
          </c:tx>
          <c:spPr>
            <a:ln w="28575">
              <a:solidFill>
                <a:srgbClr val="C0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5242670711788406"/>
                  <c:y val="-5.9322040978299434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C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>
                        <a:solidFill>
                          <a:srgbClr val="C00000"/>
                        </a:solidFill>
                      </a:rPr>
                      <a:t>Objectif: 2,2 M$
(résolution 3.GA 9) </a:t>
                    </a:r>
                  </a:p>
                </c:rich>
              </c:tx>
              <c:numFmt formatCode="\$##0\.0..&quot; M&quot;" sourceLinked="0"/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5518367531813654"/>
                  <c:y val="-1.8376726631798762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C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fr-FR">
                        <a:solidFill>
                          <a:srgbClr val="C00000"/>
                        </a:solidFill>
                      </a:rPr>
                      <a:t>$2.0 M (Resolution 3.GA 9)</a:t>
                    </a:r>
                  </a:p>
                </c:rich>
              </c:tx>
              <c:numFmt formatCode="\$##0\.0..&quot; M&quot;" sourceLinked="0"/>
              <c:spPr/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\$##0\.0..&quot; M&quot;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C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'arranged data'!$G$13:$G$16</c:f>
              <c:numCache>
                <c:formatCode>\$##0.0,," M"</c:formatCode>
                <c:ptCount val="4"/>
                <c:pt idx="0">
                  <c:v>2200000</c:v>
                </c:pt>
                <c:pt idx="1">
                  <c:v>2200000</c:v>
                </c:pt>
                <c:pt idx="2">
                  <c:v>2200000</c:v>
                </c:pt>
                <c:pt idx="3">
                  <c:v>2200000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5289008"/>
        <c:axId val="375289568"/>
      </c:lineChart>
      <c:catAx>
        <c:axId val="375289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375289568"/>
        <c:crossesAt val="0.1"/>
        <c:auto val="1"/>
        <c:lblAlgn val="ctr"/>
        <c:lblOffset val="100"/>
        <c:tickLblSkip val="1"/>
        <c:tickMarkSkip val="100"/>
        <c:noMultiLvlLbl val="0"/>
      </c:catAx>
      <c:valAx>
        <c:axId val="375289568"/>
        <c:scaling>
          <c:orientation val="minMax"/>
          <c:max val="3500000"/>
          <c:min val="0"/>
        </c:scaling>
        <c:delete val="0"/>
        <c:axPos val="l"/>
        <c:majorGridlines/>
        <c:numFmt formatCode="##0.0,,&quot; M$&quot;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375289008"/>
        <c:crosses val="autoZero"/>
        <c:crossBetween val="between"/>
        <c:majorUnit val="1000000"/>
        <c:minorUnit val="200000"/>
      </c:valAx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5595093568273866"/>
          <c:y val="0.57190626192990413"/>
          <c:w val="0.17282589676290461"/>
          <c:h val="0.36228213897505235"/>
        </c:manualLayout>
      </c:layout>
      <c:overlay val="0"/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9256-6F10-49AD-B4F9-8E49C11F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2F991F13</Template>
  <TotalTime>0</TotalTime>
  <Pages>12</Pages>
  <Words>4140</Words>
  <Characters>22773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2015-11-11T10:06:00Z</dcterms:created>
  <dcterms:modified xsi:type="dcterms:W3CDTF">2015-11-11T10:08:00Z</dcterms:modified>
</cp:coreProperties>
</file>