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180D" w14:textId="77777777" w:rsidR="00BC3420" w:rsidRPr="00122856" w:rsidRDefault="00BC3420" w:rsidP="00BC3420">
      <w:pPr>
        <w:spacing w:before="1440"/>
        <w:jc w:val="center"/>
        <w:rPr>
          <w:rFonts w:ascii="Arial" w:hAnsi="Arial" w:cs="Arial"/>
          <w:b/>
          <w:sz w:val="22"/>
          <w:szCs w:val="22"/>
        </w:rPr>
      </w:pPr>
      <w:bookmarkStart w:id="0" w:name="_GoBack"/>
      <w:bookmarkEnd w:id="0"/>
      <w:r w:rsidRPr="00122856">
        <w:rPr>
          <w:rFonts w:ascii="Arial" w:hAnsi="Arial" w:cs="Arial"/>
          <w:b/>
          <w:sz w:val="22"/>
          <w:szCs w:val="22"/>
        </w:rPr>
        <w:t>CONVENTION POUR LA SAUVEGARDE DU</w:t>
      </w:r>
      <w:r w:rsidRPr="00122856">
        <w:rPr>
          <w:rFonts w:ascii="Arial" w:hAnsi="Arial" w:cs="Arial"/>
          <w:b/>
          <w:sz w:val="22"/>
          <w:szCs w:val="22"/>
        </w:rPr>
        <w:br/>
        <w:t>PATRIMOINE CULTUREL IMMATÉRIEL</w:t>
      </w:r>
    </w:p>
    <w:p w14:paraId="799F6264" w14:textId="77777777" w:rsidR="00BC3420" w:rsidRPr="00122856" w:rsidRDefault="00BC3420" w:rsidP="00BC3420">
      <w:pPr>
        <w:spacing w:before="1200"/>
        <w:jc w:val="center"/>
        <w:rPr>
          <w:rFonts w:ascii="Arial" w:hAnsi="Arial" w:cs="Arial"/>
          <w:b/>
          <w:sz w:val="22"/>
          <w:szCs w:val="22"/>
        </w:rPr>
      </w:pPr>
      <w:r w:rsidRPr="00122856">
        <w:rPr>
          <w:rFonts w:ascii="Arial" w:hAnsi="Arial" w:cs="Arial"/>
          <w:b/>
          <w:sz w:val="22"/>
          <w:szCs w:val="22"/>
        </w:rPr>
        <w:t>COMITÉ INTERGOUVERNEMENTAL DE SAUVEGARDE</w:t>
      </w:r>
      <w:r w:rsidRPr="00122856">
        <w:rPr>
          <w:rFonts w:ascii="Arial" w:hAnsi="Arial" w:cs="Arial"/>
          <w:b/>
          <w:sz w:val="22"/>
          <w:szCs w:val="22"/>
        </w:rPr>
        <w:br/>
        <w:t>DU PATRIMOINE CULTUREL IMMATÉRIEL</w:t>
      </w:r>
    </w:p>
    <w:p w14:paraId="728E94F4" w14:textId="77777777" w:rsidR="00BC3420" w:rsidRPr="00122856" w:rsidRDefault="00165170" w:rsidP="00BC3420">
      <w:pPr>
        <w:spacing w:before="840"/>
        <w:jc w:val="center"/>
        <w:rPr>
          <w:rFonts w:ascii="Arial" w:hAnsi="Arial" w:cs="Arial"/>
          <w:b/>
          <w:sz w:val="22"/>
          <w:szCs w:val="22"/>
        </w:rPr>
      </w:pPr>
      <w:r w:rsidRPr="00122856">
        <w:rPr>
          <w:rFonts w:ascii="Arial" w:hAnsi="Arial" w:cs="Arial"/>
          <w:b/>
          <w:sz w:val="22"/>
          <w:szCs w:val="22"/>
        </w:rPr>
        <w:t>Dixième</w:t>
      </w:r>
      <w:r w:rsidR="00BC3420" w:rsidRPr="00122856">
        <w:rPr>
          <w:rFonts w:ascii="Arial" w:hAnsi="Arial" w:cs="Arial"/>
          <w:b/>
          <w:sz w:val="22"/>
          <w:szCs w:val="22"/>
        </w:rPr>
        <w:t xml:space="preserve"> session</w:t>
      </w:r>
    </w:p>
    <w:p w14:paraId="62F553F1" w14:textId="77777777" w:rsidR="00A61C6E" w:rsidRPr="00122856" w:rsidRDefault="00F134B7" w:rsidP="00871C8F">
      <w:pPr>
        <w:jc w:val="center"/>
        <w:rPr>
          <w:rFonts w:ascii="Arial" w:hAnsi="Arial" w:cs="Arial"/>
          <w:b/>
          <w:sz w:val="22"/>
          <w:szCs w:val="22"/>
        </w:rPr>
      </w:pPr>
      <w:r w:rsidRPr="00122856">
        <w:rPr>
          <w:rFonts w:ascii="Arial" w:hAnsi="Arial" w:cs="Arial"/>
          <w:b/>
          <w:sz w:val="22"/>
          <w:szCs w:val="22"/>
        </w:rPr>
        <w:t>Windhoek</w:t>
      </w:r>
      <w:r w:rsidR="00FC4715" w:rsidRPr="00122856">
        <w:rPr>
          <w:rFonts w:ascii="Arial" w:hAnsi="Arial" w:cs="Arial"/>
          <w:b/>
          <w:sz w:val="22"/>
          <w:szCs w:val="22"/>
        </w:rPr>
        <w:t>, Namibie</w:t>
      </w:r>
    </w:p>
    <w:p w14:paraId="78A235C4" w14:textId="77777777" w:rsidR="00BC3420" w:rsidRPr="00122856" w:rsidRDefault="00764CF9" w:rsidP="00BC3420">
      <w:pPr>
        <w:jc w:val="center"/>
        <w:rPr>
          <w:rFonts w:ascii="Arial" w:hAnsi="Arial" w:cs="Arial"/>
          <w:b/>
          <w:sz w:val="22"/>
          <w:szCs w:val="22"/>
        </w:rPr>
      </w:pPr>
      <w:r w:rsidRPr="00122856">
        <w:rPr>
          <w:rFonts w:ascii="Arial" w:hAnsi="Arial" w:cs="Arial"/>
          <w:b/>
          <w:sz w:val="22"/>
          <w:szCs w:val="22"/>
        </w:rPr>
        <w:t>30</w:t>
      </w:r>
      <w:r w:rsidR="00165170" w:rsidRPr="00122856">
        <w:rPr>
          <w:rFonts w:ascii="Arial" w:hAnsi="Arial" w:cs="Arial"/>
          <w:b/>
          <w:sz w:val="22"/>
          <w:szCs w:val="22"/>
        </w:rPr>
        <w:t xml:space="preserve"> novembre</w:t>
      </w:r>
      <w:r w:rsidR="00BC3420" w:rsidRPr="00122856">
        <w:rPr>
          <w:rFonts w:ascii="Arial" w:hAnsi="Arial" w:cs="Arial"/>
          <w:b/>
          <w:sz w:val="22"/>
          <w:szCs w:val="22"/>
        </w:rPr>
        <w:t xml:space="preserve"> – </w:t>
      </w:r>
      <w:r w:rsidR="00165170" w:rsidRPr="00122856">
        <w:rPr>
          <w:rFonts w:ascii="Arial" w:hAnsi="Arial" w:cs="Arial"/>
          <w:b/>
          <w:sz w:val="22"/>
          <w:szCs w:val="22"/>
        </w:rPr>
        <w:t>4</w:t>
      </w:r>
      <w:r w:rsidR="00BC3420" w:rsidRPr="00122856">
        <w:rPr>
          <w:rFonts w:ascii="Arial" w:hAnsi="Arial" w:cs="Arial"/>
          <w:b/>
          <w:sz w:val="22"/>
          <w:szCs w:val="22"/>
        </w:rPr>
        <w:t xml:space="preserve"> </w:t>
      </w:r>
      <w:r w:rsidR="00165170" w:rsidRPr="00122856">
        <w:rPr>
          <w:rFonts w:ascii="Arial" w:hAnsi="Arial" w:cs="Arial"/>
          <w:b/>
          <w:sz w:val="22"/>
          <w:szCs w:val="22"/>
        </w:rPr>
        <w:t>décembre</w:t>
      </w:r>
      <w:r w:rsidRPr="00122856">
        <w:rPr>
          <w:rFonts w:ascii="Arial" w:hAnsi="Arial" w:cs="Arial"/>
          <w:b/>
          <w:sz w:val="22"/>
          <w:szCs w:val="22"/>
        </w:rPr>
        <w:t xml:space="preserve"> 2015</w:t>
      </w:r>
    </w:p>
    <w:p w14:paraId="01F58BA8" w14:textId="77777777" w:rsidR="00BC3420" w:rsidRPr="004C6BB3" w:rsidRDefault="00BC3420" w:rsidP="00BC3420">
      <w:pPr>
        <w:pStyle w:val="Sansinterligne2"/>
        <w:spacing w:before="1200"/>
        <w:jc w:val="center"/>
        <w:rPr>
          <w:rFonts w:ascii="Arial" w:hAnsi="Arial" w:cs="Arial"/>
          <w:b/>
          <w:sz w:val="22"/>
          <w:szCs w:val="22"/>
        </w:rPr>
      </w:pPr>
      <w:r w:rsidRPr="004C6BB3">
        <w:rPr>
          <w:rFonts w:ascii="Arial" w:hAnsi="Arial" w:cs="Arial"/>
          <w:b/>
          <w:sz w:val="22"/>
          <w:szCs w:val="22"/>
          <w:u w:val="single"/>
        </w:rPr>
        <w:t xml:space="preserve">Point </w:t>
      </w:r>
      <w:r w:rsidR="001D4F0D" w:rsidRPr="004C6BB3">
        <w:rPr>
          <w:rFonts w:ascii="Arial" w:hAnsi="Arial" w:cs="Arial"/>
          <w:b/>
          <w:sz w:val="22"/>
          <w:szCs w:val="22"/>
          <w:u w:val="single"/>
        </w:rPr>
        <w:t>8</w:t>
      </w:r>
      <w:r w:rsidRPr="004C6BB3">
        <w:rPr>
          <w:rFonts w:ascii="Arial" w:hAnsi="Arial" w:cs="Arial"/>
          <w:b/>
          <w:sz w:val="22"/>
          <w:szCs w:val="22"/>
          <w:u w:val="single"/>
        </w:rPr>
        <w:t xml:space="preserve"> de l’ordre du jour provisoire</w:t>
      </w:r>
      <w:r w:rsidRPr="0070732F">
        <w:rPr>
          <w:rFonts w:ascii="Arial" w:hAnsi="Arial" w:cs="Arial"/>
          <w:b/>
          <w:sz w:val="22"/>
          <w:szCs w:val="22"/>
        </w:rPr>
        <w:t> </w:t>
      </w:r>
      <w:r w:rsidRPr="004C6BB3">
        <w:rPr>
          <w:rFonts w:ascii="Arial" w:hAnsi="Arial" w:cs="Arial"/>
          <w:b/>
          <w:sz w:val="22"/>
          <w:szCs w:val="22"/>
        </w:rPr>
        <w:t>:</w:t>
      </w:r>
    </w:p>
    <w:p w14:paraId="43FB4B6D" w14:textId="4517A8D9" w:rsidR="00BC3420" w:rsidRPr="00122856" w:rsidRDefault="00F5747D" w:rsidP="00E333A5">
      <w:pPr>
        <w:pStyle w:val="NoSpacing"/>
        <w:spacing w:after="840"/>
        <w:jc w:val="center"/>
        <w:rPr>
          <w:rFonts w:ascii="Arial" w:hAnsi="Arial" w:cs="Arial"/>
          <w:b/>
          <w:sz w:val="22"/>
          <w:szCs w:val="22"/>
        </w:rPr>
      </w:pPr>
      <w:r w:rsidRPr="004C6BB3">
        <w:rPr>
          <w:rFonts w:ascii="Arial" w:hAnsi="Arial" w:cs="Arial"/>
          <w:b/>
          <w:sz w:val="22"/>
          <w:szCs w:val="22"/>
        </w:rPr>
        <w:t>Projet de plan d’utilisation des ressources du Fonds du patrimoine culturel immatériel</w:t>
      </w:r>
      <w:r w:rsidR="001D4F0D" w:rsidRPr="004C6BB3">
        <w:rPr>
          <w:rFonts w:ascii="Arial" w:hAnsi="Arial" w:cs="Arial"/>
          <w:b/>
          <w:sz w:val="22"/>
          <w:szCs w:val="22"/>
        </w:rPr>
        <w:br/>
      </w:r>
      <w:r w:rsidRPr="004C6BB3">
        <w:rPr>
          <w:rFonts w:ascii="Arial" w:hAnsi="Arial" w:cs="Arial"/>
          <w:b/>
          <w:sz w:val="22"/>
          <w:szCs w:val="22"/>
        </w:rPr>
        <w:t>e</w:t>
      </w:r>
      <w:r w:rsidR="001D4F0D" w:rsidRPr="004C6BB3">
        <w:rPr>
          <w:rFonts w:ascii="Arial" w:hAnsi="Arial" w:cs="Arial"/>
          <w:b/>
          <w:sz w:val="22"/>
          <w:szCs w:val="22"/>
        </w:rPr>
        <w:t>n 2016</w:t>
      </w:r>
      <w:r w:rsidR="0096485B">
        <w:rPr>
          <w:rFonts w:ascii="Arial" w:hAnsi="Arial" w:cs="Arial"/>
          <w:b/>
          <w:sz w:val="22"/>
          <w:szCs w:val="22"/>
        </w:rPr>
        <w:t>-</w:t>
      </w:r>
      <w:r w:rsidR="001D4F0D" w:rsidRPr="004C6BB3">
        <w:rPr>
          <w:rFonts w:ascii="Arial" w:hAnsi="Arial" w:cs="Arial"/>
          <w:b/>
          <w:sz w:val="22"/>
          <w:szCs w:val="22"/>
        </w:rPr>
        <w:t>2017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122856" w14:paraId="7D08FBD3" w14:textId="77777777" w:rsidTr="0019264E">
        <w:trPr>
          <w:jc w:val="center"/>
        </w:trPr>
        <w:tc>
          <w:tcPr>
            <w:tcW w:w="7825" w:type="dxa"/>
            <w:vAlign w:val="center"/>
          </w:tcPr>
          <w:p w14:paraId="1A897290" w14:textId="77777777" w:rsidR="00BC3420" w:rsidRPr="00122856" w:rsidRDefault="00BC3420" w:rsidP="0019264E">
            <w:pPr>
              <w:pStyle w:val="Sansinterligne1"/>
              <w:spacing w:before="200" w:after="200"/>
              <w:jc w:val="center"/>
              <w:rPr>
                <w:rFonts w:ascii="Arial" w:hAnsi="Arial" w:cs="Arial"/>
                <w:b/>
                <w:sz w:val="22"/>
                <w:szCs w:val="22"/>
              </w:rPr>
            </w:pPr>
            <w:r w:rsidRPr="00122856">
              <w:rPr>
                <w:rFonts w:ascii="Arial" w:hAnsi="Arial" w:cs="Arial"/>
                <w:b/>
                <w:sz w:val="22"/>
                <w:szCs w:val="22"/>
              </w:rPr>
              <w:t>Résumé</w:t>
            </w:r>
          </w:p>
          <w:p w14:paraId="25FCC040" w14:textId="45F41D5D" w:rsidR="001D4F0D" w:rsidRPr="00122856" w:rsidRDefault="003273FC" w:rsidP="001D4F0D">
            <w:pPr>
              <w:pStyle w:val="Sansinterligne2"/>
              <w:spacing w:before="200" w:after="200"/>
              <w:jc w:val="both"/>
              <w:rPr>
                <w:rFonts w:ascii="Arial" w:hAnsi="Arial" w:cs="Arial"/>
                <w:sz w:val="22"/>
                <w:szCs w:val="22"/>
              </w:rPr>
            </w:pPr>
            <w:r w:rsidRPr="00122856">
              <w:rPr>
                <w:rFonts w:ascii="Arial" w:hAnsi="Arial" w:cs="Arial"/>
                <w:sz w:val="22"/>
                <w:szCs w:val="22"/>
              </w:rPr>
              <w:t xml:space="preserve">La </w:t>
            </w:r>
            <w:r w:rsidR="00EC398F" w:rsidRPr="00122856">
              <w:rPr>
                <w:rFonts w:ascii="Arial" w:hAnsi="Arial" w:cs="Arial"/>
                <w:sz w:val="22"/>
                <w:szCs w:val="22"/>
              </w:rPr>
              <w:t>Partie </w:t>
            </w:r>
            <w:r w:rsidR="001D4F0D" w:rsidRPr="00122856">
              <w:rPr>
                <w:rFonts w:ascii="Arial" w:hAnsi="Arial" w:cs="Arial"/>
                <w:sz w:val="22"/>
                <w:szCs w:val="22"/>
              </w:rPr>
              <w:t xml:space="preserve">I </w:t>
            </w:r>
            <w:r w:rsidRPr="00122856">
              <w:rPr>
                <w:rFonts w:ascii="Arial" w:hAnsi="Arial" w:cs="Arial"/>
                <w:sz w:val="22"/>
                <w:szCs w:val="22"/>
              </w:rPr>
              <w:t>du</w:t>
            </w:r>
            <w:r w:rsidR="001D4F0D" w:rsidRPr="00122856">
              <w:rPr>
                <w:rFonts w:ascii="Arial" w:hAnsi="Arial" w:cs="Arial"/>
                <w:sz w:val="22"/>
                <w:szCs w:val="22"/>
              </w:rPr>
              <w:t xml:space="preserve"> documen</w:t>
            </w:r>
            <w:r w:rsidR="00504A78" w:rsidRPr="00122856">
              <w:rPr>
                <w:rFonts w:ascii="Arial" w:hAnsi="Arial" w:cs="Arial"/>
                <w:sz w:val="22"/>
                <w:szCs w:val="22"/>
              </w:rPr>
              <w:t xml:space="preserve">t </w:t>
            </w:r>
            <w:r w:rsidRPr="00122856">
              <w:rPr>
                <w:rFonts w:ascii="Arial" w:hAnsi="Arial" w:cs="Arial"/>
                <w:sz w:val="22"/>
                <w:szCs w:val="22"/>
              </w:rPr>
              <w:t xml:space="preserve">rend compte de l’utilisation du Fonds du patrimoine culturel immatériel </w:t>
            </w:r>
            <w:r w:rsidR="004A7C31" w:rsidRPr="00122856">
              <w:rPr>
                <w:rFonts w:ascii="Arial" w:hAnsi="Arial" w:cs="Arial"/>
                <w:sz w:val="22"/>
                <w:szCs w:val="22"/>
              </w:rPr>
              <w:t>et</w:t>
            </w:r>
            <w:r w:rsidR="00504A78" w:rsidRPr="00122856">
              <w:rPr>
                <w:rFonts w:ascii="Arial" w:hAnsi="Arial" w:cs="Arial"/>
                <w:sz w:val="22"/>
                <w:szCs w:val="22"/>
              </w:rPr>
              <w:t xml:space="preserve"> </w:t>
            </w:r>
            <w:r w:rsidRPr="00122856">
              <w:rPr>
                <w:rFonts w:ascii="Arial" w:hAnsi="Arial" w:cs="Arial"/>
                <w:sz w:val="22"/>
                <w:szCs w:val="22"/>
              </w:rPr>
              <w:t>présente, en annexe</w:t>
            </w:r>
            <w:r w:rsidR="001D4F0D" w:rsidRPr="00122856">
              <w:rPr>
                <w:rFonts w:ascii="Arial" w:hAnsi="Arial" w:cs="Arial"/>
                <w:sz w:val="22"/>
                <w:szCs w:val="22"/>
              </w:rPr>
              <w:t xml:space="preserve"> II, </w:t>
            </w:r>
            <w:r w:rsidRPr="00122856">
              <w:rPr>
                <w:rFonts w:ascii="Arial" w:hAnsi="Arial" w:cs="Arial"/>
                <w:sz w:val="22"/>
                <w:szCs w:val="22"/>
              </w:rPr>
              <w:t xml:space="preserve">le rapport financier pour la </w:t>
            </w:r>
            <w:r w:rsidR="000B3139" w:rsidRPr="00122856">
              <w:rPr>
                <w:rFonts w:ascii="Arial" w:hAnsi="Arial" w:cs="Arial"/>
                <w:sz w:val="22"/>
                <w:szCs w:val="22"/>
              </w:rPr>
              <w:t>période du 1</w:t>
            </w:r>
            <w:r w:rsidR="000B3139" w:rsidRPr="00122856">
              <w:rPr>
                <w:rFonts w:ascii="Arial" w:hAnsi="Arial" w:cs="Arial"/>
                <w:sz w:val="22"/>
                <w:szCs w:val="22"/>
                <w:vertAlign w:val="superscript"/>
              </w:rPr>
              <w:t>er</w:t>
            </w:r>
            <w:r w:rsidR="0096485B">
              <w:rPr>
                <w:rFonts w:ascii="Arial" w:hAnsi="Arial" w:cs="Arial"/>
                <w:sz w:val="22"/>
                <w:szCs w:val="22"/>
              </w:rPr>
              <w:t> </w:t>
            </w:r>
            <w:r w:rsidR="000B3139" w:rsidRPr="00122856">
              <w:rPr>
                <w:rFonts w:ascii="Arial" w:hAnsi="Arial" w:cs="Arial"/>
                <w:sz w:val="22"/>
                <w:szCs w:val="22"/>
              </w:rPr>
              <w:t xml:space="preserve">janvier </w:t>
            </w:r>
            <w:r w:rsidR="00E333A5" w:rsidRPr="00122856">
              <w:rPr>
                <w:rFonts w:ascii="Arial" w:hAnsi="Arial" w:cs="Arial"/>
                <w:sz w:val="22"/>
                <w:szCs w:val="22"/>
              </w:rPr>
              <w:t xml:space="preserve">2014 </w:t>
            </w:r>
            <w:r w:rsidR="000B3139" w:rsidRPr="00122856">
              <w:rPr>
                <w:rFonts w:ascii="Arial" w:hAnsi="Arial" w:cs="Arial"/>
                <w:sz w:val="22"/>
                <w:szCs w:val="22"/>
              </w:rPr>
              <w:t>au</w:t>
            </w:r>
            <w:r w:rsidR="001D4F0D" w:rsidRPr="00122856">
              <w:rPr>
                <w:rFonts w:ascii="Arial" w:hAnsi="Arial" w:cs="Arial"/>
                <w:sz w:val="22"/>
                <w:szCs w:val="22"/>
              </w:rPr>
              <w:t xml:space="preserve"> 31 </w:t>
            </w:r>
            <w:r w:rsidR="000B3139" w:rsidRPr="00122856">
              <w:rPr>
                <w:rFonts w:ascii="Arial" w:hAnsi="Arial" w:cs="Arial"/>
                <w:sz w:val="22"/>
                <w:szCs w:val="22"/>
              </w:rPr>
              <w:t>août</w:t>
            </w:r>
            <w:r w:rsidR="001D4F0D" w:rsidRPr="00122856">
              <w:rPr>
                <w:rFonts w:ascii="Arial" w:hAnsi="Arial" w:cs="Arial"/>
                <w:sz w:val="22"/>
                <w:szCs w:val="22"/>
              </w:rPr>
              <w:t xml:space="preserve"> 2015 </w:t>
            </w:r>
            <w:r w:rsidR="000B3139" w:rsidRPr="00122856">
              <w:rPr>
                <w:rFonts w:ascii="Arial" w:hAnsi="Arial" w:cs="Arial"/>
                <w:sz w:val="22"/>
                <w:szCs w:val="22"/>
              </w:rPr>
              <w:t>é</w:t>
            </w:r>
            <w:r w:rsidR="001D4F0D" w:rsidRPr="00122856">
              <w:rPr>
                <w:rFonts w:ascii="Arial" w:hAnsi="Arial" w:cs="Arial"/>
                <w:sz w:val="22"/>
                <w:szCs w:val="22"/>
              </w:rPr>
              <w:t>tabli</w:t>
            </w:r>
            <w:r w:rsidR="000B3139" w:rsidRPr="00122856">
              <w:rPr>
                <w:rFonts w:ascii="Arial" w:hAnsi="Arial" w:cs="Arial"/>
                <w:sz w:val="22"/>
                <w:szCs w:val="22"/>
              </w:rPr>
              <w:t xml:space="preserve"> par le Bureau de la gestion financière</w:t>
            </w:r>
            <w:r w:rsidR="001D4F0D" w:rsidRPr="00122856">
              <w:rPr>
                <w:rFonts w:ascii="Arial" w:hAnsi="Arial" w:cs="Arial"/>
                <w:sz w:val="22"/>
                <w:szCs w:val="22"/>
              </w:rPr>
              <w:t xml:space="preserve"> (BFM).</w:t>
            </w:r>
          </w:p>
          <w:p w14:paraId="6C682B18" w14:textId="49D29D1E" w:rsidR="00BC3420" w:rsidRPr="00122856" w:rsidRDefault="000B3139" w:rsidP="001D4F0D">
            <w:pPr>
              <w:pStyle w:val="Sansinterligne1"/>
              <w:jc w:val="both"/>
              <w:rPr>
                <w:rFonts w:ascii="Arial" w:hAnsi="Arial" w:cs="Arial"/>
                <w:bCs/>
                <w:sz w:val="22"/>
                <w:szCs w:val="22"/>
              </w:rPr>
            </w:pPr>
            <w:r w:rsidRPr="00122856">
              <w:rPr>
                <w:rFonts w:ascii="Arial" w:hAnsi="Arial" w:cs="Arial"/>
                <w:sz w:val="22"/>
                <w:szCs w:val="22"/>
              </w:rPr>
              <w:t xml:space="preserve">La </w:t>
            </w:r>
            <w:r w:rsidR="001D4F0D" w:rsidRPr="00122856">
              <w:rPr>
                <w:rFonts w:ascii="Arial" w:hAnsi="Arial" w:cs="Arial"/>
                <w:sz w:val="22"/>
                <w:szCs w:val="22"/>
              </w:rPr>
              <w:t>Part</w:t>
            </w:r>
            <w:r w:rsidRPr="00122856">
              <w:rPr>
                <w:rFonts w:ascii="Arial" w:hAnsi="Arial" w:cs="Arial"/>
                <w:sz w:val="22"/>
                <w:szCs w:val="22"/>
              </w:rPr>
              <w:t>ie</w:t>
            </w:r>
            <w:r w:rsidR="001D4F0D" w:rsidRPr="00122856">
              <w:rPr>
                <w:rFonts w:ascii="Arial" w:hAnsi="Arial" w:cs="Arial"/>
                <w:sz w:val="22"/>
                <w:szCs w:val="22"/>
              </w:rPr>
              <w:t xml:space="preserve"> II pr</w:t>
            </w:r>
            <w:r w:rsidRPr="00122856">
              <w:rPr>
                <w:rFonts w:ascii="Arial" w:hAnsi="Arial" w:cs="Arial"/>
                <w:sz w:val="22"/>
                <w:szCs w:val="22"/>
              </w:rPr>
              <w:t>é</w:t>
            </w:r>
            <w:r w:rsidR="001D4F0D" w:rsidRPr="00122856">
              <w:rPr>
                <w:rFonts w:ascii="Arial" w:hAnsi="Arial" w:cs="Arial"/>
                <w:sz w:val="22"/>
                <w:szCs w:val="22"/>
              </w:rPr>
              <w:t>sent</w:t>
            </w:r>
            <w:r w:rsidRPr="00122856">
              <w:rPr>
                <w:rFonts w:ascii="Arial" w:hAnsi="Arial" w:cs="Arial"/>
                <w:sz w:val="22"/>
                <w:szCs w:val="22"/>
              </w:rPr>
              <w:t xml:space="preserve">e le projet de plan d’utilisation des ressources du Fonds du patrimoine culturel immatériel pour la période </w:t>
            </w:r>
            <w:r w:rsidR="001D4F0D" w:rsidRPr="00122856">
              <w:rPr>
                <w:rFonts w:ascii="Arial" w:hAnsi="Arial" w:cs="Arial"/>
                <w:sz w:val="22"/>
                <w:szCs w:val="22"/>
              </w:rPr>
              <w:t>2016</w:t>
            </w:r>
            <w:r w:rsidRPr="00122856">
              <w:rPr>
                <w:rFonts w:ascii="Arial" w:hAnsi="Arial" w:cs="Arial"/>
                <w:sz w:val="22"/>
                <w:szCs w:val="22"/>
              </w:rPr>
              <w:t>-</w:t>
            </w:r>
            <w:r w:rsidR="001D4F0D" w:rsidRPr="00122856">
              <w:rPr>
                <w:rFonts w:ascii="Arial" w:hAnsi="Arial" w:cs="Arial"/>
                <w:sz w:val="22"/>
                <w:szCs w:val="22"/>
              </w:rPr>
              <w:t xml:space="preserve">2017 </w:t>
            </w:r>
            <w:r w:rsidRPr="00122856">
              <w:rPr>
                <w:rFonts w:ascii="Arial" w:hAnsi="Arial" w:cs="Arial"/>
                <w:sz w:val="22"/>
                <w:szCs w:val="22"/>
              </w:rPr>
              <w:t xml:space="preserve">et le premier semestre </w:t>
            </w:r>
            <w:r w:rsidR="001D4F0D" w:rsidRPr="00122856">
              <w:rPr>
                <w:rFonts w:ascii="Arial" w:hAnsi="Arial" w:cs="Arial"/>
                <w:sz w:val="22"/>
                <w:szCs w:val="22"/>
              </w:rPr>
              <w:t>2018, inclu</w:t>
            </w:r>
            <w:r w:rsidRPr="00122856">
              <w:rPr>
                <w:rFonts w:ascii="Arial" w:hAnsi="Arial" w:cs="Arial"/>
                <w:sz w:val="22"/>
                <w:szCs w:val="22"/>
              </w:rPr>
              <w:t xml:space="preserve">s en </w:t>
            </w:r>
            <w:r w:rsidR="00EC398F" w:rsidRPr="00122856">
              <w:rPr>
                <w:rFonts w:ascii="Arial" w:hAnsi="Arial" w:cs="Arial"/>
                <w:sz w:val="22"/>
                <w:szCs w:val="22"/>
              </w:rPr>
              <w:t>annexe </w:t>
            </w:r>
            <w:r w:rsidR="001D4F0D" w:rsidRPr="00122856">
              <w:rPr>
                <w:rFonts w:ascii="Arial" w:hAnsi="Arial" w:cs="Arial"/>
                <w:sz w:val="22"/>
                <w:szCs w:val="22"/>
              </w:rPr>
              <w:t xml:space="preserve">I, </w:t>
            </w:r>
            <w:r w:rsidR="00EC398F" w:rsidRPr="00122856">
              <w:rPr>
                <w:rFonts w:ascii="Arial" w:hAnsi="Arial" w:cs="Arial"/>
                <w:sz w:val="22"/>
                <w:szCs w:val="22"/>
              </w:rPr>
              <w:t>qui sera soumis à l’Assemblée générale pour approbation.</w:t>
            </w:r>
          </w:p>
          <w:p w14:paraId="734A1B5F" w14:textId="77777777" w:rsidR="00BC3420" w:rsidRPr="00122856" w:rsidRDefault="00BC3420" w:rsidP="001D4F0D">
            <w:pPr>
              <w:pStyle w:val="Sansinterligne2"/>
              <w:spacing w:before="200" w:after="200"/>
              <w:ind w:right="284"/>
              <w:jc w:val="both"/>
              <w:rPr>
                <w:rFonts w:ascii="Arial" w:hAnsi="Arial" w:cs="Arial"/>
                <w:b/>
                <w:sz w:val="22"/>
                <w:szCs w:val="22"/>
              </w:rPr>
            </w:pPr>
            <w:r w:rsidRPr="00122856">
              <w:rPr>
                <w:rFonts w:ascii="Arial" w:hAnsi="Arial" w:cs="Arial"/>
                <w:b/>
                <w:sz w:val="22"/>
                <w:szCs w:val="22"/>
              </w:rPr>
              <w:t xml:space="preserve">Décision requise : </w:t>
            </w:r>
            <w:r w:rsidRPr="00122856">
              <w:rPr>
                <w:rFonts w:ascii="Arial" w:hAnsi="Arial" w:cs="Arial"/>
                <w:bCs/>
                <w:sz w:val="22"/>
                <w:szCs w:val="22"/>
              </w:rPr>
              <w:t xml:space="preserve">paragraphe </w:t>
            </w:r>
            <w:r w:rsidR="001D4F0D" w:rsidRPr="00122856">
              <w:rPr>
                <w:rFonts w:ascii="Arial" w:hAnsi="Arial" w:cs="Arial"/>
                <w:bCs/>
                <w:sz w:val="22"/>
                <w:szCs w:val="22"/>
              </w:rPr>
              <w:t>32</w:t>
            </w:r>
          </w:p>
        </w:tc>
      </w:tr>
    </w:tbl>
    <w:p w14:paraId="5CB1D8A5" w14:textId="5BEDB43B" w:rsidR="001D4F0D" w:rsidRPr="00122856" w:rsidRDefault="00BC3420" w:rsidP="00E333A5">
      <w:pPr>
        <w:pStyle w:val="Heading4"/>
        <w:keepLines/>
        <w:tabs>
          <w:tab w:val="left" w:pos="567"/>
        </w:tabs>
        <w:snapToGrid w:val="0"/>
        <w:spacing w:before="240"/>
        <w:ind w:left="567" w:hanging="567"/>
        <w:contextualSpacing w:val="0"/>
        <w:jc w:val="both"/>
        <w:rPr>
          <w:rFonts w:cs="Times New Roman"/>
          <w:bCs/>
          <w:snapToGrid w:val="0"/>
          <w:szCs w:val="24"/>
          <w:lang w:eastAsia="en-US"/>
        </w:rPr>
      </w:pPr>
      <w:r w:rsidRPr="00122856">
        <w:br w:type="page"/>
      </w:r>
      <w:r w:rsidR="00DF4467">
        <w:lastRenderedPageBreak/>
        <w:t>I.</w:t>
      </w:r>
      <w:r w:rsidR="00DF4467">
        <w:tab/>
      </w:r>
      <w:r w:rsidR="001D4F0D" w:rsidRPr="00122856">
        <w:rPr>
          <w:rFonts w:cs="Times New Roman"/>
          <w:bCs/>
          <w:snapToGrid w:val="0"/>
          <w:szCs w:val="24"/>
          <w:lang w:eastAsia="en-US"/>
        </w:rPr>
        <w:t>R</w:t>
      </w:r>
      <w:r w:rsidR="0077778B" w:rsidRPr="00122856">
        <w:rPr>
          <w:rFonts w:cs="Times New Roman"/>
          <w:bCs/>
          <w:snapToGrid w:val="0"/>
          <w:szCs w:val="24"/>
          <w:lang w:eastAsia="en-US"/>
        </w:rPr>
        <w:t>AP</w:t>
      </w:r>
      <w:r w:rsidR="001D4F0D" w:rsidRPr="00122856">
        <w:rPr>
          <w:rFonts w:cs="Times New Roman"/>
          <w:bCs/>
          <w:snapToGrid w:val="0"/>
          <w:szCs w:val="24"/>
          <w:lang w:eastAsia="en-US"/>
        </w:rPr>
        <w:t xml:space="preserve">PORT </w:t>
      </w:r>
      <w:r w:rsidR="0077778B" w:rsidRPr="00122856">
        <w:rPr>
          <w:rFonts w:cs="Times New Roman"/>
          <w:bCs/>
          <w:snapToGrid w:val="0"/>
          <w:szCs w:val="24"/>
          <w:lang w:eastAsia="en-US"/>
        </w:rPr>
        <w:t>SUR L’EXÉCUTION DU PLAN D’UTILISATION DES RESSOURCES DU FONDS DU PATRIMOINE CULTUREL IMMATÉRIEL POUR LA PÉRIODE DU 1</w:t>
      </w:r>
      <w:r w:rsidR="0077778B" w:rsidRPr="00122856">
        <w:rPr>
          <w:rFonts w:cs="Times New Roman"/>
          <w:bCs/>
          <w:snapToGrid w:val="0"/>
          <w:szCs w:val="24"/>
          <w:vertAlign w:val="superscript"/>
          <w:lang w:eastAsia="en-US"/>
        </w:rPr>
        <w:t>ER</w:t>
      </w:r>
      <w:r w:rsidR="004A7C31" w:rsidRPr="00122856">
        <w:rPr>
          <w:rFonts w:cs="Times New Roman"/>
          <w:bCs/>
          <w:snapToGrid w:val="0"/>
          <w:szCs w:val="24"/>
          <w:vertAlign w:val="superscript"/>
          <w:lang w:eastAsia="en-US"/>
        </w:rPr>
        <w:t> </w:t>
      </w:r>
      <w:r w:rsidR="0077778B" w:rsidRPr="00122856">
        <w:rPr>
          <w:rFonts w:cs="Times New Roman"/>
          <w:bCs/>
          <w:snapToGrid w:val="0"/>
          <w:szCs w:val="24"/>
          <w:lang w:eastAsia="en-US"/>
        </w:rPr>
        <w:t>JANVIER 2014 AU 31 AOÛT 2015</w:t>
      </w:r>
    </w:p>
    <w:p w14:paraId="2DD109AF" w14:textId="11C81A34" w:rsidR="00BC3420" w:rsidRPr="00122856" w:rsidRDefault="0077778B" w:rsidP="00E333A5">
      <w:pPr>
        <w:pStyle w:val="COMParabodytext"/>
        <w:rPr>
          <w:lang w:val="fr-FR"/>
        </w:rPr>
      </w:pPr>
      <w:r w:rsidRPr="00122856">
        <w:rPr>
          <w:lang w:val="fr-FR"/>
        </w:rPr>
        <w:t xml:space="preserve">Conformément à l’article 25.3 de la Convention, les revenus du Compte spécial du patrimoine culturel immatériel (ci-après dénommé le « Fonds ») sont constitués par : a) les contributions des États parties à la Convention ; b) les fonds alloués à cette fin par la Conférence générale de l’UNESCO ; c) les versements, dons ou legs que pourront faire d’autres États, organisations et programmes du système des Nations Unies, notamment le Programme des Nations Unies pour le développement, ainsi que d’autres organisations internationales et organismes publics ou privés ou des personnes privées ; d) tout intérêt dû sur les ressources du Fonds ; e) le produit des collectes et les recettes des manifestations organisées au profit du Fonds ; f) toutes autres ressources autorisées par le règlement du Fonds, </w:t>
      </w:r>
      <w:r w:rsidR="00EC398F" w:rsidRPr="00122856">
        <w:rPr>
          <w:lang w:val="fr-FR"/>
        </w:rPr>
        <w:t>élaboré par le</w:t>
      </w:r>
      <w:r w:rsidRPr="00122856">
        <w:rPr>
          <w:lang w:val="fr-FR"/>
        </w:rPr>
        <w:t xml:space="preserve"> Comité. Ce règlement se trouve dans le Règlement financier du Compte spécial pour le Fonds pour la sauvegarde du patrimoine culturel immatériel, adopté par le Comité à sa première session extraordinaire </w:t>
      </w:r>
      <w:r w:rsidR="00E80C79" w:rsidRPr="00122856">
        <w:rPr>
          <w:lang w:val="fr-FR"/>
        </w:rPr>
        <w:t>(</w:t>
      </w:r>
      <w:hyperlink r:id="rId8" w:history="1">
        <w:r w:rsidR="00E80C79" w:rsidRPr="00122856">
          <w:rPr>
            <w:rStyle w:val="Hyperlink"/>
            <w:lang w:val="fr-FR"/>
          </w:rPr>
          <w:t>décision 1.EXT.COM 9</w:t>
        </w:r>
      </w:hyperlink>
      <w:r w:rsidR="00E80C79" w:rsidRPr="00122856">
        <w:rPr>
          <w:lang w:val="fr-FR"/>
        </w:rPr>
        <w:t>)</w:t>
      </w:r>
      <w:r w:rsidRPr="00122856">
        <w:rPr>
          <w:lang w:val="fr-FR"/>
        </w:rPr>
        <w:t>. Les dépenses sont régies par le Plan d’utilisation des ressources du Fonds, adopté à chaque exercice biennal par l’Assemblée générale, ainsi que par d’autres décisions du Comité</w:t>
      </w:r>
      <w:r w:rsidR="007A64BA" w:rsidRPr="00122856">
        <w:rPr>
          <w:lang w:val="fr-FR"/>
        </w:rPr>
        <w:t xml:space="preserve">. </w:t>
      </w:r>
    </w:p>
    <w:p w14:paraId="476D4CF3" w14:textId="0976623D" w:rsidR="0057439C" w:rsidRPr="00122856" w:rsidRDefault="007F2772" w:rsidP="00E333A5">
      <w:pPr>
        <w:pStyle w:val="COMParabodytext"/>
        <w:rPr>
          <w:lang w:val="fr-FR"/>
        </w:rPr>
      </w:pPr>
      <w:r w:rsidRPr="00122856">
        <w:rPr>
          <w:lang w:val="fr-FR"/>
        </w:rPr>
        <w:t>Le rapport financier figurant à l’annexe II couvre la période du 1</w:t>
      </w:r>
      <w:r w:rsidRPr="00122856">
        <w:rPr>
          <w:vertAlign w:val="superscript"/>
          <w:lang w:val="fr-FR"/>
        </w:rPr>
        <w:t>er</w:t>
      </w:r>
      <w:r w:rsidRPr="00122856">
        <w:rPr>
          <w:lang w:val="fr-FR"/>
        </w:rPr>
        <w:t xml:space="preserve"> janvier 2014 au 31 août 2015, pendant laquelle le Fonds du patrimoine culturel immatériel a été utilisé conformément au Plan approuvé par la</w:t>
      </w:r>
      <w:r w:rsidR="00CA4045" w:rsidRPr="00122856">
        <w:rPr>
          <w:lang w:val="fr-FR"/>
        </w:rPr>
        <w:t xml:space="preserve"> </w:t>
      </w:r>
      <w:r w:rsidR="00583497" w:rsidRPr="00122856">
        <w:rPr>
          <w:lang w:val="fr-FR"/>
        </w:rPr>
        <w:t>cinquième</w:t>
      </w:r>
      <w:r w:rsidRPr="00122856">
        <w:rPr>
          <w:lang w:val="fr-FR"/>
        </w:rPr>
        <w:t xml:space="preserve"> session de l’Assemblée générale en juin 201</w:t>
      </w:r>
      <w:r w:rsidR="00583497" w:rsidRPr="00122856">
        <w:rPr>
          <w:lang w:val="fr-FR"/>
        </w:rPr>
        <w:t>4</w:t>
      </w:r>
      <w:r w:rsidRPr="00122856">
        <w:rPr>
          <w:lang w:val="fr-FR"/>
        </w:rPr>
        <w:t xml:space="preserve"> </w:t>
      </w:r>
      <w:r w:rsidR="00CA4045" w:rsidRPr="00122856">
        <w:rPr>
          <w:lang w:val="fr-FR"/>
        </w:rPr>
        <w:t>(</w:t>
      </w:r>
      <w:hyperlink r:id="rId9" w:history="1">
        <w:r w:rsidR="00CA4045" w:rsidRPr="00122856">
          <w:rPr>
            <w:rStyle w:val="Hyperlink"/>
            <w:lang w:val="fr-FR"/>
          </w:rPr>
          <w:t>résolution 5.GA 7</w:t>
        </w:r>
      </w:hyperlink>
      <w:r w:rsidR="00CA4045" w:rsidRPr="00122856">
        <w:rPr>
          <w:lang w:val="fr-FR"/>
        </w:rPr>
        <w:t xml:space="preserve">). </w:t>
      </w:r>
      <w:r w:rsidRPr="00122856">
        <w:rPr>
          <w:lang w:val="fr-FR"/>
        </w:rPr>
        <w:t>Un rapport financier pour l’ensemble de l’exercice biennal (du 1</w:t>
      </w:r>
      <w:r w:rsidRPr="00122856">
        <w:rPr>
          <w:vertAlign w:val="superscript"/>
          <w:lang w:val="fr-FR"/>
        </w:rPr>
        <w:t>er</w:t>
      </w:r>
      <w:r w:rsidRPr="00122856">
        <w:rPr>
          <w:lang w:val="fr-FR"/>
        </w:rPr>
        <w:t> janvier 201</w:t>
      </w:r>
      <w:r w:rsidR="00CA4045" w:rsidRPr="00122856">
        <w:rPr>
          <w:lang w:val="fr-FR"/>
        </w:rPr>
        <w:t>4</w:t>
      </w:r>
      <w:r w:rsidRPr="00122856">
        <w:rPr>
          <w:lang w:val="fr-FR"/>
        </w:rPr>
        <w:t xml:space="preserve"> au 31 décembre 201</w:t>
      </w:r>
      <w:r w:rsidR="00CA4045" w:rsidRPr="00122856">
        <w:rPr>
          <w:lang w:val="fr-FR"/>
        </w:rPr>
        <w:t>5</w:t>
      </w:r>
      <w:r w:rsidRPr="00122856">
        <w:rPr>
          <w:lang w:val="fr-FR"/>
        </w:rPr>
        <w:t xml:space="preserve">) sera fourni à l’Assemblée générale des États parties lors de sa </w:t>
      </w:r>
      <w:r w:rsidR="00CA4045" w:rsidRPr="00122856">
        <w:rPr>
          <w:lang w:val="fr-FR"/>
        </w:rPr>
        <w:t>six</w:t>
      </w:r>
      <w:r w:rsidRPr="00122856">
        <w:rPr>
          <w:lang w:val="fr-FR"/>
        </w:rPr>
        <w:t>ième session.</w:t>
      </w:r>
    </w:p>
    <w:p w14:paraId="472DDFF7" w14:textId="799F0AD4" w:rsidR="0057439C" w:rsidRPr="00122856" w:rsidRDefault="007A64BA" w:rsidP="004E50B6">
      <w:pPr>
        <w:pStyle w:val="COMParabodytext"/>
        <w:numPr>
          <w:ilvl w:val="0"/>
          <w:numId w:val="0"/>
        </w:numPr>
        <w:spacing w:before="240"/>
        <w:rPr>
          <w:b/>
          <w:lang w:val="fr-FR"/>
        </w:rPr>
      </w:pPr>
      <w:r w:rsidRPr="00122856">
        <w:rPr>
          <w:b/>
          <w:lang w:val="fr-FR"/>
        </w:rPr>
        <w:t>A.</w:t>
      </w:r>
      <w:r w:rsidRPr="00122856">
        <w:rPr>
          <w:b/>
          <w:lang w:val="fr-FR"/>
        </w:rPr>
        <w:tab/>
      </w:r>
      <w:r w:rsidR="00154C47" w:rsidRPr="00122856">
        <w:rPr>
          <w:b/>
          <w:lang w:val="fr-FR"/>
        </w:rPr>
        <w:t>Revenus</w:t>
      </w:r>
      <w:r w:rsidRPr="00122856">
        <w:rPr>
          <w:b/>
          <w:lang w:val="fr-FR"/>
        </w:rPr>
        <w:t xml:space="preserve"> (</w:t>
      </w:r>
      <w:r w:rsidR="00EE57F4" w:rsidRPr="00122856">
        <w:rPr>
          <w:b/>
          <w:lang w:val="fr-FR"/>
        </w:rPr>
        <w:t>États</w:t>
      </w:r>
      <w:r w:rsidR="00154C47" w:rsidRPr="00122856">
        <w:rPr>
          <w:b/>
          <w:lang w:val="fr-FR"/>
        </w:rPr>
        <w:t xml:space="preserve"> financiers</w:t>
      </w:r>
      <w:r w:rsidRPr="00122856">
        <w:rPr>
          <w:b/>
          <w:lang w:val="fr-FR"/>
        </w:rPr>
        <w:t xml:space="preserve"> I, II </w:t>
      </w:r>
      <w:r w:rsidR="00154C47" w:rsidRPr="00122856">
        <w:rPr>
          <w:b/>
          <w:lang w:val="fr-FR"/>
        </w:rPr>
        <w:t>et</w:t>
      </w:r>
      <w:r w:rsidRPr="00122856">
        <w:rPr>
          <w:b/>
          <w:lang w:val="fr-FR"/>
        </w:rPr>
        <w:t xml:space="preserve"> III)</w:t>
      </w:r>
      <w:r w:rsidR="009E4968" w:rsidRPr="00122856">
        <w:rPr>
          <w:rStyle w:val="FootnoteReference"/>
          <w:b/>
          <w:lang w:val="fr-FR"/>
        </w:rPr>
        <w:footnoteReference w:id="2"/>
      </w:r>
    </w:p>
    <w:p w14:paraId="45F5F0D4" w14:textId="77777777" w:rsidR="007F6A93" w:rsidRPr="00122856" w:rsidRDefault="00154C47" w:rsidP="00E333A5">
      <w:pPr>
        <w:pStyle w:val="COMParabodytext"/>
        <w:rPr>
          <w:lang w:val="fr-FR"/>
        </w:rPr>
      </w:pPr>
      <w:r w:rsidRPr="00122856">
        <w:rPr>
          <w:lang w:val="fr-FR"/>
        </w:rPr>
        <w:t>Pendant la période considérée, les revenus du Fonds se composent </w:t>
      </w:r>
      <w:r w:rsidR="007F6A93" w:rsidRPr="00122856">
        <w:rPr>
          <w:lang w:val="fr-FR"/>
        </w:rPr>
        <w:t>:</w:t>
      </w:r>
    </w:p>
    <w:tbl>
      <w:tblPr>
        <w:tblW w:w="9072" w:type="dxa"/>
        <w:tblInd w:w="567" w:type="dxa"/>
        <w:tblLayout w:type="fixed"/>
        <w:tblLook w:val="04A0" w:firstRow="1" w:lastRow="0" w:firstColumn="1" w:lastColumn="0" w:noHBand="0" w:noVBand="1"/>
      </w:tblPr>
      <w:tblGrid>
        <w:gridCol w:w="7538"/>
        <w:gridCol w:w="1534"/>
      </w:tblGrid>
      <w:tr w:rsidR="007F6A93" w:rsidRPr="00122856" w14:paraId="0772AA75" w14:textId="77777777" w:rsidTr="006F2FBE">
        <w:trPr>
          <w:cantSplit/>
        </w:trPr>
        <w:tc>
          <w:tcPr>
            <w:tcW w:w="7538" w:type="dxa"/>
            <w:shd w:val="clear" w:color="auto" w:fill="auto"/>
            <w:vAlign w:val="center"/>
          </w:tcPr>
          <w:p w14:paraId="0724D6A7" w14:textId="77777777" w:rsidR="007F6A93" w:rsidRPr="006F2FBE" w:rsidRDefault="00154C47" w:rsidP="006F2FBE">
            <w:pPr>
              <w:pStyle w:val="COMParabodytext"/>
              <w:numPr>
                <w:ilvl w:val="0"/>
                <w:numId w:val="15"/>
              </w:numPr>
              <w:jc w:val="left"/>
              <w:rPr>
                <w:sz w:val="20"/>
                <w:szCs w:val="20"/>
                <w:lang w:val="fr-FR"/>
              </w:rPr>
            </w:pPr>
            <w:r w:rsidRPr="006F2FBE">
              <w:rPr>
                <w:sz w:val="20"/>
                <w:szCs w:val="20"/>
                <w:u w:val="single"/>
                <w:lang w:val="fr-FR"/>
              </w:rPr>
              <w:t xml:space="preserve">des contributions </w:t>
            </w:r>
            <w:r w:rsidR="008B6C93" w:rsidRPr="006F2FBE">
              <w:rPr>
                <w:sz w:val="20"/>
                <w:szCs w:val="20"/>
                <w:u w:val="single"/>
                <w:lang w:val="fr-FR"/>
              </w:rPr>
              <w:t xml:space="preserve">réglementaires </w:t>
            </w:r>
            <w:r w:rsidRPr="006F2FBE">
              <w:rPr>
                <w:sz w:val="20"/>
                <w:szCs w:val="20"/>
                <w:u w:val="single"/>
                <w:lang w:val="fr-FR"/>
              </w:rPr>
              <w:t xml:space="preserve">obligatoires et volontaires des </w:t>
            </w:r>
            <w:r w:rsidR="00EE57F4" w:rsidRPr="006F2FBE">
              <w:rPr>
                <w:sz w:val="20"/>
                <w:szCs w:val="20"/>
                <w:u w:val="single"/>
                <w:lang w:val="fr-FR"/>
              </w:rPr>
              <w:t>États</w:t>
            </w:r>
            <w:r w:rsidRPr="006F2FBE">
              <w:rPr>
                <w:sz w:val="20"/>
                <w:szCs w:val="20"/>
                <w:u w:val="single"/>
                <w:lang w:val="fr-FR"/>
              </w:rPr>
              <w:t xml:space="preserve"> parties</w:t>
            </w:r>
            <w:r w:rsidR="007F6A93" w:rsidRPr="006F2FBE">
              <w:rPr>
                <w:sz w:val="20"/>
                <w:szCs w:val="20"/>
                <w:vertAlign w:val="superscript"/>
                <w:lang w:val="fr-FR"/>
              </w:rPr>
              <w:footnoteReference w:id="3"/>
            </w:r>
          </w:p>
        </w:tc>
        <w:tc>
          <w:tcPr>
            <w:tcW w:w="1534" w:type="dxa"/>
            <w:shd w:val="clear" w:color="auto" w:fill="auto"/>
            <w:vAlign w:val="center"/>
          </w:tcPr>
          <w:p w14:paraId="2B4B6BC8" w14:textId="1B231182" w:rsidR="007F6A93" w:rsidRPr="006F2FBE" w:rsidRDefault="00154C47" w:rsidP="006F2FBE">
            <w:pPr>
              <w:pStyle w:val="COMParabodytext"/>
              <w:numPr>
                <w:ilvl w:val="0"/>
                <w:numId w:val="0"/>
              </w:numPr>
              <w:jc w:val="center"/>
              <w:rPr>
                <w:sz w:val="20"/>
                <w:szCs w:val="20"/>
                <w:lang w:val="fr-FR"/>
              </w:rPr>
            </w:pPr>
            <w:r w:rsidRPr="006F2FBE">
              <w:rPr>
                <w:sz w:val="20"/>
                <w:szCs w:val="20"/>
                <w:lang w:val="fr-FR"/>
              </w:rPr>
              <w:t>D</w:t>
            </w:r>
            <w:r w:rsidR="007F6A93" w:rsidRPr="006F2FBE">
              <w:rPr>
                <w:sz w:val="20"/>
                <w:szCs w:val="20"/>
                <w:lang w:val="fr-FR"/>
              </w:rPr>
              <w:t>ollars</w:t>
            </w:r>
            <w:r w:rsidRPr="006F2FBE">
              <w:rPr>
                <w:sz w:val="20"/>
                <w:szCs w:val="20"/>
                <w:lang w:val="fr-FR"/>
              </w:rPr>
              <w:t xml:space="preserve"> des </w:t>
            </w:r>
            <w:r w:rsidR="00EE57F4" w:rsidRPr="006F2FBE">
              <w:rPr>
                <w:sz w:val="20"/>
                <w:szCs w:val="20"/>
                <w:lang w:val="fr-FR"/>
              </w:rPr>
              <w:t>États-Unis</w:t>
            </w:r>
          </w:p>
        </w:tc>
      </w:tr>
      <w:tr w:rsidR="007F6A93" w:rsidRPr="00122856" w14:paraId="1FBD7806" w14:textId="77777777" w:rsidTr="006F2FBE">
        <w:trPr>
          <w:cantSplit/>
        </w:trPr>
        <w:tc>
          <w:tcPr>
            <w:tcW w:w="7538" w:type="dxa"/>
            <w:shd w:val="clear" w:color="auto" w:fill="auto"/>
            <w:vAlign w:val="center"/>
          </w:tcPr>
          <w:p w14:paraId="5501F2F7" w14:textId="77777777" w:rsidR="007F6A93" w:rsidRPr="006F2FBE" w:rsidRDefault="00927997" w:rsidP="006F2FBE">
            <w:pPr>
              <w:pStyle w:val="COMParabodytext"/>
              <w:numPr>
                <w:ilvl w:val="0"/>
                <w:numId w:val="0"/>
              </w:numPr>
              <w:jc w:val="left"/>
              <w:rPr>
                <w:sz w:val="20"/>
                <w:szCs w:val="20"/>
                <w:lang w:val="fr-FR"/>
              </w:rPr>
            </w:pPr>
            <w:r w:rsidRPr="006F2FBE">
              <w:rPr>
                <w:sz w:val="20"/>
                <w:szCs w:val="20"/>
                <w:lang w:val="fr-FR"/>
              </w:rPr>
              <w:t xml:space="preserve">Contributions obligatoires des 157 États parties à la Convention, </w:t>
            </w:r>
            <w:r w:rsidR="00771E2F" w:rsidRPr="006F2FBE">
              <w:rPr>
                <w:sz w:val="20"/>
                <w:szCs w:val="20"/>
                <w:lang w:val="fr-FR"/>
              </w:rPr>
              <w:t>telles que décrites</w:t>
            </w:r>
            <w:r w:rsidRPr="006F2FBE">
              <w:rPr>
                <w:sz w:val="20"/>
                <w:szCs w:val="20"/>
                <w:lang w:val="fr-FR"/>
              </w:rPr>
              <w:t xml:space="preserve"> à l’article 26.1 de la Convention</w:t>
            </w:r>
          </w:p>
        </w:tc>
        <w:tc>
          <w:tcPr>
            <w:tcW w:w="1534" w:type="dxa"/>
            <w:shd w:val="clear" w:color="auto" w:fill="auto"/>
            <w:vAlign w:val="center"/>
          </w:tcPr>
          <w:p w14:paraId="46D2CADE" w14:textId="77777777" w:rsidR="007F6A93" w:rsidRPr="006F2FBE" w:rsidRDefault="007F6A93" w:rsidP="006F2FBE">
            <w:pPr>
              <w:pStyle w:val="COMParabodytext"/>
              <w:numPr>
                <w:ilvl w:val="0"/>
                <w:numId w:val="0"/>
              </w:numPr>
              <w:jc w:val="right"/>
              <w:rPr>
                <w:sz w:val="20"/>
                <w:szCs w:val="20"/>
                <w:lang w:val="fr-FR"/>
              </w:rPr>
            </w:pPr>
            <w:r w:rsidRPr="006F2FBE">
              <w:rPr>
                <w:sz w:val="20"/>
                <w:szCs w:val="20"/>
                <w:lang w:val="fr-FR"/>
              </w:rPr>
              <w:t>3</w:t>
            </w:r>
            <w:r w:rsidR="00927997" w:rsidRPr="006F2FBE">
              <w:rPr>
                <w:sz w:val="20"/>
                <w:szCs w:val="20"/>
                <w:lang w:val="fr-FR"/>
              </w:rPr>
              <w:t> </w:t>
            </w:r>
            <w:r w:rsidRPr="006F2FBE">
              <w:rPr>
                <w:sz w:val="20"/>
                <w:szCs w:val="20"/>
                <w:lang w:val="fr-FR"/>
              </w:rPr>
              <w:t>524</w:t>
            </w:r>
            <w:r w:rsidR="00927997" w:rsidRPr="006F2FBE">
              <w:rPr>
                <w:sz w:val="20"/>
                <w:szCs w:val="20"/>
                <w:lang w:val="fr-FR"/>
              </w:rPr>
              <w:t> </w:t>
            </w:r>
            <w:r w:rsidRPr="006F2FBE">
              <w:rPr>
                <w:sz w:val="20"/>
                <w:szCs w:val="20"/>
                <w:lang w:val="fr-FR"/>
              </w:rPr>
              <w:t>849</w:t>
            </w:r>
          </w:p>
        </w:tc>
      </w:tr>
      <w:tr w:rsidR="007F6A93" w:rsidRPr="00122856" w14:paraId="4F99FF21" w14:textId="77777777" w:rsidTr="006F2FBE">
        <w:trPr>
          <w:cantSplit/>
        </w:trPr>
        <w:tc>
          <w:tcPr>
            <w:tcW w:w="7538" w:type="dxa"/>
            <w:shd w:val="clear" w:color="auto" w:fill="auto"/>
            <w:vAlign w:val="center"/>
          </w:tcPr>
          <w:p w14:paraId="42B23BB2" w14:textId="77777777" w:rsidR="007F6A93" w:rsidRPr="006F2FBE" w:rsidRDefault="00927997" w:rsidP="006F2FBE">
            <w:pPr>
              <w:pStyle w:val="COMParabodytext"/>
              <w:numPr>
                <w:ilvl w:val="0"/>
                <w:numId w:val="0"/>
              </w:numPr>
              <w:jc w:val="left"/>
              <w:rPr>
                <w:sz w:val="20"/>
                <w:szCs w:val="20"/>
                <w:lang w:val="fr-FR"/>
              </w:rPr>
            </w:pPr>
            <w:r w:rsidRPr="006F2FBE">
              <w:rPr>
                <w:sz w:val="20"/>
                <w:szCs w:val="20"/>
                <w:lang w:val="fr-FR"/>
              </w:rPr>
              <w:t xml:space="preserve">Contributions volontaires de trois des cinq </w:t>
            </w:r>
            <w:r w:rsidR="00EE57F4" w:rsidRPr="006F2FBE">
              <w:rPr>
                <w:sz w:val="20"/>
                <w:szCs w:val="20"/>
                <w:lang w:val="fr-FR"/>
              </w:rPr>
              <w:t>États</w:t>
            </w:r>
            <w:r w:rsidRPr="006F2FBE">
              <w:rPr>
                <w:sz w:val="20"/>
                <w:szCs w:val="20"/>
                <w:lang w:val="fr-FR"/>
              </w:rPr>
              <w:t xml:space="preserve"> parties qui, au moment de leur ratification, ont eu recours à l’a</w:t>
            </w:r>
            <w:r w:rsidR="007F6A93" w:rsidRPr="006F2FBE">
              <w:rPr>
                <w:sz w:val="20"/>
                <w:szCs w:val="20"/>
                <w:lang w:val="fr-FR"/>
              </w:rPr>
              <w:t xml:space="preserve">rticle 26.2 </w:t>
            </w:r>
            <w:r w:rsidRPr="006F2FBE">
              <w:rPr>
                <w:sz w:val="20"/>
                <w:szCs w:val="20"/>
                <w:lang w:val="fr-FR"/>
              </w:rPr>
              <w:t>de la</w:t>
            </w:r>
            <w:r w:rsidR="007F6A93" w:rsidRPr="006F2FBE">
              <w:rPr>
                <w:sz w:val="20"/>
                <w:szCs w:val="20"/>
                <w:lang w:val="fr-FR"/>
              </w:rPr>
              <w:t xml:space="preserve"> Convention</w:t>
            </w:r>
          </w:p>
        </w:tc>
        <w:tc>
          <w:tcPr>
            <w:tcW w:w="1534" w:type="dxa"/>
            <w:shd w:val="clear" w:color="auto" w:fill="auto"/>
            <w:vAlign w:val="center"/>
          </w:tcPr>
          <w:p w14:paraId="4AA8FA60" w14:textId="77777777" w:rsidR="007F6A93" w:rsidRPr="006F2FBE" w:rsidRDefault="007F6A93" w:rsidP="006F2FBE">
            <w:pPr>
              <w:pStyle w:val="COMParabodytext"/>
              <w:numPr>
                <w:ilvl w:val="0"/>
                <w:numId w:val="0"/>
              </w:numPr>
              <w:jc w:val="right"/>
              <w:rPr>
                <w:sz w:val="20"/>
                <w:szCs w:val="20"/>
                <w:lang w:val="fr-FR"/>
              </w:rPr>
            </w:pPr>
            <w:r w:rsidRPr="006F2FBE">
              <w:rPr>
                <w:sz w:val="20"/>
                <w:szCs w:val="20"/>
                <w:lang w:val="fr-FR"/>
              </w:rPr>
              <w:t>336</w:t>
            </w:r>
            <w:r w:rsidR="00927997" w:rsidRPr="006F2FBE">
              <w:rPr>
                <w:sz w:val="20"/>
                <w:szCs w:val="20"/>
                <w:lang w:val="fr-FR"/>
              </w:rPr>
              <w:t> </w:t>
            </w:r>
            <w:r w:rsidRPr="006F2FBE">
              <w:rPr>
                <w:sz w:val="20"/>
                <w:szCs w:val="20"/>
                <w:lang w:val="fr-FR"/>
              </w:rPr>
              <w:t>411</w:t>
            </w:r>
          </w:p>
        </w:tc>
      </w:tr>
      <w:tr w:rsidR="007F6A93" w:rsidRPr="00122856" w14:paraId="46825300" w14:textId="77777777" w:rsidTr="006F2FBE">
        <w:trPr>
          <w:cantSplit/>
        </w:trPr>
        <w:tc>
          <w:tcPr>
            <w:tcW w:w="7538" w:type="dxa"/>
            <w:shd w:val="clear" w:color="auto" w:fill="auto"/>
            <w:vAlign w:val="center"/>
          </w:tcPr>
          <w:p w14:paraId="61DD6F0D" w14:textId="77777777" w:rsidR="007F6A93" w:rsidRPr="006F2FBE" w:rsidRDefault="00927997" w:rsidP="0096485B">
            <w:pPr>
              <w:pStyle w:val="COMParabodytext"/>
              <w:numPr>
                <w:ilvl w:val="0"/>
                <w:numId w:val="15"/>
              </w:numPr>
              <w:jc w:val="left"/>
              <w:rPr>
                <w:sz w:val="20"/>
                <w:szCs w:val="20"/>
                <w:lang w:val="fr-FR"/>
              </w:rPr>
            </w:pPr>
            <w:r w:rsidRPr="006F2FBE">
              <w:rPr>
                <w:sz w:val="20"/>
                <w:szCs w:val="20"/>
                <w:u w:val="single"/>
                <w:lang w:val="fr-FR"/>
              </w:rPr>
              <w:t>des contribution</w:t>
            </w:r>
            <w:r w:rsidR="00DF5BE9" w:rsidRPr="006F2FBE">
              <w:rPr>
                <w:sz w:val="20"/>
                <w:szCs w:val="20"/>
                <w:u w:val="single"/>
                <w:lang w:val="fr-FR"/>
              </w:rPr>
              <w:t>s</w:t>
            </w:r>
            <w:r w:rsidRPr="006F2FBE">
              <w:rPr>
                <w:sz w:val="20"/>
                <w:szCs w:val="20"/>
                <w:u w:val="single"/>
                <w:lang w:val="fr-FR"/>
              </w:rPr>
              <w:t xml:space="preserve"> </w:t>
            </w:r>
            <w:r w:rsidR="00550C23" w:rsidRPr="006F2FBE">
              <w:rPr>
                <w:sz w:val="20"/>
                <w:szCs w:val="20"/>
                <w:u w:val="single"/>
                <w:lang w:val="fr-FR"/>
              </w:rPr>
              <w:t xml:space="preserve">volontaires </w:t>
            </w:r>
            <w:r w:rsidRPr="006F2FBE">
              <w:rPr>
                <w:sz w:val="20"/>
                <w:szCs w:val="20"/>
                <w:u w:val="single"/>
                <w:lang w:val="fr-FR"/>
              </w:rPr>
              <w:t xml:space="preserve">supplémentaires </w:t>
            </w:r>
          </w:p>
        </w:tc>
        <w:tc>
          <w:tcPr>
            <w:tcW w:w="1534" w:type="dxa"/>
            <w:shd w:val="clear" w:color="auto" w:fill="auto"/>
            <w:vAlign w:val="center"/>
          </w:tcPr>
          <w:p w14:paraId="06FA2C4E" w14:textId="77777777" w:rsidR="007F6A93" w:rsidRPr="006F2FBE" w:rsidRDefault="007F6A93" w:rsidP="006F2FBE">
            <w:pPr>
              <w:pStyle w:val="COMParabodytext"/>
              <w:numPr>
                <w:ilvl w:val="0"/>
                <w:numId w:val="0"/>
              </w:numPr>
              <w:jc w:val="right"/>
              <w:rPr>
                <w:bCs/>
                <w:sz w:val="20"/>
                <w:szCs w:val="20"/>
                <w:lang w:val="fr-FR"/>
              </w:rPr>
            </w:pPr>
          </w:p>
        </w:tc>
      </w:tr>
      <w:tr w:rsidR="007F6A93" w:rsidRPr="00122856" w14:paraId="160A07FE" w14:textId="77777777" w:rsidTr="006F2FBE">
        <w:trPr>
          <w:cantSplit/>
        </w:trPr>
        <w:tc>
          <w:tcPr>
            <w:tcW w:w="7538" w:type="dxa"/>
            <w:shd w:val="clear" w:color="auto" w:fill="auto"/>
            <w:vAlign w:val="center"/>
          </w:tcPr>
          <w:p w14:paraId="10B6F65A" w14:textId="2B637481" w:rsidR="007F6A93" w:rsidRPr="006F2FBE" w:rsidRDefault="00550C23" w:rsidP="006F2FBE">
            <w:pPr>
              <w:pStyle w:val="COMParabodytext"/>
              <w:numPr>
                <w:ilvl w:val="0"/>
                <w:numId w:val="0"/>
              </w:numPr>
              <w:jc w:val="left"/>
              <w:rPr>
                <w:i/>
                <w:sz w:val="20"/>
                <w:szCs w:val="20"/>
                <w:lang w:val="fr-FR"/>
              </w:rPr>
            </w:pPr>
            <w:r w:rsidRPr="006F2FBE">
              <w:rPr>
                <w:i/>
                <w:sz w:val="20"/>
                <w:szCs w:val="20"/>
                <w:lang w:val="fr-FR"/>
              </w:rPr>
              <w:t>Contributions affectées à des fins spécifiques se rapportant à des projets déterminés approuvés par le Comité</w:t>
            </w:r>
            <w:r w:rsidR="00514649" w:rsidRPr="006F2FBE">
              <w:rPr>
                <w:i/>
                <w:sz w:val="20"/>
                <w:szCs w:val="20"/>
                <w:lang w:val="fr-FR"/>
              </w:rPr>
              <w:t>,</w:t>
            </w:r>
            <w:r w:rsidRPr="006F2FBE">
              <w:rPr>
                <w:i/>
                <w:sz w:val="20"/>
                <w:szCs w:val="20"/>
                <w:lang w:val="fr-FR"/>
              </w:rPr>
              <w:t xml:space="preserve"> conformément à l’article 25.5 de la Convention</w:t>
            </w:r>
          </w:p>
        </w:tc>
        <w:tc>
          <w:tcPr>
            <w:tcW w:w="1534" w:type="dxa"/>
            <w:shd w:val="clear" w:color="auto" w:fill="auto"/>
            <w:vAlign w:val="center"/>
          </w:tcPr>
          <w:p w14:paraId="56159BE2" w14:textId="77777777" w:rsidR="007F6A93" w:rsidRPr="006F2FBE" w:rsidRDefault="007F6A93" w:rsidP="006F2FBE">
            <w:pPr>
              <w:pStyle w:val="COMParabodytext"/>
              <w:numPr>
                <w:ilvl w:val="0"/>
                <w:numId w:val="0"/>
              </w:numPr>
              <w:jc w:val="right"/>
              <w:rPr>
                <w:bCs/>
                <w:i/>
                <w:sz w:val="20"/>
                <w:szCs w:val="20"/>
                <w:lang w:val="fr-FR"/>
              </w:rPr>
            </w:pPr>
          </w:p>
        </w:tc>
      </w:tr>
      <w:tr w:rsidR="007F6A93" w:rsidRPr="00122856" w14:paraId="72BAB7C4" w14:textId="77777777" w:rsidTr="006F2FBE">
        <w:trPr>
          <w:cantSplit/>
        </w:trPr>
        <w:tc>
          <w:tcPr>
            <w:tcW w:w="7538" w:type="dxa"/>
            <w:shd w:val="clear" w:color="auto" w:fill="auto"/>
            <w:vAlign w:val="center"/>
          </w:tcPr>
          <w:p w14:paraId="19E15B6A" w14:textId="48CE0FCA" w:rsidR="007F6A93" w:rsidRPr="006F2FBE" w:rsidRDefault="00514649" w:rsidP="006F2FBE">
            <w:pPr>
              <w:pStyle w:val="COMParabodytext"/>
              <w:numPr>
                <w:ilvl w:val="0"/>
                <w:numId w:val="0"/>
              </w:numPr>
              <w:ind w:left="567"/>
              <w:jc w:val="left"/>
              <w:rPr>
                <w:sz w:val="20"/>
                <w:szCs w:val="20"/>
                <w:lang w:val="fr-FR"/>
              </w:rPr>
            </w:pPr>
            <w:r w:rsidRPr="006F2FBE">
              <w:rPr>
                <w:sz w:val="20"/>
                <w:szCs w:val="20"/>
                <w:lang w:val="fr-FR"/>
              </w:rPr>
              <w:t xml:space="preserve">Des </w:t>
            </w:r>
            <w:r w:rsidR="005E371E" w:rsidRPr="006F2FBE">
              <w:rPr>
                <w:sz w:val="20"/>
                <w:szCs w:val="20"/>
                <w:lang w:val="fr-FR"/>
              </w:rPr>
              <w:t xml:space="preserve">Pays-Bas et </w:t>
            </w:r>
            <w:r w:rsidRPr="006F2FBE">
              <w:rPr>
                <w:sz w:val="20"/>
                <w:szCs w:val="20"/>
                <w:lang w:val="fr-FR"/>
              </w:rPr>
              <w:t xml:space="preserve">de </w:t>
            </w:r>
            <w:r w:rsidR="005E371E" w:rsidRPr="006F2FBE">
              <w:rPr>
                <w:sz w:val="20"/>
                <w:szCs w:val="20"/>
                <w:lang w:val="fr-FR"/>
              </w:rPr>
              <w:t>la Norvège pour la mise en œuvre de cinq projets en cours</w:t>
            </w:r>
            <w:r w:rsidRPr="006F2FBE">
              <w:rPr>
                <w:sz w:val="20"/>
                <w:szCs w:val="20"/>
                <w:lang w:val="fr-FR"/>
              </w:rPr>
              <w:t xml:space="preserve"> et</w:t>
            </w:r>
            <w:r w:rsidR="005E371E" w:rsidRPr="006F2FBE">
              <w:rPr>
                <w:sz w:val="20"/>
                <w:szCs w:val="20"/>
                <w:lang w:val="fr-FR"/>
              </w:rPr>
              <w:t xml:space="preserve"> de l’</w:t>
            </w:r>
            <w:r w:rsidR="007F6A93" w:rsidRPr="006F2FBE">
              <w:rPr>
                <w:sz w:val="20"/>
                <w:szCs w:val="20"/>
                <w:lang w:val="fr-FR"/>
              </w:rPr>
              <w:t>Azerba</w:t>
            </w:r>
            <w:r w:rsidR="005E371E" w:rsidRPr="006F2FBE">
              <w:rPr>
                <w:sz w:val="20"/>
                <w:szCs w:val="20"/>
                <w:lang w:val="fr-FR"/>
              </w:rPr>
              <w:t>ïd</w:t>
            </w:r>
            <w:r w:rsidR="007F6A93" w:rsidRPr="006F2FBE">
              <w:rPr>
                <w:sz w:val="20"/>
                <w:szCs w:val="20"/>
                <w:lang w:val="fr-FR"/>
              </w:rPr>
              <w:t xml:space="preserve">jan </w:t>
            </w:r>
            <w:r w:rsidR="005E371E" w:rsidRPr="006F2FBE">
              <w:rPr>
                <w:sz w:val="20"/>
                <w:szCs w:val="20"/>
                <w:lang w:val="fr-FR"/>
              </w:rPr>
              <w:t xml:space="preserve">pour deux nouveaux projets, dans le cadre du Programme complémentaire additionnel pour </w:t>
            </w:r>
            <w:r w:rsidR="007F6A93" w:rsidRPr="006F2FBE">
              <w:rPr>
                <w:sz w:val="20"/>
                <w:szCs w:val="20"/>
                <w:lang w:val="fr-FR"/>
              </w:rPr>
              <w:t xml:space="preserve">2014-2017, </w:t>
            </w:r>
            <w:r w:rsidR="00B46002" w:rsidRPr="006F2FBE">
              <w:rPr>
                <w:sz w:val="20"/>
                <w:szCs w:val="20"/>
                <w:lang w:val="fr-FR"/>
              </w:rPr>
              <w:t>« </w:t>
            </w:r>
            <w:r w:rsidR="005E371E" w:rsidRPr="006F2FBE">
              <w:rPr>
                <w:sz w:val="20"/>
                <w:szCs w:val="20"/>
                <w:lang w:val="fr-FR"/>
              </w:rPr>
              <w:t xml:space="preserve">Renforcement des capacités </w:t>
            </w:r>
            <w:r w:rsidR="00B27DA7" w:rsidRPr="006F2FBE">
              <w:rPr>
                <w:sz w:val="20"/>
                <w:szCs w:val="20"/>
                <w:lang w:val="fr-FR"/>
              </w:rPr>
              <w:t>pour la</w:t>
            </w:r>
            <w:r w:rsidR="005E371E" w:rsidRPr="006F2FBE">
              <w:rPr>
                <w:sz w:val="20"/>
                <w:szCs w:val="20"/>
                <w:lang w:val="fr-FR"/>
              </w:rPr>
              <w:t xml:space="preserve"> sauvegarde</w:t>
            </w:r>
            <w:r w:rsidR="00B46002" w:rsidRPr="006F2FBE">
              <w:rPr>
                <w:sz w:val="20"/>
                <w:szCs w:val="20"/>
                <w:lang w:val="fr-FR"/>
              </w:rPr>
              <w:t xml:space="preserve"> du</w:t>
            </w:r>
            <w:r w:rsidR="005E371E" w:rsidRPr="006F2FBE">
              <w:rPr>
                <w:sz w:val="20"/>
                <w:szCs w:val="20"/>
                <w:lang w:val="fr-FR"/>
              </w:rPr>
              <w:t xml:space="preserve"> patrimoine</w:t>
            </w:r>
            <w:r w:rsidR="00B46002" w:rsidRPr="006F2FBE">
              <w:rPr>
                <w:sz w:val="20"/>
                <w:szCs w:val="20"/>
                <w:lang w:val="fr-FR"/>
              </w:rPr>
              <w:t xml:space="preserve"> culturel immatériel </w:t>
            </w:r>
            <w:r w:rsidR="00B27DA7" w:rsidRPr="006F2FBE">
              <w:rPr>
                <w:sz w:val="20"/>
                <w:szCs w:val="20"/>
                <w:lang w:val="fr-FR"/>
              </w:rPr>
              <w:t>en vue d’</w:t>
            </w:r>
            <w:r w:rsidR="00B46002" w:rsidRPr="006F2FBE">
              <w:rPr>
                <w:sz w:val="20"/>
                <w:szCs w:val="20"/>
                <w:lang w:val="fr-FR"/>
              </w:rPr>
              <w:t>un développement durable »</w:t>
            </w:r>
            <w:r w:rsidR="007F6A93" w:rsidRPr="006F2FBE">
              <w:rPr>
                <w:sz w:val="20"/>
                <w:szCs w:val="20"/>
                <w:lang w:val="fr-FR"/>
              </w:rPr>
              <w:t xml:space="preserve"> (</w:t>
            </w:r>
            <w:hyperlink r:id="rId10" w:history="1">
              <w:r w:rsidR="00B27DA7" w:rsidRPr="006F2FBE">
                <w:rPr>
                  <w:rStyle w:val="Hyperlink"/>
                  <w:sz w:val="20"/>
                  <w:szCs w:val="20"/>
                  <w:lang w:val="fr-FR"/>
                </w:rPr>
                <w:t>dé</w:t>
              </w:r>
              <w:r w:rsidR="007F6A93" w:rsidRPr="006F2FBE">
                <w:rPr>
                  <w:rStyle w:val="Hyperlink"/>
                  <w:sz w:val="20"/>
                  <w:szCs w:val="20"/>
                  <w:lang w:val="fr-FR"/>
                </w:rPr>
                <w:t>cision 7.COM 19</w:t>
              </w:r>
            </w:hyperlink>
            <w:r w:rsidR="007F6A93" w:rsidRPr="006F2FBE">
              <w:rPr>
                <w:sz w:val="20"/>
                <w:szCs w:val="20"/>
                <w:lang w:val="fr-FR"/>
              </w:rPr>
              <w:t>).</w:t>
            </w:r>
          </w:p>
          <w:p w14:paraId="757CB790" w14:textId="77777777" w:rsidR="007F6A93" w:rsidRPr="006F2FBE" w:rsidRDefault="00B27DA7" w:rsidP="006F2FBE">
            <w:pPr>
              <w:pStyle w:val="COMParabodytext"/>
              <w:numPr>
                <w:ilvl w:val="0"/>
                <w:numId w:val="0"/>
              </w:numPr>
              <w:ind w:left="567"/>
              <w:jc w:val="left"/>
              <w:rPr>
                <w:sz w:val="20"/>
                <w:szCs w:val="20"/>
                <w:lang w:val="fr-FR"/>
              </w:rPr>
            </w:pPr>
            <w:r w:rsidRPr="006F2FBE">
              <w:rPr>
                <w:sz w:val="20"/>
                <w:szCs w:val="20"/>
                <w:lang w:val="fr-FR"/>
              </w:rPr>
              <w:t xml:space="preserve">La </w:t>
            </w:r>
            <w:r w:rsidR="007F6A93" w:rsidRPr="006F2FBE">
              <w:rPr>
                <w:sz w:val="20"/>
                <w:szCs w:val="20"/>
                <w:lang w:val="fr-FR"/>
              </w:rPr>
              <w:t>Tur</w:t>
            </w:r>
            <w:r w:rsidRPr="006F2FBE">
              <w:rPr>
                <w:sz w:val="20"/>
                <w:szCs w:val="20"/>
                <w:lang w:val="fr-FR"/>
              </w:rPr>
              <w:t>quie pour organiser une réunion d’experts sur la sauvegarde du patrimoine culturel immatériel et le développement durable au niveau national</w:t>
            </w:r>
            <w:r w:rsidR="00BE7C26" w:rsidRPr="006F2FBE">
              <w:rPr>
                <w:sz w:val="20"/>
                <w:szCs w:val="20"/>
                <w:lang w:val="fr-FR"/>
              </w:rPr>
              <w:t xml:space="preserve"> </w:t>
            </w:r>
            <w:r w:rsidR="007F6A93" w:rsidRPr="006F2FBE">
              <w:rPr>
                <w:sz w:val="20"/>
                <w:szCs w:val="20"/>
                <w:lang w:val="fr-FR"/>
              </w:rPr>
              <w:t>(</w:t>
            </w:r>
            <w:hyperlink r:id="rId11" w:history="1">
              <w:r w:rsidRPr="006F2FBE">
                <w:rPr>
                  <w:rStyle w:val="Hyperlink"/>
                  <w:sz w:val="20"/>
                  <w:szCs w:val="20"/>
                  <w:lang w:val="fr-FR"/>
                </w:rPr>
                <w:t>dé</w:t>
              </w:r>
              <w:r w:rsidR="007F6A93" w:rsidRPr="006F2FBE">
                <w:rPr>
                  <w:rStyle w:val="Hyperlink"/>
                  <w:sz w:val="20"/>
                  <w:szCs w:val="20"/>
                  <w:lang w:val="fr-FR"/>
                </w:rPr>
                <w:t>cision 8.COM 13.a</w:t>
              </w:r>
            </w:hyperlink>
            <w:r w:rsidR="007F6A93" w:rsidRPr="006F2FBE">
              <w:rPr>
                <w:sz w:val="20"/>
                <w:szCs w:val="20"/>
                <w:lang w:val="fr-FR"/>
              </w:rPr>
              <w:t>)</w:t>
            </w:r>
          </w:p>
        </w:tc>
        <w:tc>
          <w:tcPr>
            <w:tcW w:w="1534" w:type="dxa"/>
            <w:shd w:val="clear" w:color="auto" w:fill="auto"/>
            <w:vAlign w:val="center"/>
          </w:tcPr>
          <w:p w14:paraId="4C9B0925" w14:textId="77777777" w:rsidR="007F6A93" w:rsidRPr="006F2FBE" w:rsidRDefault="007F6A93" w:rsidP="006F2FBE">
            <w:pPr>
              <w:pStyle w:val="COMParabodytext"/>
              <w:numPr>
                <w:ilvl w:val="0"/>
                <w:numId w:val="0"/>
              </w:numPr>
              <w:jc w:val="right"/>
              <w:rPr>
                <w:sz w:val="20"/>
                <w:szCs w:val="20"/>
                <w:lang w:val="fr-FR"/>
              </w:rPr>
            </w:pPr>
            <w:r w:rsidRPr="006F2FBE">
              <w:rPr>
                <w:sz w:val="20"/>
                <w:szCs w:val="20"/>
                <w:lang w:val="fr-FR"/>
              </w:rPr>
              <w:t>1</w:t>
            </w:r>
            <w:r w:rsidR="00B27DA7" w:rsidRPr="006F2FBE">
              <w:rPr>
                <w:sz w:val="20"/>
                <w:szCs w:val="20"/>
                <w:lang w:val="fr-FR"/>
              </w:rPr>
              <w:t> </w:t>
            </w:r>
            <w:r w:rsidRPr="006F2FBE">
              <w:rPr>
                <w:sz w:val="20"/>
                <w:szCs w:val="20"/>
                <w:lang w:val="fr-FR"/>
              </w:rPr>
              <w:t>217</w:t>
            </w:r>
            <w:r w:rsidR="00B27DA7" w:rsidRPr="006F2FBE">
              <w:rPr>
                <w:sz w:val="20"/>
                <w:szCs w:val="20"/>
                <w:lang w:val="fr-FR"/>
              </w:rPr>
              <w:t> </w:t>
            </w:r>
            <w:r w:rsidRPr="006F2FBE">
              <w:rPr>
                <w:sz w:val="20"/>
                <w:szCs w:val="20"/>
                <w:lang w:val="fr-FR"/>
              </w:rPr>
              <w:t>300</w:t>
            </w:r>
          </w:p>
        </w:tc>
      </w:tr>
      <w:tr w:rsidR="007F6A93" w:rsidRPr="00122856" w14:paraId="73E0F33F" w14:textId="77777777" w:rsidTr="006F2FBE">
        <w:trPr>
          <w:cantSplit/>
        </w:trPr>
        <w:tc>
          <w:tcPr>
            <w:tcW w:w="7538" w:type="dxa"/>
            <w:shd w:val="clear" w:color="auto" w:fill="auto"/>
            <w:vAlign w:val="center"/>
          </w:tcPr>
          <w:p w14:paraId="0028C68E" w14:textId="24408CAE" w:rsidR="007F6A93" w:rsidRPr="006F2FBE" w:rsidRDefault="00EE57F4" w:rsidP="006F2FBE">
            <w:pPr>
              <w:pStyle w:val="COMParabodytext"/>
              <w:numPr>
                <w:ilvl w:val="0"/>
                <w:numId w:val="0"/>
              </w:numPr>
              <w:jc w:val="left"/>
              <w:rPr>
                <w:bCs/>
                <w:i/>
                <w:sz w:val="20"/>
                <w:szCs w:val="20"/>
                <w:lang w:val="fr-FR"/>
              </w:rPr>
            </w:pPr>
            <w:r w:rsidRPr="006F2FBE">
              <w:rPr>
                <w:i/>
                <w:sz w:val="20"/>
                <w:szCs w:val="20"/>
                <w:lang w:val="fr-FR"/>
              </w:rPr>
              <w:lastRenderedPageBreak/>
              <w:t xml:space="preserve">Sous-fonds du Fonds du patrimoine culturel immatériel destiné exclusivement au renforcement des capacités humaines du Secrétariat </w:t>
            </w:r>
            <w:r w:rsidRPr="006F2FBE">
              <w:rPr>
                <w:i/>
                <w:iCs/>
                <w:sz w:val="20"/>
                <w:szCs w:val="20"/>
                <w:lang w:val="fr-FR"/>
              </w:rPr>
              <w:t>(</w:t>
            </w:r>
            <w:hyperlink r:id="rId12" w:history="1">
              <w:r w:rsidRPr="006F2FBE">
                <w:rPr>
                  <w:rStyle w:val="Hyperlink"/>
                  <w:i/>
                  <w:iCs/>
                  <w:sz w:val="20"/>
                  <w:szCs w:val="20"/>
                  <w:lang w:val="fr-FR"/>
                </w:rPr>
                <w:t>résolution 3.GA 9</w:t>
              </w:r>
            </w:hyperlink>
            <w:r w:rsidRPr="006F2FBE">
              <w:rPr>
                <w:i/>
                <w:iCs/>
                <w:sz w:val="20"/>
                <w:szCs w:val="20"/>
                <w:lang w:val="fr-FR"/>
              </w:rPr>
              <w:t>)</w:t>
            </w:r>
            <w:r w:rsidRPr="006F2FBE">
              <w:rPr>
                <w:sz w:val="20"/>
                <w:szCs w:val="20"/>
                <w:vertAlign w:val="superscript"/>
                <w:lang w:val="fr-FR"/>
              </w:rPr>
              <w:footnoteReference w:id="4"/>
            </w:r>
            <w:r w:rsidRPr="006F2FBE">
              <w:rPr>
                <w:sz w:val="20"/>
                <w:szCs w:val="20"/>
                <w:lang w:val="fr-FR"/>
              </w:rPr>
              <w:t xml:space="preserve"> </w:t>
            </w:r>
          </w:p>
        </w:tc>
        <w:tc>
          <w:tcPr>
            <w:tcW w:w="1534" w:type="dxa"/>
            <w:shd w:val="clear" w:color="auto" w:fill="auto"/>
            <w:vAlign w:val="center"/>
          </w:tcPr>
          <w:p w14:paraId="3755DBE0" w14:textId="77777777" w:rsidR="007F6A93" w:rsidRPr="006F2FBE" w:rsidRDefault="007F6A93" w:rsidP="006F2FBE">
            <w:pPr>
              <w:pStyle w:val="COMParabodytext"/>
              <w:numPr>
                <w:ilvl w:val="0"/>
                <w:numId w:val="0"/>
              </w:numPr>
              <w:jc w:val="right"/>
              <w:rPr>
                <w:bCs/>
                <w:sz w:val="20"/>
                <w:szCs w:val="20"/>
                <w:lang w:val="fr-FR"/>
              </w:rPr>
            </w:pPr>
          </w:p>
        </w:tc>
      </w:tr>
      <w:tr w:rsidR="007F6A93" w:rsidRPr="00122856" w14:paraId="2E7B3EB2" w14:textId="77777777" w:rsidTr="006F2FBE">
        <w:trPr>
          <w:cantSplit/>
        </w:trPr>
        <w:tc>
          <w:tcPr>
            <w:tcW w:w="7538" w:type="dxa"/>
            <w:shd w:val="clear" w:color="auto" w:fill="auto"/>
            <w:vAlign w:val="center"/>
          </w:tcPr>
          <w:p w14:paraId="17E09C12" w14:textId="7C8D1461" w:rsidR="007F6A93" w:rsidRPr="006F2FBE" w:rsidRDefault="00514649" w:rsidP="006F2FBE">
            <w:pPr>
              <w:pStyle w:val="COMParabodytext"/>
              <w:numPr>
                <w:ilvl w:val="0"/>
                <w:numId w:val="0"/>
              </w:numPr>
              <w:ind w:left="567"/>
              <w:jc w:val="left"/>
              <w:rPr>
                <w:sz w:val="20"/>
                <w:szCs w:val="20"/>
                <w:lang w:val="fr-FR"/>
              </w:rPr>
            </w:pPr>
            <w:r w:rsidRPr="006F2FBE">
              <w:rPr>
                <w:sz w:val="20"/>
                <w:szCs w:val="20"/>
                <w:lang w:val="fr-FR"/>
              </w:rPr>
              <w:t>De l’Azerbaïdjan</w:t>
            </w:r>
            <w:r w:rsidR="007F6A93" w:rsidRPr="006F2FBE">
              <w:rPr>
                <w:sz w:val="20"/>
                <w:szCs w:val="20"/>
                <w:lang w:val="fr-FR"/>
              </w:rPr>
              <w:t xml:space="preserve">, </w:t>
            </w:r>
            <w:r w:rsidR="00A65E57" w:rsidRPr="006F2FBE">
              <w:rPr>
                <w:sz w:val="20"/>
                <w:szCs w:val="20"/>
                <w:lang w:val="fr-FR"/>
              </w:rPr>
              <w:t xml:space="preserve">la </w:t>
            </w:r>
            <w:r w:rsidR="007F6A93" w:rsidRPr="006F2FBE">
              <w:rPr>
                <w:sz w:val="20"/>
                <w:szCs w:val="20"/>
                <w:lang w:val="fr-FR"/>
              </w:rPr>
              <w:t>Bulgari</w:t>
            </w:r>
            <w:r w:rsidR="00A65E57" w:rsidRPr="006F2FBE">
              <w:rPr>
                <w:sz w:val="20"/>
                <w:szCs w:val="20"/>
                <w:lang w:val="fr-FR"/>
              </w:rPr>
              <w:t>e</w:t>
            </w:r>
            <w:r w:rsidR="007F6A93" w:rsidRPr="006F2FBE">
              <w:rPr>
                <w:sz w:val="20"/>
                <w:szCs w:val="20"/>
                <w:lang w:val="fr-FR"/>
              </w:rPr>
              <w:t xml:space="preserve">, </w:t>
            </w:r>
            <w:r w:rsidR="00A65E57" w:rsidRPr="006F2FBE">
              <w:rPr>
                <w:sz w:val="20"/>
                <w:szCs w:val="20"/>
                <w:lang w:val="fr-FR"/>
              </w:rPr>
              <w:t xml:space="preserve">la </w:t>
            </w:r>
            <w:r w:rsidR="007F6A93" w:rsidRPr="006F2FBE">
              <w:rPr>
                <w:sz w:val="20"/>
                <w:szCs w:val="20"/>
                <w:lang w:val="fr-FR"/>
              </w:rPr>
              <w:t>Chin</w:t>
            </w:r>
            <w:r w:rsidR="00A65E57" w:rsidRPr="006F2FBE">
              <w:rPr>
                <w:sz w:val="20"/>
                <w:szCs w:val="20"/>
                <w:lang w:val="fr-FR"/>
              </w:rPr>
              <w:t>e</w:t>
            </w:r>
            <w:r w:rsidR="007F6A93" w:rsidRPr="006F2FBE">
              <w:rPr>
                <w:sz w:val="20"/>
                <w:szCs w:val="20"/>
                <w:lang w:val="fr-FR"/>
              </w:rPr>
              <w:t xml:space="preserve">, </w:t>
            </w:r>
            <w:r w:rsidR="00A65E57" w:rsidRPr="006F2FBE">
              <w:rPr>
                <w:sz w:val="20"/>
                <w:szCs w:val="20"/>
                <w:lang w:val="fr-FR"/>
              </w:rPr>
              <w:t>la Gé</w:t>
            </w:r>
            <w:r w:rsidR="007F6A93" w:rsidRPr="006F2FBE">
              <w:rPr>
                <w:sz w:val="20"/>
                <w:szCs w:val="20"/>
                <w:lang w:val="fr-FR"/>
              </w:rPr>
              <w:t>orgi</w:t>
            </w:r>
            <w:r w:rsidR="00A65E57" w:rsidRPr="006F2FBE">
              <w:rPr>
                <w:sz w:val="20"/>
                <w:szCs w:val="20"/>
                <w:lang w:val="fr-FR"/>
              </w:rPr>
              <w:t>e</w:t>
            </w:r>
            <w:r w:rsidR="007F6A93" w:rsidRPr="006F2FBE">
              <w:rPr>
                <w:sz w:val="20"/>
                <w:szCs w:val="20"/>
                <w:lang w:val="fr-FR"/>
              </w:rPr>
              <w:t xml:space="preserve">, </w:t>
            </w:r>
            <w:r w:rsidR="00A65E57" w:rsidRPr="006F2FBE">
              <w:rPr>
                <w:sz w:val="20"/>
                <w:szCs w:val="20"/>
                <w:lang w:val="fr-FR"/>
              </w:rPr>
              <w:t xml:space="preserve">le </w:t>
            </w:r>
            <w:r w:rsidR="007F6A93" w:rsidRPr="006F2FBE">
              <w:rPr>
                <w:sz w:val="20"/>
                <w:szCs w:val="20"/>
                <w:lang w:val="fr-FR"/>
              </w:rPr>
              <w:t>Jap</w:t>
            </w:r>
            <w:r w:rsidR="00A65E57" w:rsidRPr="006F2FBE">
              <w:rPr>
                <w:sz w:val="20"/>
                <w:szCs w:val="20"/>
                <w:lang w:val="fr-FR"/>
              </w:rPr>
              <w:t>o</w:t>
            </w:r>
            <w:r w:rsidR="007F6A93" w:rsidRPr="006F2FBE">
              <w:rPr>
                <w:sz w:val="20"/>
                <w:szCs w:val="20"/>
                <w:lang w:val="fr-FR"/>
              </w:rPr>
              <w:t xml:space="preserve">n, Monaco, </w:t>
            </w:r>
            <w:r w:rsidR="00CA40F1" w:rsidRPr="006F2FBE">
              <w:rPr>
                <w:sz w:val="20"/>
                <w:szCs w:val="20"/>
                <w:lang w:val="fr-FR"/>
              </w:rPr>
              <w:t xml:space="preserve">le </w:t>
            </w:r>
            <w:r w:rsidR="007F6A93" w:rsidRPr="006F2FBE">
              <w:rPr>
                <w:sz w:val="20"/>
                <w:szCs w:val="20"/>
                <w:lang w:val="fr-FR"/>
              </w:rPr>
              <w:t xml:space="preserve">Portugal, </w:t>
            </w:r>
            <w:r w:rsidR="00CA40F1" w:rsidRPr="006F2FBE">
              <w:rPr>
                <w:sz w:val="20"/>
                <w:szCs w:val="20"/>
                <w:lang w:val="fr-FR"/>
              </w:rPr>
              <w:t xml:space="preserve">la </w:t>
            </w:r>
            <w:r w:rsidR="007F6A93" w:rsidRPr="006F2FBE">
              <w:rPr>
                <w:sz w:val="20"/>
                <w:szCs w:val="20"/>
                <w:lang w:val="fr-FR"/>
              </w:rPr>
              <w:t>Tur</w:t>
            </w:r>
            <w:r w:rsidR="00CA40F1" w:rsidRPr="006F2FBE">
              <w:rPr>
                <w:sz w:val="20"/>
                <w:szCs w:val="20"/>
                <w:lang w:val="fr-FR"/>
              </w:rPr>
              <w:t>qui</w:t>
            </w:r>
            <w:r w:rsidR="007F6A93" w:rsidRPr="006F2FBE">
              <w:rPr>
                <w:sz w:val="20"/>
                <w:szCs w:val="20"/>
                <w:lang w:val="fr-FR"/>
              </w:rPr>
              <w:t xml:space="preserve">e, </w:t>
            </w:r>
            <w:r w:rsidR="004A64DB" w:rsidRPr="006F2FBE">
              <w:rPr>
                <w:sz w:val="20"/>
                <w:szCs w:val="20"/>
                <w:lang w:val="fr-FR"/>
              </w:rPr>
              <w:t>l’</w:t>
            </w:r>
            <w:proofErr w:type="spellStart"/>
            <w:r w:rsidR="007F6A93" w:rsidRPr="006F2FBE">
              <w:rPr>
                <w:sz w:val="20"/>
                <w:szCs w:val="20"/>
                <w:lang w:val="fr-FR"/>
              </w:rPr>
              <w:t>Associazione</w:t>
            </w:r>
            <w:proofErr w:type="spellEnd"/>
            <w:r w:rsidR="007F6A93" w:rsidRPr="006F2FBE">
              <w:rPr>
                <w:sz w:val="20"/>
                <w:szCs w:val="20"/>
                <w:lang w:val="fr-FR"/>
              </w:rPr>
              <w:t xml:space="preserve"> per la </w:t>
            </w:r>
            <w:proofErr w:type="spellStart"/>
            <w:r w:rsidR="007F6A93" w:rsidRPr="006F2FBE">
              <w:rPr>
                <w:sz w:val="20"/>
                <w:szCs w:val="20"/>
                <w:lang w:val="fr-FR"/>
              </w:rPr>
              <w:t>salvaguardia</w:t>
            </w:r>
            <w:proofErr w:type="spellEnd"/>
            <w:r w:rsidR="007F6A93" w:rsidRPr="006F2FBE">
              <w:rPr>
                <w:sz w:val="20"/>
                <w:szCs w:val="20"/>
                <w:lang w:val="fr-FR"/>
              </w:rPr>
              <w:t xml:space="preserve"> </w:t>
            </w:r>
            <w:proofErr w:type="spellStart"/>
            <w:r w:rsidR="007F6A93" w:rsidRPr="006F2FBE">
              <w:rPr>
                <w:sz w:val="20"/>
                <w:szCs w:val="20"/>
                <w:lang w:val="fr-FR"/>
              </w:rPr>
              <w:t>del</w:t>
            </w:r>
            <w:proofErr w:type="spellEnd"/>
            <w:r w:rsidR="007F6A93" w:rsidRPr="006F2FBE">
              <w:rPr>
                <w:sz w:val="20"/>
                <w:szCs w:val="20"/>
                <w:lang w:val="fr-FR"/>
              </w:rPr>
              <w:t xml:space="preserve"> </w:t>
            </w:r>
            <w:proofErr w:type="spellStart"/>
            <w:r w:rsidR="007F6A93" w:rsidRPr="006F2FBE">
              <w:rPr>
                <w:sz w:val="20"/>
                <w:szCs w:val="20"/>
                <w:lang w:val="fr-FR"/>
              </w:rPr>
              <w:t>patrimonio</w:t>
            </w:r>
            <w:proofErr w:type="spellEnd"/>
            <w:r w:rsidR="007F6A93" w:rsidRPr="006F2FBE">
              <w:rPr>
                <w:sz w:val="20"/>
                <w:szCs w:val="20"/>
                <w:lang w:val="fr-FR"/>
              </w:rPr>
              <w:t xml:space="preserve"> culturale </w:t>
            </w:r>
            <w:proofErr w:type="spellStart"/>
            <w:r w:rsidR="007F6A93" w:rsidRPr="006F2FBE">
              <w:rPr>
                <w:sz w:val="20"/>
                <w:szCs w:val="20"/>
                <w:lang w:val="fr-FR"/>
              </w:rPr>
              <w:t>immateriale</w:t>
            </w:r>
            <w:proofErr w:type="spellEnd"/>
            <w:r w:rsidR="007F6A93" w:rsidRPr="006F2FBE">
              <w:rPr>
                <w:sz w:val="20"/>
                <w:szCs w:val="20"/>
                <w:lang w:val="fr-FR"/>
              </w:rPr>
              <w:t xml:space="preserve"> </w:t>
            </w:r>
            <w:r w:rsidR="00CA40F1" w:rsidRPr="006F2FBE">
              <w:rPr>
                <w:sz w:val="20"/>
                <w:szCs w:val="20"/>
                <w:lang w:val="fr-FR"/>
              </w:rPr>
              <w:t>et le Centre norvégien de musique et danse traditionnelles</w:t>
            </w:r>
          </w:p>
        </w:tc>
        <w:tc>
          <w:tcPr>
            <w:tcW w:w="1534" w:type="dxa"/>
            <w:shd w:val="clear" w:color="auto" w:fill="auto"/>
            <w:vAlign w:val="center"/>
          </w:tcPr>
          <w:p w14:paraId="1ED00C79" w14:textId="77777777" w:rsidR="007F6A93" w:rsidRPr="006F2FBE" w:rsidRDefault="007F6A93" w:rsidP="006F2FBE">
            <w:pPr>
              <w:pStyle w:val="COMParabodytext"/>
              <w:numPr>
                <w:ilvl w:val="0"/>
                <w:numId w:val="0"/>
              </w:numPr>
              <w:jc w:val="right"/>
              <w:rPr>
                <w:sz w:val="20"/>
                <w:szCs w:val="20"/>
                <w:lang w:val="fr-FR"/>
              </w:rPr>
            </w:pPr>
            <w:r w:rsidRPr="006F2FBE">
              <w:rPr>
                <w:sz w:val="20"/>
                <w:szCs w:val="20"/>
                <w:lang w:val="fr-FR"/>
              </w:rPr>
              <w:t>364</w:t>
            </w:r>
            <w:r w:rsidR="00CA40F1" w:rsidRPr="006F2FBE">
              <w:rPr>
                <w:sz w:val="20"/>
                <w:szCs w:val="20"/>
                <w:lang w:val="fr-FR"/>
              </w:rPr>
              <w:t> </w:t>
            </w:r>
            <w:r w:rsidRPr="006F2FBE">
              <w:rPr>
                <w:sz w:val="20"/>
                <w:szCs w:val="20"/>
                <w:lang w:val="fr-FR"/>
              </w:rPr>
              <w:t>053</w:t>
            </w:r>
          </w:p>
        </w:tc>
      </w:tr>
      <w:tr w:rsidR="007F6A93" w:rsidRPr="00122856" w14:paraId="37745EA9" w14:textId="77777777" w:rsidTr="006F2FBE">
        <w:trPr>
          <w:cantSplit/>
        </w:trPr>
        <w:tc>
          <w:tcPr>
            <w:tcW w:w="7538" w:type="dxa"/>
            <w:shd w:val="clear" w:color="auto" w:fill="auto"/>
            <w:vAlign w:val="center"/>
          </w:tcPr>
          <w:p w14:paraId="49210A1B" w14:textId="77777777" w:rsidR="007F6A93" w:rsidRPr="006F2FBE" w:rsidRDefault="00CA40F1" w:rsidP="006F2FBE">
            <w:pPr>
              <w:pStyle w:val="COMParabodytext"/>
              <w:numPr>
                <w:ilvl w:val="0"/>
                <w:numId w:val="17"/>
              </w:numPr>
              <w:jc w:val="left"/>
              <w:rPr>
                <w:sz w:val="20"/>
                <w:szCs w:val="20"/>
                <w:lang w:val="fr-FR"/>
              </w:rPr>
            </w:pPr>
            <w:r w:rsidRPr="006F2FBE">
              <w:rPr>
                <w:sz w:val="20"/>
                <w:szCs w:val="20"/>
                <w:u w:val="single"/>
                <w:lang w:val="fr-FR"/>
              </w:rPr>
              <w:t>des intérêts dus sur les ressources du Fonds</w:t>
            </w:r>
          </w:p>
        </w:tc>
        <w:tc>
          <w:tcPr>
            <w:tcW w:w="1534" w:type="dxa"/>
            <w:shd w:val="clear" w:color="auto" w:fill="auto"/>
            <w:vAlign w:val="center"/>
          </w:tcPr>
          <w:p w14:paraId="138D86AD" w14:textId="77777777" w:rsidR="007F6A93" w:rsidRPr="006F2FBE" w:rsidRDefault="007F6A93" w:rsidP="006F2FBE">
            <w:pPr>
              <w:pStyle w:val="COMParabodytext"/>
              <w:numPr>
                <w:ilvl w:val="0"/>
                <w:numId w:val="0"/>
              </w:numPr>
              <w:jc w:val="right"/>
              <w:rPr>
                <w:sz w:val="20"/>
                <w:szCs w:val="20"/>
                <w:lang w:val="fr-FR"/>
              </w:rPr>
            </w:pPr>
            <w:r w:rsidRPr="006F2FBE">
              <w:rPr>
                <w:sz w:val="20"/>
                <w:szCs w:val="20"/>
                <w:lang w:val="fr-FR"/>
              </w:rPr>
              <w:t>51</w:t>
            </w:r>
            <w:r w:rsidR="00CA40F1" w:rsidRPr="006F2FBE">
              <w:rPr>
                <w:sz w:val="20"/>
                <w:szCs w:val="20"/>
                <w:lang w:val="fr-FR"/>
              </w:rPr>
              <w:t> </w:t>
            </w:r>
            <w:r w:rsidRPr="006F2FBE">
              <w:rPr>
                <w:sz w:val="20"/>
                <w:szCs w:val="20"/>
                <w:lang w:val="fr-FR"/>
              </w:rPr>
              <w:t>642</w:t>
            </w:r>
          </w:p>
        </w:tc>
      </w:tr>
      <w:tr w:rsidR="007F6A93" w:rsidRPr="00122856" w14:paraId="0A08E76E" w14:textId="77777777" w:rsidTr="006F2FBE">
        <w:trPr>
          <w:cantSplit/>
        </w:trPr>
        <w:tc>
          <w:tcPr>
            <w:tcW w:w="7538" w:type="dxa"/>
            <w:shd w:val="clear" w:color="auto" w:fill="auto"/>
            <w:vAlign w:val="center"/>
          </w:tcPr>
          <w:p w14:paraId="06603BA3" w14:textId="77777777" w:rsidR="007F6A93" w:rsidRPr="006F2FBE" w:rsidRDefault="007F6A93" w:rsidP="006F2FBE">
            <w:pPr>
              <w:pStyle w:val="COMParabodytext"/>
              <w:numPr>
                <w:ilvl w:val="0"/>
                <w:numId w:val="0"/>
              </w:numPr>
              <w:jc w:val="right"/>
              <w:rPr>
                <w:b/>
                <w:bCs/>
                <w:sz w:val="20"/>
                <w:szCs w:val="20"/>
                <w:lang w:val="fr-FR"/>
              </w:rPr>
            </w:pPr>
            <w:r w:rsidRPr="006F2FBE">
              <w:rPr>
                <w:b/>
                <w:bCs/>
                <w:sz w:val="20"/>
                <w:szCs w:val="20"/>
                <w:lang w:val="fr-FR"/>
              </w:rPr>
              <w:t>TOTAL</w:t>
            </w:r>
          </w:p>
        </w:tc>
        <w:tc>
          <w:tcPr>
            <w:tcW w:w="1534" w:type="dxa"/>
            <w:shd w:val="clear" w:color="auto" w:fill="auto"/>
            <w:vAlign w:val="center"/>
          </w:tcPr>
          <w:p w14:paraId="34DC7F35" w14:textId="77777777" w:rsidR="007F6A93" w:rsidRPr="006F2FBE" w:rsidRDefault="007F6A93" w:rsidP="006F2FBE">
            <w:pPr>
              <w:pStyle w:val="COMParabodytext"/>
              <w:numPr>
                <w:ilvl w:val="0"/>
                <w:numId w:val="0"/>
              </w:numPr>
              <w:jc w:val="right"/>
              <w:rPr>
                <w:b/>
                <w:sz w:val="20"/>
                <w:szCs w:val="20"/>
                <w:lang w:val="fr-FR"/>
              </w:rPr>
            </w:pPr>
            <w:r w:rsidRPr="006F2FBE">
              <w:rPr>
                <w:b/>
                <w:bCs/>
                <w:sz w:val="20"/>
                <w:szCs w:val="20"/>
                <w:lang w:val="fr-FR"/>
              </w:rPr>
              <w:t>5</w:t>
            </w:r>
            <w:r w:rsidR="00CA40F1" w:rsidRPr="006F2FBE">
              <w:rPr>
                <w:b/>
                <w:bCs/>
                <w:sz w:val="20"/>
                <w:szCs w:val="20"/>
                <w:lang w:val="fr-FR"/>
              </w:rPr>
              <w:t> </w:t>
            </w:r>
            <w:r w:rsidRPr="006F2FBE">
              <w:rPr>
                <w:b/>
                <w:bCs/>
                <w:sz w:val="20"/>
                <w:szCs w:val="20"/>
                <w:lang w:val="fr-FR"/>
              </w:rPr>
              <w:t>494</w:t>
            </w:r>
            <w:r w:rsidR="00CA40F1" w:rsidRPr="006F2FBE">
              <w:rPr>
                <w:b/>
                <w:bCs/>
                <w:sz w:val="20"/>
                <w:szCs w:val="20"/>
                <w:lang w:val="fr-FR"/>
              </w:rPr>
              <w:t> </w:t>
            </w:r>
            <w:r w:rsidRPr="006F2FBE">
              <w:rPr>
                <w:b/>
                <w:bCs/>
                <w:sz w:val="20"/>
                <w:szCs w:val="20"/>
                <w:lang w:val="fr-FR"/>
              </w:rPr>
              <w:t>255</w:t>
            </w:r>
          </w:p>
        </w:tc>
      </w:tr>
    </w:tbl>
    <w:p w14:paraId="12A30BE7" w14:textId="1D421196" w:rsidR="0057439C" w:rsidRPr="004E50B6" w:rsidRDefault="00E4202D" w:rsidP="006F2FBE">
      <w:pPr>
        <w:pStyle w:val="COMParabodytext"/>
        <w:spacing w:before="120"/>
        <w:rPr>
          <w:lang w:val="fr-FR"/>
        </w:rPr>
      </w:pPr>
      <w:r w:rsidRPr="004E50B6">
        <w:rPr>
          <w:lang w:val="fr-FR"/>
        </w:rPr>
        <w:t>L</w:t>
      </w:r>
      <w:r w:rsidR="00BA5A4B" w:rsidRPr="004E50B6">
        <w:rPr>
          <w:lang w:val="fr-FR"/>
        </w:rPr>
        <w:t>’état d</w:t>
      </w:r>
      <w:r w:rsidRPr="004E50B6">
        <w:rPr>
          <w:lang w:val="fr-FR"/>
        </w:rPr>
        <w:t xml:space="preserve">es contributions </w:t>
      </w:r>
      <w:r w:rsidR="003C7055" w:rsidRPr="004E50B6">
        <w:rPr>
          <w:lang w:val="fr-FR"/>
        </w:rPr>
        <w:t xml:space="preserve">réglementaires, </w:t>
      </w:r>
      <w:r w:rsidRPr="004E50B6">
        <w:rPr>
          <w:lang w:val="fr-FR"/>
        </w:rPr>
        <w:t>obligatoires et volontaires</w:t>
      </w:r>
      <w:r w:rsidR="003C7055" w:rsidRPr="004E50B6">
        <w:rPr>
          <w:lang w:val="fr-FR"/>
        </w:rPr>
        <w:t>,</w:t>
      </w:r>
      <w:r w:rsidRPr="004E50B6">
        <w:rPr>
          <w:lang w:val="fr-FR"/>
        </w:rPr>
        <w:t xml:space="preserve"> </w:t>
      </w:r>
      <w:r w:rsidR="00C96C02" w:rsidRPr="004E50B6">
        <w:rPr>
          <w:lang w:val="fr-FR"/>
        </w:rPr>
        <w:t>figurant</w:t>
      </w:r>
      <w:r w:rsidRPr="004E50B6">
        <w:rPr>
          <w:lang w:val="fr-FR"/>
        </w:rPr>
        <w:t xml:space="preserve"> en </w:t>
      </w:r>
      <w:r w:rsidR="003C7055" w:rsidRPr="004E50B6">
        <w:rPr>
          <w:lang w:val="fr-FR"/>
        </w:rPr>
        <w:t>annexe </w:t>
      </w:r>
      <w:r w:rsidR="00C904B0" w:rsidRPr="004E50B6">
        <w:rPr>
          <w:lang w:val="fr-FR"/>
        </w:rPr>
        <w:t>III (pages </w:t>
      </w:r>
      <w:r w:rsidR="00CE11CD">
        <w:rPr>
          <w:lang w:val="fr-FR"/>
        </w:rPr>
        <w:t>19</w:t>
      </w:r>
      <w:r w:rsidR="006F2FBE" w:rsidRPr="004E50B6">
        <w:rPr>
          <w:lang w:val="fr-FR"/>
        </w:rPr>
        <w:t>-2</w:t>
      </w:r>
      <w:r w:rsidR="00CE11CD">
        <w:rPr>
          <w:lang w:val="fr-FR"/>
        </w:rPr>
        <w:t>0</w:t>
      </w:r>
      <w:r w:rsidR="00C904B0" w:rsidRPr="004E50B6">
        <w:rPr>
          <w:lang w:val="fr-FR"/>
        </w:rPr>
        <w:t xml:space="preserve">) </w:t>
      </w:r>
      <w:r w:rsidRPr="004E50B6">
        <w:rPr>
          <w:lang w:val="fr-FR"/>
        </w:rPr>
        <w:t xml:space="preserve">montre qu’au </w:t>
      </w:r>
      <w:r w:rsidR="00C904B0" w:rsidRPr="004E50B6">
        <w:rPr>
          <w:lang w:val="fr-FR"/>
        </w:rPr>
        <w:t>31 </w:t>
      </w:r>
      <w:r w:rsidRPr="004E50B6">
        <w:rPr>
          <w:lang w:val="fr-FR"/>
        </w:rPr>
        <w:t>août</w:t>
      </w:r>
      <w:r w:rsidR="00C904B0" w:rsidRPr="004E50B6">
        <w:rPr>
          <w:lang w:val="fr-FR"/>
        </w:rPr>
        <w:t> 2015, 72 </w:t>
      </w:r>
      <w:r w:rsidR="00EE57F4" w:rsidRPr="004E50B6">
        <w:rPr>
          <w:lang w:val="fr-FR"/>
        </w:rPr>
        <w:t>États</w:t>
      </w:r>
      <w:r w:rsidRPr="004E50B6">
        <w:rPr>
          <w:lang w:val="fr-FR"/>
        </w:rPr>
        <w:t xml:space="preserve"> parties étaient à jour de leur contribution obligatoire, tandis que </w:t>
      </w:r>
      <w:r w:rsidR="00C904B0" w:rsidRPr="004E50B6">
        <w:rPr>
          <w:lang w:val="fr-FR"/>
        </w:rPr>
        <w:t>85 </w:t>
      </w:r>
      <w:r w:rsidR="00EE57F4" w:rsidRPr="004E50B6">
        <w:rPr>
          <w:lang w:val="fr-FR"/>
        </w:rPr>
        <w:t>États</w:t>
      </w:r>
      <w:r w:rsidRPr="004E50B6">
        <w:rPr>
          <w:lang w:val="fr-FR"/>
        </w:rPr>
        <w:t xml:space="preserve"> parties étaient en retard</w:t>
      </w:r>
      <w:r w:rsidR="00C904B0" w:rsidRPr="004E50B6">
        <w:rPr>
          <w:lang w:val="fr-FR"/>
        </w:rPr>
        <w:t xml:space="preserve">. </w:t>
      </w:r>
      <w:r w:rsidR="00BA5A4B" w:rsidRPr="004E50B6">
        <w:rPr>
          <w:lang w:val="fr-FR"/>
        </w:rPr>
        <w:t>Concernant les contributions volontaires, trois</w:t>
      </w:r>
      <w:r w:rsidR="00C904B0" w:rsidRPr="004E50B6">
        <w:rPr>
          <w:lang w:val="fr-FR"/>
        </w:rPr>
        <w:t xml:space="preserve"> </w:t>
      </w:r>
      <w:r w:rsidR="00EE57F4" w:rsidRPr="004E50B6">
        <w:rPr>
          <w:lang w:val="fr-FR"/>
        </w:rPr>
        <w:t>États</w:t>
      </w:r>
      <w:r w:rsidR="00BA5A4B" w:rsidRPr="004E50B6">
        <w:rPr>
          <w:lang w:val="fr-FR"/>
        </w:rPr>
        <w:t xml:space="preserve"> parties sur cinq</w:t>
      </w:r>
      <w:r w:rsidR="00C904B0" w:rsidRPr="004E50B6">
        <w:rPr>
          <w:lang w:val="fr-FR"/>
        </w:rPr>
        <w:t xml:space="preserve"> </w:t>
      </w:r>
      <w:r w:rsidR="00BA5A4B" w:rsidRPr="004E50B6">
        <w:rPr>
          <w:lang w:val="fr-FR"/>
        </w:rPr>
        <w:t>avaient versé leur contribution au Fonds du patrimoine culturel immatériel</w:t>
      </w:r>
      <w:r w:rsidR="00C904B0" w:rsidRPr="004E50B6">
        <w:rPr>
          <w:lang w:val="fr-FR"/>
        </w:rPr>
        <w:t xml:space="preserve">. </w:t>
      </w:r>
      <w:r w:rsidR="00C96C02" w:rsidRPr="004E50B6">
        <w:rPr>
          <w:lang w:val="fr-FR"/>
        </w:rPr>
        <w:t xml:space="preserve">Cet état montre également que </w:t>
      </w:r>
      <w:r w:rsidR="00C904B0" w:rsidRPr="004E50B6">
        <w:rPr>
          <w:lang w:val="fr-FR"/>
        </w:rPr>
        <w:t>325</w:t>
      </w:r>
      <w:r w:rsidR="00C96C02" w:rsidRPr="004E50B6">
        <w:rPr>
          <w:lang w:val="fr-FR"/>
        </w:rPr>
        <w:t> </w:t>
      </w:r>
      <w:r w:rsidR="00C904B0" w:rsidRPr="004E50B6">
        <w:rPr>
          <w:lang w:val="fr-FR"/>
        </w:rPr>
        <w:t>865</w:t>
      </w:r>
      <w:r w:rsidR="00C96C02" w:rsidRPr="004E50B6">
        <w:rPr>
          <w:lang w:val="fr-FR"/>
        </w:rPr>
        <w:t xml:space="preserve"> dollars des </w:t>
      </w:r>
      <w:r w:rsidR="00EE57F4" w:rsidRPr="004E50B6">
        <w:rPr>
          <w:lang w:val="fr-FR"/>
        </w:rPr>
        <w:t>États-Unis</w:t>
      </w:r>
      <w:r w:rsidR="003C7055" w:rsidRPr="004E50B6">
        <w:rPr>
          <w:lang w:val="fr-FR"/>
        </w:rPr>
        <w:t xml:space="preserve"> de contributions obligatoires</w:t>
      </w:r>
      <w:r w:rsidR="00C904B0" w:rsidRPr="004E50B6">
        <w:rPr>
          <w:lang w:val="fr-FR"/>
        </w:rPr>
        <w:t xml:space="preserve"> </w:t>
      </w:r>
      <w:r w:rsidR="00C96C02" w:rsidRPr="004E50B6">
        <w:rPr>
          <w:lang w:val="fr-FR"/>
        </w:rPr>
        <w:t xml:space="preserve">auraient dû être reçus au </w:t>
      </w:r>
      <w:r w:rsidR="005F6B62" w:rsidRPr="004E50B6">
        <w:rPr>
          <w:lang w:val="fr-FR"/>
        </w:rPr>
        <w:t>31 </w:t>
      </w:r>
      <w:r w:rsidR="00C96C02" w:rsidRPr="004E50B6">
        <w:rPr>
          <w:lang w:val="fr-FR"/>
        </w:rPr>
        <w:t>août</w:t>
      </w:r>
      <w:r w:rsidR="005F6B62" w:rsidRPr="004E50B6">
        <w:rPr>
          <w:lang w:val="fr-FR"/>
        </w:rPr>
        <w:t xml:space="preserve"> 2015</w:t>
      </w:r>
      <w:r w:rsidR="00C96C02" w:rsidRPr="004E50B6">
        <w:rPr>
          <w:lang w:val="fr-FR"/>
        </w:rPr>
        <w:t xml:space="preserve">, soit </w:t>
      </w:r>
      <w:r w:rsidR="00C904B0" w:rsidRPr="004E50B6">
        <w:rPr>
          <w:lang w:val="fr-FR"/>
        </w:rPr>
        <w:t>18</w:t>
      </w:r>
      <w:r w:rsidR="00C96C02" w:rsidRPr="004E50B6">
        <w:rPr>
          <w:lang w:val="fr-FR"/>
        </w:rPr>
        <w:t>,</w:t>
      </w:r>
      <w:r w:rsidR="00C904B0" w:rsidRPr="004E50B6">
        <w:rPr>
          <w:lang w:val="fr-FR"/>
        </w:rPr>
        <w:t>5</w:t>
      </w:r>
      <w:r w:rsidR="00C96C02" w:rsidRPr="004E50B6">
        <w:rPr>
          <w:lang w:val="fr-FR"/>
        </w:rPr>
        <w:t> </w:t>
      </w:r>
      <w:r w:rsidR="00C904B0" w:rsidRPr="004E50B6">
        <w:rPr>
          <w:lang w:val="fr-FR"/>
        </w:rPr>
        <w:t>%</w:t>
      </w:r>
      <w:r w:rsidR="00C96C02" w:rsidRPr="004E50B6">
        <w:rPr>
          <w:lang w:val="fr-FR"/>
        </w:rPr>
        <w:t xml:space="preserve"> du montant </w:t>
      </w:r>
      <w:r w:rsidR="00C904B0" w:rsidRPr="004E50B6">
        <w:rPr>
          <w:lang w:val="fr-FR"/>
        </w:rPr>
        <w:t xml:space="preserve">total </w:t>
      </w:r>
      <w:r w:rsidR="00C96C02" w:rsidRPr="004E50B6">
        <w:rPr>
          <w:lang w:val="fr-FR"/>
        </w:rPr>
        <w:t xml:space="preserve">des </w:t>
      </w:r>
      <w:r w:rsidR="00C904B0" w:rsidRPr="004E50B6">
        <w:rPr>
          <w:lang w:val="fr-FR"/>
        </w:rPr>
        <w:t xml:space="preserve">contributions </w:t>
      </w:r>
      <w:r w:rsidR="005F6B62" w:rsidRPr="004E50B6">
        <w:rPr>
          <w:lang w:val="fr-FR"/>
        </w:rPr>
        <w:t xml:space="preserve">mises en recouvrement </w:t>
      </w:r>
      <w:r w:rsidR="00C96C02" w:rsidRPr="004E50B6">
        <w:rPr>
          <w:lang w:val="fr-FR"/>
        </w:rPr>
        <w:t xml:space="preserve">pour </w:t>
      </w:r>
      <w:r w:rsidR="00C904B0" w:rsidRPr="004E50B6">
        <w:rPr>
          <w:lang w:val="fr-FR"/>
        </w:rPr>
        <w:t xml:space="preserve">2015. </w:t>
      </w:r>
      <w:r w:rsidR="000E4518" w:rsidRPr="004E50B6">
        <w:rPr>
          <w:lang w:val="fr-FR"/>
        </w:rPr>
        <w:t xml:space="preserve">Par ailleurs, les arriérés antérieurs à </w:t>
      </w:r>
      <w:r w:rsidR="00C904B0" w:rsidRPr="004E50B6">
        <w:rPr>
          <w:lang w:val="fr-FR"/>
        </w:rPr>
        <w:t xml:space="preserve">2015 </w:t>
      </w:r>
      <w:r w:rsidR="000E4518" w:rsidRPr="004E50B6">
        <w:rPr>
          <w:lang w:val="fr-FR"/>
        </w:rPr>
        <w:t xml:space="preserve">étaient de </w:t>
      </w:r>
      <w:r w:rsidR="00C904B0" w:rsidRPr="004E50B6">
        <w:rPr>
          <w:lang w:val="fr-FR"/>
        </w:rPr>
        <w:t>61</w:t>
      </w:r>
      <w:r w:rsidR="000E4518" w:rsidRPr="004E50B6">
        <w:rPr>
          <w:lang w:val="fr-FR"/>
        </w:rPr>
        <w:t> </w:t>
      </w:r>
      <w:r w:rsidR="00C904B0" w:rsidRPr="004E50B6">
        <w:rPr>
          <w:lang w:val="fr-FR"/>
        </w:rPr>
        <w:t>191</w:t>
      </w:r>
      <w:r w:rsidR="000E4518" w:rsidRPr="004E50B6">
        <w:rPr>
          <w:lang w:val="fr-FR"/>
        </w:rPr>
        <w:t xml:space="preserve"> dollars des </w:t>
      </w:r>
      <w:r w:rsidR="00EE57F4" w:rsidRPr="004E50B6">
        <w:rPr>
          <w:lang w:val="fr-FR"/>
        </w:rPr>
        <w:t>États-Unis</w:t>
      </w:r>
      <w:r w:rsidR="00C904B0" w:rsidRPr="004E50B6">
        <w:rPr>
          <w:lang w:val="fr-FR"/>
        </w:rPr>
        <w:t>.</w:t>
      </w:r>
    </w:p>
    <w:p w14:paraId="140C6574" w14:textId="6079FFFA" w:rsidR="0057439C" w:rsidRPr="004E50B6" w:rsidRDefault="003377B5" w:rsidP="0096485B">
      <w:pPr>
        <w:pStyle w:val="COMParabodytext"/>
        <w:keepNext/>
        <w:numPr>
          <w:ilvl w:val="0"/>
          <w:numId w:val="0"/>
        </w:numPr>
        <w:spacing w:before="240"/>
        <w:ind w:left="567" w:hanging="567"/>
        <w:jc w:val="left"/>
        <w:rPr>
          <w:lang w:val="fr-FR"/>
        </w:rPr>
      </w:pPr>
      <w:r w:rsidRPr="004E50B6">
        <w:rPr>
          <w:b/>
          <w:lang w:val="fr-FR"/>
        </w:rPr>
        <w:t>B.</w:t>
      </w:r>
      <w:r w:rsidRPr="004E50B6">
        <w:rPr>
          <w:b/>
          <w:lang w:val="fr-FR"/>
        </w:rPr>
        <w:tab/>
      </w:r>
      <w:r w:rsidR="000E4518" w:rsidRPr="004E50B6">
        <w:rPr>
          <w:b/>
          <w:lang w:val="fr-FR"/>
        </w:rPr>
        <w:t>Échelonnement des crédits et des dépenses pour la période du 1</w:t>
      </w:r>
      <w:r w:rsidR="000E4518" w:rsidRPr="004E50B6">
        <w:rPr>
          <w:b/>
          <w:vertAlign w:val="superscript"/>
          <w:lang w:val="fr-FR"/>
        </w:rPr>
        <w:t>er</w:t>
      </w:r>
      <w:r w:rsidR="000E4518" w:rsidRPr="004E50B6">
        <w:rPr>
          <w:b/>
          <w:lang w:val="fr-FR"/>
        </w:rPr>
        <w:t xml:space="preserve"> janvier 2014</w:t>
      </w:r>
      <w:r w:rsidR="005F6B62" w:rsidRPr="004E50B6">
        <w:rPr>
          <w:b/>
          <w:lang w:val="fr-FR"/>
        </w:rPr>
        <w:br/>
      </w:r>
      <w:proofErr w:type="gramStart"/>
      <w:r w:rsidR="000E4518" w:rsidRPr="004E50B6">
        <w:rPr>
          <w:b/>
          <w:lang w:val="fr-FR"/>
        </w:rPr>
        <w:t>au 31</w:t>
      </w:r>
      <w:r w:rsidR="004A64DB" w:rsidRPr="004E50B6">
        <w:rPr>
          <w:b/>
          <w:lang w:val="fr-FR"/>
        </w:rPr>
        <w:t> </w:t>
      </w:r>
      <w:r w:rsidR="000E4518" w:rsidRPr="004E50B6">
        <w:rPr>
          <w:b/>
          <w:lang w:val="fr-FR"/>
        </w:rPr>
        <w:t>août</w:t>
      </w:r>
      <w:proofErr w:type="gramEnd"/>
      <w:r w:rsidR="000E4518" w:rsidRPr="004E50B6">
        <w:rPr>
          <w:b/>
          <w:lang w:val="fr-FR"/>
        </w:rPr>
        <w:t xml:space="preserve"> 2015 </w:t>
      </w:r>
      <w:r w:rsidRPr="004E50B6">
        <w:rPr>
          <w:b/>
          <w:lang w:val="fr-FR"/>
        </w:rPr>
        <w:t>(</w:t>
      </w:r>
      <w:r w:rsidR="00EE57F4" w:rsidRPr="004E50B6">
        <w:rPr>
          <w:b/>
          <w:lang w:val="fr-FR"/>
        </w:rPr>
        <w:t>État</w:t>
      </w:r>
      <w:r w:rsidR="00711E75" w:rsidRPr="004E50B6">
        <w:rPr>
          <w:b/>
          <w:lang w:val="fr-FR"/>
        </w:rPr>
        <w:t xml:space="preserve"> financier</w:t>
      </w:r>
      <w:r w:rsidRPr="004E50B6">
        <w:rPr>
          <w:b/>
          <w:lang w:val="fr-FR"/>
        </w:rPr>
        <w:t xml:space="preserve"> I, page </w:t>
      </w:r>
      <w:r w:rsidR="006F2FBE" w:rsidRPr="004E50B6">
        <w:rPr>
          <w:b/>
          <w:lang w:val="fr-FR"/>
        </w:rPr>
        <w:t>13</w:t>
      </w:r>
      <w:r w:rsidRPr="004E50B6">
        <w:rPr>
          <w:b/>
          <w:lang w:val="fr-FR"/>
        </w:rPr>
        <w:t>)</w:t>
      </w:r>
      <w:r w:rsidR="005F6B62" w:rsidRPr="004E50B6">
        <w:rPr>
          <w:rStyle w:val="FootnoteReference"/>
          <w:b/>
          <w:lang w:val="fr-FR"/>
        </w:rPr>
        <w:footnoteReference w:id="5"/>
      </w:r>
    </w:p>
    <w:p w14:paraId="3A9CC006" w14:textId="6EA1C6B4" w:rsidR="0057439C" w:rsidRPr="004E50B6" w:rsidRDefault="00711E75" w:rsidP="00E333A5">
      <w:pPr>
        <w:pStyle w:val="COMParabodytext"/>
        <w:rPr>
          <w:lang w:val="fr-FR"/>
        </w:rPr>
      </w:pPr>
      <w:r w:rsidRPr="004E50B6">
        <w:rPr>
          <w:lang w:val="fr-FR"/>
        </w:rPr>
        <w:t xml:space="preserve">Le budget opérationnel total indiqué dans </w:t>
      </w:r>
      <w:r w:rsidR="00260195" w:rsidRPr="004E50B6">
        <w:rPr>
          <w:lang w:val="fr-FR"/>
        </w:rPr>
        <w:t>l’</w:t>
      </w:r>
      <w:r w:rsidR="00EE57F4" w:rsidRPr="004E50B6">
        <w:rPr>
          <w:lang w:val="fr-FR"/>
        </w:rPr>
        <w:t>Échelonnement</w:t>
      </w:r>
      <w:r w:rsidR="00260195" w:rsidRPr="004E50B6">
        <w:rPr>
          <w:lang w:val="fr-FR"/>
        </w:rPr>
        <w:t xml:space="preserve"> des crédits et des dépenses </w:t>
      </w:r>
      <w:r w:rsidR="003377B5" w:rsidRPr="004E50B6">
        <w:rPr>
          <w:lang w:val="fr-FR"/>
        </w:rPr>
        <w:t>(6</w:t>
      </w:r>
      <w:r w:rsidR="00260195" w:rsidRPr="004E50B6">
        <w:rPr>
          <w:lang w:val="fr-FR"/>
        </w:rPr>
        <w:t> </w:t>
      </w:r>
      <w:r w:rsidR="003377B5" w:rsidRPr="004E50B6">
        <w:rPr>
          <w:lang w:val="fr-FR"/>
        </w:rPr>
        <w:t>755</w:t>
      </w:r>
      <w:r w:rsidR="00260195" w:rsidRPr="004E50B6">
        <w:rPr>
          <w:lang w:val="fr-FR"/>
        </w:rPr>
        <w:t> </w:t>
      </w:r>
      <w:r w:rsidR="003377B5" w:rsidRPr="004E50B6">
        <w:rPr>
          <w:lang w:val="fr-FR"/>
        </w:rPr>
        <w:t>438</w:t>
      </w:r>
      <w:r w:rsidR="00260195" w:rsidRPr="004E50B6">
        <w:rPr>
          <w:lang w:val="fr-FR"/>
        </w:rPr>
        <w:t xml:space="preserve"> dollars des </w:t>
      </w:r>
      <w:r w:rsidR="00EE57F4" w:rsidRPr="004E50B6">
        <w:rPr>
          <w:lang w:val="fr-FR"/>
        </w:rPr>
        <w:t>États-Unis</w:t>
      </w:r>
      <w:r w:rsidR="00260195" w:rsidRPr="004E50B6">
        <w:rPr>
          <w:lang w:val="fr-FR"/>
        </w:rPr>
        <w:t>) correspond</w:t>
      </w:r>
      <w:r w:rsidR="003377B5" w:rsidRPr="004E50B6">
        <w:rPr>
          <w:lang w:val="fr-FR"/>
        </w:rPr>
        <w:t xml:space="preserve"> </w:t>
      </w:r>
      <w:r w:rsidR="00260195" w:rsidRPr="004E50B6">
        <w:rPr>
          <w:lang w:val="fr-FR"/>
        </w:rPr>
        <w:t xml:space="preserve">au total </w:t>
      </w:r>
      <w:r w:rsidR="00E16144" w:rsidRPr="004E50B6">
        <w:rPr>
          <w:lang w:val="fr-FR"/>
        </w:rPr>
        <w:t>des réserves et des soldes de compte des fonds</w:t>
      </w:r>
      <w:r w:rsidR="007715B1" w:rsidRPr="004E50B6">
        <w:rPr>
          <w:lang w:val="fr-FR"/>
        </w:rPr>
        <w:t xml:space="preserve"> à usage non restrictif disponible</w:t>
      </w:r>
      <w:r w:rsidR="00A9039A" w:rsidRPr="004E50B6">
        <w:rPr>
          <w:lang w:val="fr-FR"/>
        </w:rPr>
        <w:t>s</w:t>
      </w:r>
      <w:r w:rsidR="007715B1" w:rsidRPr="004E50B6">
        <w:rPr>
          <w:lang w:val="fr-FR"/>
        </w:rPr>
        <w:t xml:space="preserve"> au 1</w:t>
      </w:r>
      <w:r w:rsidR="007715B1" w:rsidRPr="004E50B6">
        <w:rPr>
          <w:vertAlign w:val="superscript"/>
          <w:lang w:val="fr-FR"/>
        </w:rPr>
        <w:t>er</w:t>
      </w:r>
      <w:r w:rsidR="007715B1" w:rsidRPr="004E50B6">
        <w:rPr>
          <w:lang w:val="fr-FR"/>
        </w:rPr>
        <w:t xml:space="preserve"> janvier</w:t>
      </w:r>
      <w:r w:rsidR="003377B5" w:rsidRPr="004E50B6">
        <w:rPr>
          <w:lang w:val="fr-FR"/>
        </w:rPr>
        <w:t> 2014 (7</w:t>
      </w:r>
      <w:r w:rsidR="007C5930" w:rsidRPr="004E50B6">
        <w:rPr>
          <w:lang w:val="fr-FR"/>
        </w:rPr>
        <w:t> </w:t>
      </w:r>
      <w:r w:rsidR="003377B5" w:rsidRPr="004E50B6">
        <w:rPr>
          <w:lang w:val="fr-FR"/>
        </w:rPr>
        <w:t>393</w:t>
      </w:r>
      <w:r w:rsidR="007C5930" w:rsidRPr="004E50B6">
        <w:rPr>
          <w:lang w:val="fr-FR"/>
        </w:rPr>
        <w:t> </w:t>
      </w:r>
      <w:r w:rsidR="003377B5" w:rsidRPr="004E50B6">
        <w:rPr>
          <w:lang w:val="fr-FR"/>
        </w:rPr>
        <w:t>476</w:t>
      </w:r>
      <w:r w:rsidR="00A9039A" w:rsidRPr="004E50B6">
        <w:rPr>
          <w:lang w:val="fr-FR"/>
        </w:rPr>
        <w:t> dollars des États-Unis</w:t>
      </w:r>
      <w:r w:rsidR="003377B5" w:rsidRPr="004E50B6">
        <w:rPr>
          <w:lang w:val="fr-FR"/>
        </w:rPr>
        <w:t>)</w:t>
      </w:r>
      <w:r w:rsidR="00B06AD6" w:rsidRPr="004E50B6">
        <w:rPr>
          <w:lang w:val="fr-FR"/>
        </w:rPr>
        <w:t>,</w:t>
      </w:r>
      <w:r w:rsidR="003377B5" w:rsidRPr="004E50B6">
        <w:rPr>
          <w:lang w:val="fr-FR"/>
        </w:rPr>
        <w:t xml:space="preserve"> m</w:t>
      </w:r>
      <w:r w:rsidR="007C5930" w:rsidRPr="004E50B6">
        <w:rPr>
          <w:lang w:val="fr-FR"/>
        </w:rPr>
        <w:t>o</w:t>
      </w:r>
      <w:r w:rsidR="003377B5" w:rsidRPr="004E50B6">
        <w:rPr>
          <w:lang w:val="fr-FR"/>
        </w:rPr>
        <w:t xml:space="preserve">ins </w:t>
      </w:r>
      <w:r w:rsidR="007C5930" w:rsidRPr="004E50B6">
        <w:rPr>
          <w:lang w:val="fr-FR"/>
        </w:rPr>
        <w:t xml:space="preserve">le Fonds de réserve accumulé </w:t>
      </w:r>
      <w:r w:rsidR="003377B5" w:rsidRPr="004E50B6">
        <w:rPr>
          <w:lang w:val="fr-FR"/>
        </w:rPr>
        <w:t>(638</w:t>
      </w:r>
      <w:r w:rsidR="007C5930" w:rsidRPr="004E50B6">
        <w:rPr>
          <w:lang w:val="fr-FR"/>
        </w:rPr>
        <w:t> </w:t>
      </w:r>
      <w:r w:rsidR="003377B5" w:rsidRPr="004E50B6">
        <w:rPr>
          <w:lang w:val="fr-FR"/>
        </w:rPr>
        <w:t>038</w:t>
      </w:r>
      <w:r w:rsidR="00A9039A" w:rsidRPr="004E50B6">
        <w:rPr>
          <w:lang w:val="fr-FR"/>
        </w:rPr>
        <w:t> dollars des États-Unis</w:t>
      </w:r>
      <w:r w:rsidR="003377B5" w:rsidRPr="004E50B6">
        <w:rPr>
          <w:lang w:val="fr-FR"/>
        </w:rPr>
        <w:t xml:space="preserve">). </w:t>
      </w:r>
      <w:r w:rsidR="007C5930" w:rsidRPr="004E50B6">
        <w:rPr>
          <w:lang w:val="fr-FR"/>
        </w:rPr>
        <w:t xml:space="preserve">Ce Fonds de réserve a été créé, conformément au Règlement financier </w:t>
      </w:r>
      <w:r w:rsidR="0088624E" w:rsidRPr="004E50B6">
        <w:rPr>
          <w:lang w:val="fr-FR"/>
        </w:rPr>
        <w:t>du C</w:t>
      </w:r>
      <w:r w:rsidR="007C5930" w:rsidRPr="004E50B6">
        <w:rPr>
          <w:lang w:val="fr-FR"/>
        </w:rPr>
        <w:t xml:space="preserve">ompte spécial </w:t>
      </w:r>
      <w:r w:rsidR="0088624E" w:rsidRPr="004E50B6">
        <w:rPr>
          <w:lang w:val="fr-FR"/>
        </w:rPr>
        <w:t>du</w:t>
      </w:r>
      <w:r w:rsidR="007C5930" w:rsidRPr="004E50B6">
        <w:rPr>
          <w:lang w:val="fr-FR"/>
        </w:rPr>
        <w:t xml:space="preserve"> Fonds</w:t>
      </w:r>
      <w:r w:rsidR="003377B5" w:rsidRPr="004E50B6">
        <w:rPr>
          <w:lang w:val="fr-FR"/>
        </w:rPr>
        <w:t xml:space="preserve">, </w:t>
      </w:r>
      <w:r w:rsidR="0088624E" w:rsidRPr="004E50B6">
        <w:rPr>
          <w:lang w:val="fr-FR"/>
        </w:rPr>
        <w:t>afin de répondre aux demandes d’assistance internationale dans les cas d’extrême urgence</w:t>
      </w:r>
      <w:r w:rsidR="00DC2F1B" w:rsidRPr="004E50B6">
        <w:rPr>
          <w:lang w:val="fr-FR"/>
        </w:rPr>
        <w:t xml:space="preserve"> et </w:t>
      </w:r>
      <w:r w:rsidR="00646067" w:rsidRPr="004E50B6">
        <w:rPr>
          <w:lang w:val="fr-FR"/>
        </w:rPr>
        <w:t xml:space="preserve">dans l’éventualité </w:t>
      </w:r>
      <w:r w:rsidR="0088624E" w:rsidRPr="004E50B6">
        <w:rPr>
          <w:lang w:val="fr-FR"/>
        </w:rPr>
        <w:t>où les fonds alloués à l’assistance internationale (ligne budgétaire</w:t>
      </w:r>
      <w:r w:rsidR="003377B5" w:rsidRPr="004E50B6">
        <w:rPr>
          <w:lang w:val="fr-FR"/>
        </w:rPr>
        <w:t xml:space="preserve"> 1) </w:t>
      </w:r>
      <w:r w:rsidR="0088624E" w:rsidRPr="004E50B6">
        <w:rPr>
          <w:lang w:val="fr-FR"/>
        </w:rPr>
        <w:t>seraient épuisés</w:t>
      </w:r>
      <w:r w:rsidR="00DC2F1B" w:rsidRPr="004E50B6">
        <w:rPr>
          <w:lang w:val="fr-FR"/>
        </w:rPr>
        <w:t>. L</w:t>
      </w:r>
      <w:r w:rsidR="00A962A1" w:rsidRPr="004E50B6">
        <w:rPr>
          <w:lang w:val="fr-FR"/>
        </w:rPr>
        <w:t xml:space="preserve">e nouveau </w:t>
      </w:r>
      <w:r w:rsidR="00646067" w:rsidRPr="004E50B6">
        <w:rPr>
          <w:lang w:val="fr-FR"/>
        </w:rPr>
        <w:t xml:space="preserve">transfert au Fonds de réserve (337 772 dollars des </w:t>
      </w:r>
      <w:r w:rsidR="00EE57F4" w:rsidRPr="004E50B6">
        <w:rPr>
          <w:lang w:val="fr-FR"/>
        </w:rPr>
        <w:t>États-Unis</w:t>
      </w:r>
      <w:r w:rsidR="00646067" w:rsidRPr="004E50B6">
        <w:rPr>
          <w:lang w:val="fr-FR"/>
        </w:rPr>
        <w:t xml:space="preserve">) </w:t>
      </w:r>
      <w:r w:rsidR="005C2D39" w:rsidRPr="004E50B6">
        <w:rPr>
          <w:lang w:val="fr-FR"/>
        </w:rPr>
        <w:t>intervenu au début de la période apparaît</w:t>
      </w:r>
      <w:r w:rsidR="00A962A1" w:rsidRPr="004E50B6">
        <w:rPr>
          <w:lang w:val="fr-FR"/>
        </w:rPr>
        <w:t xml:space="preserve"> dans l’</w:t>
      </w:r>
      <w:r w:rsidR="00EE57F4" w:rsidRPr="004E50B6">
        <w:rPr>
          <w:lang w:val="fr-FR"/>
        </w:rPr>
        <w:t>État</w:t>
      </w:r>
      <w:r w:rsidR="00A962A1" w:rsidRPr="004E50B6">
        <w:rPr>
          <w:lang w:val="fr-FR"/>
        </w:rPr>
        <w:t xml:space="preserve"> financier </w:t>
      </w:r>
      <w:r w:rsidR="003377B5" w:rsidRPr="004E50B6">
        <w:rPr>
          <w:lang w:val="fr-FR"/>
        </w:rPr>
        <w:t xml:space="preserve">II </w:t>
      </w:r>
      <w:r w:rsidR="00A962A1" w:rsidRPr="004E50B6">
        <w:rPr>
          <w:lang w:val="fr-FR"/>
        </w:rPr>
        <w:t xml:space="preserve">comme </w:t>
      </w:r>
      <w:r w:rsidR="00A061B9" w:rsidRPr="004E50B6">
        <w:rPr>
          <w:lang w:val="fr-FR"/>
        </w:rPr>
        <w:t xml:space="preserve">une </w:t>
      </w:r>
      <w:r w:rsidR="00A962A1" w:rsidRPr="004E50B6">
        <w:rPr>
          <w:lang w:val="fr-FR"/>
        </w:rPr>
        <w:t>augmentation du Fonds de réserve d’un exercice biennal à l’autre</w:t>
      </w:r>
      <w:r w:rsidR="003377B5" w:rsidRPr="004E50B6">
        <w:rPr>
          <w:lang w:val="fr-FR"/>
        </w:rPr>
        <w:t>.</w:t>
      </w:r>
    </w:p>
    <w:p w14:paraId="2A7F7874" w14:textId="23A06A3B" w:rsidR="003377B5" w:rsidRPr="00122856" w:rsidRDefault="00C54F78" w:rsidP="009E1B50">
      <w:pPr>
        <w:pStyle w:val="COMParabodytext"/>
        <w:rPr>
          <w:lang w:val="fr-FR"/>
        </w:rPr>
      </w:pPr>
      <w:r w:rsidRPr="00122856">
        <w:rPr>
          <w:lang w:val="fr-FR"/>
        </w:rPr>
        <w:t>Le</w:t>
      </w:r>
      <w:r w:rsidR="000B7173" w:rsidRPr="00122856">
        <w:rPr>
          <w:lang w:val="fr-FR"/>
        </w:rPr>
        <w:t xml:space="preserve"> Rapport financier </w:t>
      </w:r>
      <w:r w:rsidR="002B7B41" w:rsidRPr="00122856">
        <w:rPr>
          <w:lang w:val="fr-FR"/>
        </w:rPr>
        <w:t xml:space="preserve">fait apparaître une </w:t>
      </w:r>
      <w:r w:rsidR="000B7173" w:rsidRPr="00122856">
        <w:rPr>
          <w:lang w:val="fr-FR"/>
        </w:rPr>
        <w:t>dépense</w:t>
      </w:r>
      <w:r w:rsidR="002B7B41" w:rsidRPr="00122856">
        <w:rPr>
          <w:lang w:val="fr-FR"/>
        </w:rPr>
        <w:t xml:space="preserve"> totale</w:t>
      </w:r>
      <w:r w:rsidR="000B7173" w:rsidRPr="00122856">
        <w:rPr>
          <w:lang w:val="fr-FR"/>
        </w:rPr>
        <w:t xml:space="preserve"> de </w:t>
      </w:r>
      <w:r w:rsidR="00CB1FCD" w:rsidRPr="00122856">
        <w:rPr>
          <w:lang w:val="fr-FR"/>
        </w:rPr>
        <w:t>1 947 594</w:t>
      </w:r>
      <w:r w:rsidR="000B7173" w:rsidRPr="00122856">
        <w:rPr>
          <w:lang w:val="fr-FR"/>
        </w:rPr>
        <w:t xml:space="preserve"> dollars des </w:t>
      </w:r>
      <w:r w:rsidR="00EE57F4" w:rsidRPr="00122856">
        <w:rPr>
          <w:lang w:val="fr-FR"/>
        </w:rPr>
        <w:t>États-Unis</w:t>
      </w:r>
      <w:r w:rsidR="000B7173" w:rsidRPr="00122856">
        <w:rPr>
          <w:lang w:val="fr-FR"/>
        </w:rPr>
        <w:t xml:space="preserve"> au </w:t>
      </w:r>
      <w:r w:rsidR="003377B5" w:rsidRPr="00122856">
        <w:rPr>
          <w:lang w:val="fr-FR"/>
        </w:rPr>
        <w:t>31 </w:t>
      </w:r>
      <w:r w:rsidR="000B7173" w:rsidRPr="00122856">
        <w:rPr>
          <w:lang w:val="fr-FR"/>
        </w:rPr>
        <w:t>août</w:t>
      </w:r>
      <w:r w:rsidR="003377B5" w:rsidRPr="00122856">
        <w:rPr>
          <w:lang w:val="fr-FR"/>
        </w:rPr>
        <w:t xml:space="preserve"> 2015, </w:t>
      </w:r>
      <w:r w:rsidR="000B7173" w:rsidRPr="00122856">
        <w:rPr>
          <w:lang w:val="fr-FR"/>
        </w:rPr>
        <w:t xml:space="preserve">soit </w:t>
      </w:r>
      <w:r w:rsidR="00CB1FCD" w:rsidRPr="00122856">
        <w:rPr>
          <w:lang w:val="fr-FR"/>
        </w:rPr>
        <w:t>29</w:t>
      </w:r>
      <w:r w:rsidR="000B7173" w:rsidRPr="00122856">
        <w:rPr>
          <w:lang w:val="fr-FR"/>
        </w:rPr>
        <w:t> </w:t>
      </w:r>
      <w:r w:rsidR="003377B5" w:rsidRPr="00122856">
        <w:rPr>
          <w:lang w:val="fr-FR"/>
        </w:rPr>
        <w:t xml:space="preserve">% </w:t>
      </w:r>
      <w:r w:rsidR="000B7173" w:rsidRPr="00122856">
        <w:rPr>
          <w:lang w:val="fr-FR"/>
        </w:rPr>
        <w:t>du budget opérationnel approu</w:t>
      </w:r>
      <w:r w:rsidR="002B7B41" w:rsidRPr="00122856">
        <w:rPr>
          <w:lang w:val="fr-FR"/>
        </w:rPr>
        <w:t>v</w:t>
      </w:r>
      <w:r w:rsidR="000B7173" w:rsidRPr="00122856">
        <w:rPr>
          <w:lang w:val="fr-FR"/>
        </w:rPr>
        <w:t>é par l’Assemblée générale dans sa résolution</w:t>
      </w:r>
      <w:r w:rsidR="003377B5" w:rsidRPr="00122856">
        <w:rPr>
          <w:lang w:val="fr-FR"/>
        </w:rPr>
        <w:t xml:space="preserve"> 5.GA 7. </w:t>
      </w:r>
      <w:r w:rsidR="000B7173" w:rsidRPr="00122856">
        <w:rPr>
          <w:lang w:val="fr-FR"/>
        </w:rPr>
        <w:t xml:space="preserve">Toutefois, le taux de dépenses atteint </w:t>
      </w:r>
      <w:r w:rsidR="003377B5" w:rsidRPr="00122856">
        <w:rPr>
          <w:lang w:val="fr-FR"/>
        </w:rPr>
        <w:t>30</w:t>
      </w:r>
      <w:r w:rsidR="000B7173" w:rsidRPr="00122856">
        <w:rPr>
          <w:lang w:val="fr-FR"/>
        </w:rPr>
        <w:t> </w:t>
      </w:r>
      <w:r w:rsidR="003377B5" w:rsidRPr="00122856">
        <w:rPr>
          <w:lang w:val="fr-FR"/>
        </w:rPr>
        <w:t xml:space="preserve">% </w:t>
      </w:r>
      <w:r w:rsidR="000B7173" w:rsidRPr="00122856">
        <w:rPr>
          <w:lang w:val="fr-FR"/>
        </w:rPr>
        <w:t>si l’on exclut le montan</w:t>
      </w:r>
      <w:r w:rsidR="00E773F6" w:rsidRPr="00122856">
        <w:rPr>
          <w:lang w:val="fr-FR"/>
        </w:rPr>
        <w:t xml:space="preserve">t </w:t>
      </w:r>
      <w:r w:rsidR="00766784" w:rsidRPr="00122856">
        <w:rPr>
          <w:lang w:val="fr-FR"/>
        </w:rPr>
        <w:t>prévu pour le</w:t>
      </w:r>
      <w:r w:rsidR="000B7173" w:rsidRPr="00122856">
        <w:rPr>
          <w:lang w:val="fr-FR"/>
        </w:rPr>
        <w:t xml:space="preserve"> Fonds de réserve et pourrait excéder </w:t>
      </w:r>
      <w:r w:rsidR="003377B5" w:rsidRPr="00122856">
        <w:rPr>
          <w:lang w:val="fr-FR"/>
        </w:rPr>
        <w:t>40</w:t>
      </w:r>
      <w:r w:rsidR="000B7173" w:rsidRPr="00122856">
        <w:rPr>
          <w:lang w:val="fr-FR"/>
        </w:rPr>
        <w:t> </w:t>
      </w:r>
      <w:r w:rsidR="003377B5" w:rsidRPr="00122856">
        <w:rPr>
          <w:lang w:val="fr-FR"/>
        </w:rPr>
        <w:t xml:space="preserve">% </w:t>
      </w:r>
      <w:r w:rsidR="000B7173" w:rsidRPr="00122856">
        <w:rPr>
          <w:lang w:val="fr-FR"/>
        </w:rPr>
        <w:t xml:space="preserve">d’ici la fin de </w:t>
      </w:r>
      <w:r w:rsidR="003377B5" w:rsidRPr="00122856">
        <w:rPr>
          <w:lang w:val="fr-FR"/>
        </w:rPr>
        <w:t xml:space="preserve">2015, </w:t>
      </w:r>
      <w:r w:rsidR="000B7173" w:rsidRPr="00122856">
        <w:rPr>
          <w:lang w:val="fr-FR"/>
        </w:rPr>
        <w:t>s</w:t>
      </w:r>
      <w:r w:rsidR="003377B5" w:rsidRPr="00122856">
        <w:rPr>
          <w:lang w:val="fr-FR"/>
        </w:rPr>
        <w:t>i</w:t>
      </w:r>
      <w:r w:rsidR="000B7173" w:rsidRPr="00122856">
        <w:rPr>
          <w:lang w:val="fr-FR"/>
        </w:rPr>
        <w:t xml:space="preserve"> </w:t>
      </w:r>
      <w:r w:rsidR="0052788F" w:rsidRPr="00122856">
        <w:rPr>
          <w:lang w:val="fr-FR"/>
        </w:rPr>
        <w:t xml:space="preserve">l’on prend en compte </w:t>
      </w:r>
      <w:r w:rsidR="000B7173" w:rsidRPr="00122856">
        <w:rPr>
          <w:lang w:val="fr-FR"/>
        </w:rPr>
        <w:t>les dépenses prévues pour l</w:t>
      </w:r>
      <w:r w:rsidR="0052788F" w:rsidRPr="00122856">
        <w:rPr>
          <w:lang w:val="fr-FR"/>
        </w:rPr>
        <w:t>e</w:t>
      </w:r>
      <w:r w:rsidR="000B7173" w:rsidRPr="00122856">
        <w:rPr>
          <w:lang w:val="fr-FR"/>
        </w:rPr>
        <w:t xml:space="preserve"> dernier trimestre </w:t>
      </w:r>
      <w:r w:rsidR="003377B5" w:rsidRPr="00122856">
        <w:rPr>
          <w:lang w:val="fr-FR"/>
        </w:rPr>
        <w:t xml:space="preserve">2015. </w:t>
      </w:r>
      <w:r w:rsidR="0052788F" w:rsidRPr="00122856">
        <w:rPr>
          <w:lang w:val="fr-FR"/>
        </w:rPr>
        <w:t>On trouvera ci-après des explications pour chaque ligne budgétaire de l’</w:t>
      </w:r>
      <w:r w:rsidR="002B7B41" w:rsidRPr="00122856">
        <w:rPr>
          <w:lang w:val="fr-FR"/>
        </w:rPr>
        <w:t>Échelonnement</w:t>
      </w:r>
      <w:r w:rsidR="0052788F" w:rsidRPr="00122856">
        <w:rPr>
          <w:lang w:val="fr-FR"/>
        </w:rPr>
        <w:t xml:space="preserve"> des crédits et des dépenses</w:t>
      </w:r>
      <w:r w:rsidR="003377B5" w:rsidRPr="00122856">
        <w:rPr>
          <w:lang w:val="fr-FR"/>
        </w:rPr>
        <w:t>.</w:t>
      </w:r>
    </w:p>
    <w:p w14:paraId="773CBE8C" w14:textId="4EE9FEDB" w:rsidR="003377B5" w:rsidRPr="00122856" w:rsidRDefault="0052788F" w:rsidP="009E1B50">
      <w:pPr>
        <w:pStyle w:val="COMParabodytext"/>
        <w:rPr>
          <w:lang w:val="fr-FR"/>
        </w:rPr>
      </w:pPr>
      <w:r w:rsidRPr="00122856">
        <w:rPr>
          <w:lang w:val="fr-FR"/>
        </w:rPr>
        <w:t>Depuis le début de l’exercice concerné, le Comité et son Bureau ont approuvé neuf demandes d’</w:t>
      </w:r>
      <w:r w:rsidR="000C0DF5" w:rsidRPr="00122856">
        <w:rPr>
          <w:lang w:val="fr-FR"/>
        </w:rPr>
        <w:t>a</w:t>
      </w:r>
      <w:r w:rsidRPr="00122856">
        <w:rPr>
          <w:lang w:val="fr-FR"/>
        </w:rPr>
        <w:t xml:space="preserve">ssistance internationale </w:t>
      </w:r>
      <w:r w:rsidR="003377B5" w:rsidRPr="00122856">
        <w:rPr>
          <w:lang w:val="fr-FR"/>
        </w:rPr>
        <w:t>(</w:t>
      </w:r>
      <w:r w:rsidRPr="00122856">
        <w:rPr>
          <w:b/>
          <w:lang w:val="fr-FR"/>
        </w:rPr>
        <w:t>ligne</w:t>
      </w:r>
      <w:r w:rsidRPr="00122856">
        <w:rPr>
          <w:lang w:val="fr-FR"/>
        </w:rPr>
        <w:t xml:space="preserve"> </w:t>
      </w:r>
      <w:r w:rsidRPr="00122856">
        <w:rPr>
          <w:b/>
          <w:bCs/>
          <w:lang w:val="fr-FR"/>
        </w:rPr>
        <w:t>budgé</w:t>
      </w:r>
      <w:r w:rsidR="003377B5" w:rsidRPr="00122856">
        <w:rPr>
          <w:b/>
          <w:bCs/>
          <w:lang w:val="fr-FR"/>
        </w:rPr>
        <w:t>t</w:t>
      </w:r>
      <w:r w:rsidRPr="00122856">
        <w:rPr>
          <w:b/>
          <w:bCs/>
          <w:lang w:val="fr-FR"/>
        </w:rPr>
        <w:t>aire</w:t>
      </w:r>
      <w:r w:rsidR="003377B5" w:rsidRPr="00122856">
        <w:rPr>
          <w:b/>
          <w:bCs/>
          <w:lang w:val="fr-FR"/>
        </w:rPr>
        <w:t> 1</w:t>
      </w:r>
      <w:r w:rsidR="003377B5" w:rsidRPr="00122856">
        <w:rPr>
          <w:lang w:val="fr-FR"/>
        </w:rPr>
        <w:t xml:space="preserve">). </w:t>
      </w:r>
      <w:r w:rsidR="000C0DF5" w:rsidRPr="00122856">
        <w:rPr>
          <w:lang w:val="fr-FR"/>
        </w:rPr>
        <w:t xml:space="preserve">Mais </w:t>
      </w:r>
      <w:r w:rsidR="0036296B" w:rsidRPr="00122856">
        <w:rPr>
          <w:lang w:val="fr-FR"/>
        </w:rPr>
        <w:t xml:space="preserve">à l’heure </w:t>
      </w:r>
      <w:r w:rsidR="000C0DF5" w:rsidRPr="00122856">
        <w:rPr>
          <w:lang w:val="fr-FR"/>
        </w:rPr>
        <w:t>où nous écrivons</w:t>
      </w:r>
      <w:r w:rsidR="0036296B" w:rsidRPr="00122856">
        <w:rPr>
          <w:lang w:val="fr-FR"/>
        </w:rPr>
        <w:t>,</w:t>
      </w:r>
      <w:r w:rsidR="000C0DF5" w:rsidRPr="00122856">
        <w:rPr>
          <w:lang w:val="fr-FR"/>
        </w:rPr>
        <w:t xml:space="preserve"> quatre d’entre elles n</w:t>
      </w:r>
      <w:r w:rsidR="0036296B" w:rsidRPr="00122856">
        <w:rPr>
          <w:lang w:val="fr-FR"/>
        </w:rPr>
        <w:t>’étaient</w:t>
      </w:r>
      <w:r w:rsidR="000C0DF5" w:rsidRPr="00122856">
        <w:rPr>
          <w:lang w:val="fr-FR"/>
        </w:rPr>
        <w:t xml:space="preserve"> pas encore </w:t>
      </w:r>
      <w:r w:rsidR="00A834DF" w:rsidRPr="00122856">
        <w:rPr>
          <w:lang w:val="fr-FR"/>
        </w:rPr>
        <w:t xml:space="preserve">concrétisées </w:t>
      </w:r>
      <w:r w:rsidR="000C0DF5" w:rsidRPr="00122856">
        <w:rPr>
          <w:lang w:val="fr-FR"/>
        </w:rPr>
        <w:t>par un contrat et, de ce fait, n’apparaissent pas dans cet état financier</w:t>
      </w:r>
      <w:r w:rsidR="003377B5" w:rsidRPr="00122856">
        <w:rPr>
          <w:lang w:val="fr-FR"/>
        </w:rPr>
        <w:t xml:space="preserve">. </w:t>
      </w:r>
      <w:r w:rsidR="0036296B" w:rsidRPr="00122856">
        <w:rPr>
          <w:lang w:val="fr-FR"/>
        </w:rPr>
        <w:t>Parmi ce</w:t>
      </w:r>
      <w:r w:rsidR="00E773F6" w:rsidRPr="00122856">
        <w:rPr>
          <w:lang w:val="fr-FR"/>
        </w:rPr>
        <w:t>s</w:t>
      </w:r>
      <w:r w:rsidR="0036296B" w:rsidRPr="00122856">
        <w:rPr>
          <w:lang w:val="fr-FR"/>
        </w:rPr>
        <w:t xml:space="preserve"> dernières, trois </w:t>
      </w:r>
      <w:r w:rsidR="004D25BE" w:rsidRPr="00122856">
        <w:rPr>
          <w:lang w:val="fr-FR"/>
        </w:rPr>
        <w:t>n’</w:t>
      </w:r>
      <w:r w:rsidR="0036296B" w:rsidRPr="00122856">
        <w:rPr>
          <w:lang w:val="fr-FR"/>
        </w:rPr>
        <w:t xml:space="preserve">ont été accordées </w:t>
      </w:r>
      <w:r w:rsidR="004D25BE" w:rsidRPr="00122856">
        <w:rPr>
          <w:lang w:val="fr-FR"/>
        </w:rPr>
        <w:t xml:space="preserve">que </w:t>
      </w:r>
      <w:r w:rsidR="0036296B" w:rsidRPr="00122856">
        <w:rPr>
          <w:lang w:val="fr-FR"/>
        </w:rPr>
        <w:t xml:space="preserve">récemment par le Bureau qui s’est réuni le </w:t>
      </w:r>
      <w:r w:rsidR="003377B5" w:rsidRPr="00122856">
        <w:rPr>
          <w:lang w:val="fr-FR"/>
        </w:rPr>
        <w:t>6 </w:t>
      </w:r>
      <w:r w:rsidR="0036296B" w:rsidRPr="00122856">
        <w:rPr>
          <w:lang w:val="fr-FR"/>
        </w:rPr>
        <w:t>o</w:t>
      </w:r>
      <w:r w:rsidR="003377B5" w:rsidRPr="00122856">
        <w:rPr>
          <w:lang w:val="fr-FR"/>
        </w:rPr>
        <w:t>ctob</w:t>
      </w:r>
      <w:r w:rsidR="0036296B" w:rsidRPr="00122856">
        <w:rPr>
          <w:lang w:val="fr-FR"/>
        </w:rPr>
        <w:t>r</w:t>
      </w:r>
      <w:r w:rsidR="003377B5" w:rsidRPr="00122856">
        <w:rPr>
          <w:lang w:val="fr-FR"/>
        </w:rPr>
        <w:t>e 2015 (</w:t>
      </w:r>
      <w:hyperlink r:id="rId13" w:history="1">
        <w:r w:rsidR="003377B5" w:rsidRPr="00122856">
          <w:rPr>
            <w:rStyle w:val="Hyperlink"/>
            <w:lang w:val="fr-FR"/>
          </w:rPr>
          <w:t>d</w:t>
        </w:r>
        <w:r w:rsidR="0036296B" w:rsidRPr="00122856">
          <w:rPr>
            <w:rStyle w:val="Hyperlink"/>
            <w:lang w:val="fr-FR"/>
          </w:rPr>
          <w:t>é</w:t>
        </w:r>
        <w:r w:rsidR="003377B5" w:rsidRPr="00122856">
          <w:rPr>
            <w:rStyle w:val="Hyperlink"/>
            <w:lang w:val="fr-FR"/>
          </w:rPr>
          <w:t xml:space="preserve">cisions 10.COM 2.BUR.4, 10.COM 2.BUR.5.2 </w:t>
        </w:r>
        <w:r w:rsidR="0036296B" w:rsidRPr="00122856">
          <w:rPr>
            <w:rStyle w:val="Hyperlink"/>
            <w:lang w:val="fr-FR"/>
          </w:rPr>
          <w:t>et</w:t>
        </w:r>
        <w:r w:rsidR="003377B5" w:rsidRPr="00122856">
          <w:rPr>
            <w:rStyle w:val="Hyperlink"/>
            <w:lang w:val="fr-FR"/>
          </w:rPr>
          <w:t xml:space="preserve"> 10.COM 2.BUR.5.3</w:t>
        </w:r>
      </w:hyperlink>
      <w:r w:rsidR="003377B5" w:rsidRPr="00122856">
        <w:rPr>
          <w:lang w:val="fr-FR"/>
        </w:rPr>
        <w:t xml:space="preserve">) </w:t>
      </w:r>
      <w:r w:rsidR="0036296B" w:rsidRPr="00122856">
        <w:rPr>
          <w:lang w:val="fr-FR"/>
        </w:rPr>
        <w:t xml:space="preserve">et les accords contractuels avec les </w:t>
      </w:r>
      <w:r w:rsidR="00EE57F4" w:rsidRPr="00122856">
        <w:rPr>
          <w:lang w:val="fr-FR"/>
        </w:rPr>
        <w:t>États</w:t>
      </w:r>
      <w:r w:rsidR="0036296B" w:rsidRPr="00122856">
        <w:rPr>
          <w:lang w:val="fr-FR"/>
        </w:rPr>
        <w:t xml:space="preserve"> concernés n’avaient pas encore </w:t>
      </w:r>
      <w:r w:rsidR="005C68A1" w:rsidRPr="00122856">
        <w:rPr>
          <w:lang w:val="fr-FR"/>
        </w:rPr>
        <w:t>commencé</w:t>
      </w:r>
      <w:r w:rsidR="0036296B" w:rsidRPr="00122856">
        <w:rPr>
          <w:lang w:val="fr-FR"/>
        </w:rPr>
        <w:t xml:space="preserve"> au moment où nous écrivons</w:t>
      </w:r>
      <w:r w:rsidR="003377B5" w:rsidRPr="00122856">
        <w:rPr>
          <w:lang w:val="fr-FR"/>
        </w:rPr>
        <w:t xml:space="preserve">. </w:t>
      </w:r>
      <w:r w:rsidR="001802D5" w:rsidRPr="00122856">
        <w:rPr>
          <w:lang w:val="fr-FR"/>
        </w:rPr>
        <w:t>L’autre demande en attente</w:t>
      </w:r>
      <w:r w:rsidR="003377B5" w:rsidRPr="00122856">
        <w:rPr>
          <w:lang w:val="fr-FR"/>
        </w:rPr>
        <w:t xml:space="preserve"> – </w:t>
      </w:r>
      <w:r w:rsidR="001802D5" w:rsidRPr="00122856">
        <w:rPr>
          <w:lang w:val="fr-FR"/>
        </w:rPr>
        <w:t xml:space="preserve">demande urgente </w:t>
      </w:r>
      <w:r w:rsidR="00A834DF" w:rsidRPr="00122856">
        <w:rPr>
          <w:lang w:val="fr-FR"/>
        </w:rPr>
        <w:t>au bénéfice</w:t>
      </w:r>
      <w:r w:rsidR="001802D5" w:rsidRPr="00122856">
        <w:rPr>
          <w:lang w:val="fr-FR"/>
        </w:rPr>
        <w:t xml:space="preserve"> de la </w:t>
      </w:r>
      <w:r w:rsidR="003377B5" w:rsidRPr="00122856">
        <w:rPr>
          <w:lang w:val="fr-FR"/>
        </w:rPr>
        <w:t>Côte d’Ivoire – a</w:t>
      </w:r>
      <w:r w:rsidR="001802D5" w:rsidRPr="00122856">
        <w:rPr>
          <w:lang w:val="fr-FR"/>
        </w:rPr>
        <w:t xml:space="preserve"> été accordée par le Bureau e</w:t>
      </w:r>
      <w:r w:rsidR="003377B5" w:rsidRPr="00122856">
        <w:rPr>
          <w:lang w:val="fr-FR"/>
        </w:rPr>
        <w:t xml:space="preserve">n </w:t>
      </w:r>
      <w:r w:rsidR="001802D5" w:rsidRPr="00122856">
        <w:rPr>
          <w:lang w:val="fr-FR"/>
        </w:rPr>
        <w:t>juin</w:t>
      </w:r>
      <w:r w:rsidR="003377B5" w:rsidRPr="00122856">
        <w:rPr>
          <w:lang w:val="fr-FR"/>
        </w:rPr>
        <w:t> 2015 (</w:t>
      </w:r>
      <w:hyperlink r:id="rId14" w:history="1">
        <w:r w:rsidR="003377B5" w:rsidRPr="00122856">
          <w:rPr>
            <w:rStyle w:val="Hyperlink"/>
            <w:lang w:val="fr-FR"/>
          </w:rPr>
          <w:t>d</w:t>
        </w:r>
        <w:r w:rsidR="001802D5" w:rsidRPr="00122856">
          <w:rPr>
            <w:rStyle w:val="Hyperlink"/>
            <w:lang w:val="fr-FR"/>
          </w:rPr>
          <w:t>é</w:t>
        </w:r>
        <w:r w:rsidR="003377B5" w:rsidRPr="00122856">
          <w:rPr>
            <w:rStyle w:val="Hyperlink"/>
            <w:lang w:val="fr-FR"/>
          </w:rPr>
          <w:t>cision 10.COM 1.BUR.1</w:t>
        </w:r>
      </w:hyperlink>
      <w:r w:rsidR="003377B5" w:rsidRPr="00122856">
        <w:rPr>
          <w:lang w:val="fr-FR"/>
        </w:rPr>
        <w:t>)</w:t>
      </w:r>
      <w:r w:rsidR="001802D5" w:rsidRPr="00122856">
        <w:rPr>
          <w:lang w:val="fr-FR"/>
        </w:rPr>
        <w:t xml:space="preserve">, mais le </w:t>
      </w:r>
      <w:r w:rsidR="003377B5" w:rsidRPr="00122856">
        <w:rPr>
          <w:lang w:val="fr-FR"/>
        </w:rPr>
        <w:t xml:space="preserve">contrat </w:t>
      </w:r>
      <w:r w:rsidR="001802D5" w:rsidRPr="00122856">
        <w:rPr>
          <w:lang w:val="fr-FR"/>
        </w:rPr>
        <w:t xml:space="preserve">n’a pas encore été signé </w:t>
      </w:r>
      <w:r w:rsidR="00A834DF" w:rsidRPr="00122856">
        <w:rPr>
          <w:lang w:val="fr-FR"/>
        </w:rPr>
        <w:t>en raison</w:t>
      </w:r>
      <w:r w:rsidR="001802D5" w:rsidRPr="00122856">
        <w:rPr>
          <w:lang w:val="fr-FR"/>
        </w:rPr>
        <w:t xml:space="preserve"> de difficultés pour établir le compte bancaire de l’organisation chargée de la mise en œuvre</w:t>
      </w:r>
      <w:r w:rsidR="003377B5" w:rsidRPr="00122856">
        <w:rPr>
          <w:lang w:val="fr-FR"/>
        </w:rPr>
        <w:t xml:space="preserve">. </w:t>
      </w:r>
      <w:r w:rsidR="001802D5" w:rsidRPr="00122856">
        <w:rPr>
          <w:lang w:val="fr-FR"/>
        </w:rPr>
        <w:t xml:space="preserve">Ainsi, si le taux de mise en œuvre de l’Assistance internationale reste très bas dans le présent rapport, il devrait augmenter </w:t>
      </w:r>
      <w:r w:rsidR="00B90802" w:rsidRPr="00122856">
        <w:rPr>
          <w:lang w:val="fr-FR"/>
        </w:rPr>
        <w:t>et atteindre</w:t>
      </w:r>
      <w:r w:rsidR="001802D5" w:rsidRPr="00122856">
        <w:rPr>
          <w:lang w:val="fr-FR"/>
        </w:rPr>
        <w:t xml:space="preserve"> </w:t>
      </w:r>
      <w:r w:rsidR="003377B5" w:rsidRPr="00122856">
        <w:rPr>
          <w:lang w:val="fr-FR"/>
        </w:rPr>
        <w:t>18</w:t>
      </w:r>
      <w:r w:rsidR="001802D5" w:rsidRPr="00122856">
        <w:rPr>
          <w:lang w:val="fr-FR"/>
        </w:rPr>
        <w:t> % à la fin de l’exercice biennal, quand l’</w:t>
      </w:r>
      <w:r w:rsidR="003377B5" w:rsidRPr="00122856">
        <w:rPr>
          <w:lang w:val="fr-FR"/>
        </w:rPr>
        <w:t xml:space="preserve">UNESCO </w:t>
      </w:r>
      <w:r w:rsidR="001802D5" w:rsidRPr="00122856">
        <w:rPr>
          <w:lang w:val="fr-FR"/>
        </w:rPr>
        <w:t xml:space="preserve">aura </w:t>
      </w:r>
      <w:r w:rsidR="00A834DF" w:rsidRPr="00122856">
        <w:rPr>
          <w:lang w:val="fr-FR"/>
        </w:rPr>
        <w:t xml:space="preserve">conclu </w:t>
      </w:r>
      <w:r w:rsidR="001802D5" w:rsidRPr="00122856">
        <w:rPr>
          <w:lang w:val="fr-FR"/>
        </w:rPr>
        <w:t xml:space="preserve">les </w:t>
      </w:r>
      <w:r w:rsidR="001802D5" w:rsidRPr="00122856">
        <w:rPr>
          <w:lang w:val="fr-FR"/>
        </w:rPr>
        <w:lastRenderedPageBreak/>
        <w:t xml:space="preserve">contrats avec les organisations désignées par les </w:t>
      </w:r>
      <w:r w:rsidR="00EE57F4" w:rsidRPr="00122856">
        <w:rPr>
          <w:lang w:val="fr-FR"/>
        </w:rPr>
        <w:t>États</w:t>
      </w:r>
      <w:r w:rsidR="001802D5" w:rsidRPr="00122856">
        <w:rPr>
          <w:lang w:val="fr-FR"/>
        </w:rPr>
        <w:t xml:space="preserve"> </w:t>
      </w:r>
      <w:r w:rsidR="00B90802" w:rsidRPr="00122856">
        <w:rPr>
          <w:lang w:val="fr-FR"/>
        </w:rPr>
        <w:t>concernés</w:t>
      </w:r>
      <w:r w:rsidR="00A834DF" w:rsidRPr="00122856">
        <w:rPr>
          <w:lang w:val="fr-FR"/>
        </w:rPr>
        <w:t xml:space="preserve"> pour mettre en œuvre ces projets</w:t>
      </w:r>
      <w:r w:rsidR="00B90802" w:rsidRPr="00122856">
        <w:rPr>
          <w:lang w:val="fr-FR"/>
        </w:rPr>
        <w:t>.</w:t>
      </w:r>
    </w:p>
    <w:p w14:paraId="7066FAD7" w14:textId="1831AC9F" w:rsidR="003377B5" w:rsidRPr="00122856" w:rsidRDefault="00213394" w:rsidP="009E1B50">
      <w:pPr>
        <w:pStyle w:val="COMParabodytext"/>
        <w:rPr>
          <w:lang w:val="fr-FR"/>
        </w:rPr>
      </w:pPr>
      <w:r w:rsidRPr="00122856">
        <w:rPr>
          <w:rFonts w:cs="Times New Roman"/>
          <w:lang w:val="fr-FR"/>
        </w:rPr>
        <w:t>L</w:t>
      </w:r>
      <w:r w:rsidR="003377B5" w:rsidRPr="00122856">
        <w:rPr>
          <w:rFonts w:cs="Times New Roman"/>
          <w:lang w:val="fr-FR"/>
        </w:rPr>
        <w:t>e Comit</w:t>
      </w:r>
      <w:r w:rsidRPr="00122856">
        <w:rPr>
          <w:rFonts w:cs="Times New Roman"/>
          <w:lang w:val="fr-FR"/>
        </w:rPr>
        <w:t xml:space="preserve">é </w:t>
      </w:r>
      <w:r w:rsidR="00901C34" w:rsidRPr="00122856">
        <w:rPr>
          <w:rFonts w:cs="Times New Roman"/>
          <w:lang w:val="fr-FR"/>
        </w:rPr>
        <w:t xml:space="preserve">a </w:t>
      </w:r>
      <w:r w:rsidR="0047267B" w:rsidRPr="00122856">
        <w:rPr>
          <w:rFonts w:cs="Times New Roman"/>
          <w:lang w:val="fr-FR"/>
        </w:rPr>
        <w:t>signalé</w:t>
      </w:r>
      <w:r w:rsidR="00C975F7" w:rsidRPr="00122856">
        <w:rPr>
          <w:rFonts w:cs="Times New Roman"/>
          <w:lang w:val="fr-FR"/>
        </w:rPr>
        <w:t xml:space="preserve"> </w:t>
      </w:r>
      <w:r w:rsidRPr="00122856">
        <w:rPr>
          <w:rFonts w:cs="Times New Roman"/>
          <w:lang w:val="fr-FR"/>
        </w:rPr>
        <w:t xml:space="preserve">à </w:t>
      </w:r>
      <w:r w:rsidR="0047267B" w:rsidRPr="00122856">
        <w:rPr>
          <w:rFonts w:cs="Times New Roman"/>
          <w:lang w:val="fr-FR"/>
        </w:rPr>
        <w:t>plusieurs</w:t>
      </w:r>
      <w:r w:rsidRPr="00122856">
        <w:rPr>
          <w:rFonts w:cs="Times New Roman"/>
          <w:lang w:val="fr-FR"/>
        </w:rPr>
        <w:t xml:space="preserve"> reprises l</w:t>
      </w:r>
      <w:r w:rsidR="00E929A0" w:rsidRPr="00122856">
        <w:rPr>
          <w:rFonts w:cs="Times New Roman"/>
          <w:lang w:val="fr-FR"/>
        </w:rPr>
        <w:t>e faible taux d’</w:t>
      </w:r>
      <w:r w:rsidRPr="00122856">
        <w:rPr>
          <w:rFonts w:cs="Times New Roman"/>
          <w:lang w:val="fr-FR"/>
        </w:rPr>
        <w:t xml:space="preserve">utilisation des </w:t>
      </w:r>
      <w:r w:rsidR="0047267B" w:rsidRPr="00122856">
        <w:rPr>
          <w:rFonts w:cs="Times New Roman"/>
          <w:lang w:val="fr-FR"/>
        </w:rPr>
        <w:t xml:space="preserve">crédits </w:t>
      </w:r>
      <w:r w:rsidRPr="00122856">
        <w:rPr>
          <w:rFonts w:cs="Times New Roman"/>
          <w:lang w:val="fr-FR"/>
        </w:rPr>
        <w:t>a</w:t>
      </w:r>
      <w:r w:rsidR="00E929A0" w:rsidRPr="00122856">
        <w:rPr>
          <w:rFonts w:cs="Times New Roman"/>
          <w:lang w:val="fr-FR"/>
        </w:rPr>
        <w:t>llou</w:t>
      </w:r>
      <w:r w:rsidRPr="00122856">
        <w:rPr>
          <w:rFonts w:cs="Times New Roman"/>
          <w:lang w:val="fr-FR"/>
        </w:rPr>
        <w:t>és à l’Assistance internationale et</w:t>
      </w:r>
      <w:r w:rsidR="0047267B" w:rsidRPr="00122856">
        <w:rPr>
          <w:lang w:val="fr-FR"/>
        </w:rPr>
        <w:t xml:space="preserve"> a demandé au Secrétariat</w:t>
      </w:r>
      <w:r w:rsidRPr="00122856">
        <w:rPr>
          <w:rFonts w:cs="Times New Roman"/>
          <w:lang w:val="fr-FR"/>
        </w:rPr>
        <w:t>, dans sa</w:t>
      </w:r>
      <w:r w:rsidR="003377B5" w:rsidRPr="00122856">
        <w:rPr>
          <w:lang w:val="fr-FR"/>
        </w:rPr>
        <w:t xml:space="preserve"> </w:t>
      </w:r>
      <w:hyperlink r:id="rId15" w:history="1">
        <w:r w:rsidRPr="00122856">
          <w:rPr>
            <w:rStyle w:val="Hyperlink"/>
            <w:lang w:val="fr-FR"/>
          </w:rPr>
          <w:t>dé</w:t>
        </w:r>
        <w:r w:rsidR="003377B5" w:rsidRPr="00122856">
          <w:rPr>
            <w:rStyle w:val="Hyperlink"/>
            <w:lang w:val="fr-FR"/>
          </w:rPr>
          <w:t>cision 8.COM 7.c</w:t>
        </w:r>
      </w:hyperlink>
      <w:r w:rsidRPr="00122856">
        <w:rPr>
          <w:lang w:val="fr-FR"/>
        </w:rPr>
        <w:t xml:space="preserve">, </w:t>
      </w:r>
      <w:r w:rsidR="00C975F7" w:rsidRPr="00122856">
        <w:rPr>
          <w:lang w:val="fr-FR"/>
        </w:rPr>
        <w:t xml:space="preserve">« de </w:t>
      </w:r>
      <w:r w:rsidR="0047267B" w:rsidRPr="00122856">
        <w:rPr>
          <w:lang w:val="fr-FR"/>
        </w:rPr>
        <w:t>t</w:t>
      </w:r>
      <w:r w:rsidR="00C975F7" w:rsidRPr="00122856">
        <w:rPr>
          <w:lang w:val="fr-FR"/>
        </w:rPr>
        <w:t>rouver un moyen, à plus court terme et à titre expérimental, d’offrir une assistance technique, à travers la mise à disposition d’experts, telle que décrite à l’article 21 de la Convention, aux États parties souhaitant élaborer une demande d’assistance internationale »</w:t>
      </w:r>
      <w:r w:rsidR="003377B5" w:rsidRPr="00122856">
        <w:rPr>
          <w:lang w:val="fr-FR"/>
        </w:rPr>
        <w:t xml:space="preserve">. </w:t>
      </w:r>
      <w:r w:rsidR="003377B5" w:rsidRPr="00122856">
        <w:rPr>
          <w:rFonts w:cs="Times New Roman"/>
          <w:lang w:val="fr-FR"/>
        </w:rPr>
        <w:t>I</w:t>
      </w:r>
      <w:r w:rsidR="0040696E" w:rsidRPr="00122856">
        <w:rPr>
          <w:rFonts w:cs="Times New Roman"/>
          <w:lang w:val="fr-FR"/>
        </w:rPr>
        <w:t xml:space="preserve">l convient de noter que trois des sept demandes que le </w:t>
      </w:r>
      <w:r w:rsidR="003377B5" w:rsidRPr="00122856">
        <w:rPr>
          <w:rFonts w:cs="Times New Roman"/>
          <w:szCs w:val="24"/>
          <w:lang w:val="fr-FR"/>
        </w:rPr>
        <w:t>Bureau a</w:t>
      </w:r>
      <w:r w:rsidR="0040696E" w:rsidRPr="00122856">
        <w:rPr>
          <w:rFonts w:cs="Times New Roman"/>
          <w:szCs w:val="24"/>
          <w:lang w:val="fr-FR"/>
        </w:rPr>
        <w:t xml:space="preserve"> examinées depuis la </w:t>
      </w:r>
      <w:r w:rsidR="003259FF" w:rsidRPr="00122856">
        <w:rPr>
          <w:rFonts w:cs="Times New Roman"/>
          <w:szCs w:val="24"/>
          <w:lang w:val="fr-FR"/>
        </w:rPr>
        <w:t>mise en place</w:t>
      </w:r>
      <w:r w:rsidR="0040696E" w:rsidRPr="00122856">
        <w:rPr>
          <w:rFonts w:cs="Times New Roman"/>
          <w:szCs w:val="24"/>
          <w:lang w:val="fr-FR"/>
        </w:rPr>
        <w:t xml:space="preserve"> de ce nouveau moyen sont l</w:t>
      </w:r>
      <w:r w:rsidR="003259FF" w:rsidRPr="00122856">
        <w:rPr>
          <w:rFonts w:cs="Times New Roman"/>
          <w:szCs w:val="24"/>
          <w:lang w:val="fr-FR"/>
        </w:rPr>
        <w:t>e résultat de cette assistance qui a pris</w:t>
      </w:r>
      <w:r w:rsidR="0040696E" w:rsidRPr="00122856">
        <w:rPr>
          <w:rFonts w:cs="Times New Roman"/>
          <w:szCs w:val="24"/>
          <w:lang w:val="fr-FR"/>
        </w:rPr>
        <w:t xml:space="preserve"> la forme d’une coopération étroite entre un expert et </w:t>
      </w:r>
      <w:r w:rsidR="00483C9E" w:rsidRPr="00122856">
        <w:rPr>
          <w:rFonts w:cs="Times New Roman"/>
          <w:szCs w:val="24"/>
          <w:lang w:val="fr-FR"/>
        </w:rPr>
        <w:t>une contrepartie</w:t>
      </w:r>
      <w:r w:rsidR="0040696E" w:rsidRPr="00122856">
        <w:rPr>
          <w:rFonts w:cs="Times New Roman"/>
          <w:szCs w:val="24"/>
          <w:lang w:val="fr-FR"/>
        </w:rPr>
        <w:t xml:space="preserve"> national</w:t>
      </w:r>
      <w:r w:rsidR="00483C9E" w:rsidRPr="00122856">
        <w:rPr>
          <w:rFonts w:cs="Times New Roman"/>
          <w:szCs w:val="24"/>
          <w:lang w:val="fr-FR"/>
        </w:rPr>
        <w:t>e</w:t>
      </w:r>
      <w:r w:rsidR="003377B5" w:rsidRPr="00122856">
        <w:rPr>
          <w:rFonts w:cs="Times New Roman"/>
          <w:szCs w:val="24"/>
          <w:lang w:val="fr-FR"/>
        </w:rPr>
        <w:t xml:space="preserve">. </w:t>
      </w:r>
      <w:r w:rsidR="0040696E" w:rsidRPr="00122856">
        <w:rPr>
          <w:rFonts w:cs="Times New Roman"/>
          <w:szCs w:val="24"/>
          <w:lang w:val="fr-FR"/>
        </w:rPr>
        <w:t xml:space="preserve">Comme le demande la décision susmentionnée, les coûts de cette expertise </w:t>
      </w:r>
      <w:r w:rsidR="00370902" w:rsidRPr="00122856">
        <w:rPr>
          <w:rFonts w:cs="Times New Roman"/>
          <w:szCs w:val="24"/>
          <w:lang w:val="fr-FR"/>
        </w:rPr>
        <w:t xml:space="preserve">ont été </w:t>
      </w:r>
      <w:r w:rsidR="003D6D39" w:rsidRPr="00122856">
        <w:rPr>
          <w:rFonts w:cs="Times New Roman"/>
          <w:szCs w:val="24"/>
          <w:lang w:val="fr-FR"/>
        </w:rPr>
        <w:t>imputé</w:t>
      </w:r>
      <w:r w:rsidR="00370902" w:rsidRPr="00122856">
        <w:rPr>
          <w:rFonts w:cs="Times New Roman"/>
          <w:szCs w:val="24"/>
          <w:lang w:val="fr-FR"/>
        </w:rPr>
        <w:t xml:space="preserve">s à la </w:t>
      </w:r>
      <w:r w:rsidR="00370902" w:rsidRPr="00122856">
        <w:rPr>
          <w:b/>
          <w:lang w:val="fr-FR"/>
        </w:rPr>
        <w:t xml:space="preserve">ligne </w:t>
      </w:r>
      <w:r w:rsidR="003377B5" w:rsidRPr="00122856">
        <w:rPr>
          <w:b/>
          <w:lang w:val="fr-FR"/>
        </w:rPr>
        <w:t>budg</w:t>
      </w:r>
      <w:r w:rsidR="00370902" w:rsidRPr="00122856">
        <w:rPr>
          <w:b/>
          <w:lang w:val="fr-FR"/>
        </w:rPr>
        <w:t>é</w:t>
      </w:r>
      <w:r w:rsidR="003377B5" w:rsidRPr="00122856">
        <w:rPr>
          <w:b/>
          <w:lang w:val="fr-FR"/>
        </w:rPr>
        <w:t>t</w:t>
      </w:r>
      <w:r w:rsidR="00370902" w:rsidRPr="00122856">
        <w:rPr>
          <w:b/>
          <w:lang w:val="fr-FR"/>
        </w:rPr>
        <w:t>aire</w:t>
      </w:r>
      <w:r w:rsidR="003377B5" w:rsidRPr="00122856">
        <w:rPr>
          <w:b/>
          <w:lang w:val="fr-FR"/>
        </w:rPr>
        <w:t> 2</w:t>
      </w:r>
      <w:r w:rsidR="003377B5" w:rsidRPr="00122856">
        <w:rPr>
          <w:lang w:val="fr-FR"/>
        </w:rPr>
        <w:t xml:space="preserve"> </w:t>
      </w:r>
      <w:r w:rsidR="003D6D39" w:rsidRPr="00122856">
        <w:rPr>
          <w:lang w:val="fr-FR"/>
        </w:rPr>
        <w:t>relativ</w:t>
      </w:r>
      <w:r w:rsidR="00370902" w:rsidRPr="00122856">
        <w:rPr>
          <w:lang w:val="fr-FR"/>
        </w:rPr>
        <w:t>e à l’assistance préparatoire</w:t>
      </w:r>
      <w:r w:rsidR="003377B5" w:rsidRPr="00122856">
        <w:rPr>
          <w:lang w:val="fr-FR"/>
        </w:rPr>
        <w:t xml:space="preserve">. </w:t>
      </w:r>
      <w:r w:rsidR="00370902" w:rsidRPr="00122856">
        <w:rPr>
          <w:lang w:val="fr-FR"/>
        </w:rPr>
        <w:t>Pendant la période concernée, une seul</w:t>
      </w:r>
      <w:r w:rsidR="003D6D39" w:rsidRPr="00122856">
        <w:rPr>
          <w:lang w:val="fr-FR"/>
        </w:rPr>
        <w:t>e</w:t>
      </w:r>
      <w:r w:rsidR="00370902" w:rsidRPr="00122856">
        <w:rPr>
          <w:lang w:val="fr-FR"/>
        </w:rPr>
        <w:t xml:space="preserve"> demande d’assistance préparatoire </w:t>
      </w:r>
      <w:r w:rsidR="001B16C5" w:rsidRPr="00122856">
        <w:rPr>
          <w:lang w:val="fr-FR"/>
        </w:rPr>
        <w:t>en vue de l’élaboration d’</w:t>
      </w:r>
      <w:r w:rsidR="00370902" w:rsidRPr="00122856">
        <w:rPr>
          <w:lang w:val="fr-FR"/>
        </w:rPr>
        <w:t>une candidature pour la Liste de sauvegarde urgente a été soumise</w:t>
      </w:r>
      <w:r w:rsidR="00483C9E" w:rsidRPr="00122856">
        <w:rPr>
          <w:lang w:val="fr-FR"/>
        </w:rPr>
        <w:t>, puis</w:t>
      </w:r>
      <w:r w:rsidR="00370902" w:rsidRPr="00122856">
        <w:rPr>
          <w:lang w:val="fr-FR"/>
        </w:rPr>
        <w:t xml:space="preserve"> approuvée</w:t>
      </w:r>
      <w:r w:rsidR="003377B5" w:rsidRPr="00122856">
        <w:rPr>
          <w:lang w:val="fr-FR"/>
        </w:rPr>
        <w:t xml:space="preserve"> </w:t>
      </w:r>
      <w:r w:rsidR="00370902" w:rsidRPr="00122856">
        <w:rPr>
          <w:lang w:val="fr-FR"/>
        </w:rPr>
        <w:t>par</w:t>
      </w:r>
      <w:r w:rsidR="003D6D39" w:rsidRPr="00122856">
        <w:rPr>
          <w:lang w:val="fr-FR"/>
        </w:rPr>
        <w:t xml:space="preserve"> </w:t>
      </w:r>
      <w:r w:rsidR="00370902" w:rsidRPr="00122856">
        <w:rPr>
          <w:lang w:val="fr-FR"/>
        </w:rPr>
        <w:t>le</w:t>
      </w:r>
      <w:r w:rsidR="003377B5" w:rsidRPr="00122856">
        <w:rPr>
          <w:lang w:val="fr-FR"/>
        </w:rPr>
        <w:t xml:space="preserve"> Bureau. </w:t>
      </w:r>
      <w:r w:rsidR="00E929A0" w:rsidRPr="00122856">
        <w:rPr>
          <w:lang w:val="fr-FR"/>
        </w:rPr>
        <w:t xml:space="preserve">C’est pourquoi l’essentiel des dépenses de cette ligne correspond à l’assistance technique fournie par des consultants externes et le </w:t>
      </w:r>
      <w:r w:rsidR="003377B5" w:rsidRPr="00122856">
        <w:rPr>
          <w:lang w:val="fr-FR"/>
        </w:rPr>
        <w:t>Secr</w:t>
      </w:r>
      <w:r w:rsidR="00E929A0" w:rsidRPr="00122856">
        <w:rPr>
          <w:lang w:val="fr-FR"/>
        </w:rPr>
        <w:t>é</w:t>
      </w:r>
      <w:r w:rsidR="003377B5" w:rsidRPr="00122856">
        <w:rPr>
          <w:lang w:val="fr-FR"/>
        </w:rPr>
        <w:t xml:space="preserve">tariat </w:t>
      </w:r>
      <w:r w:rsidR="00E929A0" w:rsidRPr="00122856">
        <w:rPr>
          <w:lang w:val="fr-FR"/>
        </w:rPr>
        <w:t xml:space="preserve">aux sept </w:t>
      </w:r>
      <w:r w:rsidR="00EE57F4" w:rsidRPr="00122856">
        <w:rPr>
          <w:lang w:val="fr-FR"/>
        </w:rPr>
        <w:t>États</w:t>
      </w:r>
      <w:r w:rsidR="00E929A0" w:rsidRPr="00122856">
        <w:rPr>
          <w:lang w:val="fr-FR"/>
        </w:rPr>
        <w:t xml:space="preserve"> </w:t>
      </w:r>
      <w:r w:rsidR="003A3B47" w:rsidRPr="00122856">
        <w:rPr>
          <w:lang w:val="fr-FR"/>
        </w:rPr>
        <w:t>en ayant fait la demande</w:t>
      </w:r>
      <w:r w:rsidR="003377B5" w:rsidRPr="00122856">
        <w:rPr>
          <w:lang w:val="fr-FR"/>
        </w:rPr>
        <w:t>.</w:t>
      </w:r>
    </w:p>
    <w:p w14:paraId="39B1FF38" w14:textId="4FA1A475" w:rsidR="003377B5" w:rsidRPr="00122856" w:rsidRDefault="0036427D" w:rsidP="009E1B50">
      <w:pPr>
        <w:pStyle w:val="COMParabodytext"/>
        <w:rPr>
          <w:lang w:val="fr-FR"/>
        </w:rPr>
      </w:pPr>
      <w:r w:rsidRPr="00122856">
        <w:rPr>
          <w:lang w:val="fr-FR"/>
        </w:rPr>
        <w:t xml:space="preserve">L’utilisation du </w:t>
      </w:r>
      <w:r w:rsidR="003377B5" w:rsidRPr="00122856">
        <w:rPr>
          <w:lang w:val="fr-FR"/>
        </w:rPr>
        <w:t xml:space="preserve">budget </w:t>
      </w:r>
      <w:r w:rsidRPr="00122856">
        <w:rPr>
          <w:lang w:val="fr-FR"/>
        </w:rPr>
        <w:t>pour d’</w:t>
      </w:r>
      <w:r w:rsidR="00D72403" w:rsidRPr="00122856">
        <w:rPr>
          <w:lang w:val="fr-FR"/>
        </w:rPr>
        <w:t>« </w:t>
      </w:r>
      <w:r w:rsidRPr="00122856">
        <w:rPr>
          <w:lang w:val="fr-FR"/>
        </w:rPr>
        <w:t>autres fonctions du Comité</w:t>
      </w:r>
      <w:r w:rsidR="0018066A" w:rsidRPr="00122856">
        <w:rPr>
          <w:lang w:val="fr-FR"/>
        </w:rPr>
        <w:t> »</w:t>
      </w:r>
      <w:r w:rsidR="003377B5" w:rsidRPr="00122856">
        <w:rPr>
          <w:lang w:val="fr-FR"/>
        </w:rPr>
        <w:t xml:space="preserve"> (</w:t>
      </w:r>
      <w:r w:rsidRPr="00122856">
        <w:rPr>
          <w:b/>
          <w:bCs/>
          <w:lang w:val="fr-FR"/>
        </w:rPr>
        <w:t xml:space="preserve">ligne </w:t>
      </w:r>
      <w:r w:rsidR="003377B5" w:rsidRPr="00122856">
        <w:rPr>
          <w:b/>
          <w:bCs/>
          <w:lang w:val="fr-FR"/>
        </w:rPr>
        <w:t>budg</w:t>
      </w:r>
      <w:r w:rsidRPr="00122856">
        <w:rPr>
          <w:b/>
          <w:bCs/>
          <w:lang w:val="fr-FR"/>
        </w:rPr>
        <w:t>é</w:t>
      </w:r>
      <w:r w:rsidR="003377B5" w:rsidRPr="00122856">
        <w:rPr>
          <w:b/>
          <w:bCs/>
          <w:lang w:val="fr-FR"/>
        </w:rPr>
        <w:t>t</w:t>
      </w:r>
      <w:r w:rsidRPr="00122856">
        <w:rPr>
          <w:b/>
          <w:bCs/>
          <w:lang w:val="fr-FR"/>
        </w:rPr>
        <w:t>aire</w:t>
      </w:r>
      <w:r w:rsidR="003377B5" w:rsidRPr="00122856">
        <w:rPr>
          <w:b/>
          <w:bCs/>
          <w:lang w:val="fr-FR"/>
        </w:rPr>
        <w:t> 3</w:t>
      </w:r>
      <w:r w:rsidR="003377B5" w:rsidRPr="00122856">
        <w:rPr>
          <w:lang w:val="fr-FR"/>
        </w:rPr>
        <w:t xml:space="preserve">) </w:t>
      </w:r>
      <w:r w:rsidRPr="00122856">
        <w:rPr>
          <w:lang w:val="fr-FR"/>
        </w:rPr>
        <w:t>est</w:t>
      </w:r>
      <w:r w:rsidR="003377B5" w:rsidRPr="00122856">
        <w:rPr>
          <w:lang w:val="fr-FR"/>
        </w:rPr>
        <w:t xml:space="preserve"> d</w:t>
      </w:r>
      <w:r w:rsidRPr="00122856">
        <w:rPr>
          <w:lang w:val="fr-FR"/>
        </w:rPr>
        <w:t>é</w:t>
      </w:r>
      <w:r w:rsidR="003377B5" w:rsidRPr="00122856">
        <w:rPr>
          <w:lang w:val="fr-FR"/>
        </w:rPr>
        <w:t>cid</w:t>
      </w:r>
      <w:r w:rsidRPr="00122856">
        <w:rPr>
          <w:lang w:val="fr-FR"/>
        </w:rPr>
        <w:t>é</w:t>
      </w:r>
      <w:r w:rsidR="003377B5" w:rsidRPr="00122856">
        <w:rPr>
          <w:lang w:val="fr-FR"/>
        </w:rPr>
        <w:t xml:space="preserve">e </w:t>
      </w:r>
      <w:r w:rsidRPr="00122856">
        <w:rPr>
          <w:lang w:val="fr-FR"/>
        </w:rPr>
        <w:t>par le</w:t>
      </w:r>
      <w:r w:rsidR="003377B5" w:rsidRPr="00122856">
        <w:rPr>
          <w:lang w:val="fr-FR"/>
        </w:rPr>
        <w:t xml:space="preserve"> Bureau </w:t>
      </w:r>
      <w:r w:rsidRPr="00122856">
        <w:rPr>
          <w:lang w:val="fr-FR"/>
        </w:rPr>
        <w:t xml:space="preserve">sur la base de propositions spécifiques préparées par le </w:t>
      </w:r>
      <w:r w:rsidR="003377B5" w:rsidRPr="00122856">
        <w:rPr>
          <w:lang w:val="fr-FR"/>
        </w:rPr>
        <w:t>Secr</w:t>
      </w:r>
      <w:r w:rsidRPr="00122856">
        <w:rPr>
          <w:lang w:val="fr-FR"/>
        </w:rPr>
        <w:t>é</w:t>
      </w:r>
      <w:r w:rsidR="003377B5" w:rsidRPr="00122856">
        <w:rPr>
          <w:lang w:val="fr-FR"/>
        </w:rPr>
        <w:t xml:space="preserve">tariat </w:t>
      </w:r>
      <w:r w:rsidRPr="00122856">
        <w:rPr>
          <w:lang w:val="fr-FR"/>
        </w:rPr>
        <w:t xml:space="preserve">conformément à la </w:t>
      </w:r>
      <w:hyperlink r:id="rId16" w:history="1">
        <w:r w:rsidRPr="00122856">
          <w:rPr>
            <w:rStyle w:val="Hyperlink"/>
            <w:lang w:val="fr-FR"/>
          </w:rPr>
          <w:t>dé</w:t>
        </w:r>
        <w:r w:rsidR="003377B5" w:rsidRPr="00122856">
          <w:rPr>
            <w:rStyle w:val="Hyperlink"/>
            <w:lang w:val="fr-FR"/>
          </w:rPr>
          <w:t>cision 8.COM 11</w:t>
        </w:r>
      </w:hyperlink>
      <w:r w:rsidR="003377B5" w:rsidRPr="00122856">
        <w:rPr>
          <w:lang w:val="fr-FR"/>
        </w:rPr>
        <w:t xml:space="preserve">. </w:t>
      </w:r>
      <w:r w:rsidRPr="00122856">
        <w:rPr>
          <w:lang w:val="fr-FR"/>
        </w:rPr>
        <w:t xml:space="preserve">Selon le plan approuvé par le </w:t>
      </w:r>
      <w:r w:rsidR="003377B5" w:rsidRPr="00122856">
        <w:rPr>
          <w:lang w:val="fr-FR"/>
        </w:rPr>
        <w:t xml:space="preserve">Bureau </w:t>
      </w:r>
      <w:r w:rsidRPr="00122856">
        <w:rPr>
          <w:lang w:val="fr-FR"/>
        </w:rPr>
        <w:t>dans sa</w:t>
      </w:r>
      <w:r w:rsidR="003377B5" w:rsidRPr="00122856">
        <w:rPr>
          <w:lang w:val="fr-FR"/>
        </w:rPr>
        <w:t xml:space="preserve"> </w:t>
      </w:r>
      <w:hyperlink r:id="rId17" w:history="1">
        <w:r w:rsidRPr="00122856">
          <w:rPr>
            <w:rStyle w:val="Hyperlink"/>
            <w:lang w:val="fr-FR"/>
          </w:rPr>
          <w:t>dé</w:t>
        </w:r>
        <w:r w:rsidR="003377B5" w:rsidRPr="00122856">
          <w:rPr>
            <w:rStyle w:val="Hyperlink"/>
            <w:lang w:val="fr-FR"/>
          </w:rPr>
          <w:t>cision 9.COM 2.BUR 1</w:t>
        </w:r>
      </w:hyperlink>
      <w:r w:rsidR="003377B5" w:rsidRPr="00122856">
        <w:rPr>
          <w:rStyle w:val="hps"/>
          <w:lang w:val="fr-FR"/>
        </w:rPr>
        <w:t>,</w:t>
      </w:r>
      <w:r w:rsidRPr="00122856">
        <w:rPr>
          <w:lang w:val="fr-FR"/>
        </w:rPr>
        <w:t xml:space="preserve"> c</w:t>
      </w:r>
      <w:r w:rsidR="003377B5" w:rsidRPr="00122856">
        <w:rPr>
          <w:lang w:val="fr-FR"/>
        </w:rPr>
        <w:t xml:space="preserve">es </w:t>
      </w:r>
      <w:r w:rsidR="00D72403" w:rsidRPr="00122856">
        <w:rPr>
          <w:lang w:val="fr-FR"/>
        </w:rPr>
        <w:t>crédit</w:t>
      </w:r>
      <w:r w:rsidR="003377B5" w:rsidRPr="00122856">
        <w:rPr>
          <w:lang w:val="fr-FR"/>
        </w:rPr>
        <w:t xml:space="preserve">s </w:t>
      </w:r>
      <w:r w:rsidRPr="00122856">
        <w:rPr>
          <w:lang w:val="fr-FR"/>
        </w:rPr>
        <w:t>sont répartis entre</w:t>
      </w:r>
      <w:r w:rsidR="00AF7CF0" w:rsidRPr="00122856">
        <w:rPr>
          <w:lang w:val="fr-FR"/>
        </w:rPr>
        <w:t xml:space="preserve"> le renforcement des capacités</w:t>
      </w:r>
      <w:r w:rsidR="003377B5" w:rsidRPr="00122856">
        <w:rPr>
          <w:lang w:val="fr-FR"/>
        </w:rPr>
        <w:t xml:space="preserve"> (58</w:t>
      </w:r>
      <w:r w:rsidR="00AF7CF0" w:rsidRPr="00122856">
        <w:rPr>
          <w:lang w:val="fr-FR"/>
        </w:rPr>
        <w:t> </w:t>
      </w:r>
      <w:r w:rsidR="003377B5" w:rsidRPr="00122856">
        <w:rPr>
          <w:lang w:val="fr-FR"/>
        </w:rPr>
        <w:t xml:space="preserve">%), </w:t>
      </w:r>
      <w:r w:rsidR="00AF7CF0" w:rsidRPr="00122856">
        <w:rPr>
          <w:lang w:val="fr-FR"/>
        </w:rPr>
        <w:t xml:space="preserve">la </w:t>
      </w:r>
      <w:r w:rsidR="003377B5" w:rsidRPr="00122856">
        <w:rPr>
          <w:lang w:val="fr-FR"/>
        </w:rPr>
        <w:t xml:space="preserve">promotion </w:t>
      </w:r>
      <w:r w:rsidR="00AF7CF0" w:rsidRPr="00122856">
        <w:rPr>
          <w:lang w:val="fr-FR"/>
        </w:rPr>
        <w:t xml:space="preserve">et la diffusion des </w:t>
      </w:r>
      <w:r w:rsidR="0018066A" w:rsidRPr="00122856">
        <w:rPr>
          <w:lang w:val="fr-FR"/>
        </w:rPr>
        <w:t xml:space="preserve">meilleures </w:t>
      </w:r>
      <w:r w:rsidR="00AF7CF0" w:rsidRPr="00122856">
        <w:rPr>
          <w:lang w:val="fr-FR"/>
        </w:rPr>
        <w:t>pratiques de sauvegarde</w:t>
      </w:r>
      <w:r w:rsidR="003377B5" w:rsidRPr="00122856">
        <w:rPr>
          <w:lang w:val="fr-FR"/>
        </w:rPr>
        <w:t xml:space="preserve"> (10</w:t>
      </w:r>
      <w:r w:rsidR="00AF7CF0" w:rsidRPr="00122856">
        <w:rPr>
          <w:lang w:val="fr-FR"/>
        </w:rPr>
        <w:t> </w:t>
      </w:r>
      <w:r w:rsidR="003377B5" w:rsidRPr="00122856">
        <w:rPr>
          <w:lang w:val="fr-FR"/>
        </w:rPr>
        <w:t xml:space="preserve">%), </w:t>
      </w:r>
      <w:r w:rsidR="00AF7CF0" w:rsidRPr="00122856">
        <w:rPr>
          <w:lang w:val="fr-FR"/>
        </w:rPr>
        <w:t xml:space="preserve">la </w:t>
      </w:r>
      <w:r w:rsidR="003377B5" w:rsidRPr="00122856">
        <w:rPr>
          <w:lang w:val="fr-FR"/>
        </w:rPr>
        <w:t xml:space="preserve">communication </w:t>
      </w:r>
      <w:r w:rsidR="00AF7CF0" w:rsidRPr="00122856">
        <w:rPr>
          <w:lang w:val="fr-FR"/>
        </w:rPr>
        <w:t xml:space="preserve">et la </w:t>
      </w:r>
      <w:r w:rsidR="003377B5" w:rsidRPr="00122856">
        <w:rPr>
          <w:lang w:val="fr-FR"/>
        </w:rPr>
        <w:t>visibilit</w:t>
      </w:r>
      <w:r w:rsidR="00AF7CF0" w:rsidRPr="00122856">
        <w:rPr>
          <w:lang w:val="fr-FR"/>
        </w:rPr>
        <w:t>é</w:t>
      </w:r>
      <w:r w:rsidR="003377B5" w:rsidRPr="00122856">
        <w:rPr>
          <w:lang w:val="fr-FR"/>
        </w:rPr>
        <w:t xml:space="preserve"> (10</w:t>
      </w:r>
      <w:r w:rsidR="00AF7CF0" w:rsidRPr="00122856">
        <w:rPr>
          <w:lang w:val="fr-FR"/>
        </w:rPr>
        <w:t> </w:t>
      </w:r>
      <w:r w:rsidR="003377B5" w:rsidRPr="00122856">
        <w:rPr>
          <w:lang w:val="fr-FR"/>
        </w:rPr>
        <w:t xml:space="preserve">%) </w:t>
      </w:r>
      <w:r w:rsidR="00AF7CF0" w:rsidRPr="00122856">
        <w:rPr>
          <w:lang w:val="fr-FR"/>
        </w:rPr>
        <w:t>et les services de gestion des connaissances</w:t>
      </w:r>
      <w:r w:rsidR="003377B5" w:rsidRPr="00122856">
        <w:rPr>
          <w:lang w:val="fr-FR"/>
        </w:rPr>
        <w:t xml:space="preserve"> (22</w:t>
      </w:r>
      <w:r w:rsidR="00AF7CF0" w:rsidRPr="00122856">
        <w:rPr>
          <w:lang w:val="fr-FR"/>
        </w:rPr>
        <w:t> </w:t>
      </w:r>
      <w:r w:rsidR="003377B5" w:rsidRPr="00122856">
        <w:rPr>
          <w:lang w:val="fr-FR"/>
        </w:rPr>
        <w:t xml:space="preserve">%). </w:t>
      </w:r>
      <w:r w:rsidR="001339A7" w:rsidRPr="00122856">
        <w:rPr>
          <w:lang w:val="fr-FR"/>
        </w:rPr>
        <w:t xml:space="preserve">Au </w:t>
      </w:r>
      <w:r w:rsidR="0018066A" w:rsidRPr="00122856">
        <w:rPr>
          <w:lang w:val="fr-FR"/>
        </w:rPr>
        <w:t>31 </w:t>
      </w:r>
      <w:r w:rsidR="001339A7" w:rsidRPr="00122856">
        <w:rPr>
          <w:lang w:val="fr-FR"/>
        </w:rPr>
        <w:t>août 2015, l</w:t>
      </w:r>
      <w:r w:rsidR="00AF7CF0" w:rsidRPr="00122856">
        <w:rPr>
          <w:lang w:val="fr-FR"/>
        </w:rPr>
        <w:t xml:space="preserve">es quatre cinquièmes des </w:t>
      </w:r>
      <w:r w:rsidR="001339A7" w:rsidRPr="00122856">
        <w:rPr>
          <w:lang w:val="fr-FR"/>
        </w:rPr>
        <w:t>crédits</w:t>
      </w:r>
      <w:r w:rsidR="00AF7CF0" w:rsidRPr="00122856">
        <w:rPr>
          <w:lang w:val="fr-FR"/>
        </w:rPr>
        <w:t xml:space="preserve"> approuvés pour l’actuel exercice biennal </w:t>
      </w:r>
      <w:r w:rsidR="001339A7" w:rsidRPr="00122856">
        <w:rPr>
          <w:lang w:val="fr-FR"/>
        </w:rPr>
        <w:t>avaient</w:t>
      </w:r>
      <w:r w:rsidR="00AF7CF0" w:rsidRPr="00122856">
        <w:rPr>
          <w:lang w:val="fr-FR"/>
        </w:rPr>
        <w:t xml:space="preserve"> été </w:t>
      </w:r>
      <w:r w:rsidR="00AF7CF0" w:rsidRPr="006904F4">
        <w:rPr>
          <w:lang w:val="fr-FR"/>
        </w:rPr>
        <w:t>utilisés</w:t>
      </w:r>
      <w:r w:rsidR="003377B5" w:rsidRPr="006904F4">
        <w:rPr>
          <w:lang w:val="fr-FR"/>
        </w:rPr>
        <w:t xml:space="preserve">, </w:t>
      </w:r>
      <w:r w:rsidR="00E813A0" w:rsidRPr="006904F4">
        <w:rPr>
          <w:lang w:val="fr-FR"/>
        </w:rPr>
        <w:t>témoigna</w:t>
      </w:r>
      <w:r w:rsidR="00EC68F7" w:rsidRPr="006904F4">
        <w:rPr>
          <w:lang w:val="fr-FR"/>
        </w:rPr>
        <w:t>nt de</w:t>
      </w:r>
      <w:r w:rsidR="00E813A0" w:rsidRPr="006904F4">
        <w:rPr>
          <w:lang w:val="fr-FR"/>
        </w:rPr>
        <w:t xml:space="preserve"> l’un des taux </w:t>
      </w:r>
      <w:r w:rsidR="00EC68F7" w:rsidRPr="006904F4">
        <w:rPr>
          <w:lang w:val="fr-FR"/>
        </w:rPr>
        <w:t>de mise en œuvre les plus élevés de toutes les lignes budgétaires</w:t>
      </w:r>
      <w:r w:rsidR="003377B5" w:rsidRPr="006904F4">
        <w:rPr>
          <w:lang w:val="fr-FR"/>
        </w:rPr>
        <w:t xml:space="preserve">. </w:t>
      </w:r>
      <w:r w:rsidR="004D5AA6" w:rsidRPr="004E50B6">
        <w:rPr>
          <w:lang w:val="fr-FR"/>
        </w:rPr>
        <w:t xml:space="preserve">Le </w:t>
      </w:r>
      <w:hyperlink r:id="rId18" w:history="1">
        <w:r w:rsidR="004D5AA6" w:rsidRPr="004E50B6">
          <w:rPr>
            <w:rStyle w:val="Hyperlink"/>
            <w:lang w:val="fr-FR"/>
          </w:rPr>
          <w:t>document ITH/15/10.COM/7.b</w:t>
        </w:r>
      </w:hyperlink>
      <w:r w:rsidR="001339A7" w:rsidRPr="006904F4">
        <w:rPr>
          <w:lang w:val="fr-FR"/>
        </w:rPr>
        <w:t>,</w:t>
      </w:r>
      <w:r w:rsidR="004D5AA6" w:rsidRPr="006904F4">
        <w:rPr>
          <w:lang w:val="fr-FR"/>
        </w:rPr>
        <w:t xml:space="preserve"> </w:t>
      </w:r>
      <w:r w:rsidR="001339A7" w:rsidRPr="006904F4">
        <w:rPr>
          <w:lang w:val="fr-FR"/>
        </w:rPr>
        <w:t>« Rapport du Secrétariat sur ses activités », présente</w:t>
      </w:r>
      <w:r w:rsidR="004D5AA6" w:rsidRPr="006904F4">
        <w:rPr>
          <w:lang w:val="fr-FR"/>
        </w:rPr>
        <w:t xml:space="preserve"> u</w:t>
      </w:r>
      <w:r w:rsidR="00EC68F7" w:rsidRPr="006904F4">
        <w:rPr>
          <w:lang w:val="fr-FR"/>
        </w:rPr>
        <w:t xml:space="preserve">n rapport détaillé sur </w:t>
      </w:r>
      <w:r w:rsidR="007B61C8" w:rsidRPr="006904F4">
        <w:rPr>
          <w:lang w:val="fr-FR"/>
        </w:rPr>
        <w:t xml:space="preserve">l’avancement de la mise en </w:t>
      </w:r>
      <w:r w:rsidR="001339A7" w:rsidRPr="006904F4">
        <w:rPr>
          <w:lang w:val="fr-FR"/>
        </w:rPr>
        <w:t xml:space="preserve">œuvre </w:t>
      </w:r>
      <w:r w:rsidR="007B61C8" w:rsidRPr="006904F4">
        <w:rPr>
          <w:lang w:val="fr-FR"/>
        </w:rPr>
        <w:t xml:space="preserve">de ces </w:t>
      </w:r>
      <w:r w:rsidR="001339A7" w:rsidRPr="006904F4">
        <w:rPr>
          <w:lang w:val="fr-FR"/>
        </w:rPr>
        <w:t>crédits</w:t>
      </w:r>
      <w:r w:rsidR="003377B5" w:rsidRPr="00122856">
        <w:rPr>
          <w:lang w:val="fr-FR"/>
        </w:rPr>
        <w:t>.</w:t>
      </w:r>
    </w:p>
    <w:p w14:paraId="7C98DD95" w14:textId="0EA9A0BA" w:rsidR="003377B5" w:rsidRPr="00631A1B" w:rsidRDefault="00982912" w:rsidP="009E1B50">
      <w:pPr>
        <w:pStyle w:val="COMParabodytext"/>
        <w:rPr>
          <w:lang w:val="fr-FR"/>
        </w:rPr>
      </w:pPr>
      <w:r w:rsidRPr="00631A1B">
        <w:rPr>
          <w:lang w:val="fr-FR"/>
        </w:rPr>
        <w:t xml:space="preserve">Pour faire </w:t>
      </w:r>
      <w:r w:rsidR="006F0FB6" w:rsidRPr="00631A1B">
        <w:rPr>
          <w:lang w:val="fr-FR"/>
        </w:rPr>
        <w:t xml:space="preserve">suite à la recommandation du Service d’évaluation et d’audit dans son audit des méthodes de </w:t>
      </w:r>
      <w:r w:rsidR="006F0FB6" w:rsidRPr="004E50B6">
        <w:rPr>
          <w:lang w:val="fr-FR"/>
        </w:rPr>
        <w:t>travail des conventions culture</w:t>
      </w:r>
      <w:r w:rsidR="00834472" w:rsidRPr="004E50B6">
        <w:rPr>
          <w:lang w:val="fr-FR"/>
        </w:rPr>
        <w:t>lles</w:t>
      </w:r>
      <w:r w:rsidR="006F0FB6" w:rsidRPr="004E50B6">
        <w:rPr>
          <w:lang w:val="fr-FR"/>
        </w:rPr>
        <w:t xml:space="preserve"> </w:t>
      </w:r>
      <w:r w:rsidR="00E71226" w:rsidRPr="004E50B6">
        <w:rPr>
          <w:lang w:val="fr-FR"/>
        </w:rPr>
        <w:t>(</w:t>
      </w:r>
      <w:hyperlink r:id="rId19" w:history="1">
        <w:r w:rsidR="00E71226" w:rsidRPr="004E50B6">
          <w:rPr>
            <w:rStyle w:val="Hyperlink"/>
            <w:lang w:val="fr-FR"/>
          </w:rPr>
          <w:t>IOS/AUD/2013/06</w:t>
        </w:r>
      </w:hyperlink>
      <w:r w:rsidR="00E71226" w:rsidRPr="004E50B6">
        <w:rPr>
          <w:lang w:val="fr-FR"/>
        </w:rPr>
        <w:t>),</w:t>
      </w:r>
      <w:r w:rsidR="00E71226" w:rsidRPr="00631A1B">
        <w:rPr>
          <w:lang w:val="fr-FR"/>
        </w:rPr>
        <w:t xml:space="preserve"> </w:t>
      </w:r>
      <w:r w:rsidR="00834472" w:rsidRPr="00631A1B">
        <w:rPr>
          <w:lang w:val="fr-FR"/>
        </w:rPr>
        <w:t>le</w:t>
      </w:r>
      <w:r w:rsidR="00E71226" w:rsidRPr="00631A1B">
        <w:rPr>
          <w:lang w:val="fr-FR"/>
        </w:rPr>
        <w:t xml:space="preserve"> Comit</w:t>
      </w:r>
      <w:r w:rsidR="00834472" w:rsidRPr="00631A1B">
        <w:rPr>
          <w:lang w:val="fr-FR"/>
        </w:rPr>
        <w:t xml:space="preserve">é a demandé au </w:t>
      </w:r>
      <w:r w:rsidR="00E71226" w:rsidRPr="00631A1B">
        <w:rPr>
          <w:lang w:val="fr-FR"/>
        </w:rPr>
        <w:t>Secr</w:t>
      </w:r>
      <w:r w:rsidR="00834472" w:rsidRPr="00631A1B">
        <w:rPr>
          <w:lang w:val="fr-FR"/>
        </w:rPr>
        <w:t>é</w:t>
      </w:r>
      <w:r w:rsidR="00E71226" w:rsidRPr="00631A1B">
        <w:rPr>
          <w:lang w:val="fr-FR"/>
        </w:rPr>
        <w:t xml:space="preserve">tariat, </w:t>
      </w:r>
      <w:r w:rsidR="00834472" w:rsidRPr="00631A1B">
        <w:rPr>
          <w:lang w:val="fr-FR"/>
        </w:rPr>
        <w:t>dans sa</w:t>
      </w:r>
      <w:r w:rsidR="00E71226" w:rsidRPr="00631A1B">
        <w:rPr>
          <w:lang w:val="fr-FR"/>
        </w:rPr>
        <w:t xml:space="preserve"> </w:t>
      </w:r>
      <w:hyperlink r:id="rId20" w:history="1">
        <w:r w:rsidR="00834472" w:rsidRPr="00631A1B">
          <w:rPr>
            <w:rStyle w:val="Hyperlink"/>
            <w:lang w:val="fr-FR"/>
          </w:rPr>
          <w:t>dé</w:t>
        </w:r>
        <w:r w:rsidR="00E71226" w:rsidRPr="00631A1B">
          <w:rPr>
            <w:rStyle w:val="Hyperlink"/>
            <w:lang w:val="fr-FR"/>
          </w:rPr>
          <w:t>cision 8.COM 11</w:t>
        </w:r>
      </w:hyperlink>
      <w:r w:rsidR="00834472" w:rsidRPr="00631A1B">
        <w:rPr>
          <w:lang w:val="fr-FR"/>
        </w:rPr>
        <w:t xml:space="preserve">, d’appliquer </w:t>
      </w:r>
      <w:r w:rsidR="00F6171B" w:rsidRPr="00631A1B">
        <w:rPr>
          <w:lang w:val="fr-FR"/>
        </w:rPr>
        <w:t>de manière cohérente</w:t>
      </w:r>
      <w:r w:rsidR="002145F6" w:rsidRPr="00631A1B">
        <w:rPr>
          <w:lang w:val="fr-FR"/>
        </w:rPr>
        <w:t xml:space="preserve"> la politique de recouvrement des coûts </w:t>
      </w:r>
      <w:r w:rsidR="00D1334B" w:rsidRPr="00631A1B">
        <w:rPr>
          <w:lang w:val="fr-FR"/>
        </w:rPr>
        <w:t xml:space="preserve">dans le cadre de </w:t>
      </w:r>
      <w:r w:rsidR="004B6554" w:rsidRPr="00631A1B">
        <w:rPr>
          <w:lang w:val="fr-FR"/>
        </w:rPr>
        <w:t>l’utilisation des ressources du Fonds</w:t>
      </w:r>
      <w:r w:rsidR="00E71226" w:rsidRPr="00631A1B">
        <w:rPr>
          <w:lang w:val="fr-FR"/>
        </w:rPr>
        <w:t xml:space="preserve">. </w:t>
      </w:r>
      <w:r w:rsidR="00F6171B" w:rsidRPr="00631A1B">
        <w:rPr>
          <w:lang w:val="fr-FR"/>
        </w:rPr>
        <w:t>En conséquence, et conformément à l’a</w:t>
      </w:r>
      <w:r w:rsidR="00E71226" w:rsidRPr="00631A1B">
        <w:rPr>
          <w:lang w:val="fr-FR"/>
        </w:rPr>
        <w:t xml:space="preserve">rticle 5.2 </w:t>
      </w:r>
      <w:r w:rsidR="00F6171B" w:rsidRPr="00631A1B">
        <w:rPr>
          <w:lang w:val="fr-FR"/>
        </w:rPr>
        <w:t>du Règlement financier du Fonds</w:t>
      </w:r>
      <w:r w:rsidR="00E71226" w:rsidRPr="00631A1B">
        <w:rPr>
          <w:lang w:val="fr-FR"/>
        </w:rPr>
        <w:t xml:space="preserve">, </w:t>
      </w:r>
      <w:r w:rsidR="00F6171B" w:rsidRPr="00631A1B">
        <w:rPr>
          <w:lang w:val="fr-FR"/>
        </w:rPr>
        <w:t xml:space="preserve">les </w:t>
      </w:r>
      <w:r w:rsidR="00DE4CB7" w:rsidRPr="00631A1B">
        <w:rPr>
          <w:lang w:val="fr-FR"/>
        </w:rPr>
        <w:t xml:space="preserve">dépenses administratives directes liées à la mise en œuvre de l’assistance internationale accordée et </w:t>
      </w:r>
      <w:r w:rsidR="00EE57F4" w:rsidRPr="00631A1B">
        <w:rPr>
          <w:lang w:val="fr-FR"/>
        </w:rPr>
        <w:t>aux activités</w:t>
      </w:r>
      <w:r w:rsidR="00DE4CB7" w:rsidRPr="00631A1B">
        <w:rPr>
          <w:lang w:val="fr-FR"/>
        </w:rPr>
        <w:t xml:space="preserve"> approuvées par le Bureau ont été imputées aux </w:t>
      </w:r>
      <w:r w:rsidR="00F6171B" w:rsidRPr="00631A1B">
        <w:rPr>
          <w:lang w:val="fr-FR"/>
        </w:rPr>
        <w:t>lignes budgétaires</w:t>
      </w:r>
      <w:r w:rsidR="0018066A" w:rsidRPr="00631A1B">
        <w:rPr>
          <w:lang w:val="fr-FR"/>
        </w:rPr>
        <w:t> </w:t>
      </w:r>
      <w:r w:rsidR="00E71226" w:rsidRPr="00631A1B">
        <w:rPr>
          <w:lang w:val="fr-FR"/>
        </w:rPr>
        <w:t xml:space="preserve">1 </w:t>
      </w:r>
      <w:r w:rsidR="00F6171B" w:rsidRPr="00631A1B">
        <w:rPr>
          <w:lang w:val="fr-FR"/>
        </w:rPr>
        <w:t>à</w:t>
      </w:r>
      <w:r w:rsidR="00E71226" w:rsidRPr="00631A1B">
        <w:rPr>
          <w:lang w:val="fr-FR"/>
        </w:rPr>
        <w:t xml:space="preserve"> 3.</w:t>
      </w:r>
    </w:p>
    <w:p w14:paraId="0F799FF5" w14:textId="599E6141" w:rsidR="003377B5" w:rsidRPr="00122856" w:rsidRDefault="00DE4CB7" w:rsidP="009E1B50">
      <w:pPr>
        <w:pStyle w:val="COMParabodytext"/>
        <w:rPr>
          <w:lang w:val="fr-FR"/>
        </w:rPr>
      </w:pPr>
      <w:r w:rsidRPr="00122856">
        <w:rPr>
          <w:lang w:val="fr-FR"/>
        </w:rPr>
        <w:t xml:space="preserve">Au cours de l’actuel exercice biennal, la responsabilité d’évaluer les dossiers a été confiée non plus à deux mais à un seul organisme, </w:t>
      </w:r>
      <w:r w:rsidR="00A86CB2" w:rsidRPr="00122856">
        <w:rPr>
          <w:lang w:val="fr-FR"/>
        </w:rPr>
        <w:t xml:space="preserve">comme </w:t>
      </w:r>
      <w:r w:rsidR="00E617A6" w:rsidRPr="00122856">
        <w:rPr>
          <w:lang w:val="fr-FR"/>
        </w:rPr>
        <w:t>en témoignent</w:t>
      </w:r>
      <w:r w:rsidR="00A86CB2" w:rsidRPr="00122856">
        <w:rPr>
          <w:lang w:val="fr-FR"/>
        </w:rPr>
        <w:t xml:space="preserve"> les quatre lignes budgétaires suivantes</w:t>
      </w:r>
      <w:r w:rsidR="00E71226" w:rsidRPr="00122856">
        <w:rPr>
          <w:lang w:val="fr-FR"/>
        </w:rPr>
        <w:t xml:space="preserve">. </w:t>
      </w:r>
      <w:r w:rsidR="00A86CB2" w:rsidRPr="00122856">
        <w:rPr>
          <w:lang w:val="fr-FR"/>
        </w:rPr>
        <w:t>E</w:t>
      </w:r>
      <w:r w:rsidR="00E71226" w:rsidRPr="00122856">
        <w:rPr>
          <w:lang w:val="fr-FR"/>
        </w:rPr>
        <w:t>n 2014,</w:t>
      </w:r>
      <w:r w:rsidR="00A86CB2" w:rsidRPr="00122856">
        <w:rPr>
          <w:lang w:val="fr-FR"/>
        </w:rPr>
        <w:t xml:space="preserve"> la</w:t>
      </w:r>
      <w:r w:rsidR="00E71226" w:rsidRPr="00122856">
        <w:rPr>
          <w:lang w:val="fr-FR"/>
        </w:rPr>
        <w:t xml:space="preserve"> </w:t>
      </w:r>
      <w:r w:rsidR="00A86CB2" w:rsidRPr="00122856">
        <w:rPr>
          <w:b/>
          <w:lang w:val="fr-FR"/>
        </w:rPr>
        <w:t xml:space="preserve">ligne </w:t>
      </w:r>
      <w:r w:rsidR="00E71226" w:rsidRPr="00122856">
        <w:rPr>
          <w:b/>
          <w:lang w:val="fr-FR"/>
        </w:rPr>
        <w:t>budg</w:t>
      </w:r>
      <w:r w:rsidR="00A86CB2" w:rsidRPr="00122856">
        <w:rPr>
          <w:b/>
          <w:lang w:val="fr-FR"/>
        </w:rPr>
        <w:t>é</w:t>
      </w:r>
      <w:r w:rsidR="00E71226" w:rsidRPr="00122856">
        <w:rPr>
          <w:b/>
          <w:lang w:val="fr-FR"/>
        </w:rPr>
        <w:t>t</w:t>
      </w:r>
      <w:r w:rsidR="00A86CB2" w:rsidRPr="00122856">
        <w:rPr>
          <w:b/>
          <w:lang w:val="fr-FR"/>
        </w:rPr>
        <w:t>aire</w:t>
      </w:r>
      <w:r w:rsidR="00E71226" w:rsidRPr="00122856">
        <w:rPr>
          <w:b/>
          <w:lang w:val="fr-FR"/>
        </w:rPr>
        <w:t> 4</w:t>
      </w:r>
      <w:r w:rsidR="00A86CB2" w:rsidRPr="00122856">
        <w:rPr>
          <w:lang w:val="fr-FR"/>
        </w:rPr>
        <w:t xml:space="preserve"> </w:t>
      </w:r>
      <w:r w:rsidR="00E71226" w:rsidRPr="00122856">
        <w:rPr>
          <w:lang w:val="fr-FR"/>
        </w:rPr>
        <w:t>a</w:t>
      </w:r>
      <w:r w:rsidR="00A86CB2" w:rsidRPr="00122856">
        <w:rPr>
          <w:lang w:val="fr-FR"/>
        </w:rPr>
        <w:t xml:space="preserve"> été utilisée pour financer les frais de participation d</w:t>
      </w:r>
      <w:r w:rsidR="00C8158A" w:rsidRPr="00122856">
        <w:rPr>
          <w:lang w:val="fr-FR"/>
        </w:rPr>
        <w:t>’</w:t>
      </w:r>
      <w:r w:rsidR="00E617A6" w:rsidRPr="00122856">
        <w:rPr>
          <w:lang w:val="fr-FR"/>
        </w:rPr>
        <w:t>e</w:t>
      </w:r>
      <w:r w:rsidR="00A86CB2" w:rsidRPr="00122856">
        <w:rPr>
          <w:lang w:val="fr-FR"/>
        </w:rPr>
        <w:t xml:space="preserve">xperts en patrimoine culturel immatériel représentant des </w:t>
      </w:r>
      <w:r w:rsidR="00EE57F4" w:rsidRPr="00122856">
        <w:rPr>
          <w:lang w:val="fr-FR"/>
        </w:rPr>
        <w:t>États</w:t>
      </w:r>
      <w:r w:rsidR="00A86CB2" w:rsidRPr="00122856">
        <w:rPr>
          <w:lang w:val="fr-FR"/>
        </w:rPr>
        <w:t xml:space="preserve"> membres en déve</w:t>
      </w:r>
      <w:r w:rsidR="00E617A6" w:rsidRPr="00122856">
        <w:rPr>
          <w:lang w:val="fr-FR"/>
        </w:rPr>
        <w:t>l</w:t>
      </w:r>
      <w:r w:rsidR="00A86CB2" w:rsidRPr="00122856">
        <w:rPr>
          <w:lang w:val="fr-FR"/>
        </w:rPr>
        <w:t>oppement du Comité, aux sessions de l’Organe subsidiaire et du Comité</w:t>
      </w:r>
      <w:r w:rsidR="00E71226" w:rsidRPr="00122856">
        <w:rPr>
          <w:lang w:val="fr-FR"/>
        </w:rPr>
        <w:t xml:space="preserve">. </w:t>
      </w:r>
      <w:r w:rsidR="00E617A6" w:rsidRPr="00122856">
        <w:rPr>
          <w:lang w:val="fr-FR"/>
        </w:rPr>
        <w:t xml:space="preserve">Toutefois, en </w:t>
      </w:r>
      <w:r w:rsidR="00E71226" w:rsidRPr="00122856">
        <w:rPr>
          <w:lang w:val="fr-FR"/>
        </w:rPr>
        <w:t xml:space="preserve">2015 </w:t>
      </w:r>
      <w:r w:rsidR="00E617A6" w:rsidRPr="00122856">
        <w:rPr>
          <w:lang w:val="fr-FR"/>
        </w:rPr>
        <w:t xml:space="preserve">elle </w:t>
      </w:r>
      <w:r w:rsidR="00BC1B82" w:rsidRPr="00122856">
        <w:rPr>
          <w:lang w:val="fr-FR"/>
        </w:rPr>
        <w:t>n’</w:t>
      </w:r>
      <w:r w:rsidR="00E617A6" w:rsidRPr="00122856">
        <w:rPr>
          <w:lang w:val="fr-FR"/>
        </w:rPr>
        <w:t xml:space="preserve">a financé </w:t>
      </w:r>
      <w:r w:rsidR="00BC1B82" w:rsidRPr="00122856">
        <w:rPr>
          <w:lang w:val="fr-FR"/>
        </w:rPr>
        <w:t xml:space="preserve">que </w:t>
      </w:r>
      <w:r w:rsidR="00E617A6" w:rsidRPr="00122856">
        <w:rPr>
          <w:lang w:val="fr-FR"/>
        </w:rPr>
        <w:t>la participation d</w:t>
      </w:r>
      <w:r w:rsidR="00BC1B82" w:rsidRPr="00122856">
        <w:rPr>
          <w:lang w:val="fr-FR"/>
        </w:rPr>
        <w:t>’</w:t>
      </w:r>
      <w:r w:rsidR="00E617A6" w:rsidRPr="00122856">
        <w:rPr>
          <w:lang w:val="fr-FR"/>
        </w:rPr>
        <w:t>experts aux sessions du Comité et du Bureau, d</w:t>
      </w:r>
      <w:r w:rsidR="00C8158A" w:rsidRPr="00122856">
        <w:rPr>
          <w:lang w:val="fr-FR"/>
        </w:rPr>
        <w:t>u fait que</w:t>
      </w:r>
      <w:r w:rsidR="00E617A6" w:rsidRPr="00122856">
        <w:rPr>
          <w:lang w:val="fr-FR"/>
        </w:rPr>
        <w:t xml:space="preserve"> </w:t>
      </w:r>
      <w:r w:rsidR="00FE2EBA" w:rsidRPr="00122856">
        <w:rPr>
          <w:lang w:val="fr-FR"/>
        </w:rPr>
        <w:t>les experts</w:t>
      </w:r>
      <w:r w:rsidR="00E617A6" w:rsidRPr="00122856">
        <w:rPr>
          <w:lang w:val="fr-FR"/>
        </w:rPr>
        <w:t xml:space="preserve"> représentant des </w:t>
      </w:r>
      <w:r w:rsidR="00EE57F4" w:rsidRPr="00122856">
        <w:rPr>
          <w:lang w:val="fr-FR"/>
        </w:rPr>
        <w:t>États</w:t>
      </w:r>
      <w:r w:rsidR="00E617A6" w:rsidRPr="00122856">
        <w:rPr>
          <w:lang w:val="fr-FR"/>
        </w:rPr>
        <w:t xml:space="preserve"> au sein de l’Organe d’évaluation nouvellement é</w:t>
      </w:r>
      <w:r w:rsidR="00274D30" w:rsidRPr="00122856">
        <w:rPr>
          <w:lang w:val="fr-FR"/>
        </w:rPr>
        <w:t>tabli</w:t>
      </w:r>
      <w:r w:rsidR="00E617A6" w:rsidRPr="00122856">
        <w:rPr>
          <w:lang w:val="fr-FR"/>
        </w:rPr>
        <w:t xml:space="preserve"> </w:t>
      </w:r>
      <w:r w:rsidR="0018066A" w:rsidRPr="00122856">
        <w:rPr>
          <w:lang w:val="fr-FR"/>
        </w:rPr>
        <w:t xml:space="preserve">sont ressortissants </w:t>
      </w:r>
      <w:r w:rsidR="00274D30" w:rsidRPr="00122856">
        <w:rPr>
          <w:lang w:val="fr-FR"/>
        </w:rPr>
        <w:t>d’</w:t>
      </w:r>
      <w:r w:rsidR="00EE57F4" w:rsidRPr="00122856">
        <w:rPr>
          <w:lang w:val="fr-FR"/>
        </w:rPr>
        <w:t>États</w:t>
      </w:r>
      <w:r w:rsidR="00274D30" w:rsidRPr="00122856">
        <w:rPr>
          <w:lang w:val="fr-FR"/>
        </w:rPr>
        <w:t xml:space="preserve"> parties </w:t>
      </w:r>
      <w:r w:rsidR="006928B8" w:rsidRPr="00122856">
        <w:rPr>
          <w:lang w:val="fr-FR"/>
        </w:rPr>
        <w:t>non</w:t>
      </w:r>
      <w:r w:rsidR="003A215F" w:rsidRPr="00122856">
        <w:rPr>
          <w:lang w:val="fr-FR"/>
        </w:rPr>
        <w:t>-</w:t>
      </w:r>
      <w:r w:rsidR="00274D30" w:rsidRPr="00122856">
        <w:rPr>
          <w:lang w:val="fr-FR"/>
        </w:rPr>
        <w:t>membres du Comité</w:t>
      </w:r>
      <w:r w:rsidR="00E71226" w:rsidRPr="00122856">
        <w:rPr>
          <w:lang w:val="fr-FR"/>
        </w:rPr>
        <w:t xml:space="preserve">. </w:t>
      </w:r>
      <w:r w:rsidR="003A215F" w:rsidRPr="00122856">
        <w:rPr>
          <w:lang w:val="fr-FR"/>
        </w:rPr>
        <w:t>À</w:t>
      </w:r>
      <w:r w:rsidR="00274D30" w:rsidRPr="00122856">
        <w:rPr>
          <w:lang w:val="fr-FR"/>
        </w:rPr>
        <w:t xml:space="preserve"> </w:t>
      </w:r>
      <w:r w:rsidR="003A215F" w:rsidRPr="00122856">
        <w:rPr>
          <w:lang w:val="fr-FR"/>
        </w:rPr>
        <w:t xml:space="preserve">ce </w:t>
      </w:r>
      <w:r w:rsidR="00274D30" w:rsidRPr="00122856">
        <w:rPr>
          <w:lang w:val="fr-FR"/>
        </w:rPr>
        <w:t>stade de l’exercice biennal, a</w:t>
      </w:r>
      <w:r w:rsidR="0045678B" w:rsidRPr="00122856">
        <w:rPr>
          <w:lang w:val="fr-FR"/>
        </w:rPr>
        <w:t>lors qu’</w:t>
      </w:r>
      <w:r w:rsidR="00274D30" w:rsidRPr="00122856">
        <w:rPr>
          <w:lang w:val="fr-FR"/>
        </w:rPr>
        <w:t xml:space="preserve">une seule session du Comité </w:t>
      </w:r>
      <w:r w:rsidR="0045678B" w:rsidRPr="00122856">
        <w:rPr>
          <w:lang w:val="fr-FR"/>
        </w:rPr>
        <w:t>a eu lieu</w:t>
      </w:r>
      <w:r w:rsidR="00274D30" w:rsidRPr="00122856">
        <w:rPr>
          <w:lang w:val="fr-FR"/>
        </w:rPr>
        <w:t xml:space="preserve">, le taux de mise en œuvre de la </w:t>
      </w:r>
      <w:r w:rsidR="00274D30" w:rsidRPr="00122856">
        <w:rPr>
          <w:b/>
          <w:lang w:val="fr-FR"/>
        </w:rPr>
        <w:t xml:space="preserve">ligne </w:t>
      </w:r>
      <w:r w:rsidR="00E71226" w:rsidRPr="00122856">
        <w:rPr>
          <w:b/>
          <w:lang w:val="fr-FR"/>
        </w:rPr>
        <w:t>budg</w:t>
      </w:r>
      <w:r w:rsidR="00274D30" w:rsidRPr="00122856">
        <w:rPr>
          <w:b/>
          <w:lang w:val="fr-FR"/>
        </w:rPr>
        <w:t>é</w:t>
      </w:r>
      <w:r w:rsidR="00E71226" w:rsidRPr="00122856">
        <w:rPr>
          <w:b/>
          <w:lang w:val="fr-FR"/>
        </w:rPr>
        <w:t>t</w:t>
      </w:r>
      <w:r w:rsidR="00274D30" w:rsidRPr="00122856">
        <w:rPr>
          <w:b/>
          <w:lang w:val="fr-FR"/>
        </w:rPr>
        <w:t>aire</w:t>
      </w:r>
      <w:r w:rsidR="00E71226" w:rsidRPr="00122856">
        <w:rPr>
          <w:b/>
          <w:lang w:val="fr-FR"/>
        </w:rPr>
        <w:t> 5</w:t>
      </w:r>
      <w:r w:rsidR="00274D30" w:rsidRPr="00122856">
        <w:rPr>
          <w:lang w:val="fr-FR"/>
        </w:rPr>
        <w:t xml:space="preserve"> est plus élevé que d’habitude en raison d</w:t>
      </w:r>
      <w:r w:rsidR="002A22FE" w:rsidRPr="00122856">
        <w:rPr>
          <w:lang w:val="fr-FR"/>
        </w:rPr>
        <w:t xml:space="preserve">u </w:t>
      </w:r>
      <w:r w:rsidR="00FD1663" w:rsidRPr="00122856">
        <w:rPr>
          <w:lang w:val="fr-FR"/>
        </w:rPr>
        <w:t>financement des</w:t>
      </w:r>
      <w:r w:rsidR="002A22FE" w:rsidRPr="00122856">
        <w:rPr>
          <w:lang w:val="fr-FR"/>
        </w:rPr>
        <w:t xml:space="preserve"> frais de participation de quatre membres de l’Organe d’évaluation représentant des </w:t>
      </w:r>
      <w:r w:rsidR="00EE57F4" w:rsidRPr="00122856">
        <w:rPr>
          <w:lang w:val="fr-FR"/>
        </w:rPr>
        <w:t>États</w:t>
      </w:r>
      <w:r w:rsidR="002A22FE" w:rsidRPr="00122856">
        <w:rPr>
          <w:lang w:val="fr-FR"/>
        </w:rPr>
        <w:t xml:space="preserve"> parties en développement non-membres du Comité aux réunions de l’</w:t>
      </w:r>
      <w:r w:rsidR="0045678B" w:rsidRPr="00122856">
        <w:rPr>
          <w:lang w:val="fr-FR"/>
        </w:rPr>
        <w:t>o</w:t>
      </w:r>
      <w:r w:rsidR="002A22FE" w:rsidRPr="00122856">
        <w:rPr>
          <w:lang w:val="fr-FR"/>
        </w:rPr>
        <w:t>rgane</w:t>
      </w:r>
      <w:r w:rsidR="00E71226" w:rsidRPr="00122856">
        <w:rPr>
          <w:lang w:val="fr-FR"/>
        </w:rPr>
        <w:t>. I</w:t>
      </w:r>
      <w:r w:rsidR="002A22FE" w:rsidRPr="00122856">
        <w:rPr>
          <w:lang w:val="fr-FR"/>
        </w:rPr>
        <w:t>l convient néanmoins de noter que le</w:t>
      </w:r>
      <w:r w:rsidR="0045678B" w:rsidRPr="00122856">
        <w:rPr>
          <w:lang w:val="fr-FR"/>
        </w:rPr>
        <w:t>s crédits</w:t>
      </w:r>
      <w:r w:rsidR="002A22FE" w:rsidRPr="00122856">
        <w:rPr>
          <w:lang w:val="fr-FR"/>
        </w:rPr>
        <w:t xml:space="preserve"> a</w:t>
      </w:r>
      <w:r w:rsidR="0045678B" w:rsidRPr="00122856">
        <w:rPr>
          <w:lang w:val="fr-FR"/>
        </w:rPr>
        <w:t>lloués</w:t>
      </w:r>
      <w:r w:rsidR="002A22FE" w:rsidRPr="00122856">
        <w:rPr>
          <w:lang w:val="fr-FR"/>
        </w:rPr>
        <w:t xml:space="preserve"> à cette ligne budgétaire</w:t>
      </w:r>
      <w:r w:rsidR="00E71226" w:rsidRPr="00122856">
        <w:rPr>
          <w:lang w:val="fr-FR"/>
        </w:rPr>
        <w:t xml:space="preserve"> (89</w:t>
      </w:r>
      <w:r w:rsidR="002A22FE" w:rsidRPr="00122856">
        <w:rPr>
          <w:lang w:val="fr-FR"/>
        </w:rPr>
        <w:t> </w:t>
      </w:r>
      <w:r w:rsidR="00E71226" w:rsidRPr="00122856">
        <w:rPr>
          <w:lang w:val="fr-FR"/>
        </w:rPr>
        <w:t>666</w:t>
      </w:r>
      <w:r w:rsidR="002A22FE" w:rsidRPr="00122856">
        <w:rPr>
          <w:lang w:val="fr-FR"/>
        </w:rPr>
        <w:t xml:space="preserve"> dollars des </w:t>
      </w:r>
      <w:r w:rsidR="00EE57F4" w:rsidRPr="00122856">
        <w:rPr>
          <w:lang w:val="fr-FR"/>
        </w:rPr>
        <w:t>États-Unis</w:t>
      </w:r>
      <w:r w:rsidR="002A22FE" w:rsidRPr="00122856">
        <w:rPr>
          <w:lang w:val="fr-FR"/>
        </w:rPr>
        <w:t xml:space="preserve"> d’</w:t>
      </w:r>
      <w:r w:rsidR="007E0B7D" w:rsidRPr="00122856">
        <w:rPr>
          <w:lang w:val="fr-FR"/>
        </w:rPr>
        <w:t>engagements non réglés</w:t>
      </w:r>
      <w:r w:rsidR="00E71226" w:rsidRPr="00122856">
        <w:rPr>
          <w:lang w:val="fr-FR"/>
        </w:rPr>
        <w:t xml:space="preserve">) </w:t>
      </w:r>
      <w:r w:rsidR="007E0B7D" w:rsidRPr="00122856">
        <w:rPr>
          <w:lang w:val="fr-FR"/>
        </w:rPr>
        <w:t>n’inclu</w:t>
      </w:r>
      <w:r w:rsidR="0045678B" w:rsidRPr="00122856">
        <w:rPr>
          <w:lang w:val="fr-FR"/>
        </w:rPr>
        <w:t>en</w:t>
      </w:r>
      <w:r w:rsidR="007E0B7D" w:rsidRPr="00122856">
        <w:rPr>
          <w:lang w:val="fr-FR"/>
        </w:rPr>
        <w:t>t pas le</w:t>
      </w:r>
      <w:r w:rsidR="00AD29E1" w:rsidRPr="00122856">
        <w:rPr>
          <w:lang w:val="fr-FR"/>
        </w:rPr>
        <w:t xml:space="preserve"> financement</w:t>
      </w:r>
      <w:r w:rsidR="007E0B7D" w:rsidRPr="00122856">
        <w:rPr>
          <w:lang w:val="fr-FR"/>
        </w:rPr>
        <w:t xml:space="preserve"> </w:t>
      </w:r>
      <w:r w:rsidR="00AD29E1" w:rsidRPr="00122856">
        <w:rPr>
          <w:lang w:val="fr-FR"/>
        </w:rPr>
        <w:t>de</w:t>
      </w:r>
      <w:r w:rsidR="0045678B" w:rsidRPr="00122856">
        <w:rPr>
          <w:lang w:val="fr-FR"/>
        </w:rPr>
        <w:t>s coûts de</w:t>
      </w:r>
      <w:r w:rsidR="007E0B7D" w:rsidRPr="00122856">
        <w:rPr>
          <w:lang w:val="fr-FR"/>
        </w:rPr>
        <w:t xml:space="preserve"> participation à la troisième et dernière réunion de l’Organe, qui ont été </w:t>
      </w:r>
      <w:r w:rsidR="00AD29E1" w:rsidRPr="00122856">
        <w:rPr>
          <w:lang w:val="fr-FR"/>
        </w:rPr>
        <w:t>acquittés avant le 31 août</w:t>
      </w:r>
      <w:r w:rsidR="00E71226" w:rsidRPr="00122856">
        <w:rPr>
          <w:lang w:val="fr-FR"/>
        </w:rPr>
        <w:t xml:space="preserve"> 2015. </w:t>
      </w:r>
      <w:r w:rsidR="00AD29E1" w:rsidRPr="00122856">
        <w:rPr>
          <w:lang w:val="fr-FR"/>
        </w:rPr>
        <w:t xml:space="preserve">En fait, ce montant est </w:t>
      </w:r>
      <w:r w:rsidR="004A6056" w:rsidRPr="00122856">
        <w:rPr>
          <w:lang w:val="fr-FR"/>
        </w:rPr>
        <w:t xml:space="preserve">provisionné pour </w:t>
      </w:r>
      <w:r w:rsidR="00FD1663" w:rsidRPr="00122856">
        <w:rPr>
          <w:lang w:val="fr-FR"/>
        </w:rPr>
        <w:t>financer</w:t>
      </w:r>
      <w:r w:rsidR="0055101A" w:rsidRPr="00122856">
        <w:rPr>
          <w:lang w:val="fr-FR"/>
        </w:rPr>
        <w:t xml:space="preserve"> les frai</w:t>
      </w:r>
      <w:r w:rsidR="004A6056" w:rsidRPr="00122856">
        <w:rPr>
          <w:lang w:val="fr-FR"/>
        </w:rPr>
        <w:t xml:space="preserve">s de participation </w:t>
      </w:r>
      <w:r w:rsidR="003A215F" w:rsidRPr="00122856">
        <w:rPr>
          <w:lang w:val="fr-FR"/>
        </w:rPr>
        <w:t xml:space="preserve">à la présente session du Comité </w:t>
      </w:r>
      <w:r w:rsidR="004A6056" w:rsidRPr="00122856">
        <w:rPr>
          <w:lang w:val="fr-FR"/>
        </w:rPr>
        <w:t>d</w:t>
      </w:r>
      <w:r w:rsidR="0055101A" w:rsidRPr="00122856">
        <w:rPr>
          <w:lang w:val="fr-FR"/>
        </w:rPr>
        <w:t xml:space="preserve">’experts </w:t>
      </w:r>
      <w:r w:rsidR="004A6056" w:rsidRPr="00122856">
        <w:rPr>
          <w:lang w:val="fr-FR"/>
        </w:rPr>
        <w:t>représent</w:t>
      </w:r>
      <w:r w:rsidR="0055101A" w:rsidRPr="00122856">
        <w:rPr>
          <w:lang w:val="fr-FR"/>
        </w:rPr>
        <w:t>a</w:t>
      </w:r>
      <w:r w:rsidR="004A6056" w:rsidRPr="00122856">
        <w:rPr>
          <w:lang w:val="fr-FR"/>
        </w:rPr>
        <w:t xml:space="preserve">nt des </w:t>
      </w:r>
      <w:r w:rsidR="008D15F0" w:rsidRPr="00122856">
        <w:rPr>
          <w:lang w:val="fr-FR"/>
        </w:rPr>
        <w:t>p</w:t>
      </w:r>
      <w:r w:rsidR="00EE57F4" w:rsidRPr="00122856">
        <w:rPr>
          <w:lang w:val="fr-FR"/>
        </w:rPr>
        <w:t xml:space="preserve">ays </w:t>
      </w:r>
      <w:r w:rsidR="00FD1663" w:rsidRPr="00122856">
        <w:rPr>
          <w:lang w:val="fr-FR"/>
        </w:rPr>
        <w:t>en développement qui sont parties à la Convention</w:t>
      </w:r>
      <w:r w:rsidR="003A215F" w:rsidRPr="00122856">
        <w:rPr>
          <w:lang w:val="fr-FR"/>
        </w:rPr>
        <w:t xml:space="preserve"> mais non-membres du Comité</w:t>
      </w:r>
      <w:r w:rsidR="00E71226" w:rsidRPr="00122856">
        <w:rPr>
          <w:lang w:val="fr-FR"/>
        </w:rPr>
        <w:t>.</w:t>
      </w:r>
    </w:p>
    <w:p w14:paraId="47FA332D" w14:textId="22F08358" w:rsidR="003377B5" w:rsidRPr="00122856" w:rsidRDefault="00FD1663" w:rsidP="009E1B50">
      <w:pPr>
        <w:pStyle w:val="COMParabodytext"/>
        <w:rPr>
          <w:lang w:val="fr-FR"/>
        </w:rPr>
      </w:pPr>
      <w:r w:rsidRPr="00122856">
        <w:rPr>
          <w:lang w:val="fr-FR"/>
        </w:rPr>
        <w:t xml:space="preserve">Les dépenses de la </w:t>
      </w:r>
      <w:r w:rsidRPr="00122856">
        <w:rPr>
          <w:b/>
          <w:lang w:val="fr-FR"/>
        </w:rPr>
        <w:t>ligne</w:t>
      </w:r>
      <w:r w:rsidR="00E71226" w:rsidRPr="00122856">
        <w:rPr>
          <w:lang w:val="fr-FR"/>
        </w:rPr>
        <w:t xml:space="preserve"> </w:t>
      </w:r>
      <w:r w:rsidR="00E71226" w:rsidRPr="00122856">
        <w:rPr>
          <w:b/>
          <w:lang w:val="fr-FR"/>
        </w:rPr>
        <w:t>budg</w:t>
      </w:r>
      <w:r w:rsidRPr="00122856">
        <w:rPr>
          <w:b/>
          <w:lang w:val="fr-FR"/>
        </w:rPr>
        <w:t>é</w:t>
      </w:r>
      <w:r w:rsidR="00E71226" w:rsidRPr="00122856">
        <w:rPr>
          <w:b/>
          <w:lang w:val="fr-FR"/>
        </w:rPr>
        <w:t>t</w:t>
      </w:r>
      <w:r w:rsidRPr="00122856">
        <w:rPr>
          <w:b/>
          <w:lang w:val="fr-FR"/>
        </w:rPr>
        <w:t>aire</w:t>
      </w:r>
      <w:r w:rsidR="00E71226" w:rsidRPr="00122856">
        <w:rPr>
          <w:b/>
          <w:lang w:val="fr-FR"/>
        </w:rPr>
        <w:t> 6</w:t>
      </w:r>
      <w:r w:rsidR="00E71226" w:rsidRPr="00122856">
        <w:rPr>
          <w:lang w:val="fr-FR"/>
        </w:rPr>
        <w:t xml:space="preserve"> </w:t>
      </w:r>
      <w:r w:rsidR="006A131E" w:rsidRPr="00122856">
        <w:rPr>
          <w:lang w:val="fr-FR"/>
        </w:rPr>
        <w:t>reflètent également le passage de deux organes d’évaluation à un seul</w:t>
      </w:r>
      <w:r w:rsidR="00E71226" w:rsidRPr="00122856">
        <w:rPr>
          <w:lang w:val="fr-FR"/>
        </w:rPr>
        <w:t xml:space="preserve">. </w:t>
      </w:r>
      <w:r w:rsidR="000A0383" w:rsidRPr="00122856">
        <w:rPr>
          <w:lang w:val="fr-FR"/>
        </w:rPr>
        <w:t xml:space="preserve">Si les décaissements incluent les frais de participation des douze membres de l’Organe consultatif à ses trois réunions en </w:t>
      </w:r>
      <w:r w:rsidR="00E71226" w:rsidRPr="00122856">
        <w:rPr>
          <w:lang w:val="fr-FR"/>
        </w:rPr>
        <w:t xml:space="preserve">2014, </w:t>
      </w:r>
      <w:r w:rsidR="000A0383" w:rsidRPr="00122856">
        <w:rPr>
          <w:lang w:val="fr-FR"/>
        </w:rPr>
        <w:t xml:space="preserve">ils ne couvrent ces mêmes frais que pour six membres de l’Organe d’évaluation en activité en </w:t>
      </w:r>
      <w:r w:rsidR="00E71226" w:rsidRPr="00122856">
        <w:rPr>
          <w:lang w:val="fr-FR"/>
        </w:rPr>
        <w:t xml:space="preserve">2015 – </w:t>
      </w:r>
      <w:r w:rsidR="000A0383" w:rsidRPr="00122856">
        <w:rPr>
          <w:lang w:val="fr-FR"/>
        </w:rPr>
        <w:t xml:space="preserve">les </w:t>
      </w:r>
      <w:r w:rsidR="00E71226" w:rsidRPr="00122856">
        <w:rPr>
          <w:lang w:val="fr-FR"/>
        </w:rPr>
        <w:t xml:space="preserve">six </w:t>
      </w:r>
      <w:r w:rsidR="000A0383" w:rsidRPr="00122856">
        <w:rPr>
          <w:lang w:val="fr-FR"/>
        </w:rPr>
        <w:t>organisations non gouvernementales accréditées</w:t>
      </w:r>
      <w:r w:rsidR="00E71226" w:rsidRPr="00122856">
        <w:rPr>
          <w:lang w:val="fr-FR"/>
        </w:rPr>
        <w:t xml:space="preserve"> –, </w:t>
      </w:r>
      <w:r w:rsidR="000A0383" w:rsidRPr="00122856">
        <w:rPr>
          <w:lang w:val="fr-FR"/>
        </w:rPr>
        <w:t xml:space="preserve">puisque </w:t>
      </w:r>
      <w:r w:rsidR="0015683C" w:rsidRPr="00122856">
        <w:rPr>
          <w:lang w:val="fr-FR"/>
        </w:rPr>
        <w:t>les frais</w:t>
      </w:r>
      <w:r w:rsidR="000A0383" w:rsidRPr="00122856">
        <w:rPr>
          <w:lang w:val="fr-FR"/>
        </w:rPr>
        <w:t xml:space="preserve"> des autres membres </w:t>
      </w:r>
      <w:r w:rsidR="0015683C" w:rsidRPr="00122856">
        <w:rPr>
          <w:lang w:val="fr-FR"/>
        </w:rPr>
        <w:t>pouvant prétendre</w:t>
      </w:r>
      <w:r w:rsidR="000A0383" w:rsidRPr="00122856">
        <w:rPr>
          <w:lang w:val="fr-FR"/>
        </w:rPr>
        <w:t xml:space="preserve"> à ce</w:t>
      </w:r>
      <w:r w:rsidR="0015683C" w:rsidRPr="00122856">
        <w:rPr>
          <w:lang w:val="fr-FR"/>
        </w:rPr>
        <w:t>tte aide</w:t>
      </w:r>
      <w:r w:rsidR="000A0383" w:rsidRPr="00122856">
        <w:rPr>
          <w:lang w:val="fr-FR"/>
        </w:rPr>
        <w:t xml:space="preserve"> ont été imputés à la </w:t>
      </w:r>
      <w:r w:rsidRPr="00122856">
        <w:rPr>
          <w:lang w:val="fr-FR"/>
        </w:rPr>
        <w:t>ligne budgétaire</w:t>
      </w:r>
      <w:r w:rsidR="00E71226" w:rsidRPr="00122856">
        <w:rPr>
          <w:lang w:val="fr-FR"/>
        </w:rPr>
        <w:t> 5</w:t>
      </w:r>
      <w:r w:rsidR="009C5DB8" w:rsidRPr="00122856">
        <w:rPr>
          <w:lang w:val="fr-FR"/>
        </w:rPr>
        <w:t>,</w:t>
      </w:r>
      <w:r w:rsidR="00E71226" w:rsidRPr="00122856">
        <w:rPr>
          <w:lang w:val="fr-FR"/>
        </w:rPr>
        <w:t xml:space="preserve"> </w:t>
      </w:r>
      <w:r w:rsidR="000A0383" w:rsidRPr="00122856">
        <w:rPr>
          <w:lang w:val="fr-FR"/>
        </w:rPr>
        <w:t>comme il est indiqué au paragraphe précédent</w:t>
      </w:r>
      <w:r w:rsidR="00E71226" w:rsidRPr="00122856">
        <w:rPr>
          <w:lang w:val="fr-FR"/>
        </w:rPr>
        <w:t xml:space="preserve">. </w:t>
      </w:r>
      <w:r w:rsidR="000A0383" w:rsidRPr="00122856">
        <w:rPr>
          <w:lang w:val="fr-FR"/>
        </w:rPr>
        <w:t>Les décaissements co</w:t>
      </w:r>
      <w:r w:rsidR="0015683C" w:rsidRPr="00122856">
        <w:rPr>
          <w:lang w:val="fr-FR"/>
        </w:rPr>
        <w:t>uvrent</w:t>
      </w:r>
      <w:r w:rsidR="000A0383" w:rsidRPr="00122856">
        <w:rPr>
          <w:lang w:val="fr-FR"/>
        </w:rPr>
        <w:t xml:space="preserve"> également les </w:t>
      </w:r>
      <w:r w:rsidR="00356BA9" w:rsidRPr="00122856">
        <w:rPr>
          <w:lang w:val="fr-FR"/>
        </w:rPr>
        <w:t>frais de participation de douze organisations non gouvernementales accréditées de pays en développement à la neuvième session du Comité</w:t>
      </w:r>
      <w:r w:rsidR="00E71226" w:rsidRPr="00122856">
        <w:rPr>
          <w:lang w:val="fr-FR"/>
        </w:rPr>
        <w:t xml:space="preserve">. </w:t>
      </w:r>
      <w:r w:rsidR="00356BA9" w:rsidRPr="00122856">
        <w:rPr>
          <w:lang w:val="fr-FR"/>
        </w:rPr>
        <w:t xml:space="preserve">En ce qui concerne les </w:t>
      </w:r>
      <w:r w:rsidR="009C5DB8" w:rsidRPr="00122856">
        <w:rPr>
          <w:lang w:val="fr-FR"/>
        </w:rPr>
        <w:t xml:space="preserve">engagements </w:t>
      </w:r>
      <w:r w:rsidR="00356BA9" w:rsidRPr="00122856">
        <w:rPr>
          <w:lang w:val="fr-FR"/>
        </w:rPr>
        <w:t>non réglé</w:t>
      </w:r>
      <w:r w:rsidR="001775E6" w:rsidRPr="00122856">
        <w:rPr>
          <w:lang w:val="fr-FR"/>
        </w:rPr>
        <w:t>e</w:t>
      </w:r>
      <w:r w:rsidR="00356BA9" w:rsidRPr="00122856">
        <w:rPr>
          <w:lang w:val="fr-FR"/>
        </w:rPr>
        <w:t xml:space="preserve">s, </w:t>
      </w:r>
      <w:r w:rsidR="009C5DB8" w:rsidRPr="00122856">
        <w:rPr>
          <w:lang w:val="fr-FR"/>
        </w:rPr>
        <w:t xml:space="preserve">ils </w:t>
      </w:r>
      <w:r w:rsidR="00356BA9" w:rsidRPr="00122856">
        <w:rPr>
          <w:lang w:val="fr-FR"/>
        </w:rPr>
        <w:t xml:space="preserve">sont provisionnés </w:t>
      </w:r>
      <w:r w:rsidR="001775E6" w:rsidRPr="00122856">
        <w:rPr>
          <w:lang w:val="fr-FR"/>
        </w:rPr>
        <w:t xml:space="preserve">principalement </w:t>
      </w:r>
      <w:r w:rsidR="00356BA9" w:rsidRPr="00122856">
        <w:rPr>
          <w:lang w:val="fr-FR"/>
        </w:rPr>
        <w:t>pour couvrir les frais de participation d</w:t>
      </w:r>
      <w:r w:rsidR="001775E6" w:rsidRPr="00122856">
        <w:rPr>
          <w:lang w:val="fr-FR"/>
        </w:rPr>
        <w:t>’</w:t>
      </w:r>
      <w:r w:rsidR="00356BA9" w:rsidRPr="00122856">
        <w:rPr>
          <w:lang w:val="fr-FR"/>
        </w:rPr>
        <w:t>organisations non gouvernementales accréditées de pays en développement à la dixième session du Comité</w:t>
      </w:r>
      <w:r w:rsidR="00E71226" w:rsidRPr="00122856">
        <w:rPr>
          <w:lang w:val="fr-FR"/>
        </w:rPr>
        <w:t>.</w:t>
      </w:r>
    </w:p>
    <w:p w14:paraId="648A0F86" w14:textId="7A5AE97A" w:rsidR="003377B5" w:rsidRPr="00122856" w:rsidRDefault="00356BA9" w:rsidP="009E1B50">
      <w:pPr>
        <w:pStyle w:val="COMParabodytext"/>
        <w:rPr>
          <w:lang w:val="fr-FR"/>
        </w:rPr>
      </w:pPr>
      <w:r w:rsidRPr="00122856">
        <w:rPr>
          <w:lang w:val="fr-FR"/>
        </w:rPr>
        <w:t>Enfin</w:t>
      </w:r>
      <w:r w:rsidR="00E71226" w:rsidRPr="00122856">
        <w:rPr>
          <w:lang w:val="fr-FR"/>
        </w:rPr>
        <w:t>,</w:t>
      </w:r>
      <w:r w:rsidRPr="00122856">
        <w:rPr>
          <w:lang w:val="fr-FR"/>
        </w:rPr>
        <w:t xml:space="preserve"> la</w:t>
      </w:r>
      <w:r w:rsidR="00E71226" w:rsidRPr="00122856">
        <w:rPr>
          <w:lang w:val="fr-FR"/>
        </w:rPr>
        <w:t xml:space="preserve"> </w:t>
      </w:r>
      <w:r w:rsidR="00FD1663" w:rsidRPr="00122856">
        <w:rPr>
          <w:b/>
          <w:lang w:val="fr-FR"/>
        </w:rPr>
        <w:t>ligne budgétaire</w:t>
      </w:r>
      <w:r w:rsidR="00E71226" w:rsidRPr="00122856">
        <w:rPr>
          <w:b/>
          <w:lang w:val="fr-FR"/>
        </w:rPr>
        <w:t> 7</w:t>
      </w:r>
      <w:r w:rsidR="00E71226" w:rsidRPr="00122856">
        <w:rPr>
          <w:lang w:val="fr-FR"/>
        </w:rPr>
        <w:t xml:space="preserve"> (Co</w:t>
      </w:r>
      <w:r w:rsidRPr="00122856">
        <w:rPr>
          <w:lang w:val="fr-FR"/>
        </w:rPr>
        <w:t>ût des services consultatifs fournis à la demande du Comité</w:t>
      </w:r>
      <w:r w:rsidR="00E71226" w:rsidRPr="00122856">
        <w:rPr>
          <w:lang w:val="fr-FR"/>
        </w:rPr>
        <w:t xml:space="preserve">) </w:t>
      </w:r>
      <w:r w:rsidR="001775E6" w:rsidRPr="00122856">
        <w:rPr>
          <w:lang w:val="fr-FR"/>
        </w:rPr>
        <w:t>affiche</w:t>
      </w:r>
      <w:r w:rsidR="006907FE" w:rsidRPr="00122856">
        <w:rPr>
          <w:lang w:val="fr-FR"/>
        </w:rPr>
        <w:t xml:space="preserve"> un taux de dépense de </w:t>
      </w:r>
      <w:r w:rsidR="00E71226" w:rsidRPr="00122856">
        <w:rPr>
          <w:lang w:val="fr-FR"/>
        </w:rPr>
        <w:t>40</w:t>
      </w:r>
      <w:r w:rsidR="006907FE" w:rsidRPr="00122856">
        <w:rPr>
          <w:lang w:val="fr-FR"/>
        </w:rPr>
        <w:t>,</w:t>
      </w:r>
      <w:r w:rsidR="00E71226" w:rsidRPr="00122856">
        <w:rPr>
          <w:lang w:val="fr-FR"/>
        </w:rPr>
        <w:t>9</w:t>
      </w:r>
      <w:r w:rsidR="006907FE" w:rsidRPr="00122856">
        <w:rPr>
          <w:lang w:val="fr-FR"/>
        </w:rPr>
        <w:t> </w:t>
      </w:r>
      <w:r w:rsidR="00E71226" w:rsidRPr="00122856">
        <w:rPr>
          <w:lang w:val="fr-FR"/>
        </w:rPr>
        <w:t>% correspond</w:t>
      </w:r>
      <w:r w:rsidR="006907FE" w:rsidRPr="00122856">
        <w:rPr>
          <w:lang w:val="fr-FR"/>
        </w:rPr>
        <w:t>a</w:t>
      </w:r>
      <w:r w:rsidR="00E71226" w:rsidRPr="00122856">
        <w:rPr>
          <w:lang w:val="fr-FR"/>
        </w:rPr>
        <w:t>n</w:t>
      </w:r>
      <w:r w:rsidR="006907FE" w:rsidRPr="00122856">
        <w:rPr>
          <w:lang w:val="fr-FR"/>
        </w:rPr>
        <w:t xml:space="preserve">t aux honoraires des </w:t>
      </w:r>
      <w:r w:rsidR="00E71226" w:rsidRPr="00122856">
        <w:rPr>
          <w:lang w:val="fr-FR"/>
        </w:rPr>
        <w:t>12 memb</w:t>
      </w:r>
      <w:r w:rsidR="006907FE" w:rsidRPr="00122856">
        <w:rPr>
          <w:lang w:val="fr-FR"/>
        </w:rPr>
        <w:t>r</w:t>
      </w:r>
      <w:r w:rsidR="00E71226" w:rsidRPr="00122856">
        <w:rPr>
          <w:lang w:val="fr-FR"/>
        </w:rPr>
        <w:t>e</w:t>
      </w:r>
      <w:r w:rsidR="006907FE" w:rsidRPr="00122856">
        <w:rPr>
          <w:lang w:val="fr-FR"/>
        </w:rPr>
        <w:t xml:space="preserve">s de l’Organe consultatif qui ont évalué les dossiers du cycle </w:t>
      </w:r>
      <w:r w:rsidR="00E71226" w:rsidRPr="00122856">
        <w:rPr>
          <w:lang w:val="fr-FR"/>
        </w:rPr>
        <w:t>2014 </w:t>
      </w:r>
      <w:r w:rsidR="006907FE" w:rsidRPr="00122856">
        <w:rPr>
          <w:lang w:val="fr-FR"/>
        </w:rPr>
        <w:t xml:space="preserve">et ceux des </w:t>
      </w:r>
      <w:r w:rsidR="00E71226" w:rsidRPr="00122856">
        <w:rPr>
          <w:lang w:val="fr-FR"/>
        </w:rPr>
        <w:t>10 memb</w:t>
      </w:r>
      <w:r w:rsidR="006907FE" w:rsidRPr="00122856">
        <w:rPr>
          <w:lang w:val="fr-FR"/>
        </w:rPr>
        <w:t>r</w:t>
      </w:r>
      <w:r w:rsidR="00E71226" w:rsidRPr="00122856">
        <w:rPr>
          <w:lang w:val="fr-FR"/>
        </w:rPr>
        <w:t xml:space="preserve">es </w:t>
      </w:r>
      <w:r w:rsidR="006907FE" w:rsidRPr="00122856">
        <w:rPr>
          <w:lang w:val="fr-FR"/>
        </w:rPr>
        <w:t>de l’Organ</w:t>
      </w:r>
      <w:r w:rsidR="001775E6" w:rsidRPr="00122856">
        <w:rPr>
          <w:lang w:val="fr-FR"/>
        </w:rPr>
        <w:t>e</w:t>
      </w:r>
      <w:r w:rsidR="006907FE" w:rsidRPr="00122856">
        <w:rPr>
          <w:lang w:val="fr-FR"/>
        </w:rPr>
        <w:t xml:space="preserve"> d’é</w:t>
      </w:r>
      <w:r w:rsidR="00E71226" w:rsidRPr="00122856">
        <w:rPr>
          <w:lang w:val="fr-FR"/>
        </w:rPr>
        <w:t xml:space="preserve">valuation </w:t>
      </w:r>
      <w:r w:rsidR="006907FE" w:rsidRPr="00122856">
        <w:rPr>
          <w:lang w:val="fr-FR"/>
        </w:rPr>
        <w:t xml:space="preserve">qui ont évalué </w:t>
      </w:r>
      <w:r w:rsidR="001775E6" w:rsidRPr="00122856">
        <w:rPr>
          <w:lang w:val="fr-FR"/>
        </w:rPr>
        <w:t xml:space="preserve">les dossiers </w:t>
      </w:r>
      <w:r w:rsidR="006907FE" w:rsidRPr="00122856">
        <w:rPr>
          <w:lang w:val="fr-FR"/>
        </w:rPr>
        <w:t xml:space="preserve">du cycle actuel et qui </w:t>
      </w:r>
      <w:r w:rsidR="001775E6" w:rsidRPr="00122856">
        <w:rPr>
          <w:lang w:val="fr-FR"/>
        </w:rPr>
        <w:t xml:space="preserve">pouvaient prétendre à </w:t>
      </w:r>
      <w:r w:rsidR="006907FE" w:rsidRPr="00122856">
        <w:rPr>
          <w:lang w:val="fr-FR"/>
        </w:rPr>
        <w:t>un</w:t>
      </w:r>
      <w:r w:rsidR="00013D1B" w:rsidRPr="00122856">
        <w:rPr>
          <w:lang w:val="fr-FR"/>
        </w:rPr>
        <w:t>e aide financière</w:t>
      </w:r>
      <w:r w:rsidR="00E71226" w:rsidRPr="00122856">
        <w:rPr>
          <w:lang w:val="fr-FR"/>
        </w:rPr>
        <w:t xml:space="preserve">. </w:t>
      </w:r>
      <w:r w:rsidR="00013D1B" w:rsidRPr="00122856">
        <w:rPr>
          <w:lang w:val="fr-FR"/>
        </w:rPr>
        <w:t xml:space="preserve">La période actuelle ayant vu les deux configurations en termes d’organes d’évaluation, il est prématuré de faire des comparaisons de coûts. </w:t>
      </w:r>
      <w:r w:rsidR="00291AEB" w:rsidRPr="00122856">
        <w:rPr>
          <w:lang w:val="fr-FR"/>
        </w:rPr>
        <w:t>Néanmoins, au stade actuel, étant donné qu’aucune nouvelle dépense n’est prévue jusqu’à la fin de l’exercice biennal, l’</w:t>
      </w:r>
      <w:r w:rsidR="001775E6" w:rsidRPr="00122856">
        <w:rPr>
          <w:lang w:val="fr-FR"/>
        </w:rPr>
        <w:t>a</w:t>
      </w:r>
      <w:r w:rsidR="00291AEB" w:rsidRPr="00122856">
        <w:rPr>
          <w:lang w:val="fr-FR"/>
        </w:rPr>
        <w:t xml:space="preserve">ugmentation de coût </w:t>
      </w:r>
      <w:r w:rsidR="00E71226" w:rsidRPr="00122856">
        <w:rPr>
          <w:lang w:val="fr-FR"/>
        </w:rPr>
        <w:t>(40</w:t>
      </w:r>
      <w:r w:rsidR="00291AEB" w:rsidRPr="00122856">
        <w:rPr>
          <w:lang w:val="fr-FR"/>
        </w:rPr>
        <w:t> </w:t>
      </w:r>
      <w:r w:rsidR="00E71226" w:rsidRPr="00122856">
        <w:rPr>
          <w:lang w:val="fr-FR"/>
        </w:rPr>
        <w:t xml:space="preserve">%) </w:t>
      </w:r>
      <w:r w:rsidR="00291AEB" w:rsidRPr="00122856">
        <w:rPr>
          <w:lang w:val="fr-FR"/>
        </w:rPr>
        <w:t>est principalement d</w:t>
      </w:r>
      <w:r w:rsidR="00C52AB4" w:rsidRPr="00122856">
        <w:rPr>
          <w:lang w:val="fr-FR"/>
        </w:rPr>
        <w:t>ue</w:t>
      </w:r>
      <w:r w:rsidR="00291AEB" w:rsidRPr="00122856">
        <w:rPr>
          <w:lang w:val="fr-FR"/>
        </w:rPr>
        <w:t xml:space="preserve"> </w:t>
      </w:r>
      <w:r w:rsidR="00B91675" w:rsidRPr="00122856">
        <w:rPr>
          <w:lang w:val="fr-FR"/>
        </w:rPr>
        <w:t xml:space="preserve">au supplément d’honoraires versé au Président et au </w:t>
      </w:r>
      <w:r w:rsidR="00E71226" w:rsidRPr="00122856">
        <w:rPr>
          <w:lang w:val="fr-FR"/>
        </w:rPr>
        <w:t xml:space="preserve">Rapporteur </w:t>
      </w:r>
      <w:r w:rsidR="00B91675" w:rsidRPr="00122856">
        <w:rPr>
          <w:lang w:val="fr-FR"/>
        </w:rPr>
        <w:t xml:space="preserve">de l’Organe qui ont pris en charge des tâches précédemment assurées par le </w:t>
      </w:r>
      <w:r w:rsidR="00E71226" w:rsidRPr="00122856">
        <w:rPr>
          <w:lang w:val="fr-FR"/>
        </w:rPr>
        <w:t>Secr</w:t>
      </w:r>
      <w:r w:rsidR="00B91675" w:rsidRPr="00122856">
        <w:rPr>
          <w:lang w:val="fr-FR"/>
        </w:rPr>
        <w:t>é</w:t>
      </w:r>
      <w:r w:rsidR="00E71226" w:rsidRPr="00122856">
        <w:rPr>
          <w:lang w:val="fr-FR"/>
        </w:rPr>
        <w:t xml:space="preserve">tariat. </w:t>
      </w:r>
      <w:r w:rsidR="00CA56B7" w:rsidRPr="00122856">
        <w:rPr>
          <w:lang w:val="fr-FR"/>
        </w:rPr>
        <w:t>Ces coûts varieront selon que les deux fonctions seront ou non assurées par des membres qualifiés de l’Organe</w:t>
      </w:r>
      <w:r w:rsidR="009C5DB8" w:rsidRPr="00122856">
        <w:rPr>
          <w:lang w:val="fr-FR"/>
        </w:rPr>
        <w:t xml:space="preserve"> ayant droit à l’aide financière</w:t>
      </w:r>
      <w:r w:rsidR="00CA56B7" w:rsidRPr="00122856">
        <w:rPr>
          <w:lang w:val="fr-FR"/>
        </w:rPr>
        <w:t xml:space="preserve">, à savoir des organisations non gouvernementales accréditées et des experts représentant des </w:t>
      </w:r>
      <w:r w:rsidR="00EE57F4" w:rsidRPr="00122856">
        <w:rPr>
          <w:lang w:val="fr-FR"/>
        </w:rPr>
        <w:t>pays</w:t>
      </w:r>
      <w:r w:rsidR="00CA56B7" w:rsidRPr="00122856">
        <w:rPr>
          <w:lang w:val="fr-FR"/>
        </w:rPr>
        <w:t xml:space="preserve"> en développement</w:t>
      </w:r>
      <w:r w:rsidR="00E71226" w:rsidRPr="00122856">
        <w:rPr>
          <w:lang w:val="fr-FR"/>
        </w:rPr>
        <w:t>.</w:t>
      </w:r>
    </w:p>
    <w:p w14:paraId="1F828124" w14:textId="65F26BBF" w:rsidR="003377B5" w:rsidRPr="006F2FBE" w:rsidRDefault="00E71226" w:rsidP="006F2FBE">
      <w:pPr>
        <w:pStyle w:val="Default"/>
        <w:keepNext/>
        <w:spacing w:before="240" w:after="120"/>
        <w:ind w:left="567" w:hanging="567"/>
        <w:jc w:val="both"/>
        <w:rPr>
          <w:b/>
          <w:bCs/>
          <w:lang w:val="fr-FR"/>
        </w:rPr>
      </w:pPr>
      <w:r w:rsidRPr="006F2FBE">
        <w:rPr>
          <w:b/>
          <w:bCs/>
          <w:sz w:val="22"/>
          <w:szCs w:val="22"/>
          <w:lang w:val="fr-FR"/>
        </w:rPr>
        <w:t>C.</w:t>
      </w:r>
      <w:r w:rsidRPr="006F2FBE">
        <w:rPr>
          <w:b/>
          <w:bCs/>
          <w:sz w:val="22"/>
          <w:szCs w:val="22"/>
          <w:lang w:val="fr-FR"/>
        </w:rPr>
        <w:tab/>
      </w:r>
      <w:r w:rsidR="0096485B">
        <w:rPr>
          <w:b/>
          <w:bCs/>
          <w:sz w:val="22"/>
          <w:szCs w:val="22"/>
          <w:lang w:val="fr-FR"/>
        </w:rPr>
        <w:t>Rapports</w:t>
      </w:r>
      <w:r w:rsidR="00A066DB" w:rsidRPr="006F2FBE">
        <w:rPr>
          <w:b/>
          <w:bCs/>
          <w:sz w:val="22"/>
          <w:szCs w:val="22"/>
          <w:lang w:val="fr-FR"/>
        </w:rPr>
        <w:t xml:space="preserve"> </w:t>
      </w:r>
      <w:r w:rsidR="002B4CD6" w:rsidRPr="006F2FBE">
        <w:rPr>
          <w:b/>
          <w:bCs/>
          <w:sz w:val="22"/>
          <w:szCs w:val="22"/>
          <w:lang w:val="fr-FR"/>
        </w:rPr>
        <w:t>supplémentaires</w:t>
      </w:r>
    </w:p>
    <w:p w14:paraId="6CA10669" w14:textId="1C87A9D5" w:rsidR="003377B5" w:rsidRPr="00122856" w:rsidRDefault="00552350" w:rsidP="009E1B50">
      <w:pPr>
        <w:pStyle w:val="COMParabodytext"/>
        <w:rPr>
          <w:lang w:val="fr-FR"/>
        </w:rPr>
      </w:pPr>
      <w:r w:rsidRPr="00122856">
        <w:rPr>
          <w:lang w:val="fr-FR"/>
        </w:rPr>
        <w:t xml:space="preserve">Le présent rapport </w:t>
      </w:r>
      <w:r w:rsidR="00C52AB4" w:rsidRPr="00122856">
        <w:rPr>
          <w:lang w:val="fr-FR"/>
        </w:rPr>
        <w:t>indique</w:t>
      </w:r>
      <w:r w:rsidRPr="00122856">
        <w:rPr>
          <w:lang w:val="fr-FR"/>
        </w:rPr>
        <w:t xml:space="preserve">, en </w:t>
      </w:r>
      <w:r w:rsidR="00507915" w:rsidRPr="004E50B6">
        <w:rPr>
          <w:lang w:val="fr-FR"/>
        </w:rPr>
        <w:t>annexe </w:t>
      </w:r>
      <w:r w:rsidR="00E71226" w:rsidRPr="004E50B6">
        <w:rPr>
          <w:lang w:val="fr-FR"/>
        </w:rPr>
        <w:t>II(a) (page </w:t>
      </w:r>
      <w:r w:rsidR="006F2FBE" w:rsidRPr="004E50B6">
        <w:rPr>
          <w:lang w:val="fr-FR"/>
        </w:rPr>
        <w:t>16</w:t>
      </w:r>
      <w:r w:rsidR="00E71226" w:rsidRPr="004E50B6">
        <w:rPr>
          <w:lang w:val="fr-FR"/>
        </w:rPr>
        <w:t>)</w:t>
      </w:r>
      <w:r w:rsidR="00C52AB4" w:rsidRPr="004E50B6">
        <w:rPr>
          <w:lang w:val="fr-FR"/>
        </w:rPr>
        <w:t>,</w:t>
      </w:r>
      <w:r w:rsidR="00E71226" w:rsidRPr="004E50B6">
        <w:rPr>
          <w:lang w:val="fr-FR"/>
        </w:rPr>
        <w:t xml:space="preserve"> </w:t>
      </w:r>
      <w:r w:rsidRPr="004E50B6">
        <w:rPr>
          <w:lang w:val="fr-FR"/>
        </w:rPr>
        <w:t xml:space="preserve">la </w:t>
      </w:r>
      <w:r w:rsidR="00E71226" w:rsidRPr="004E50B6">
        <w:rPr>
          <w:lang w:val="fr-FR"/>
        </w:rPr>
        <w:t>list</w:t>
      </w:r>
      <w:r w:rsidRPr="004E50B6">
        <w:rPr>
          <w:lang w:val="fr-FR"/>
        </w:rPr>
        <w:t>e</w:t>
      </w:r>
      <w:r w:rsidRPr="00122856">
        <w:rPr>
          <w:lang w:val="fr-FR"/>
        </w:rPr>
        <w:t xml:space="preserve"> des contributions volontaires supplémentaires </w:t>
      </w:r>
      <w:r w:rsidR="006F6CAE" w:rsidRPr="00122856">
        <w:rPr>
          <w:lang w:val="fr-FR"/>
        </w:rPr>
        <w:t>vers</w:t>
      </w:r>
      <w:r w:rsidRPr="00122856">
        <w:rPr>
          <w:lang w:val="fr-FR"/>
        </w:rPr>
        <w:t xml:space="preserve">ées </w:t>
      </w:r>
      <w:r w:rsidR="000F1F6E" w:rsidRPr="00122856">
        <w:rPr>
          <w:lang w:val="fr-FR"/>
        </w:rPr>
        <w:t>à des fins</w:t>
      </w:r>
      <w:r w:rsidRPr="00122856">
        <w:rPr>
          <w:lang w:val="fr-FR"/>
        </w:rPr>
        <w:t xml:space="preserve"> spécifiques, </w:t>
      </w:r>
      <w:r w:rsidR="00C52AB4" w:rsidRPr="00122856">
        <w:rPr>
          <w:lang w:val="fr-FR"/>
        </w:rPr>
        <w:t>ainsi qu’il est prévu</w:t>
      </w:r>
      <w:r w:rsidRPr="00122856">
        <w:rPr>
          <w:lang w:val="fr-FR"/>
        </w:rPr>
        <w:t xml:space="preserve"> </w:t>
      </w:r>
      <w:r w:rsidR="00C52AB4" w:rsidRPr="00122856">
        <w:rPr>
          <w:lang w:val="fr-FR"/>
        </w:rPr>
        <w:t xml:space="preserve">par </w:t>
      </w:r>
      <w:r w:rsidRPr="00122856">
        <w:rPr>
          <w:lang w:val="fr-FR"/>
        </w:rPr>
        <w:t>l’a</w:t>
      </w:r>
      <w:r w:rsidR="00E71226" w:rsidRPr="00122856">
        <w:rPr>
          <w:lang w:val="fr-FR"/>
        </w:rPr>
        <w:t xml:space="preserve">rticle 25.5 </w:t>
      </w:r>
      <w:r w:rsidRPr="00122856">
        <w:rPr>
          <w:lang w:val="fr-FR"/>
        </w:rPr>
        <w:t xml:space="preserve">de la </w:t>
      </w:r>
      <w:r w:rsidR="00E71226" w:rsidRPr="00122856">
        <w:rPr>
          <w:lang w:val="fr-FR"/>
        </w:rPr>
        <w:t xml:space="preserve">Convention, </w:t>
      </w:r>
      <w:r w:rsidRPr="00122856">
        <w:rPr>
          <w:lang w:val="fr-FR"/>
        </w:rPr>
        <w:t>à la suite d’une décision du Comité</w:t>
      </w:r>
      <w:r w:rsidR="00E71226" w:rsidRPr="00122856">
        <w:rPr>
          <w:lang w:val="fr-FR"/>
        </w:rPr>
        <w:t xml:space="preserve">. </w:t>
      </w:r>
      <w:r w:rsidRPr="006F2FBE">
        <w:rPr>
          <w:lang w:val="fr-FR"/>
        </w:rPr>
        <w:t>(C</w:t>
      </w:r>
      <w:r w:rsidR="00E71226" w:rsidRPr="006F2FBE">
        <w:rPr>
          <w:lang w:val="fr-FR"/>
        </w:rPr>
        <w:t xml:space="preserve">es contributions </w:t>
      </w:r>
      <w:r w:rsidRPr="006F2FBE">
        <w:rPr>
          <w:lang w:val="fr-FR"/>
        </w:rPr>
        <w:t xml:space="preserve">figurent également dans la liste jointe au </w:t>
      </w:r>
      <w:hyperlink r:id="rId21" w:history="1">
        <w:r w:rsidRPr="004E50B6">
          <w:rPr>
            <w:rStyle w:val="Hyperlink"/>
            <w:lang w:val="fr-FR"/>
          </w:rPr>
          <w:t>d</w:t>
        </w:r>
        <w:r w:rsidR="00E71226" w:rsidRPr="004E50B6">
          <w:rPr>
            <w:rStyle w:val="Hyperlink"/>
            <w:lang w:val="fr-FR"/>
          </w:rPr>
          <w:t xml:space="preserve">ocument </w:t>
        </w:r>
        <w:r w:rsidR="00E71226" w:rsidRPr="004E50B6">
          <w:rPr>
            <w:rStyle w:val="Hyperlink"/>
            <w:szCs w:val="24"/>
            <w:lang w:val="fr-FR"/>
          </w:rPr>
          <w:t>ITH/15/10.COM/9</w:t>
        </w:r>
      </w:hyperlink>
      <w:r w:rsidR="00E71226" w:rsidRPr="006904F4">
        <w:rPr>
          <w:szCs w:val="24"/>
          <w:lang w:val="fr-FR"/>
        </w:rPr>
        <w:t>,</w:t>
      </w:r>
      <w:r w:rsidRPr="006904F4">
        <w:rPr>
          <w:szCs w:val="24"/>
          <w:lang w:val="fr-FR"/>
        </w:rPr>
        <w:t xml:space="preserve"> qui présente toutes les contributions volontaires reçues </w:t>
      </w:r>
      <w:r w:rsidR="00712309" w:rsidRPr="006904F4">
        <w:rPr>
          <w:szCs w:val="24"/>
          <w:lang w:val="fr-FR"/>
        </w:rPr>
        <w:t xml:space="preserve">en faveur </w:t>
      </w:r>
      <w:r w:rsidR="00DD2EAD" w:rsidRPr="006904F4">
        <w:rPr>
          <w:szCs w:val="24"/>
          <w:lang w:val="fr-FR"/>
        </w:rPr>
        <w:t xml:space="preserve">de la </w:t>
      </w:r>
      <w:r w:rsidR="00E71226" w:rsidRPr="006904F4">
        <w:rPr>
          <w:lang w:val="fr-FR"/>
        </w:rPr>
        <w:t xml:space="preserve">Convention </w:t>
      </w:r>
      <w:r w:rsidR="00507915" w:rsidRPr="006904F4">
        <w:rPr>
          <w:lang w:val="fr-FR"/>
        </w:rPr>
        <w:t xml:space="preserve">de </w:t>
      </w:r>
      <w:r w:rsidR="00E71226" w:rsidRPr="006904F4">
        <w:rPr>
          <w:lang w:val="fr-FR"/>
        </w:rPr>
        <w:t xml:space="preserve">2003, </w:t>
      </w:r>
      <w:r w:rsidR="00DD2EAD" w:rsidRPr="006904F4">
        <w:rPr>
          <w:lang w:val="fr-FR"/>
        </w:rPr>
        <w:t>toutes</w:t>
      </w:r>
      <w:r w:rsidR="00E71226" w:rsidRPr="006904F4">
        <w:rPr>
          <w:lang w:val="fr-FR"/>
        </w:rPr>
        <w:t xml:space="preserve"> modalit</w:t>
      </w:r>
      <w:r w:rsidR="00DD2EAD" w:rsidRPr="006904F4">
        <w:rPr>
          <w:lang w:val="fr-FR"/>
        </w:rPr>
        <w:t>é</w:t>
      </w:r>
      <w:r w:rsidR="00E71226" w:rsidRPr="006904F4">
        <w:rPr>
          <w:lang w:val="fr-FR"/>
        </w:rPr>
        <w:t>s combin</w:t>
      </w:r>
      <w:r w:rsidR="00DD2EAD" w:rsidRPr="006904F4">
        <w:rPr>
          <w:lang w:val="fr-FR"/>
        </w:rPr>
        <w:t>é</w:t>
      </w:r>
      <w:r w:rsidR="00E71226" w:rsidRPr="006904F4">
        <w:rPr>
          <w:lang w:val="fr-FR"/>
        </w:rPr>
        <w:t>e</w:t>
      </w:r>
      <w:r w:rsidR="00DD2EAD" w:rsidRPr="006904F4">
        <w:rPr>
          <w:lang w:val="fr-FR"/>
        </w:rPr>
        <w:t>s</w:t>
      </w:r>
      <w:r w:rsidR="00E71226" w:rsidRPr="006904F4">
        <w:rPr>
          <w:lang w:val="fr-FR"/>
        </w:rPr>
        <w:t xml:space="preserve">, </w:t>
      </w:r>
      <w:r w:rsidR="00DD2EAD" w:rsidRPr="006904F4">
        <w:rPr>
          <w:lang w:val="fr-FR"/>
        </w:rPr>
        <w:t xml:space="preserve">depuis la neuvième </w:t>
      </w:r>
      <w:r w:rsidR="00E71226" w:rsidRPr="006904F4">
        <w:rPr>
          <w:lang w:val="fr-FR"/>
        </w:rPr>
        <w:t xml:space="preserve">session </w:t>
      </w:r>
      <w:r w:rsidR="00DD2EAD" w:rsidRPr="006904F4">
        <w:rPr>
          <w:lang w:val="fr-FR"/>
        </w:rPr>
        <w:t>du Comité</w:t>
      </w:r>
      <w:r w:rsidR="00E71226" w:rsidRPr="006904F4">
        <w:rPr>
          <w:lang w:val="fr-FR"/>
        </w:rPr>
        <w:t>.)</w:t>
      </w:r>
    </w:p>
    <w:p w14:paraId="787FDD28" w14:textId="1F453A65" w:rsidR="003377B5" w:rsidRPr="00122856" w:rsidRDefault="00DD2EAD" w:rsidP="009E1B50">
      <w:pPr>
        <w:pStyle w:val="COMParabodytext"/>
        <w:rPr>
          <w:lang w:val="fr-FR"/>
        </w:rPr>
      </w:pPr>
      <w:r w:rsidRPr="00122856">
        <w:rPr>
          <w:lang w:val="fr-FR"/>
        </w:rPr>
        <w:t>Contrairement aux autres ressources du Fonds</w:t>
      </w:r>
      <w:r w:rsidR="00E71226" w:rsidRPr="00122856">
        <w:rPr>
          <w:lang w:val="fr-FR"/>
        </w:rPr>
        <w:t xml:space="preserve">, </w:t>
      </w:r>
      <w:r w:rsidR="00AD43E8" w:rsidRPr="00122856">
        <w:rPr>
          <w:lang w:val="fr-FR"/>
        </w:rPr>
        <w:t xml:space="preserve">qui sont régies par le </w:t>
      </w:r>
      <w:r w:rsidR="00E71226" w:rsidRPr="00122856">
        <w:rPr>
          <w:lang w:val="fr-FR"/>
        </w:rPr>
        <w:t>Plan adopt</w:t>
      </w:r>
      <w:r w:rsidR="00AD43E8" w:rsidRPr="00122856">
        <w:rPr>
          <w:lang w:val="fr-FR"/>
        </w:rPr>
        <w:t xml:space="preserve">é par l’Assemblée générale, les </w:t>
      </w:r>
      <w:r w:rsidR="00E71226" w:rsidRPr="00122856">
        <w:rPr>
          <w:lang w:val="fr-FR"/>
        </w:rPr>
        <w:t xml:space="preserve">contributions </w:t>
      </w:r>
      <w:r w:rsidR="00AD43E8" w:rsidRPr="00122856">
        <w:rPr>
          <w:lang w:val="fr-FR"/>
        </w:rPr>
        <w:t xml:space="preserve">affectées à des projets spécifiques sont soumises </w:t>
      </w:r>
      <w:r w:rsidR="00712309" w:rsidRPr="00122856">
        <w:rPr>
          <w:lang w:val="fr-FR"/>
        </w:rPr>
        <w:t>à la décision</w:t>
      </w:r>
      <w:r w:rsidR="00AD43E8" w:rsidRPr="00122856">
        <w:rPr>
          <w:lang w:val="fr-FR"/>
        </w:rPr>
        <w:t xml:space="preserve"> du Comité d’accepter ou non ces contributions.</w:t>
      </w:r>
      <w:r w:rsidR="00E71226" w:rsidRPr="00122856">
        <w:rPr>
          <w:lang w:val="fr-FR"/>
        </w:rPr>
        <w:t xml:space="preserve"> </w:t>
      </w:r>
      <w:r w:rsidR="00AD43E8" w:rsidRPr="00122856">
        <w:rPr>
          <w:lang w:val="fr-FR"/>
        </w:rPr>
        <w:t>Leur utilisation ne suit pas la période comptable de deux ans</w:t>
      </w:r>
      <w:r w:rsidR="00E71226" w:rsidRPr="00122856">
        <w:rPr>
          <w:lang w:val="fr-FR"/>
        </w:rPr>
        <w:t xml:space="preserve">. </w:t>
      </w:r>
      <w:r w:rsidR="00AD43E8" w:rsidRPr="00122856">
        <w:rPr>
          <w:lang w:val="fr-FR"/>
        </w:rPr>
        <w:t xml:space="preserve">Le </w:t>
      </w:r>
      <w:r w:rsidR="00E71226" w:rsidRPr="00122856">
        <w:rPr>
          <w:lang w:val="fr-FR"/>
        </w:rPr>
        <w:t>table</w:t>
      </w:r>
      <w:r w:rsidR="00AD43E8" w:rsidRPr="00122856">
        <w:rPr>
          <w:lang w:val="fr-FR"/>
        </w:rPr>
        <w:t>au de l’</w:t>
      </w:r>
      <w:r w:rsidR="00E71226" w:rsidRPr="00122856">
        <w:rPr>
          <w:lang w:val="fr-FR"/>
        </w:rPr>
        <w:t>Annex</w:t>
      </w:r>
      <w:r w:rsidR="00AD43E8" w:rsidRPr="00122856">
        <w:rPr>
          <w:lang w:val="fr-FR"/>
        </w:rPr>
        <w:t>e</w:t>
      </w:r>
      <w:r w:rsidR="00E71226" w:rsidRPr="00122856">
        <w:rPr>
          <w:lang w:val="fr-FR"/>
        </w:rPr>
        <w:t xml:space="preserve"> II(b) </w:t>
      </w:r>
      <w:r w:rsidR="00AD43E8" w:rsidRPr="00122856">
        <w:rPr>
          <w:lang w:val="fr-FR"/>
        </w:rPr>
        <w:t xml:space="preserve">montre </w:t>
      </w:r>
      <w:r w:rsidR="001F19BC" w:rsidRPr="00122856">
        <w:rPr>
          <w:lang w:val="fr-FR"/>
        </w:rPr>
        <w:t>l’ensemble des</w:t>
      </w:r>
      <w:r w:rsidR="00AD43E8" w:rsidRPr="00122856">
        <w:rPr>
          <w:lang w:val="fr-FR"/>
        </w:rPr>
        <w:t xml:space="preserve"> dépenses </w:t>
      </w:r>
      <w:r w:rsidR="001F19BC" w:rsidRPr="00122856">
        <w:rPr>
          <w:lang w:val="fr-FR"/>
        </w:rPr>
        <w:t xml:space="preserve">effectuées pour </w:t>
      </w:r>
      <w:r w:rsidR="00AD43E8" w:rsidRPr="00122856">
        <w:rPr>
          <w:lang w:val="fr-FR"/>
        </w:rPr>
        <w:t xml:space="preserve">chaque projet depuis son début jusqu’au </w:t>
      </w:r>
      <w:r w:rsidR="001F19BC" w:rsidRPr="00122856">
        <w:rPr>
          <w:lang w:val="fr-FR"/>
        </w:rPr>
        <w:t>31 </w:t>
      </w:r>
      <w:r w:rsidR="00AD43E8" w:rsidRPr="00122856">
        <w:rPr>
          <w:lang w:val="fr-FR"/>
        </w:rPr>
        <w:t>août</w:t>
      </w:r>
      <w:r w:rsidR="00E71226" w:rsidRPr="00122856">
        <w:rPr>
          <w:lang w:val="fr-FR"/>
        </w:rPr>
        <w:t xml:space="preserve"> 2015. </w:t>
      </w:r>
      <w:r w:rsidR="007F6402" w:rsidRPr="00122856">
        <w:rPr>
          <w:lang w:val="fr-FR"/>
        </w:rPr>
        <w:t xml:space="preserve">Ce même </w:t>
      </w:r>
      <w:r w:rsidR="00E71226" w:rsidRPr="00122856">
        <w:rPr>
          <w:lang w:val="fr-FR"/>
        </w:rPr>
        <w:t>table</w:t>
      </w:r>
      <w:r w:rsidR="007F6402" w:rsidRPr="00122856">
        <w:rPr>
          <w:lang w:val="fr-FR"/>
        </w:rPr>
        <w:t>au</w:t>
      </w:r>
      <w:r w:rsidR="00985DED" w:rsidRPr="00122856">
        <w:rPr>
          <w:lang w:val="fr-FR"/>
        </w:rPr>
        <w:t xml:space="preserve"> </w:t>
      </w:r>
      <w:r w:rsidR="007F6402" w:rsidRPr="00122856">
        <w:rPr>
          <w:lang w:val="fr-FR"/>
        </w:rPr>
        <w:t>fait apparaître un déficit de financement</w:t>
      </w:r>
      <w:r w:rsidR="00E71226" w:rsidRPr="00122856">
        <w:rPr>
          <w:lang w:val="fr-FR"/>
        </w:rPr>
        <w:t xml:space="preserve"> </w:t>
      </w:r>
      <w:r w:rsidR="007F6402" w:rsidRPr="00122856">
        <w:rPr>
          <w:lang w:val="fr-FR"/>
        </w:rPr>
        <w:t>de</w:t>
      </w:r>
      <w:r w:rsidR="00E71226" w:rsidRPr="00122856">
        <w:rPr>
          <w:lang w:val="fr-FR"/>
        </w:rPr>
        <w:t xml:space="preserve"> 248</w:t>
      </w:r>
      <w:r w:rsidR="007F6402" w:rsidRPr="00122856">
        <w:rPr>
          <w:lang w:val="fr-FR"/>
        </w:rPr>
        <w:t> </w:t>
      </w:r>
      <w:r w:rsidR="00E71226" w:rsidRPr="00122856">
        <w:rPr>
          <w:lang w:val="fr-FR"/>
        </w:rPr>
        <w:t>466</w:t>
      </w:r>
      <w:r w:rsidR="007F6402" w:rsidRPr="00122856">
        <w:rPr>
          <w:lang w:val="fr-FR"/>
        </w:rPr>
        <w:t xml:space="preserve"> dollars des </w:t>
      </w:r>
      <w:r w:rsidR="00EE57F4" w:rsidRPr="00122856">
        <w:rPr>
          <w:lang w:val="fr-FR"/>
        </w:rPr>
        <w:t>États-Unis</w:t>
      </w:r>
      <w:r w:rsidR="00E71226" w:rsidRPr="00122856">
        <w:rPr>
          <w:lang w:val="fr-FR"/>
        </w:rPr>
        <w:t xml:space="preserve">, </w:t>
      </w:r>
      <w:r w:rsidR="007F6402" w:rsidRPr="00122856">
        <w:rPr>
          <w:lang w:val="fr-FR"/>
        </w:rPr>
        <w:t xml:space="preserve">qui correspond aux contributions volontaires du Brésil et du </w:t>
      </w:r>
      <w:r w:rsidR="00E71226" w:rsidRPr="00122856">
        <w:rPr>
          <w:lang w:val="fr-FR"/>
        </w:rPr>
        <w:t>Vietnam</w:t>
      </w:r>
      <w:r w:rsidR="00985DED" w:rsidRPr="00122856">
        <w:rPr>
          <w:lang w:val="fr-FR"/>
        </w:rPr>
        <w:t>,</w:t>
      </w:r>
      <w:r w:rsidR="00E71226" w:rsidRPr="00122856">
        <w:rPr>
          <w:lang w:val="fr-FR"/>
        </w:rPr>
        <w:t xml:space="preserve"> appro</w:t>
      </w:r>
      <w:r w:rsidR="007F6402" w:rsidRPr="00122856">
        <w:rPr>
          <w:lang w:val="fr-FR"/>
        </w:rPr>
        <w:t>u</w:t>
      </w:r>
      <w:r w:rsidR="00E71226" w:rsidRPr="00122856">
        <w:rPr>
          <w:lang w:val="fr-FR"/>
        </w:rPr>
        <w:t>v</w:t>
      </w:r>
      <w:r w:rsidR="007F6402" w:rsidRPr="00122856">
        <w:rPr>
          <w:lang w:val="fr-FR"/>
        </w:rPr>
        <w:t>é</w:t>
      </w:r>
      <w:r w:rsidR="00E71226" w:rsidRPr="00122856">
        <w:rPr>
          <w:lang w:val="fr-FR"/>
        </w:rPr>
        <w:t>e</w:t>
      </w:r>
      <w:r w:rsidR="007F6402" w:rsidRPr="00122856">
        <w:rPr>
          <w:lang w:val="fr-FR"/>
        </w:rPr>
        <w:t xml:space="preserve">s </w:t>
      </w:r>
      <w:r w:rsidR="000F1F6E" w:rsidRPr="00122856">
        <w:rPr>
          <w:lang w:val="fr-FR"/>
        </w:rPr>
        <w:t>par le</w:t>
      </w:r>
      <w:r w:rsidR="007F6402" w:rsidRPr="00122856">
        <w:rPr>
          <w:lang w:val="fr-FR"/>
        </w:rPr>
        <w:t xml:space="preserve"> Comité </w:t>
      </w:r>
      <w:r w:rsidR="000F1F6E" w:rsidRPr="00122856">
        <w:rPr>
          <w:lang w:val="fr-FR"/>
        </w:rPr>
        <w:t>lors de sa huitième</w:t>
      </w:r>
      <w:r w:rsidR="00E71226" w:rsidRPr="00122856">
        <w:rPr>
          <w:lang w:val="fr-FR"/>
        </w:rPr>
        <w:t xml:space="preserve"> session </w:t>
      </w:r>
      <w:r w:rsidR="007F6402" w:rsidRPr="00122856">
        <w:rPr>
          <w:lang w:val="fr-FR"/>
        </w:rPr>
        <w:t>e</w:t>
      </w:r>
      <w:r w:rsidR="00E71226" w:rsidRPr="00122856">
        <w:rPr>
          <w:lang w:val="fr-FR"/>
        </w:rPr>
        <w:t>n 2013 (</w:t>
      </w:r>
      <w:hyperlink r:id="rId22" w:history="1">
        <w:r w:rsidR="000F1F6E" w:rsidRPr="00122856">
          <w:rPr>
            <w:rStyle w:val="Hyperlink"/>
            <w:lang w:val="fr-FR"/>
          </w:rPr>
          <w:t>dé</w:t>
        </w:r>
        <w:r w:rsidR="00E71226" w:rsidRPr="00122856">
          <w:rPr>
            <w:rStyle w:val="Hyperlink"/>
            <w:lang w:val="fr-FR"/>
          </w:rPr>
          <w:t>cision 8.COM 12</w:t>
        </w:r>
      </w:hyperlink>
      <w:r w:rsidR="00E71226" w:rsidRPr="00122856">
        <w:rPr>
          <w:lang w:val="fr-FR"/>
        </w:rPr>
        <w:t>)</w:t>
      </w:r>
      <w:r w:rsidR="00985DED" w:rsidRPr="00122856">
        <w:rPr>
          <w:lang w:val="fr-FR"/>
        </w:rPr>
        <w:t xml:space="preserve"> et</w:t>
      </w:r>
      <w:r w:rsidR="00E71226" w:rsidRPr="00122856">
        <w:rPr>
          <w:lang w:val="fr-FR"/>
        </w:rPr>
        <w:t xml:space="preserve"> </w:t>
      </w:r>
      <w:r w:rsidR="00985DED" w:rsidRPr="00122856">
        <w:rPr>
          <w:lang w:val="fr-FR"/>
        </w:rPr>
        <w:t xml:space="preserve">non réglées. </w:t>
      </w:r>
      <w:r w:rsidR="001F19BC" w:rsidRPr="00122856">
        <w:rPr>
          <w:lang w:val="fr-FR"/>
        </w:rPr>
        <w:t xml:space="preserve">En outre, </w:t>
      </w:r>
      <w:r w:rsidR="006F6CAE" w:rsidRPr="00122856">
        <w:rPr>
          <w:lang w:val="fr-FR"/>
        </w:rPr>
        <w:t>concernant quatre projets</w:t>
      </w:r>
      <w:r w:rsidR="00E71226" w:rsidRPr="00122856">
        <w:rPr>
          <w:lang w:val="fr-FR"/>
        </w:rPr>
        <w:t xml:space="preserve">, </w:t>
      </w:r>
      <w:r w:rsidR="001F19BC" w:rsidRPr="00122856">
        <w:rPr>
          <w:lang w:val="fr-FR"/>
        </w:rPr>
        <w:t xml:space="preserve">le tableau montre </w:t>
      </w:r>
      <w:r w:rsidR="006F6CAE" w:rsidRPr="00122856">
        <w:rPr>
          <w:lang w:val="fr-FR"/>
        </w:rPr>
        <w:t xml:space="preserve">une différence </w:t>
      </w:r>
      <w:r w:rsidR="001F19BC" w:rsidRPr="00122856">
        <w:rPr>
          <w:lang w:val="fr-FR"/>
        </w:rPr>
        <w:t xml:space="preserve">totale </w:t>
      </w:r>
      <w:r w:rsidR="006F6CAE" w:rsidRPr="00122856">
        <w:rPr>
          <w:lang w:val="fr-FR"/>
        </w:rPr>
        <w:t xml:space="preserve">de </w:t>
      </w:r>
      <w:r w:rsidR="00E71226" w:rsidRPr="00122856">
        <w:rPr>
          <w:lang w:val="fr-FR"/>
        </w:rPr>
        <w:t>190</w:t>
      </w:r>
      <w:r w:rsidR="006F6CAE" w:rsidRPr="00122856">
        <w:rPr>
          <w:lang w:val="fr-FR"/>
        </w:rPr>
        <w:t> </w:t>
      </w:r>
      <w:r w:rsidR="00E71226" w:rsidRPr="00122856">
        <w:rPr>
          <w:lang w:val="fr-FR"/>
        </w:rPr>
        <w:t>813</w:t>
      </w:r>
      <w:r w:rsidR="006F6CAE" w:rsidRPr="00122856">
        <w:rPr>
          <w:lang w:val="fr-FR"/>
        </w:rPr>
        <w:t xml:space="preserve"> dollars des </w:t>
      </w:r>
      <w:r w:rsidR="00EE57F4" w:rsidRPr="00122856">
        <w:rPr>
          <w:lang w:val="fr-FR"/>
        </w:rPr>
        <w:t>États-Unis</w:t>
      </w:r>
      <w:r w:rsidR="00E71226" w:rsidRPr="00122856">
        <w:rPr>
          <w:lang w:val="fr-FR"/>
        </w:rPr>
        <w:t xml:space="preserve"> e</w:t>
      </w:r>
      <w:r w:rsidR="006F6CAE" w:rsidRPr="00122856">
        <w:rPr>
          <w:lang w:val="fr-FR"/>
        </w:rPr>
        <w:t>n</w:t>
      </w:r>
      <w:r w:rsidR="00E71226" w:rsidRPr="00122856">
        <w:rPr>
          <w:lang w:val="fr-FR"/>
        </w:rPr>
        <w:t>t</w:t>
      </w:r>
      <w:r w:rsidR="006F6CAE" w:rsidRPr="00122856">
        <w:rPr>
          <w:lang w:val="fr-FR"/>
        </w:rPr>
        <w:t>r</w:t>
      </w:r>
      <w:r w:rsidR="00E71226" w:rsidRPr="00122856">
        <w:rPr>
          <w:lang w:val="fr-FR"/>
        </w:rPr>
        <w:t xml:space="preserve">e </w:t>
      </w:r>
      <w:r w:rsidR="006F6CAE" w:rsidRPr="00122856">
        <w:rPr>
          <w:lang w:val="fr-FR"/>
        </w:rPr>
        <w:t>le</w:t>
      </w:r>
      <w:r w:rsidR="00E71226" w:rsidRPr="00122856">
        <w:rPr>
          <w:lang w:val="fr-FR"/>
        </w:rPr>
        <w:t xml:space="preserve"> budget appro</w:t>
      </w:r>
      <w:r w:rsidR="006F6CAE" w:rsidRPr="00122856">
        <w:rPr>
          <w:lang w:val="fr-FR"/>
        </w:rPr>
        <w:t>uvé par le Comité et le budget révisé</w:t>
      </w:r>
      <w:r w:rsidR="00E71226" w:rsidRPr="00122856">
        <w:rPr>
          <w:lang w:val="fr-FR"/>
        </w:rPr>
        <w:t xml:space="preserve"> </w:t>
      </w:r>
      <w:r w:rsidR="00985DED" w:rsidRPr="00122856">
        <w:rPr>
          <w:lang w:val="fr-FR"/>
        </w:rPr>
        <w:t>en fonction</w:t>
      </w:r>
      <w:r w:rsidR="00E71226" w:rsidRPr="00122856">
        <w:rPr>
          <w:lang w:val="fr-FR"/>
        </w:rPr>
        <w:t xml:space="preserve"> </w:t>
      </w:r>
      <w:r w:rsidR="006F6CAE" w:rsidRPr="00122856">
        <w:rPr>
          <w:lang w:val="fr-FR"/>
        </w:rPr>
        <w:t>du financement réel confirmé</w:t>
      </w:r>
      <w:r w:rsidR="00E71226" w:rsidRPr="00122856">
        <w:rPr>
          <w:lang w:val="fr-FR"/>
        </w:rPr>
        <w:t>.</w:t>
      </w:r>
      <w:r w:rsidR="00985DED" w:rsidRPr="00122856">
        <w:rPr>
          <w:lang w:val="fr-FR"/>
        </w:rPr>
        <w:t xml:space="preserve"> L</w:t>
      </w:r>
      <w:r w:rsidR="006F6CAE" w:rsidRPr="00122856">
        <w:rPr>
          <w:lang w:val="fr-FR"/>
        </w:rPr>
        <w:t xml:space="preserve">a Norvège a </w:t>
      </w:r>
      <w:r w:rsidR="00985DED" w:rsidRPr="00122856">
        <w:rPr>
          <w:lang w:val="fr-FR"/>
        </w:rPr>
        <w:t xml:space="preserve">en effet </w:t>
      </w:r>
      <w:r w:rsidR="006F6CAE" w:rsidRPr="00122856">
        <w:rPr>
          <w:lang w:val="fr-FR"/>
        </w:rPr>
        <w:t xml:space="preserve">informé le </w:t>
      </w:r>
      <w:r w:rsidR="00E71226" w:rsidRPr="00122856">
        <w:rPr>
          <w:lang w:val="fr-FR"/>
        </w:rPr>
        <w:t>Secr</w:t>
      </w:r>
      <w:r w:rsidR="006F6CAE" w:rsidRPr="00122856">
        <w:rPr>
          <w:lang w:val="fr-FR"/>
        </w:rPr>
        <w:t>é</w:t>
      </w:r>
      <w:r w:rsidR="00E71226" w:rsidRPr="00122856">
        <w:rPr>
          <w:lang w:val="fr-FR"/>
        </w:rPr>
        <w:t xml:space="preserve">tariat </w:t>
      </w:r>
      <w:r w:rsidR="005D2D2B" w:rsidRPr="00122856">
        <w:rPr>
          <w:lang w:val="fr-FR"/>
        </w:rPr>
        <w:t xml:space="preserve">qu’elle ne serait pas en mesure de payer la totalité de </w:t>
      </w:r>
      <w:r w:rsidR="00E519CA" w:rsidRPr="00122856">
        <w:rPr>
          <w:lang w:val="fr-FR"/>
        </w:rPr>
        <w:t>l</w:t>
      </w:r>
      <w:r w:rsidR="005D2D2B" w:rsidRPr="00122856">
        <w:rPr>
          <w:lang w:val="fr-FR"/>
        </w:rPr>
        <w:t>a contribution qu’</w:t>
      </w:r>
      <w:r w:rsidR="00E519CA" w:rsidRPr="00122856">
        <w:rPr>
          <w:lang w:val="fr-FR"/>
        </w:rPr>
        <w:t xml:space="preserve">elle avait </w:t>
      </w:r>
      <w:r w:rsidR="005D2D2B" w:rsidRPr="00122856">
        <w:rPr>
          <w:lang w:val="fr-FR"/>
        </w:rPr>
        <w:t xml:space="preserve">annoncée au Comité et </w:t>
      </w:r>
      <w:r w:rsidR="00E519CA" w:rsidRPr="00122856">
        <w:rPr>
          <w:lang w:val="fr-FR"/>
        </w:rPr>
        <w:t>qui avait reçu son approbation</w:t>
      </w:r>
      <w:r w:rsidR="00E71226" w:rsidRPr="00122856">
        <w:rPr>
          <w:lang w:val="fr-FR"/>
        </w:rPr>
        <w:t>.</w:t>
      </w:r>
    </w:p>
    <w:p w14:paraId="5C5440D7" w14:textId="7AEA354F" w:rsidR="003377B5" w:rsidRPr="00122856" w:rsidRDefault="001347F1" w:rsidP="009E1B50">
      <w:pPr>
        <w:pStyle w:val="COMParabodytext"/>
        <w:rPr>
          <w:lang w:val="fr-FR"/>
        </w:rPr>
      </w:pPr>
      <w:r w:rsidRPr="00122856">
        <w:rPr>
          <w:lang w:val="fr-FR"/>
        </w:rPr>
        <w:t>En c</w:t>
      </w:r>
      <w:r w:rsidR="00E71226" w:rsidRPr="00122856">
        <w:rPr>
          <w:lang w:val="fr-FR"/>
        </w:rPr>
        <w:t>ons</w:t>
      </w:r>
      <w:r w:rsidRPr="00122856">
        <w:rPr>
          <w:lang w:val="fr-FR"/>
        </w:rPr>
        <w:t>é</w:t>
      </w:r>
      <w:r w:rsidR="00E71226" w:rsidRPr="00122856">
        <w:rPr>
          <w:lang w:val="fr-FR"/>
        </w:rPr>
        <w:t>quen</w:t>
      </w:r>
      <w:r w:rsidRPr="00122856">
        <w:rPr>
          <w:lang w:val="fr-FR"/>
        </w:rPr>
        <w:t>ce</w:t>
      </w:r>
      <w:r w:rsidR="00E71226" w:rsidRPr="00122856">
        <w:rPr>
          <w:lang w:val="fr-FR"/>
        </w:rPr>
        <w:t xml:space="preserve">, </w:t>
      </w:r>
      <w:r w:rsidRPr="00122856">
        <w:rPr>
          <w:lang w:val="fr-FR"/>
        </w:rPr>
        <w:t>l’</w:t>
      </w:r>
      <w:r w:rsidR="00E71226" w:rsidRPr="00122856">
        <w:rPr>
          <w:lang w:val="fr-FR"/>
        </w:rPr>
        <w:t>Annex</w:t>
      </w:r>
      <w:r w:rsidRPr="00122856">
        <w:rPr>
          <w:lang w:val="fr-FR"/>
        </w:rPr>
        <w:t>e</w:t>
      </w:r>
      <w:r w:rsidR="00E71226" w:rsidRPr="00122856">
        <w:rPr>
          <w:lang w:val="fr-FR"/>
        </w:rPr>
        <w:t xml:space="preserve"> II(c) </w:t>
      </w:r>
      <w:r w:rsidRPr="00122856">
        <w:rPr>
          <w:lang w:val="fr-FR"/>
        </w:rPr>
        <w:t xml:space="preserve">montre les prévisions </w:t>
      </w:r>
      <w:r w:rsidR="00391F5E" w:rsidRPr="00122856">
        <w:rPr>
          <w:lang w:val="fr-FR"/>
        </w:rPr>
        <w:t xml:space="preserve">au 31 </w:t>
      </w:r>
      <w:r w:rsidR="0096485B">
        <w:rPr>
          <w:lang w:val="fr-FR"/>
        </w:rPr>
        <w:t xml:space="preserve">août </w:t>
      </w:r>
      <w:r w:rsidR="00391F5E" w:rsidRPr="00122856">
        <w:rPr>
          <w:lang w:val="fr-FR"/>
        </w:rPr>
        <w:t>2015</w:t>
      </w:r>
      <w:r w:rsidR="001F19BC" w:rsidRPr="00122856">
        <w:rPr>
          <w:lang w:val="fr-FR"/>
        </w:rPr>
        <w:t>, sur la base de l’estimation du Secrétariat,</w:t>
      </w:r>
      <w:r w:rsidR="00391F5E" w:rsidRPr="00122856">
        <w:rPr>
          <w:lang w:val="fr-FR"/>
        </w:rPr>
        <w:t xml:space="preserve"> </w:t>
      </w:r>
      <w:r w:rsidR="001F19BC" w:rsidRPr="00122856">
        <w:rPr>
          <w:lang w:val="fr-FR"/>
        </w:rPr>
        <w:t xml:space="preserve">pour l’utilisation </w:t>
      </w:r>
      <w:r w:rsidR="00E71226" w:rsidRPr="00122856">
        <w:rPr>
          <w:lang w:val="fr-FR"/>
        </w:rPr>
        <w:t xml:space="preserve">future </w:t>
      </w:r>
      <w:r w:rsidRPr="00122856">
        <w:rPr>
          <w:lang w:val="fr-FR"/>
        </w:rPr>
        <w:t>des crédits alloués aux projets en cours</w:t>
      </w:r>
      <w:r w:rsidR="001F19BC" w:rsidRPr="00122856">
        <w:rPr>
          <w:lang w:val="fr-FR"/>
        </w:rPr>
        <w:t>,</w:t>
      </w:r>
      <w:r w:rsidRPr="00122856">
        <w:rPr>
          <w:lang w:val="fr-FR"/>
        </w:rPr>
        <w:t xml:space="preserve"> sur la base de</w:t>
      </w:r>
      <w:r w:rsidR="00E519CA" w:rsidRPr="00122856">
        <w:rPr>
          <w:lang w:val="fr-FR"/>
        </w:rPr>
        <w:t>s</w:t>
      </w:r>
      <w:r w:rsidRPr="00122856">
        <w:rPr>
          <w:lang w:val="fr-FR"/>
        </w:rPr>
        <w:t xml:space="preserve"> crédits non </w:t>
      </w:r>
      <w:r w:rsidR="001F19BC" w:rsidRPr="00122856">
        <w:rPr>
          <w:lang w:val="fr-FR"/>
        </w:rPr>
        <w:t xml:space="preserve">engagés </w:t>
      </w:r>
      <w:r w:rsidR="008C2DDB" w:rsidRPr="00122856">
        <w:rPr>
          <w:lang w:val="fr-FR"/>
        </w:rPr>
        <w:t>à cette date et des budgets approuvés par le Comité</w:t>
      </w:r>
      <w:r w:rsidR="00E71226" w:rsidRPr="00122856">
        <w:rPr>
          <w:lang w:val="fr-FR"/>
        </w:rPr>
        <w:t xml:space="preserve">. </w:t>
      </w:r>
      <w:r w:rsidR="008C2DDB" w:rsidRPr="00122856">
        <w:rPr>
          <w:lang w:val="fr-FR"/>
        </w:rPr>
        <w:t xml:space="preserve">Dans les cas où le donateur </w:t>
      </w:r>
      <w:r w:rsidR="001F19BC" w:rsidRPr="00122856">
        <w:rPr>
          <w:lang w:val="fr-FR"/>
        </w:rPr>
        <w:t xml:space="preserve">a </w:t>
      </w:r>
      <w:r w:rsidR="008C2DDB" w:rsidRPr="00122856">
        <w:rPr>
          <w:lang w:val="fr-FR"/>
        </w:rPr>
        <w:t xml:space="preserve">déjà confirmé que la contribution </w:t>
      </w:r>
      <w:r w:rsidR="001F19BC" w:rsidRPr="00122856">
        <w:rPr>
          <w:lang w:val="fr-FR"/>
        </w:rPr>
        <w:t>due</w:t>
      </w:r>
      <w:r w:rsidR="008C2DDB" w:rsidRPr="00122856">
        <w:rPr>
          <w:lang w:val="fr-FR"/>
        </w:rPr>
        <w:t xml:space="preserve"> ne sera pas payée</w:t>
      </w:r>
      <w:r w:rsidR="00E71226" w:rsidRPr="00122856">
        <w:rPr>
          <w:lang w:val="fr-FR"/>
        </w:rPr>
        <w:t xml:space="preserve"> (</w:t>
      </w:r>
      <w:r w:rsidR="008C2DDB" w:rsidRPr="00122856">
        <w:rPr>
          <w:lang w:val="fr-FR"/>
        </w:rPr>
        <w:t xml:space="preserve">signalés par un </w:t>
      </w:r>
      <w:r w:rsidR="00E71226" w:rsidRPr="00122856">
        <w:rPr>
          <w:lang w:val="fr-FR"/>
        </w:rPr>
        <w:t>ast</w:t>
      </w:r>
      <w:r w:rsidR="008C2DDB" w:rsidRPr="00122856">
        <w:rPr>
          <w:lang w:val="fr-FR"/>
        </w:rPr>
        <w:t>é</w:t>
      </w:r>
      <w:r w:rsidR="00E71226" w:rsidRPr="00122856">
        <w:rPr>
          <w:lang w:val="fr-FR"/>
        </w:rPr>
        <w:t>ris</w:t>
      </w:r>
      <w:r w:rsidR="008C2DDB" w:rsidRPr="00122856">
        <w:rPr>
          <w:lang w:val="fr-FR"/>
        </w:rPr>
        <w:t>que</w:t>
      </w:r>
      <w:r w:rsidR="00E71226" w:rsidRPr="00122856">
        <w:rPr>
          <w:lang w:val="fr-FR"/>
        </w:rPr>
        <w:t xml:space="preserve">), </w:t>
      </w:r>
      <w:r w:rsidR="008C2DDB" w:rsidRPr="00122856">
        <w:rPr>
          <w:lang w:val="fr-FR"/>
        </w:rPr>
        <w:t>les prévisions sont basées sur les crédits effectivement reçus à ce jour</w:t>
      </w:r>
      <w:r w:rsidR="00E71226" w:rsidRPr="00122856">
        <w:rPr>
          <w:lang w:val="fr-FR"/>
        </w:rPr>
        <w:t>.</w:t>
      </w:r>
    </w:p>
    <w:p w14:paraId="274854F2" w14:textId="77777777" w:rsidR="003377B5" w:rsidRPr="00122856" w:rsidRDefault="00E71226" w:rsidP="006F2FBE">
      <w:pPr>
        <w:pStyle w:val="Heading4"/>
        <w:keepLines/>
        <w:tabs>
          <w:tab w:val="left" w:pos="567"/>
        </w:tabs>
        <w:snapToGrid w:val="0"/>
        <w:spacing w:before="240"/>
        <w:ind w:left="567" w:hanging="567"/>
        <w:contextualSpacing w:val="0"/>
      </w:pPr>
      <w:r w:rsidRPr="00122856">
        <w:t>II.</w:t>
      </w:r>
      <w:r w:rsidRPr="00122856">
        <w:tab/>
      </w:r>
      <w:r w:rsidR="00AC01B9" w:rsidRPr="00122856">
        <w:t xml:space="preserve">PROJET DE PLAN POUR </w:t>
      </w:r>
      <w:r w:rsidR="00AC01B9" w:rsidRPr="006F2FBE">
        <w:rPr>
          <w:rFonts w:cs="Times New Roman"/>
          <w:bCs/>
          <w:snapToGrid w:val="0"/>
          <w:szCs w:val="24"/>
          <w:lang w:eastAsia="en-US"/>
        </w:rPr>
        <w:t>L’UTILISATION</w:t>
      </w:r>
      <w:r w:rsidR="00AC01B9" w:rsidRPr="00122856">
        <w:t xml:space="preserve"> DES RESSOURCES DU FONDS DU PATRIMOINE CULTUREL IMMATÉRIEL PROPOSÉ POUR LA PÉRIODE 2016-2017</w:t>
      </w:r>
    </w:p>
    <w:p w14:paraId="1CEF7D6A" w14:textId="1C226B84" w:rsidR="003377B5" w:rsidRPr="00122856" w:rsidRDefault="007232F2" w:rsidP="009E1B50">
      <w:pPr>
        <w:pStyle w:val="COMParabodytext"/>
        <w:rPr>
          <w:lang w:val="fr-FR"/>
        </w:rPr>
      </w:pPr>
      <w:r w:rsidRPr="00122856">
        <w:rPr>
          <w:lang w:val="fr-FR"/>
        </w:rPr>
        <w:t>Aux termes de l</w:t>
      </w:r>
      <w:r w:rsidR="00AC01B9" w:rsidRPr="00122856">
        <w:rPr>
          <w:lang w:val="fr-FR"/>
        </w:rPr>
        <w:t>’a</w:t>
      </w:r>
      <w:r w:rsidR="00C340BC" w:rsidRPr="00122856">
        <w:rPr>
          <w:lang w:val="fr-FR"/>
        </w:rPr>
        <w:t xml:space="preserve">rticle 7 (c) </w:t>
      </w:r>
      <w:r w:rsidR="00AC01B9" w:rsidRPr="00122856">
        <w:rPr>
          <w:lang w:val="fr-FR"/>
        </w:rPr>
        <w:t>de la</w:t>
      </w:r>
      <w:r w:rsidR="00C340BC" w:rsidRPr="00122856">
        <w:rPr>
          <w:lang w:val="fr-FR"/>
        </w:rPr>
        <w:t xml:space="preserve"> Convention</w:t>
      </w:r>
      <w:r w:rsidRPr="00122856">
        <w:rPr>
          <w:lang w:val="fr-FR"/>
        </w:rPr>
        <w:t>, il est</w:t>
      </w:r>
      <w:r w:rsidR="00C340BC" w:rsidRPr="00122856">
        <w:rPr>
          <w:lang w:val="fr-FR"/>
        </w:rPr>
        <w:t xml:space="preserve"> </w:t>
      </w:r>
      <w:r w:rsidR="00AC01B9" w:rsidRPr="00122856">
        <w:rPr>
          <w:lang w:val="fr-FR"/>
        </w:rPr>
        <w:t>demand</w:t>
      </w:r>
      <w:r w:rsidRPr="00122856">
        <w:rPr>
          <w:lang w:val="fr-FR"/>
        </w:rPr>
        <w:t>é</w:t>
      </w:r>
      <w:r w:rsidR="00AC01B9" w:rsidRPr="00122856">
        <w:rPr>
          <w:lang w:val="fr-FR"/>
        </w:rPr>
        <w:t xml:space="preserve"> au </w:t>
      </w:r>
      <w:r w:rsidR="00C340BC" w:rsidRPr="00122856">
        <w:rPr>
          <w:lang w:val="fr-FR"/>
        </w:rPr>
        <w:t>Comit</w:t>
      </w:r>
      <w:r w:rsidR="00AC01B9" w:rsidRPr="00122856">
        <w:rPr>
          <w:lang w:val="fr-FR"/>
        </w:rPr>
        <w:t>é</w:t>
      </w:r>
      <w:r w:rsidR="00C340BC" w:rsidRPr="00122856">
        <w:rPr>
          <w:lang w:val="fr-FR"/>
        </w:rPr>
        <w:t xml:space="preserve"> </w:t>
      </w:r>
      <w:r w:rsidR="00AC01B9" w:rsidRPr="00122856">
        <w:rPr>
          <w:lang w:val="fr-FR"/>
        </w:rPr>
        <w:t>de</w:t>
      </w:r>
      <w:r w:rsidR="00C340BC" w:rsidRPr="00122856">
        <w:rPr>
          <w:lang w:val="fr-FR"/>
        </w:rPr>
        <w:t xml:space="preserve"> </w:t>
      </w:r>
      <w:r w:rsidR="0089218E" w:rsidRPr="00122856">
        <w:rPr>
          <w:lang w:val="fr-FR"/>
        </w:rPr>
        <w:t>« préparer et soumettre à l’approbation de l’Assemblée générale un projet d’utilisation des ressources du Fonds, conformément à l’article 25 »</w:t>
      </w:r>
      <w:r w:rsidR="00C340BC" w:rsidRPr="00122856">
        <w:rPr>
          <w:lang w:val="fr-FR"/>
        </w:rPr>
        <w:t xml:space="preserve">. </w:t>
      </w:r>
      <w:r w:rsidR="0089218E" w:rsidRPr="00122856">
        <w:rPr>
          <w:lang w:val="fr-FR"/>
        </w:rPr>
        <w:t>L’a</w:t>
      </w:r>
      <w:r w:rsidR="00C340BC" w:rsidRPr="00122856">
        <w:rPr>
          <w:lang w:val="fr-FR"/>
        </w:rPr>
        <w:t xml:space="preserve">rticle 25.4 </w:t>
      </w:r>
      <w:r w:rsidR="0089218E" w:rsidRPr="00122856">
        <w:rPr>
          <w:lang w:val="fr-FR"/>
        </w:rPr>
        <w:t>de la</w:t>
      </w:r>
      <w:r w:rsidR="00C340BC" w:rsidRPr="00122856">
        <w:rPr>
          <w:lang w:val="fr-FR"/>
        </w:rPr>
        <w:t xml:space="preserve"> Convention </w:t>
      </w:r>
      <w:r w:rsidR="0089218E" w:rsidRPr="00122856">
        <w:rPr>
          <w:lang w:val="fr-FR"/>
        </w:rPr>
        <w:t xml:space="preserve">dispose en outre que l’utilisation des ressources du Fonds par le Comité </w:t>
      </w:r>
      <w:r w:rsidR="00F445FF" w:rsidRPr="00122856">
        <w:rPr>
          <w:lang w:val="fr-FR"/>
        </w:rPr>
        <w:t>« est décidée sur la base des orientations de l’Assemblée générale »</w:t>
      </w:r>
      <w:r w:rsidR="00C340BC" w:rsidRPr="00122856">
        <w:rPr>
          <w:lang w:val="fr-FR"/>
        </w:rPr>
        <w:t xml:space="preserve">. </w:t>
      </w:r>
      <w:r w:rsidR="00F445FF" w:rsidRPr="00122856">
        <w:rPr>
          <w:lang w:val="fr-FR"/>
        </w:rPr>
        <w:t xml:space="preserve">Ces </w:t>
      </w:r>
      <w:r w:rsidRPr="00122856">
        <w:rPr>
          <w:lang w:val="fr-FR"/>
        </w:rPr>
        <w:t>orientations</w:t>
      </w:r>
      <w:r w:rsidR="00F445FF" w:rsidRPr="00122856">
        <w:rPr>
          <w:lang w:val="fr-FR"/>
        </w:rPr>
        <w:t xml:space="preserve"> ont été adopté</w:t>
      </w:r>
      <w:r w:rsidRPr="00122856">
        <w:rPr>
          <w:lang w:val="fr-FR"/>
        </w:rPr>
        <w:t>e</w:t>
      </w:r>
      <w:r w:rsidR="00F445FF" w:rsidRPr="00122856">
        <w:rPr>
          <w:lang w:val="fr-FR"/>
        </w:rPr>
        <w:t xml:space="preserve">s par l’Assemblée générale des </w:t>
      </w:r>
      <w:r w:rsidR="001F19BC" w:rsidRPr="00122856">
        <w:rPr>
          <w:lang w:val="fr-FR"/>
        </w:rPr>
        <w:t>É</w:t>
      </w:r>
      <w:r w:rsidR="00FE1CA1" w:rsidRPr="00122856">
        <w:rPr>
          <w:lang w:val="fr-FR"/>
        </w:rPr>
        <w:t>tats</w:t>
      </w:r>
      <w:r w:rsidR="00F445FF" w:rsidRPr="00122856">
        <w:rPr>
          <w:lang w:val="fr-FR"/>
        </w:rPr>
        <w:t xml:space="preserve"> </w:t>
      </w:r>
      <w:r w:rsidR="001F19BC" w:rsidRPr="00122856">
        <w:rPr>
          <w:lang w:val="fr-FR"/>
        </w:rPr>
        <w:t xml:space="preserve">parties </w:t>
      </w:r>
      <w:r w:rsidR="00F445FF" w:rsidRPr="00122856">
        <w:rPr>
          <w:lang w:val="fr-FR"/>
        </w:rPr>
        <w:t xml:space="preserve">lors de sa </w:t>
      </w:r>
      <w:r w:rsidR="001E73DC" w:rsidRPr="00122856">
        <w:rPr>
          <w:lang w:val="fr-FR"/>
        </w:rPr>
        <w:t xml:space="preserve">deuxième </w:t>
      </w:r>
      <w:r w:rsidR="00C340BC" w:rsidRPr="00122856">
        <w:rPr>
          <w:lang w:val="fr-FR"/>
        </w:rPr>
        <w:t xml:space="preserve">session </w:t>
      </w:r>
      <w:r w:rsidR="00F445FF" w:rsidRPr="00122856">
        <w:rPr>
          <w:lang w:val="fr-FR"/>
        </w:rPr>
        <w:t>e</w:t>
      </w:r>
      <w:r w:rsidR="00C340BC" w:rsidRPr="00122856">
        <w:rPr>
          <w:lang w:val="fr-FR"/>
        </w:rPr>
        <w:t xml:space="preserve">n 2008 </w:t>
      </w:r>
      <w:r w:rsidRPr="00122856">
        <w:rPr>
          <w:lang w:val="fr-FR"/>
        </w:rPr>
        <w:t>et figurent</w:t>
      </w:r>
      <w:r w:rsidR="00F445FF" w:rsidRPr="00122856">
        <w:rPr>
          <w:lang w:val="fr-FR"/>
        </w:rPr>
        <w:t xml:space="preserve"> au chapitre </w:t>
      </w:r>
      <w:r w:rsidR="00C340BC" w:rsidRPr="00122856">
        <w:rPr>
          <w:lang w:val="fr-FR"/>
        </w:rPr>
        <w:t xml:space="preserve">II.1 </w:t>
      </w:r>
      <w:r w:rsidR="00F445FF" w:rsidRPr="00122856">
        <w:rPr>
          <w:lang w:val="fr-FR"/>
        </w:rPr>
        <w:t xml:space="preserve">des Directives opérationnelles pour la mise en œuvre de la </w:t>
      </w:r>
      <w:r w:rsidR="00C340BC" w:rsidRPr="00122856">
        <w:rPr>
          <w:lang w:val="fr-FR"/>
        </w:rPr>
        <w:t xml:space="preserve">Convention. </w:t>
      </w:r>
      <w:r w:rsidR="00F445FF" w:rsidRPr="00122856">
        <w:rPr>
          <w:lang w:val="fr-FR"/>
        </w:rPr>
        <w:t>Le projet de plan proposé en</w:t>
      </w:r>
      <w:r w:rsidR="00C340BC" w:rsidRPr="00122856">
        <w:rPr>
          <w:lang w:val="fr-FR"/>
        </w:rPr>
        <w:t xml:space="preserve"> </w:t>
      </w:r>
      <w:r w:rsidR="001E73DC" w:rsidRPr="00122856">
        <w:rPr>
          <w:lang w:val="fr-FR"/>
        </w:rPr>
        <w:t>annexe </w:t>
      </w:r>
      <w:r w:rsidR="00C340BC" w:rsidRPr="00122856">
        <w:rPr>
          <w:lang w:val="fr-FR"/>
        </w:rPr>
        <w:t xml:space="preserve">I </w:t>
      </w:r>
      <w:r w:rsidR="00F445FF" w:rsidRPr="00122856">
        <w:rPr>
          <w:lang w:val="fr-FR"/>
        </w:rPr>
        <w:t xml:space="preserve">au présent document a été préparé conformément à ces </w:t>
      </w:r>
      <w:r w:rsidR="001E73DC" w:rsidRPr="00122856">
        <w:rPr>
          <w:lang w:val="fr-FR"/>
        </w:rPr>
        <w:t xml:space="preserve">orientations </w:t>
      </w:r>
      <w:r w:rsidR="00F445FF" w:rsidRPr="00122856">
        <w:rPr>
          <w:lang w:val="fr-FR"/>
        </w:rPr>
        <w:t xml:space="preserve">et en s’appuyant sur l’expérience </w:t>
      </w:r>
      <w:r w:rsidR="004964BC" w:rsidRPr="00122856">
        <w:rPr>
          <w:lang w:val="fr-FR"/>
        </w:rPr>
        <w:t xml:space="preserve">de la mise en œuvre du plan actuel pour la période </w:t>
      </w:r>
      <w:r w:rsidR="00C340BC" w:rsidRPr="00122856">
        <w:rPr>
          <w:lang w:val="fr-FR"/>
        </w:rPr>
        <w:t>2014-2015.</w:t>
      </w:r>
    </w:p>
    <w:p w14:paraId="2AAB1983" w14:textId="7C662CE3" w:rsidR="003377B5" w:rsidRPr="00122856" w:rsidRDefault="007232F2" w:rsidP="009E1B50">
      <w:pPr>
        <w:pStyle w:val="COMParabodytext"/>
        <w:rPr>
          <w:lang w:val="fr-FR"/>
        </w:rPr>
      </w:pPr>
      <w:r w:rsidRPr="00122856">
        <w:rPr>
          <w:lang w:val="fr-FR"/>
        </w:rPr>
        <w:t>Alors que</w:t>
      </w:r>
      <w:r w:rsidR="004964BC" w:rsidRPr="00122856">
        <w:rPr>
          <w:lang w:val="fr-FR"/>
        </w:rPr>
        <w:t xml:space="preserve"> les programmes de l’</w:t>
      </w:r>
      <w:r w:rsidR="00C340BC" w:rsidRPr="00122856">
        <w:rPr>
          <w:lang w:val="fr-FR"/>
        </w:rPr>
        <w:t xml:space="preserve">UNESCO </w:t>
      </w:r>
      <w:r w:rsidR="004964BC" w:rsidRPr="00122856">
        <w:rPr>
          <w:lang w:val="fr-FR"/>
        </w:rPr>
        <w:t xml:space="preserve">sont définis pour des périodes quadriennales, la Conférence générale a décidé </w:t>
      </w:r>
      <w:r w:rsidR="00C340BC" w:rsidRPr="00122856">
        <w:rPr>
          <w:lang w:val="fr-FR"/>
        </w:rPr>
        <w:t>(</w:t>
      </w:r>
      <w:hyperlink r:id="rId23" w:history="1">
        <w:r w:rsidR="00C340BC" w:rsidRPr="00122856">
          <w:rPr>
            <w:rStyle w:val="Hyperlink"/>
            <w:lang w:val="fr-FR"/>
          </w:rPr>
          <w:t>36 C/R</w:t>
        </w:r>
        <w:r w:rsidR="004964BC" w:rsidRPr="00122856">
          <w:rPr>
            <w:rStyle w:val="Hyperlink"/>
            <w:lang w:val="fr-FR"/>
          </w:rPr>
          <w:t>é</w:t>
        </w:r>
        <w:r w:rsidR="00C340BC" w:rsidRPr="00122856">
          <w:rPr>
            <w:rStyle w:val="Hyperlink"/>
            <w:lang w:val="fr-FR"/>
          </w:rPr>
          <w:t>solution 105</w:t>
        </w:r>
      </w:hyperlink>
      <w:r w:rsidR="004964BC" w:rsidRPr="00122856">
        <w:rPr>
          <w:lang w:val="fr-FR"/>
        </w:rPr>
        <w:t xml:space="preserve">) de </w:t>
      </w:r>
      <w:r w:rsidR="00161442" w:rsidRPr="00122856">
        <w:rPr>
          <w:lang w:val="fr-FR"/>
        </w:rPr>
        <w:t>conserver</w:t>
      </w:r>
      <w:r w:rsidR="004964BC" w:rsidRPr="00122856">
        <w:rPr>
          <w:lang w:val="fr-FR"/>
        </w:rPr>
        <w:t xml:space="preserve"> le cycle biennal pour </w:t>
      </w:r>
      <w:r w:rsidR="001E73DC" w:rsidRPr="00122856">
        <w:rPr>
          <w:lang w:val="fr-FR"/>
        </w:rPr>
        <w:t>la répartition du budget</w:t>
      </w:r>
      <w:r w:rsidR="00C340BC" w:rsidRPr="00122856">
        <w:rPr>
          <w:lang w:val="fr-FR"/>
        </w:rPr>
        <w:t xml:space="preserve">. </w:t>
      </w:r>
      <w:r w:rsidR="005511EC" w:rsidRPr="00122856">
        <w:rPr>
          <w:lang w:val="fr-FR"/>
        </w:rPr>
        <w:t xml:space="preserve">Ainsi, le budget de l’Organisation continuera </w:t>
      </w:r>
      <w:r w:rsidR="00161442" w:rsidRPr="00122856">
        <w:rPr>
          <w:lang w:val="fr-FR"/>
        </w:rPr>
        <w:t>d’</w:t>
      </w:r>
      <w:r w:rsidR="005511EC" w:rsidRPr="00122856">
        <w:rPr>
          <w:lang w:val="fr-FR"/>
        </w:rPr>
        <w:t xml:space="preserve">être approuvé par la Conférence générale à la fin d’une année impaire et </w:t>
      </w:r>
      <w:r w:rsidR="005072FD" w:rsidRPr="00122856">
        <w:rPr>
          <w:lang w:val="fr-FR"/>
        </w:rPr>
        <w:t>comprend</w:t>
      </w:r>
      <w:r w:rsidR="005511EC" w:rsidRPr="00122856">
        <w:rPr>
          <w:lang w:val="fr-FR"/>
        </w:rPr>
        <w:t xml:space="preserve"> deux années </w:t>
      </w:r>
      <w:r w:rsidR="00121380" w:rsidRPr="00122856">
        <w:rPr>
          <w:lang w:val="fr-FR"/>
        </w:rPr>
        <w:t xml:space="preserve">consécutives </w:t>
      </w:r>
      <w:r w:rsidR="005072FD" w:rsidRPr="00122856">
        <w:rPr>
          <w:lang w:val="fr-FR"/>
        </w:rPr>
        <w:t>commençant le</w:t>
      </w:r>
      <w:r w:rsidR="00121380" w:rsidRPr="00122856">
        <w:rPr>
          <w:lang w:val="fr-FR"/>
        </w:rPr>
        <w:t xml:space="preserve"> 1</w:t>
      </w:r>
      <w:r w:rsidR="00121380" w:rsidRPr="00122856">
        <w:rPr>
          <w:vertAlign w:val="superscript"/>
          <w:lang w:val="fr-FR"/>
        </w:rPr>
        <w:t>er</w:t>
      </w:r>
      <w:r w:rsidR="00995909" w:rsidRPr="00122856">
        <w:rPr>
          <w:lang w:val="fr-FR"/>
        </w:rPr>
        <w:t xml:space="preserve"> </w:t>
      </w:r>
      <w:r w:rsidR="00121380" w:rsidRPr="00122856">
        <w:rPr>
          <w:lang w:val="fr-FR"/>
        </w:rPr>
        <w:t xml:space="preserve">janvier d’une année paire </w:t>
      </w:r>
      <w:r w:rsidR="005072FD" w:rsidRPr="00122856">
        <w:rPr>
          <w:lang w:val="fr-FR"/>
        </w:rPr>
        <w:t>et se terminant le</w:t>
      </w:r>
      <w:r w:rsidR="00121380" w:rsidRPr="00122856">
        <w:rPr>
          <w:lang w:val="fr-FR"/>
        </w:rPr>
        <w:t xml:space="preserve"> 31</w:t>
      </w:r>
      <w:r w:rsidR="00FE1CA1" w:rsidRPr="00122856">
        <w:rPr>
          <w:lang w:val="fr-FR"/>
        </w:rPr>
        <w:t> </w:t>
      </w:r>
      <w:r w:rsidR="00121380" w:rsidRPr="00122856">
        <w:rPr>
          <w:lang w:val="fr-FR"/>
        </w:rPr>
        <w:t>décembre de l’année impaire suivante</w:t>
      </w:r>
      <w:r w:rsidR="00C340BC" w:rsidRPr="00122856">
        <w:rPr>
          <w:lang w:val="fr-FR"/>
        </w:rPr>
        <w:t xml:space="preserve">. </w:t>
      </w:r>
      <w:r w:rsidR="00121380" w:rsidRPr="00122856">
        <w:rPr>
          <w:lang w:val="fr-FR"/>
        </w:rPr>
        <w:t>Conformément à l’a</w:t>
      </w:r>
      <w:r w:rsidR="00C340BC" w:rsidRPr="00122856">
        <w:rPr>
          <w:lang w:val="fr-FR"/>
        </w:rPr>
        <w:t xml:space="preserve">rticle 2 </w:t>
      </w:r>
      <w:r w:rsidR="00121380" w:rsidRPr="00122856">
        <w:rPr>
          <w:lang w:val="fr-FR"/>
        </w:rPr>
        <w:t xml:space="preserve">de son Règlement financier, le Fonds </w:t>
      </w:r>
      <w:r w:rsidR="005072FD" w:rsidRPr="00122856">
        <w:rPr>
          <w:lang w:val="fr-FR"/>
        </w:rPr>
        <w:t>adopte le</w:t>
      </w:r>
      <w:r w:rsidR="00A858C8" w:rsidRPr="00122856">
        <w:rPr>
          <w:lang w:val="fr-FR"/>
        </w:rPr>
        <w:t xml:space="preserve"> même </w:t>
      </w:r>
      <w:r w:rsidR="005072FD" w:rsidRPr="00122856">
        <w:rPr>
          <w:lang w:val="fr-FR"/>
        </w:rPr>
        <w:t>exercice</w:t>
      </w:r>
      <w:r w:rsidR="00A858C8" w:rsidRPr="00122856">
        <w:rPr>
          <w:lang w:val="fr-FR"/>
        </w:rPr>
        <w:t xml:space="preserve"> </w:t>
      </w:r>
      <w:r w:rsidR="005072FD" w:rsidRPr="00122856">
        <w:rPr>
          <w:lang w:val="fr-FR"/>
        </w:rPr>
        <w:t>financier</w:t>
      </w:r>
      <w:r w:rsidR="00C340BC" w:rsidRPr="00122856">
        <w:rPr>
          <w:lang w:val="fr-FR"/>
        </w:rPr>
        <w:t xml:space="preserve">. </w:t>
      </w:r>
      <w:r w:rsidR="005072FD" w:rsidRPr="00122856">
        <w:rPr>
          <w:lang w:val="fr-FR"/>
        </w:rPr>
        <w:t>Toutefois</w:t>
      </w:r>
      <w:r w:rsidR="00A858C8" w:rsidRPr="00122856">
        <w:rPr>
          <w:lang w:val="fr-FR"/>
        </w:rPr>
        <w:t xml:space="preserve">, l’Assemblée générale des </w:t>
      </w:r>
      <w:r w:rsidR="00FE1CA1" w:rsidRPr="00122856">
        <w:rPr>
          <w:lang w:val="fr-FR"/>
        </w:rPr>
        <w:t>États</w:t>
      </w:r>
      <w:r w:rsidR="00220A26" w:rsidRPr="00122856">
        <w:rPr>
          <w:lang w:val="fr-FR"/>
        </w:rPr>
        <w:t xml:space="preserve"> </w:t>
      </w:r>
      <w:r w:rsidR="00A858C8" w:rsidRPr="00122856">
        <w:rPr>
          <w:lang w:val="fr-FR"/>
        </w:rPr>
        <w:t xml:space="preserve">parties à la Convention se réunit en session ordinaire les années paires, six mois </w:t>
      </w:r>
      <w:r w:rsidR="0011464D" w:rsidRPr="00122856">
        <w:rPr>
          <w:lang w:val="fr-FR"/>
        </w:rPr>
        <w:t xml:space="preserve">environ </w:t>
      </w:r>
      <w:r w:rsidR="00A858C8" w:rsidRPr="00122856">
        <w:rPr>
          <w:lang w:val="fr-FR"/>
        </w:rPr>
        <w:t>après le début de l</w:t>
      </w:r>
      <w:r w:rsidR="0011464D" w:rsidRPr="00122856">
        <w:rPr>
          <w:lang w:val="fr-FR"/>
        </w:rPr>
        <w:t xml:space="preserve">’exercice financier </w:t>
      </w:r>
      <w:r w:rsidR="00A858C8" w:rsidRPr="00122856">
        <w:rPr>
          <w:lang w:val="fr-FR"/>
        </w:rPr>
        <w:t>de l’</w:t>
      </w:r>
      <w:r w:rsidR="00C340BC" w:rsidRPr="00122856">
        <w:rPr>
          <w:lang w:val="fr-FR"/>
        </w:rPr>
        <w:t xml:space="preserve">UNESCO. </w:t>
      </w:r>
      <w:r w:rsidR="0011464D" w:rsidRPr="00122856">
        <w:rPr>
          <w:lang w:val="fr-FR"/>
        </w:rPr>
        <w:t xml:space="preserve">À </w:t>
      </w:r>
      <w:r w:rsidR="00A858C8" w:rsidRPr="00122856">
        <w:rPr>
          <w:lang w:val="fr-FR"/>
        </w:rPr>
        <w:t>sa sixième s</w:t>
      </w:r>
      <w:r w:rsidR="00C340BC" w:rsidRPr="00122856">
        <w:rPr>
          <w:lang w:val="fr-FR"/>
        </w:rPr>
        <w:t xml:space="preserve">ession </w:t>
      </w:r>
      <w:r w:rsidR="00A858C8" w:rsidRPr="00122856">
        <w:rPr>
          <w:lang w:val="fr-FR"/>
        </w:rPr>
        <w:t>e</w:t>
      </w:r>
      <w:r w:rsidR="00C340BC" w:rsidRPr="00122856">
        <w:rPr>
          <w:lang w:val="fr-FR"/>
        </w:rPr>
        <w:t xml:space="preserve">n </w:t>
      </w:r>
      <w:r w:rsidR="00A858C8" w:rsidRPr="00122856">
        <w:rPr>
          <w:lang w:val="fr-FR"/>
        </w:rPr>
        <w:t>j</w:t>
      </w:r>
      <w:r w:rsidR="00C340BC" w:rsidRPr="00122856">
        <w:rPr>
          <w:lang w:val="fr-FR"/>
        </w:rPr>
        <w:t>u</w:t>
      </w:r>
      <w:r w:rsidR="00A858C8" w:rsidRPr="00122856">
        <w:rPr>
          <w:lang w:val="fr-FR"/>
        </w:rPr>
        <w:t>i</w:t>
      </w:r>
      <w:r w:rsidR="00C340BC" w:rsidRPr="00122856">
        <w:rPr>
          <w:lang w:val="fr-FR"/>
        </w:rPr>
        <w:t xml:space="preserve">n 2016, </w:t>
      </w:r>
      <w:r w:rsidR="00A858C8" w:rsidRPr="00122856">
        <w:rPr>
          <w:lang w:val="fr-FR"/>
        </w:rPr>
        <w:t>il sera par conséquent demandé à l’Assemblée générale</w:t>
      </w:r>
      <w:r w:rsidR="00C340BC" w:rsidRPr="00122856">
        <w:rPr>
          <w:lang w:val="fr-FR"/>
        </w:rPr>
        <w:t xml:space="preserve"> </w:t>
      </w:r>
      <w:r w:rsidR="00A858C8" w:rsidRPr="00122856">
        <w:rPr>
          <w:lang w:val="fr-FR"/>
        </w:rPr>
        <w:t xml:space="preserve">d’approuver un projet de plan pour l’utilisation des ressources du Fonds </w:t>
      </w:r>
      <w:r w:rsidR="00FB6860" w:rsidRPr="00122856">
        <w:rPr>
          <w:lang w:val="fr-FR"/>
        </w:rPr>
        <w:t>couvr</w:t>
      </w:r>
      <w:r w:rsidR="0011464D" w:rsidRPr="00122856">
        <w:rPr>
          <w:lang w:val="fr-FR"/>
        </w:rPr>
        <w:t>ant</w:t>
      </w:r>
      <w:r w:rsidR="00FB6860" w:rsidRPr="00122856">
        <w:rPr>
          <w:lang w:val="fr-FR"/>
        </w:rPr>
        <w:t xml:space="preserve"> </w:t>
      </w:r>
      <w:r w:rsidR="00C340BC" w:rsidRPr="00122856">
        <w:rPr>
          <w:lang w:val="fr-FR"/>
        </w:rPr>
        <w:t>24 mo</w:t>
      </w:r>
      <w:r w:rsidR="00FB6860" w:rsidRPr="00122856">
        <w:rPr>
          <w:lang w:val="fr-FR"/>
        </w:rPr>
        <w:t>i</w:t>
      </w:r>
      <w:r w:rsidR="00C340BC" w:rsidRPr="00122856">
        <w:rPr>
          <w:lang w:val="fr-FR"/>
        </w:rPr>
        <w:t>s</w:t>
      </w:r>
      <w:r w:rsidR="00FB6860" w:rsidRPr="00122856">
        <w:rPr>
          <w:lang w:val="fr-FR"/>
        </w:rPr>
        <w:t xml:space="preserve">, du </w:t>
      </w:r>
      <w:r w:rsidR="00220A26" w:rsidRPr="00122856">
        <w:rPr>
          <w:lang w:val="fr-FR"/>
        </w:rPr>
        <w:t>1</w:t>
      </w:r>
      <w:r w:rsidR="00220A26" w:rsidRPr="00122856">
        <w:rPr>
          <w:vertAlign w:val="superscript"/>
          <w:lang w:val="fr-FR"/>
        </w:rPr>
        <w:t>er</w:t>
      </w:r>
      <w:r w:rsidR="00220A26" w:rsidRPr="00122856">
        <w:rPr>
          <w:lang w:val="fr-FR"/>
        </w:rPr>
        <w:t> </w:t>
      </w:r>
      <w:r w:rsidR="00FB6860" w:rsidRPr="00122856">
        <w:rPr>
          <w:lang w:val="fr-FR"/>
        </w:rPr>
        <w:t>janvier</w:t>
      </w:r>
      <w:r w:rsidR="00C340BC" w:rsidRPr="00122856">
        <w:rPr>
          <w:lang w:val="fr-FR"/>
        </w:rPr>
        <w:t xml:space="preserve"> 2016 </w:t>
      </w:r>
      <w:r w:rsidR="00FB6860" w:rsidRPr="00122856">
        <w:rPr>
          <w:lang w:val="fr-FR"/>
        </w:rPr>
        <w:t>au</w:t>
      </w:r>
      <w:r w:rsidR="00C340BC" w:rsidRPr="00122856">
        <w:rPr>
          <w:lang w:val="fr-FR"/>
        </w:rPr>
        <w:t xml:space="preserve"> 31 </w:t>
      </w:r>
      <w:r w:rsidR="00FB6860" w:rsidRPr="00122856">
        <w:rPr>
          <w:lang w:val="fr-FR"/>
        </w:rPr>
        <w:t>déc</w:t>
      </w:r>
      <w:r w:rsidR="00C340BC" w:rsidRPr="00122856">
        <w:rPr>
          <w:lang w:val="fr-FR"/>
        </w:rPr>
        <w:t>emb</w:t>
      </w:r>
      <w:r w:rsidR="00FB6860" w:rsidRPr="00122856">
        <w:rPr>
          <w:lang w:val="fr-FR"/>
        </w:rPr>
        <w:t>r</w:t>
      </w:r>
      <w:r w:rsidR="00C340BC" w:rsidRPr="00122856">
        <w:rPr>
          <w:lang w:val="fr-FR"/>
        </w:rPr>
        <w:t xml:space="preserve">e 2017 </w:t>
      </w:r>
      <w:r w:rsidR="00FB6860" w:rsidRPr="00122856">
        <w:rPr>
          <w:lang w:val="fr-FR"/>
        </w:rPr>
        <w:t>et</w:t>
      </w:r>
      <w:r w:rsidR="00C340BC" w:rsidRPr="00122856">
        <w:rPr>
          <w:lang w:val="fr-FR"/>
        </w:rPr>
        <w:t xml:space="preserve">, </w:t>
      </w:r>
      <w:r w:rsidR="00FB6860" w:rsidRPr="00122856">
        <w:rPr>
          <w:lang w:val="fr-FR"/>
        </w:rPr>
        <w:t>à titre provi</w:t>
      </w:r>
      <w:r w:rsidR="00676D0C" w:rsidRPr="00122856">
        <w:rPr>
          <w:lang w:val="fr-FR"/>
        </w:rPr>
        <w:t>soire, les six premiers mois de l</w:t>
      </w:r>
      <w:r w:rsidR="0011464D" w:rsidRPr="00122856">
        <w:rPr>
          <w:lang w:val="fr-FR"/>
        </w:rPr>
        <w:t>’exercice financier suivant</w:t>
      </w:r>
      <w:r w:rsidR="00C340BC" w:rsidRPr="00122856">
        <w:rPr>
          <w:lang w:val="fr-FR"/>
        </w:rPr>
        <w:t xml:space="preserve">, </w:t>
      </w:r>
      <w:r w:rsidR="00676D0C" w:rsidRPr="00122856">
        <w:rPr>
          <w:lang w:val="fr-FR"/>
        </w:rPr>
        <w:t xml:space="preserve">c’est-à-dire du </w:t>
      </w:r>
      <w:r w:rsidR="00220A26" w:rsidRPr="00122856">
        <w:rPr>
          <w:lang w:val="fr-FR"/>
        </w:rPr>
        <w:t>1</w:t>
      </w:r>
      <w:r w:rsidR="00220A26" w:rsidRPr="00122856">
        <w:rPr>
          <w:vertAlign w:val="superscript"/>
          <w:lang w:val="fr-FR"/>
        </w:rPr>
        <w:t>er</w:t>
      </w:r>
      <w:r w:rsidR="00220A26" w:rsidRPr="00122856">
        <w:rPr>
          <w:lang w:val="fr-FR"/>
        </w:rPr>
        <w:t> </w:t>
      </w:r>
      <w:r w:rsidR="00676D0C" w:rsidRPr="00122856">
        <w:rPr>
          <w:lang w:val="fr-FR"/>
        </w:rPr>
        <w:t>janvier au 30 juin</w:t>
      </w:r>
      <w:r w:rsidR="00C340BC" w:rsidRPr="00122856">
        <w:rPr>
          <w:lang w:val="fr-FR"/>
        </w:rPr>
        <w:t> 2018 pr</w:t>
      </w:r>
      <w:r w:rsidR="00676D0C" w:rsidRPr="00122856">
        <w:rPr>
          <w:lang w:val="fr-FR"/>
        </w:rPr>
        <w:t xml:space="preserve">écédant la </w:t>
      </w:r>
      <w:r w:rsidR="00220A26" w:rsidRPr="00122856">
        <w:rPr>
          <w:lang w:val="fr-FR"/>
        </w:rPr>
        <w:t xml:space="preserve">septième </w:t>
      </w:r>
      <w:r w:rsidR="00C340BC" w:rsidRPr="00122856">
        <w:rPr>
          <w:lang w:val="fr-FR"/>
        </w:rPr>
        <w:t xml:space="preserve">session </w:t>
      </w:r>
      <w:r w:rsidR="00676D0C" w:rsidRPr="00122856">
        <w:rPr>
          <w:lang w:val="fr-FR"/>
        </w:rPr>
        <w:t>de l’Assemblée générale</w:t>
      </w:r>
      <w:r w:rsidR="00C340BC" w:rsidRPr="00122856">
        <w:rPr>
          <w:lang w:val="fr-FR"/>
        </w:rPr>
        <w:t xml:space="preserve">. </w:t>
      </w:r>
      <w:r w:rsidR="00676D0C" w:rsidRPr="00122856">
        <w:rPr>
          <w:lang w:val="fr-FR"/>
        </w:rPr>
        <w:t xml:space="preserve">Le budget </w:t>
      </w:r>
      <w:r w:rsidR="007C6F02" w:rsidRPr="00122856">
        <w:rPr>
          <w:lang w:val="fr-FR"/>
        </w:rPr>
        <w:t xml:space="preserve">provisoire </w:t>
      </w:r>
      <w:r w:rsidR="006776C3" w:rsidRPr="00122856">
        <w:rPr>
          <w:lang w:val="fr-FR"/>
        </w:rPr>
        <w:t xml:space="preserve">du </w:t>
      </w:r>
      <w:r w:rsidR="007C6F02" w:rsidRPr="00122856">
        <w:rPr>
          <w:lang w:val="fr-FR"/>
        </w:rPr>
        <w:t xml:space="preserve">premier </w:t>
      </w:r>
      <w:r w:rsidR="00220A26" w:rsidRPr="00122856">
        <w:rPr>
          <w:lang w:val="fr-FR"/>
        </w:rPr>
        <w:t>semestre </w:t>
      </w:r>
      <w:r w:rsidR="00C340BC" w:rsidRPr="00122856">
        <w:rPr>
          <w:lang w:val="fr-FR"/>
        </w:rPr>
        <w:t xml:space="preserve">2016 </w:t>
      </w:r>
      <w:r w:rsidR="007C6F02" w:rsidRPr="00122856">
        <w:rPr>
          <w:lang w:val="fr-FR"/>
        </w:rPr>
        <w:t xml:space="preserve">adopté par la </w:t>
      </w:r>
      <w:r w:rsidR="006776C3" w:rsidRPr="00122856">
        <w:rPr>
          <w:lang w:val="fr-FR"/>
        </w:rPr>
        <w:t>cinquième</w:t>
      </w:r>
      <w:r w:rsidR="007C6F02" w:rsidRPr="00122856">
        <w:rPr>
          <w:lang w:val="fr-FR"/>
        </w:rPr>
        <w:t xml:space="preserve"> session de l’Assemblée générale</w:t>
      </w:r>
      <w:r w:rsidR="00C340BC" w:rsidRPr="00122856">
        <w:rPr>
          <w:lang w:val="fr-FR"/>
        </w:rPr>
        <w:t xml:space="preserve"> (</w:t>
      </w:r>
      <w:hyperlink r:id="rId24" w:history="1">
        <w:r w:rsidR="007C6F02" w:rsidRPr="00122856">
          <w:rPr>
            <w:rStyle w:val="Hyperlink"/>
            <w:lang w:val="fr-FR"/>
          </w:rPr>
          <w:t>ré</w:t>
        </w:r>
        <w:r w:rsidR="00C340BC" w:rsidRPr="00122856">
          <w:rPr>
            <w:rStyle w:val="Hyperlink"/>
            <w:lang w:val="fr-FR"/>
          </w:rPr>
          <w:t>solution 5.GA 7</w:t>
        </w:r>
      </w:hyperlink>
      <w:r w:rsidR="00EC209C" w:rsidRPr="00122856">
        <w:rPr>
          <w:lang w:val="fr-FR"/>
        </w:rPr>
        <w:t>) sera remplacé par l</w:t>
      </w:r>
      <w:r w:rsidR="006776C3" w:rsidRPr="00122856">
        <w:rPr>
          <w:lang w:val="fr-FR"/>
        </w:rPr>
        <w:t>e présent</w:t>
      </w:r>
      <w:r w:rsidR="00EC209C" w:rsidRPr="00122856">
        <w:rPr>
          <w:lang w:val="fr-FR"/>
        </w:rPr>
        <w:t xml:space="preserve"> plan une fois adopté par la sixième session de l’Assemblée générale</w:t>
      </w:r>
      <w:r w:rsidR="00C340BC" w:rsidRPr="00122856">
        <w:rPr>
          <w:lang w:val="fr-FR"/>
        </w:rPr>
        <w:t>.</w:t>
      </w:r>
    </w:p>
    <w:p w14:paraId="00FE6D71" w14:textId="15FB6D54" w:rsidR="003377B5" w:rsidRPr="00122856" w:rsidRDefault="00EC209C" w:rsidP="009E1B50">
      <w:pPr>
        <w:pStyle w:val="COMParabodytext"/>
        <w:rPr>
          <w:lang w:val="fr-FR"/>
        </w:rPr>
      </w:pPr>
      <w:r w:rsidRPr="00122856">
        <w:rPr>
          <w:lang w:val="fr-FR"/>
        </w:rPr>
        <w:t>Le montant total des fonds disponibles pour le prochain exercice financier ne p</w:t>
      </w:r>
      <w:r w:rsidR="001301AA" w:rsidRPr="00122856">
        <w:rPr>
          <w:lang w:val="fr-FR"/>
        </w:rPr>
        <w:t>eut pas</w:t>
      </w:r>
      <w:r w:rsidRPr="00122856">
        <w:rPr>
          <w:lang w:val="fr-FR"/>
        </w:rPr>
        <w:t xml:space="preserve"> être connu avant le début</w:t>
      </w:r>
      <w:r w:rsidR="00C340BC" w:rsidRPr="00122856">
        <w:rPr>
          <w:lang w:val="fr-FR"/>
        </w:rPr>
        <w:t xml:space="preserve"> 2016, </w:t>
      </w:r>
      <w:r w:rsidR="001301AA" w:rsidRPr="00122856">
        <w:rPr>
          <w:lang w:val="fr-FR"/>
        </w:rPr>
        <w:t>à l’issue de</w:t>
      </w:r>
      <w:r w:rsidR="00381003" w:rsidRPr="00122856">
        <w:rPr>
          <w:lang w:val="fr-FR"/>
        </w:rPr>
        <w:t xml:space="preserve"> </w:t>
      </w:r>
      <w:r w:rsidRPr="00122856">
        <w:rPr>
          <w:lang w:val="fr-FR"/>
        </w:rPr>
        <w:t xml:space="preserve">la clôture des comptes </w:t>
      </w:r>
      <w:r w:rsidR="00C340BC" w:rsidRPr="00122856">
        <w:rPr>
          <w:lang w:val="fr-FR"/>
        </w:rPr>
        <w:t xml:space="preserve">2015. </w:t>
      </w:r>
      <w:r w:rsidR="001301AA" w:rsidRPr="00122856">
        <w:rPr>
          <w:lang w:val="fr-FR"/>
        </w:rPr>
        <w:t>C’est pourquoi l</w:t>
      </w:r>
      <w:r w:rsidRPr="00122856">
        <w:rPr>
          <w:lang w:val="fr-FR"/>
        </w:rPr>
        <w:t>e</w:t>
      </w:r>
      <w:r w:rsidR="00C340BC" w:rsidRPr="00122856">
        <w:rPr>
          <w:lang w:val="fr-FR"/>
        </w:rPr>
        <w:t xml:space="preserve"> budget pr</w:t>
      </w:r>
      <w:r w:rsidRPr="00122856">
        <w:rPr>
          <w:lang w:val="fr-FR"/>
        </w:rPr>
        <w:t>é</w:t>
      </w:r>
      <w:r w:rsidR="00C340BC" w:rsidRPr="00122856">
        <w:rPr>
          <w:lang w:val="fr-FR"/>
        </w:rPr>
        <w:t>sent</w:t>
      </w:r>
      <w:r w:rsidRPr="00122856">
        <w:rPr>
          <w:lang w:val="fr-FR"/>
        </w:rPr>
        <w:t>é dans le projet de plan ci-dessous</w:t>
      </w:r>
      <w:r w:rsidR="00C340BC" w:rsidRPr="00122856">
        <w:rPr>
          <w:lang w:val="fr-FR"/>
        </w:rPr>
        <w:t xml:space="preserve"> </w:t>
      </w:r>
      <w:r w:rsidR="00C340BC" w:rsidRPr="006F2FBE">
        <w:rPr>
          <w:lang w:val="fr-FR"/>
        </w:rPr>
        <w:t>(</w:t>
      </w:r>
      <w:r w:rsidR="00220A26" w:rsidRPr="006F2FBE">
        <w:rPr>
          <w:lang w:val="fr-FR"/>
        </w:rPr>
        <w:t>annexe </w:t>
      </w:r>
      <w:r w:rsidR="00C340BC" w:rsidRPr="006F2FBE">
        <w:rPr>
          <w:lang w:val="fr-FR"/>
        </w:rPr>
        <w:t xml:space="preserve">I </w:t>
      </w:r>
      <w:r w:rsidRPr="006F2FBE">
        <w:rPr>
          <w:lang w:val="fr-FR"/>
        </w:rPr>
        <w:t>du présent</w:t>
      </w:r>
      <w:r w:rsidR="00C340BC" w:rsidRPr="006F2FBE">
        <w:rPr>
          <w:lang w:val="fr-FR"/>
        </w:rPr>
        <w:t xml:space="preserve"> document)</w:t>
      </w:r>
      <w:r w:rsidR="00C340BC" w:rsidRPr="00122856">
        <w:rPr>
          <w:lang w:val="fr-FR"/>
        </w:rPr>
        <w:t xml:space="preserve"> </w:t>
      </w:r>
      <w:r w:rsidRPr="00122856">
        <w:rPr>
          <w:lang w:val="fr-FR"/>
        </w:rPr>
        <w:t>est exprimé en pourcentage</w:t>
      </w:r>
      <w:r w:rsidR="00220A26" w:rsidRPr="00122856">
        <w:rPr>
          <w:lang w:val="fr-FR"/>
        </w:rPr>
        <w:t>s</w:t>
      </w:r>
      <w:r w:rsidRPr="00122856">
        <w:rPr>
          <w:lang w:val="fr-FR"/>
        </w:rPr>
        <w:t xml:space="preserve"> du montant </w:t>
      </w:r>
      <w:r w:rsidR="00C340BC" w:rsidRPr="00122856">
        <w:rPr>
          <w:lang w:val="fr-FR"/>
        </w:rPr>
        <w:t xml:space="preserve">total </w:t>
      </w:r>
      <w:r w:rsidRPr="00122856">
        <w:rPr>
          <w:lang w:val="fr-FR"/>
        </w:rPr>
        <w:t>qui pourrait être disponible</w:t>
      </w:r>
      <w:r w:rsidR="00C340BC" w:rsidRPr="00122856">
        <w:rPr>
          <w:lang w:val="fr-FR"/>
        </w:rPr>
        <w:t xml:space="preserve">. </w:t>
      </w:r>
      <w:r w:rsidR="00220A26" w:rsidRPr="00122856">
        <w:rPr>
          <w:lang w:val="fr-FR"/>
        </w:rPr>
        <w:t>En revanche</w:t>
      </w:r>
      <w:r w:rsidR="00B8611C" w:rsidRPr="00122856">
        <w:rPr>
          <w:lang w:val="fr-FR"/>
        </w:rPr>
        <w:t>, il y a une</w:t>
      </w:r>
      <w:r w:rsidR="00C340BC" w:rsidRPr="00122856">
        <w:rPr>
          <w:lang w:val="fr-FR"/>
        </w:rPr>
        <w:t xml:space="preserve"> </w:t>
      </w:r>
      <w:r w:rsidR="00FD1663" w:rsidRPr="00122856">
        <w:rPr>
          <w:lang w:val="fr-FR"/>
        </w:rPr>
        <w:t>ligne budgétaire</w:t>
      </w:r>
      <w:r w:rsidR="00C340BC" w:rsidRPr="00122856">
        <w:rPr>
          <w:lang w:val="fr-FR"/>
        </w:rPr>
        <w:t xml:space="preserve"> </w:t>
      </w:r>
      <w:r w:rsidR="00B8611C" w:rsidRPr="00122856">
        <w:rPr>
          <w:lang w:val="fr-FR"/>
        </w:rPr>
        <w:t>pour laquelle le Comité souhaitera peut-être proposer à l’</w:t>
      </w:r>
      <w:r w:rsidR="00EE57F4" w:rsidRPr="00122856">
        <w:rPr>
          <w:lang w:val="fr-FR"/>
        </w:rPr>
        <w:t>Assemblée</w:t>
      </w:r>
      <w:r w:rsidR="00B8611C" w:rsidRPr="00122856">
        <w:rPr>
          <w:lang w:val="fr-FR"/>
        </w:rPr>
        <w:t xml:space="preserve"> générale un montant plutôt qu’un pourcentage, c’est le Fonds de réserve affecté à l’assistance internationale d’urgence (voir l’a</w:t>
      </w:r>
      <w:r w:rsidR="00C340BC" w:rsidRPr="00122856">
        <w:rPr>
          <w:lang w:val="fr-FR"/>
        </w:rPr>
        <w:t xml:space="preserve">rticle 6 </w:t>
      </w:r>
      <w:r w:rsidR="00B8611C" w:rsidRPr="00122856">
        <w:rPr>
          <w:lang w:val="fr-FR"/>
        </w:rPr>
        <w:t>du Règlement financier du Fonds</w:t>
      </w:r>
      <w:r w:rsidR="00C340BC" w:rsidRPr="00122856">
        <w:rPr>
          <w:lang w:val="fr-FR"/>
        </w:rPr>
        <w:t>).</w:t>
      </w:r>
      <w:r w:rsidR="00B8611C" w:rsidRPr="00122856">
        <w:rPr>
          <w:lang w:val="fr-FR"/>
        </w:rPr>
        <w:t xml:space="preserve"> Le Fonds de réserve </w:t>
      </w:r>
      <w:r w:rsidR="00381003" w:rsidRPr="00122856">
        <w:rPr>
          <w:lang w:val="fr-FR"/>
        </w:rPr>
        <w:t xml:space="preserve">totalise actuellement </w:t>
      </w:r>
      <w:r w:rsidR="00C340BC" w:rsidRPr="00122856">
        <w:rPr>
          <w:lang w:val="fr-FR"/>
        </w:rPr>
        <w:t>975</w:t>
      </w:r>
      <w:r w:rsidR="00381003" w:rsidRPr="00122856">
        <w:rPr>
          <w:lang w:val="fr-FR"/>
        </w:rPr>
        <w:t> </w:t>
      </w:r>
      <w:r w:rsidR="00C340BC" w:rsidRPr="00122856">
        <w:rPr>
          <w:lang w:val="fr-FR"/>
        </w:rPr>
        <w:t>810</w:t>
      </w:r>
      <w:r w:rsidR="0096485B">
        <w:rPr>
          <w:lang w:val="fr-FR"/>
        </w:rPr>
        <w:t> </w:t>
      </w:r>
      <w:r w:rsidR="00381003" w:rsidRPr="00122856">
        <w:rPr>
          <w:lang w:val="fr-FR"/>
        </w:rPr>
        <w:t xml:space="preserve">dollars des </w:t>
      </w:r>
      <w:r w:rsidR="00EE57F4" w:rsidRPr="00122856">
        <w:rPr>
          <w:lang w:val="fr-FR"/>
        </w:rPr>
        <w:t>États-Unis</w:t>
      </w:r>
      <w:r w:rsidR="00C340BC" w:rsidRPr="00122856">
        <w:rPr>
          <w:lang w:val="fr-FR"/>
        </w:rPr>
        <w:t xml:space="preserve"> </w:t>
      </w:r>
      <w:r w:rsidR="00C340BC" w:rsidRPr="006F2FBE">
        <w:rPr>
          <w:lang w:val="fr-FR"/>
        </w:rPr>
        <w:t>(</w:t>
      </w:r>
      <w:r w:rsidR="00634860" w:rsidRPr="006F2FBE">
        <w:rPr>
          <w:lang w:val="fr-FR"/>
        </w:rPr>
        <w:t>annexe </w:t>
      </w:r>
      <w:r w:rsidR="00C340BC" w:rsidRPr="006F2FBE">
        <w:rPr>
          <w:lang w:val="fr-FR"/>
        </w:rPr>
        <w:t xml:space="preserve">II, </w:t>
      </w:r>
      <w:r w:rsidR="00EE57F4" w:rsidRPr="006F2FBE">
        <w:rPr>
          <w:lang w:val="fr-FR"/>
        </w:rPr>
        <w:t>État</w:t>
      </w:r>
      <w:r w:rsidR="001A3FF3" w:rsidRPr="006F2FBE">
        <w:rPr>
          <w:lang w:val="fr-FR"/>
        </w:rPr>
        <w:t xml:space="preserve"> financier</w:t>
      </w:r>
      <w:r w:rsidR="00C340BC" w:rsidRPr="006F2FBE">
        <w:rPr>
          <w:lang w:val="fr-FR"/>
        </w:rPr>
        <w:t> II)</w:t>
      </w:r>
      <w:r w:rsidR="00C340BC" w:rsidRPr="00122856">
        <w:rPr>
          <w:lang w:val="fr-FR"/>
        </w:rPr>
        <w:t>. Consid</w:t>
      </w:r>
      <w:r w:rsidR="001A3FF3" w:rsidRPr="00122856">
        <w:rPr>
          <w:lang w:val="fr-FR"/>
        </w:rPr>
        <w:t>é</w:t>
      </w:r>
      <w:r w:rsidR="00C340BC" w:rsidRPr="00122856">
        <w:rPr>
          <w:lang w:val="fr-FR"/>
        </w:rPr>
        <w:t>r</w:t>
      </w:r>
      <w:r w:rsidR="001A3FF3" w:rsidRPr="00122856">
        <w:rPr>
          <w:lang w:val="fr-FR"/>
        </w:rPr>
        <w:t>a</w:t>
      </w:r>
      <w:r w:rsidR="00C340BC" w:rsidRPr="00122856">
        <w:rPr>
          <w:lang w:val="fr-FR"/>
        </w:rPr>
        <w:t>n</w:t>
      </w:r>
      <w:r w:rsidR="001A3FF3" w:rsidRPr="00122856">
        <w:rPr>
          <w:lang w:val="fr-FR"/>
        </w:rPr>
        <w:t xml:space="preserve">t que cette réserve ne sera utilisée pour l’assistance d’urgence </w:t>
      </w:r>
      <w:r w:rsidR="001A3FF3" w:rsidRPr="00122856">
        <w:rPr>
          <w:i/>
          <w:lang w:val="fr-FR"/>
        </w:rPr>
        <w:t>que</w:t>
      </w:r>
      <w:r w:rsidR="001A3FF3" w:rsidRPr="00122856">
        <w:rPr>
          <w:lang w:val="fr-FR"/>
        </w:rPr>
        <w:t xml:space="preserve"> s’il n’y a plus de fonds disponibles au titre de la </w:t>
      </w:r>
      <w:r w:rsidR="00FD1663" w:rsidRPr="00122856">
        <w:rPr>
          <w:lang w:val="fr-FR"/>
        </w:rPr>
        <w:t>ligne budgétaire</w:t>
      </w:r>
      <w:r w:rsidR="00C340BC" w:rsidRPr="00122856">
        <w:rPr>
          <w:lang w:val="fr-FR"/>
        </w:rPr>
        <w:t xml:space="preserve"> 1, </w:t>
      </w:r>
      <w:r w:rsidR="001A3FF3" w:rsidRPr="00122856">
        <w:rPr>
          <w:lang w:val="fr-FR"/>
        </w:rPr>
        <w:t>l</w:t>
      </w:r>
      <w:r w:rsidR="00C340BC" w:rsidRPr="00122856">
        <w:rPr>
          <w:lang w:val="fr-FR"/>
        </w:rPr>
        <w:t>e Comit</w:t>
      </w:r>
      <w:r w:rsidR="001A3FF3" w:rsidRPr="00122856">
        <w:rPr>
          <w:lang w:val="fr-FR"/>
        </w:rPr>
        <w:t>é</w:t>
      </w:r>
      <w:r w:rsidR="00C340BC" w:rsidRPr="00122856">
        <w:rPr>
          <w:lang w:val="fr-FR"/>
        </w:rPr>
        <w:t xml:space="preserve"> </w:t>
      </w:r>
      <w:r w:rsidR="001A3FF3" w:rsidRPr="00122856">
        <w:rPr>
          <w:lang w:val="fr-FR"/>
        </w:rPr>
        <w:t>pourrait décider</w:t>
      </w:r>
      <w:r w:rsidR="0056271E" w:rsidRPr="00122856">
        <w:rPr>
          <w:lang w:val="fr-FR"/>
        </w:rPr>
        <w:t xml:space="preserve"> de n’y transférer que le montant nécessaire pour atteindre </w:t>
      </w:r>
      <w:r w:rsidR="00C340BC" w:rsidRPr="00122856">
        <w:rPr>
          <w:lang w:val="fr-FR"/>
        </w:rPr>
        <w:t>1</w:t>
      </w:r>
      <w:r w:rsidR="0056271E" w:rsidRPr="00122856">
        <w:rPr>
          <w:lang w:val="fr-FR"/>
        </w:rPr>
        <w:t> </w:t>
      </w:r>
      <w:r w:rsidR="00C340BC" w:rsidRPr="00122856">
        <w:rPr>
          <w:lang w:val="fr-FR"/>
        </w:rPr>
        <w:t>million</w:t>
      </w:r>
      <w:r w:rsidR="0056271E" w:rsidRPr="00122856">
        <w:rPr>
          <w:lang w:val="fr-FR"/>
        </w:rPr>
        <w:t xml:space="preserve"> de dollars des </w:t>
      </w:r>
      <w:r w:rsidR="00EE57F4" w:rsidRPr="00122856">
        <w:rPr>
          <w:lang w:val="fr-FR"/>
        </w:rPr>
        <w:t>États-Unis</w:t>
      </w:r>
      <w:r w:rsidR="0056271E" w:rsidRPr="00122856">
        <w:rPr>
          <w:lang w:val="fr-FR"/>
        </w:rPr>
        <w:t xml:space="preserve"> et de ne pas effectuer d’autres paiements tant que ce niveau sera mainten</w:t>
      </w:r>
      <w:r w:rsidR="002E0BF5" w:rsidRPr="00122856">
        <w:rPr>
          <w:lang w:val="fr-FR"/>
        </w:rPr>
        <w:t>u</w:t>
      </w:r>
      <w:r w:rsidR="00C340BC" w:rsidRPr="00122856">
        <w:rPr>
          <w:lang w:val="fr-FR"/>
        </w:rPr>
        <w:t xml:space="preserve">. </w:t>
      </w:r>
      <w:r w:rsidR="0056271E" w:rsidRPr="00122856">
        <w:rPr>
          <w:lang w:val="fr-FR"/>
        </w:rPr>
        <w:t>Le</w:t>
      </w:r>
      <w:r w:rsidR="00C340BC" w:rsidRPr="00122856">
        <w:rPr>
          <w:lang w:val="fr-FR"/>
        </w:rPr>
        <w:t xml:space="preserve"> document </w:t>
      </w:r>
      <w:r w:rsidR="0056271E" w:rsidRPr="00122856">
        <w:rPr>
          <w:lang w:val="fr-FR"/>
        </w:rPr>
        <w:t>à soumettre à l’Assemblée général précisera les montants alloués à chaque fin</w:t>
      </w:r>
      <w:r w:rsidR="00C340BC" w:rsidRPr="00122856">
        <w:rPr>
          <w:lang w:val="fr-FR"/>
        </w:rPr>
        <w:t xml:space="preserve">. </w:t>
      </w:r>
      <w:r w:rsidR="0056271E" w:rsidRPr="00122856">
        <w:rPr>
          <w:lang w:val="fr-FR"/>
        </w:rPr>
        <w:t xml:space="preserve">Comme cela a été le cas </w:t>
      </w:r>
      <w:r w:rsidR="00634860" w:rsidRPr="00122856">
        <w:rPr>
          <w:lang w:val="fr-FR"/>
        </w:rPr>
        <w:t>pour le</w:t>
      </w:r>
      <w:r w:rsidR="0056271E" w:rsidRPr="00122856">
        <w:rPr>
          <w:lang w:val="fr-FR"/>
        </w:rPr>
        <w:t xml:space="preserve"> plan actuel</w:t>
      </w:r>
      <w:r w:rsidR="00C340BC" w:rsidRPr="00122856">
        <w:rPr>
          <w:lang w:val="fr-FR"/>
        </w:rPr>
        <w:t xml:space="preserve">, </w:t>
      </w:r>
      <w:r w:rsidR="0056271E" w:rsidRPr="00122856">
        <w:rPr>
          <w:lang w:val="fr-FR"/>
        </w:rPr>
        <w:t>l</w:t>
      </w:r>
      <w:r w:rsidR="00C340BC" w:rsidRPr="00122856">
        <w:rPr>
          <w:lang w:val="fr-FR"/>
        </w:rPr>
        <w:t>e Comit</w:t>
      </w:r>
      <w:r w:rsidR="0056271E" w:rsidRPr="00122856">
        <w:rPr>
          <w:lang w:val="fr-FR"/>
        </w:rPr>
        <w:t xml:space="preserve">é souhaitera peut-être proposer </w:t>
      </w:r>
      <w:r w:rsidR="00F97911" w:rsidRPr="00122856">
        <w:rPr>
          <w:lang w:val="fr-FR"/>
        </w:rPr>
        <w:t>d’allouer provisoirement au premier semestre 2018 u</w:t>
      </w:r>
      <w:r w:rsidR="00C340BC" w:rsidRPr="00122856">
        <w:rPr>
          <w:lang w:val="fr-FR"/>
        </w:rPr>
        <w:t xml:space="preserve">n </w:t>
      </w:r>
      <w:r w:rsidR="00F97911" w:rsidRPr="00122856">
        <w:rPr>
          <w:lang w:val="fr-FR"/>
        </w:rPr>
        <w:t>quart du montant fixé pour l</w:t>
      </w:r>
      <w:r w:rsidR="00FD26C5" w:rsidRPr="00122856">
        <w:rPr>
          <w:lang w:val="fr-FR"/>
        </w:rPr>
        <w:t>a période de deux ans allant</w:t>
      </w:r>
      <w:r w:rsidR="00F97911" w:rsidRPr="00122856">
        <w:rPr>
          <w:lang w:val="fr-FR"/>
        </w:rPr>
        <w:t xml:space="preserve"> du </w:t>
      </w:r>
      <w:r w:rsidR="00C340BC" w:rsidRPr="00122856">
        <w:rPr>
          <w:lang w:val="fr-FR"/>
        </w:rPr>
        <w:t>1</w:t>
      </w:r>
      <w:r w:rsidR="00F97911" w:rsidRPr="00122856">
        <w:rPr>
          <w:vertAlign w:val="superscript"/>
          <w:lang w:val="fr-FR"/>
        </w:rPr>
        <w:t>er</w:t>
      </w:r>
      <w:r w:rsidR="00F97911" w:rsidRPr="00122856">
        <w:rPr>
          <w:lang w:val="fr-FR"/>
        </w:rPr>
        <w:t xml:space="preserve"> janvier</w:t>
      </w:r>
      <w:r w:rsidR="00C340BC" w:rsidRPr="00122856">
        <w:rPr>
          <w:lang w:val="fr-FR"/>
        </w:rPr>
        <w:t xml:space="preserve"> 2016 </w:t>
      </w:r>
      <w:r w:rsidR="00F97911" w:rsidRPr="00122856">
        <w:rPr>
          <w:lang w:val="fr-FR"/>
        </w:rPr>
        <w:t>au 31 décembre</w:t>
      </w:r>
      <w:r w:rsidR="00C340BC" w:rsidRPr="00122856">
        <w:rPr>
          <w:lang w:val="fr-FR"/>
        </w:rPr>
        <w:t> 2017.</w:t>
      </w:r>
    </w:p>
    <w:p w14:paraId="3BB93A07" w14:textId="673650D2" w:rsidR="003377B5" w:rsidRPr="00122856" w:rsidRDefault="00C340BC" w:rsidP="009E1B50">
      <w:pPr>
        <w:pStyle w:val="COMParabodytext"/>
        <w:rPr>
          <w:lang w:val="fr-FR"/>
        </w:rPr>
      </w:pPr>
      <w:r w:rsidRPr="00122856">
        <w:rPr>
          <w:lang w:val="fr-FR"/>
        </w:rPr>
        <w:t>I</w:t>
      </w:r>
      <w:r w:rsidR="00F97911" w:rsidRPr="00122856">
        <w:rPr>
          <w:lang w:val="fr-FR"/>
        </w:rPr>
        <w:t>l est par conséquent proposé que le Comité soumette</w:t>
      </w:r>
      <w:r w:rsidR="00634860" w:rsidRPr="00122856">
        <w:rPr>
          <w:lang w:val="fr-FR"/>
        </w:rPr>
        <w:t xml:space="preserve"> à</w:t>
      </w:r>
      <w:r w:rsidR="00F97911" w:rsidRPr="00122856">
        <w:rPr>
          <w:lang w:val="fr-FR"/>
        </w:rPr>
        <w:t xml:space="preserve"> l’Assemblée général un plan de dépenses basé sur le montant total des </w:t>
      </w:r>
      <w:r w:rsidR="00E420FC" w:rsidRPr="00122856">
        <w:rPr>
          <w:lang w:val="fr-FR"/>
        </w:rPr>
        <w:t>crédits à utilisation non restreinte et non utilisés disponible</w:t>
      </w:r>
      <w:r w:rsidR="00B241D1" w:rsidRPr="00122856">
        <w:rPr>
          <w:lang w:val="fr-FR"/>
        </w:rPr>
        <w:t>s</w:t>
      </w:r>
      <w:r w:rsidR="00E420FC" w:rsidRPr="00122856">
        <w:rPr>
          <w:lang w:val="fr-FR"/>
        </w:rPr>
        <w:t xml:space="preserve"> au 31 décembre</w:t>
      </w:r>
      <w:r w:rsidRPr="00122856">
        <w:rPr>
          <w:lang w:val="fr-FR"/>
        </w:rPr>
        <w:t xml:space="preserve"> 2015. </w:t>
      </w:r>
      <w:r w:rsidR="00E420FC" w:rsidRPr="00122856">
        <w:rPr>
          <w:lang w:val="fr-FR"/>
        </w:rPr>
        <w:t>Ce total exclut trois types de crédits à utilisation restr</w:t>
      </w:r>
      <w:r w:rsidR="00D83C28" w:rsidRPr="00122856">
        <w:rPr>
          <w:lang w:val="fr-FR"/>
        </w:rPr>
        <w:t>e</w:t>
      </w:r>
      <w:r w:rsidR="00E420FC" w:rsidRPr="00122856">
        <w:rPr>
          <w:lang w:val="fr-FR"/>
        </w:rPr>
        <w:t>inte </w:t>
      </w:r>
      <w:r w:rsidRPr="00122856">
        <w:rPr>
          <w:lang w:val="fr-FR"/>
        </w:rPr>
        <w:t xml:space="preserve">: </w:t>
      </w:r>
      <w:r w:rsidR="00E420FC" w:rsidRPr="00122856">
        <w:rPr>
          <w:lang w:val="fr-FR"/>
        </w:rPr>
        <w:t>premièrement</w:t>
      </w:r>
      <w:r w:rsidR="00B241D1" w:rsidRPr="00122856">
        <w:rPr>
          <w:lang w:val="fr-FR"/>
        </w:rPr>
        <w:t>,</w:t>
      </w:r>
      <w:r w:rsidR="00E420FC" w:rsidRPr="00122856">
        <w:rPr>
          <w:lang w:val="fr-FR"/>
        </w:rPr>
        <w:t xml:space="preserve"> le Fonds de réserve susmentionné</w:t>
      </w:r>
      <w:r w:rsidR="00B241D1" w:rsidRPr="00122856">
        <w:rPr>
          <w:lang w:val="fr-FR"/>
        </w:rPr>
        <w:t> </w:t>
      </w:r>
      <w:r w:rsidR="00E420FC" w:rsidRPr="00122856">
        <w:rPr>
          <w:lang w:val="fr-FR"/>
        </w:rPr>
        <w:t>; deuxièmement</w:t>
      </w:r>
      <w:r w:rsidR="00B241D1" w:rsidRPr="00122856">
        <w:rPr>
          <w:lang w:val="fr-FR"/>
        </w:rPr>
        <w:t>,</w:t>
      </w:r>
      <w:r w:rsidR="00E420FC" w:rsidRPr="00122856">
        <w:rPr>
          <w:lang w:val="fr-FR"/>
        </w:rPr>
        <w:t xml:space="preserve"> les contributions </w:t>
      </w:r>
      <w:r w:rsidR="00D83C28" w:rsidRPr="00122856">
        <w:rPr>
          <w:lang w:val="fr-FR"/>
        </w:rPr>
        <w:t>affectées à des fins spécifiques se rapportant à des projets déterminés</w:t>
      </w:r>
      <w:r w:rsidRPr="00122856">
        <w:rPr>
          <w:lang w:val="fr-FR"/>
        </w:rPr>
        <w:t xml:space="preserve"> (</w:t>
      </w:r>
      <w:r w:rsidR="00D83C28" w:rsidRPr="00122856">
        <w:rPr>
          <w:lang w:val="fr-FR"/>
        </w:rPr>
        <w:t>voir l’a</w:t>
      </w:r>
      <w:r w:rsidRPr="00122856">
        <w:rPr>
          <w:lang w:val="fr-FR"/>
        </w:rPr>
        <w:t xml:space="preserve">rticle 25.5 </w:t>
      </w:r>
      <w:r w:rsidR="00D83C28" w:rsidRPr="00122856">
        <w:rPr>
          <w:lang w:val="fr-FR"/>
        </w:rPr>
        <w:t xml:space="preserve">de la </w:t>
      </w:r>
      <w:r w:rsidRPr="00122856">
        <w:rPr>
          <w:lang w:val="fr-FR"/>
        </w:rPr>
        <w:t>Convention)</w:t>
      </w:r>
      <w:r w:rsidR="00D83C28" w:rsidRPr="00122856">
        <w:rPr>
          <w:lang w:val="fr-FR"/>
        </w:rPr>
        <w:t> </w:t>
      </w:r>
      <w:r w:rsidRPr="00122856">
        <w:rPr>
          <w:lang w:val="fr-FR"/>
        </w:rPr>
        <w:t xml:space="preserve">; </w:t>
      </w:r>
      <w:r w:rsidR="00D83C28" w:rsidRPr="00122856">
        <w:rPr>
          <w:lang w:val="fr-FR"/>
        </w:rPr>
        <w:t>troisièmement</w:t>
      </w:r>
      <w:r w:rsidR="00B241D1" w:rsidRPr="00122856">
        <w:rPr>
          <w:lang w:val="fr-FR"/>
        </w:rPr>
        <w:t>,</w:t>
      </w:r>
      <w:r w:rsidR="00D83C28" w:rsidRPr="00122856">
        <w:rPr>
          <w:lang w:val="fr-FR"/>
        </w:rPr>
        <w:t xml:space="preserve"> le sous-fonds </w:t>
      </w:r>
      <w:r w:rsidR="00B241D1" w:rsidRPr="00122856">
        <w:rPr>
          <w:lang w:val="fr-FR"/>
        </w:rPr>
        <w:t>destiné</w:t>
      </w:r>
      <w:r w:rsidR="00D83C28" w:rsidRPr="00122856">
        <w:rPr>
          <w:lang w:val="fr-FR"/>
        </w:rPr>
        <w:t xml:space="preserve"> exclusivement </w:t>
      </w:r>
      <w:r w:rsidR="00B241D1" w:rsidRPr="00122856">
        <w:rPr>
          <w:lang w:val="fr-FR"/>
        </w:rPr>
        <w:t>au</w:t>
      </w:r>
      <w:r w:rsidR="00D83C28" w:rsidRPr="00122856">
        <w:rPr>
          <w:lang w:val="fr-FR"/>
        </w:rPr>
        <w:t xml:space="preserve"> renforce</w:t>
      </w:r>
      <w:r w:rsidR="00B241D1" w:rsidRPr="00122856">
        <w:rPr>
          <w:lang w:val="fr-FR"/>
        </w:rPr>
        <w:t>ment d</w:t>
      </w:r>
      <w:r w:rsidR="00D83C28" w:rsidRPr="00122856">
        <w:rPr>
          <w:lang w:val="fr-FR"/>
        </w:rPr>
        <w:t xml:space="preserve">es capacités humaines du </w:t>
      </w:r>
      <w:r w:rsidRPr="00122856">
        <w:rPr>
          <w:lang w:val="fr-FR"/>
        </w:rPr>
        <w:t>Secr</w:t>
      </w:r>
      <w:r w:rsidR="00D83C28" w:rsidRPr="00122856">
        <w:rPr>
          <w:lang w:val="fr-FR"/>
        </w:rPr>
        <w:t>é</w:t>
      </w:r>
      <w:r w:rsidRPr="00122856">
        <w:rPr>
          <w:lang w:val="fr-FR"/>
        </w:rPr>
        <w:t xml:space="preserve">tariat, </w:t>
      </w:r>
      <w:r w:rsidR="00D83C28" w:rsidRPr="00122856">
        <w:rPr>
          <w:lang w:val="fr-FR"/>
        </w:rPr>
        <w:t>conformément à la ré</w:t>
      </w:r>
      <w:r w:rsidRPr="00122856">
        <w:rPr>
          <w:lang w:val="fr-FR"/>
        </w:rPr>
        <w:t>solution 3.GA 9.</w:t>
      </w:r>
      <w:r w:rsidR="004E50B6">
        <w:rPr>
          <w:lang w:val="fr-FR"/>
        </w:rPr>
        <w:t xml:space="preserve"> </w:t>
      </w:r>
      <w:r w:rsidR="0062753F">
        <w:rPr>
          <w:lang w:val="fr-FR"/>
        </w:rPr>
        <w:t>La Section du patrimoine culturel immatériel</w:t>
      </w:r>
      <w:r w:rsidRPr="00122856">
        <w:rPr>
          <w:lang w:val="fr-FR"/>
        </w:rPr>
        <w:t xml:space="preserve"> estime</w:t>
      </w:r>
      <w:r w:rsidR="00B46ECA" w:rsidRPr="00122856">
        <w:rPr>
          <w:lang w:val="fr-FR"/>
        </w:rPr>
        <w:t xml:space="preserve"> que le solde des crédits à utilisation non </w:t>
      </w:r>
      <w:r w:rsidR="00EE57F4" w:rsidRPr="00122856">
        <w:rPr>
          <w:lang w:val="fr-FR"/>
        </w:rPr>
        <w:t>restreinte</w:t>
      </w:r>
      <w:r w:rsidR="00B46ECA" w:rsidRPr="00122856">
        <w:rPr>
          <w:lang w:val="fr-FR"/>
        </w:rPr>
        <w:t xml:space="preserve"> et non utilisés au 31</w:t>
      </w:r>
      <w:r w:rsidR="00634860" w:rsidRPr="00122856">
        <w:rPr>
          <w:lang w:val="fr-FR"/>
        </w:rPr>
        <w:t> </w:t>
      </w:r>
      <w:r w:rsidR="00B46ECA" w:rsidRPr="00122856">
        <w:rPr>
          <w:lang w:val="fr-FR"/>
        </w:rPr>
        <w:t>décembre</w:t>
      </w:r>
      <w:r w:rsidRPr="00122856">
        <w:rPr>
          <w:lang w:val="fr-FR"/>
        </w:rPr>
        <w:t xml:space="preserve"> 2015 </w:t>
      </w:r>
      <w:r w:rsidR="00B46ECA" w:rsidRPr="00122856">
        <w:rPr>
          <w:lang w:val="fr-FR"/>
        </w:rPr>
        <w:t xml:space="preserve">sera d’environ </w:t>
      </w:r>
      <w:r w:rsidRPr="006F2FBE">
        <w:rPr>
          <w:lang w:val="fr-FR"/>
        </w:rPr>
        <w:t>7</w:t>
      </w:r>
      <w:r w:rsidR="00B46ECA" w:rsidRPr="006F2FBE">
        <w:rPr>
          <w:lang w:val="fr-FR"/>
        </w:rPr>
        <w:t>,</w:t>
      </w:r>
      <w:r w:rsidRPr="006F2FBE">
        <w:rPr>
          <w:lang w:val="fr-FR"/>
        </w:rPr>
        <w:t>68 million</w:t>
      </w:r>
      <w:r w:rsidR="00B46ECA" w:rsidRPr="00122856">
        <w:rPr>
          <w:lang w:val="fr-FR"/>
        </w:rPr>
        <w:t xml:space="preserve">s de dollars des </w:t>
      </w:r>
      <w:r w:rsidR="00EE57F4" w:rsidRPr="00122856">
        <w:rPr>
          <w:lang w:val="fr-FR"/>
        </w:rPr>
        <w:t>États-Unis</w:t>
      </w:r>
      <w:r w:rsidRPr="00122856">
        <w:rPr>
          <w:rStyle w:val="FootnoteReference"/>
          <w:bCs/>
          <w:lang w:val="fr-FR"/>
        </w:rPr>
        <w:footnoteReference w:id="6"/>
      </w:r>
      <w:r w:rsidRPr="00122856">
        <w:rPr>
          <w:lang w:val="fr-FR"/>
        </w:rPr>
        <w:t>.</w:t>
      </w:r>
    </w:p>
    <w:p w14:paraId="4BF3FE4D" w14:textId="7031EACB" w:rsidR="003377B5" w:rsidRDefault="004D66AB" w:rsidP="009E1B50">
      <w:pPr>
        <w:pStyle w:val="COMParabodytext"/>
        <w:rPr>
          <w:lang w:val="fr-FR"/>
        </w:rPr>
      </w:pPr>
      <w:r w:rsidRPr="00122856">
        <w:rPr>
          <w:lang w:val="fr-FR"/>
        </w:rPr>
        <w:t xml:space="preserve">Comparé au plan actuel d’utilisation des ressources du Fonds, les lignes budgétaires restent essentiellement identiques dans leur portée. Afin d’absorber les 5 % normalement versés au Fonds de réserve, il est proposé d’augmenter la ligne budgétaire 1 </w:t>
      </w:r>
      <w:r w:rsidR="00D946CB" w:rsidRPr="00122856">
        <w:rPr>
          <w:lang w:val="fr-FR"/>
        </w:rPr>
        <w:t xml:space="preserve">affectée à l’assistance internationale </w:t>
      </w:r>
      <w:r w:rsidR="00DF12E2" w:rsidRPr="00122856">
        <w:rPr>
          <w:lang w:val="fr-FR"/>
        </w:rPr>
        <w:t>et de</w:t>
      </w:r>
      <w:r w:rsidR="00D946CB" w:rsidRPr="00122856">
        <w:rPr>
          <w:lang w:val="fr-FR"/>
        </w:rPr>
        <w:t xml:space="preserve"> la porter à </w:t>
      </w:r>
      <w:r w:rsidRPr="00122856">
        <w:rPr>
          <w:lang w:val="fr-FR"/>
        </w:rPr>
        <w:t>59</w:t>
      </w:r>
      <w:r w:rsidR="00D946CB" w:rsidRPr="00122856">
        <w:rPr>
          <w:lang w:val="fr-FR"/>
        </w:rPr>
        <w:t> </w:t>
      </w:r>
      <w:r w:rsidRPr="00122856">
        <w:rPr>
          <w:lang w:val="fr-FR"/>
        </w:rPr>
        <w:t>%.</w:t>
      </w:r>
      <w:r w:rsidR="00D946CB" w:rsidRPr="00122856">
        <w:rPr>
          <w:lang w:val="fr-FR"/>
        </w:rPr>
        <w:t xml:space="preserve"> </w:t>
      </w:r>
      <w:r w:rsidRPr="00122856">
        <w:rPr>
          <w:lang w:val="fr-FR"/>
        </w:rPr>
        <w:t>Étant donné que le solde prévu qui servira de base au plan doit augmenter</w:t>
      </w:r>
      <w:r w:rsidR="00D946CB" w:rsidRPr="00122856">
        <w:rPr>
          <w:lang w:val="fr-FR"/>
        </w:rPr>
        <w:t xml:space="preserve"> d’environ 20 %</w:t>
      </w:r>
      <w:r w:rsidRPr="00122856">
        <w:rPr>
          <w:lang w:val="fr-FR"/>
        </w:rPr>
        <w:t xml:space="preserve">, les allocations en valeur absolue de toutes les lignes budgétaires </w:t>
      </w:r>
      <w:r w:rsidR="00FC2683">
        <w:rPr>
          <w:lang w:val="fr-FR"/>
        </w:rPr>
        <w:t xml:space="preserve">sauf une </w:t>
      </w:r>
      <w:r w:rsidRPr="00122856">
        <w:rPr>
          <w:lang w:val="fr-FR"/>
        </w:rPr>
        <w:t>seront augmentées</w:t>
      </w:r>
      <w:r w:rsidR="00FC2683">
        <w:rPr>
          <w:lang w:val="fr-FR"/>
        </w:rPr>
        <w:t>,</w:t>
      </w:r>
      <w:r w:rsidRPr="00122856">
        <w:rPr>
          <w:lang w:val="fr-FR"/>
        </w:rPr>
        <w:t xml:space="preserve"> même </w:t>
      </w:r>
      <w:r w:rsidR="00FC2683">
        <w:rPr>
          <w:lang w:val="fr-FR"/>
        </w:rPr>
        <w:t>lorsque</w:t>
      </w:r>
      <w:r w:rsidR="00FC2683" w:rsidRPr="00122856">
        <w:rPr>
          <w:lang w:val="fr-FR"/>
        </w:rPr>
        <w:t xml:space="preserve"> </w:t>
      </w:r>
      <w:r w:rsidRPr="00122856">
        <w:rPr>
          <w:lang w:val="fr-FR"/>
        </w:rPr>
        <w:t xml:space="preserve">leur pourcentage </w:t>
      </w:r>
      <w:r w:rsidR="002E0BF5" w:rsidRPr="00122856">
        <w:rPr>
          <w:lang w:val="fr-FR"/>
        </w:rPr>
        <w:t>reste inchangé</w:t>
      </w:r>
      <w:r w:rsidR="00C340BC" w:rsidRPr="00122856">
        <w:rPr>
          <w:lang w:val="fr-FR"/>
        </w:rPr>
        <w:t>.</w:t>
      </w:r>
    </w:p>
    <w:p w14:paraId="6A6FBA85" w14:textId="78488F75" w:rsidR="003377B5" w:rsidRPr="00122856" w:rsidRDefault="002E0BF5" w:rsidP="009E1B50">
      <w:pPr>
        <w:pStyle w:val="COMParabodytext"/>
        <w:rPr>
          <w:lang w:val="fr-FR"/>
        </w:rPr>
      </w:pPr>
      <w:r w:rsidRPr="00122856">
        <w:rPr>
          <w:bCs/>
          <w:lang w:val="fr-FR"/>
        </w:rPr>
        <w:t>Conformément aux priorités définies par les Orientations pour l’utilisation des ressources du Fonds, au chapitre II.1 des Directives opérationnelles, il est à nouveau proposé que la majorité des ressources soit affectée à l’octroi d</w:t>
      </w:r>
      <w:r w:rsidR="0031613D" w:rsidRPr="00122856">
        <w:rPr>
          <w:bCs/>
          <w:lang w:val="fr-FR"/>
        </w:rPr>
        <w:t>’une</w:t>
      </w:r>
      <w:r w:rsidR="00F21399" w:rsidRPr="00122856">
        <w:rPr>
          <w:bCs/>
          <w:lang w:val="fr-FR"/>
        </w:rPr>
        <w:t xml:space="preserve"> </w:t>
      </w:r>
      <w:r w:rsidRPr="00122856">
        <w:rPr>
          <w:bCs/>
          <w:lang w:val="fr-FR"/>
        </w:rPr>
        <w:t>assistance internationale (</w:t>
      </w:r>
      <w:r w:rsidRPr="00122856">
        <w:rPr>
          <w:b/>
          <w:bCs/>
          <w:lang w:val="fr-FR"/>
        </w:rPr>
        <w:t xml:space="preserve">ligne </w:t>
      </w:r>
      <w:r w:rsidR="00AB43B9" w:rsidRPr="00122856">
        <w:rPr>
          <w:b/>
          <w:bCs/>
          <w:lang w:val="fr-FR"/>
        </w:rPr>
        <w:t>budgétaire </w:t>
      </w:r>
      <w:r w:rsidRPr="00122856">
        <w:rPr>
          <w:b/>
          <w:bCs/>
          <w:lang w:val="fr-FR"/>
        </w:rPr>
        <w:t>1</w:t>
      </w:r>
      <w:r w:rsidRPr="00122856">
        <w:rPr>
          <w:bCs/>
          <w:lang w:val="fr-FR"/>
        </w:rPr>
        <w:t xml:space="preserve">, </w:t>
      </w:r>
      <w:r w:rsidRPr="006F2FBE">
        <w:rPr>
          <w:lang w:val="fr-FR"/>
        </w:rPr>
        <w:t>59%</w:t>
      </w:r>
      <w:r w:rsidRPr="00122856">
        <w:rPr>
          <w:lang w:val="fr-FR"/>
        </w:rPr>
        <w:t>)</w:t>
      </w:r>
      <w:r w:rsidRPr="00122856">
        <w:rPr>
          <w:bCs/>
          <w:lang w:val="fr-FR"/>
        </w:rPr>
        <w:t xml:space="preserve"> </w:t>
      </w:r>
      <w:r w:rsidR="00F21399" w:rsidRPr="00122856">
        <w:rPr>
          <w:bCs/>
          <w:lang w:val="fr-FR"/>
        </w:rPr>
        <w:t xml:space="preserve">aux </w:t>
      </w:r>
      <w:r w:rsidR="00AB43B9" w:rsidRPr="00122856">
        <w:rPr>
          <w:bCs/>
          <w:lang w:val="fr-FR"/>
        </w:rPr>
        <w:t>États parties</w:t>
      </w:r>
      <w:r w:rsidR="00F21399" w:rsidRPr="00122856">
        <w:rPr>
          <w:bCs/>
          <w:lang w:val="fr-FR"/>
        </w:rPr>
        <w:t xml:space="preserve"> </w:t>
      </w:r>
      <w:r w:rsidRPr="00122856">
        <w:rPr>
          <w:bCs/>
          <w:lang w:val="fr-FR"/>
        </w:rPr>
        <w:t>pour</w:t>
      </w:r>
      <w:r w:rsidR="00F21399" w:rsidRPr="00122856">
        <w:rPr>
          <w:bCs/>
          <w:lang w:val="fr-FR"/>
        </w:rPr>
        <w:t xml:space="preserve"> compléter </w:t>
      </w:r>
      <w:r w:rsidR="00F939BA" w:rsidRPr="00122856">
        <w:rPr>
          <w:bCs/>
          <w:lang w:val="fr-FR"/>
        </w:rPr>
        <w:t>les efforts nationaux de sauvegarde du patrimoine culturel immatériel</w:t>
      </w:r>
      <w:r w:rsidR="00C340BC" w:rsidRPr="00122856">
        <w:rPr>
          <w:lang w:val="fr-FR"/>
        </w:rPr>
        <w:t xml:space="preserve">. </w:t>
      </w:r>
      <w:r w:rsidR="00F939BA" w:rsidRPr="00122856">
        <w:rPr>
          <w:lang w:val="fr-FR"/>
        </w:rPr>
        <w:t xml:space="preserve">Bien que les fonds disponibles au titre de cette ligne aient été </w:t>
      </w:r>
      <w:r w:rsidR="0031613D" w:rsidRPr="00122856">
        <w:rPr>
          <w:lang w:val="fr-FR"/>
        </w:rPr>
        <w:t xml:space="preserve">jusqu’à présent </w:t>
      </w:r>
      <w:r w:rsidR="00F939BA" w:rsidRPr="00122856">
        <w:rPr>
          <w:lang w:val="fr-FR"/>
        </w:rPr>
        <w:t xml:space="preserve">largement sous-utilisés, le </w:t>
      </w:r>
      <w:r w:rsidR="00C340BC" w:rsidRPr="00122856">
        <w:rPr>
          <w:lang w:val="fr-FR"/>
        </w:rPr>
        <w:t>Secr</w:t>
      </w:r>
      <w:r w:rsidR="00F939BA" w:rsidRPr="00122856">
        <w:rPr>
          <w:lang w:val="fr-FR"/>
        </w:rPr>
        <w:t>é</w:t>
      </w:r>
      <w:r w:rsidR="00C340BC" w:rsidRPr="00122856">
        <w:rPr>
          <w:lang w:val="fr-FR"/>
        </w:rPr>
        <w:t xml:space="preserve">tariat </w:t>
      </w:r>
      <w:r w:rsidR="00F939BA" w:rsidRPr="00122856">
        <w:rPr>
          <w:lang w:val="fr-FR"/>
        </w:rPr>
        <w:t>a l’</w:t>
      </w:r>
      <w:r w:rsidR="00C340BC" w:rsidRPr="00122856">
        <w:rPr>
          <w:lang w:val="fr-FR"/>
        </w:rPr>
        <w:t>inten</w:t>
      </w:r>
      <w:r w:rsidR="00F939BA" w:rsidRPr="00122856">
        <w:rPr>
          <w:lang w:val="fr-FR"/>
        </w:rPr>
        <w:t xml:space="preserve">tion d’être plus </w:t>
      </w:r>
      <w:r w:rsidR="00C340BC" w:rsidRPr="00122856">
        <w:rPr>
          <w:lang w:val="fr-FR"/>
        </w:rPr>
        <w:t>proacti</w:t>
      </w:r>
      <w:r w:rsidR="00F939BA" w:rsidRPr="00122856">
        <w:rPr>
          <w:lang w:val="fr-FR"/>
        </w:rPr>
        <w:t>f</w:t>
      </w:r>
      <w:r w:rsidR="00C340BC" w:rsidRPr="00122856">
        <w:rPr>
          <w:lang w:val="fr-FR"/>
        </w:rPr>
        <w:t xml:space="preserve"> </w:t>
      </w:r>
      <w:r w:rsidR="00BB29FB" w:rsidRPr="00122856">
        <w:rPr>
          <w:lang w:val="fr-FR"/>
        </w:rPr>
        <w:t xml:space="preserve">pour fournir cette </w:t>
      </w:r>
      <w:r w:rsidR="00C340BC" w:rsidRPr="00122856">
        <w:rPr>
          <w:lang w:val="fr-FR"/>
        </w:rPr>
        <w:t xml:space="preserve">assistance </w:t>
      </w:r>
      <w:r w:rsidR="00BB29FB" w:rsidRPr="00122856">
        <w:rPr>
          <w:lang w:val="fr-FR"/>
        </w:rPr>
        <w:t xml:space="preserve">et se dit </w:t>
      </w:r>
      <w:r w:rsidR="00AB43B9" w:rsidRPr="00122856">
        <w:rPr>
          <w:lang w:val="fr-FR"/>
        </w:rPr>
        <w:t xml:space="preserve">confiant </w:t>
      </w:r>
      <w:r w:rsidR="00BB29FB" w:rsidRPr="00122856">
        <w:rPr>
          <w:lang w:val="fr-FR"/>
        </w:rPr>
        <w:t>que le taux de mise en œuvre augmentera de façon notable au cours du prochain exercice biennal</w:t>
      </w:r>
      <w:r w:rsidR="00C340BC" w:rsidRPr="00122856">
        <w:rPr>
          <w:lang w:val="fr-FR"/>
        </w:rPr>
        <w:t xml:space="preserve">. </w:t>
      </w:r>
      <w:r w:rsidR="00BB29FB" w:rsidRPr="00122856">
        <w:rPr>
          <w:lang w:val="fr-FR"/>
        </w:rPr>
        <w:t xml:space="preserve">La principale raison de cette </w:t>
      </w:r>
      <w:r w:rsidR="00AB43B9" w:rsidRPr="00122856">
        <w:rPr>
          <w:lang w:val="fr-FR"/>
        </w:rPr>
        <w:t xml:space="preserve">confiance </w:t>
      </w:r>
      <w:r w:rsidR="00BB29FB" w:rsidRPr="00122856">
        <w:rPr>
          <w:lang w:val="fr-FR"/>
        </w:rPr>
        <w:t>est le fait qu</w:t>
      </w:r>
      <w:r w:rsidR="0031613D" w:rsidRPr="00122856">
        <w:rPr>
          <w:lang w:val="fr-FR"/>
        </w:rPr>
        <w:t>e</w:t>
      </w:r>
      <w:r w:rsidR="00BB29FB" w:rsidRPr="00122856">
        <w:rPr>
          <w:lang w:val="fr-FR"/>
        </w:rPr>
        <w:t xml:space="preserve"> l’a</w:t>
      </w:r>
      <w:r w:rsidR="00C340BC" w:rsidRPr="00122856">
        <w:rPr>
          <w:lang w:val="fr-FR"/>
        </w:rPr>
        <w:t xml:space="preserve">rticle 21 </w:t>
      </w:r>
      <w:r w:rsidR="00BB29FB" w:rsidRPr="00122856">
        <w:rPr>
          <w:lang w:val="fr-FR"/>
        </w:rPr>
        <w:t>de la</w:t>
      </w:r>
      <w:r w:rsidR="00C340BC" w:rsidRPr="00122856">
        <w:rPr>
          <w:lang w:val="fr-FR"/>
        </w:rPr>
        <w:t xml:space="preserve"> Convention </w:t>
      </w:r>
      <w:r w:rsidR="00BB29FB" w:rsidRPr="00122856">
        <w:rPr>
          <w:lang w:val="fr-FR"/>
        </w:rPr>
        <w:t xml:space="preserve">relatif aux formes d’assistance </w:t>
      </w:r>
      <w:r w:rsidR="00C340BC" w:rsidRPr="00122856">
        <w:rPr>
          <w:lang w:val="fr-FR"/>
        </w:rPr>
        <w:t>international</w:t>
      </w:r>
      <w:r w:rsidR="00BB29FB" w:rsidRPr="00122856">
        <w:rPr>
          <w:lang w:val="fr-FR"/>
        </w:rPr>
        <w:t xml:space="preserve">e a été </w:t>
      </w:r>
      <w:r w:rsidR="0031613D" w:rsidRPr="00122856">
        <w:rPr>
          <w:lang w:val="fr-FR"/>
        </w:rPr>
        <w:t xml:space="preserve">à ce jour </w:t>
      </w:r>
      <w:r w:rsidR="00BB29FB" w:rsidRPr="00122856">
        <w:rPr>
          <w:lang w:val="fr-FR"/>
        </w:rPr>
        <w:t xml:space="preserve">interprété par les </w:t>
      </w:r>
      <w:r w:rsidR="00AB43B9" w:rsidRPr="00122856">
        <w:rPr>
          <w:bCs/>
          <w:lang w:val="fr-FR"/>
        </w:rPr>
        <w:t>États</w:t>
      </w:r>
      <w:r w:rsidR="00AB43B9" w:rsidRPr="00122856">
        <w:rPr>
          <w:lang w:val="fr-FR"/>
        </w:rPr>
        <w:t xml:space="preserve"> parties</w:t>
      </w:r>
      <w:r w:rsidR="00BB29FB" w:rsidRPr="00122856">
        <w:rPr>
          <w:lang w:val="fr-FR"/>
        </w:rPr>
        <w:t xml:space="preserve"> </w:t>
      </w:r>
      <w:r w:rsidR="0031613D" w:rsidRPr="00122856">
        <w:rPr>
          <w:lang w:val="fr-FR"/>
        </w:rPr>
        <w:t>et</w:t>
      </w:r>
      <w:r w:rsidR="00BB29FB" w:rsidRPr="00122856">
        <w:rPr>
          <w:lang w:val="fr-FR"/>
        </w:rPr>
        <w:t xml:space="preserve"> par le Secrétariat de façon restrictive, uniquement dans le sens du </w:t>
      </w:r>
      <w:r w:rsidR="00EE57F4" w:rsidRPr="00122856">
        <w:rPr>
          <w:lang w:val="fr-FR"/>
        </w:rPr>
        <w:t>paragraphe</w:t>
      </w:r>
      <w:r w:rsidR="00BB29FB" w:rsidRPr="00122856">
        <w:rPr>
          <w:lang w:val="fr-FR"/>
        </w:rPr>
        <w:t xml:space="preserve"> </w:t>
      </w:r>
      <w:r w:rsidR="00C340BC" w:rsidRPr="00122856">
        <w:rPr>
          <w:lang w:val="fr-FR"/>
        </w:rPr>
        <w:t xml:space="preserve">(g), </w:t>
      </w:r>
      <w:r w:rsidR="00BB29FB" w:rsidRPr="00122856">
        <w:rPr>
          <w:lang w:val="fr-FR"/>
        </w:rPr>
        <w:t xml:space="preserve">en l’occurrence l’aide financière, et en particulier l’octroi de </w:t>
      </w:r>
      <w:r w:rsidR="003253E6" w:rsidRPr="00122856">
        <w:rPr>
          <w:lang w:val="fr-FR"/>
        </w:rPr>
        <w:t>dons</w:t>
      </w:r>
      <w:r w:rsidR="00C340BC" w:rsidRPr="00122856">
        <w:rPr>
          <w:lang w:val="fr-FR"/>
        </w:rPr>
        <w:t xml:space="preserve">. </w:t>
      </w:r>
      <w:r w:rsidR="003253E6" w:rsidRPr="00122856">
        <w:rPr>
          <w:lang w:val="fr-FR"/>
        </w:rPr>
        <w:t>Or, l’a</w:t>
      </w:r>
      <w:r w:rsidR="00C340BC" w:rsidRPr="00122856">
        <w:rPr>
          <w:lang w:val="fr-FR"/>
        </w:rPr>
        <w:t xml:space="preserve">rticle 21 </w:t>
      </w:r>
      <w:r w:rsidR="003253E6" w:rsidRPr="00122856">
        <w:rPr>
          <w:lang w:val="fr-FR"/>
        </w:rPr>
        <w:t xml:space="preserve">évoque d’autres formes d’assistance, telles que </w:t>
      </w:r>
      <w:r w:rsidR="00B96D9D" w:rsidRPr="00122856">
        <w:rPr>
          <w:lang w:val="fr-FR"/>
        </w:rPr>
        <w:t>l</w:t>
      </w:r>
      <w:r w:rsidR="003253E6" w:rsidRPr="00122856">
        <w:rPr>
          <w:lang w:val="fr-FR"/>
        </w:rPr>
        <w:t xml:space="preserve">es études concernant divers aspects de la sauvegarde </w:t>
      </w:r>
      <w:r w:rsidR="00C340BC" w:rsidRPr="00122856">
        <w:rPr>
          <w:bCs/>
          <w:lang w:val="fr-FR"/>
        </w:rPr>
        <w:t>(paragraph</w:t>
      </w:r>
      <w:r w:rsidR="003253E6" w:rsidRPr="00122856">
        <w:rPr>
          <w:bCs/>
          <w:lang w:val="fr-FR"/>
        </w:rPr>
        <w:t>e</w:t>
      </w:r>
      <w:r w:rsidR="00C340BC" w:rsidRPr="00122856">
        <w:rPr>
          <w:bCs/>
          <w:lang w:val="fr-FR"/>
        </w:rPr>
        <w:t xml:space="preserve"> [a]), </w:t>
      </w:r>
      <w:r w:rsidR="003253E6" w:rsidRPr="00122856">
        <w:rPr>
          <w:bCs/>
          <w:lang w:val="fr-FR"/>
        </w:rPr>
        <w:t>la mise à disposition d’experts et de praticiens</w:t>
      </w:r>
      <w:r w:rsidR="00C340BC" w:rsidRPr="00122856">
        <w:rPr>
          <w:bCs/>
          <w:lang w:val="fr-FR"/>
        </w:rPr>
        <w:t xml:space="preserve"> (paragraph</w:t>
      </w:r>
      <w:r w:rsidR="003253E6" w:rsidRPr="00122856">
        <w:rPr>
          <w:bCs/>
          <w:lang w:val="fr-FR"/>
        </w:rPr>
        <w:t>e</w:t>
      </w:r>
      <w:r w:rsidR="00C340BC" w:rsidRPr="00122856">
        <w:rPr>
          <w:bCs/>
          <w:lang w:val="fr-FR"/>
        </w:rPr>
        <w:t xml:space="preserve"> [b]), </w:t>
      </w:r>
      <w:r w:rsidR="003253E6" w:rsidRPr="00122856">
        <w:rPr>
          <w:bCs/>
          <w:lang w:val="fr-FR"/>
        </w:rPr>
        <w:t>la formation de tous personnels nécessaires</w:t>
      </w:r>
      <w:r w:rsidR="00C340BC" w:rsidRPr="00122856">
        <w:rPr>
          <w:bCs/>
          <w:lang w:val="fr-FR"/>
        </w:rPr>
        <w:t xml:space="preserve"> (paragraph</w:t>
      </w:r>
      <w:r w:rsidR="006F5B8F" w:rsidRPr="00122856">
        <w:rPr>
          <w:bCs/>
          <w:lang w:val="fr-FR"/>
        </w:rPr>
        <w:t>e</w:t>
      </w:r>
      <w:r w:rsidR="00C340BC" w:rsidRPr="00122856">
        <w:rPr>
          <w:bCs/>
          <w:lang w:val="fr-FR"/>
        </w:rPr>
        <w:t xml:space="preserve"> [c]), </w:t>
      </w:r>
      <w:r w:rsidR="006F5B8F" w:rsidRPr="00122856">
        <w:rPr>
          <w:bCs/>
          <w:lang w:val="fr-FR"/>
        </w:rPr>
        <w:t>l’é</w:t>
      </w:r>
      <w:r w:rsidR="00C340BC" w:rsidRPr="00122856">
        <w:rPr>
          <w:bCs/>
          <w:lang w:val="fr-FR"/>
        </w:rPr>
        <w:t xml:space="preserve">laboration </w:t>
      </w:r>
      <w:r w:rsidR="006F5B8F" w:rsidRPr="00122856">
        <w:rPr>
          <w:bCs/>
          <w:lang w:val="fr-FR"/>
        </w:rPr>
        <w:t>de mesures normatives ou autres</w:t>
      </w:r>
      <w:r w:rsidR="00C340BC" w:rsidRPr="00122856">
        <w:rPr>
          <w:bCs/>
          <w:lang w:val="fr-FR"/>
        </w:rPr>
        <w:t xml:space="preserve"> (paragraph</w:t>
      </w:r>
      <w:r w:rsidR="006F5B8F" w:rsidRPr="00122856">
        <w:rPr>
          <w:bCs/>
          <w:lang w:val="fr-FR"/>
        </w:rPr>
        <w:t>e</w:t>
      </w:r>
      <w:r w:rsidR="00C340BC" w:rsidRPr="00122856">
        <w:rPr>
          <w:bCs/>
          <w:lang w:val="fr-FR"/>
        </w:rPr>
        <w:t xml:space="preserve"> [d]), </w:t>
      </w:r>
      <w:r w:rsidR="006F5B8F" w:rsidRPr="00122856">
        <w:rPr>
          <w:bCs/>
          <w:lang w:val="fr-FR"/>
        </w:rPr>
        <w:t>la création et l’exploitation d’</w:t>
      </w:r>
      <w:r w:rsidR="00C340BC" w:rsidRPr="00122856">
        <w:rPr>
          <w:bCs/>
          <w:lang w:val="fr-FR"/>
        </w:rPr>
        <w:t>infrastructures (paragraph</w:t>
      </w:r>
      <w:r w:rsidR="006F5B8F" w:rsidRPr="00122856">
        <w:rPr>
          <w:bCs/>
          <w:lang w:val="fr-FR"/>
        </w:rPr>
        <w:t>e</w:t>
      </w:r>
      <w:r w:rsidR="00C340BC" w:rsidRPr="00122856">
        <w:rPr>
          <w:bCs/>
          <w:lang w:val="fr-FR"/>
        </w:rPr>
        <w:t xml:space="preserve"> [e]) o</w:t>
      </w:r>
      <w:r w:rsidR="006F5B8F" w:rsidRPr="00122856">
        <w:rPr>
          <w:bCs/>
          <w:lang w:val="fr-FR"/>
        </w:rPr>
        <w:t xml:space="preserve">u la fourniture d’équipements et de savoir-faire </w:t>
      </w:r>
      <w:r w:rsidR="00C340BC" w:rsidRPr="00122856">
        <w:rPr>
          <w:bCs/>
          <w:lang w:val="fr-FR"/>
        </w:rPr>
        <w:t>(paragraph</w:t>
      </w:r>
      <w:r w:rsidR="006F5B8F" w:rsidRPr="00122856">
        <w:rPr>
          <w:bCs/>
          <w:lang w:val="fr-FR"/>
        </w:rPr>
        <w:t>e</w:t>
      </w:r>
      <w:r w:rsidR="00C340BC" w:rsidRPr="00122856">
        <w:rPr>
          <w:bCs/>
          <w:lang w:val="fr-FR"/>
        </w:rPr>
        <w:t xml:space="preserve"> [f]) </w:t>
      </w:r>
      <w:r w:rsidR="006F5B8F" w:rsidRPr="00122856">
        <w:rPr>
          <w:bCs/>
          <w:lang w:val="fr-FR"/>
        </w:rPr>
        <w:t xml:space="preserve">qui n’impliquent pas nécessairement un transfert de fonds, mais plutôt la fourniture par l’intermédiaire du Fonds de services </w:t>
      </w:r>
      <w:r w:rsidR="001569BB" w:rsidRPr="00122856">
        <w:rPr>
          <w:bCs/>
          <w:lang w:val="fr-FR"/>
        </w:rPr>
        <w:t>pour aider l’</w:t>
      </w:r>
      <w:r w:rsidR="00EE57F4" w:rsidRPr="00122856">
        <w:rPr>
          <w:bCs/>
          <w:lang w:val="fr-FR"/>
        </w:rPr>
        <w:t>État</w:t>
      </w:r>
      <w:r w:rsidR="001569BB" w:rsidRPr="00122856">
        <w:rPr>
          <w:bCs/>
          <w:lang w:val="fr-FR"/>
        </w:rPr>
        <w:t xml:space="preserve"> demandeur dans ses efforts de sauvegarde</w:t>
      </w:r>
      <w:r w:rsidR="00C340BC" w:rsidRPr="00122856">
        <w:rPr>
          <w:lang w:val="fr-FR"/>
        </w:rPr>
        <w:t xml:space="preserve">. </w:t>
      </w:r>
      <w:r w:rsidR="001569BB" w:rsidRPr="00122856">
        <w:rPr>
          <w:lang w:val="fr-FR"/>
        </w:rPr>
        <w:t>En prônant ces autres formes d’assistance international</w:t>
      </w:r>
      <w:r w:rsidR="00AE01CD" w:rsidRPr="00122856">
        <w:rPr>
          <w:lang w:val="fr-FR"/>
        </w:rPr>
        <w:t>e,</w:t>
      </w:r>
      <w:r w:rsidR="001569BB" w:rsidRPr="00122856">
        <w:rPr>
          <w:lang w:val="fr-FR"/>
        </w:rPr>
        <w:t xml:space="preserve"> en particulier celles </w:t>
      </w:r>
      <w:r w:rsidR="00AB43B9" w:rsidRPr="00122856">
        <w:rPr>
          <w:bCs/>
          <w:lang w:val="fr-FR"/>
        </w:rPr>
        <w:t>prévues</w:t>
      </w:r>
      <w:r w:rsidR="00AB43B9" w:rsidRPr="00122856">
        <w:rPr>
          <w:lang w:val="fr-FR"/>
        </w:rPr>
        <w:t xml:space="preserve"> </w:t>
      </w:r>
      <w:r w:rsidR="001569BB" w:rsidRPr="00122856">
        <w:rPr>
          <w:lang w:val="fr-FR"/>
        </w:rPr>
        <w:t>aux</w:t>
      </w:r>
      <w:r w:rsidR="00C340BC" w:rsidRPr="00122856">
        <w:rPr>
          <w:bCs/>
          <w:lang w:val="fr-FR"/>
        </w:rPr>
        <w:t xml:space="preserve"> paragraph</w:t>
      </w:r>
      <w:r w:rsidR="001569BB" w:rsidRPr="00122856">
        <w:rPr>
          <w:bCs/>
          <w:lang w:val="fr-FR"/>
        </w:rPr>
        <w:t>e</w:t>
      </w:r>
      <w:r w:rsidR="00C340BC" w:rsidRPr="00122856">
        <w:rPr>
          <w:bCs/>
          <w:lang w:val="fr-FR"/>
        </w:rPr>
        <w:t xml:space="preserve">s b </w:t>
      </w:r>
      <w:r w:rsidR="001569BB" w:rsidRPr="00122856">
        <w:rPr>
          <w:bCs/>
          <w:lang w:val="fr-FR"/>
        </w:rPr>
        <w:t>et</w:t>
      </w:r>
      <w:r w:rsidR="00C340BC" w:rsidRPr="00122856">
        <w:rPr>
          <w:bCs/>
          <w:lang w:val="fr-FR"/>
        </w:rPr>
        <w:t xml:space="preserve"> c,</w:t>
      </w:r>
      <w:r w:rsidR="00C340BC" w:rsidRPr="00122856">
        <w:rPr>
          <w:lang w:val="fr-FR"/>
        </w:rPr>
        <w:t xml:space="preserve"> </w:t>
      </w:r>
      <w:r w:rsidR="00AE01CD" w:rsidRPr="00122856">
        <w:rPr>
          <w:lang w:val="fr-FR"/>
        </w:rPr>
        <w:t>l</w:t>
      </w:r>
      <w:r w:rsidR="00C340BC" w:rsidRPr="00122856">
        <w:rPr>
          <w:lang w:val="fr-FR"/>
        </w:rPr>
        <w:t>e Secr</w:t>
      </w:r>
      <w:r w:rsidR="00AE01CD" w:rsidRPr="00122856">
        <w:rPr>
          <w:lang w:val="fr-FR"/>
        </w:rPr>
        <w:t>é</w:t>
      </w:r>
      <w:r w:rsidR="00C340BC" w:rsidRPr="00122856">
        <w:rPr>
          <w:lang w:val="fr-FR"/>
        </w:rPr>
        <w:t>tariat e</w:t>
      </w:r>
      <w:r w:rsidR="00AE01CD" w:rsidRPr="00122856">
        <w:rPr>
          <w:lang w:val="fr-FR"/>
        </w:rPr>
        <w:t xml:space="preserve">spère pouvoir </w:t>
      </w:r>
      <w:r w:rsidR="00B96D9D" w:rsidRPr="00122856">
        <w:rPr>
          <w:lang w:val="fr-FR"/>
        </w:rPr>
        <w:t>incit</w:t>
      </w:r>
      <w:r w:rsidR="00AE01CD" w:rsidRPr="00122856">
        <w:rPr>
          <w:lang w:val="fr-FR"/>
        </w:rPr>
        <w:t xml:space="preserve">er davantage les </w:t>
      </w:r>
      <w:r w:rsidR="00EE57F4" w:rsidRPr="00122856">
        <w:rPr>
          <w:lang w:val="fr-FR"/>
        </w:rPr>
        <w:t>pays</w:t>
      </w:r>
      <w:r w:rsidR="00AE01CD" w:rsidRPr="00122856">
        <w:rPr>
          <w:lang w:val="fr-FR"/>
        </w:rPr>
        <w:t xml:space="preserve"> à faire de</w:t>
      </w:r>
      <w:r w:rsidR="00FD6DBB" w:rsidRPr="00122856">
        <w:rPr>
          <w:lang w:val="fr-FR"/>
        </w:rPr>
        <w:t>s</w:t>
      </w:r>
      <w:r w:rsidR="00AE01CD" w:rsidRPr="00122856">
        <w:rPr>
          <w:lang w:val="fr-FR"/>
        </w:rPr>
        <w:t xml:space="preserve"> demandes et améliorer </w:t>
      </w:r>
      <w:r w:rsidR="00AB43B9" w:rsidRPr="00122856">
        <w:rPr>
          <w:lang w:val="fr-FR"/>
        </w:rPr>
        <w:t xml:space="preserve">ainsi </w:t>
      </w:r>
      <w:r w:rsidR="00AE01CD" w:rsidRPr="00122856">
        <w:rPr>
          <w:lang w:val="fr-FR"/>
        </w:rPr>
        <w:t xml:space="preserve">le </w:t>
      </w:r>
      <w:r w:rsidR="00AB43B9" w:rsidRPr="00122856">
        <w:rPr>
          <w:lang w:val="fr-FR"/>
        </w:rPr>
        <w:t xml:space="preserve">niveau </w:t>
      </w:r>
      <w:r w:rsidR="00AE01CD" w:rsidRPr="00122856">
        <w:rPr>
          <w:lang w:val="fr-FR"/>
        </w:rPr>
        <w:t>d’utilisation des crédits alloués à cet effet</w:t>
      </w:r>
      <w:r w:rsidR="00C340BC" w:rsidRPr="00122856">
        <w:rPr>
          <w:lang w:val="fr-FR"/>
        </w:rPr>
        <w:t xml:space="preserve">. </w:t>
      </w:r>
      <w:r w:rsidR="00FD6DBB" w:rsidRPr="00122856">
        <w:rPr>
          <w:lang w:val="fr-FR"/>
        </w:rPr>
        <w:t xml:space="preserve">L’amélioration espérée doit également résulter d’une plus grande utilisation du formulaire </w:t>
      </w:r>
      <w:r w:rsidR="00366645" w:rsidRPr="00122856">
        <w:rPr>
          <w:lang w:val="fr-FR"/>
        </w:rPr>
        <w:t xml:space="preserve">combiné ICH-01bis </w:t>
      </w:r>
      <w:r w:rsidR="00E408A2" w:rsidRPr="00122856">
        <w:rPr>
          <w:lang w:val="fr-FR"/>
        </w:rPr>
        <w:t>(</w:t>
      </w:r>
      <w:hyperlink r:id="rId25" w:history="1">
        <w:r w:rsidR="00E408A2" w:rsidRPr="004E50B6">
          <w:rPr>
            <w:rStyle w:val="Hyperlink"/>
            <w:lang w:val="fr-FR"/>
          </w:rPr>
          <w:t>dé</w:t>
        </w:r>
        <w:r w:rsidR="00366645" w:rsidRPr="004E50B6">
          <w:rPr>
            <w:rStyle w:val="Hyperlink"/>
            <w:lang w:val="fr-FR"/>
          </w:rPr>
          <w:t>cision 9.COM 9</w:t>
        </w:r>
      </w:hyperlink>
      <w:r w:rsidR="00366645" w:rsidRPr="00122856">
        <w:rPr>
          <w:lang w:val="fr-FR"/>
        </w:rPr>
        <w:t>)</w:t>
      </w:r>
      <w:r w:rsidR="00E408A2" w:rsidRPr="00122856">
        <w:rPr>
          <w:lang w:val="fr-FR"/>
        </w:rPr>
        <w:t xml:space="preserve"> qui permet simultanément aux États parties de proposer un élément pour inscription sur la Liste de sauvegarde urgente et de solliciter l’assistance internationale du Fonds du patrimoine culturel immatériel pour financer le plan de sauvegarde proposé</w:t>
      </w:r>
      <w:r w:rsidR="00C340BC" w:rsidRPr="00122856">
        <w:rPr>
          <w:lang w:val="fr-FR"/>
        </w:rPr>
        <w:t>.</w:t>
      </w:r>
    </w:p>
    <w:p w14:paraId="5B536565" w14:textId="61D7DDF0" w:rsidR="003377B5" w:rsidRPr="00122856" w:rsidRDefault="00E408A2" w:rsidP="009E1B50">
      <w:pPr>
        <w:pStyle w:val="COMParabodytext"/>
        <w:rPr>
          <w:lang w:val="fr-FR"/>
        </w:rPr>
      </w:pPr>
      <w:r w:rsidRPr="00122856">
        <w:rPr>
          <w:lang w:val="fr-FR"/>
        </w:rPr>
        <w:t>Il est proposé de maintenir à 5,5 % le pourcentage des crédits budgét</w:t>
      </w:r>
      <w:r w:rsidR="0052482E" w:rsidRPr="00122856">
        <w:rPr>
          <w:lang w:val="fr-FR"/>
        </w:rPr>
        <w:t>is</w:t>
      </w:r>
      <w:r w:rsidRPr="00122856">
        <w:rPr>
          <w:lang w:val="fr-FR"/>
        </w:rPr>
        <w:t xml:space="preserve">és pour </w:t>
      </w:r>
      <w:r w:rsidR="005F303F" w:rsidRPr="00122856">
        <w:rPr>
          <w:lang w:val="fr-FR"/>
        </w:rPr>
        <w:t>l’</w:t>
      </w:r>
      <w:r w:rsidR="0052482E" w:rsidRPr="00122856">
        <w:rPr>
          <w:lang w:val="fr-FR"/>
        </w:rPr>
        <w:t>octroi de l’</w:t>
      </w:r>
      <w:r w:rsidRPr="00122856">
        <w:rPr>
          <w:lang w:val="fr-FR"/>
        </w:rPr>
        <w:t>assistance préparatoire</w:t>
      </w:r>
      <w:r w:rsidR="001A32B8" w:rsidRPr="00122856">
        <w:rPr>
          <w:lang w:val="fr-FR"/>
        </w:rPr>
        <w:t xml:space="preserve"> (</w:t>
      </w:r>
      <w:r w:rsidR="00FD1663" w:rsidRPr="00122856">
        <w:rPr>
          <w:b/>
          <w:bCs/>
          <w:lang w:val="fr-FR"/>
        </w:rPr>
        <w:t>ligne budgétaire</w:t>
      </w:r>
      <w:r w:rsidR="001A32B8" w:rsidRPr="00122856">
        <w:rPr>
          <w:b/>
          <w:bCs/>
          <w:lang w:val="fr-FR"/>
        </w:rPr>
        <w:t> 2</w:t>
      </w:r>
      <w:r w:rsidR="001A32B8" w:rsidRPr="00122856">
        <w:rPr>
          <w:bCs/>
          <w:lang w:val="fr-FR"/>
        </w:rPr>
        <w:t>)</w:t>
      </w:r>
      <w:r w:rsidR="001A32B8" w:rsidRPr="00122856">
        <w:rPr>
          <w:lang w:val="fr-FR"/>
        </w:rPr>
        <w:t>.</w:t>
      </w:r>
      <w:r w:rsidR="005F303F" w:rsidRPr="00122856">
        <w:rPr>
          <w:lang w:val="fr-FR"/>
        </w:rPr>
        <w:t xml:space="preserve"> </w:t>
      </w:r>
      <w:r w:rsidR="009941C3" w:rsidRPr="00122856">
        <w:rPr>
          <w:lang w:val="fr-FR"/>
        </w:rPr>
        <w:t xml:space="preserve">En plus de l’assistance préparatoire pour les </w:t>
      </w:r>
      <w:r w:rsidR="00A03CD0" w:rsidRPr="00122856">
        <w:rPr>
          <w:lang w:val="fr-FR"/>
        </w:rPr>
        <w:t>candidatures à</w:t>
      </w:r>
      <w:r w:rsidR="009941C3" w:rsidRPr="00122856">
        <w:rPr>
          <w:lang w:val="fr-FR"/>
        </w:rPr>
        <w:t xml:space="preserve"> la Liste de sauvegarde </w:t>
      </w:r>
      <w:r w:rsidR="00EE57F4" w:rsidRPr="00122856">
        <w:rPr>
          <w:lang w:val="fr-FR"/>
        </w:rPr>
        <w:t>urgente</w:t>
      </w:r>
      <w:r w:rsidR="009941C3" w:rsidRPr="00122856">
        <w:rPr>
          <w:lang w:val="fr-FR"/>
        </w:rPr>
        <w:t xml:space="preserve"> et les propositions pour le Registre des meilleures pratiques de sauvegarde</w:t>
      </w:r>
      <w:r w:rsidR="001A32B8" w:rsidRPr="00122856">
        <w:rPr>
          <w:lang w:val="fr-FR"/>
        </w:rPr>
        <w:t xml:space="preserve">, </w:t>
      </w:r>
      <w:r w:rsidR="0052482E" w:rsidRPr="00122856">
        <w:rPr>
          <w:lang w:val="fr-FR"/>
        </w:rPr>
        <w:t>l</w:t>
      </w:r>
      <w:r w:rsidR="009941C3" w:rsidRPr="00122856">
        <w:rPr>
          <w:lang w:val="fr-FR"/>
        </w:rPr>
        <w:t xml:space="preserve">e Comité a décidé d’utiliser cette ligne pour </w:t>
      </w:r>
      <w:r w:rsidR="00A03CD0" w:rsidRPr="00122856">
        <w:rPr>
          <w:lang w:val="fr-FR"/>
        </w:rPr>
        <w:t xml:space="preserve">offrir </w:t>
      </w:r>
      <w:r w:rsidR="009941C3" w:rsidRPr="00122856">
        <w:rPr>
          <w:lang w:val="fr-FR"/>
        </w:rPr>
        <w:t xml:space="preserve">une assistance technique </w:t>
      </w:r>
      <w:r w:rsidR="007E7ABD" w:rsidRPr="00122856">
        <w:rPr>
          <w:lang w:val="fr-FR"/>
        </w:rPr>
        <w:t xml:space="preserve">aux </w:t>
      </w:r>
      <w:r w:rsidR="00A03CD0" w:rsidRPr="00122856">
        <w:rPr>
          <w:lang w:val="fr-FR"/>
        </w:rPr>
        <w:t>États parties</w:t>
      </w:r>
      <w:r w:rsidR="007E7ABD" w:rsidRPr="00122856">
        <w:rPr>
          <w:lang w:val="fr-FR"/>
        </w:rPr>
        <w:t xml:space="preserve"> </w:t>
      </w:r>
      <w:r w:rsidR="0052482E" w:rsidRPr="00122856">
        <w:rPr>
          <w:lang w:val="fr-FR"/>
        </w:rPr>
        <w:t>afin de les aider à</w:t>
      </w:r>
      <w:r w:rsidR="007E7ABD" w:rsidRPr="00122856">
        <w:rPr>
          <w:lang w:val="fr-FR"/>
        </w:rPr>
        <w:t xml:space="preserve"> prépar</w:t>
      </w:r>
      <w:r w:rsidR="0052482E" w:rsidRPr="00122856">
        <w:rPr>
          <w:lang w:val="fr-FR"/>
        </w:rPr>
        <w:t>er</w:t>
      </w:r>
      <w:r w:rsidR="007E7ABD" w:rsidRPr="00122856">
        <w:rPr>
          <w:lang w:val="fr-FR"/>
        </w:rPr>
        <w:t xml:space="preserve"> de</w:t>
      </w:r>
      <w:r w:rsidR="0052482E" w:rsidRPr="00122856">
        <w:rPr>
          <w:lang w:val="fr-FR"/>
        </w:rPr>
        <w:t>s</w:t>
      </w:r>
      <w:r w:rsidR="007E7ABD" w:rsidRPr="00122856">
        <w:rPr>
          <w:lang w:val="fr-FR"/>
        </w:rPr>
        <w:t xml:space="preserve"> demandes d’assistance internationale</w:t>
      </w:r>
      <w:r w:rsidR="00A03CD0" w:rsidRPr="00122856">
        <w:rPr>
          <w:lang w:val="fr-FR"/>
        </w:rPr>
        <w:t>,</w:t>
      </w:r>
      <w:r w:rsidR="007E7ABD" w:rsidRPr="00122856">
        <w:rPr>
          <w:lang w:val="fr-FR"/>
        </w:rPr>
        <w:t xml:space="preserve"> </w:t>
      </w:r>
      <w:r w:rsidR="00A03CD0" w:rsidRPr="00122856">
        <w:rPr>
          <w:lang w:val="fr-FR"/>
        </w:rPr>
        <w:t>comme en a décidé le Comité (</w:t>
      </w:r>
      <w:hyperlink r:id="rId26" w:history="1">
        <w:r w:rsidR="00A03CD0" w:rsidRPr="00122856">
          <w:rPr>
            <w:rStyle w:val="Hyperlink"/>
            <w:lang w:val="fr-FR"/>
          </w:rPr>
          <w:t>décision 8.COM 7.c</w:t>
        </w:r>
      </w:hyperlink>
      <w:r w:rsidR="00A03CD0" w:rsidRPr="00122856">
        <w:rPr>
          <w:lang w:val="fr-FR"/>
        </w:rPr>
        <w:t>)</w:t>
      </w:r>
      <w:r w:rsidR="001A32B8" w:rsidRPr="00122856">
        <w:rPr>
          <w:lang w:val="fr-FR"/>
        </w:rPr>
        <w:t xml:space="preserve">. </w:t>
      </w:r>
      <w:r w:rsidR="002D3F0C" w:rsidRPr="00122856">
        <w:rPr>
          <w:lang w:val="fr-FR"/>
        </w:rPr>
        <w:t xml:space="preserve">Étant donné </w:t>
      </w:r>
      <w:r w:rsidR="00647902" w:rsidRPr="00122856">
        <w:rPr>
          <w:lang w:val="fr-FR"/>
        </w:rPr>
        <w:t xml:space="preserve">que les </w:t>
      </w:r>
      <w:r w:rsidR="002D3F0C" w:rsidRPr="00122856">
        <w:rPr>
          <w:lang w:val="fr-FR"/>
        </w:rPr>
        <w:t>États ont sollicité</w:t>
      </w:r>
      <w:r w:rsidR="00647902" w:rsidRPr="00122856">
        <w:rPr>
          <w:lang w:val="fr-FR"/>
        </w:rPr>
        <w:t xml:space="preserve"> beaucoup plus l’assistance technique que l’assistance préparatoire dans sa forme </w:t>
      </w:r>
      <w:r w:rsidR="0052482E" w:rsidRPr="00122856">
        <w:rPr>
          <w:lang w:val="fr-FR"/>
        </w:rPr>
        <w:t>classique</w:t>
      </w:r>
      <w:r w:rsidR="00647902" w:rsidRPr="00122856">
        <w:rPr>
          <w:lang w:val="fr-FR"/>
        </w:rPr>
        <w:t xml:space="preserve">, il est proposé </w:t>
      </w:r>
      <w:r w:rsidR="00C11875" w:rsidRPr="00122856">
        <w:rPr>
          <w:lang w:val="fr-FR"/>
        </w:rPr>
        <w:t>de continuer à utiliser</w:t>
      </w:r>
      <w:r w:rsidR="00647902" w:rsidRPr="00122856">
        <w:rPr>
          <w:lang w:val="fr-FR"/>
        </w:rPr>
        <w:t xml:space="preserve"> les crédits disponibles au titre de cette ligne budgétaire pour mettre à disposition des experts, ainsi q</w:t>
      </w:r>
      <w:r w:rsidR="00137CA1" w:rsidRPr="00122856">
        <w:rPr>
          <w:lang w:val="fr-FR"/>
        </w:rPr>
        <w:t xml:space="preserve">ue le </w:t>
      </w:r>
      <w:r w:rsidR="0028305F" w:rsidRPr="00122856">
        <w:rPr>
          <w:lang w:val="fr-FR"/>
        </w:rPr>
        <w:t>d</w:t>
      </w:r>
      <w:r w:rsidR="00137CA1" w:rsidRPr="00122856">
        <w:rPr>
          <w:lang w:val="fr-FR"/>
        </w:rPr>
        <w:t>é</w:t>
      </w:r>
      <w:r w:rsidR="0028305F" w:rsidRPr="00122856">
        <w:rPr>
          <w:lang w:val="fr-FR"/>
        </w:rPr>
        <w:t>cr</w:t>
      </w:r>
      <w:r w:rsidR="00137CA1" w:rsidRPr="00122856">
        <w:rPr>
          <w:lang w:val="fr-FR"/>
        </w:rPr>
        <w:t xml:space="preserve">it </w:t>
      </w:r>
      <w:r w:rsidR="00647902" w:rsidRPr="00122856">
        <w:rPr>
          <w:lang w:val="fr-FR"/>
        </w:rPr>
        <w:t>l’a</w:t>
      </w:r>
      <w:r w:rsidR="001A32B8" w:rsidRPr="00122856">
        <w:rPr>
          <w:lang w:val="fr-FR"/>
        </w:rPr>
        <w:t xml:space="preserve">rticle 21 </w:t>
      </w:r>
      <w:r w:rsidR="00647902" w:rsidRPr="00122856">
        <w:rPr>
          <w:lang w:val="fr-FR"/>
        </w:rPr>
        <w:t>de la</w:t>
      </w:r>
      <w:r w:rsidR="001A32B8" w:rsidRPr="00122856">
        <w:rPr>
          <w:lang w:val="fr-FR"/>
        </w:rPr>
        <w:t xml:space="preserve"> Convention, </w:t>
      </w:r>
      <w:r w:rsidR="002D3F0C" w:rsidRPr="00122856">
        <w:rPr>
          <w:lang w:val="fr-FR"/>
        </w:rPr>
        <w:t xml:space="preserve">pour </w:t>
      </w:r>
      <w:r w:rsidR="00647902" w:rsidRPr="00122856">
        <w:rPr>
          <w:lang w:val="fr-FR"/>
        </w:rPr>
        <w:t xml:space="preserve">aider </w:t>
      </w:r>
      <w:r w:rsidR="002D3F0C" w:rsidRPr="00122856">
        <w:rPr>
          <w:lang w:val="fr-FR"/>
        </w:rPr>
        <w:t xml:space="preserve">un </w:t>
      </w:r>
      <w:r w:rsidR="00EE57F4" w:rsidRPr="00122856">
        <w:rPr>
          <w:lang w:val="fr-FR"/>
        </w:rPr>
        <w:t>État</w:t>
      </w:r>
      <w:r w:rsidR="00647902" w:rsidRPr="00122856">
        <w:rPr>
          <w:lang w:val="fr-FR"/>
        </w:rPr>
        <w:t xml:space="preserve"> partie à </w:t>
      </w:r>
      <w:r w:rsidR="007866A2" w:rsidRPr="00122856">
        <w:rPr>
          <w:lang w:val="fr-FR"/>
        </w:rPr>
        <w:t xml:space="preserve">développer ses idées et besoins, </w:t>
      </w:r>
      <w:r w:rsidR="00FB65E5" w:rsidRPr="00122856">
        <w:rPr>
          <w:lang w:val="fr-FR"/>
        </w:rPr>
        <w:t>e</w:t>
      </w:r>
      <w:r w:rsidR="0028305F" w:rsidRPr="00122856">
        <w:rPr>
          <w:lang w:val="fr-FR"/>
        </w:rPr>
        <w:t>n</w:t>
      </w:r>
      <w:r w:rsidR="00FB65E5" w:rsidRPr="00122856">
        <w:rPr>
          <w:lang w:val="fr-FR"/>
        </w:rPr>
        <w:t xml:space="preserve"> </w:t>
      </w:r>
      <w:r w:rsidR="007662B2" w:rsidRPr="00122856">
        <w:rPr>
          <w:lang w:val="fr-FR"/>
        </w:rPr>
        <w:t>fai</w:t>
      </w:r>
      <w:r w:rsidR="0028305F" w:rsidRPr="00122856">
        <w:rPr>
          <w:lang w:val="fr-FR"/>
        </w:rPr>
        <w:t>sant</w:t>
      </w:r>
      <w:r w:rsidR="007662B2" w:rsidRPr="00122856">
        <w:rPr>
          <w:lang w:val="fr-FR"/>
        </w:rPr>
        <w:t xml:space="preserve"> </w:t>
      </w:r>
      <w:r w:rsidR="007866A2" w:rsidRPr="00122856">
        <w:rPr>
          <w:lang w:val="fr-FR"/>
        </w:rPr>
        <w:t xml:space="preserve">d’une brève note conceptuelle </w:t>
      </w:r>
      <w:r w:rsidR="007662B2" w:rsidRPr="00122856">
        <w:rPr>
          <w:lang w:val="fr-FR"/>
        </w:rPr>
        <w:t>u</w:t>
      </w:r>
      <w:r w:rsidR="007866A2" w:rsidRPr="00122856">
        <w:rPr>
          <w:lang w:val="fr-FR"/>
        </w:rPr>
        <w:t>ne demande en bonne et due forme</w:t>
      </w:r>
      <w:r w:rsidR="001A32B8" w:rsidRPr="00122856">
        <w:rPr>
          <w:lang w:val="fr-FR"/>
        </w:rPr>
        <w:t xml:space="preserve">. </w:t>
      </w:r>
      <w:r w:rsidR="005C0737" w:rsidRPr="00122856">
        <w:rPr>
          <w:lang w:val="fr-FR"/>
        </w:rPr>
        <w:t>C</w:t>
      </w:r>
      <w:r w:rsidR="00981585" w:rsidRPr="00122856">
        <w:rPr>
          <w:lang w:val="fr-FR"/>
        </w:rPr>
        <w:t>ette</w:t>
      </w:r>
      <w:r w:rsidR="005C0737" w:rsidRPr="00122856">
        <w:rPr>
          <w:lang w:val="fr-FR"/>
        </w:rPr>
        <w:t xml:space="preserve"> </w:t>
      </w:r>
      <w:r w:rsidR="00981585" w:rsidRPr="00122856">
        <w:rPr>
          <w:lang w:val="fr-FR"/>
        </w:rPr>
        <w:t xml:space="preserve">assistance technique </w:t>
      </w:r>
      <w:r w:rsidR="005C0737" w:rsidRPr="00122856">
        <w:rPr>
          <w:lang w:val="fr-FR"/>
        </w:rPr>
        <w:t xml:space="preserve">devrait en outre </w:t>
      </w:r>
      <w:r w:rsidR="00981585" w:rsidRPr="00122856">
        <w:rPr>
          <w:lang w:val="fr-FR"/>
        </w:rPr>
        <w:t>augmenter les chances de succès d’un plus grand nombre de demandes, ce qui justifie également l’augmentation du pourcentage de crédits alloué</w:t>
      </w:r>
      <w:r w:rsidR="00FB65E5" w:rsidRPr="00122856">
        <w:rPr>
          <w:lang w:val="fr-FR"/>
        </w:rPr>
        <w:t>s</w:t>
      </w:r>
      <w:r w:rsidR="00981585" w:rsidRPr="00122856">
        <w:rPr>
          <w:lang w:val="fr-FR"/>
        </w:rPr>
        <w:t xml:space="preserve"> à la </w:t>
      </w:r>
      <w:r w:rsidR="00FD1663" w:rsidRPr="00122856">
        <w:rPr>
          <w:lang w:val="fr-FR"/>
        </w:rPr>
        <w:t>ligne budgétaire</w:t>
      </w:r>
      <w:r w:rsidR="001A32B8" w:rsidRPr="00122856">
        <w:rPr>
          <w:lang w:val="fr-FR"/>
        </w:rPr>
        <w:t> 1.</w:t>
      </w:r>
    </w:p>
    <w:p w14:paraId="2965AECE" w14:textId="5EB975BC" w:rsidR="003377B5" w:rsidRPr="00122856" w:rsidRDefault="00981585" w:rsidP="009E1B50">
      <w:pPr>
        <w:pStyle w:val="COMParabodytext"/>
        <w:rPr>
          <w:lang w:val="fr-FR"/>
        </w:rPr>
      </w:pPr>
      <w:r w:rsidRPr="00122856">
        <w:rPr>
          <w:lang w:val="fr-FR"/>
        </w:rPr>
        <w:t xml:space="preserve">La </w:t>
      </w:r>
      <w:r w:rsidRPr="00122856">
        <w:rPr>
          <w:b/>
          <w:lang w:val="fr-FR"/>
        </w:rPr>
        <w:t>l</w:t>
      </w:r>
      <w:r w:rsidR="00FD1663" w:rsidRPr="00122856">
        <w:rPr>
          <w:b/>
          <w:lang w:val="fr-FR"/>
        </w:rPr>
        <w:t>igne budgétaire</w:t>
      </w:r>
      <w:r w:rsidR="001A32B8" w:rsidRPr="00122856">
        <w:rPr>
          <w:b/>
          <w:bCs/>
          <w:lang w:val="fr-FR"/>
        </w:rPr>
        <w:t xml:space="preserve"> 3</w:t>
      </w:r>
      <w:r w:rsidRPr="00122856">
        <w:rPr>
          <w:lang w:val="fr-FR"/>
        </w:rPr>
        <w:t>, « Autres fonctions du Comité</w:t>
      </w:r>
      <w:r w:rsidR="001C6219" w:rsidRPr="00122856">
        <w:rPr>
          <w:lang w:val="fr-FR"/>
        </w:rPr>
        <w:t> »</w:t>
      </w:r>
      <w:r w:rsidR="001A32B8" w:rsidRPr="00122856">
        <w:rPr>
          <w:lang w:val="fr-FR"/>
        </w:rPr>
        <w:t xml:space="preserve">, </w:t>
      </w:r>
      <w:r w:rsidR="00B71084" w:rsidRPr="00122856">
        <w:rPr>
          <w:lang w:val="fr-FR"/>
        </w:rPr>
        <w:t>devrait</w:t>
      </w:r>
      <w:r w:rsidRPr="00122856">
        <w:rPr>
          <w:lang w:val="fr-FR"/>
        </w:rPr>
        <w:t xml:space="preserve"> également </w:t>
      </w:r>
      <w:r w:rsidR="006D3D9A" w:rsidRPr="00122856">
        <w:rPr>
          <w:lang w:val="fr-FR"/>
        </w:rPr>
        <w:t>se</w:t>
      </w:r>
      <w:r w:rsidR="00B71084" w:rsidRPr="00122856">
        <w:rPr>
          <w:lang w:val="fr-FR"/>
        </w:rPr>
        <w:t xml:space="preserve"> </w:t>
      </w:r>
      <w:r w:rsidRPr="00122856">
        <w:rPr>
          <w:lang w:val="fr-FR"/>
        </w:rPr>
        <w:t>mainten</w:t>
      </w:r>
      <w:r w:rsidR="006D3D9A" w:rsidRPr="00122856">
        <w:rPr>
          <w:lang w:val="fr-FR"/>
        </w:rPr>
        <w:t>ir</w:t>
      </w:r>
      <w:r w:rsidRPr="00122856">
        <w:rPr>
          <w:lang w:val="fr-FR"/>
        </w:rPr>
        <w:t xml:space="preserve"> à </w:t>
      </w:r>
      <w:r w:rsidR="001A32B8" w:rsidRPr="00122856">
        <w:rPr>
          <w:lang w:val="fr-FR"/>
        </w:rPr>
        <w:t>20</w:t>
      </w:r>
      <w:r w:rsidRPr="00122856">
        <w:rPr>
          <w:lang w:val="fr-FR"/>
        </w:rPr>
        <w:t> </w:t>
      </w:r>
      <w:r w:rsidR="001A32B8" w:rsidRPr="00122856">
        <w:rPr>
          <w:lang w:val="fr-FR"/>
        </w:rPr>
        <w:t xml:space="preserve">%. </w:t>
      </w:r>
      <w:r w:rsidRPr="00122856">
        <w:rPr>
          <w:lang w:val="fr-FR"/>
        </w:rPr>
        <w:t>Ces fonctions sont énumérées à l’a</w:t>
      </w:r>
      <w:r w:rsidR="001A32B8" w:rsidRPr="00122856">
        <w:rPr>
          <w:lang w:val="fr-FR"/>
        </w:rPr>
        <w:t xml:space="preserve">rticle 7 </w:t>
      </w:r>
      <w:r w:rsidRPr="00122856">
        <w:rPr>
          <w:lang w:val="fr-FR"/>
        </w:rPr>
        <w:t>de la</w:t>
      </w:r>
      <w:r w:rsidR="001A32B8" w:rsidRPr="00122856">
        <w:rPr>
          <w:lang w:val="fr-FR"/>
        </w:rPr>
        <w:t xml:space="preserve"> Convention. </w:t>
      </w:r>
      <w:r w:rsidRPr="00122856">
        <w:rPr>
          <w:lang w:val="fr-FR"/>
        </w:rPr>
        <w:t>L</w:t>
      </w:r>
      <w:r w:rsidR="001A32B8" w:rsidRPr="00122856">
        <w:rPr>
          <w:lang w:val="fr-FR"/>
        </w:rPr>
        <w:t>e Secr</w:t>
      </w:r>
      <w:r w:rsidRPr="00122856">
        <w:rPr>
          <w:lang w:val="fr-FR"/>
        </w:rPr>
        <w:t>é</w:t>
      </w:r>
      <w:r w:rsidR="001A32B8" w:rsidRPr="00122856">
        <w:rPr>
          <w:lang w:val="fr-FR"/>
        </w:rPr>
        <w:t xml:space="preserve">tariat </w:t>
      </w:r>
      <w:r w:rsidRPr="00122856">
        <w:rPr>
          <w:lang w:val="fr-FR"/>
        </w:rPr>
        <w:t>utilise ces crédits pour aider le Comité à assurer ces fonctions comme le</w:t>
      </w:r>
      <w:r w:rsidR="006D3D9A" w:rsidRPr="00122856">
        <w:rPr>
          <w:lang w:val="fr-FR"/>
        </w:rPr>
        <w:t xml:space="preserve"> demande</w:t>
      </w:r>
      <w:r w:rsidR="003E5883" w:rsidRPr="00122856">
        <w:rPr>
          <w:lang w:val="fr-FR"/>
        </w:rPr>
        <w:t xml:space="preserve"> </w:t>
      </w:r>
      <w:r w:rsidRPr="00122856">
        <w:rPr>
          <w:lang w:val="fr-FR"/>
        </w:rPr>
        <w:t>l’a</w:t>
      </w:r>
      <w:r w:rsidR="001A32B8" w:rsidRPr="00122856">
        <w:rPr>
          <w:lang w:val="fr-FR"/>
        </w:rPr>
        <w:t xml:space="preserve">rticle 10 </w:t>
      </w:r>
      <w:r w:rsidRPr="00122856">
        <w:rPr>
          <w:lang w:val="fr-FR"/>
        </w:rPr>
        <w:t xml:space="preserve">de la </w:t>
      </w:r>
      <w:r w:rsidR="001A32B8" w:rsidRPr="00122856">
        <w:rPr>
          <w:lang w:val="fr-FR"/>
        </w:rPr>
        <w:t xml:space="preserve">Convention. </w:t>
      </w:r>
      <w:r w:rsidR="003E5883" w:rsidRPr="00122856">
        <w:rPr>
          <w:lang w:val="fr-FR"/>
        </w:rPr>
        <w:t>Par conséquent, le</w:t>
      </w:r>
      <w:r w:rsidR="001A32B8" w:rsidRPr="00122856">
        <w:rPr>
          <w:lang w:val="fr-FR"/>
        </w:rPr>
        <w:t xml:space="preserve"> Secr</w:t>
      </w:r>
      <w:r w:rsidR="003E5883" w:rsidRPr="00122856">
        <w:rPr>
          <w:lang w:val="fr-FR"/>
        </w:rPr>
        <w:t>é</w:t>
      </w:r>
      <w:r w:rsidR="001A32B8" w:rsidRPr="00122856">
        <w:rPr>
          <w:lang w:val="fr-FR"/>
        </w:rPr>
        <w:t xml:space="preserve">tariat </w:t>
      </w:r>
      <w:r w:rsidR="003E5883" w:rsidRPr="00122856">
        <w:rPr>
          <w:lang w:val="fr-FR"/>
        </w:rPr>
        <w:t xml:space="preserve">utilise ces crédits principalement pour promouvoir les objectifs de la </w:t>
      </w:r>
      <w:r w:rsidR="001A32B8" w:rsidRPr="00122856">
        <w:rPr>
          <w:lang w:val="fr-FR"/>
        </w:rPr>
        <w:t xml:space="preserve">Convention </w:t>
      </w:r>
      <w:r w:rsidR="003E5883" w:rsidRPr="00122856">
        <w:rPr>
          <w:lang w:val="fr-FR"/>
        </w:rPr>
        <w:t xml:space="preserve">ainsi que </w:t>
      </w:r>
      <w:r w:rsidR="006D3D9A" w:rsidRPr="00122856">
        <w:rPr>
          <w:lang w:val="fr-FR"/>
        </w:rPr>
        <w:t xml:space="preserve">pour </w:t>
      </w:r>
      <w:r w:rsidR="003E5883" w:rsidRPr="00122856">
        <w:rPr>
          <w:lang w:val="fr-FR"/>
        </w:rPr>
        <w:t xml:space="preserve">encourager et suivre sa mise en œuvre </w:t>
      </w:r>
      <w:r w:rsidR="001A32B8" w:rsidRPr="00122856">
        <w:rPr>
          <w:lang w:val="fr-FR"/>
        </w:rPr>
        <w:t>(</w:t>
      </w:r>
      <w:r w:rsidR="003E5883" w:rsidRPr="00122856">
        <w:rPr>
          <w:lang w:val="fr-FR"/>
        </w:rPr>
        <w:t>a</w:t>
      </w:r>
      <w:r w:rsidR="001A32B8" w:rsidRPr="00122856">
        <w:rPr>
          <w:lang w:val="fr-FR"/>
        </w:rPr>
        <w:t xml:space="preserve">rticle 7 [a]). </w:t>
      </w:r>
      <w:r w:rsidR="003E5883" w:rsidRPr="00122856">
        <w:rPr>
          <w:lang w:val="fr-FR"/>
        </w:rPr>
        <w:t>À cette fin, les crédits alloués à cette</w:t>
      </w:r>
      <w:r w:rsidR="001A32B8" w:rsidRPr="00122856">
        <w:rPr>
          <w:lang w:val="fr-FR"/>
        </w:rPr>
        <w:t xml:space="preserve"> </w:t>
      </w:r>
      <w:r w:rsidR="00FD1663" w:rsidRPr="00122856">
        <w:rPr>
          <w:lang w:val="fr-FR"/>
        </w:rPr>
        <w:t>ligne budgétaire</w:t>
      </w:r>
      <w:r w:rsidR="001A32B8" w:rsidRPr="00122856">
        <w:rPr>
          <w:lang w:val="fr-FR"/>
        </w:rPr>
        <w:t xml:space="preserve"> </w:t>
      </w:r>
      <w:r w:rsidR="008A5CD7" w:rsidRPr="00122856">
        <w:rPr>
          <w:lang w:val="fr-FR"/>
        </w:rPr>
        <w:t>continueront à financer un certain nombre de besoins transversaux du programme de renforcement des capacités</w:t>
      </w:r>
      <w:r w:rsidR="001A32B8" w:rsidRPr="00122856">
        <w:rPr>
          <w:rStyle w:val="hps"/>
          <w:lang w:val="fr-FR"/>
        </w:rPr>
        <w:t xml:space="preserve">, </w:t>
      </w:r>
      <w:r w:rsidR="008A5CD7" w:rsidRPr="00122856">
        <w:rPr>
          <w:rStyle w:val="hps"/>
          <w:lang w:val="fr-FR"/>
        </w:rPr>
        <w:t xml:space="preserve">tels que l’élaboration </w:t>
      </w:r>
      <w:r w:rsidR="00552F62" w:rsidRPr="00122856">
        <w:rPr>
          <w:rStyle w:val="hps"/>
          <w:lang w:val="fr-FR"/>
        </w:rPr>
        <w:t xml:space="preserve">de contenus et matériels de formation, le renforcement du réseau d’experts facilitateurs </w:t>
      </w:r>
      <w:r w:rsidR="001C6219" w:rsidRPr="00122856">
        <w:rPr>
          <w:rStyle w:val="hps"/>
          <w:lang w:val="fr-FR"/>
        </w:rPr>
        <w:t>et le suivi</w:t>
      </w:r>
      <w:r w:rsidR="002F2964" w:rsidRPr="00122856">
        <w:rPr>
          <w:rStyle w:val="hps"/>
          <w:lang w:val="fr-FR"/>
        </w:rPr>
        <w:t xml:space="preserve"> de la stratégie</w:t>
      </w:r>
      <w:r w:rsidR="001C6219" w:rsidRPr="00122856">
        <w:rPr>
          <w:rStyle w:val="hps"/>
          <w:lang w:val="fr-FR"/>
        </w:rPr>
        <w:t xml:space="preserve">, </w:t>
      </w:r>
      <w:r w:rsidR="002F2964" w:rsidRPr="00122856">
        <w:rPr>
          <w:rStyle w:val="hps"/>
          <w:lang w:val="fr-FR"/>
        </w:rPr>
        <w:t xml:space="preserve">son </w:t>
      </w:r>
      <w:r w:rsidR="001C6219" w:rsidRPr="00122856">
        <w:rPr>
          <w:rStyle w:val="hps"/>
          <w:lang w:val="fr-FR"/>
        </w:rPr>
        <w:t xml:space="preserve">évaluation et </w:t>
      </w:r>
      <w:r w:rsidR="002F2964" w:rsidRPr="00122856">
        <w:rPr>
          <w:rStyle w:val="hps"/>
          <w:lang w:val="fr-FR"/>
        </w:rPr>
        <w:t xml:space="preserve">son </w:t>
      </w:r>
      <w:r w:rsidR="001C6219" w:rsidRPr="00122856">
        <w:rPr>
          <w:rStyle w:val="hps"/>
          <w:lang w:val="fr-FR"/>
        </w:rPr>
        <w:t xml:space="preserve">adaptation </w:t>
      </w:r>
      <w:r w:rsidR="002F2964" w:rsidRPr="00122856">
        <w:rPr>
          <w:rStyle w:val="hps"/>
          <w:lang w:val="fr-FR"/>
        </w:rPr>
        <w:t>en conséquence</w:t>
      </w:r>
      <w:r w:rsidR="001A32B8" w:rsidRPr="00122856">
        <w:rPr>
          <w:lang w:val="fr-FR"/>
        </w:rPr>
        <w:t xml:space="preserve">. </w:t>
      </w:r>
      <w:r w:rsidR="002F2964" w:rsidRPr="00122856">
        <w:rPr>
          <w:lang w:val="fr-FR"/>
        </w:rPr>
        <w:t>De même</w:t>
      </w:r>
      <w:r w:rsidR="001A32B8" w:rsidRPr="00122856">
        <w:rPr>
          <w:lang w:val="fr-FR"/>
        </w:rPr>
        <w:t xml:space="preserve">, </w:t>
      </w:r>
      <w:r w:rsidR="002F2964" w:rsidRPr="00122856">
        <w:rPr>
          <w:lang w:val="fr-FR"/>
        </w:rPr>
        <w:t>cette</w:t>
      </w:r>
      <w:r w:rsidR="001A32B8" w:rsidRPr="00122856">
        <w:rPr>
          <w:lang w:val="fr-FR"/>
        </w:rPr>
        <w:t xml:space="preserve"> </w:t>
      </w:r>
      <w:r w:rsidR="00FD1663" w:rsidRPr="00122856">
        <w:rPr>
          <w:lang w:val="fr-FR"/>
        </w:rPr>
        <w:t>ligne budgétaire</w:t>
      </w:r>
      <w:r w:rsidR="001A32B8" w:rsidRPr="00122856">
        <w:rPr>
          <w:lang w:val="fr-FR"/>
        </w:rPr>
        <w:t xml:space="preserve"> </w:t>
      </w:r>
      <w:r w:rsidR="002F2964" w:rsidRPr="00122856">
        <w:rPr>
          <w:lang w:val="fr-FR"/>
        </w:rPr>
        <w:t xml:space="preserve">sera vitale pour </w:t>
      </w:r>
      <w:r w:rsidR="00623533" w:rsidRPr="00122856">
        <w:rPr>
          <w:lang w:val="fr-FR"/>
        </w:rPr>
        <w:t>assurer</w:t>
      </w:r>
      <w:r w:rsidR="002F2964" w:rsidRPr="00122856">
        <w:rPr>
          <w:lang w:val="fr-FR"/>
        </w:rPr>
        <w:t xml:space="preserve"> l’amélioration </w:t>
      </w:r>
      <w:r w:rsidR="00623533" w:rsidRPr="00122856">
        <w:rPr>
          <w:lang w:val="fr-FR"/>
        </w:rPr>
        <w:t>constante</w:t>
      </w:r>
      <w:r w:rsidR="002F2964" w:rsidRPr="00122856">
        <w:rPr>
          <w:lang w:val="fr-FR"/>
        </w:rPr>
        <w:t xml:space="preserve"> de la gestion des connaissances et </w:t>
      </w:r>
      <w:r w:rsidR="00623533" w:rsidRPr="00122856">
        <w:rPr>
          <w:lang w:val="fr-FR"/>
        </w:rPr>
        <w:t xml:space="preserve">des </w:t>
      </w:r>
      <w:r w:rsidR="002F2964" w:rsidRPr="00122856">
        <w:rPr>
          <w:lang w:val="fr-FR"/>
        </w:rPr>
        <w:t xml:space="preserve">informations, notamment le site Web de la </w:t>
      </w:r>
      <w:r w:rsidR="001A32B8" w:rsidRPr="00122856">
        <w:rPr>
          <w:lang w:val="fr-FR"/>
        </w:rPr>
        <w:t>Convention</w:t>
      </w:r>
      <w:r w:rsidR="002F2964" w:rsidRPr="00122856">
        <w:rPr>
          <w:lang w:val="fr-FR"/>
        </w:rPr>
        <w:t xml:space="preserve"> qui permet au</w:t>
      </w:r>
      <w:r w:rsidR="001A32B8" w:rsidRPr="00122856">
        <w:rPr>
          <w:lang w:val="fr-FR"/>
        </w:rPr>
        <w:t xml:space="preserve"> Secr</w:t>
      </w:r>
      <w:r w:rsidR="002F2964" w:rsidRPr="00122856">
        <w:rPr>
          <w:lang w:val="fr-FR"/>
        </w:rPr>
        <w:t>é</w:t>
      </w:r>
      <w:r w:rsidR="001A32B8" w:rsidRPr="00122856">
        <w:rPr>
          <w:lang w:val="fr-FR"/>
        </w:rPr>
        <w:t xml:space="preserve">tariat </w:t>
      </w:r>
      <w:r w:rsidR="002F2964" w:rsidRPr="00122856">
        <w:rPr>
          <w:lang w:val="fr-FR"/>
        </w:rPr>
        <w:t xml:space="preserve">de </w:t>
      </w:r>
      <w:r w:rsidR="001A32B8" w:rsidRPr="00122856">
        <w:rPr>
          <w:lang w:val="fr-FR"/>
        </w:rPr>
        <w:t>continue</w:t>
      </w:r>
      <w:r w:rsidR="002F2964" w:rsidRPr="00122856">
        <w:rPr>
          <w:lang w:val="fr-FR"/>
        </w:rPr>
        <w:t>r à fournir des</w:t>
      </w:r>
      <w:r w:rsidR="001A32B8" w:rsidRPr="00122856">
        <w:rPr>
          <w:lang w:val="fr-FR"/>
        </w:rPr>
        <w:t xml:space="preserve"> services </w:t>
      </w:r>
      <w:r w:rsidR="002F2964" w:rsidRPr="00122856">
        <w:rPr>
          <w:lang w:val="fr-FR"/>
        </w:rPr>
        <w:t xml:space="preserve">aux </w:t>
      </w:r>
      <w:r w:rsidR="002D3F0C" w:rsidRPr="00122856">
        <w:rPr>
          <w:lang w:val="fr-FR"/>
        </w:rPr>
        <w:t>États parties</w:t>
      </w:r>
      <w:r w:rsidR="002F2964" w:rsidRPr="00122856">
        <w:rPr>
          <w:lang w:val="fr-FR"/>
        </w:rPr>
        <w:t xml:space="preserve"> et aux organes directeurs de la </w:t>
      </w:r>
      <w:r w:rsidR="001A32B8" w:rsidRPr="00122856">
        <w:rPr>
          <w:lang w:val="fr-FR"/>
        </w:rPr>
        <w:t xml:space="preserve">Convention </w:t>
      </w:r>
      <w:r w:rsidR="00F94F47" w:rsidRPr="00122856">
        <w:rPr>
          <w:lang w:val="fr-FR"/>
        </w:rPr>
        <w:t>d</w:t>
      </w:r>
      <w:r w:rsidR="00623533" w:rsidRPr="00122856">
        <w:rPr>
          <w:lang w:val="fr-FR"/>
        </w:rPr>
        <w:t xml:space="preserve">e la façon la plus </w:t>
      </w:r>
      <w:r w:rsidR="00991F8D" w:rsidRPr="00122856">
        <w:rPr>
          <w:lang w:val="fr-FR"/>
        </w:rPr>
        <w:t xml:space="preserve">opportune et la plus </w:t>
      </w:r>
      <w:r w:rsidR="00250BF9" w:rsidRPr="00122856">
        <w:rPr>
          <w:lang w:val="fr-FR"/>
        </w:rPr>
        <w:t>précise possible</w:t>
      </w:r>
      <w:r w:rsidR="001A32B8" w:rsidRPr="00122856">
        <w:rPr>
          <w:lang w:val="fr-FR"/>
        </w:rPr>
        <w:t>.</w:t>
      </w:r>
      <w:r w:rsidR="003F5515" w:rsidRPr="00122856">
        <w:rPr>
          <w:lang w:val="fr-FR"/>
        </w:rPr>
        <w:t xml:space="preserve"> Afin d’</w:t>
      </w:r>
      <w:r w:rsidR="00F94F47" w:rsidRPr="00122856">
        <w:rPr>
          <w:lang w:val="fr-FR"/>
        </w:rPr>
        <w:t xml:space="preserve">aider le Comité à s’acquitter </w:t>
      </w:r>
      <w:r w:rsidR="00D323F1" w:rsidRPr="00122856">
        <w:rPr>
          <w:lang w:val="fr-FR"/>
        </w:rPr>
        <w:t xml:space="preserve">de </w:t>
      </w:r>
      <w:r w:rsidR="003F5515" w:rsidRPr="00122856">
        <w:rPr>
          <w:lang w:val="fr-FR"/>
        </w:rPr>
        <w:t>l</w:t>
      </w:r>
      <w:r w:rsidR="00D323F1" w:rsidRPr="00122856">
        <w:rPr>
          <w:lang w:val="fr-FR"/>
        </w:rPr>
        <w:t xml:space="preserve">a responsabilité </w:t>
      </w:r>
      <w:r w:rsidR="003F5515" w:rsidRPr="00122856">
        <w:rPr>
          <w:lang w:val="fr-FR"/>
        </w:rPr>
        <w:t xml:space="preserve">qui lui incombe </w:t>
      </w:r>
      <w:r w:rsidR="00D323F1" w:rsidRPr="00122856">
        <w:rPr>
          <w:lang w:val="fr-FR"/>
        </w:rPr>
        <w:t xml:space="preserve">de communiquer aux </w:t>
      </w:r>
      <w:r w:rsidR="00EE57F4" w:rsidRPr="00122856">
        <w:rPr>
          <w:lang w:val="fr-FR"/>
        </w:rPr>
        <w:t>pays</w:t>
      </w:r>
      <w:r w:rsidR="00D323F1" w:rsidRPr="00122856">
        <w:rPr>
          <w:lang w:val="fr-FR"/>
        </w:rPr>
        <w:t xml:space="preserve"> et au public des informations sur la Convention et ses activités</w:t>
      </w:r>
      <w:r w:rsidR="001A32B8" w:rsidRPr="00122856">
        <w:rPr>
          <w:rStyle w:val="hps"/>
          <w:lang w:val="fr-FR"/>
        </w:rPr>
        <w:t xml:space="preserve">, </w:t>
      </w:r>
      <w:r w:rsidR="00D323F1" w:rsidRPr="00122856">
        <w:rPr>
          <w:rStyle w:val="hps"/>
          <w:lang w:val="fr-FR"/>
        </w:rPr>
        <w:t>les crédits alloués à cette</w:t>
      </w:r>
      <w:r w:rsidR="001A32B8" w:rsidRPr="00122856">
        <w:rPr>
          <w:rStyle w:val="hps"/>
          <w:lang w:val="fr-FR"/>
        </w:rPr>
        <w:t xml:space="preserve"> </w:t>
      </w:r>
      <w:r w:rsidR="00FD1663" w:rsidRPr="00122856">
        <w:rPr>
          <w:rStyle w:val="hps"/>
          <w:lang w:val="fr-FR"/>
        </w:rPr>
        <w:t>ligne budgétaire</w:t>
      </w:r>
      <w:r w:rsidR="001A32B8" w:rsidRPr="00122856">
        <w:rPr>
          <w:rStyle w:val="hps"/>
          <w:lang w:val="fr-FR"/>
        </w:rPr>
        <w:t xml:space="preserve"> </w:t>
      </w:r>
      <w:r w:rsidR="00D323F1" w:rsidRPr="00122856">
        <w:rPr>
          <w:rStyle w:val="hps"/>
          <w:lang w:val="fr-FR"/>
        </w:rPr>
        <w:t xml:space="preserve">contribueront également à assurer une meilleure visibilité du patrimoine culturel immatériel et à sensibiliser </w:t>
      </w:r>
      <w:r w:rsidR="005E6DFE" w:rsidRPr="00122856">
        <w:rPr>
          <w:rStyle w:val="hps"/>
          <w:lang w:val="fr-FR"/>
        </w:rPr>
        <w:t>à son importance par la publication et la diffusion, de préférence par des services de production électronique, d’impression à la demande et de distribution électronique</w:t>
      </w:r>
      <w:r w:rsidR="001A32B8" w:rsidRPr="00122856">
        <w:rPr>
          <w:rStyle w:val="hps"/>
          <w:lang w:val="fr-FR"/>
        </w:rPr>
        <w:t xml:space="preserve">. </w:t>
      </w:r>
      <w:r w:rsidR="003430E6" w:rsidRPr="00122856">
        <w:rPr>
          <w:rStyle w:val="hps"/>
          <w:lang w:val="fr-FR"/>
        </w:rPr>
        <w:t xml:space="preserve">Enfin, ces crédits seront utilisés pour aider le Comité à donner des conseils sur les meilleures pratiques et à faire des recommandations sur les mesures </w:t>
      </w:r>
      <w:r w:rsidR="002D3F0C" w:rsidRPr="00122856">
        <w:rPr>
          <w:rStyle w:val="hps"/>
          <w:lang w:val="fr-FR"/>
        </w:rPr>
        <w:t xml:space="preserve">en faveur </w:t>
      </w:r>
      <w:r w:rsidR="003430E6" w:rsidRPr="00122856">
        <w:rPr>
          <w:rStyle w:val="hps"/>
          <w:lang w:val="fr-FR"/>
        </w:rPr>
        <w:t xml:space="preserve">de </w:t>
      </w:r>
      <w:r w:rsidR="002D3F0C" w:rsidRPr="00122856">
        <w:rPr>
          <w:rStyle w:val="hps"/>
          <w:lang w:val="fr-FR"/>
        </w:rPr>
        <w:t xml:space="preserve">la </w:t>
      </w:r>
      <w:r w:rsidR="003430E6" w:rsidRPr="00122856">
        <w:rPr>
          <w:rStyle w:val="hps"/>
          <w:lang w:val="fr-FR"/>
        </w:rPr>
        <w:t>sauvegarde du patrimoine culturel immatériel (a</w:t>
      </w:r>
      <w:r w:rsidR="001A32B8" w:rsidRPr="00122856">
        <w:rPr>
          <w:rStyle w:val="hps"/>
          <w:lang w:val="fr-FR"/>
        </w:rPr>
        <w:t xml:space="preserve">rticle 7 [b]). </w:t>
      </w:r>
      <w:r w:rsidR="008F301E" w:rsidRPr="00122856">
        <w:rPr>
          <w:rStyle w:val="hps"/>
          <w:lang w:val="fr-FR"/>
        </w:rPr>
        <w:t xml:space="preserve">Dans toute </w:t>
      </w:r>
      <w:r w:rsidR="002D3F0C" w:rsidRPr="00122856">
        <w:rPr>
          <w:rStyle w:val="hps"/>
          <w:lang w:val="fr-FR"/>
        </w:rPr>
        <w:t>l</w:t>
      </w:r>
      <w:r w:rsidR="008F301E" w:rsidRPr="00122856">
        <w:rPr>
          <w:rStyle w:val="hps"/>
          <w:lang w:val="fr-FR"/>
        </w:rPr>
        <w:t xml:space="preserve">’assistance </w:t>
      </w:r>
      <w:r w:rsidR="002D3F0C" w:rsidRPr="006904F4">
        <w:rPr>
          <w:rStyle w:val="hps"/>
          <w:lang w:val="fr-FR"/>
        </w:rPr>
        <w:t xml:space="preserve">fournie </w:t>
      </w:r>
      <w:r w:rsidR="008F301E" w:rsidRPr="006904F4">
        <w:rPr>
          <w:rStyle w:val="hps"/>
          <w:lang w:val="fr-FR"/>
        </w:rPr>
        <w:t>au</w:t>
      </w:r>
      <w:r w:rsidR="008002F4" w:rsidRPr="006904F4">
        <w:rPr>
          <w:rStyle w:val="hps"/>
          <w:lang w:val="fr-FR"/>
        </w:rPr>
        <w:t xml:space="preserve"> Comité, le </w:t>
      </w:r>
      <w:r w:rsidR="001A32B8" w:rsidRPr="006904F4">
        <w:rPr>
          <w:rStyle w:val="hps"/>
          <w:lang w:val="fr-FR"/>
        </w:rPr>
        <w:t>Secr</w:t>
      </w:r>
      <w:r w:rsidR="008002F4" w:rsidRPr="006904F4">
        <w:rPr>
          <w:rStyle w:val="hps"/>
          <w:lang w:val="fr-FR"/>
        </w:rPr>
        <w:t>é</w:t>
      </w:r>
      <w:r w:rsidR="001A32B8" w:rsidRPr="006904F4">
        <w:rPr>
          <w:rStyle w:val="hps"/>
          <w:lang w:val="fr-FR"/>
        </w:rPr>
        <w:t xml:space="preserve">tariat </w:t>
      </w:r>
      <w:r w:rsidR="008002F4" w:rsidRPr="006904F4">
        <w:rPr>
          <w:rStyle w:val="hps"/>
          <w:lang w:val="fr-FR"/>
        </w:rPr>
        <w:t xml:space="preserve">s’efforce de </w:t>
      </w:r>
      <w:r w:rsidR="00D003DA" w:rsidRPr="006904F4">
        <w:rPr>
          <w:rStyle w:val="hps"/>
          <w:lang w:val="fr-FR"/>
        </w:rPr>
        <w:t>donner</w:t>
      </w:r>
      <w:r w:rsidR="008F301E" w:rsidRPr="006904F4">
        <w:rPr>
          <w:rStyle w:val="hps"/>
          <w:lang w:val="fr-FR"/>
        </w:rPr>
        <w:t xml:space="preserve"> suite aux</w:t>
      </w:r>
      <w:r w:rsidR="008002F4" w:rsidRPr="006904F4">
        <w:rPr>
          <w:rStyle w:val="hps"/>
          <w:lang w:val="fr-FR"/>
        </w:rPr>
        <w:t xml:space="preserve"> </w:t>
      </w:r>
      <w:r w:rsidR="001A32B8" w:rsidRPr="006904F4">
        <w:rPr>
          <w:lang w:val="fr-FR"/>
        </w:rPr>
        <w:t>recomm</w:t>
      </w:r>
      <w:r w:rsidR="008002F4" w:rsidRPr="006904F4">
        <w:rPr>
          <w:lang w:val="fr-FR"/>
        </w:rPr>
        <w:t>a</w:t>
      </w:r>
      <w:r w:rsidR="001A32B8" w:rsidRPr="006904F4">
        <w:rPr>
          <w:lang w:val="fr-FR"/>
        </w:rPr>
        <w:t xml:space="preserve">ndations </w:t>
      </w:r>
      <w:r w:rsidR="008002F4" w:rsidRPr="006904F4">
        <w:rPr>
          <w:lang w:val="fr-FR"/>
        </w:rPr>
        <w:t>du Service d’évaluation et d’audit de l’</w:t>
      </w:r>
      <w:r w:rsidR="001A32B8" w:rsidRPr="006904F4">
        <w:rPr>
          <w:rFonts w:eastAsia="SimSun"/>
          <w:snapToGrid/>
          <w:lang w:val="fr-FR" w:bidi="en-US"/>
        </w:rPr>
        <w:t>UNESCO</w:t>
      </w:r>
      <w:r w:rsidR="008002F4" w:rsidRPr="006904F4">
        <w:rPr>
          <w:rFonts w:eastAsia="SimSun"/>
          <w:snapToGrid/>
          <w:lang w:val="fr-FR" w:bidi="en-US"/>
        </w:rPr>
        <w:t xml:space="preserve"> </w:t>
      </w:r>
      <w:r w:rsidR="001A32B8" w:rsidRPr="006904F4">
        <w:rPr>
          <w:rFonts w:eastAsia="SimSun"/>
          <w:snapToGrid/>
          <w:lang w:val="fr-FR" w:bidi="en-US"/>
        </w:rPr>
        <w:t xml:space="preserve">(IOS) </w:t>
      </w:r>
      <w:r w:rsidR="008002F4" w:rsidRPr="006904F4">
        <w:rPr>
          <w:rFonts w:eastAsia="SimSun"/>
          <w:snapToGrid/>
          <w:lang w:val="fr-FR" w:bidi="en-US"/>
        </w:rPr>
        <w:t>concernant le travail normatif du Secteur de la culture de</w:t>
      </w:r>
      <w:r w:rsidR="001A32B8" w:rsidRPr="006904F4">
        <w:rPr>
          <w:rFonts w:eastAsia="SimSun"/>
          <w:snapToGrid/>
          <w:lang w:val="fr-FR" w:bidi="en-US"/>
        </w:rPr>
        <w:t xml:space="preserve"> </w:t>
      </w:r>
      <w:r w:rsidR="008002F4" w:rsidRPr="006904F4">
        <w:rPr>
          <w:rFonts w:eastAsia="SimSun"/>
          <w:snapToGrid/>
          <w:lang w:val="fr-FR" w:bidi="en-US"/>
        </w:rPr>
        <w:t>l’</w:t>
      </w:r>
      <w:r w:rsidR="001A32B8" w:rsidRPr="006904F4">
        <w:rPr>
          <w:rFonts w:eastAsia="SimSun"/>
          <w:snapToGrid/>
          <w:lang w:val="fr-FR" w:bidi="en-US"/>
        </w:rPr>
        <w:t>UNESCO</w:t>
      </w:r>
      <w:r w:rsidR="008002F4" w:rsidRPr="006904F4">
        <w:rPr>
          <w:rFonts w:eastAsia="SimSun"/>
          <w:snapToGrid/>
          <w:lang w:val="fr-FR" w:bidi="en-US"/>
        </w:rPr>
        <w:t xml:space="preserve"> </w:t>
      </w:r>
      <w:r w:rsidR="008F301E" w:rsidRPr="006904F4">
        <w:rPr>
          <w:rFonts w:eastAsia="SimSun"/>
          <w:snapToGrid/>
          <w:lang w:val="fr-FR" w:bidi="en-US"/>
        </w:rPr>
        <w:t>relatif à</w:t>
      </w:r>
      <w:r w:rsidR="00DE553A" w:rsidRPr="006904F4">
        <w:rPr>
          <w:rFonts w:eastAsia="SimSun"/>
          <w:snapToGrid/>
          <w:lang w:val="fr-FR" w:bidi="en-US"/>
        </w:rPr>
        <w:t xml:space="preserve"> la </w:t>
      </w:r>
      <w:r w:rsidR="001A32B8" w:rsidRPr="006904F4">
        <w:rPr>
          <w:rFonts w:eastAsia="SimSun"/>
          <w:snapToGrid/>
          <w:lang w:val="fr-FR" w:bidi="en-US"/>
        </w:rPr>
        <w:t>Convention</w:t>
      </w:r>
      <w:r w:rsidR="001A32B8" w:rsidRPr="006904F4">
        <w:rPr>
          <w:rStyle w:val="hps"/>
          <w:lang w:val="fr-FR"/>
        </w:rPr>
        <w:t xml:space="preserve">, </w:t>
      </w:r>
      <w:r w:rsidR="00DE553A" w:rsidRPr="006904F4">
        <w:rPr>
          <w:rStyle w:val="hps"/>
          <w:lang w:val="fr-FR"/>
        </w:rPr>
        <w:t>comme il l’a fait au cours de l’actuel exercice biennal</w:t>
      </w:r>
      <w:r w:rsidR="001A32B8" w:rsidRPr="006904F4">
        <w:rPr>
          <w:rStyle w:val="hps"/>
          <w:lang w:val="fr-FR"/>
        </w:rPr>
        <w:t xml:space="preserve">. </w:t>
      </w:r>
      <w:r w:rsidR="00DE553A" w:rsidRPr="006904F4">
        <w:rPr>
          <w:rStyle w:val="hps"/>
          <w:lang w:val="fr-FR"/>
        </w:rPr>
        <w:t xml:space="preserve">Un grand nombre d’actions </w:t>
      </w:r>
      <w:r w:rsidR="002A1F31" w:rsidRPr="006904F4">
        <w:rPr>
          <w:rStyle w:val="hps"/>
          <w:lang w:val="fr-FR"/>
        </w:rPr>
        <w:t>faisant suite à ces recommandations</w:t>
      </w:r>
      <w:r w:rsidR="00D003DA" w:rsidRPr="006904F4">
        <w:rPr>
          <w:rStyle w:val="hps"/>
          <w:lang w:val="fr-FR"/>
        </w:rPr>
        <w:t>,</w:t>
      </w:r>
      <w:r w:rsidR="00DE553A" w:rsidRPr="006904F4">
        <w:rPr>
          <w:rStyle w:val="hps"/>
          <w:lang w:val="fr-FR"/>
        </w:rPr>
        <w:t xml:space="preserve"> dont le </w:t>
      </w:r>
      <w:r w:rsidR="001A32B8" w:rsidRPr="006904F4">
        <w:rPr>
          <w:rFonts w:eastAsia="SimSun"/>
          <w:snapToGrid/>
          <w:lang w:val="fr-FR" w:bidi="en-US"/>
        </w:rPr>
        <w:t>Secr</w:t>
      </w:r>
      <w:r w:rsidR="00DE553A" w:rsidRPr="006904F4">
        <w:rPr>
          <w:rFonts w:eastAsia="SimSun"/>
          <w:snapToGrid/>
          <w:lang w:val="fr-FR" w:bidi="en-US"/>
        </w:rPr>
        <w:t>é</w:t>
      </w:r>
      <w:r w:rsidR="001A32B8" w:rsidRPr="006904F4">
        <w:rPr>
          <w:rFonts w:eastAsia="SimSun"/>
          <w:snapToGrid/>
          <w:lang w:val="fr-FR" w:bidi="en-US"/>
        </w:rPr>
        <w:t xml:space="preserve">tariat </w:t>
      </w:r>
      <w:r w:rsidR="00DE553A" w:rsidRPr="006904F4">
        <w:rPr>
          <w:rFonts w:eastAsia="SimSun"/>
          <w:snapToGrid/>
          <w:lang w:val="fr-FR" w:bidi="en-US"/>
        </w:rPr>
        <w:t xml:space="preserve">rend compte dans le </w:t>
      </w:r>
      <w:hyperlink r:id="rId27" w:history="1">
        <w:r w:rsidR="00DE553A" w:rsidRPr="004E50B6">
          <w:rPr>
            <w:rStyle w:val="Hyperlink"/>
            <w:rFonts w:eastAsia="SimSun"/>
            <w:snapToGrid/>
            <w:lang w:val="fr-FR" w:bidi="en-US"/>
          </w:rPr>
          <w:t>d</w:t>
        </w:r>
        <w:r w:rsidR="001A32B8" w:rsidRPr="004E50B6">
          <w:rPr>
            <w:rStyle w:val="Hyperlink"/>
            <w:rFonts w:eastAsia="SimSun"/>
            <w:snapToGrid/>
            <w:lang w:val="fr-FR" w:bidi="en-US"/>
          </w:rPr>
          <w:t>ocument ITH/15/10.COM/15.c</w:t>
        </w:r>
      </w:hyperlink>
      <w:r w:rsidR="001A32B8" w:rsidRPr="006904F4">
        <w:rPr>
          <w:rFonts w:eastAsia="SimSun"/>
          <w:snapToGrid/>
          <w:lang w:val="fr-FR" w:bidi="en-US"/>
        </w:rPr>
        <w:t xml:space="preserve"> </w:t>
      </w:r>
      <w:r w:rsidR="00DE553A" w:rsidRPr="006904F4">
        <w:rPr>
          <w:rFonts w:eastAsia="SimSun"/>
          <w:snapToGrid/>
          <w:lang w:val="fr-FR" w:bidi="en-US"/>
        </w:rPr>
        <w:t xml:space="preserve">ont été rendues </w:t>
      </w:r>
      <w:r w:rsidR="001A32B8" w:rsidRPr="006904F4">
        <w:rPr>
          <w:rFonts w:eastAsia="SimSun"/>
          <w:snapToGrid/>
          <w:lang w:val="fr-FR" w:bidi="en-US"/>
        </w:rPr>
        <w:t>possible</w:t>
      </w:r>
      <w:r w:rsidR="00DE553A" w:rsidRPr="006904F4">
        <w:rPr>
          <w:rFonts w:eastAsia="SimSun"/>
          <w:snapToGrid/>
          <w:lang w:val="fr-FR" w:bidi="en-US"/>
        </w:rPr>
        <w:t>s</w:t>
      </w:r>
      <w:r w:rsidR="001A32B8" w:rsidRPr="006904F4">
        <w:rPr>
          <w:rFonts w:eastAsia="SimSun"/>
          <w:snapToGrid/>
          <w:lang w:val="fr-FR" w:bidi="en-US"/>
        </w:rPr>
        <w:t xml:space="preserve"> </w:t>
      </w:r>
      <w:r w:rsidR="00DE553A" w:rsidRPr="006904F4">
        <w:rPr>
          <w:rFonts w:eastAsia="SimSun"/>
          <w:snapToGrid/>
          <w:lang w:val="fr-FR" w:bidi="en-US"/>
        </w:rPr>
        <w:t xml:space="preserve">grâce </w:t>
      </w:r>
      <w:r w:rsidR="002A1F31" w:rsidRPr="006904F4">
        <w:rPr>
          <w:rFonts w:eastAsia="SimSun"/>
          <w:snapToGrid/>
          <w:lang w:val="fr-FR" w:bidi="en-US"/>
        </w:rPr>
        <w:t>au soutien de</w:t>
      </w:r>
      <w:r w:rsidR="00DE553A" w:rsidRPr="006904F4">
        <w:rPr>
          <w:rFonts w:eastAsia="SimSun"/>
          <w:snapToGrid/>
          <w:lang w:val="fr-FR" w:bidi="en-US"/>
        </w:rPr>
        <w:t xml:space="preserve"> cette</w:t>
      </w:r>
      <w:r w:rsidR="001A32B8" w:rsidRPr="006904F4">
        <w:rPr>
          <w:rFonts w:eastAsia="SimSun"/>
          <w:snapToGrid/>
          <w:lang w:val="fr-FR" w:bidi="en-US"/>
        </w:rPr>
        <w:t xml:space="preserve"> </w:t>
      </w:r>
      <w:r w:rsidR="00FD1663" w:rsidRPr="006904F4">
        <w:rPr>
          <w:rFonts w:eastAsia="SimSun"/>
          <w:snapToGrid/>
          <w:lang w:val="fr-FR" w:bidi="en-US"/>
        </w:rPr>
        <w:t>ligne budgétaire</w:t>
      </w:r>
      <w:r w:rsidR="001A32B8" w:rsidRPr="006904F4">
        <w:rPr>
          <w:rFonts w:eastAsia="SimSun"/>
          <w:snapToGrid/>
          <w:lang w:val="fr-FR" w:bidi="en-US"/>
        </w:rPr>
        <w:t>.</w:t>
      </w:r>
    </w:p>
    <w:p w14:paraId="3CEFE9E1" w14:textId="6F2CE949" w:rsidR="003377B5" w:rsidRPr="00122856" w:rsidRDefault="001F2896" w:rsidP="009E1B50">
      <w:pPr>
        <w:pStyle w:val="COMParabodytext"/>
        <w:rPr>
          <w:lang w:val="fr-FR"/>
        </w:rPr>
      </w:pPr>
      <w:r w:rsidRPr="00122856">
        <w:rPr>
          <w:lang w:val="fr-FR"/>
        </w:rPr>
        <w:t xml:space="preserve">Comme dans le plan actuel </w:t>
      </w:r>
      <w:r w:rsidR="003B5510" w:rsidRPr="00122856">
        <w:rPr>
          <w:lang w:val="fr-FR"/>
        </w:rPr>
        <w:t xml:space="preserve">d’utilisation du Fonds </w:t>
      </w:r>
      <w:r w:rsidRPr="00122856">
        <w:rPr>
          <w:lang w:val="fr-FR"/>
        </w:rPr>
        <w:t xml:space="preserve">et </w:t>
      </w:r>
      <w:r w:rsidR="003B5510" w:rsidRPr="00122856">
        <w:rPr>
          <w:lang w:val="fr-FR"/>
        </w:rPr>
        <w:t xml:space="preserve">les </w:t>
      </w:r>
      <w:r w:rsidRPr="00122856">
        <w:rPr>
          <w:lang w:val="fr-FR"/>
        </w:rPr>
        <w:t>précédents</w:t>
      </w:r>
      <w:r w:rsidR="001A32B8" w:rsidRPr="00122856">
        <w:rPr>
          <w:lang w:val="fr-FR"/>
        </w:rPr>
        <w:t xml:space="preserve">, </w:t>
      </w:r>
      <w:r w:rsidRPr="00122856">
        <w:rPr>
          <w:lang w:val="fr-FR"/>
        </w:rPr>
        <w:t>le présent projet de décision propose que le C</w:t>
      </w:r>
      <w:r w:rsidR="001A32B8" w:rsidRPr="00122856">
        <w:rPr>
          <w:lang w:val="fr-FR"/>
        </w:rPr>
        <w:t>omit</w:t>
      </w:r>
      <w:r w:rsidRPr="00122856">
        <w:rPr>
          <w:lang w:val="fr-FR"/>
        </w:rPr>
        <w:t xml:space="preserve">é </w:t>
      </w:r>
      <w:proofErr w:type="gramStart"/>
      <w:r w:rsidRPr="00122856">
        <w:rPr>
          <w:lang w:val="fr-FR"/>
        </w:rPr>
        <w:t>délègue</w:t>
      </w:r>
      <w:proofErr w:type="gramEnd"/>
      <w:r w:rsidRPr="00122856">
        <w:rPr>
          <w:lang w:val="fr-FR"/>
        </w:rPr>
        <w:t xml:space="preserve"> à nouveau à son</w:t>
      </w:r>
      <w:r w:rsidR="001A32B8" w:rsidRPr="00122856">
        <w:rPr>
          <w:bCs/>
          <w:lang w:val="fr-FR"/>
        </w:rPr>
        <w:t xml:space="preserve"> Bureau </w:t>
      </w:r>
      <w:r w:rsidRPr="00122856">
        <w:rPr>
          <w:bCs/>
          <w:lang w:val="fr-FR"/>
        </w:rPr>
        <w:t xml:space="preserve">le pouvoir de décider de l’utilisation des crédits alloués au titre de la </w:t>
      </w:r>
      <w:r w:rsidR="00FD1663" w:rsidRPr="00122856">
        <w:rPr>
          <w:bCs/>
          <w:lang w:val="fr-FR"/>
        </w:rPr>
        <w:t>ligne budgétaire</w:t>
      </w:r>
      <w:r w:rsidR="001A32B8" w:rsidRPr="00122856">
        <w:rPr>
          <w:bCs/>
          <w:lang w:val="fr-FR"/>
        </w:rPr>
        <w:t xml:space="preserve"> 3, </w:t>
      </w:r>
      <w:r w:rsidRPr="00122856">
        <w:rPr>
          <w:bCs/>
          <w:lang w:val="fr-FR"/>
        </w:rPr>
        <w:t xml:space="preserve">sur la base de propositions spécifiques à préparer par le </w:t>
      </w:r>
      <w:r w:rsidR="001A32B8" w:rsidRPr="00122856">
        <w:rPr>
          <w:bCs/>
          <w:lang w:val="fr-FR"/>
        </w:rPr>
        <w:t>Secr</w:t>
      </w:r>
      <w:r w:rsidRPr="00122856">
        <w:rPr>
          <w:bCs/>
          <w:lang w:val="fr-FR"/>
        </w:rPr>
        <w:t>é</w:t>
      </w:r>
      <w:r w:rsidR="001A32B8" w:rsidRPr="00122856">
        <w:rPr>
          <w:bCs/>
          <w:lang w:val="fr-FR"/>
        </w:rPr>
        <w:t xml:space="preserve">tariat. </w:t>
      </w:r>
      <w:r w:rsidR="003B5510" w:rsidRPr="00122856">
        <w:rPr>
          <w:bCs/>
          <w:lang w:val="fr-FR"/>
        </w:rPr>
        <w:t>L</w:t>
      </w:r>
      <w:r w:rsidR="00761990" w:rsidRPr="00122856">
        <w:rPr>
          <w:lang w:val="fr-FR"/>
        </w:rPr>
        <w:t xml:space="preserve">e projet de décision </w:t>
      </w:r>
      <w:r w:rsidR="003B5510" w:rsidRPr="00122856">
        <w:rPr>
          <w:lang w:val="fr-FR"/>
        </w:rPr>
        <w:t xml:space="preserve">propose également </w:t>
      </w:r>
      <w:r w:rsidR="00761990" w:rsidRPr="00122856">
        <w:rPr>
          <w:lang w:val="fr-FR"/>
        </w:rPr>
        <w:t xml:space="preserve">que le Comité autorise le </w:t>
      </w:r>
      <w:r w:rsidR="001A32B8" w:rsidRPr="00122856">
        <w:rPr>
          <w:lang w:val="fr-FR"/>
        </w:rPr>
        <w:t>Secr</w:t>
      </w:r>
      <w:r w:rsidR="00761990" w:rsidRPr="00122856">
        <w:rPr>
          <w:lang w:val="fr-FR"/>
        </w:rPr>
        <w:t>é</w:t>
      </w:r>
      <w:r w:rsidR="001A32B8" w:rsidRPr="00122856">
        <w:rPr>
          <w:lang w:val="fr-FR"/>
        </w:rPr>
        <w:t xml:space="preserve">tariat </w:t>
      </w:r>
      <w:r w:rsidR="00761990" w:rsidRPr="00122856">
        <w:rPr>
          <w:lang w:val="fr-FR"/>
        </w:rPr>
        <w:t xml:space="preserve">à </w:t>
      </w:r>
      <w:r w:rsidR="00A56A9D" w:rsidRPr="00122856">
        <w:rPr>
          <w:lang w:val="fr-FR"/>
        </w:rPr>
        <w:t>procéder à</w:t>
      </w:r>
      <w:r w:rsidR="00761990" w:rsidRPr="00122856">
        <w:rPr>
          <w:lang w:val="fr-FR"/>
        </w:rPr>
        <w:t xml:space="preserve"> des transferts entre activités </w:t>
      </w:r>
      <w:r w:rsidR="00A56A9D" w:rsidRPr="00122856">
        <w:rPr>
          <w:lang w:val="fr-FR"/>
        </w:rPr>
        <w:t xml:space="preserve">au sein </w:t>
      </w:r>
      <w:r w:rsidR="00761990" w:rsidRPr="00122856">
        <w:rPr>
          <w:lang w:val="fr-FR"/>
        </w:rPr>
        <w:t xml:space="preserve">de la </w:t>
      </w:r>
      <w:r w:rsidR="00FD1663" w:rsidRPr="00122856">
        <w:rPr>
          <w:lang w:val="fr-FR"/>
        </w:rPr>
        <w:t>ligne budgétaire</w:t>
      </w:r>
      <w:r w:rsidR="001A32B8" w:rsidRPr="00122856">
        <w:rPr>
          <w:lang w:val="fr-FR"/>
        </w:rPr>
        <w:t xml:space="preserve"> 3 </w:t>
      </w:r>
      <w:r w:rsidR="00761990" w:rsidRPr="00122856">
        <w:rPr>
          <w:lang w:val="fr-FR"/>
        </w:rPr>
        <w:t xml:space="preserve">à hauteur d’un montant cumulé équivalent à </w:t>
      </w:r>
      <w:r w:rsidR="001A32B8" w:rsidRPr="00122856">
        <w:rPr>
          <w:lang w:val="fr-FR"/>
        </w:rPr>
        <w:t>2</w:t>
      </w:r>
      <w:r w:rsidR="00761990" w:rsidRPr="00122856">
        <w:rPr>
          <w:lang w:val="fr-FR"/>
        </w:rPr>
        <w:t> </w:t>
      </w:r>
      <w:r w:rsidR="001A32B8" w:rsidRPr="00122856">
        <w:rPr>
          <w:lang w:val="fr-FR"/>
        </w:rPr>
        <w:t xml:space="preserve">% </w:t>
      </w:r>
      <w:r w:rsidR="00761990" w:rsidRPr="00122856">
        <w:rPr>
          <w:lang w:val="fr-FR"/>
        </w:rPr>
        <w:t xml:space="preserve">de l’allocation totale initiale </w:t>
      </w:r>
      <w:r w:rsidR="00F974A6" w:rsidRPr="00122856">
        <w:rPr>
          <w:lang w:val="fr-FR"/>
        </w:rPr>
        <w:t>susceptible d’</w:t>
      </w:r>
      <w:r w:rsidR="00761990" w:rsidRPr="00122856">
        <w:rPr>
          <w:lang w:val="fr-FR"/>
        </w:rPr>
        <w:t>être proposée à cet effet à l’Assemblée générale</w:t>
      </w:r>
      <w:r w:rsidR="001A32B8" w:rsidRPr="00122856">
        <w:rPr>
          <w:lang w:val="fr-FR"/>
        </w:rPr>
        <w:t xml:space="preserve">, </w:t>
      </w:r>
      <w:r w:rsidR="00223C90" w:rsidRPr="00122856">
        <w:rPr>
          <w:lang w:val="fr-FR"/>
        </w:rPr>
        <w:t>laquelle</w:t>
      </w:r>
      <w:r w:rsidR="00761990" w:rsidRPr="00122856">
        <w:rPr>
          <w:lang w:val="fr-FR"/>
        </w:rPr>
        <w:t xml:space="preserve"> devrait fluctuer autour des </w:t>
      </w:r>
      <w:r w:rsidR="001A32B8" w:rsidRPr="00122856">
        <w:rPr>
          <w:lang w:val="fr-FR"/>
        </w:rPr>
        <w:t>25</w:t>
      </w:r>
      <w:r w:rsidR="00761990" w:rsidRPr="00122856">
        <w:rPr>
          <w:lang w:val="fr-FR"/>
        </w:rPr>
        <w:t> </w:t>
      </w:r>
      <w:r w:rsidR="001A32B8" w:rsidRPr="00122856">
        <w:rPr>
          <w:lang w:val="fr-FR"/>
        </w:rPr>
        <w:t>000</w:t>
      </w:r>
      <w:r w:rsidR="00761990" w:rsidRPr="00122856">
        <w:rPr>
          <w:lang w:val="fr-FR"/>
        </w:rPr>
        <w:t xml:space="preserve"> dollars des </w:t>
      </w:r>
      <w:r w:rsidR="00EE57F4" w:rsidRPr="00122856">
        <w:rPr>
          <w:lang w:val="fr-FR"/>
        </w:rPr>
        <w:t>États-Unis</w:t>
      </w:r>
      <w:r w:rsidR="001A32B8" w:rsidRPr="00122856">
        <w:rPr>
          <w:lang w:val="fr-FR"/>
        </w:rPr>
        <w:t xml:space="preserve"> autori</w:t>
      </w:r>
      <w:r w:rsidR="00761990" w:rsidRPr="00122856">
        <w:rPr>
          <w:lang w:val="fr-FR"/>
        </w:rPr>
        <w:t xml:space="preserve">sés par les décisions antérieures du Comité </w:t>
      </w:r>
      <w:r w:rsidR="001A32B8" w:rsidRPr="00122856">
        <w:rPr>
          <w:lang w:val="fr-FR"/>
        </w:rPr>
        <w:t xml:space="preserve">(6.COM 20 </w:t>
      </w:r>
      <w:r w:rsidR="00761990" w:rsidRPr="00122856">
        <w:rPr>
          <w:lang w:val="fr-FR"/>
        </w:rPr>
        <w:t>et</w:t>
      </w:r>
      <w:r w:rsidR="001A32B8" w:rsidRPr="00122856">
        <w:rPr>
          <w:lang w:val="fr-FR"/>
        </w:rPr>
        <w:t xml:space="preserve"> 8.COM 11). </w:t>
      </w:r>
      <w:r w:rsidR="00012689" w:rsidRPr="00122856">
        <w:rPr>
          <w:lang w:val="fr-FR"/>
        </w:rPr>
        <w:t xml:space="preserve">Cette </w:t>
      </w:r>
      <w:r w:rsidR="001A32B8" w:rsidRPr="00122856">
        <w:rPr>
          <w:lang w:val="fr-FR"/>
        </w:rPr>
        <w:t>autori</w:t>
      </w:r>
      <w:r w:rsidR="00012689" w:rsidRPr="00122856">
        <w:rPr>
          <w:lang w:val="fr-FR"/>
        </w:rPr>
        <w:t>s</w:t>
      </w:r>
      <w:r w:rsidR="001A32B8" w:rsidRPr="00122856">
        <w:rPr>
          <w:lang w:val="fr-FR"/>
        </w:rPr>
        <w:t xml:space="preserve">ation </w:t>
      </w:r>
      <w:r w:rsidR="00012689" w:rsidRPr="00122856">
        <w:rPr>
          <w:lang w:val="fr-FR"/>
        </w:rPr>
        <w:t xml:space="preserve">est semblable à celle </w:t>
      </w:r>
      <w:r w:rsidR="00F974A6" w:rsidRPr="00122856">
        <w:rPr>
          <w:lang w:val="fr-FR"/>
        </w:rPr>
        <w:t xml:space="preserve">donnée par </w:t>
      </w:r>
      <w:r w:rsidR="00012689" w:rsidRPr="00122856">
        <w:rPr>
          <w:lang w:val="fr-FR"/>
        </w:rPr>
        <w:t xml:space="preserve">la Conférence générale </w:t>
      </w:r>
      <w:r w:rsidR="00F974A6" w:rsidRPr="00122856">
        <w:rPr>
          <w:lang w:val="fr-FR"/>
        </w:rPr>
        <w:t>à la</w:t>
      </w:r>
      <w:r w:rsidR="00012689" w:rsidRPr="00122856">
        <w:rPr>
          <w:lang w:val="fr-FR"/>
        </w:rPr>
        <w:t xml:space="preserve"> Directrice générale </w:t>
      </w:r>
      <w:r w:rsidR="00D73826" w:rsidRPr="00122856">
        <w:rPr>
          <w:lang w:val="fr-FR"/>
        </w:rPr>
        <w:t xml:space="preserve">pour </w:t>
      </w:r>
      <w:r w:rsidR="00AF53C9" w:rsidRPr="00122856">
        <w:rPr>
          <w:lang w:val="fr-FR"/>
        </w:rPr>
        <w:t>procéder à</w:t>
      </w:r>
      <w:r w:rsidR="00012689" w:rsidRPr="00122856">
        <w:rPr>
          <w:lang w:val="fr-FR"/>
        </w:rPr>
        <w:t xml:space="preserve"> des transferts entre </w:t>
      </w:r>
      <w:r w:rsidR="00856AAC" w:rsidRPr="00122856">
        <w:rPr>
          <w:lang w:val="fr-FR"/>
        </w:rPr>
        <w:t>les lignes de crédit du programme ordinaire de l’</w:t>
      </w:r>
      <w:r w:rsidR="001A32B8" w:rsidRPr="00122856">
        <w:rPr>
          <w:lang w:val="fr-FR"/>
        </w:rPr>
        <w:t>UNESCO</w:t>
      </w:r>
      <w:r w:rsidR="00856AAC" w:rsidRPr="00122856">
        <w:rPr>
          <w:lang w:val="fr-FR"/>
        </w:rPr>
        <w:t xml:space="preserve">, jusqu’à concurrence de </w:t>
      </w:r>
      <w:r w:rsidR="001A32B8" w:rsidRPr="00122856">
        <w:rPr>
          <w:lang w:val="fr-FR"/>
        </w:rPr>
        <w:t>2</w:t>
      </w:r>
      <w:r w:rsidR="00856AAC" w:rsidRPr="00122856">
        <w:rPr>
          <w:lang w:val="fr-FR"/>
        </w:rPr>
        <w:t> </w:t>
      </w:r>
      <w:r w:rsidR="001A32B8" w:rsidRPr="00122856">
        <w:rPr>
          <w:lang w:val="fr-FR"/>
        </w:rPr>
        <w:t xml:space="preserve">% </w:t>
      </w:r>
      <w:r w:rsidR="00856AAC" w:rsidRPr="00122856">
        <w:rPr>
          <w:lang w:val="fr-FR"/>
        </w:rPr>
        <w:t>du crédit initial</w:t>
      </w:r>
      <w:r w:rsidR="001A32B8" w:rsidRPr="00122856">
        <w:rPr>
          <w:lang w:val="fr-FR"/>
        </w:rPr>
        <w:t xml:space="preserve">. </w:t>
      </w:r>
      <w:r w:rsidR="00856AAC" w:rsidRPr="00122856">
        <w:rPr>
          <w:lang w:val="fr-FR"/>
        </w:rPr>
        <w:t xml:space="preserve">Le </w:t>
      </w:r>
      <w:r w:rsidR="001A32B8" w:rsidRPr="00122856">
        <w:rPr>
          <w:lang w:val="fr-FR"/>
        </w:rPr>
        <w:t>Secr</w:t>
      </w:r>
      <w:r w:rsidR="00856AAC" w:rsidRPr="00122856">
        <w:rPr>
          <w:lang w:val="fr-FR"/>
        </w:rPr>
        <w:t>é</w:t>
      </w:r>
      <w:r w:rsidR="001A32B8" w:rsidRPr="00122856">
        <w:rPr>
          <w:lang w:val="fr-FR"/>
        </w:rPr>
        <w:t xml:space="preserve">tariat </w:t>
      </w:r>
      <w:r w:rsidR="00C94F5A" w:rsidRPr="00122856">
        <w:rPr>
          <w:lang w:val="fr-FR"/>
        </w:rPr>
        <w:t xml:space="preserve">informera le </w:t>
      </w:r>
      <w:r w:rsidR="001A32B8" w:rsidRPr="00122856">
        <w:rPr>
          <w:lang w:val="fr-FR"/>
        </w:rPr>
        <w:t xml:space="preserve">Bureau </w:t>
      </w:r>
      <w:r w:rsidR="00C94F5A" w:rsidRPr="00122856">
        <w:rPr>
          <w:lang w:val="fr-FR"/>
        </w:rPr>
        <w:t xml:space="preserve">par écrit, lors de la session qui suivra cette action, des détails et des </w:t>
      </w:r>
      <w:r w:rsidR="00AF53C9" w:rsidRPr="00122856">
        <w:rPr>
          <w:lang w:val="fr-FR"/>
        </w:rPr>
        <w:t>raison</w:t>
      </w:r>
      <w:r w:rsidR="00C94F5A" w:rsidRPr="00122856">
        <w:rPr>
          <w:lang w:val="fr-FR"/>
        </w:rPr>
        <w:t>s de ces transferts</w:t>
      </w:r>
      <w:r w:rsidR="00AF53C9" w:rsidRPr="00122856">
        <w:rPr>
          <w:lang w:val="fr-FR"/>
        </w:rPr>
        <w:t> </w:t>
      </w:r>
      <w:r w:rsidR="00C94F5A" w:rsidRPr="00122856">
        <w:rPr>
          <w:lang w:val="fr-FR"/>
        </w:rPr>
        <w:t xml:space="preserve">; tout transfert excédant ce montant exigera l’approbation préalable par le </w:t>
      </w:r>
      <w:r w:rsidR="001A32B8" w:rsidRPr="00122856">
        <w:rPr>
          <w:lang w:val="fr-FR"/>
        </w:rPr>
        <w:t>Bureau</w:t>
      </w:r>
      <w:r w:rsidR="00C94F5A" w:rsidRPr="00122856">
        <w:rPr>
          <w:lang w:val="fr-FR"/>
        </w:rPr>
        <w:t xml:space="preserve"> d’un plan de dépenses révisé</w:t>
      </w:r>
      <w:r w:rsidR="001A32B8" w:rsidRPr="00122856">
        <w:rPr>
          <w:lang w:val="fr-FR"/>
        </w:rPr>
        <w:t>.</w:t>
      </w:r>
    </w:p>
    <w:p w14:paraId="5AEC3CCC" w14:textId="1E267A3F" w:rsidR="003377B5" w:rsidRPr="00122856" w:rsidRDefault="00C94F5A" w:rsidP="009E1B50">
      <w:pPr>
        <w:pStyle w:val="COMParabodytext"/>
        <w:rPr>
          <w:lang w:val="fr-FR"/>
        </w:rPr>
      </w:pPr>
      <w:r w:rsidRPr="00122856">
        <w:rPr>
          <w:lang w:val="fr-FR"/>
        </w:rPr>
        <w:t xml:space="preserve">La participation aux réunions statutaires des experts </w:t>
      </w:r>
      <w:r w:rsidR="00D73826" w:rsidRPr="00122856">
        <w:rPr>
          <w:lang w:val="fr-FR"/>
        </w:rPr>
        <w:t xml:space="preserve">du </w:t>
      </w:r>
      <w:r w:rsidRPr="00122856">
        <w:rPr>
          <w:lang w:val="fr-FR"/>
        </w:rPr>
        <w:t xml:space="preserve">patrimoine culturel </w:t>
      </w:r>
      <w:r w:rsidR="00663CAB" w:rsidRPr="00122856">
        <w:rPr>
          <w:lang w:val="fr-FR"/>
        </w:rPr>
        <w:t xml:space="preserve">immatériel représentant des </w:t>
      </w:r>
      <w:r w:rsidR="00D73826" w:rsidRPr="00122856">
        <w:rPr>
          <w:lang w:val="fr-FR"/>
        </w:rPr>
        <w:t>États</w:t>
      </w:r>
      <w:r w:rsidR="00D73826" w:rsidRPr="00122856" w:rsidDel="00D73826">
        <w:rPr>
          <w:lang w:val="fr-FR"/>
        </w:rPr>
        <w:t xml:space="preserve"> </w:t>
      </w:r>
      <w:r w:rsidR="00663CAB" w:rsidRPr="00122856">
        <w:rPr>
          <w:lang w:val="fr-FR"/>
        </w:rPr>
        <w:t xml:space="preserve">parties est couverte soit par la </w:t>
      </w:r>
      <w:r w:rsidR="00FD1663" w:rsidRPr="00122856">
        <w:rPr>
          <w:b/>
          <w:bCs/>
          <w:lang w:val="fr-FR"/>
        </w:rPr>
        <w:t>ligne budgétaire</w:t>
      </w:r>
      <w:r w:rsidR="001A32B8" w:rsidRPr="00122856">
        <w:rPr>
          <w:b/>
          <w:bCs/>
          <w:lang w:val="fr-FR"/>
        </w:rPr>
        <w:t> 4</w:t>
      </w:r>
      <w:r w:rsidR="00663CAB" w:rsidRPr="00122856">
        <w:rPr>
          <w:lang w:val="fr-FR"/>
        </w:rPr>
        <w:t xml:space="preserve"> s’ils sont membre</w:t>
      </w:r>
      <w:r w:rsidR="005D294F" w:rsidRPr="00122856">
        <w:rPr>
          <w:lang w:val="fr-FR"/>
        </w:rPr>
        <w:t>s</w:t>
      </w:r>
      <w:r w:rsidR="00663CAB" w:rsidRPr="00122856">
        <w:rPr>
          <w:lang w:val="fr-FR"/>
        </w:rPr>
        <w:t xml:space="preserve"> du Comité, soit par la </w:t>
      </w:r>
      <w:r w:rsidR="00FD1663" w:rsidRPr="00122856">
        <w:rPr>
          <w:b/>
          <w:bCs/>
          <w:lang w:val="fr-FR"/>
        </w:rPr>
        <w:t>ligne budgétaire</w:t>
      </w:r>
      <w:r w:rsidR="001A32B8" w:rsidRPr="00122856">
        <w:rPr>
          <w:b/>
          <w:bCs/>
          <w:lang w:val="fr-FR"/>
        </w:rPr>
        <w:t> 5</w:t>
      </w:r>
      <w:r w:rsidR="00663CAB" w:rsidRPr="00122856">
        <w:rPr>
          <w:lang w:val="fr-FR"/>
        </w:rPr>
        <w:t xml:space="preserve"> s’ils ne le sont pas</w:t>
      </w:r>
      <w:r w:rsidR="001A32B8" w:rsidRPr="00122856">
        <w:rPr>
          <w:lang w:val="fr-FR"/>
        </w:rPr>
        <w:t xml:space="preserve">. </w:t>
      </w:r>
      <w:r w:rsidR="00663CAB" w:rsidRPr="00122856">
        <w:rPr>
          <w:lang w:val="fr-FR"/>
        </w:rPr>
        <w:t>Dans le plan proposé</w:t>
      </w:r>
      <w:r w:rsidR="001A32B8" w:rsidRPr="00122856">
        <w:rPr>
          <w:lang w:val="fr-FR"/>
        </w:rPr>
        <w:t xml:space="preserve">, </w:t>
      </w:r>
      <w:r w:rsidR="005D294F" w:rsidRPr="00122856">
        <w:rPr>
          <w:lang w:val="fr-FR"/>
        </w:rPr>
        <w:t xml:space="preserve">cette dernière </w:t>
      </w:r>
      <w:r w:rsidR="00C92627" w:rsidRPr="00122856">
        <w:rPr>
          <w:lang w:val="fr-FR"/>
        </w:rPr>
        <w:t xml:space="preserve">ligne </w:t>
      </w:r>
      <w:r w:rsidR="005D294F" w:rsidRPr="00122856">
        <w:rPr>
          <w:lang w:val="fr-FR"/>
        </w:rPr>
        <w:t xml:space="preserve">resterait </w:t>
      </w:r>
      <w:r w:rsidR="00EE57F4" w:rsidRPr="00122856">
        <w:rPr>
          <w:lang w:val="fr-FR"/>
        </w:rPr>
        <w:t>identique</w:t>
      </w:r>
      <w:r w:rsidR="005D294F" w:rsidRPr="00122856">
        <w:rPr>
          <w:lang w:val="fr-FR"/>
        </w:rPr>
        <w:t xml:space="preserve"> </w:t>
      </w:r>
      <w:r w:rsidR="00C92627" w:rsidRPr="00122856">
        <w:rPr>
          <w:lang w:val="fr-FR"/>
        </w:rPr>
        <w:t xml:space="preserve">à celle du plan actuel </w:t>
      </w:r>
      <w:r w:rsidR="005D294F" w:rsidRPr="00122856">
        <w:rPr>
          <w:lang w:val="fr-FR"/>
        </w:rPr>
        <w:t xml:space="preserve">en termes de pourcentage, tandis que la première </w:t>
      </w:r>
      <w:r w:rsidR="00C92627" w:rsidRPr="00122856">
        <w:rPr>
          <w:lang w:val="fr-FR"/>
        </w:rPr>
        <w:t xml:space="preserve">serait ramenée </w:t>
      </w:r>
      <w:r w:rsidR="005D294F" w:rsidRPr="00122856">
        <w:rPr>
          <w:lang w:val="fr-FR"/>
        </w:rPr>
        <w:t xml:space="preserve">de </w:t>
      </w:r>
      <w:r w:rsidR="001A32B8" w:rsidRPr="00122856">
        <w:rPr>
          <w:lang w:val="fr-FR"/>
        </w:rPr>
        <w:t>2</w:t>
      </w:r>
      <w:r w:rsidR="005D294F" w:rsidRPr="00122856">
        <w:rPr>
          <w:lang w:val="fr-FR"/>
        </w:rPr>
        <w:t>,</w:t>
      </w:r>
      <w:r w:rsidR="001A32B8" w:rsidRPr="00122856">
        <w:rPr>
          <w:lang w:val="fr-FR"/>
        </w:rPr>
        <w:t>75</w:t>
      </w:r>
      <w:r w:rsidR="005D294F" w:rsidRPr="00122856">
        <w:rPr>
          <w:lang w:val="fr-FR"/>
        </w:rPr>
        <w:t> </w:t>
      </w:r>
      <w:r w:rsidR="001A32B8" w:rsidRPr="00122856">
        <w:rPr>
          <w:lang w:val="fr-FR"/>
        </w:rPr>
        <w:t xml:space="preserve">% </w:t>
      </w:r>
      <w:r w:rsidR="005D294F" w:rsidRPr="00122856">
        <w:rPr>
          <w:lang w:val="fr-FR"/>
        </w:rPr>
        <w:t>à</w:t>
      </w:r>
      <w:r w:rsidR="001A32B8" w:rsidRPr="00122856">
        <w:rPr>
          <w:lang w:val="fr-FR"/>
        </w:rPr>
        <w:t xml:space="preserve"> 2</w:t>
      </w:r>
      <w:r w:rsidR="005D294F" w:rsidRPr="00122856">
        <w:rPr>
          <w:lang w:val="fr-FR"/>
        </w:rPr>
        <w:t>,</w:t>
      </w:r>
      <w:r w:rsidR="001A32B8" w:rsidRPr="00122856">
        <w:rPr>
          <w:lang w:val="fr-FR"/>
        </w:rPr>
        <w:t>25</w:t>
      </w:r>
      <w:r w:rsidR="005D294F" w:rsidRPr="00122856">
        <w:rPr>
          <w:lang w:val="fr-FR"/>
        </w:rPr>
        <w:t> </w:t>
      </w:r>
      <w:r w:rsidR="001A32B8" w:rsidRPr="00122856">
        <w:rPr>
          <w:lang w:val="fr-FR"/>
        </w:rPr>
        <w:t xml:space="preserve">%. </w:t>
      </w:r>
      <w:r w:rsidR="00EE57F4" w:rsidRPr="00122856">
        <w:rPr>
          <w:lang w:val="fr-FR"/>
        </w:rPr>
        <w:t xml:space="preserve">Les crédits prévus pour la participation des experts de pays en développement membres du Comité suffisent amplement pour couvrir leur participation aux réunions du Comité et du Bureau. </w:t>
      </w:r>
      <w:r w:rsidR="00830156" w:rsidRPr="00122856">
        <w:rPr>
          <w:lang w:val="fr-FR"/>
        </w:rPr>
        <w:t>L</w:t>
      </w:r>
      <w:r w:rsidR="001A32B8" w:rsidRPr="00122856">
        <w:rPr>
          <w:lang w:val="fr-FR"/>
        </w:rPr>
        <w:t>e n</w:t>
      </w:r>
      <w:r w:rsidR="00830156" w:rsidRPr="00122856">
        <w:rPr>
          <w:lang w:val="fr-FR"/>
        </w:rPr>
        <w:t>o</w:t>
      </w:r>
      <w:r w:rsidR="001A32B8" w:rsidRPr="00122856">
        <w:rPr>
          <w:lang w:val="fr-FR"/>
        </w:rPr>
        <w:t>mb</w:t>
      </w:r>
      <w:r w:rsidR="00830156" w:rsidRPr="00122856">
        <w:rPr>
          <w:lang w:val="fr-FR"/>
        </w:rPr>
        <w:t>re</w:t>
      </w:r>
      <w:r w:rsidR="001A32B8" w:rsidRPr="00122856">
        <w:rPr>
          <w:lang w:val="fr-FR"/>
        </w:rPr>
        <w:t xml:space="preserve"> </w:t>
      </w:r>
      <w:r w:rsidR="00830156" w:rsidRPr="00122856">
        <w:rPr>
          <w:lang w:val="fr-FR"/>
        </w:rPr>
        <w:t>d’</w:t>
      </w:r>
      <w:r w:rsidR="00C51B00" w:rsidRPr="00122856">
        <w:rPr>
          <w:lang w:val="fr-FR"/>
        </w:rPr>
        <w:t>États</w:t>
      </w:r>
      <w:r w:rsidR="00830156" w:rsidRPr="00122856">
        <w:rPr>
          <w:lang w:val="fr-FR"/>
        </w:rPr>
        <w:t xml:space="preserve"> membres du Comité pouvant bénéficier de cette </w:t>
      </w:r>
      <w:r w:rsidR="002D2AF2" w:rsidRPr="00122856">
        <w:rPr>
          <w:lang w:val="fr-FR"/>
        </w:rPr>
        <w:t>aide</w:t>
      </w:r>
      <w:r w:rsidR="00830156" w:rsidRPr="00122856">
        <w:rPr>
          <w:lang w:val="fr-FR"/>
        </w:rPr>
        <w:t xml:space="preserve"> est limité</w:t>
      </w:r>
      <w:r w:rsidR="001A32B8" w:rsidRPr="00122856">
        <w:rPr>
          <w:lang w:val="fr-FR"/>
        </w:rPr>
        <w:t xml:space="preserve">, </w:t>
      </w:r>
      <w:r w:rsidR="00830156" w:rsidRPr="00122856">
        <w:rPr>
          <w:lang w:val="fr-FR"/>
        </w:rPr>
        <w:t xml:space="preserve">et le pourcentage légèrement </w:t>
      </w:r>
      <w:r w:rsidR="002D2AF2" w:rsidRPr="00122856">
        <w:rPr>
          <w:lang w:val="fr-FR"/>
        </w:rPr>
        <w:t>réduit</w:t>
      </w:r>
      <w:r w:rsidR="00830156" w:rsidRPr="00122856">
        <w:rPr>
          <w:lang w:val="fr-FR"/>
        </w:rPr>
        <w:t xml:space="preserve"> devrait être plus que suffisant, en particulier du fait qu’en valeur absolue </w:t>
      </w:r>
      <w:r w:rsidR="004E6750" w:rsidRPr="00122856">
        <w:rPr>
          <w:lang w:val="fr-FR"/>
        </w:rPr>
        <w:t xml:space="preserve">la </w:t>
      </w:r>
      <w:r w:rsidR="001A32B8" w:rsidRPr="00122856">
        <w:rPr>
          <w:lang w:val="fr-FR"/>
        </w:rPr>
        <w:t>r</w:t>
      </w:r>
      <w:r w:rsidR="004E6750" w:rsidRPr="00122856">
        <w:rPr>
          <w:lang w:val="fr-FR"/>
        </w:rPr>
        <w:t>é</w:t>
      </w:r>
      <w:r w:rsidR="001A32B8" w:rsidRPr="00122856">
        <w:rPr>
          <w:lang w:val="fr-FR"/>
        </w:rPr>
        <w:t xml:space="preserve">duction </w:t>
      </w:r>
      <w:r w:rsidR="004E6750" w:rsidRPr="00122856">
        <w:rPr>
          <w:lang w:val="fr-FR"/>
        </w:rPr>
        <w:t xml:space="preserve">pourrait être </w:t>
      </w:r>
      <w:r w:rsidR="002D2AF2" w:rsidRPr="00122856">
        <w:rPr>
          <w:lang w:val="fr-FR"/>
        </w:rPr>
        <w:t>nulle</w:t>
      </w:r>
      <w:r w:rsidR="004E6750" w:rsidRPr="00122856">
        <w:rPr>
          <w:lang w:val="fr-FR"/>
        </w:rPr>
        <w:t xml:space="preserve"> ou insignifiante</w:t>
      </w:r>
      <w:r w:rsidR="001A32B8" w:rsidRPr="00122856">
        <w:rPr>
          <w:vertAlign w:val="superscript"/>
          <w:lang w:val="fr-FR"/>
        </w:rPr>
        <w:footnoteReference w:id="7"/>
      </w:r>
      <w:r w:rsidR="001A32B8" w:rsidRPr="00122856">
        <w:rPr>
          <w:lang w:val="fr-FR"/>
        </w:rPr>
        <w:t xml:space="preserve">. </w:t>
      </w:r>
      <w:r w:rsidR="004E6750" w:rsidRPr="00122856">
        <w:rPr>
          <w:lang w:val="fr-FR"/>
        </w:rPr>
        <w:t xml:space="preserve">De plus, avec la </w:t>
      </w:r>
      <w:r w:rsidR="00E47C36" w:rsidRPr="00122856">
        <w:rPr>
          <w:lang w:val="fr-FR"/>
        </w:rPr>
        <w:t>mise en place</w:t>
      </w:r>
      <w:r w:rsidR="004E6750" w:rsidRPr="00122856">
        <w:rPr>
          <w:lang w:val="fr-FR"/>
        </w:rPr>
        <w:t xml:space="preserve"> de l’Organe d’évaluation, </w:t>
      </w:r>
      <w:r w:rsidR="00E47C36" w:rsidRPr="00122856">
        <w:rPr>
          <w:lang w:val="fr-FR"/>
        </w:rPr>
        <w:t>l</w:t>
      </w:r>
      <w:r w:rsidR="004E6750" w:rsidRPr="00122856">
        <w:rPr>
          <w:lang w:val="fr-FR"/>
        </w:rPr>
        <w:t>es représentants d</w:t>
      </w:r>
      <w:r w:rsidR="00FD6367" w:rsidRPr="00122856">
        <w:rPr>
          <w:lang w:val="fr-FR"/>
        </w:rPr>
        <w:t>’</w:t>
      </w:r>
      <w:r w:rsidR="00C51B00" w:rsidRPr="00122856">
        <w:rPr>
          <w:lang w:val="fr-FR"/>
        </w:rPr>
        <w:t>États</w:t>
      </w:r>
      <w:r w:rsidR="004E6750" w:rsidRPr="00122856">
        <w:rPr>
          <w:lang w:val="fr-FR"/>
        </w:rPr>
        <w:t xml:space="preserve"> membres du Comité ne peuvent </w:t>
      </w:r>
      <w:r w:rsidR="00E47C36" w:rsidRPr="00122856">
        <w:rPr>
          <w:lang w:val="fr-FR"/>
        </w:rPr>
        <w:t xml:space="preserve">pas </w:t>
      </w:r>
      <w:r w:rsidR="004E6750" w:rsidRPr="00122856">
        <w:rPr>
          <w:lang w:val="fr-FR"/>
        </w:rPr>
        <w:t>faire partie de cet organe</w:t>
      </w:r>
      <w:r w:rsidR="00E47C36" w:rsidRPr="00122856">
        <w:rPr>
          <w:lang w:val="fr-FR"/>
        </w:rPr>
        <w:t>,</w:t>
      </w:r>
      <w:r w:rsidR="004E6750" w:rsidRPr="00122856">
        <w:rPr>
          <w:lang w:val="fr-FR"/>
        </w:rPr>
        <w:t xml:space="preserve"> </w:t>
      </w:r>
      <w:r w:rsidR="00E47C36" w:rsidRPr="00122856">
        <w:rPr>
          <w:lang w:val="fr-FR"/>
        </w:rPr>
        <w:t>de sorte qu’</w:t>
      </w:r>
      <w:r w:rsidR="004E6750" w:rsidRPr="00122856">
        <w:rPr>
          <w:lang w:val="fr-FR"/>
        </w:rPr>
        <w:t>aucun coût lié à l’évaluation des dossiers ne sera plus imputé à cette ligne budgétaire</w:t>
      </w:r>
      <w:r w:rsidR="001A32B8" w:rsidRPr="00122856">
        <w:rPr>
          <w:lang w:val="fr-FR"/>
        </w:rPr>
        <w:t xml:space="preserve">. </w:t>
      </w:r>
      <w:r w:rsidR="004E6750" w:rsidRPr="00122856">
        <w:rPr>
          <w:lang w:val="fr-FR"/>
        </w:rPr>
        <w:t xml:space="preserve">D’un autre côté, </w:t>
      </w:r>
      <w:r w:rsidR="00D93F16" w:rsidRPr="00122856">
        <w:rPr>
          <w:lang w:val="fr-FR"/>
        </w:rPr>
        <w:t xml:space="preserve">les </w:t>
      </w:r>
      <w:r w:rsidR="00C44BF8" w:rsidRPr="00122856">
        <w:rPr>
          <w:lang w:val="fr-FR"/>
        </w:rPr>
        <w:t xml:space="preserve">membres </w:t>
      </w:r>
      <w:r w:rsidR="00D93F16" w:rsidRPr="00122856">
        <w:rPr>
          <w:lang w:val="fr-FR"/>
        </w:rPr>
        <w:t xml:space="preserve">individuels </w:t>
      </w:r>
      <w:r w:rsidR="00C44BF8" w:rsidRPr="00122856">
        <w:rPr>
          <w:lang w:val="fr-FR"/>
        </w:rPr>
        <w:t>de l’Organe d’évaluation occup</w:t>
      </w:r>
      <w:r w:rsidR="00FD6367" w:rsidRPr="00122856">
        <w:rPr>
          <w:lang w:val="fr-FR"/>
        </w:rPr>
        <w:t>a</w:t>
      </w:r>
      <w:r w:rsidR="00C44BF8" w:rsidRPr="00122856">
        <w:rPr>
          <w:lang w:val="fr-FR"/>
        </w:rPr>
        <w:t xml:space="preserve">nt </w:t>
      </w:r>
      <w:r w:rsidR="00D93F16" w:rsidRPr="00122856">
        <w:rPr>
          <w:lang w:val="fr-FR"/>
        </w:rPr>
        <w:t xml:space="preserve">désormais </w:t>
      </w:r>
      <w:r w:rsidR="00C44BF8" w:rsidRPr="00122856">
        <w:rPr>
          <w:lang w:val="fr-FR"/>
        </w:rPr>
        <w:t xml:space="preserve">cette fonction en qualité de représentants d’un </w:t>
      </w:r>
      <w:r w:rsidR="00EE57F4" w:rsidRPr="00122856">
        <w:rPr>
          <w:lang w:val="fr-FR"/>
        </w:rPr>
        <w:t>État</w:t>
      </w:r>
      <w:r w:rsidR="00C44BF8" w:rsidRPr="00122856">
        <w:rPr>
          <w:lang w:val="fr-FR"/>
        </w:rPr>
        <w:t xml:space="preserve"> partie</w:t>
      </w:r>
      <w:r w:rsidR="00FC6C94" w:rsidRPr="00122856">
        <w:rPr>
          <w:lang w:val="fr-FR"/>
        </w:rPr>
        <w:t>, leurs</w:t>
      </w:r>
      <w:r w:rsidR="00C44BF8" w:rsidRPr="00122856">
        <w:rPr>
          <w:lang w:val="fr-FR"/>
        </w:rPr>
        <w:t xml:space="preserve"> </w:t>
      </w:r>
      <w:r w:rsidR="00FC6C94" w:rsidRPr="00122856">
        <w:rPr>
          <w:lang w:val="fr-FR"/>
        </w:rPr>
        <w:t>coûts de</w:t>
      </w:r>
      <w:r w:rsidR="00C44BF8" w:rsidRPr="00122856">
        <w:rPr>
          <w:lang w:val="fr-FR"/>
        </w:rPr>
        <w:t xml:space="preserve"> participation aux réunions de l’organe doivent </w:t>
      </w:r>
      <w:r w:rsidR="00FD6367" w:rsidRPr="00122856">
        <w:rPr>
          <w:lang w:val="fr-FR"/>
        </w:rPr>
        <w:t xml:space="preserve">donc </w:t>
      </w:r>
      <w:r w:rsidR="00C44BF8" w:rsidRPr="00122856">
        <w:rPr>
          <w:lang w:val="fr-FR"/>
        </w:rPr>
        <w:t xml:space="preserve">être imputés à la </w:t>
      </w:r>
      <w:r w:rsidR="00FD1663" w:rsidRPr="00122856">
        <w:rPr>
          <w:lang w:val="fr-FR"/>
        </w:rPr>
        <w:t>ligne budgétaire</w:t>
      </w:r>
      <w:r w:rsidR="001A32B8" w:rsidRPr="00122856">
        <w:rPr>
          <w:lang w:val="fr-FR"/>
        </w:rPr>
        <w:t> 5. Consid</w:t>
      </w:r>
      <w:r w:rsidR="00C44BF8" w:rsidRPr="00122856">
        <w:rPr>
          <w:lang w:val="fr-FR"/>
        </w:rPr>
        <w:t>é</w:t>
      </w:r>
      <w:r w:rsidR="001A32B8" w:rsidRPr="00122856">
        <w:rPr>
          <w:lang w:val="fr-FR"/>
        </w:rPr>
        <w:t>r</w:t>
      </w:r>
      <w:r w:rsidR="00C44BF8" w:rsidRPr="00122856">
        <w:rPr>
          <w:lang w:val="fr-FR"/>
        </w:rPr>
        <w:t>a</w:t>
      </w:r>
      <w:r w:rsidR="001A32B8" w:rsidRPr="00122856">
        <w:rPr>
          <w:lang w:val="fr-FR"/>
        </w:rPr>
        <w:t>n</w:t>
      </w:r>
      <w:r w:rsidR="00C44BF8" w:rsidRPr="00122856">
        <w:rPr>
          <w:lang w:val="fr-FR"/>
        </w:rPr>
        <w:t>t que le</w:t>
      </w:r>
      <w:r w:rsidR="00A36582" w:rsidRPr="00122856">
        <w:rPr>
          <w:lang w:val="fr-FR"/>
        </w:rPr>
        <w:t xml:space="preserve"> maintien de</w:t>
      </w:r>
      <w:r w:rsidR="00C44BF8" w:rsidRPr="00122856">
        <w:rPr>
          <w:lang w:val="fr-FR"/>
        </w:rPr>
        <w:t xml:space="preserve">s </w:t>
      </w:r>
      <w:r w:rsidR="001A32B8" w:rsidRPr="00122856">
        <w:rPr>
          <w:lang w:val="fr-FR"/>
        </w:rPr>
        <w:t>2</w:t>
      </w:r>
      <w:r w:rsidR="00C44BF8" w:rsidRPr="00122856">
        <w:rPr>
          <w:lang w:val="fr-FR"/>
        </w:rPr>
        <w:t>,</w:t>
      </w:r>
      <w:r w:rsidR="001A32B8" w:rsidRPr="00122856">
        <w:rPr>
          <w:lang w:val="fr-FR"/>
        </w:rPr>
        <w:t>75</w:t>
      </w:r>
      <w:r w:rsidR="00C44BF8" w:rsidRPr="00122856">
        <w:rPr>
          <w:lang w:val="fr-FR"/>
        </w:rPr>
        <w:t> </w:t>
      </w:r>
      <w:r w:rsidR="001A32B8" w:rsidRPr="00122856">
        <w:rPr>
          <w:lang w:val="fr-FR"/>
        </w:rPr>
        <w:t>%</w:t>
      </w:r>
      <w:r w:rsidR="00C44BF8" w:rsidRPr="00122856">
        <w:rPr>
          <w:lang w:val="fr-FR"/>
        </w:rPr>
        <w:t xml:space="preserve"> représenter</w:t>
      </w:r>
      <w:r w:rsidR="00A36582" w:rsidRPr="00122856">
        <w:rPr>
          <w:lang w:val="fr-FR"/>
        </w:rPr>
        <w:t>a</w:t>
      </w:r>
      <w:r w:rsidR="00C44BF8" w:rsidRPr="00122856">
        <w:rPr>
          <w:lang w:val="fr-FR"/>
        </w:rPr>
        <w:t xml:space="preserve"> certainement une augmentation de l’allocation pour le prochain exercice biennal, les crédits disponibles au titre de cette </w:t>
      </w:r>
      <w:r w:rsidR="001A32B8" w:rsidRPr="00122856">
        <w:rPr>
          <w:lang w:val="fr-FR"/>
        </w:rPr>
        <w:t>li</w:t>
      </w:r>
      <w:r w:rsidR="00C44BF8" w:rsidRPr="00122856">
        <w:rPr>
          <w:lang w:val="fr-FR"/>
        </w:rPr>
        <w:t>g</w:t>
      </w:r>
      <w:r w:rsidR="001A32B8" w:rsidRPr="00122856">
        <w:rPr>
          <w:lang w:val="fr-FR"/>
        </w:rPr>
        <w:t xml:space="preserve">ne </w:t>
      </w:r>
      <w:r w:rsidR="00C44BF8" w:rsidRPr="00122856">
        <w:rPr>
          <w:lang w:val="fr-FR"/>
        </w:rPr>
        <w:t>doivent continuer à permettre la p</w:t>
      </w:r>
      <w:r w:rsidR="001A32B8" w:rsidRPr="00122856">
        <w:rPr>
          <w:lang w:val="fr-FR"/>
        </w:rPr>
        <w:t xml:space="preserve">articipation </w:t>
      </w:r>
      <w:r w:rsidR="00C44BF8" w:rsidRPr="00122856">
        <w:rPr>
          <w:lang w:val="fr-FR"/>
        </w:rPr>
        <w:t>d’e</w:t>
      </w:r>
      <w:r w:rsidR="001A32B8" w:rsidRPr="00122856">
        <w:rPr>
          <w:lang w:val="fr-FR"/>
        </w:rPr>
        <w:t xml:space="preserve">xperts </w:t>
      </w:r>
      <w:r w:rsidR="00D93F16" w:rsidRPr="00122856">
        <w:rPr>
          <w:lang w:val="fr-FR"/>
        </w:rPr>
        <w:t xml:space="preserve">du </w:t>
      </w:r>
      <w:r w:rsidR="00C44BF8" w:rsidRPr="00122856">
        <w:rPr>
          <w:lang w:val="fr-FR"/>
        </w:rPr>
        <w:t xml:space="preserve">patrimoine culturel immatériel </w:t>
      </w:r>
      <w:r w:rsidR="001A32B8" w:rsidRPr="00122856">
        <w:rPr>
          <w:lang w:val="fr-FR"/>
        </w:rPr>
        <w:t>repr</w:t>
      </w:r>
      <w:r w:rsidR="00C44BF8" w:rsidRPr="00122856">
        <w:rPr>
          <w:lang w:val="fr-FR"/>
        </w:rPr>
        <w:t>é</w:t>
      </w:r>
      <w:r w:rsidR="001A32B8" w:rsidRPr="00122856">
        <w:rPr>
          <w:lang w:val="fr-FR"/>
        </w:rPr>
        <w:t>sent</w:t>
      </w:r>
      <w:r w:rsidR="00C44BF8" w:rsidRPr="00122856">
        <w:rPr>
          <w:lang w:val="fr-FR"/>
        </w:rPr>
        <w:t>a</w:t>
      </w:r>
      <w:r w:rsidR="001A32B8" w:rsidRPr="00122856">
        <w:rPr>
          <w:lang w:val="fr-FR"/>
        </w:rPr>
        <w:t>n</w:t>
      </w:r>
      <w:r w:rsidR="00C44BF8" w:rsidRPr="00122856">
        <w:rPr>
          <w:lang w:val="fr-FR"/>
        </w:rPr>
        <w:t xml:space="preserve">t des </w:t>
      </w:r>
      <w:r w:rsidR="008D15F0" w:rsidRPr="00122856">
        <w:rPr>
          <w:lang w:val="fr-FR"/>
        </w:rPr>
        <w:t>États</w:t>
      </w:r>
      <w:r w:rsidR="00C44BF8" w:rsidRPr="00122856">
        <w:rPr>
          <w:lang w:val="fr-FR"/>
        </w:rPr>
        <w:t xml:space="preserve"> parties en développement </w:t>
      </w:r>
      <w:r w:rsidR="00A36582" w:rsidRPr="00122856">
        <w:rPr>
          <w:lang w:val="fr-FR"/>
        </w:rPr>
        <w:t xml:space="preserve">aux sessions du Comité, </w:t>
      </w:r>
      <w:r w:rsidR="00FE485D" w:rsidRPr="00122856">
        <w:rPr>
          <w:lang w:val="fr-FR"/>
        </w:rPr>
        <w:t xml:space="preserve">en plus de </w:t>
      </w:r>
      <w:r w:rsidR="00A36582" w:rsidRPr="00122856">
        <w:rPr>
          <w:lang w:val="fr-FR"/>
        </w:rPr>
        <w:t xml:space="preserve">la participation </w:t>
      </w:r>
      <w:r w:rsidR="00FE485D" w:rsidRPr="00122856">
        <w:rPr>
          <w:lang w:val="fr-FR"/>
        </w:rPr>
        <w:t>des membres de l’Organe d’évaluation aux réunions de ce</w:t>
      </w:r>
      <w:r w:rsidR="00A36582" w:rsidRPr="00122856">
        <w:rPr>
          <w:lang w:val="fr-FR"/>
        </w:rPr>
        <w:t>t organe</w:t>
      </w:r>
      <w:r w:rsidR="001A32B8" w:rsidRPr="00122856">
        <w:rPr>
          <w:lang w:val="fr-FR"/>
        </w:rPr>
        <w:t>.</w:t>
      </w:r>
    </w:p>
    <w:p w14:paraId="33E532B4" w14:textId="452C9130" w:rsidR="003377B5" w:rsidRPr="00122856" w:rsidRDefault="00A36582" w:rsidP="009E1B50">
      <w:pPr>
        <w:pStyle w:val="COMParabodytext"/>
        <w:rPr>
          <w:lang w:val="fr-FR"/>
        </w:rPr>
      </w:pPr>
      <w:r w:rsidRPr="00122856">
        <w:rPr>
          <w:bCs/>
          <w:lang w:val="fr-FR"/>
        </w:rPr>
        <w:t>De la même manière, i</w:t>
      </w:r>
      <w:r w:rsidR="00FE485D" w:rsidRPr="00122856">
        <w:rPr>
          <w:bCs/>
          <w:lang w:val="fr-FR"/>
        </w:rPr>
        <w:t xml:space="preserve">l est proposé de maintenir la </w:t>
      </w:r>
      <w:r w:rsidR="00FE485D" w:rsidRPr="00122856">
        <w:rPr>
          <w:b/>
          <w:bCs/>
          <w:lang w:val="fr-FR"/>
        </w:rPr>
        <w:t>l</w:t>
      </w:r>
      <w:r w:rsidR="00FD1663" w:rsidRPr="00122856">
        <w:rPr>
          <w:b/>
          <w:bCs/>
          <w:lang w:val="fr-FR"/>
        </w:rPr>
        <w:t>igne budgétaire</w:t>
      </w:r>
      <w:r w:rsidR="001A32B8" w:rsidRPr="00122856">
        <w:rPr>
          <w:b/>
          <w:bCs/>
          <w:lang w:val="fr-FR"/>
        </w:rPr>
        <w:t xml:space="preserve"> 6</w:t>
      </w:r>
      <w:r w:rsidR="00FE485D" w:rsidRPr="00122856">
        <w:rPr>
          <w:lang w:val="fr-FR"/>
        </w:rPr>
        <w:t xml:space="preserve"> à </w:t>
      </w:r>
      <w:r w:rsidR="001A32B8" w:rsidRPr="00122856">
        <w:rPr>
          <w:lang w:val="fr-FR"/>
        </w:rPr>
        <w:t>4</w:t>
      </w:r>
      <w:r w:rsidR="00FE485D" w:rsidRPr="00122856">
        <w:rPr>
          <w:lang w:val="fr-FR"/>
        </w:rPr>
        <w:t>,</w:t>
      </w:r>
      <w:r w:rsidR="001A32B8" w:rsidRPr="00122856">
        <w:rPr>
          <w:lang w:val="fr-FR"/>
        </w:rPr>
        <w:t>5</w:t>
      </w:r>
      <w:r w:rsidR="00FE485D" w:rsidRPr="00122856">
        <w:rPr>
          <w:lang w:val="fr-FR"/>
        </w:rPr>
        <w:t> </w:t>
      </w:r>
      <w:r w:rsidR="001A32B8" w:rsidRPr="00122856">
        <w:rPr>
          <w:lang w:val="fr-FR"/>
        </w:rPr>
        <w:t xml:space="preserve">%. </w:t>
      </w:r>
      <w:r w:rsidR="00EF0494" w:rsidRPr="00122856">
        <w:rPr>
          <w:lang w:val="fr-FR"/>
        </w:rPr>
        <w:t>Pour l’actuel exercice biennal, ce pourcentage s’est avéré suffisant pou</w:t>
      </w:r>
      <w:r w:rsidR="00582232" w:rsidRPr="00122856">
        <w:rPr>
          <w:lang w:val="fr-FR"/>
        </w:rPr>
        <w:t>r</w:t>
      </w:r>
      <w:r w:rsidR="00EF0494" w:rsidRPr="00122856">
        <w:rPr>
          <w:lang w:val="fr-FR"/>
        </w:rPr>
        <w:t xml:space="preserve"> couvrir la </w:t>
      </w:r>
      <w:r w:rsidR="001A32B8" w:rsidRPr="00122856">
        <w:rPr>
          <w:lang w:val="fr-FR"/>
        </w:rPr>
        <w:t xml:space="preserve">participation </w:t>
      </w:r>
      <w:r w:rsidR="00EF0494" w:rsidRPr="00122856">
        <w:rPr>
          <w:lang w:val="fr-FR"/>
        </w:rPr>
        <w:t>d</w:t>
      </w:r>
      <w:r w:rsidR="007F2A1E" w:rsidRPr="00122856">
        <w:rPr>
          <w:lang w:val="fr-FR"/>
        </w:rPr>
        <w:t xml:space="preserve">es </w:t>
      </w:r>
      <w:r w:rsidR="001A32B8" w:rsidRPr="00122856">
        <w:rPr>
          <w:lang w:val="fr-FR"/>
        </w:rPr>
        <w:t xml:space="preserve">experts </w:t>
      </w:r>
      <w:r w:rsidR="00D93F16" w:rsidRPr="00122856">
        <w:rPr>
          <w:lang w:val="fr-FR"/>
        </w:rPr>
        <w:t xml:space="preserve">du </w:t>
      </w:r>
      <w:r w:rsidR="00EF0494" w:rsidRPr="00122856">
        <w:rPr>
          <w:lang w:val="fr-FR"/>
        </w:rPr>
        <w:t xml:space="preserve">patrimoine culturel immatériel représentant des organisations non gouvernementales accréditées tant aux sessions du Comité </w:t>
      </w:r>
      <w:r w:rsidR="001A32B8" w:rsidRPr="00122856">
        <w:rPr>
          <w:lang w:val="fr-FR"/>
        </w:rPr>
        <w:t xml:space="preserve">– </w:t>
      </w:r>
      <w:r w:rsidR="00EE5D11" w:rsidRPr="00122856">
        <w:rPr>
          <w:lang w:val="fr-FR"/>
        </w:rPr>
        <w:t xml:space="preserve">à condition qu’ils </w:t>
      </w:r>
      <w:r w:rsidR="00582232" w:rsidRPr="00122856">
        <w:rPr>
          <w:lang w:val="fr-FR"/>
        </w:rPr>
        <w:t>soient ressortissants</w:t>
      </w:r>
      <w:r w:rsidR="00EE5D11" w:rsidRPr="00122856">
        <w:rPr>
          <w:lang w:val="fr-FR"/>
        </w:rPr>
        <w:t xml:space="preserve"> de pays en développement</w:t>
      </w:r>
      <w:r w:rsidR="001A32B8" w:rsidRPr="00122856">
        <w:rPr>
          <w:lang w:val="fr-FR"/>
        </w:rPr>
        <w:t xml:space="preserve"> – </w:t>
      </w:r>
      <w:r w:rsidR="00EE5D11" w:rsidRPr="00122856">
        <w:rPr>
          <w:lang w:val="fr-FR"/>
        </w:rPr>
        <w:t xml:space="preserve">qu’aux réunions </w:t>
      </w:r>
      <w:r w:rsidR="00582232" w:rsidRPr="00122856">
        <w:rPr>
          <w:lang w:val="fr-FR"/>
        </w:rPr>
        <w:t xml:space="preserve">de l’Organe consultatif en 2014 et à celles de l’Organe d’évaluation en 2015 </w:t>
      </w:r>
      <w:r w:rsidR="007F2A1E" w:rsidRPr="00122856">
        <w:rPr>
          <w:lang w:val="fr-FR"/>
        </w:rPr>
        <w:t xml:space="preserve">– à condition qu’ils en soient </w:t>
      </w:r>
      <w:r w:rsidR="00EE5D11" w:rsidRPr="00122856">
        <w:rPr>
          <w:lang w:val="fr-FR"/>
        </w:rPr>
        <w:t>des membres élus</w:t>
      </w:r>
      <w:r w:rsidR="001A32B8" w:rsidRPr="00122856">
        <w:rPr>
          <w:lang w:val="fr-FR"/>
        </w:rPr>
        <w:t xml:space="preserve">. </w:t>
      </w:r>
      <w:r w:rsidR="00EE5D11" w:rsidRPr="00122856">
        <w:rPr>
          <w:lang w:val="fr-FR"/>
        </w:rPr>
        <w:t>De plus, comme indiqué dans le paragraphe pré</w:t>
      </w:r>
      <w:r w:rsidR="002C7063" w:rsidRPr="00122856">
        <w:rPr>
          <w:lang w:val="fr-FR"/>
        </w:rPr>
        <w:t>c</w:t>
      </w:r>
      <w:r w:rsidR="00EE5D11" w:rsidRPr="00122856">
        <w:rPr>
          <w:lang w:val="fr-FR"/>
        </w:rPr>
        <w:t xml:space="preserve">édent, dans la mesure où les personnes qui font partie de l’Organe d’évaluation </w:t>
      </w:r>
      <w:r w:rsidR="00D93F16" w:rsidRPr="00122856">
        <w:rPr>
          <w:lang w:val="fr-FR"/>
        </w:rPr>
        <w:t xml:space="preserve">à titre individuel </w:t>
      </w:r>
      <w:r w:rsidR="00EE5D11" w:rsidRPr="00122856">
        <w:rPr>
          <w:lang w:val="fr-FR"/>
        </w:rPr>
        <w:t>n</w:t>
      </w:r>
      <w:r w:rsidR="002C7063" w:rsidRPr="00122856">
        <w:rPr>
          <w:lang w:val="fr-FR"/>
        </w:rPr>
        <w:t>’</w:t>
      </w:r>
      <w:r w:rsidR="00EE5D11" w:rsidRPr="00122856">
        <w:rPr>
          <w:lang w:val="fr-FR"/>
        </w:rPr>
        <w:t>e</w:t>
      </w:r>
      <w:r w:rsidR="002C7063" w:rsidRPr="00122856">
        <w:rPr>
          <w:lang w:val="fr-FR"/>
        </w:rPr>
        <w:t>n</w:t>
      </w:r>
      <w:r w:rsidR="00EE5D11" w:rsidRPr="00122856">
        <w:rPr>
          <w:lang w:val="fr-FR"/>
        </w:rPr>
        <w:t xml:space="preserve"> sont plus membres en tant qu’experts indépendants, mais en tant que représentants d’un </w:t>
      </w:r>
      <w:r w:rsidR="00EE57F4" w:rsidRPr="00122856">
        <w:rPr>
          <w:lang w:val="fr-FR"/>
        </w:rPr>
        <w:t>État</w:t>
      </w:r>
      <w:r w:rsidR="00EE5D11" w:rsidRPr="00122856">
        <w:rPr>
          <w:lang w:val="fr-FR"/>
        </w:rPr>
        <w:t xml:space="preserve"> partie, cette ligne sera désormais </w:t>
      </w:r>
      <w:r w:rsidR="007E2D2E" w:rsidRPr="00122856">
        <w:rPr>
          <w:lang w:val="fr-FR"/>
        </w:rPr>
        <w:t>déchar</w:t>
      </w:r>
      <w:r w:rsidR="00EE5D11" w:rsidRPr="00122856">
        <w:rPr>
          <w:lang w:val="fr-FR"/>
        </w:rPr>
        <w:t>gée de cette dépense et les crédits de</w:t>
      </w:r>
      <w:r w:rsidR="00D83D91" w:rsidRPr="00122856">
        <w:rPr>
          <w:lang w:val="fr-FR"/>
        </w:rPr>
        <w:t>vraient suffire pour les besoins de cette ligne</w:t>
      </w:r>
      <w:r w:rsidR="001A32B8" w:rsidRPr="00122856">
        <w:rPr>
          <w:lang w:val="fr-FR"/>
        </w:rPr>
        <w:t>.</w:t>
      </w:r>
    </w:p>
    <w:p w14:paraId="7AD70000" w14:textId="4FFB39C0" w:rsidR="003377B5" w:rsidRPr="00122856" w:rsidRDefault="00FD1663" w:rsidP="009E1B50">
      <w:pPr>
        <w:pStyle w:val="COMParabodytext"/>
        <w:rPr>
          <w:lang w:val="fr-FR"/>
        </w:rPr>
      </w:pPr>
      <w:r w:rsidRPr="00122856">
        <w:rPr>
          <w:lang w:val="fr-FR"/>
        </w:rPr>
        <w:t>L</w:t>
      </w:r>
      <w:r w:rsidR="00D83D91" w:rsidRPr="00122856">
        <w:rPr>
          <w:lang w:val="fr-FR"/>
        </w:rPr>
        <w:t>a</w:t>
      </w:r>
      <w:r w:rsidR="00D83D91" w:rsidRPr="00122856">
        <w:rPr>
          <w:b/>
          <w:lang w:val="fr-FR"/>
        </w:rPr>
        <w:t xml:space="preserve"> l</w:t>
      </w:r>
      <w:r w:rsidRPr="00122856">
        <w:rPr>
          <w:b/>
          <w:lang w:val="fr-FR"/>
        </w:rPr>
        <w:t>igne budgétaire</w:t>
      </w:r>
      <w:r w:rsidR="001A32B8" w:rsidRPr="00122856">
        <w:rPr>
          <w:b/>
          <w:lang w:val="fr-FR"/>
        </w:rPr>
        <w:t xml:space="preserve"> 7</w:t>
      </w:r>
      <w:r w:rsidR="001A32B8" w:rsidRPr="00122856">
        <w:rPr>
          <w:lang w:val="fr-FR"/>
        </w:rPr>
        <w:t xml:space="preserve"> co</w:t>
      </w:r>
      <w:r w:rsidR="00D83D91" w:rsidRPr="00122856">
        <w:rPr>
          <w:lang w:val="fr-FR"/>
        </w:rPr>
        <w:t>uvre les coûts des services consultatifs fournis à la demande du Comité</w:t>
      </w:r>
      <w:r w:rsidR="001A32B8" w:rsidRPr="00122856">
        <w:rPr>
          <w:lang w:val="fr-FR"/>
        </w:rPr>
        <w:t xml:space="preserve"> (6</w:t>
      </w:r>
      <w:r w:rsidR="00D83D91" w:rsidRPr="00122856">
        <w:rPr>
          <w:lang w:val="fr-FR"/>
        </w:rPr>
        <w:t> </w:t>
      </w:r>
      <w:r w:rsidR="001A32B8" w:rsidRPr="00122856">
        <w:rPr>
          <w:lang w:val="fr-FR"/>
        </w:rPr>
        <w:t xml:space="preserve">%). </w:t>
      </w:r>
      <w:r w:rsidR="00D83D91" w:rsidRPr="00122856">
        <w:rPr>
          <w:lang w:val="fr-FR"/>
        </w:rPr>
        <w:t xml:space="preserve">L’augmentation d’un demi-point proposée </w:t>
      </w:r>
      <w:r w:rsidR="001A32B8" w:rsidRPr="00122856">
        <w:rPr>
          <w:lang w:val="fr-FR"/>
        </w:rPr>
        <w:t>–</w:t>
      </w:r>
      <w:r w:rsidR="005A783A" w:rsidRPr="00122856">
        <w:rPr>
          <w:lang w:val="fr-FR"/>
        </w:rPr>
        <w:t xml:space="preserve"> </w:t>
      </w:r>
      <w:r w:rsidR="00D93F16" w:rsidRPr="00122856">
        <w:rPr>
          <w:lang w:val="fr-FR"/>
        </w:rPr>
        <w:t>absorbant la réduction de</w:t>
      </w:r>
      <w:r w:rsidR="00D83D91" w:rsidRPr="00122856">
        <w:rPr>
          <w:lang w:val="fr-FR"/>
        </w:rPr>
        <w:t xml:space="preserve"> la </w:t>
      </w:r>
      <w:r w:rsidRPr="00122856">
        <w:rPr>
          <w:lang w:val="fr-FR"/>
        </w:rPr>
        <w:t>ligne budgétaire</w:t>
      </w:r>
      <w:r w:rsidR="001A32B8" w:rsidRPr="00122856">
        <w:rPr>
          <w:lang w:val="fr-FR"/>
        </w:rPr>
        <w:t xml:space="preserve"> 4 – </w:t>
      </w:r>
      <w:r w:rsidR="00D83D91" w:rsidRPr="00122856">
        <w:rPr>
          <w:lang w:val="fr-FR"/>
        </w:rPr>
        <w:t>est due à la nécessité de disposer</w:t>
      </w:r>
      <w:r w:rsidR="00D93F16" w:rsidRPr="00122856">
        <w:rPr>
          <w:lang w:val="fr-FR"/>
        </w:rPr>
        <w:t>,</w:t>
      </w:r>
      <w:r w:rsidR="00D83D91" w:rsidRPr="00122856">
        <w:rPr>
          <w:lang w:val="fr-FR"/>
        </w:rPr>
        <w:t xml:space="preserve"> dès le début des années paires</w:t>
      </w:r>
      <w:r w:rsidR="00D93F16" w:rsidRPr="00122856">
        <w:rPr>
          <w:lang w:val="fr-FR"/>
        </w:rPr>
        <w:t>,</w:t>
      </w:r>
      <w:r w:rsidR="00D83D91" w:rsidRPr="00122856">
        <w:rPr>
          <w:lang w:val="fr-FR"/>
        </w:rPr>
        <w:t xml:space="preserve"> d’un montant suffisant pour établir les contrats des membres </w:t>
      </w:r>
      <w:r w:rsidR="000D4427" w:rsidRPr="00122856">
        <w:rPr>
          <w:lang w:val="fr-FR"/>
        </w:rPr>
        <w:t>de l’Organe d</w:t>
      </w:r>
      <w:r w:rsidR="005A783A" w:rsidRPr="00122856">
        <w:rPr>
          <w:lang w:val="fr-FR"/>
        </w:rPr>
        <w:t>’</w:t>
      </w:r>
      <w:r w:rsidR="000D4427" w:rsidRPr="00122856">
        <w:rPr>
          <w:lang w:val="fr-FR"/>
        </w:rPr>
        <w:t xml:space="preserve">évaluation </w:t>
      </w:r>
      <w:r w:rsidR="005A783A" w:rsidRPr="00122856">
        <w:rPr>
          <w:lang w:val="fr-FR"/>
        </w:rPr>
        <w:t>mis en place</w:t>
      </w:r>
      <w:r w:rsidR="000D4427" w:rsidRPr="00122856">
        <w:rPr>
          <w:lang w:val="fr-FR"/>
        </w:rPr>
        <w:t xml:space="preserve"> par le Comité </w:t>
      </w:r>
      <w:r w:rsidR="00590097" w:rsidRPr="00122856">
        <w:rPr>
          <w:lang w:val="fr-FR"/>
        </w:rPr>
        <w:t xml:space="preserve">à </w:t>
      </w:r>
      <w:r w:rsidR="000D4427" w:rsidRPr="00122856">
        <w:rPr>
          <w:lang w:val="fr-FR"/>
        </w:rPr>
        <w:t>sa session précédente</w:t>
      </w:r>
      <w:r w:rsidR="00E13571" w:rsidRPr="00122856">
        <w:rPr>
          <w:lang w:val="fr-FR"/>
        </w:rPr>
        <w:t xml:space="preserve"> </w:t>
      </w:r>
      <w:r w:rsidR="00590097" w:rsidRPr="00122856">
        <w:rPr>
          <w:lang w:val="fr-FR"/>
        </w:rPr>
        <w:t>pouvant</w:t>
      </w:r>
      <w:r w:rsidR="00E13571" w:rsidRPr="00122856">
        <w:rPr>
          <w:lang w:val="fr-FR"/>
        </w:rPr>
        <w:t xml:space="preserve"> bénéficier d’une compensation financière</w:t>
      </w:r>
      <w:r w:rsidR="001A32B8" w:rsidRPr="00122856">
        <w:rPr>
          <w:lang w:val="fr-FR"/>
        </w:rPr>
        <w:t xml:space="preserve">. </w:t>
      </w:r>
      <w:r w:rsidR="000D4427" w:rsidRPr="00122856">
        <w:rPr>
          <w:lang w:val="fr-FR"/>
        </w:rPr>
        <w:t xml:space="preserve">En effet, </w:t>
      </w:r>
      <w:r w:rsidR="005A783A" w:rsidRPr="00122856">
        <w:rPr>
          <w:lang w:val="fr-FR"/>
        </w:rPr>
        <w:t>sachant</w:t>
      </w:r>
      <w:r w:rsidR="000D4427" w:rsidRPr="00122856">
        <w:rPr>
          <w:lang w:val="fr-FR"/>
        </w:rPr>
        <w:t xml:space="preserve"> que l</w:t>
      </w:r>
      <w:r w:rsidR="00D51797" w:rsidRPr="00122856">
        <w:rPr>
          <w:lang w:val="fr-FR"/>
        </w:rPr>
        <w:t>a première réunion de l</w:t>
      </w:r>
      <w:r w:rsidR="000D4427" w:rsidRPr="00122856">
        <w:rPr>
          <w:lang w:val="fr-FR"/>
        </w:rPr>
        <w:t>’organe</w:t>
      </w:r>
      <w:r w:rsidR="00D51797" w:rsidRPr="00122856">
        <w:rPr>
          <w:lang w:val="fr-FR"/>
        </w:rPr>
        <w:t>,</w:t>
      </w:r>
      <w:r w:rsidR="000D4427" w:rsidRPr="00122856">
        <w:rPr>
          <w:lang w:val="fr-FR"/>
        </w:rPr>
        <w:t xml:space="preserve"> au cours d’un cycle</w:t>
      </w:r>
      <w:r w:rsidR="00D51797" w:rsidRPr="00122856">
        <w:rPr>
          <w:lang w:val="fr-FR"/>
        </w:rPr>
        <w:t>,</w:t>
      </w:r>
      <w:r w:rsidR="000D4427" w:rsidRPr="00122856">
        <w:rPr>
          <w:lang w:val="fr-FR"/>
        </w:rPr>
        <w:t xml:space="preserve"> </w:t>
      </w:r>
      <w:r w:rsidR="00D51797" w:rsidRPr="00122856">
        <w:rPr>
          <w:lang w:val="fr-FR"/>
        </w:rPr>
        <w:t xml:space="preserve">a lieu au </w:t>
      </w:r>
      <w:r w:rsidR="000D4427" w:rsidRPr="00122856">
        <w:rPr>
          <w:lang w:val="fr-FR"/>
        </w:rPr>
        <w:t>premier trimestre de l’année, le</w:t>
      </w:r>
      <w:r w:rsidR="009E24AC" w:rsidRPr="00122856">
        <w:rPr>
          <w:lang w:val="fr-FR"/>
        </w:rPr>
        <w:t xml:space="preserve">s contrats des </w:t>
      </w:r>
      <w:r w:rsidR="000D4427" w:rsidRPr="00122856">
        <w:rPr>
          <w:lang w:val="fr-FR"/>
        </w:rPr>
        <w:t xml:space="preserve">membres </w:t>
      </w:r>
      <w:r w:rsidR="00267913" w:rsidRPr="00122856">
        <w:rPr>
          <w:lang w:val="fr-FR"/>
        </w:rPr>
        <w:t>concernés</w:t>
      </w:r>
      <w:r w:rsidR="000D4427" w:rsidRPr="00122856">
        <w:rPr>
          <w:lang w:val="fr-FR"/>
        </w:rPr>
        <w:t xml:space="preserve"> </w:t>
      </w:r>
      <w:r w:rsidR="009E24AC" w:rsidRPr="00122856">
        <w:rPr>
          <w:lang w:val="fr-FR"/>
        </w:rPr>
        <w:t xml:space="preserve">doivent </w:t>
      </w:r>
      <w:r w:rsidR="005A783A" w:rsidRPr="00122856">
        <w:rPr>
          <w:lang w:val="fr-FR"/>
        </w:rPr>
        <w:t>ê</w:t>
      </w:r>
      <w:r w:rsidR="009E24AC" w:rsidRPr="00122856">
        <w:rPr>
          <w:lang w:val="fr-FR"/>
        </w:rPr>
        <w:t xml:space="preserve">tre signés avant leur </w:t>
      </w:r>
      <w:r w:rsidR="00590097" w:rsidRPr="00122856">
        <w:rPr>
          <w:lang w:val="fr-FR"/>
        </w:rPr>
        <w:t>voyage</w:t>
      </w:r>
      <w:r w:rsidR="001A32B8" w:rsidRPr="00122856">
        <w:rPr>
          <w:lang w:val="fr-FR"/>
        </w:rPr>
        <w:t xml:space="preserve">. </w:t>
      </w:r>
      <w:r w:rsidR="009E24AC" w:rsidRPr="00122856">
        <w:rPr>
          <w:lang w:val="fr-FR"/>
        </w:rPr>
        <w:t xml:space="preserve">C’est pourquoi il </w:t>
      </w:r>
      <w:r w:rsidR="00267913" w:rsidRPr="00122856">
        <w:rPr>
          <w:lang w:val="fr-FR"/>
        </w:rPr>
        <w:t xml:space="preserve">faut </w:t>
      </w:r>
      <w:r w:rsidR="009E24AC" w:rsidRPr="00122856">
        <w:rPr>
          <w:lang w:val="fr-FR"/>
        </w:rPr>
        <w:t xml:space="preserve">que les crédits nécessaires pour couvrir tous les contrats soient disponibles en début d’année, même si les paiements </w:t>
      </w:r>
      <w:r w:rsidR="00A555E0" w:rsidRPr="00122856">
        <w:rPr>
          <w:lang w:val="fr-FR"/>
        </w:rPr>
        <w:t>interviennent</w:t>
      </w:r>
      <w:r w:rsidR="009E24AC" w:rsidRPr="00122856">
        <w:rPr>
          <w:lang w:val="fr-FR"/>
        </w:rPr>
        <w:t xml:space="preserve"> </w:t>
      </w:r>
      <w:r w:rsidR="00267913" w:rsidRPr="00122856">
        <w:rPr>
          <w:lang w:val="fr-FR"/>
        </w:rPr>
        <w:t xml:space="preserve">dans le courant </w:t>
      </w:r>
      <w:r w:rsidR="009E24AC" w:rsidRPr="00122856">
        <w:rPr>
          <w:lang w:val="fr-FR"/>
        </w:rPr>
        <w:t>de l’année</w:t>
      </w:r>
      <w:r w:rsidR="001A32B8" w:rsidRPr="00122856">
        <w:rPr>
          <w:lang w:val="fr-FR"/>
        </w:rPr>
        <w:t>.</w:t>
      </w:r>
    </w:p>
    <w:p w14:paraId="2527ED53" w14:textId="77777777" w:rsidR="003377B5" w:rsidRPr="006F2FBE" w:rsidRDefault="001A32B8" w:rsidP="006F2FBE">
      <w:pPr>
        <w:pStyle w:val="Heading4"/>
        <w:keepLines/>
        <w:tabs>
          <w:tab w:val="left" w:pos="567"/>
        </w:tabs>
        <w:snapToGrid w:val="0"/>
        <w:spacing w:before="240"/>
        <w:ind w:left="567" w:hanging="567"/>
        <w:contextualSpacing w:val="0"/>
        <w:rPr>
          <w:b w:val="0"/>
        </w:rPr>
      </w:pPr>
      <w:r w:rsidRPr="00F96BC2">
        <w:t>III.</w:t>
      </w:r>
      <w:r w:rsidRPr="00F96BC2">
        <w:tab/>
      </w:r>
      <w:r w:rsidR="00F92EFB" w:rsidRPr="00F96BC2">
        <w:t>PERSPECTIVES DES CYCLES BUDGÉTAIRES FUTURS</w:t>
      </w:r>
    </w:p>
    <w:p w14:paraId="07C83D3B" w14:textId="43C94E25" w:rsidR="004A2828" w:rsidRPr="00122856" w:rsidRDefault="00F92EFB" w:rsidP="009E1B50">
      <w:pPr>
        <w:pStyle w:val="COMParabodytext"/>
        <w:rPr>
          <w:lang w:val="fr-FR"/>
        </w:rPr>
      </w:pPr>
      <w:r w:rsidRPr="00122856">
        <w:rPr>
          <w:lang w:val="fr-FR"/>
        </w:rPr>
        <w:t>Avec actuellement 157 </w:t>
      </w:r>
      <w:r w:rsidR="002E7030" w:rsidRPr="00122856">
        <w:rPr>
          <w:lang w:val="fr-FR"/>
        </w:rPr>
        <w:t>États</w:t>
      </w:r>
      <w:r w:rsidRPr="00122856">
        <w:rPr>
          <w:lang w:val="fr-FR"/>
        </w:rPr>
        <w:t xml:space="preserve"> parties, le Fonds devraient recevoir </w:t>
      </w:r>
      <w:r w:rsidR="00590097" w:rsidRPr="00122856">
        <w:rPr>
          <w:lang w:val="fr-FR"/>
        </w:rPr>
        <w:t>en 2016</w:t>
      </w:r>
      <w:r w:rsidR="0011533F">
        <w:rPr>
          <w:lang w:val="fr-FR"/>
        </w:rPr>
        <w:t>-</w:t>
      </w:r>
      <w:r w:rsidR="00590097" w:rsidRPr="00122856">
        <w:rPr>
          <w:lang w:val="fr-FR"/>
        </w:rPr>
        <w:t xml:space="preserve">2017 </w:t>
      </w:r>
      <w:r w:rsidRPr="00122856">
        <w:rPr>
          <w:lang w:val="fr-FR"/>
        </w:rPr>
        <w:t xml:space="preserve">environ </w:t>
      </w:r>
      <w:r w:rsidR="004A2828" w:rsidRPr="00122856">
        <w:rPr>
          <w:lang w:val="fr-FR"/>
        </w:rPr>
        <w:t>4</w:t>
      </w:r>
      <w:r w:rsidR="00590097" w:rsidRPr="00122856">
        <w:rPr>
          <w:lang w:val="fr-FR"/>
        </w:rPr>
        <w:t> m</w:t>
      </w:r>
      <w:r w:rsidR="004A2828" w:rsidRPr="00122856">
        <w:rPr>
          <w:lang w:val="fr-FR"/>
        </w:rPr>
        <w:t>illion</w:t>
      </w:r>
      <w:r w:rsidRPr="00122856">
        <w:rPr>
          <w:lang w:val="fr-FR"/>
        </w:rPr>
        <w:t xml:space="preserve">s de dollars des </w:t>
      </w:r>
      <w:r w:rsidR="00EE57F4" w:rsidRPr="00122856">
        <w:rPr>
          <w:lang w:val="fr-FR"/>
        </w:rPr>
        <w:t>États-Unis</w:t>
      </w:r>
      <w:r w:rsidRPr="00122856">
        <w:rPr>
          <w:lang w:val="fr-FR"/>
        </w:rPr>
        <w:t xml:space="preserve"> </w:t>
      </w:r>
      <w:r w:rsidR="002E7030" w:rsidRPr="00122856">
        <w:rPr>
          <w:lang w:val="fr-FR"/>
        </w:rPr>
        <w:t xml:space="preserve">en </w:t>
      </w:r>
      <w:r w:rsidRPr="00122856">
        <w:rPr>
          <w:lang w:val="fr-FR"/>
        </w:rPr>
        <w:t xml:space="preserve">contributions réglementaires des </w:t>
      </w:r>
      <w:r w:rsidR="002E7030" w:rsidRPr="00122856">
        <w:rPr>
          <w:lang w:val="fr-FR"/>
        </w:rPr>
        <w:t>États</w:t>
      </w:r>
      <w:r w:rsidRPr="00122856">
        <w:rPr>
          <w:lang w:val="fr-FR"/>
        </w:rPr>
        <w:t xml:space="preserve"> parties</w:t>
      </w:r>
      <w:r w:rsidR="002E7030" w:rsidRPr="00122856">
        <w:rPr>
          <w:lang w:val="fr-FR"/>
        </w:rPr>
        <w:t>, en fonction des résolutions concernant le budget ordinaire de l’UNESCO qui seront adoptées par la Conférence générale à sa 38</w:t>
      </w:r>
      <w:r w:rsidR="002E7030" w:rsidRPr="006F2FBE">
        <w:rPr>
          <w:vertAlign w:val="superscript"/>
          <w:lang w:val="fr-FR"/>
        </w:rPr>
        <w:t>e</w:t>
      </w:r>
      <w:r w:rsidR="002E7030" w:rsidRPr="00122856">
        <w:rPr>
          <w:lang w:val="fr-FR"/>
        </w:rPr>
        <w:t xml:space="preserve"> session</w:t>
      </w:r>
      <w:r w:rsidR="004A2828" w:rsidRPr="00122856">
        <w:rPr>
          <w:lang w:val="fr-FR"/>
        </w:rPr>
        <w:t xml:space="preserve">. </w:t>
      </w:r>
      <w:r w:rsidRPr="00122856">
        <w:rPr>
          <w:lang w:val="fr-FR"/>
        </w:rPr>
        <w:t xml:space="preserve">Les </w:t>
      </w:r>
      <w:r w:rsidR="004A2828" w:rsidRPr="00122856">
        <w:rPr>
          <w:lang w:val="fr-FR"/>
        </w:rPr>
        <w:t xml:space="preserve">157 </w:t>
      </w:r>
      <w:r w:rsidR="002E7030" w:rsidRPr="00122856">
        <w:rPr>
          <w:lang w:val="fr-FR"/>
        </w:rPr>
        <w:t xml:space="preserve">États </w:t>
      </w:r>
      <w:r w:rsidRPr="00122856">
        <w:rPr>
          <w:lang w:val="fr-FR"/>
        </w:rPr>
        <w:t>parties au 31 août</w:t>
      </w:r>
      <w:r w:rsidR="004A2828" w:rsidRPr="00122856">
        <w:rPr>
          <w:lang w:val="fr-FR"/>
        </w:rPr>
        <w:t xml:space="preserve"> 2015 </w:t>
      </w:r>
      <w:r w:rsidRPr="00122856">
        <w:rPr>
          <w:lang w:val="fr-FR"/>
        </w:rPr>
        <w:t xml:space="preserve">sont </w:t>
      </w:r>
      <w:r w:rsidR="004A2828" w:rsidRPr="00122856">
        <w:rPr>
          <w:lang w:val="fr-FR"/>
        </w:rPr>
        <w:t>respons</w:t>
      </w:r>
      <w:r w:rsidR="008725A5" w:rsidRPr="00122856">
        <w:rPr>
          <w:lang w:val="fr-FR"/>
        </w:rPr>
        <w:t>a</w:t>
      </w:r>
      <w:r w:rsidR="004A2828" w:rsidRPr="00122856">
        <w:rPr>
          <w:lang w:val="fr-FR"/>
        </w:rPr>
        <w:t>ble</w:t>
      </w:r>
      <w:r w:rsidR="008725A5" w:rsidRPr="00122856">
        <w:rPr>
          <w:lang w:val="fr-FR"/>
        </w:rPr>
        <w:t>s</w:t>
      </w:r>
      <w:r w:rsidR="004A2828" w:rsidRPr="00122856">
        <w:rPr>
          <w:lang w:val="fr-FR"/>
        </w:rPr>
        <w:t xml:space="preserve"> </w:t>
      </w:r>
      <w:r w:rsidR="008725A5" w:rsidRPr="00122856">
        <w:rPr>
          <w:lang w:val="fr-FR"/>
        </w:rPr>
        <w:t>de</w:t>
      </w:r>
      <w:r w:rsidR="004A2828" w:rsidRPr="00122856">
        <w:rPr>
          <w:lang w:val="fr-FR"/>
        </w:rPr>
        <w:t xml:space="preserve"> </w:t>
      </w:r>
      <w:r w:rsidR="008725A5" w:rsidRPr="006F2FBE">
        <w:rPr>
          <w:lang w:val="fr-FR"/>
        </w:rPr>
        <w:t xml:space="preserve">plus de </w:t>
      </w:r>
      <w:r w:rsidR="004A2828" w:rsidRPr="006F2FBE">
        <w:rPr>
          <w:lang w:val="fr-FR"/>
        </w:rPr>
        <w:t>60</w:t>
      </w:r>
      <w:r w:rsidR="008725A5" w:rsidRPr="006F2FBE">
        <w:rPr>
          <w:lang w:val="fr-FR"/>
        </w:rPr>
        <w:t> </w:t>
      </w:r>
      <w:r w:rsidR="004A2828" w:rsidRPr="006F2FBE">
        <w:rPr>
          <w:lang w:val="fr-FR"/>
        </w:rPr>
        <w:t xml:space="preserve">% </w:t>
      </w:r>
      <w:r w:rsidR="008725A5" w:rsidRPr="006F2FBE">
        <w:rPr>
          <w:lang w:val="fr-FR"/>
        </w:rPr>
        <w:t xml:space="preserve">du budget </w:t>
      </w:r>
      <w:r w:rsidR="004A2828" w:rsidRPr="006F2FBE">
        <w:rPr>
          <w:lang w:val="fr-FR"/>
        </w:rPr>
        <w:t xml:space="preserve">total </w:t>
      </w:r>
      <w:r w:rsidR="008725A5" w:rsidRPr="006F2FBE">
        <w:rPr>
          <w:lang w:val="fr-FR"/>
        </w:rPr>
        <w:t>de l’</w:t>
      </w:r>
      <w:r w:rsidR="004A2828" w:rsidRPr="006F2FBE">
        <w:rPr>
          <w:lang w:val="fr-FR"/>
        </w:rPr>
        <w:t>UNESCO</w:t>
      </w:r>
      <w:r w:rsidR="004A2828" w:rsidRPr="00122856">
        <w:rPr>
          <w:lang w:val="fr-FR"/>
        </w:rPr>
        <w:t xml:space="preserve">, </w:t>
      </w:r>
      <w:r w:rsidR="008725A5" w:rsidRPr="00122856">
        <w:rPr>
          <w:lang w:val="fr-FR"/>
        </w:rPr>
        <w:t xml:space="preserve">le taux des contributions réglementaires à la Convention étant </w:t>
      </w:r>
      <w:r w:rsidR="00A22B13" w:rsidRPr="00122856">
        <w:rPr>
          <w:lang w:val="fr-FR"/>
        </w:rPr>
        <w:t>fixé</w:t>
      </w:r>
      <w:r w:rsidR="008725A5" w:rsidRPr="00122856">
        <w:rPr>
          <w:lang w:val="fr-FR"/>
        </w:rPr>
        <w:t xml:space="preserve">s à </w:t>
      </w:r>
      <w:r w:rsidR="004A2828" w:rsidRPr="00122856">
        <w:rPr>
          <w:lang w:val="fr-FR"/>
        </w:rPr>
        <w:t>1</w:t>
      </w:r>
      <w:r w:rsidR="008725A5" w:rsidRPr="00122856">
        <w:rPr>
          <w:lang w:val="fr-FR"/>
        </w:rPr>
        <w:t> </w:t>
      </w:r>
      <w:r w:rsidR="004A2828" w:rsidRPr="00122856">
        <w:rPr>
          <w:lang w:val="fr-FR"/>
        </w:rPr>
        <w:t xml:space="preserve">% </w:t>
      </w:r>
      <w:r w:rsidR="008725A5" w:rsidRPr="00122856">
        <w:rPr>
          <w:lang w:val="fr-FR"/>
        </w:rPr>
        <w:t xml:space="preserve">de la contribution de chaque </w:t>
      </w:r>
      <w:r w:rsidR="00EE57F4" w:rsidRPr="00122856">
        <w:rPr>
          <w:lang w:val="fr-FR"/>
        </w:rPr>
        <w:t>État</w:t>
      </w:r>
      <w:r w:rsidR="008725A5" w:rsidRPr="00122856">
        <w:rPr>
          <w:lang w:val="fr-FR"/>
        </w:rPr>
        <w:t xml:space="preserve"> à l’UNESCO</w:t>
      </w:r>
      <w:r w:rsidR="004A2828" w:rsidRPr="00122856">
        <w:rPr>
          <w:lang w:val="fr-FR"/>
        </w:rPr>
        <w:t>.</w:t>
      </w:r>
    </w:p>
    <w:p w14:paraId="27E1BD21" w14:textId="6885F56A" w:rsidR="004A2828" w:rsidRPr="00122856" w:rsidRDefault="00CE3100" w:rsidP="009E1B50">
      <w:pPr>
        <w:pStyle w:val="COMParabodytext"/>
        <w:rPr>
          <w:lang w:val="fr-FR"/>
        </w:rPr>
      </w:pPr>
      <w:r w:rsidRPr="00122856">
        <w:rPr>
          <w:lang w:val="fr-FR"/>
        </w:rPr>
        <w:t xml:space="preserve">Le Comité </w:t>
      </w:r>
      <w:r w:rsidR="0046089D" w:rsidRPr="00122856">
        <w:rPr>
          <w:lang w:val="fr-FR"/>
        </w:rPr>
        <w:t xml:space="preserve">peut </w:t>
      </w:r>
      <w:r w:rsidRPr="00122856">
        <w:rPr>
          <w:lang w:val="fr-FR"/>
        </w:rPr>
        <w:t xml:space="preserve">considérer que le faible taux d’utilisation </w:t>
      </w:r>
      <w:r w:rsidR="0046089D" w:rsidRPr="00122856">
        <w:rPr>
          <w:lang w:val="fr-FR"/>
        </w:rPr>
        <w:t>qui concerne en particulier</w:t>
      </w:r>
      <w:r w:rsidRPr="00122856">
        <w:rPr>
          <w:lang w:val="fr-FR"/>
        </w:rPr>
        <w:t xml:space="preserve"> la </w:t>
      </w:r>
      <w:r w:rsidR="00FD1663" w:rsidRPr="00122856">
        <w:rPr>
          <w:lang w:val="fr-FR"/>
        </w:rPr>
        <w:t>ligne budgétaire</w:t>
      </w:r>
      <w:r w:rsidR="004A2828" w:rsidRPr="00122856">
        <w:rPr>
          <w:lang w:val="fr-FR"/>
        </w:rPr>
        <w:t> 1 (</w:t>
      </w:r>
      <w:r w:rsidRPr="00122856">
        <w:rPr>
          <w:lang w:val="fr-FR"/>
        </w:rPr>
        <w:t xml:space="preserve">assistance </w:t>
      </w:r>
      <w:r w:rsidR="004A2828" w:rsidRPr="00122856">
        <w:rPr>
          <w:lang w:val="fr-FR"/>
        </w:rPr>
        <w:t xml:space="preserve">internationale) </w:t>
      </w:r>
      <w:r w:rsidRPr="00122856">
        <w:rPr>
          <w:lang w:val="fr-FR"/>
        </w:rPr>
        <w:t>et la</w:t>
      </w:r>
      <w:r w:rsidR="004A2828" w:rsidRPr="00122856">
        <w:rPr>
          <w:lang w:val="fr-FR"/>
        </w:rPr>
        <w:t xml:space="preserve"> </w:t>
      </w:r>
      <w:r w:rsidR="00FD1663" w:rsidRPr="00122856">
        <w:rPr>
          <w:lang w:val="fr-FR"/>
        </w:rPr>
        <w:t>ligne budgétaire</w:t>
      </w:r>
      <w:r w:rsidR="004A2828" w:rsidRPr="00122856">
        <w:rPr>
          <w:lang w:val="fr-FR"/>
        </w:rPr>
        <w:t xml:space="preserve"> 2 (</w:t>
      </w:r>
      <w:r w:rsidRPr="00122856">
        <w:rPr>
          <w:lang w:val="fr-FR"/>
        </w:rPr>
        <w:t xml:space="preserve">assistance </w:t>
      </w:r>
      <w:r w:rsidR="004A2828" w:rsidRPr="00122856">
        <w:rPr>
          <w:lang w:val="fr-FR"/>
        </w:rPr>
        <w:t>pr</w:t>
      </w:r>
      <w:r w:rsidRPr="00122856">
        <w:rPr>
          <w:lang w:val="fr-FR"/>
        </w:rPr>
        <w:t>é</w:t>
      </w:r>
      <w:r w:rsidR="004A2828" w:rsidRPr="00122856">
        <w:rPr>
          <w:lang w:val="fr-FR"/>
        </w:rPr>
        <w:t>parato</w:t>
      </w:r>
      <w:r w:rsidRPr="00122856">
        <w:rPr>
          <w:lang w:val="fr-FR"/>
        </w:rPr>
        <w:t>ire</w:t>
      </w:r>
      <w:r w:rsidR="004A2828" w:rsidRPr="00122856">
        <w:rPr>
          <w:lang w:val="fr-FR"/>
        </w:rPr>
        <w:t xml:space="preserve">) </w:t>
      </w:r>
      <w:r w:rsidRPr="00122856">
        <w:rPr>
          <w:lang w:val="fr-FR"/>
        </w:rPr>
        <w:t>sera corrigé à moyen terme</w:t>
      </w:r>
      <w:r w:rsidR="004A2828" w:rsidRPr="00122856">
        <w:rPr>
          <w:lang w:val="fr-FR"/>
        </w:rPr>
        <w:t xml:space="preserve">. </w:t>
      </w:r>
      <w:r w:rsidRPr="00122856">
        <w:rPr>
          <w:lang w:val="fr-FR"/>
        </w:rPr>
        <w:t xml:space="preserve">La stratégie globale de renforcement des capacités devrait continuer à produire des fruits et renforcer les capacités des </w:t>
      </w:r>
      <w:r w:rsidR="008D15F0" w:rsidRPr="00122856">
        <w:rPr>
          <w:lang w:val="fr-FR"/>
        </w:rPr>
        <w:t>États</w:t>
      </w:r>
      <w:r w:rsidRPr="00122856">
        <w:rPr>
          <w:lang w:val="fr-FR"/>
        </w:rPr>
        <w:t xml:space="preserve"> parties en développement à formuler de</w:t>
      </w:r>
      <w:r w:rsidR="00161584" w:rsidRPr="00122856">
        <w:rPr>
          <w:lang w:val="fr-FR"/>
        </w:rPr>
        <w:t>s</w:t>
      </w:r>
      <w:r w:rsidRPr="00122856">
        <w:rPr>
          <w:lang w:val="fr-FR"/>
        </w:rPr>
        <w:t xml:space="preserve"> demandes d’assistance internationale</w:t>
      </w:r>
      <w:r w:rsidR="00161584" w:rsidRPr="00122856">
        <w:rPr>
          <w:lang w:val="fr-FR"/>
        </w:rPr>
        <w:t xml:space="preserve"> solides</w:t>
      </w:r>
      <w:r w:rsidR="004A2828" w:rsidRPr="00122856">
        <w:rPr>
          <w:lang w:val="fr-FR"/>
        </w:rPr>
        <w:t xml:space="preserve">. </w:t>
      </w:r>
      <w:r w:rsidR="00CF60AF" w:rsidRPr="00122856">
        <w:rPr>
          <w:lang w:val="fr-FR"/>
        </w:rPr>
        <w:t>Les efforts pour élaborer d</w:t>
      </w:r>
      <w:r w:rsidR="00675D64" w:rsidRPr="00122856">
        <w:rPr>
          <w:lang w:val="fr-FR"/>
        </w:rPr>
        <w:t>u</w:t>
      </w:r>
      <w:r w:rsidR="00CF60AF" w:rsidRPr="00122856">
        <w:rPr>
          <w:lang w:val="fr-FR"/>
        </w:rPr>
        <w:t xml:space="preserve"> matériel de formation sur l’élaboration de projets en général et sur la préparation des demandes d’assistance internationale en particulier</w:t>
      </w:r>
      <w:r w:rsidR="00161584" w:rsidRPr="00122856">
        <w:rPr>
          <w:lang w:val="fr-FR"/>
        </w:rPr>
        <w:t xml:space="preserve"> seront intensifiés</w:t>
      </w:r>
      <w:r w:rsidR="004A2828" w:rsidRPr="00122856">
        <w:rPr>
          <w:lang w:val="fr-FR"/>
        </w:rPr>
        <w:t xml:space="preserve">. </w:t>
      </w:r>
      <w:r w:rsidR="00CF60AF" w:rsidRPr="00122856">
        <w:rPr>
          <w:lang w:val="fr-FR"/>
        </w:rPr>
        <w:t xml:space="preserve">La stratégie continuera à être mise en </w:t>
      </w:r>
      <w:r w:rsidR="00FD2CBE" w:rsidRPr="00122856">
        <w:rPr>
          <w:lang w:val="fr-FR"/>
        </w:rPr>
        <w:t xml:space="preserve">œuvre </w:t>
      </w:r>
      <w:r w:rsidR="00CF60AF" w:rsidRPr="00122856">
        <w:rPr>
          <w:lang w:val="fr-FR"/>
        </w:rPr>
        <w:t xml:space="preserve">au cours des </w:t>
      </w:r>
      <w:r w:rsidR="00FD2CBE" w:rsidRPr="00122856">
        <w:rPr>
          <w:lang w:val="fr-FR"/>
        </w:rPr>
        <w:t xml:space="preserve">prochaines </w:t>
      </w:r>
      <w:r w:rsidR="00CF60AF" w:rsidRPr="00122856">
        <w:rPr>
          <w:lang w:val="fr-FR"/>
        </w:rPr>
        <w:t>années</w:t>
      </w:r>
      <w:r w:rsidR="009F45E5" w:rsidRPr="00122856">
        <w:rPr>
          <w:lang w:val="fr-FR"/>
        </w:rPr>
        <w:t xml:space="preserve">, mais il </w:t>
      </w:r>
      <w:r w:rsidR="00FD2CBE" w:rsidRPr="00122856">
        <w:rPr>
          <w:lang w:val="fr-FR"/>
        </w:rPr>
        <w:t xml:space="preserve">faut </w:t>
      </w:r>
      <w:r w:rsidR="009F45E5" w:rsidRPr="00122856">
        <w:rPr>
          <w:lang w:val="fr-FR"/>
        </w:rPr>
        <w:t xml:space="preserve">noter la baisse importante de l’aide extrabudgétaire des fonds-en-dépôt et des contributions </w:t>
      </w:r>
      <w:r w:rsidR="002177F5" w:rsidRPr="006904F4">
        <w:rPr>
          <w:lang w:val="fr-FR"/>
        </w:rPr>
        <w:t>affectées à des fins spécifiques, telle qu</w:t>
      </w:r>
      <w:r w:rsidR="00FD2CBE" w:rsidRPr="006904F4">
        <w:rPr>
          <w:lang w:val="fr-FR"/>
        </w:rPr>
        <w:t>’</w:t>
      </w:r>
      <w:r w:rsidR="002177F5" w:rsidRPr="006904F4">
        <w:rPr>
          <w:lang w:val="fr-FR"/>
        </w:rPr>
        <w:t>e</w:t>
      </w:r>
      <w:r w:rsidR="00FD2CBE" w:rsidRPr="006904F4">
        <w:rPr>
          <w:lang w:val="fr-FR"/>
        </w:rPr>
        <w:t>lle apparaît</w:t>
      </w:r>
      <w:r w:rsidR="002177F5" w:rsidRPr="006904F4">
        <w:rPr>
          <w:lang w:val="fr-FR"/>
        </w:rPr>
        <w:t xml:space="preserve"> dans le</w:t>
      </w:r>
      <w:r w:rsidR="00FD2CBE" w:rsidRPr="006904F4">
        <w:rPr>
          <w:lang w:val="fr-FR"/>
        </w:rPr>
        <w:t xml:space="preserve"> </w:t>
      </w:r>
      <w:hyperlink r:id="rId28" w:history="1">
        <w:r w:rsidR="00EE57F4" w:rsidRPr="006904F4">
          <w:rPr>
            <w:rStyle w:val="Hyperlink"/>
            <w:lang w:val="fr-FR"/>
          </w:rPr>
          <w:t>document</w:t>
        </w:r>
        <w:r w:rsidR="002177F5" w:rsidRPr="006904F4">
          <w:rPr>
            <w:rStyle w:val="Hyperlink"/>
            <w:lang w:val="fr-FR"/>
          </w:rPr>
          <w:t xml:space="preserve"> </w:t>
        </w:r>
        <w:r w:rsidR="004A2828" w:rsidRPr="004E50B6">
          <w:rPr>
            <w:rStyle w:val="Hyperlink"/>
            <w:lang w:val="fr-FR"/>
          </w:rPr>
          <w:t>ITH/15/10.COM/9</w:t>
        </w:r>
      </w:hyperlink>
      <w:r w:rsidR="004A2828" w:rsidRPr="006904F4">
        <w:rPr>
          <w:lang w:val="fr-FR"/>
        </w:rPr>
        <w:t xml:space="preserve">. </w:t>
      </w:r>
      <w:r w:rsidR="002E7030" w:rsidRPr="006904F4">
        <w:rPr>
          <w:lang w:val="fr-FR"/>
        </w:rPr>
        <w:t>Or</w:t>
      </w:r>
      <w:r w:rsidR="002177F5" w:rsidRPr="006904F4">
        <w:rPr>
          <w:lang w:val="fr-FR"/>
        </w:rPr>
        <w:t>, comme</w:t>
      </w:r>
      <w:r w:rsidR="00B87792" w:rsidRPr="006904F4">
        <w:rPr>
          <w:lang w:val="fr-FR"/>
        </w:rPr>
        <w:t xml:space="preserve"> il est </w:t>
      </w:r>
      <w:r w:rsidR="002177F5" w:rsidRPr="006904F4">
        <w:rPr>
          <w:lang w:val="fr-FR"/>
        </w:rPr>
        <w:t xml:space="preserve">indiqué plus haut, la promotion de toutes les formes d’assistance internationale </w:t>
      </w:r>
      <w:r w:rsidR="002E7030" w:rsidRPr="006904F4">
        <w:rPr>
          <w:lang w:val="fr-FR"/>
        </w:rPr>
        <w:t xml:space="preserve">prévues </w:t>
      </w:r>
      <w:r w:rsidR="002177F5" w:rsidRPr="006904F4">
        <w:rPr>
          <w:lang w:val="fr-FR"/>
        </w:rPr>
        <w:t>à l’a</w:t>
      </w:r>
      <w:r w:rsidR="004A2828" w:rsidRPr="006904F4">
        <w:rPr>
          <w:lang w:val="fr-FR"/>
        </w:rPr>
        <w:t xml:space="preserve">rticle 21 </w:t>
      </w:r>
      <w:r w:rsidR="00866F43" w:rsidRPr="006904F4">
        <w:rPr>
          <w:lang w:val="fr-FR"/>
        </w:rPr>
        <w:t>p</w:t>
      </w:r>
      <w:r w:rsidR="00B87792" w:rsidRPr="006904F4">
        <w:rPr>
          <w:lang w:val="fr-FR"/>
        </w:rPr>
        <w:t>ourrait p</w:t>
      </w:r>
      <w:r w:rsidR="00866F43" w:rsidRPr="006904F4">
        <w:rPr>
          <w:lang w:val="fr-FR"/>
        </w:rPr>
        <w:t>ermettr</w:t>
      </w:r>
      <w:r w:rsidR="00B87792" w:rsidRPr="006904F4">
        <w:rPr>
          <w:lang w:val="fr-FR"/>
        </w:rPr>
        <w:t>e</w:t>
      </w:r>
      <w:r w:rsidR="00866F43" w:rsidRPr="006904F4">
        <w:rPr>
          <w:lang w:val="fr-FR"/>
        </w:rPr>
        <w:t xml:space="preserve"> d’apporter une aide plus </w:t>
      </w:r>
      <w:r w:rsidR="00B87792" w:rsidRPr="006904F4">
        <w:rPr>
          <w:lang w:val="fr-FR"/>
        </w:rPr>
        <w:t>substantielle</w:t>
      </w:r>
      <w:r w:rsidR="00866F43" w:rsidRPr="006904F4">
        <w:rPr>
          <w:lang w:val="fr-FR"/>
        </w:rPr>
        <w:t xml:space="preserve"> aux pays souhaitant renforcer leurs capacités en matière de sauvegarde</w:t>
      </w:r>
      <w:r w:rsidR="004A2828" w:rsidRPr="006904F4">
        <w:rPr>
          <w:lang w:val="fr-FR"/>
        </w:rPr>
        <w:t>.</w:t>
      </w:r>
    </w:p>
    <w:p w14:paraId="1A215369" w14:textId="4B4BE256" w:rsidR="004A2828" w:rsidRPr="00122856" w:rsidRDefault="00866F43" w:rsidP="009E1B50">
      <w:pPr>
        <w:pStyle w:val="COMParabodytext"/>
        <w:rPr>
          <w:lang w:val="fr-FR"/>
        </w:rPr>
      </w:pPr>
      <w:r w:rsidRPr="00122856">
        <w:rPr>
          <w:lang w:val="fr-FR"/>
        </w:rPr>
        <w:t>Avec le budget</w:t>
      </w:r>
      <w:r w:rsidR="004A2828" w:rsidRPr="00122856">
        <w:rPr>
          <w:lang w:val="fr-FR"/>
        </w:rPr>
        <w:t xml:space="preserve"> 2016–</w:t>
      </w:r>
      <w:r w:rsidR="00B87792" w:rsidRPr="00122856">
        <w:rPr>
          <w:lang w:val="fr-FR"/>
        </w:rPr>
        <w:t>20</w:t>
      </w:r>
      <w:r w:rsidR="004A2828" w:rsidRPr="00122856">
        <w:rPr>
          <w:lang w:val="fr-FR"/>
        </w:rPr>
        <w:t xml:space="preserve">17, </w:t>
      </w:r>
      <w:r w:rsidRPr="00122856">
        <w:rPr>
          <w:lang w:val="fr-FR"/>
        </w:rPr>
        <w:t xml:space="preserve">le Fonds de réserve atteindra </w:t>
      </w:r>
      <w:r w:rsidR="00220B6B" w:rsidRPr="00122856">
        <w:rPr>
          <w:lang w:val="fr-FR"/>
        </w:rPr>
        <w:t>un</w:t>
      </w:r>
      <w:r w:rsidRPr="00122856">
        <w:rPr>
          <w:lang w:val="fr-FR"/>
        </w:rPr>
        <w:t xml:space="preserve"> million de dollars</w:t>
      </w:r>
      <w:r w:rsidR="004A2828" w:rsidRPr="00122856">
        <w:rPr>
          <w:lang w:val="fr-FR"/>
        </w:rPr>
        <w:t xml:space="preserve">. </w:t>
      </w:r>
      <w:r w:rsidRPr="00122856">
        <w:rPr>
          <w:lang w:val="fr-FR"/>
        </w:rPr>
        <w:t xml:space="preserve">Dans la mesure où </w:t>
      </w:r>
      <w:r w:rsidR="00F94398" w:rsidRPr="00122856">
        <w:rPr>
          <w:lang w:val="fr-FR"/>
        </w:rPr>
        <w:t xml:space="preserve">le Comité </w:t>
      </w:r>
      <w:r w:rsidR="002E7030" w:rsidRPr="00122856">
        <w:rPr>
          <w:lang w:val="fr-FR"/>
        </w:rPr>
        <w:t xml:space="preserve">détermine </w:t>
      </w:r>
      <w:r w:rsidRPr="00122856">
        <w:rPr>
          <w:lang w:val="fr-FR"/>
        </w:rPr>
        <w:t>le montant de la réserve</w:t>
      </w:r>
      <w:r w:rsidR="00A51838" w:rsidRPr="00122856">
        <w:rPr>
          <w:lang w:val="fr-FR"/>
        </w:rPr>
        <w:t xml:space="preserve">, </w:t>
      </w:r>
      <w:r w:rsidR="00F94398" w:rsidRPr="00122856">
        <w:rPr>
          <w:lang w:val="fr-FR"/>
        </w:rPr>
        <w:t>il</w:t>
      </w:r>
      <w:r w:rsidR="00A51838" w:rsidRPr="00122856">
        <w:rPr>
          <w:lang w:val="fr-FR"/>
        </w:rPr>
        <w:t xml:space="preserve"> pourrait anticiper qu’aucun versement supplémentaire au Fonds de réserve ne sera nécessaire </w:t>
      </w:r>
      <w:r w:rsidR="00F94398" w:rsidRPr="00122856">
        <w:rPr>
          <w:lang w:val="fr-FR"/>
        </w:rPr>
        <w:t>pour</w:t>
      </w:r>
      <w:r w:rsidR="00A51838" w:rsidRPr="00122856">
        <w:rPr>
          <w:lang w:val="fr-FR"/>
        </w:rPr>
        <w:t xml:space="preserve"> le budget </w:t>
      </w:r>
      <w:r w:rsidR="004A2828" w:rsidRPr="00122856">
        <w:rPr>
          <w:lang w:val="fr-FR"/>
        </w:rPr>
        <w:t>2018–</w:t>
      </w:r>
      <w:r w:rsidR="00F94398" w:rsidRPr="00122856">
        <w:rPr>
          <w:lang w:val="fr-FR"/>
        </w:rPr>
        <w:t>20</w:t>
      </w:r>
      <w:r w:rsidR="004A2828" w:rsidRPr="00122856">
        <w:rPr>
          <w:lang w:val="fr-FR"/>
        </w:rPr>
        <w:t>19</w:t>
      </w:r>
      <w:r w:rsidR="00F94398" w:rsidRPr="00122856">
        <w:rPr>
          <w:lang w:val="fr-FR"/>
        </w:rPr>
        <w:t>,</w:t>
      </w:r>
      <w:r w:rsidR="004A2828" w:rsidRPr="00122856">
        <w:rPr>
          <w:lang w:val="fr-FR"/>
        </w:rPr>
        <w:t xml:space="preserve"> </w:t>
      </w:r>
      <w:r w:rsidR="00A51838" w:rsidRPr="00122856">
        <w:rPr>
          <w:lang w:val="fr-FR"/>
        </w:rPr>
        <w:t xml:space="preserve">sauf si les crédits </w:t>
      </w:r>
      <w:r w:rsidR="002E7030" w:rsidRPr="00122856">
        <w:rPr>
          <w:lang w:val="fr-FR"/>
        </w:rPr>
        <w:t xml:space="preserve">ne sont plus disponibles sur </w:t>
      </w:r>
      <w:r w:rsidR="00A51838" w:rsidRPr="00122856">
        <w:rPr>
          <w:lang w:val="fr-FR"/>
        </w:rPr>
        <w:t xml:space="preserve">la </w:t>
      </w:r>
      <w:r w:rsidR="00FD1663" w:rsidRPr="00122856">
        <w:rPr>
          <w:lang w:val="fr-FR"/>
        </w:rPr>
        <w:t>ligne budgétaire</w:t>
      </w:r>
      <w:r w:rsidR="002E7030" w:rsidRPr="00122856">
        <w:rPr>
          <w:lang w:val="fr-FR"/>
        </w:rPr>
        <w:t xml:space="preserve"> 1 ne sont pour faire face aux assistances </w:t>
      </w:r>
      <w:r w:rsidR="00A51838" w:rsidRPr="00122856">
        <w:rPr>
          <w:lang w:val="fr-FR"/>
        </w:rPr>
        <w:t xml:space="preserve">d’urgence et </w:t>
      </w:r>
      <w:r w:rsidR="002E7030" w:rsidRPr="00122856">
        <w:rPr>
          <w:lang w:val="fr-FR"/>
        </w:rPr>
        <w:t xml:space="preserve">que </w:t>
      </w:r>
      <w:r w:rsidR="00A51838" w:rsidRPr="00122856">
        <w:rPr>
          <w:lang w:val="fr-FR"/>
        </w:rPr>
        <w:t xml:space="preserve">le Fonds de réserve passe en dessous du seuil de </w:t>
      </w:r>
      <w:r w:rsidR="002E7030" w:rsidRPr="00122856">
        <w:rPr>
          <w:lang w:val="fr-FR"/>
        </w:rPr>
        <w:t>1 </w:t>
      </w:r>
      <w:r w:rsidR="004A2828" w:rsidRPr="00122856">
        <w:rPr>
          <w:lang w:val="fr-FR"/>
        </w:rPr>
        <w:t>million</w:t>
      </w:r>
      <w:r w:rsidR="00A51838" w:rsidRPr="00122856">
        <w:rPr>
          <w:lang w:val="fr-FR"/>
        </w:rPr>
        <w:t xml:space="preserve"> de dollars des </w:t>
      </w:r>
      <w:r w:rsidR="00EE57F4" w:rsidRPr="00122856">
        <w:rPr>
          <w:lang w:val="fr-FR"/>
        </w:rPr>
        <w:t>États-Unis</w:t>
      </w:r>
      <w:r w:rsidR="004A2828" w:rsidRPr="00122856">
        <w:rPr>
          <w:lang w:val="fr-FR"/>
        </w:rPr>
        <w:t>.</w:t>
      </w:r>
    </w:p>
    <w:p w14:paraId="0B89B45F" w14:textId="77777777" w:rsidR="0057439C" w:rsidRPr="00122856" w:rsidRDefault="009E1B50" w:rsidP="009E1B50">
      <w:pPr>
        <w:pStyle w:val="COMParabodytext"/>
        <w:rPr>
          <w:lang w:val="fr-FR"/>
        </w:rPr>
      </w:pPr>
      <w:r w:rsidRPr="00122856">
        <w:rPr>
          <w:rFonts w:eastAsia="SimSun"/>
          <w:lang w:val="fr-FR"/>
        </w:rPr>
        <w:t>Le Comité souhaitera peut-être adopter la décision suivante</w:t>
      </w:r>
      <w:r w:rsidR="00B90701" w:rsidRPr="00122856">
        <w:rPr>
          <w:rFonts w:eastAsia="SimSun"/>
          <w:lang w:val="fr-FR"/>
        </w:rPr>
        <w:t> </w:t>
      </w:r>
      <w:r w:rsidR="00962119" w:rsidRPr="00122856">
        <w:rPr>
          <w:rFonts w:eastAsia="SimSun"/>
          <w:lang w:val="fr-FR"/>
        </w:rPr>
        <w:t>:</w:t>
      </w:r>
    </w:p>
    <w:p w14:paraId="3CD95017" w14:textId="3FC0173D" w:rsidR="0057439C" w:rsidRPr="00122856" w:rsidRDefault="009E1B50" w:rsidP="00080088">
      <w:pPr>
        <w:pStyle w:val="GATitleResolution"/>
      </w:pPr>
      <w:r w:rsidRPr="00122856">
        <w:t>PROJET DE DÉCIS</w:t>
      </w:r>
      <w:r w:rsidR="00165170" w:rsidRPr="00122856">
        <w:t>ION 10</w:t>
      </w:r>
      <w:r w:rsidR="00BC3420" w:rsidRPr="00122856">
        <w:t>.</w:t>
      </w:r>
      <w:r w:rsidR="002E7030" w:rsidRPr="00122856">
        <w:t>COM 8</w:t>
      </w:r>
    </w:p>
    <w:p w14:paraId="77E2694E" w14:textId="77777777" w:rsidR="0057439C" w:rsidRPr="00122856" w:rsidRDefault="00E62B4C" w:rsidP="00080088">
      <w:pPr>
        <w:pStyle w:val="COMPreambulaDecision"/>
      </w:pPr>
      <w:r w:rsidRPr="00122856">
        <w:t>Le Comité</w:t>
      </w:r>
      <w:r w:rsidR="00962119" w:rsidRPr="00122856">
        <w:t>,</w:t>
      </w:r>
    </w:p>
    <w:p w14:paraId="43EEC534" w14:textId="4748625D" w:rsidR="0057439C" w:rsidRPr="00122856" w:rsidRDefault="00DB4A84" w:rsidP="00080088">
      <w:pPr>
        <w:pStyle w:val="COMParaDecision"/>
      </w:pPr>
      <w:r w:rsidRPr="00122856">
        <w:t>Ayant examiné</w:t>
      </w:r>
      <w:r w:rsidRPr="00122856">
        <w:rPr>
          <w:u w:val="none"/>
        </w:rPr>
        <w:t xml:space="preserve"> le document</w:t>
      </w:r>
      <w:r w:rsidR="00764CF9" w:rsidRPr="00122856">
        <w:rPr>
          <w:u w:val="none"/>
        </w:rPr>
        <w:t xml:space="preserve"> ITH/15/10</w:t>
      </w:r>
      <w:r w:rsidR="00BC3420" w:rsidRPr="00122856">
        <w:rPr>
          <w:u w:val="none"/>
        </w:rPr>
        <w:t>.COM</w:t>
      </w:r>
      <w:r w:rsidR="0057439C" w:rsidRPr="00122856">
        <w:rPr>
          <w:u w:val="none"/>
        </w:rPr>
        <w:t>/</w:t>
      </w:r>
      <w:r w:rsidR="002E7030" w:rsidRPr="00122856">
        <w:rPr>
          <w:u w:val="none"/>
        </w:rPr>
        <w:t>8</w:t>
      </w:r>
      <w:r w:rsidR="00080088" w:rsidRPr="00122856">
        <w:rPr>
          <w:u w:val="none"/>
        </w:rPr>
        <w:t>,</w:t>
      </w:r>
    </w:p>
    <w:p w14:paraId="3A103D13" w14:textId="77777777" w:rsidR="0057439C" w:rsidRPr="00122856" w:rsidRDefault="00DB4A84" w:rsidP="00080088">
      <w:pPr>
        <w:pStyle w:val="COMParaDecision"/>
      </w:pPr>
      <w:r w:rsidRPr="00122856">
        <w:t>Rappelant</w:t>
      </w:r>
      <w:r w:rsidRPr="00122856">
        <w:rPr>
          <w:u w:val="none"/>
        </w:rPr>
        <w:t xml:space="preserve"> </w:t>
      </w:r>
      <w:r w:rsidR="00FC3EC8" w:rsidRPr="00122856">
        <w:rPr>
          <w:u w:val="none"/>
        </w:rPr>
        <w:t>l’a</w:t>
      </w:r>
      <w:r w:rsidR="004A2828" w:rsidRPr="00122856">
        <w:rPr>
          <w:u w:val="none"/>
        </w:rPr>
        <w:t xml:space="preserve">rticle 7(c) </w:t>
      </w:r>
      <w:r w:rsidR="00FC3EC8" w:rsidRPr="00122856">
        <w:rPr>
          <w:u w:val="none"/>
        </w:rPr>
        <w:t>de la</w:t>
      </w:r>
      <w:r w:rsidR="004A2828" w:rsidRPr="00122856">
        <w:rPr>
          <w:u w:val="none"/>
        </w:rPr>
        <w:t xml:space="preserve"> Convention </w:t>
      </w:r>
      <w:r w:rsidR="00FC3EC8" w:rsidRPr="00122856">
        <w:rPr>
          <w:u w:val="none"/>
        </w:rPr>
        <w:t>et la ré</w:t>
      </w:r>
      <w:r w:rsidR="004A2828" w:rsidRPr="00122856">
        <w:rPr>
          <w:u w:val="none"/>
        </w:rPr>
        <w:t xml:space="preserve">solution 5.GA 7 </w:t>
      </w:r>
      <w:r w:rsidR="00FC3EC8" w:rsidRPr="00122856">
        <w:rPr>
          <w:u w:val="none"/>
        </w:rPr>
        <w:t>de l’Assemblée générale</w:t>
      </w:r>
      <w:r w:rsidR="0057439C" w:rsidRPr="00122856">
        <w:rPr>
          <w:u w:val="none"/>
        </w:rPr>
        <w:t>,</w:t>
      </w:r>
    </w:p>
    <w:p w14:paraId="1C03CBEF" w14:textId="304A39FF" w:rsidR="00443880" w:rsidRPr="00122856" w:rsidRDefault="00FC3EC8" w:rsidP="00080088">
      <w:pPr>
        <w:pStyle w:val="COMParaDecision"/>
      </w:pPr>
      <w:r w:rsidRPr="00122856">
        <w:t>Dé</w:t>
      </w:r>
      <w:r w:rsidR="004A2828" w:rsidRPr="00122856">
        <w:t>cide</w:t>
      </w:r>
      <w:r w:rsidRPr="00122856">
        <w:rPr>
          <w:u w:val="none"/>
        </w:rPr>
        <w:t xml:space="preserve"> de </w:t>
      </w:r>
      <w:r w:rsidR="002E7030" w:rsidRPr="00122856">
        <w:rPr>
          <w:u w:val="none"/>
        </w:rPr>
        <w:t xml:space="preserve">baser </w:t>
      </w:r>
      <w:r w:rsidRPr="00122856">
        <w:rPr>
          <w:u w:val="none"/>
        </w:rPr>
        <w:t xml:space="preserve">le projet de plan d’utilisation des ressources du Fonds pour les périodes du </w:t>
      </w:r>
      <w:r w:rsidR="002E7030" w:rsidRPr="00122856">
        <w:rPr>
          <w:u w:val="none"/>
        </w:rPr>
        <w:t>1</w:t>
      </w:r>
      <w:r w:rsidR="002E7030" w:rsidRPr="00122856">
        <w:rPr>
          <w:u w:val="none"/>
          <w:vertAlign w:val="superscript"/>
        </w:rPr>
        <w:t>er</w:t>
      </w:r>
      <w:r w:rsidR="002E7030" w:rsidRPr="00122856">
        <w:rPr>
          <w:u w:val="none"/>
        </w:rPr>
        <w:t> </w:t>
      </w:r>
      <w:r w:rsidRPr="00122856">
        <w:rPr>
          <w:u w:val="none"/>
        </w:rPr>
        <w:t>janvier</w:t>
      </w:r>
      <w:r w:rsidR="004A2828" w:rsidRPr="00122856">
        <w:rPr>
          <w:u w:val="none"/>
        </w:rPr>
        <w:t xml:space="preserve"> 2016 </w:t>
      </w:r>
      <w:r w:rsidRPr="00122856">
        <w:rPr>
          <w:u w:val="none"/>
        </w:rPr>
        <w:t>au</w:t>
      </w:r>
      <w:r w:rsidR="004A2828" w:rsidRPr="00122856">
        <w:rPr>
          <w:u w:val="none"/>
        </w:rPr>
        <w:t xml:space="preserve"> 31 </w:t>
      </w:r>
      <w:r w:rsidRPr="00122856">
        <w:rPr>
          <w:u w:val="none"/>
        </w:rPr>
        <w:t>dé</w:t>
      </w:r>
      <w:r w:rsidR="004A2828" w:rsidRPr="00122856">
        <w:rPr>
          <w:u w:val="none"/>
        </w:rPr>
        <w:t>cemb</w:t>
      </w:r>
      <w:r w:rsidRPr="00122856">
        <w:rPr>
          <w:u w:val="none"/>
        </w:rPr>
        <w:t>r</w:t>
      </w:r>
      <w:r w:rsidR="004A2828" w:rsidRPr="00122856">
        <w:rPr>
          <w:u w:val="none"/>
        </w:rPr>
        <w:t xml:space="preserve">e 2017 </w:t>
      </w:r>
      <w:r w:rsidRPr="00122856">
        <w:rPr>
          <w:u w:val="none"/>
        </w:rPr>
        <w:t xml:space="preserve">et du </w:t>
      </w:r>
      <w:r w:rsidR="004A2828" w:rsidRPr="00122856">
        <w:rPr>
          <w:u w:val="none"/>
        </w:rPr>
        <w:t>1</w:t>
      </w:r>
      <w:r w:rsidRPr="00122856">
        <w:rPr>
          <w:u w:val="none"/>
          <w:vertAlign w:val="superscript"/>
        </w:rPr>
        <w:t>er</w:t>
      </w:r>
      <w:r w:rsidRPr="00122856">
        <w:rPr>
          <w:u w:val="none"/>
        </w:rPr>
        <w:t xml:space="preserve"> j</w:t>
      </w:r>
      <w:r w:rsidR="004A2828" w:rsidRPr="00122856">
        <w:rPr>
          <w:u w:val="none"/>
        </w:rPr>
        <w:t>an</w:t>
      </w:r>
      <w:r w:rsidRPr="00122856">
        <w:rPr>
          <w:u w:val="none"/>
        </w:rPr>
        <w:t>vier</w:t>
      </w:r>
      <w:r w:rsidR="004A2828" w:rsidRPr="00122856">
        <w:rPr>
          <w:u w:val="none"/>
        </w:rPr>
        <w:t xml:space="preserve"> </w:t>
      </w:r>
      <w:r w:rsidRPr="00122856">
        <w:rPr>
          <w:u w:val="none"/>
        </w:rPr>
        <w:t xml:space="preserve">au </w:t>
      </w:r>
      <w:r w:rsidR="004A2828" w:rsidRPr="00122856">
        <w:rPr>
          <w:u w:val="none"/>
        </w:rPr>
        <w:t>30 </w:t>
      </w:r>
      <w:r w:rsidRPr="00122856">
        <w:rPr>
          <w:u w:val="none"/>
        </w:rPr>
        <w:t>juin</w:t>
      </w:r>
      <w:r w:rsidR="004A2828" w:rsidRPr="00122856">
        <w:rPr>
          <w:u w:val="none"/>
        </w:rPr>
        <w:t xml:space="preserve"> 2018 </w:t>
      </w:r>
      <w:r w:rsidRPr="00122856">
        <w:rPr>
          <w:u w:val="none"/>
        </w:rPr>
        <w:t xml:space="preserve">sur </w:t>
      </w:r>
      <w:r w:rsidR="002E7030" w:rsidRPr="00122856">
        <w:rPr>
          <w:u w:val="none"/>
        </w:rPr>
        <w:t xml:space="preserve">le total des </w:t>
      </w:r>
      <w:r w:rsidR="00253CCF" w:rsidRPr="00122856">
        <w:rPr>
          <w:u w:val="none"/>
        </w:rPr>
        <w:t>réserves opérationnelles à utilisation non restreinte disponible au 31</w:t>
      </w:r>
      <w:r w:rsidR="00080088" w:rsidRPr="00122856">
        <w:rPr>
          <w:u w:val="none"/>
        </w:rPr>
        <w:t> </w:t>
      </w:r>
      <w:r w:rsidR="00253CCF" w:rsidRPr="00122856">
        <w:rPr>
          <w:u w:val="none"/>
        </w:rPr>
        <w:t>décembre</w:t>
      </w:r>
      <w:r w:rsidR="004A2828" w:rsidRPr="00122856">
        <w:rPr>
          <w:u w:val="none"/>
        </w:rPr>
        <w:t xml:space="preserve"> 2015, </w:t>
      </w:r>
      <w:r w:rsidR="00253CCF" w:rsidRPr="00122856">
        <w:rPr>
          <w:u w:val="none"/>
        </w:rPr>
        <w:t>y compris tout solde non utilisé </w:t>
      </w:r>
      <w:r w:rsidR="004A2828" w:rsidRPr="00122856">
        <w:rPr>
          <w:u w:val="none"/>
        </w:rPr>
        <w:t>;</w:t>
      </w:r>
    </w:p>
    <w:p w14:paraId="58B354FB" w14:textId="3CF201C2" w:rsidR="00443880" w:rsidRPr="00122856" w:rsidRDefault="004A2828" w:rsidP="006F2FBE">
      <w:pPr>
        <w:pStyle w:val="COMParaDecision"/>
        <w:keepLines/>
      </w:pPr>
      <w:r w:rsidRPr="00122856">
        <w:t>S</w:t>
      </w:r>
      <w:r w:rsidR="00253CCF" w:rsidRPr="00122856">
        <w:t>o</w:t>
      </w:r>
      <w:r w:rsidRPr="00122856">
        <w:t>um</w:t>
      </w:r>
      <w:r w:rsidR="00253CCF" w:rsidRPr="00122856">
        <w:t>e</w:t>
      </w:r>
      <w:r w:rsidRPr="00122856">
        <w:t>t</w:t>
      </w:r>
      <w:r w:rsidR="00253CCF" w:rsidRPr="00122856">
        <w:rPr>
          <w:u w:val="none"/>
        </w:rPr>
        <w:t xml:space="preserve"> à l’approbation de l’Assemblée générale le plan d’utilisation des ressources du Fonds tel que joint en </w:t>
      </w:r>
      <w:r w:rsidR="002E7030" w:rsidRPr="006F2FBE">
        <w:rPr>
          <w:u w:val="none"/>
        </w:rPr>
        <w:t>annexe</w:t>
      </w:r>
      <w:r w:rsidR="002E7030" w:rsidRPr="00122856">
        <w:rPr>
          <w:u w:val="none"/>
        </w:rPr>
        <w:t> </w:t>
      </w:r>
      <w:r w:rsidRPr="006F2FBE">
        <w:rPr>
          <w:u w:val="none"/>
        </w:rPr>
        <w:t>I</w:t>
      </w:r>
      <w:r w:rsidR="00253CCF" w:rsidRPr="00122856">
        <w:rPr>
          <w:u w:val="none"/>
        </w:rPr>
        <w:t xml:space="preserve"> au d</w:t>
      </w:r>
      <w:r w:rsidRPr="00122856">
        <w:rPr>
          <w:u w:val="none"/>
        </w:rPr>
        <w:t xml:space="preserve">ocument ITH/13/10.COM/8 </w:t>
      </w:r>
      <w:r w:rsidR="00253CCF" w:rsidRPr="00122856">
        <w:rPr>
          <w:u w:val="none"/>
        </w:rPr>
        <w:t>et</w:t>
      </w:r>
      <w:r w:rsidRPr="00122856">
        <w:rPr>
          <w:u w:val="none"/>
        </w:rPr>
        <w:t xml:space="preserve"> propose </w:t>
      </w:r>
      <w:r w:rsidR="00253CCF" w:rsidRPr="00122856">
        <w:rPr>
          <w:u w:val="none"/>
        </w:rPr>
        <w:t xml:space="preserve">à l’Assemblée général d’allouer provisoirement </w:t>
      </w:r>
      <w:r w:rsidR="00AB7646" w:rsidRPr="00122856">
        <w:rPr>
          <w:u w:val="none"/>
        </w:rPr>
        <w:t xml:space="preserve">pour le premier semestre </w:t>
      </w:r>
      <w:r w:rsidRPr="00122856">
        <w:rPr>
          <w:u w:val="none"/>
        </w:rPr>
        <w:t xml:space="preserve">2018 </w:t>
      </w:r>
      <w:r w:rsidR="00AB7646" w:rsidRPr="00122856">
        <w:rPr>
          <w:u w:val="none"/>
        </w:rPr>
        <w:t>u</w:t>
      </w:r>
      <w:r w:rsidRPr="00122856">
        <w:rPr>
          <w:u w:val="none"/>
        </w:rPr>
        <w:t xml:space="preserve">n </w:t>
      </w:r>
      <w:r w:rsidR="00AB7646" w:rsidRPr="00122856">
        <w:rPr>
          <w:u w:val="none"/>
        </w:rPr>
        <w:t xml:space="preserve">quart du montant fixé pour la période biennale </w:t>
      </w:r>
      <w:r w:rsidR="00080088" w:rsidRPr="00122856">
        <w:rPr>
          <w:u w:val="none"/>
        </w:rPr>
        <w:t>alla</w:t>
      </w:r>
      <w:r w:rsidR="00AB7646" w:rsidRPr="00122856">
        <w:rPr>
          <w:u w:val="none"/>
        </w:rPr>
        <w:t xml:space="preserve">nt du </w:t>
      </w:r>
      <w:r w:rsidRPr="00122856">
        <w:rPr>
          <w:u w:val="none"/>
        </w:rPr>
        <w:t>1</w:t>
      </w:r>
      <w:r w:rsidR="00AB7646" w:rsidRPr="00122856">
        <w:rPr>
          <w:u w:val="none"/>
          <w:vertAlign w:val="superscript"/>
        </w:rPr>
        <w:t>er</w:t>
      </w:r>
      <w:r w:rsidR="00AB7646" w:rsidRPr="00122856">
        <w:rPr>
          <w:u w:val="none"/>
        </w:rPr>
        <w:t xml:space="preserve"> janvier</w:t>
      </w:r>
      <w:r w:rsidRPr="00122856">
        <w:rPr>
          <w:u w:val="none"/>
        </w:rPr>
        <w:t xml:space="preserve"> 2016 </w:t>
      </w:r>
      <w:r w:rsidR="00AB7646" w:rsidRPr="00122856">
        <w:rPr>
          <w:u w:val="none"/>
        </w:rPr>
        <w:t>au</w:t>
      </w:r>
      <w:r w:rsidRPr="00122856">
        <w:rPr>
          <w:u w:val="none"/>
        </w:rPr>
        <w:t xml:space="preserve"> 31 </w:t>
      </w:r>
      <w:r w:rsidR="00AB7646" w:rsidRPr="00122856">
        <w:rPr>
          <w:u w:val="none"/>
        </w:rPr>
        <w:t>décembre</w:t>
      </w:r>
      <w:r w:rsidRPr="00122856">
        <w:rPr>
          <w:u w:val="none"/>
        </w:rPr>
        <w:t> 2017</w:t>
      </w:r>
      <w:r w:rsidR="00AB7646" w:rsidRPr="00122856">
        <w:rPr>
          <w:u w:val="none"/>
        </w:rPr>
        <w:t> </w:t>
      </w:r>
      <w:r w:rsidRPr="00122856">
        <w:rPr>
          <w:u w:val="none"/>
        </w:rPr>
        <w:t>;</w:t>
      </w:r>
    </w:p>
    <w:p w14:paraId="72D0141F" w14:textId="100C1386" w:rsidR="00443880" w:rsidRPr="00122856" w:rsidRDefault="00771056" w:rsidP="00080088">
      <w:pPr>
        <w:pStyle w:val="COMParaDecision"/>
      </w:pPr>
      <w:r w:rsidRPr="00122856">
        <w:t>Ra</w:t>
      </w:r>
      <w:r w:rsidR="00AB7646" w:rsidRPr="00122856">
        <w:t>ppe</w:t>
      </w:r>
      <w:r w:rsidRPr="00122856">
        <w:t>ll</w:t>
      </w:r>
      <w:r w:rsidR="00AB7646" w:rsidRPr="00122856">
        <w:t>e</w:t>
      </w:r>
      <w:r w:rsidRPr="00122856">
        <w:rPr>
          <w:u w:val="none"/>
        </w:rPr>
        <w:t xml:space="preserve"> </w:t>
      </w:r>
      <w:r w:rsidR="00AB7646" w:rsidRPr="00122856">
        <w:rPr>
          <w:u w:val="none"/>
        </w:rPr>
        <w:t>que le paiement des contributions réglementaires obligatoires est, en vertu de l’a</w:t>
      </w:r>
      <w:r w:rsidRPr="00122856">
        <w:rPr>
          <w:u w:val="none"/>
        </w:rPr>
        <w:t xml:space="preserve">rticle 26 </w:t>
      </w:r>
      <w:r w:rsidR="00AB7646" w:rsidRPr="00122856">
        <w:rPr>
          <w:u w:val="none"/>
        </w:rPr>
        <w:t xml:space="preserve">de la </w:t>
      </w:r>
      <w:r w:rsidRPr="00122856">
        <w:rPr>
          <w:u w:val="none"/>
        </w:rPr>
        <w:t xml:space="preserve">Convention, </w:t>
      </w:r>
      <w:r w:rsidR="00AB7646" w:rsidRPr="00122856">
        <w:rPr>
          <w:u w:val="none"/>
        </w:rPr>
        <w:t>u</w:t>
      </w:r>
      <w:r w:rsidRPr="00122856">
        <w:rPr>
          <w:u w:val="none"/>
        </w:rPr>
        <w:t>n</w:t>
      </w:r>
      <w:r w:rsidR="00AB7646" w:rsidRPr="00122856">
        <w:rPr>
          <w:u w:val="none"/>
        </w:rPr>
        <w:t>e</w:t>
      </w:r>
      <w:r w:rsidRPr="00122856">
        <w:rPr>
          <w:u w:val="none"/>
        </w:rPr>
        <w:t xml:space="preserve"> obligation</w:t>
      </w:r>
      <w:r w:rsidR="006D22EE" w:rsidRPr="00122856">
        <w:rPr>
          <w:u w:val="none"/>
        </w:rPr>
        <w:t xml:space="preserve"> qui </w:t>
      </w:r>
      <w:r w:rsidRPr="00122856">
        <w:rPr>
          <w:u w:val="none"/>
        </w:rPr>
        <w:t>inc</w:t>
      </w:r>
      <w:r w:rsidR="00AB7646" w:rsidRPr="00122856">
        <w:rPr>
          <w:u w:val="none"/>
        </w:rPr>
        <w:t>o</w:t>
      </w:r>
      <w:r w:rsidRPr="00122856">
        <w:rPr>
          <w:u w:val="none"/>
        </w:rPr>
        <w:t>mb</w:t>
      </w:r>
      <w:r w:rsidR="006D22EE" w:rsidRPr="00122856">
        <w:rPr>
          <w:u w:val="none"/>
        </w:rPr>
        <w:t>e</w:t>
      </w:r>
      <w:r w:rsidRPr="00122856">
        <w:rPr>
          <w:u w:val="none"/>
        </w:rPr>
        <w:t xml:space="preserve"> </w:t>
      </w:r>
      <w:r w:rsidR="00AB7646" w:rsidRPr="00122856">
        <w:rPr>
          <w:u w:val="none"/>
        </w:rPr>
        <w:t xml:space="preserve">aux </w:t>
      </w:r>
      <w:r w:rsidR="002E7030" w:rsidRPr="00122856">
        <w:rPr>
          <w:u w:val="none"/>
        </w:rPr>
        <w:t xml:space="preserve">États </w:t>
      </w:r>
      <w:r w:rsidR="006D22EE" w:rsidRPr="00122856">
        <w:rPr>
          <w:u w:val="none"/>
        </w:rPr>
        <w:t>ayant</w:t>
      </w:r>
      <w:r w:rsidR="00AB7646" w:rsidRPr="00122856">
        <w:rPr>
          <w:u w:val="none"/>
        </w:rPr>
        <w:t xml:space="preserve"> ratifié la </w:t>
      </w:r>
      <w:r w:rsidRPr="00122856">
        <w:rPr>
          <w:u w:val="none"/>
        </w:rPr>
        <w:t xml:space="preserve">Convention, </w:t>
      </w:r>
      <w:r w:rsidR="006D22EE" w:rsidRPr="00122856">
        <w:t>remercie</w:t>
      </w:r>
      <w:r w:rsidR="006D22EE" w:rsidRPr="00122856">
        <w:rPr>
          <w:u w:val="none"/>
        </w:rPr>
        <w:t xml:space="preserve"> les </w:t>
      </w:r>
      <w:r w:rsidR="002E7030" w:rsidRPr="00122856">
        <w:rPr>
          <w:u w:val="none"/>
        </w:rPr>
        <w:t>États</w:t>
      </w:r>
      <w:r w:rsidR="002E7030" w:rsidRPr="00122856" w:rsidDel="002E7030">
        <w:rPr>
          <w:u w:val="none"/>
        </w:rPr>
        <w:t xml:space="preserve"> </w:t>
      </w:r>
      <w:r w:rsidR="006D22EE" w:rsidRPr="00122856">
        <w:rPr>
          <w:u w:val="none"/>
        </w:rPr>
        <w:t xml:space="preserve">parties qui ont déjà versé leur contribution et </w:t>
      </w:r>
      <w:r w:rsidR="00E578CD" w:rsidRPr="00122856">
        <w:t>en appelle</w:t>
      </w:r>
      <w:r w:rsidR="00E578CD" w:rsidRPr="00122856">
        <w:rPr>
          <w:u w:val="none"/>
        </w:rPr>
        <w:t xml:space="preserve"> aux </w:t>
      </w:r>
      <w:r w:rsidR="006D22EE" w:rsidRPr="00122856">
        <w:rPr>
          <w:u w:val="none"/>
        </w:rPr>
        <w:t xml:space="preserve">autres </w:t>
      </w:r>
      <w:r w:rsidR="00E578CD" w:rsidRPr="00122856">
        <w:rPr>
          <w:u w:val="none"/>
        </w:rPr>
        <w:t>États</w:t>
      </w:r>
      <w:r w:rsidR="00E578CD" w:rsidRPr="00122856" w:rsidDel="002E7030">
        <w:rPr>
          <w:u w:val="none"/>
        </w:rPr>
        <w:t xml:space="preserve"> </w:t>
      </w:r>
      <w:r w:rsidR="006D22EE" w:rsidRPr="00122856">
        <w:rPr>
          <w:u w:val="none"/>
        </w:rPr>
        <w:t xml:space="preserve">parties à faire </w:t>
      </w:r>
      <w:r w:rsidR="0046749C" w:rsidRPr="00122856">
        <w:rPr>
          <w:u w:val="none"/>
        </w:rPr>
        <w:t>en sorte que leur contribution soit payée le plus rapidement possible </w:t>
      </w:r>
      <w:r w:rsidRPr="00122856">
        <w:rPr>
          <w:u w:val="none"/>
        </w:rPr>
        <w:t>;</w:t>
      </w:r>
    </w:p>
    <w:p w14:paraId="33A0DB87" w14:textId="77777777" w:rsidR="00443880" w:rsidRPr="00122856" w:rsidRDefault="00771056" w:rsidP="00080088">
      <w:pPr>
        <w:pStyle w:val="COMParaDecision"/>
      </w:pPr>
      <w:r w:rsidRPr="00122856">
        <w:t>D</w:t>
      </w:r>
      <w:r w:rsidR="0046749C" w:rsidRPr="00122856">
        <w:t>é</w:t>
      </w:r>
      <w:r w:rsidRPr="00122856">
        <w:t>l</w:t>
      </w:r>
      <w:r w:rsidR="0046749C" w:rsidRPr="00122856">
        <w:t>è</w:t>
      </w:r>
      <w:r w:rsidRPr="00122856">
        <w:t>g</w:t>
      </w:r>
      <w:r w:rsidR="0046749C" w:rsidRPr="00122856">
        <w:t>u</w:t>
      </w:r>
      <w:r w:rsidRPr="00122856">
        <w:t>e</w:t>
      </w:r>
      <w:r w:rsidR="0046749C" w:rsidRPr="00122856">
        <w:rPr>
          <w:u w:val="none"/>
        </w:rPr>
        <w:t xml:space="preserve"> à son</w:t>
      </w:r>
      <w:r w:rsidRPr="00122856">
        <w:rPr>
          <w:u w:val="none"/>
        </w:rPr>
        <w:t xml:space="preserve"> Bureau </w:t>
      </w:r>
      <w:r w:rsidR="0046749C" w:rsidRPr="00122856">
        <w:rPr>
          <w:u w:val="none"/>
        </w:rPr>
        <w:t>le</w:t>
      </w:r>
      <w:r w:rsidRPr="00122856">
        <w:rPr>
          <w:u w:val="none"/>
        </w:rPr>
        <w:t xml:space="preserve"> </w:t>
      </w:r>
      <w:r w:rsidR="0046749C" w:rsidRPr="00122856">
        <w:rPr>
          <w:u w:val="none"/>
        </w:rPr>
        <w:t>pouvoir de décider de l’utilisation des fonds alloués au titre du point 3 du p</w:t>
      </w:r>
      <w:r w:rsidRPr="00122856">
        <w:rPr>
          <w:u w:val="none"/>
        </w:rPr>
        <w:t xml:space="preserve">lan, </w:t>
      </w:r>
      <w:r w:rsidR="0046749C" w:rsidRPr="00122856">
        <w:rPr>
          <w:u w:val="none"/>
        </w:rPr>
        <w:t>« Autres fonctions du Comité »</w:t>
      </w:r>
      <w:r w:rsidRPr="00122856">
        <w:rPr>
          <w:u w:val="none"/>
        </w:rPr>
        <w:t xml:space="preserve">, </w:t>
      </w:r>
      <w:r w:rsidR="0046749C" w:rsidRPr="00122856">
        <w:rPr>
          <w:u w:val="none"/>
        </w:rPr>
        <w:t xml:space="preserve">sur la base de propositions spécifiques à préparer par le </w:t>
      </w:r>
      <w:r w:rsidRPr="00122856">
        <w:rPr>
          <w:u w:val="none"/>
        </w:rPr>
        <w:t>Secr</w:t>
      </w:r>
      <w:r w:rsidR="0046749C" w:rsidRPr="00122856">
        <w:rPr>
          <w:u w:val="none"/>
        </w:rPr>
        <w:t>é</w:t>
      </w:r>
      <w:r w:rsidRPr="00122856">
        <w:rPr>
          <w:u w:val="none"/>
        </w:rPr>
        <w:t>tariat</w:t>
      </w:r>
      <w:r w:rsidR="0046749C" w:rsidRPr="00122856">
        <w:rPr>
          <w:u w:val="none"/>
        </w:rPr>
        <w:t> </w:t>
      </w:r>
      <w:r w:rsidRPr="00122856">
        <w:rPr>
          <w:u w:val="none"/>
        </w:rPr>
        <w:t>;</w:t>
      </w:r>
    </w:p>
    <w:p w14:paraId="3D12A408" w14:textId="77777777" w:rsidR="0057439C" w:rsidRPr="00122856" w:rsidRDefault="0046749C" w:rsidP="00080088">
      <w:pPr>
        <w:pStyle w:val="COMParaDecision"/>
      </w:pPr>
      <w:r w:rsidRPr="00122856">
        <w:t>Aut</w:t>
      </w:r>
      <w:r w:rsidR="00771056" w:rsidRPr="00122856">
        <w:t>ori</w:t>
      </w:r>
      <w:r w:rsidRPr="00122856">
        <w:t>s</w:t>
      </w:r>
      <w:r w:rsidR="00771056" w:rsidRPr="00122856">
        <w:t>e</w:t>
      </w:r>
      <w:r w:rsidR="00771056" w:rsidRPr="00122856">
        <w:rPr>
          <w:u w:val="none"/>
        </w:rPr>
        <w:t xml:space="preserve"> </w:t>
      </w:r>
      <w:r w:rsidRPr="00122856">
        <w:rPr>
          <w:u w:val="none"/>
        </w:rPr>
        <w:t>l</w:t>
      </w:r>
      <w:r w:rsidR="00771056" w:rsidRPr="00122856">
        <w:rPr>
          <w:u w:val="none"/>
        </w:rPr>
        <w:t>e Secr</w:t>
      </w:r>
      <w:r w:rsidRPr="00122856">
        <w:rPr>
          <w:u w:val="none"/>
        </w:rPr>
        <w:t>é</w:t>
      </w:r>
      <w:r w:rsidR="00771056" w:rsidRPr="00122856">
        <w:rPr>
          <w:u w:val="none"/>
        </w:rPr>
        <w:t xml:space="preserve">tariat, </w:t>
      </w:r>
      <w:r w:rsidRPr="00122856">
        <w:rPr>
          <w:u w:val="none"/>
        </w:rPr>
        <w:t>lors de l’utilisation des fonds alloués au titre du point 3 du p</w:t>
      </w:r>
      <w:r w:rsidR="00771056" w:rsidRPr="00122856">
        <w:rPr>
          <w:u w:val="none"/>
        </w:rPr>
        <w:t xml:space="preserve">lan, </w:t>
      </w:r>
      <w:r w:rsidRPr="00122856">
        <w:rPr>
          <w:u w:val="none"/>
        </w:rPr>
        <w:t xml:space="preserve">à </w:t>
      </w:r>
      <w:r w:rsidR="00264AC1" w:rsidRPr="00122856">
        <w:rPr>
          <w:u w:val="none"/>
        </w:rPr>
        <w:t>procéder à</w:t>
      </w:r>
      <w:r w:rsidRPr="00122856">
        <w:rPr>
          <w:u w:val="none"/>
        </w:rPr>
        <w:t xml:space="preserve"> des transferts entre les activités </w:t>
      </w:r>
      <w:r w:rsidR="00264AC1" w:rsidRPr="00122856">
        <w:rPr>
          <w:u w:val="none"/>
        </w:rPr>
        <w:t xml:space="preserve">incluses dans les propositions spécifiques approuvées par le </w:t>
      </w:r>
      <w:r w:rsidR="00771056" w:rsidRPr="00122856">
        <w:rPr>
          <w:u w:val="none"/>
        </w:rPr>
        <w:t xml:space="preserve">Bureau </w:t>
      </w:r>
      <w:r w:rsidR="00264AC1" w:rsidRPr="00122856">
        <w:rPr>
          <w:u w:val="none"/>
        </w:rPr>
        <w:t xml:space="preserve">à concurrence d’un montant cumulé équivalent à </w:t>
      </w:r>
      <w:r w:rsidR="00771056" w:rsidRPr="00122856">
        <w:rPr>
          <w:u w:val="none"/>
        </w:rPr>
        <w:t>2</w:t>
      </w:r>
      <w:r w:rsidR="00264AC1" w:rsidRPr="00122856">
        <w:rPr>
          <w:u w:val="none"/>
        </w:rPr>
        <w:t> </w:t>
      </w:r>
      <w:r w:rsidR="00771056" w:rsidRPr="00122856">
        <w:rPr>
          <w:u w:val="none"/>
        </w:rPr>
        <w:t xml:space="preserve">% </w:t>
      </w:r>
      <w:r w:rsidR="00264AC1" w:rsidRPr="00122856">
        <w:rPr>
          <w:u w:val="none"/>
        </w:rPr>
        <w:t>de l’allocation initiale totale proposée à l’Assemblée générale à cet effet, en i</w:t>
      </w:r>
      <w:r w:rsidR="00771056" w:rsidRPr="00122856">
        <w:rPr>
          <w:u w:val="none"/>
        </w:rPr>
        <w:t>nform</w:t>
      </w:r>
      <w:r w:rsidR="00264AC1" w:rsidRPr="00122856">
        <w:rPr>
          <w:u w:val="none"/>
        </w:rPr>
        <w:t>a</w:t>
      </w:r>
      <w:r w:rsidR="00771056" w:rsidRPr="00122856">
        <w:rPr>
          <w:u w:val="none"/>
        </w:rPr>
        <w:t>n</w:t>
      </w:r>
      <w:r w:rsidR="00264AC1" w:rsidRPr="00122856">
        <w:rPr>
          <w:u w:val="none"/>
        </w:rPr>
        <w:t xml:space="preserve">t les membres du </w:t>
      </w:r>
      <w:r w:rsidR="00771056" w:rsidRPr="00122856">
        <w:rPr>
          <w:u w:val="none"/>
        </w:rPr>
        <w:t xml:space="preserve">Bureau </w:t>
      </w:r>
      <w:r w:rsidR="00264AC1" w:rsidRPr="00122856">
        <w:rPr>
          <w:u w:val="none"/>
        </w:rPr>
        <w:t xml:space="preserve">par écrit, lors de la session qui suivra cette action, des détails et des </w:t>
      </w:r>
      <w:r w:rsidR="00034569" w:rsidRPr="00122856">
        <w:rPr>
          <w:u w:val="none"/>
        </w:rPr>
        <w:t>raisons</w:t>
      </w:r>
      <w:r w:rsidR="00264AC1" w:rsidRPr="00122856">
        <w:rPr>
          <w:u w:val="none"/>
        </w:rPr>
        <w:t xml:space="preserve"> de ces transferts </w:t>
      </w:r>
      <w:r w:rsidR="00771056" w:rsidRPr="00122856">
        <w:rPr>
          <w:u w:val="none"/>
        </w:rPr>
        <w:t>;</w:t>
      </w:r>
    </w:p>
    <w:p w14:paraId="0F2BA685" w14:textId="4E9E7A83" w:rsidR="0057439C" w:rsidRPr="00122856" w:rsidRDefault="00264AC1" w:rsidP="00080088">
      <w:pPr>
        <w:pStyle w:val="COMParaDecision"/>
      </w:pPr>
      <w:r w:rsidRPr="00122856">
        <w:t>Prend note</w:t>
      </w:r>
      <w:r w:rsidRPr="00122856">
        <w:rPr>
          <w:u w:val="none"/>
        </w:rPr>
        <w:t xml:space="preserve"> des efforts du </w:t>
      </w:r>
      <w:r w:rsidR="00771056" w:rsidRPr="00122856">
        <w:rPr>
          <w:u w:val="none"/>
        </w:rPr>
        <w:t>Secr</w:t>
      </w:r>
      <w:r w:rsidRPr="00122856">
        <w:rPr>
          <w:u w:val="none"/>
        </w:rPr>
        <w:t>é</w:t>
      </w:r>
      <w:r w:rsidR="00771056" w:rsidRPr="00122856">
        <w:rPr>
          <w:u w:val="none"/>
        </w:rPr>
        <w:t>tariat</w:t>
      </w:r>
      <w:r w:rsidRPr="00122856">
        <w:rPr>
          <w:u w:val="none"/>
        </w:rPr>
        <w:t xml:space="preserve"> pour appliquer la politique de recouvrement des coûts de l’organisation lors de l’utilisation des ressources du Fonds</w:t>
      </w:r>
      <w:r w:rsidR="00771056" w:rsidRPr="00122856">
        <w:rPr>
          <w:u w:val="none"/>
        </w:rPr>
        <w:t xml:space="preserve">, </w:t>
      </w:r>
      <w:r w:rsidR="008D3D96" w:rsidRPr="006F2FBE">
        <w:rPr>
          <w:u w:val="none"/>
        </w:rPr>
        <w:t>conformément aux directives</w:t>
      </w:r>
      <w:r w:rsidR="00220B6B" w:rsidRPr="006F2FBE">
        <w:rPr>
          <w:u w:val="none"/>
        </w:rPr>
        <w:t xml:space="preserve"> de l</w:t>
      </w:r>
      <w:r w:rsidRPr="006F2FBE">
        <w:rPr>
          <w:u w:val="none"/>
        </w:rPr>
        <w:t>a décision</w:t>
      </w:r>
      <w:r w:rsidR="0091437E" w:rsidRPr="006F2FBE">
        <w:rPr>
          <w:u w:val="none"/>
        </w:rPr>
        <w:t xml:space="preserve"> 195 EX/</w:t>
      </w:r>
      <w:r w:rsidR="00EE57F4" w:rsidRPr="006F2FBE">
        <w:rPr>
          <w:u w:val="none"/>
        </w:rPr>
        <w:t>Décision</w:t>
      </w:r>
      <w:r w:rsidR="0091437E" w:rsidRPr="006F2FBE">
        <w:rPr>
          <w:u w:val="none"/>
        </w:rPr>
        <w:t xml:space="preserve"> 5 (IV) (C) de </w:t>
      </w:r>
      <w:r w:rsidR="00132EAB" w:rsidRPr="006F2FBE">
        <w:rPr>
          <w:u w:val="none"/>
        </w:rPr>
        <w:t>porter</w:t>
      </w:r>
      <w:r w:rsidR="00E578CD" w:rsidRPr="006F2FBE">
        <w:rPr>
          <w:u w:val="none"/>
        </w:rPr>
        <w:t>,</w:t>
      </w:r>
      <w:r w:rsidR="00E76F5E" w:rsidRPr="006F2FBE">
        <w:rPr>
          <w:u w:val="none"/>
        </w:rPr>
        <w:t xml:space="preserve"> à 2% du total des coûts de personnel au titre du budget ordinaire, le pourcentage de recouvrement des coûts applicable au temps que les responsables consacrent à la mise en œuvre de projets extrabudgétaires </w:t>
      </w:r>
      <w:r w:rsidR="00771056" w:rsidRPr="006F2FBE">
        <w:rPr>
          <w:u w:val="none"/>
        </w:rPr>
        <w:t>;</w:t>
      </w:r>
    </w:p>
    <w:p w14:paraId="189FE71A" w14:textId="5D5CE250" w:rsidR="0057439C" w:rsidRPr="00122856" w:rsidRDefault="00220B6B" w:rsidP="00080088">
      <w:pPr>
        <w:pStyle w:val="COMParaDecision"/>
      </w:pPr>
      <w:r w:rsidRPr="00122856">
        <w:t>Décide en outre</w:t>
      </w:r>
      <w:r w:rsidRPr="00122856">
        <w:rPr>
          <w:u w:val="none"/>
        </w:rPr>
        <w:t xml:space="preserve"> de fixer à </w:t>
      </w:r>
      <w:r w:rsidR="00E578CD" w:rsidRPr="00122856">
        <w:rPr>
          <w:u w:val="none"/>
        </w:rPr>
        <w:t>1 </w:t>
      </w:r>
      <w:r w:rsidRPr="00122856">
        <w:rPr>
          <w:u w:val="none"/>
        </w:rPr>
        <w:t xml:space="preserve">million de dollars des </w:t>
      </w:r>
      <w:r w:rsidR="00EE57F4" w:rsidRPr="00122856">
        <w:rPr>
          <w:u w:val="none"/>
        </w:rPr>
        <w:t>États-Unis</w:t>
      </w:r>
      <w:r w:rsidRPr="00122856">
        <w:rPr>
          <w:u w:val="none"/>
        </w:rPr>
        <w:t xml:space="preserve"> le montant du Fonds de réserve</w:t>
      </w:r>
      <w:r w:rsidR="00771056" w:rsidRPr="00122856">
        <w:rPr>
          <w:u w:val="none"/>
        </w:rPr>
        <w:t>.</w:t>
      </w:r>
    </w:p>
    <w:p w14:paraId="49719F6B" w14:textId="77777777" w:rsidR="00771056" w:rsidRPr="00122856" w:rsidRDefault="00771056" w:rsidP="00080088">
      <w:pPr>
        <w:jc w:val="both"/>
        <w:rPr>
          <w:rFonts w:ascii="Arial" w:hAnsi="Arial" w:cs="Arial"/>
          <w:sz w:val="22"/>
          <w:szCs w:val="22"/>
          <w:u w:val="single"/>
        </w:rPr>
      </w:pPr>
      <w:r w:rsidRPr="00122856">
        <w:br w:type="page"/>
      </w:r>
    </w:p>
    <w:p w14:paraId="26FDB6F2" w14:textId="77777777" w:rsidR="00771056" w:rsidRPr="00122856" w:rsidRDefault="00771056" w:rsidP="00771056">
      <w:pPr>
        <w:pageBreakBefore/>
        <w:autoSpaceDE w:val="0"/>
        <w:autoSpaceDN w:val="0"/>
        <w:adjustRightInd w:val="0"/>
        <w:spacing w:before="360" w:after="240"/>
        <w:jc w:val="center"/>
        <w:outlineLvl w:val="0"/>
        <w:rPr>
          <w:rFonts w:ascii="Arial" w:eastAsia="SimSun" w:hAnsi="Arial" w:cs="Arial"/>
          <w:b/>
          <w:bCs/>
          <w:sz w:val="22"/>
          <w:szCs w:val="22"/>
          <w:lang w:eastAsia="zh-CN"/>
        </w:rPr>
      </w:pPr>
      <w:r w:rsidRPr="00122856">
        <w:rPr>
          <w:rFonts w:ascii="Arial" w:eastAsia="SimSun" w:hAnsi="Arial" w:cs="Arial"/>
          <w:b/>
          <w:bCs/>
          <w:sz w:val="22"/>
          <w:szCs w:val="22"/>
          <w:lang w:eastAsia="zh-CN"/>
        </w:rPr>
        <w:t>ANNEX</w:t>
      </w:r>
      <w:r w:rsidR="00761990" w:rsidRPr="00122856">
        <w:rPr>
          <w:rFonts w:ascii="Arial" w:eastAsia="SimSun" w:hAnsi="Arial" w:cs="Arial"/>
          <w:b/>
          <w:bCs/>
          <w:sz w:val="22"/>
          <w:szCs w:val="22"/>
          <w:lang w:eastAsia="zh-CN"/>
        </w:rPr>
        <w:t>E</w:t>
      </w:r>
      <w:r w:rsidRPr="00122856">
        <w:rPr>
          <w:rFonts w:ascii="Arial" w:eastAsia="SimSun" w:hAnsi="Arial" w:cs="Arial"/>
          <w:b/>
          <w:bCs/>
          <w:sz w:val="22"/>
          <w:szCs w:val="22"/>
          <w:lang w:eastAsia="zh-CN"/>
        </w:rPr>
        <w:t> I</w:t>
      </w:r>
    </w:p>
    <w:tbl>
      <w:tblPr>
        <w:tblW w:w="5000" w:type="pct"/>
        <w:tblCellMar>
          <w:left w:w="170" w:type="dxa"/>
          <w:right w:w="170" w:type="dxa"/>
        </w:tblCellMar>
        <w:tblLook w:val="04A0" w:firstRow="1" w:lastRow="0" w:firstColumn="1" w:lastColumn="0" w:noHBand="0" w:noVBand="1"/>
      </w:tblPr>
      <w:tblGrid>
        <w:gridCol w:w="507"/>
        <w:gridCol w:w="6621"/>
        <w:gridCol w:w="1431"/>
        <w:gridCol w:w="1074"/>
      </w:tblGrid>
      <w:tr w:rsidR="00771056" w:rsidRPr="00122856" w14:paraId="5629B6DD" w14:textId="77777777" w:rsidTr="00213394">
        <w:trPr>
          <w:cantSplit/>
        </w:trPr>
        <w:tc>
          <w:tcPr>
            <w:tcW w:w="4439" w:type="pct"/>
            <w:gridSpan w:val="3"/>
            <w:tcBorders>
              <w:top w:val="single" w:sz="4" w:space="0" w:color="auto"/>
              <w:left w:val="single" w:sz="4" w:space="0" w:color="auto"/>
              <w:bottom w:val="single" w:sz="4" w:space="0" w:color="auto"/>
              <w:right w:val="single" w:sz="4" w:space="0" w:color="auto"/>
            </w:tcBorders>
            <w:shd w:val="clear" w:color="000000" w:fill="D8D8D8"/>
            <w:noWrap/>
            <w:vAlign w:val="center"/>
          </w:tcPr>
          <w:p w14:paraId="6E602B0B" w14:textId="77777777" w:rsidR="00771056" w:rsidRPr="00122856" w:rsidRDefault="00761990" w:rsidP="00FC6E32">
            <w:pPr>
              <w:spacing w:before="120" w:after="120"/>
              <w:jc w:val="center"/>
              <w:rPr>
                <w:rFonts w:ascii="Arial" w:hAnsi="Arial" w:cs="Arial"/>
                <w:b/>
                <w:bCs/>
                <w:sz w:val="20"/>
                <w:szCs w:val="20"/>
              </w:rPr>
            </w:pPr>
            <w:r w:rsidRPr="00122856">
              <w:rPr>
                <w:rFonts w:ascii="Arial" w:hAnsi="Arial" w:cs="Arial"/>
                <w:b/>
                <w:bCs/>
                <w:sz w:val="20"/>
                <w:szCs w:val="20"/>
              </w:rPr>
              <w:t>P</w:t>
            </w:r>
            <w:r w:rsidR="00771056" w:rsidRPr="00122856">
              <w:rPr>
                <w:rFonts w:ascii="Arial" w:hAnsi="Arial" w:cs="Arial"/>
                <w:b/>
                <w:bCs/>
                <w:sz w:val="20"/>
                <w:szCs w:val="20"/>
              </w:rPr>
              <w:t>r</w:t>
            </w:r>
            <w:r w:rsidRPr="00122856">
              <w:rPr>
                <w:rFonts w:ascii="Arial" w:hAnsi="Arial" w:cs="Arial"/>
                <w:b/>
                <w:bCs/>
                <w:sz w:val="20"/>
                <w:szCs w:val="20"/>
              </w:rPr>
              <w:t>ojet de</w:t>
            </w:r>
            <w:r w:rsidR="00771056" w:rsidRPr="00122856">
              <w:rPr>
                <w:rFonts w:ascii="Arial" w:hAnsi="Arial" w:cs="Arial"/>
                <w:b/>
                <w:bCs/>
                <w:sz w:val="20"/>
                <w:szCs w:val="20"/>
              </w:rPr>
              <w:t xml:space="preserve"> plan </w:t>
            </w:r>
            <w:r w:rsidR="00FC6E32" w:rsidRPr="00122856">
              <w:rPr>
                <w:rFonts w:ascii="Arial" w:hAnsi="Arial" w:cs="Arial"/>
                <w:b/>
                <w:bCs/>
                <w:sz w:val="20"/>
                <w:szCs w:val="20"/>
              </w:rPr>
              <w:t>d’utilisation des ressources du Fonds</w:t>
            </w:r>
          </w:p>
        </w:tc>
        <w:tc>
          <w:tcPr>
            <w:tcW w:w="561" w:type="pct"/>
            <w:tcBorders>
              <w:left w:val="single" w:sz="4" w:space="0" w:color="auto"/>
              <w:bottom w:val="dashed" w:sz="4" w:space="0" w:color="auto"/>
            </w:tcBorders>
            <w:shd w:val="clear" w:color="auto" w:fill="auto"/>
          </w:tcPr>
          <w:p w14:paraId="7A60299F" w14:textId="77777777" w:rsidR="00771056" w:rsidRPr="00122856" w:rsidRDefault="00771056" w:rsidP="00771056">
            <w:pPr>
              <w:spacing w:before="120" w:after="120"/>
              <w:jc w:val="center"/>
              <w:rPr>
                <w:rFonts w:ascii="Arial" w:hAnsi="Arial" w:cs="Arial"/>
                <w:b/>
                <w:bCs/>
                <w:sz w:val="20"/>
                <w:szCs w:val="20"/>
              </w:rPr>
            </w:pPr>
          </w:p>
        </w:tc>
      </w:tr>
      <w:tr w:rsidR="00771056" w:rsidRPr="00122856" w14:paraId="4DE47338" w14:textId="77777777" w:rsidTr="00213394">
        <w:trPr>
          <w:cantSplit/>
        </w:trPr>
        <w:tc>
          <w:tcPr>
            <w:tcW w:w="38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9311A" w14:textId="366C7510" w:rsidR="00771056" w:rsidRPr="00122856" w:rsidRDefault="00E66ED9">
            <w:pPr>
              <w:spacing w:before="120" w:after="120"/>
              <w:jc w:val="both"/>
              <w:rPr>
                <w:rFonts w:ascii="Arial" w:hAnsi="Arial" w:cs="Arial"/>
                <w:sz w:val="20"/>
                <w:szCs w:val="20"/>
              </w:rPr>
            </w:pPr>
            <w:r w:rsidRPr="00122856">
              <w:rPr>
                <w:rFonts w:ascii="Arial" w:hAnsi="Arial" w:cs="Arial"/>
                <w:sz w:val="20"/>
                <w:szCs w:val="20"/>
              </w:rPr>
              <w:t>P</w:t>
            </w:r>
            <w:r w:rsidR="00771056" w:rsidRPr="00122856">
              <w:rPr>
                <w:rFonts w:ascii="Arial" w:hAnsi="Arial" w:cs="Arial"/>
                <w:sz w:val="20"/>
                <w:szCs w:val="20"/>
              </w:rPr>
              <w:t>o</w:t>
            </w:r>
            <w:r w:rsidRPr="00122856">
              <w:rPr>
                <w:rFonts w:ascii="Arial" w:hAnsi="Arial" w:cs="Arial"/>
                <w:sz w:val="20"/>
                <w:szCs w:val="20"/>
              </w:rPr>
              <w:t>u</w:t>
            </w:r>
            <w:r w:rsidR="00771056" w:rsidRPr="00122856">
              <w:rPr>
                <w:rFonts w:ascii="Arial" w:hAnsi="Arial" w:cs="Arial"/>
                <w:sz w:val="20"/>
                <w:szCs w:val="20"/>
              </w:rPr>
              <w:t xml:space="preserve">r </w:t>
            </w:r>
            <w:r w:rsidRPr="00122856">
              <w:rPr>
                <w:rFonts w:ascii="Arial" w:hAnsi="Arial" w:cs="Arial"/>
                <w:sz w:val="20"/>
                <w:szCs w:val="20"/>
              </w:rPr>
              <w:t xml:space="preserve">la période du 1er janvier </w:t>
            </w:r>
            <w:r w:rsidR="00771056" w:rsidRPr="00122856">
              <w:rPr>
                <w:rFonts w:ascii="Arial" w:hAnsi="Arial" w:cs="Arial"/>
                <w:sz w:val="20"/>
                <w:szCs w:val="20"/>
              </w:rPr>
              <w:t xml:space="preserve">2016 </w:t>
            </w:r>
            <w:r w:rsidRPr="00122856">
              <w:rPr>
                <w:rFonts w:ascii="Arial" w:hAnsi="Arial" w:cs="Arial"/>
                <w:sz w:val="20"/>
                <w:szCs w:val="20"/>
              </w:rPr>
              <w:t>au</w:t>
            </w:r>
            <w:r w:rsidR="00771056" w:rsidRPr="00122856">
              <w:rPr>
                <w:rFonts w:ascii="Arial" w:hAnsi="Arial" w:cs="Arial"/>
                <w:sz w:val="20"/>
                <w:szCs w:val="20"/>
              </w:rPr>
              <w:t xml:space="preserve"> 31 </w:t>
            </w:r>
            <w:r w:rsidRPr="00122856">
              <w:rPr>
                <w:rFonts w:ascii="Arial" w:hAnsi="Arial" w:cs="Arial"/>
                <w:sz w:val="20"/>
                <w:szCs w:val="20"/>
              </w:rPr>
              <w:t>dé</w:t>
            </w:r>
            <w:r w:rsidR="00771056" w:rsidRPr="00122856">
              <w:rPr>
                <w:rFonts w:ascii="Arial" w:hAnsi="Arial" w:cs="Arial"/>
                <w:sz w:val="20"/>
                <w:szCs w:val="20"/>
              </w:rPr>
              <w:t>cemb</w:t>
            </w:r>
            <w:r w:rsidRPr="00122856">
              <w:rPr>
                <w:rFonts w:ascii="Arial" w:hAnsi="Arial" w:cs="Arial"/>
                <w:sz w:val="20"/>
                <w:szCs w:val="20"/>
              </w:rPr>
              <w:t>r</w:t>
            </w:r>
            <w:r w:rsidR="00771056" w:rsidRPr="00122856">
              <w:rPr>
                <w:rFonts w:ascii="Arial" w:hAnsi="Arial" w:cs="Arial"/>
                <w:sz w:val="20"/>
                <w:szCs w:val="20"/>
              </w:rPr>
              <w:t>e 2017, a</w:t>
            </w:r>
            <w:r w:rsidRPr="00122856">
              <w:rPr>
                <w:rFonts w:ascii="Arial" w:hAnsi="Arial" w:cs="Arial"/>
                <w:sz w:val="20"/>
                <w:szCs w:val="20"/>
              </w:rPr>
              <w:t xml:space="preserve">insi que pour la </w:t>
            </w:r>
            <w:r w:rsidR="00EE57F4" w:rsidRPr="00122856">
              <w:rPr>
                <w:rFonts w:ascii="Arial" w:hAnsi="Arial" w:cs="Arial"/>
                <w:sz w:val="20"/>
                <w:szCs w:val="20"/>
              </w:rPr>
              <w:t>période</w:t>
            </w:r>
            <w:r w:rsidRPr="00122856">
              <w:rPr>
                <w:rFonts w:ascii="Arial" w:hAnsi="Arial" w:cs="Arial"/>
                <w:sz w:val="20"/>
                <w:szCs w:val="20"/>
              </w:rPr>
              <w:t xml:space="preserve"> du 1</w:t>
            </w:r>
            <w:r w:rsidRPr="00122856">
              <w:rPr>
                <w:rFonts w:ascii="Arial" w:hAnsi="Arial" w:cs="Arial"/>
                <w:sz w:val="20"/>
                <w:szCs w:val="20"/>
                <w:vertAlign w:val="superscript"/>
              </w:rPr>
              <w:t>er</w:t>
            </w:r>
            <w:r w:rsidRPr="00122856">
              <w:rPr>
                <w:rFonts w:ascii="Arial" w:hAnsi="Arial" w:cs="Arial"/>
                <w:sz w:val="20"/>
                <w:szCs w:val="20"/>
              </w:rPr>
              <w:t xml:space="preserve"> janvier </w:t>
            </w:r>
            <w:r w:rsidR="000708CC" w:rsidRPr="00122856">
              <w:rPr>
                <w:rFonts w:ascii="Arial" w:hAnsi="Arial" w:cs="Arial"/>
                <w:sz w:val="20"/>
                <w:szCs w:val="20"/>
              </w:rPr>
              <w:t xml:space="preserve">au </w:t>
            </w:r>
            <w:r w:rsidR="00771056" w:rsidRPr="00122856">
              <w:rPr>
                <w:rFonts w:ascii="Arial" w:hAnsi="Arial" w:cs="Arial"/>
                <w:sz w:val="20"/>
                <w:szCs w:val="20"/>
              </w:rPr>
              <w:t xml:space="preserve">30 </w:t>
            </w:r>
            <w:r w:rsidR="000708CC" w:rsidRPr="00122856">
              <w:rPr>
                <w:rFonts w:ascii="Arial" w:hAnsi="Arial" w:cs="Arial"/>
                <w:sz w:val="20"/>
                <w:szCs w:val="20"/>
              </w:rPr>
              <w:t>juin</w:t>
            </w:r>
            <w:r w:rsidR="00771056" w:rsidRPr="00122856">
              <w:rPr>
                <w:rFonts w:ascii="Arial" w:hAnsi="Arial" w:cs="Arial"/>
                <w:sz w:val="20"/>
                <w:szCs w:val="20"/>
              </w:rPr>
              <w:t xml:space="preserve"> 2018, </w:t>
            </w:r>
            <w:r w:rsidR="000708CC" w:rsidRPr="00122856">
              <w:rPr>
                <w:rFonts w:ascii="Arial" w:hAnsi="Arial" w:cs="Arial"/>
                <w:sz w:val="20"/>
                <w:szCs w:val="20"/>
              </w:rPr>
              <w:t>les res</w:t>
            </w:r>
            <w:r w:rsidR="00771056" w:rsidRPr="00122856">
              <w:rPr>
                <w:rFonts w:ascii="Arial" w:hAnsi="Arial" w:cs="Arial"/>
                <w:sz w:val="20"/>
                <w:szCs w:val="20"/>
              </w:rPr>
              <w:t xml:space="preserve">sources </w:t>
            </w:r>
            <w:r w:rsidR="000708CC" w:rsidRPr="00122856">
              <w:rPr>
                <w:rFonts w:ascii="Arial" w:hAnsi="Arial" w:cs="Arial"/>
                <w:sz w:val="20"/>
                <w:szCs w:val="20"/>
              </w:rPr>
              <w:t>du Fonds du patrimoine culturel immatériel peuvent être utilisées aux fins suivantes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vAlign w:val="center"/>
          </w:tcPr>
          <w:p w14:paraId="0DBD6CBE" w14:textId="77777777" w:rsidR="00771056" w:rsidRPr="00122856" w:rsidRDefault="00771056" w:rsidP="00FC6E32">
            <w:pPr>
              <w:spacing w:before="120" w:after="120"/>
              <w:jc w:val="center"/>
              <w:rPr>
                <w:rFonts w:ascii="Arial" w:hAnsi="Arial" w:cs="Arial"/>
                <w:sz w:val="20"/>
                <w:szCs w:val="20"/>
              </w:rPr>
            </w:pPr>
            <w:r w:rsidRPr="00122856">
              <w:rPr>
                <w:rFonts w:ascii="Arial" w:hAnsi="Arial" w:cs="Arial"/>
                <w:sz w:val="20"/>
                <w:szCs w:val="20"/>
              </w:rPr>
              <w:t xml:space="preserve">% </w:t>
            </w:r>
            <w:r w:rsidR="00FC6E32" w:rsidRPr="00122856">
              <w:rPr>
                <w:rFonts w:ascii="Arial" w:hAnsi="Arial" w:cs="Arial"/>
                <w:sz w:val="20"/>
                <w:szCs w:val="20"/>
              </w:rPr>
              <w:t xml:space="preserve">du montant </w:t>
            </w:r>
            <w:r w:rsidRPr="00122856">
              <w:rPr>
                <w:rFonts w:ascii="Arial" w:hAnsi="Arial" w:cs="Arial"/>
                <w:sz w:val="20"/>
                <w:szCs w:val="20"/>
              </w:rPr>
              <w:t>total</w:t>
            </w:r>
          </w:p>
        </w:tc>
        <w:tc>
          <w:tcPr>
            <w:tcW w:w="561" w:type="pct"/>
            <w:tcBorders>
              <w:top w:val="dashed" w:sz="4" w:space="0" w:color="auto"/>
              <w:left w:val="single" w:sz="4" w:space="0" w:color="auto"/>
              <w:bottom w:val="dashed" w:sz="4" w:space="0" w:color="auto"/>
              <w:right w:val="dashed" w:sz="4" w:space="0" w:color="auto"/>
            </w:tcBorders>
            <w:vAlign w:val="center"/>
          </w:tcPr>
          <w:p w14:paraId="370174A3" w14:textId="452A5C90" w:rsidR="00771056" w:rsidRPr="00122856" w:rsidRDefault="00FC6E32" w:rsidP="0096485B">
            <w:pPr>
              <w:spacing w:before="120" w:after="120"/>
              <w:jc w:val="center"/>
              <w:rPr>
                <w:sz w:val="20"/>
                <w:szCs w:val="20"/>
              </w:rPr>
            </w:pPr>
            <w:r w:rsidRPr="00122856">
              <w:rPr>
                <w:rFonts w:ascii="Arial" w:hAnsi="Arial" w:cs="Arial"/>
                <w:sz w:val="20"/>
                <w:szCs w:val="20"/>
              </w:rPr>
              <w:t>Plan 2014</w:t>
            </w:r>
            <w:r w:rsidR="0096485B">
              <w:rPr>
                <w:rFonts w:ascii="Arial" w:hAnsi="Arial" w:cs="Arial"/>
                <w:sz w:val="20"/>
                <w:szCs w:val="20"/>
              </w:rPr>
              <w:t>-</w:t>
            </w:r>
            <w:r w:rsidRPr="00122856">
              <w:rPr>
                <w:rFonts w:ascii="Arial" w:hAnsi="Arial" w:cs="Arial"/>
                <w:sz w:val="20"/>
                <w:szCs w:val="20"/>
              </w:rPr>
              <w:t>2015</w:t>
            </w:r>
          </w:p>
        </w:tc>
      </w:tr>
      <w:tr w:rsidR="00771056" w:rsidRPr="00122856" w14:paraId="5D7FD5C4"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50251BA9"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1.</w:t>
            </w:r>
          </w:p>
        </w:tc>
        <w:tc>
          <w:tcPr>
            <w:tcW w:w="3545" w:type="pct"/>
            <w:tcBorders>
              <w:top w:val="nil"/>
              <w:left w:val="nil"/>
              <w:bottom w:val="single" w:sz="4" w:space="0" w:color="auto"/>
              <w:right w:val="single" w:sz="4" w:space="0" w:color="auto"/>
            </w:tcBorders>
            <w:shd w:val="clear" w:color="auto" w:fill="auto"/>
            <w:vAlign w:val="center"/>
          </w:tcPr>
          <w:p w14:paraId="3AA306F3" w14:textId="77777777" w:rsidR="00771056" w:rsidRPr="00122856" w:rsidRDefault="00037EA2" w:rsidP="00E02874">
            <w:pPr>
              <w:spacing w:before="120" w:after="120"/>
              <w:jc w:val="both"/>
              <w:rPr>
                <w:rFonts w:ascii="Arial" w:hAnsi="Arial" w:cs="Arial"/>
                <w:sz w:val="20"/>
                <w:szCs w:val="20"/>
              </w:rPr>
            </w:pPr>
            <w:r w:rsidRPr="00122856">
              <w:rPr>
                <w:rFonts w:ascii="Arial" w:hAnsi="Arial" w:cs="Arial"/>
                <w:sz w:val="20"/>
                <w:szCs w:val="20"/>
              </w:rPr>
              <w:t>A</w:t>
            </w:r>
            <w:r w:rsidR="00175901" w:rsidRPr="00122856">
              <w:rPr>
                <w:rFonts w:ascii="Arial" w:hAnsi="Arial" w:cs="Arial"/>
                <w:sz w:val="20"/>
                <w:szCs w:val="20"/>
              </w:rPr>
              <w:t>ssistance i</w:t>
            </w:r>
            <w:r w:rsidR="00771056" w:rsidRPr="00122856">
              <w:rPr>
                <w:rFonts w:ascii="Arial" w:hAnsi="Arial" w:cs="Arial"/>
                <w:sz w:val="20"/>
                <w:szCs w:val="20"/>
              </w:rPr>
              <w:t>nternational</w:t>
            </w:r>
            <w:r w:rsidR="00175901" w:rsidRPr="00122856">
              <w:rPr>
                <w:rFonts w:ascii="Arial" w:hAnsi="Arial" w:cs="Arial"/>
                <w:sz w:val="20"/>
                <w:szCs w:val="20"/>
              </w:rPr>
              <w:t>e</w:t>
            </w:r>
            <w:r w:rsidR="00771056" w:rsidRPr="00122856">
              <w:rPr>
                <w:rFonts w:ascii="Arial" w:hAnsi="Arial" w:cs="Arial"/>
                <w:sz w:val="20"/>
                <w:szCs w:val="20"/>
              </w:rPr>
              <w:t xml:space="preserve">, </w:t>
            </w:r>
            <w:r w:rsidR="00E02874" w:rsidRPr="00122856">
              <w:rPr>
                <w:rFonts w:ascii="Arial" w:hAnsi="Arial" w:cs="Arial"/>
                <w:sz w:val="20"/>
                <w:szCs w:val="20"/>
              </w:rPr>
              <w:t>y compris pour</w:t>
            </w:r>
            <w:r w:rsidR="00175901" w:rsidRPr="00122856">
              <w:rPr>
                <w:rFonts w:ascii="Arial" w:hAnsi="Arial" w:cs="Arial"/>
                <w:sz w:val="20"/>
                <w:szCs w:val="20"/>
              </w:rPr>
              <w:t xml:space="preserve"> la sauvegarde du patrimoine inscrit sur la Liste de sauvegarde urgente, la préparation d’inventaires et le soutien à d’autres programmes, projets et activités de sauvegarde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1B4E68FA"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59</w:t>
            </w:r>
            <w:r w:rsidR="00D213A9" w:rsidRPr="00122856">
              <w:rPr>
                <w:rFonts w:ascii="Arial" w:hAnsi="Arial" w:cs="Arial"/>
                <w:sz w:val="20"/>
                <w:szCs w:val="20"/>
              </w:rPr>
              <w:t>,</w:t>
            </w:r>
            <w:r w:rsidRPr="00122856">
              <w:rPr>
                <w:rFonts w:ascii="Arial" w:hAnsi="Arial" w:cs="Arial"/>
                <w:sz w:val="20"/>
                <w:szCs w:val="20"/>
              </w:rPr>
              <w:t>00</w:t>
            </w:r>
            <w:r w:rsidR="00D213A9"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2A1E0A5A"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54</w:t>
            </w:r>
            <w:r w:rsidR="00D213A9" w:rsidRPr="00122856">
              <w:rPr>
                <w:rFonts w:ascii="Arial" w:hAnsi="Arial" w:cs="Arial"/>
                <w:sz w:val="20"/>
                <w:szCs w:val="20"/>
              </w:rPr>
              <w:t>,</w:t>
            </w:r>
            <w:r w:rsidRPr="00122856">
              <w:rPr>
                <w:rFonts w:ascii="Arial" w:hAnsi="Arial" w:cs="Arial"/>
                <w:sz w:val="20"/>
                <w:szCs w:val="20"/>
              </w:rPr>
              <w:t>00</w:t>
            </w:r>
            <w:r w:rsidR="00D213A9" w:rsidRPr="00122856">
              <w:rPr>
                <w:rFonts w:ascii="Arial" w:hAnsi="Arial" w:cs="Arial"/>
                <w:sz w:val="20"/>
                <w:szCs w:val="20"/>
              </w:rPr>
              <w:t> </w:t>
            </w:r>
            <w:r w:rsidRPr="00122856">
              <w:rPr>
                <w:rFonts w:ascii="Arial" w:hAnsi="Arial" w:cs="Arial"/>
                <w:sz w:val="20"/>
                <w:szCs w:val="20"/>
              </w:rPr>
              <w:t>%</w:t>
            </w:r>
          </w:p>
        </w:tc>
      </w:tr>
      <w:tr w:rsidR="00771056" w:rsidRPr="00122856" w14:paraId="641E6352"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0C38AD74"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2.</w:t>
            </w:r>
          </w:p>
        </w:tc>
        <w:tc>
          <w:tcPr>
            <w:tcW w:w="3545" w:type="pct"/>
            <w:tcBorders>
              <w:top w:val="nil"/>
              <w:left w:val="nil"/>
              <w:bottom w:val="single" w:sz="4" w:space="0" w:color="auto"/>
              <w:right w:val="single" w:sz="4" w:space="0" w:color="auto"/>
            </w:tcBorders>
            <w:shd w:val="clear" w:color="auto" w:fill="auto"/>
            <w:vAlign w:val="center"/>
          </w:tcPr>
          <w:p w14:paraId="7562E82B" w14:textId="343D3589" w:rsidR="00771056" w:rsidRPr="00122856" w:rsidRDefault="00037EA2" w:rsidP="00B25268">
            <w:pPr>
              <w:spacing w:before="120" w:after="120"/>
              <w:jc w:val="both"/>
              <w:rPr>
                <w:rFonts w:ascii="Arial" w:hAnsi="Arial" w:cs="Arial"/>
                <w:sz w:val="20"/>
                <w:szCs w:val="20"/>
              </w:rPr>
            </w:pPr>
            <w:r w:rsidRPr="00122856">
              <w:rPr>
                <w:rFonts w:ascii="Arial" w:hAnsi="Arial" w:cs="Arial"/>
                <w:sz w:val="20"/>
                <w:szCs w:val="20"/>
              </w:rPr>
              <w:t>A</w:t>
            </w:r>
            <w:r w:rsidR="00175901" w:rsidRPr="00122856">
              <w:rPr>
                <w:rFonts w:ascii="Arial" w:hAnsi="Arial" w:cs="Arial"/>
                <w:sz w:val="20"/>
                <w:szCs w:val="20"/>
              </w:rPr>
              <w:t xml:space="preserve">ssistance préparatoire pour </w:t>
            </w:r>
            <w:r w:rsidR="00B25268">
              <w:rPr>
                <w:rFonts w:ascii="Arial" w:hAnsi="Arial" w:cs="Arial"/>
                <w:sz w:val="20"/>
                <w:szCs w:val="20"/>
              </w:rPr>
              <w:t>d</w:t>
            </w:r>
            <w:r w:rsidR="00175901" w:rsidRPr="00122856">
              <w:rPr>
                <w:rFonts w:ascii="Arial" w:hAnsi="Arial" w:cs="Arial"/>
                <w:sz w:val="20"/>
                <w:szCs w:val="20"/>
              </w:rPr>
              <w:t xml:space="preserve">es dossiers de </w:t>
            </w:r>
            <w:r w:rsidR="00E578CD" w:rsidRPr="00122856">
              <w:rPr>
                <w:rFonts w:ascii="Arial" w:hAnsi="Arial" w:cs="Arial"/>
                <w:sz w:val="20"/>
                <w:szCs w:val="20"/>
              </w:rPr>
              <w:t>candidatures à</w:t>
            </w:r>
            <w:r w:rsidR="00175901" w:rsidRPr="00122856">
              <w:rPr>
                <w:rFonts w:ascii="Arial" w:hAnsi="Arial" w:cs="Arial"/>
                <w:sz w:val="20"/>
                <w:szCs w:val="20"/>
              </w:rPr>
              <w:t xml:space="preserve"> la Liste de sauvegarde urgente ainsi que </w:t>
            </w:r>
            <w:r w:rsidR="00B25268">
              <w:rPr>
                <w:rFonts w:ascii="Arial" w:hAnsi="Arial" w:cs="Arial"/>
                <w:sz w:val="20"/>
                <w:szCs w:val="20"/>
              </w:rPr>
              <w:t>d</w:t>
            </w:r>
            <w:r w:rsidR="00B25268" w:rsidRPr="00122856">
              <w:rPr>
                <w:rFonts w:ascii="Arial" w:hAnsi="Arial" w:cs="Arial"/>
                <w:sz w:val="20"/>
                <w:szCs w:val="20"/>
              </w:rPr>
              <w:t xml:space="preserve">es </w:t>
            </w:r>
            <w:r w:rsidR="00175901" w:rsidRPr="00122856">
              <w:rPr>
                <w:rFonts w:ascii="Arial" w:hAnsi="Arial" w:cs="Arial"/>
                <w:sz w:val="20"/>
                <w:szCs w:val="20"/>
              </w:rPr>
              <w:t>proposition</w:t>
            </w:r>
            <w:r w:rsidR="00914E50" w:rsidRPr="00122856">
              <w:rPr>
                <w:rFonts w:ascii="Arial" w:hAnsi="Arial" w:cs="Arial"/>
                <w:sz w:val="20"/>
                <w:szCs w:val="20"/>
              </w:rPr>
              <w:t>s</w:t>
            </w:r>
            <w:r w:rsidR="00175901" w:rsidRPr="00122856">
              <w:rPr>
                <w:rFonts w:ascii="Arial" w:hAnsi="Arial" w:cs="Arial"/>
                <w:sz w:val="20"/>
                <w:szCs w:val="20"/>
              </w:rPr>
              <w:t xml:space="preserve"> </w:t>
            </w:r>
            <w:r w:rsidR="00914E50" w:rsidRPr="00122856">
              <w:rPr>
                <w:rFonts w:ascii="Arial" w:hAnsi="Arial" w:cs="Arial"/>
                <w:sz w:val="20"/>
                <w:szCs w:val="20"/>
              </w:rPr>
              <w:t>d’inscription au</w:t>
            </w:r>
            <w:r w:rsidR="00175901" w:rsidRPr="00122856">
              <w:rPr>
                <w:rFonts w:ascii="Arial" w:hAnsi="Arial" w:cs="Arial"/>
                <w:sz w:val="20"/>
                <w:szCs w:val="20"/>
              </w:rPr>
              <w:t xml:space="preserve"> Registre des meilleures pratiques de sauvegarde et </w:t>
            </w:r>
            <w:r w:rsidR="00B25268">
              <w:rPr>
                <w:rFonts w:ascii="Arial" w:hAnsi="Arial" w:cs="Arial"/>
                <w:sz w:val="20"/>
                <w:szCs w:val="20"/>
              </w:rPr>
              <w:t>d</w:t>
            </w:r>
            <w:r w:rsidR="00B25268" w:rsidRPr="00122856">
              <w:rPr>
                <w:rFonts w:ascii="Arial" w:hAnsi="Arial" w:cs="Arial"/>
                <w:sz w:val="20"/>
                <w:szCs w:val="20"/>
              </w:rPr>
              <w:t xml:space="preserve">es </w:t>
            </w:r>
            <w:r w:rsidR="00175901" w:rsidRPr="00122856">
              <w:rPr>
                <w:rFonts w:ascii="Arial" w:hAnsi="Arial" w:cs="Arial"/>
                <w:sz w:val="20"/>
                <w:szCs w:val="20"/>
              </w:rPr>
              <w:t>demandes d’assistance internationale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6E71C031"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5</w:t>
            </w:r>
            <w:r w:rsidR="00D213A9" w:rsidRPr="00122856">
              <w:rPr>
                <w:rFonts w:ascii="Arial" w:hAnsi="Arial" w:cs="Arial"/>
                <w:sz w:val="20"/>
                <w:szCs w:val="20"/>
              </w:rPr>
              <w:t>,</w:t>
            </w:r>
            <w:r w:rsidRPr="00122856">
              <w:rPr>
                <w:rFonts w:ascii="Arial" w:hAnsi="Arial" w:cs="Arial"/>
                <w:sz w:val="20"/>
                <w:szCs w:val="20"/>
              </w:rPr>
              <w:t>50</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1CE6FA55"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5</w:t>
            </w:r>
            <w:r w:rsidR="00D213A9" w:rsidRPr="00122856">
              <w:rPr>
                <w:rFonts w:ascii="Arial" w:hAnsi="Arial" w:cs="Arial"/>
                <w:sz w:val="20"/>
                <w:szCs w:val="20"/>
              </w:rPr>
              <w:t>,</w:t>
            </w:r>
            <w:r w:rsidRPr="00122856">
              <w:rPr>
                <w:rFonts w:ascii="Arial" w:hAnsi="Arial" w:cs="Arial"/>
                <w:sz w:val="20"/>
                <w:szCs w:val="20"/>
              </w:rPr>
              <w:t>50</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58FD9FF9"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7CD535D3"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3.</w:t>
            </w:r>
          </w:p>
        </w:tc>
        <w:tc>
          <w:tcPr>
            <w:tcW w:w="3545" w:type="pct"/>
            <w:tcBorders>
              <w:top w:val="nil"/>
              <w:left w:val="nil"/>
              <w:bottom w:val="single" w:sz="4" w:space="0" w:color="auto"/>
              <w:right w:val="single" w:sz="4" w:space="0" w:color="auto"/>
            </w:tcBorders>
            <w:shd w:val="clear" w:color="auto" w:fill="auto"/>
            <w:vAlign w:val="center"/>
          </w:tcPr>
          <w:p w14:paraId="1A7ED538" w14:textId="510E49E9" w:rsidR="006F2FBE" w:rsidRPr="00122856" w:rsidRDefault="00037EA2">
            <w:pPr>
              <w:spacing w:before="120" w:after="120"/>
              <w:jc w:val="both"/>
              <w:rPr>
                <w:rFonts w:ascii="Arial" w:hAnsi="Arial" w:cs="Arial"/>
                <w:sz w:val="20"/>
                <w:szCs w:val="20"/>
              </w:rPr>
            </w:pPr>
            <w:r w:rsidRPr="004E50B6">
              <w:rPr>
                <w:rFonts w:ascii="Arial" w:hAnsi="Arial" w:cs="Arial"/>
                <w:sz w:val="20"/>
                <w:szCs w:val="20"/>
              </w:rPr>
              <w:t>A</w:t>
            </w:r>
            <w:r w:rsidR="00D213A9" w:rsidRPr="004E50B6">
              <w:rPr>
                <w:rFonts w:ascii="Arial" w:hAnsi="Arial" w:cs="Arial"/>
                <w:sz w:val="20"/>
                <w:szCs w:val="20"/>
              </w:rPr>
              <w:t>utres fonctions du Comité telles que décrite à l’a</w:t>
            </w:r>
            <w:r w:rsidR="00771056" w:rsidRPr="004E50B6">
              <w:rPr>
                <w:rFonts w:ascii="Arial" w:hAnsi="Arial" w:cs="Arial"/>
                <w:sz w:val="20"/>
                <w:szCs w:val="20"/>
              </w:rPr>
              <w:t xml:space="preserve">rticle 7 </w:t>
            </w:r>
            <w:r w:rsidR="00D213A9" w:rsidRPr="004E50B6">
              <w:rPr>
                <w:rFonts w:ascii="Arial" w:hAnsi="Arial" w:cs="Arial"/>
                <w:sz w:val="20"/>
                <w:szCs w:val="20"/>
              </w:rPr>
              <w:t xml:space="preserve">de la </w:t>
            </w:r>
            <w:r w:rsidR="00771056" w:rsidRPr="004E50B6">
              <w:rPr>
                <w:rFonts w:ascii="Arial" w:hAnsi="Arial" w:cs="Arial"/>
                <w:sz w:val="20"/>
                <w:szCs w:val="20"/>
              </w:rPr>
              <w:t>Convention</w:t>
            </w:r>
            <w:r w:rsidR="00631A1B">
              <w:rPr>
                <w:rFonts w:ascii="Arial" w:hAnsi="Arial" w:cs="Arial"/>
                <w:sz w:val="20"/>
                <w:szCs w:val="20"/>
              </w:rPr>
              <w:t>,</w:t>
            </w:r>
            <w:r w:rsidR="00771056" w:rsidRPr="004E50B6">
              <w:rPr>
                <w:rFonts w:ascii="Arial" w:hAnsi="Arial" w:cs="Arial"/>
                <w:sz w:val="20"/>
                <w:szCs w:val="20"/>
              </w:rPr>
              <w:t xml:space="preserve"> </w:t>
            </w:r>
            <w:r w:rsidR="006F2FBE" w:rsidRPr="004E50B6">
              <w:rPr>
                <w:rFonts w:ascii="Arial" w:hAnsi="Arial" w:cs="Arial"/>
                <w:sz w:val="20"/>
                <w:szCs w:val="20"/>
              </w:rPr>
              <w:t xml:space="preserve">visant à </w:t>
            </w:r>
            <w:r w:rsidR="006F2FBE" w:rsidRPr="006F2FBE">
              <w:rPr>
                <w:rFonts w:ascii="Arial" w:hAnsi="Arial" w:cs="Arial"/>
                <w:sz w:val="20"/>
                <w:szCs w:val="20"/>
              </w:rPr>
              <w:t xml:space="preserve">promouvoir les objectifs de la Convention et encourager et assurer le suivi de sa mise en œuvre, </w:t>
            </w:r>
            <w:r w:rsidR="006F2FBE" w:rsidRPr="004E50B6">
              <w:rPr>
                <w:rFonts w:ascii="Arial" w:hAnsi="Arial" w:cs="Arial"/>
                <w:sz w:val="20"/>
                <w:szCs w:val="20"/>
              </w:rPr>
              <w:t>notamment</w:t>
            </w:r>
            <w:r w:rsidR="006F2FBE" w:rsidRPr="006F2FBE">
              <w:rPr>
                <w:rFonts w:ascii="Arial" w:hAnsi="Arial" w:cs="Arial"/>
                <w:sz w:val="20"/>
                <w:szCs w:val="20"/>
              </w:rPr>
              <w:t xml:space="preserve"> à travers le renforcement des capacités en vue d’une sauvegarde efficace du patrimoine culturel immatériel, </w:t>
            </w:r>
            <w:r w:rsidR="006F2FBE">
              <w:rPr>
                <w:rFonts w:ascii="Arial" w:hAnsi="Arial" w:cs="Arial"/>
                <w:sz w:val="20"/>
                <w:szCs w:val="20"/>
              </w:rPr>
              <w:t>la sensibilisation à l’importance</w:t>
            </w:r>
            <w:r w:rsidR="006F2FBE" w:rsidRPr="006F2FBE">
              <w:rPr>
                <w:rFonts w:ascii="Arial" w:hAnsi="Arial" w:cs="Arial"/>
                <w:sz w:val="20"/>
                <w:szCs w:val="20"/>
              </w:rPr>
              <w:t xml:space="preserve"> </w:t>
            </w:r>
            <w:r w:rsidR="006F2FBE">
              <w:rPr>
                <w:rFonts w:ascii="Arial" w:hAnsi="Arial" w:cs="Arial"/>
                <w:sz w:val="20"/>
                <w:szCs w:val="20"/>
              </w:rPr>
              <w:t>de</w:t>
            </w:r>
            <w:r w:rsidR="006F2FBE" w:rsidRPr="006F2FBE">
              <w:rPr>
                <w:rFonts w:ascii="Arial" w:hAnsi="Arial" w:cs="Arial"/>
                <w:sz w:val="20"/>
                <w:szCs w:val="20"/>
              </w:rPr>
              <w:t xml:space="preserve"> ce patrimoine, </w:t>
            </w:r>
            <w:r w:rsidR="006F2FBE">
              <w:rPr>
                <w:rFonts w:ascii="Arial" w:hAnsi="Arial" w:cs="Arial"/>
                <w:sz w:val="20"/>
                <w:szCs w:val="20"/>
              </w:rPr>
              <w:t>les</w:t>
            </w:r>
            <w:r w:rsidR="006F2FBE" w:rsidRPr="006F2FBE">
              <w:rPr>
                <w:rFonts w:ascii="Arial" w:hAnsi="Arial" w:cs="Arial"/>
                <w:sz w:val="20"/>
                <w:szCs w:val="20"/>
              </w:rPr>
              <w:t xml:space="preserve"> conseils sur les meilleures pratiques de sauvegarde et </w:t>
            </w:r>
            <w:r w:rsidR="006F2FBE">
              <w:rPr>
                <w:rFonts w:ascii="Arial" w:hAnsi="Arial" w:cs="Arial"/>
                <w:sz w:val="20"/>
                <w:szCs w:val="20"/>
              </w:rPr>
              <w:t>la mise à jour et la publication</w:t>
            </w:r>
            <w:r w:rsidR="002D1CF6">
              <w:rPr>
                <w:rFonts w:ascii="Arial" w:hAnsi="Arial" w:cs="Arial"/>
                <w:sz w:val="20"/>
                <w:szCs w:val="20"/>
              </w:rPr>
              <w:t xml:space="preserve"> des</w:t>
            </w:r>
            <w:r w:rsidR="006F2FBE" w:rsidRPr="006F2FBE">
              <w:rPr>
                <w:rFonts w:ascii="Arial" w:hAnsi="Arial" w:cs="Arial"/>
                <w:sz w:val="20"/>
                <w:szCs w:val="20"/>
              </w:rPr>
              <w:t xml:space="preserve"> </w:t>
            </w:r>
            <w:r w:rsidR="00D213A9" w:rsidRPr="004E50B6">
              <w:rPr>
                <w:rFonts w:ascii="Arial" w:hAnsi="Arial" w:cs="Arial"/>
                <w:sz w:val="20"/>
                <w:szCs w:val="20"/>
              </w:rPr>
              <w:t xml:space="preserve">Listes et </w:t>
            </w:r>
            <w:r w:rsidR="00631A1B">
              <w:rPr>
                <w:rFonts w:ascii="Arial" w:hAnsi="Arial" w:cs="Arial"/>
                <w:sz w:val="20"/>
                <w:szCs w:val="20"/>
              </w:rPr>
              <w:t>du</w:t>
            </w:r>
            <w:r w:rsidR="006F2FBE" w:rsidRPr="004E50B6">
              <w:rPr>
                <w:rFonts w:ascii="Arial" w:hAnsi="Arial" w:cs="Arial"/>
                <w:sz w:val="20"/>
                <w:szCs w:val="20"/>
              </w:rPr>
              <w:t xml:space="preserve"> </w:t>
            </w:r>
            <w:r w:rsidR="00D213A9" w:rsidRPr="004E50B6">
              <w:rPr>
                <w:rFonts w:ascii="Arial" w:hAnsi="Arial" w:cs="Arial"/>
                <w:sz w:val="20"/>
                <w:szCs w:val="20"/>
              </w:rPr>
              <w:t>Registre des meilleures pratiques</w:t>
            </w:r>
            <w:r w:rsidR="006F2FBE" w:rsidRPr="004E50B6">
              <w:rPr>
                <w:rFonts w:ascii="Arial" w:hAnsi="Arial" w:cs="Arial"/>
                <w:sz w:val="20"/>
                <w:szCs w:val="20"/>
              </w:rPr>
              <w:t xml:space="preserve"> de sauvegarde ;</w:t>
            </w:r>
          </w:p>
        </w:tc>
        <w:tc>
          <w:tcPr>
            <w:tcW w:w="628" w:type="pct"/>
            <w:tcBorders>
              <w:top w:val="nil"/>
              <w:left w:val="nil"/>
              <w:bottom w:val="single" w:sz="4" w:space="0" w:color="auto"/>
              <w:right w:val="single" w:sz="4" w:space="0" w:color="auto"/>
            </w:tcBorders>
            <w:shd w:val="clear" w:color="auto" w:fill="auto"/>
            <w:noWrap/>
            <w:vAlign w:val="center"/>
          </w:tcPr>
          <w:p w14:paraId="0EC678AC"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20</w:t>
            </w:r>
            <w:r w:rsidR="00D213A9" w:rsidRPr="00122856">
              <w:rPr>
                <w:rFonts w:ascii="Arial" w:hAnsi="Arial" w:cs="Arial"/>
                <w:sz w:val="20"/>
                <w:szCs w:val="20"/>
              </w:rPr>
              <w:t>,</w:t>
            </w:r>
            <w:r w:rsidRPr="00122856">
              <w:rPr>
                <w:rFonts w:ascii="Arial" w:hAnsi="Arial" w:cs="Arial"/>
                <w:sz w:val="20"/>
                <w:szCs w:val="20"/>
              </w:rPr>
              <w:t>00</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6F102238"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20</w:t>
            </w:r>
            <w:r w:rsidR="00D213A9" w:rsidRPr="00122856">
              <w:rPr>
                <w:rFonts w:ascii="Arial" w:hAnsi="Arial" w:cs="Arial"/>
                <w:sz w:val="20"/>
                <w:szCs w:val="20"/>
              </w:rPr>
              <w:t>,</w:t>
            </w:r>
            <w:r w:rsidRPr="00122856">
              <w:rPr>
                <w:rFonts w:ascii="Arial" w:hAnsi="Arial" w:cs="Arial"/>
                <w:sz w:val="20"/>
                <w:szCs w:val="20"/>
              </w:rPr>
              <w:t>00</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4B026228"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14EF0760"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4.</w:t>
            </w:r>
          </w:p>
        </w:tc>
        <w:tc>
          <w:tcPr>
            <w:tcW w:w="3545" w:type="pct"/>
            <w:tcBorders>
              <w:top w:val="nil"/>
              <w:left w:val="nil"/>
              <w:bottom w:val="single" w:sz="4" w:space="0" w:color="auto"/>
              <w:right w:val="single" w:sz="4" w:space="0" w:color="auto"/>
            </w:tcBorders>
            <w:shd w:val="clear" w:color="auto" w:fill="auto"/>
            <w:vAlign w:val="center"/>
          </w:tcPr>
          <w:p w14:paraId="30FAA147" w14:textId="28D757FC" w:rsidR="00771056" w:rsidRPr="00122856" w:rsidRDefault="00037EA2">
            <w:pPr>
              <w:spacing w:before="120" w:after="120"/>
              <w:jc w:val="both"/>
              <w:rPr>
                <w:rFonts w:ascii="Arial" w:hAnsi="Arial" w:cs="Arial"/>
                <w:sz w:val="20"/>
                <w:szCs w:val="20"/>
              </w:rPr>
            </w:pPr>
            <w:r w:rsidRPr="00122856">
              <w:rPr>
                <w:rFonts w:ascii="Arial" w:hAnsi="Arial" w:cs="Arial"/>
                <w:sz w:val="20"/>
                <w:szCs w:val="20"/>
              </w:rPr>
              <w:t>P</w:t>
            </w:r>
            <w:r w:rsidR="00771056" w:rsidRPr="00122856">
              <w:rPr>
                <w:rFonts w:ascii="Arial" w:hAnsi="Arial" w:cs="Arial"/>
                <w:sz w:val="20"/>
                <w:szCs w:val="20"/>
              </w:rPr>
              <w:t xml:space="preserve">articipation </w:t>
            </w:r>
            <w:r w:rsidR="00EA2A97" w:rsidRPr="00122856">
              <w:rPr>
                <w:rFonts w:ascii="Arial" w:hAnsi="Arial" w:cs="Arial"/>
                <w:sz w:val="20"/>
                <w:szCs w:val="20"/>
              </w:rPr>
              <w:t xml:space="preserve">aux </w:t>
            </w:r>
            <w:r w:rsidR="00771056" w:rsidRPr="00122856">
              <w:rPr>
                <w:rFonts w:ascii="Arial" w:hAnsi="Arial" w:cs="Arial"/>
                <w:sz w:val="20"/>
                <w:szCs w:val="20"/>
              </w:rPr>
              <w:t xml:space="preserve">sessions </w:t>
            </w:r>
            <w:r w:rsidR="00EA2A97" w:rsidRPr="00122856">
              <w:rPr>
                <w:rFonts w:ascii="Arial" w:hAnsi="Arial" w:cs="Arial"/>
                <w:sz w:val="20"/>
                <w:szCs w:val="20"/>
              </w:rPr>
              <w:t xml:space="preserve">du Comité, de son </w:t>
            </w:r>
            <w:r w:rsidR="00771056" w:rsidRPr="00122856">
              <w:rPr>
                <w:rFonts w:ascii="Arial" w:hAnsi="Arial" w:cs="Arial"/>
                <w:sz w:val="20"/>
                <w:szCs w:val="20"/>
              </w:rPr>
              <w:t xml:space="preserve">Bureau </w:t>
            </w:r>
            <w:r w:rsidR="00EA2A97" w:rsidRPr="00122856">
              <w:rPr>
                <w:rFonts w:ascii="Arial" w:hAnsi="Arial" w:cs="Arial"/>
                <w:sz w:val="20"/>
                <w:szCs w:val="20"/>
              </w:rPr>
              <w:t xml:space="preserve">et de ses organes subsidiaires d’experts </w:t>
            </w:r>
            <w:r w:rsidR="00E578CD" w:rsidRPr="00122856">
              <w:rPr>
                <w:rFonts w:ascii="Arial" w:hAnsi="Arial" w:cs="Arial"/>
                <w:sz w:val="20"/>
                <w:szCs w:val="20"/>
              </w:rPr>
              <w:t xml:space="preserve">du </w:t>
            </w:r>
            <w:r w:rsidR="00EA2A97" w:rsidRPr="00122856">
              <w:rPr>
                <w:rFonts w:ascii="Arial" w:hAnsi="Arial" w:cs="Arial"/>
                <w:sz w:val="20"/>
                <w:szCs w:val="20"/>
              </w:rPr>
              <w:t xml:space="preserve">patrimoine culturel immatériel représentant des </w:t>
            </w:r>
            <w:r w:rsidR="00914E50" w:rsidRPr="00122856">
              <w:rPr>
                <w:rFonts w:ascii="Arial" w:hAnsi="Arial" w:cs="Arial"/>
                <w:sz w:val="20"/>
                <w:szCs w:val="20"/>
              </w:rPr>
              <w:t>pays</w:t>
            </w:r>
            <w:r w:rsidR="00EA2A97" w:rsidRPr="00122856">
              <w:rPr>
                <w:rFonts w:ascii="Arial" w:hAnsi="Arial" w:cs="Arial"/>
                <w:sz w:val="20"/>
                <w:szCs w:val="20"/>
              </w:rPr>
              <w:t xml:space="preserve"> en développement membres du Comité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1A09EB80"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2</w:t>
            </w:r>
            <w:r w:rsidR="00D213A9" w:rsidRPr="00122856">
              <w:rPr>
                <w:rFonts w:ascii="Arial" w:hAnsi="Arial" w:cs="Arial"/>
                <w:sz w:val="20"/>
                <w:szCs w:val="20"/>
              </w:rPr>
              <w:t>,</w:t>
            </w:r>
            <w:r w:rsidRPr="00122856">
              <w:rPr>
                <w:rFonts w:ascii="Arial" w:hAnsi="Arial" w:cs="Arial"/>
                <w:sz w:val="20"/>
                <w:szCs w:val="20"/>
              </w:rPr>
              <w:t>25</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099C44A7" w14:textId="77777777" w:rsidR="00771056" w:rsidRPr="00122856" w:rsidRDefault="00771056" w:rsidP="00D213A9">
            <w:pPr>
              <w:spacing w:before="120" w:after="120"/>
              <w:jc w:val="center"/>
              <w:rPr>
                <w:rFonts w:ascii="Arial" w:hAnsi="Arial" w:cs="Arial"/>
                <w:sz w:val="20"/>
                <w:szCs w:val="20"/>
              </w:rPr>
            </w:pPr>
            <w:r w:rsidRPr="00122856">
              <w:rPr>
                <w:rFonts w:ascii="Arial" w:hAnsi="Arial" w:cs="Arial"/>
                <w:sz w:val="20"/>
                <w:szCs w:val="20"/>
              </w:rPr>
              <w:t>2</w:t>
            </w:r>
            <w:r w:rsidR="00D213A9" w:rsidRPr="00122856">
              <w:rPr>
                <w:rFonts w:ascii="Arial" w:hAnsi="Arial" w:cs="Arial"/>
                <w:sz w:val="20"/>
                <w:szCs w:val="20"/>
              </w:rPr>
              <w:t>,</w:t>
            </w:r>
            <w:r w:rsidRPr="00122856">
              <w:rPr>
                <w:rFonts w:ascii="Arial" w:hAnsi="Arial" w:cs="Arial"/>
                <w:sz w:val="20"/>
                <w:szCs w:val="20"/>
              </w:rPr>
              <w:t>75</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19BB53BB"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357C67CE"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5.</w:t>
            </w:r>
          </w:p>
        </w:tc>
        <w:tc>
          <w:tcPr>
            <w:tcW w:w="3545" w:type="pct"/>
            <w:tcBorders>
              <w:top w:val="nil"/>
              <w:left w:val="nil"/>
              <w:bottom w:val="single" w:sz="4" w:space="0" w:color="auto"/>
              <w:right w:val="single" w:sz="4" w:space="0" w:color="auto"/>
            </w:tcBorders>
            <w:shd w:val="clear" w:color="auto" w:fill="auto"/>
            <w:vAlign w:val="center"/>
          </w:tcPr>
          <w:p w14:paraId="00A72A6C" w14:textId="68572B32" w:rsidR="00771056" w:rsidRPr="00122856" w:rsidRDefault="00037EA2">
            <w:pPr>
              <w:spacing w:before="120" w:after="120"/>
              <w:jc w:val="both"/>
              <w:rPr>
                <w:rFonts w:ascii="Arial" w:hAnsi="Arial" w:cs="Arial"/>
                <w:sz w:val="20"/>
                <w:szCs w:val="20"/>
              </w:rPr>
            </w:pPr>
            <w:r w:rsidRPr="00122856">
              <w:rPr>
                <w:rFonts w:ascii="Arial" w:hAnsi="Arial" w:cs="Arial"/>
                <w:sz w:val="20"/>
                <w:szCs w:val="20"/>
              </w:rPr>
              <w:t>P</w:t>
            </w:r>
            <w:r w:rsidR="00771056" w:rsidRPr="00122856">
              <w:rPr>
                <w:rFonts w:ascii="Arial" w:hAnsi="Arial" w:cs="Arial"/>
                <w:sz w:val="20"/>
                <w:szCs w:val="20"/>
              </w:rPr>
              <w:t xml:space="preserve">articipation </w:t>
            </w:r>
            <w:r w:rsidR="00EA2A97" w:rsidRPr="00122856">
              <w:rPr>
                <w:rFonts w:ascii="Arial" w:hAnsi="Arial" w:cs="Arial"/>
                <w:sz w:val="20"/>
                <w:szCs w:val="20"/>
              </w:rPr>
              <w:t>aux</w:t>
            </w:r>
            <w:r w:rsidR="00771056" w:rsidRPr="00122856">
              <w:rPr>
                <w:rFonts w:ascii="Arial" w:hAnsi="Arial" w:cs="Arial"/>
                <w:sz w:val="20"/>
                <w:szCs w:val="20"/>
              </w:rPr>
              <w:t xml:space="preserve"> sessions </w:t>
            </w:r>
            <w:r w:rsidR="00EA2A97" w:rsidRPr="00122856">
              <w:rPr>
                <w:rFonts w:ascii="Arial" w:hAnsi="Arial" w:cs="Arial"/>
                <w:sz w:val="20"/>
                <w:szCs w:val="20"/>
              </w:rPr>
              <w:t xml:space="preserve">du Comité et de ses organes consultatifs d’experts </w:t>
            </w:r>
            <w:r w:rsidR="00E578CD" w:rsidRPr="00122856">
              <w:rPr>
                <w:rFonts w:ascii="Arial" w:hAnsi="Arial" w:cs="Arial"/>
                <w:sz w:val="20"/>
                <w:szCs w:val="20"/>
              </w:rPr>
              <w:t xml:space="preserve">du </w:t>
            </w:r>
            <w:r w:rsidR="00EA2A97" w:rsidRPr="00122856">
              <w:rPr>
                <w:rFonts w:ascii="Arial" w:hAnsi="Arial" w:cs="Arial"/>
                <w:sz w:val="20"/>
                <w:szCs w:val="20"/>
              </w:rPr>
              <w:t xml:space="preserve">patrimoine culturel immatériel représentant des </w:t>
            </w:r>
            <w:r w:rsidR="00C5081B" w:rsidRPr="00122856">
              <w:rPr>
                <w:rFonts w:ascii="Arial" w:hAnsi="Arial" w:cs="Arial"/>
                <w:sz w:val="20"/>
                <w:szCs w:val="20"/>
              </w:rPr>
              <w:t>pays</w:t>
            </w:r>
            <w:r w:rsidR="00EA2A97" w:rsidRPr="00122856">
              <w:rPr>
                <w:rFonts w:ascii="Arial" w:hAnsi="Arial" w:cs="Arial"/>
                <w:sz w:val="20"/>
                <w:szCs w:val="20"/>
              </w:rPr>
              <w:t xml:space="preserve"> en développement parties à la </w:t>
            </w:r>
            <w:r w:rsidR="00771056" w:rsidRPr="00122856">
              <w:rPr>
                <w:rFonts w:ascii="Arial" w:hAnsi="Arial" w:cs="Arial"/>
                <w:sz w:val="20"/>
                <w:szCs w:val="20"/>
              </w:rPr>
              <w:t xml:space="preserve">Convention </w:t>
            </w:r>
            <w:r w:rsidR="00EA2A97" w:rsidRPr="00122856">
              <w:rPr>
                <w:rFonts w:ascii="Arial" w:hAnsi="Arial" w:cs="Arial"/>
                <w:sz w:val="20"/>
                <w:szCs w:val="20"/>
              </w:rPr>
              <w:t>mais non-membres du Comité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281329E2"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2</w:t>
            </w:r>
            <w:r w:rsidR="00EA2A97" w:rsidRPr="00122856">
              <w:rPr>
                <w:rFonts w:ascii="Arial" w:hAnsi="Arial" w:cs="Arial"/>
                <w:sz w:val="20"/>
                <w:szCs w:val="20"/>
              </w:rPr>
              <w:t>,</w:t>
            </w:r>
            <w:r w:rsidRPr="00122856">
              <w:rPr>
                <w:rFonts w:ascii="Arial" w:hAnsi="Arial" w:cs="Arial"/>
                <w:sz w:val="20"/>
                <w:szCs w:val="20"/>
              </w:rPr>
              <w:t>75</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023A82DF"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2</w:t>
            </w:r>
            <w:r w:rsidR="00EA2A97" w:rsidRPr="00122856">
              <w:rPr>
                <w:rFonts w:ascii="Arial" w:hAnsi="Arial" w:cs="Arial"/>
                <w:sz w:val="20"/>
                <w:szCs w:val="20"/>
              </w:rPr>
              <w:t>,</w:t>
            </w:r>
            <w:r w:rsidRPr="00122856">
              <w:rPr>
                <w:rFonts w:ascii="Arial" w:hAnsi="Arial" w:cs="Arial"/>
                <w:sz w:val="20"/>
                <w:szCs w:val="20"/>
              </w:rPr>
              <w:t>75</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5D0E372E"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4287FD4C"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6.</w:t>
            </w:r>
          </w:p>
        </w:tc>
        <w:tc>
          <w:tcPr>
            <w:tcW w:w="3545" w:type="pct"/>
            <w:tcBorders>
              <w:top w:val="nil"/>
              <w:left w:val="nil"/>
              <w:bottom w:val="single" w:sz="4" w:space="0" w:color="auto"/>
              <w:right w:val="single" w:sz="4" w:space="0" w:color="auto"/>
            </w:tcBorders>
            <w:shd w:val="clear" w:color="auto" w:fill="auto"/>
            <w:vAlign w:val="center"/>
          </w:tcPr>
          <w:p w14:paraId="760D22F6" w14:textId="73211665" w:rsidR="00771056" w:rsidRPr="00122856" w:rsidRDefault="00037EA2">
            <w:pPr>
              <w:spacing w:before="120" w:after="120"/>
              <w:jc w:val="both"/>
              <w:rPr>
                <w:rFonts w:ascii="Arial" w:hAnsi="Arial" w:cs="Arial"/>
                <w:sz w:val="20"/>
                <w:szCs w:val="20"/>
              </w:rPr>
            </w:pPr>
            <w:r w:rsidRPr="00122856">
              <w:rPr>
                <w:rFonts w:ascii="Arial" w:hAnsi="Arial" w:cs="Arial"/>
                <w:sz w:val="20"/>
                <w:szCs w:val="20"/>
              </w:rPr>
              <w:t>P</w:t>
            </w:r>
            <w:r w:rsidR="00771056" w:rsidRPr="00122856">
              <w:rPr>
                <w:rFonts w:ascii="Arial" w:hAnsi="Arial" w:cs="Arial"/>
                <w:sz w:val="20"/>
                <w:szCs w:val="20"/>
              </w:rPr>
              <w:t xml:space="preserve">articipation </w:t>
            </w:r>
            <w:r w:rsidR="00063B86" w:rsidRPr="00122856">
              <w:rPr>
                <w:rFonts w:ascii="Arial" w:hAnsi="Arial" w:cs="Arial"/>
                <w:sz w:val="20"/>
                <w:szCs w:val="20"/>
              </w:rPr>
              <w:t>aux</w:t>
            </w:r>
            <w:r w:rsidR="00771056" w:rsidRPr="00122856">
              <w:rPr>
                <w:rFonts w:ascii="Arial" w:hAnsi="Arial" w:cs="Arial"/>
                <w:sz w:val="20"/>
                <w:szCs w:val="20"/>
              </w:rPr>
              <w:t xml:space="preserve"> sessions </w:t>
            </w:r>
            <w:r w:rsidR="00063B86" w:rsidRPr="00122856">
              <w:rPr>
                <w:rFonts w:ascii="Arial" w:hAnsi="Arial" w:cs="Arial"/>
                <w:sz w:val="20"/>
                <w:szCs w:val="20"/>
              </w:rPr>
              <w:t>du Comité, de son</w:t>
            </w:r>
            <w:r w:rsidR="00771056" w:rsidRPr="00122856">
              <w:rPr>
                <w:rFonts w:ascii="Arial" w:hAnsi="Arial" w:cs="Arial"/>
                <w:sz w:val="20"/>
                <w:szCs w:val="20"/>
              </w:rPr>
              <w:t xml:space="preserve"> Bureau </w:t>
            </w:r>
            <w:r w:rsidR="00063B86" w:rsidRPr="00122856">
              <w:rPr>
                <w:rFonts w:ascii="Arial" w:hAnsi="Arial" w:cs="Arial"/>
                <w:sz w:val="20"/>
                <w:szCs w:val="20"/>
              </w:rPr>
              <w:t>et de ses organes consultatifs d’entité</w:t>
            </w:r>
            <w:r w:rsidR="00E578CD" w:rsidRPr="00122856">
              <w:rPr>
                <w:rFonts w:ascii="Arial" w:hAnsi="Arial" w:cs="Arial"/>
                <w:sz w:val="20"/>
                <w:szCs w:val="20"/>
              </w:rPr>
              <w:t>s</w:t>
            </w:r>
            <w:r w:rsidR="00063B86" w:rsidRPr="00122856">
              <w:rPr>
                <w:rFonts w:ascii="Arial" w:hAnsi="Arial" w:cs="Arial"/>
                <w:sz w:val="20"/>
                <w:szCs w:val="20"/>
              </w:rPr>
              <w:t xml:space="preserve"> publiques ou privées, de personnes physiques, notamment des membres de communautés et groupes</w:t>
            </w:r>
            <w:r w:rsidR="00B25268">
              <w:rPr>
                <w:rFonts w:ascii="Arial" w:hAnsi="Arial" w:cs="Arial"/>
                <w:sz w:val="20"/>
                <w:szCs w:val="20"/>
              </w:rPr>
              <w:t>,</w:t>
            </w:r>
            <w:r w:rsidR="00063B86" w:rsidRPr="00122856">
              <w:rPr>
                <w:rFonts w:ascii="Arial" w:hAnsi="Arial" w:cs="Arial"/>
                <w:sz w:val="20"/>
                <w:szCs w:val="20"/>
              </w:rPr>
              <w:t xml:space="preserve"> invités par le Comité à </w:t>
            </w:r>
            <w:r w:rsidR="00C5081B" w:rsidRPr="00122856">
              <w:rPr>
                <w:rFonts w:ascii="Arial" w:hAnsi="Arial" w:cs="Arial"/>
                <w:sz w:val="20"/>
                <w:szCs w:val="20"/>
              </w:rPr>
              <w:t xml:space="preserve">participer à ces réunions </w:t>
            </w:r>
            <w:r w:rsidRPr="00122856">
              <w:rPr>
                <w:rFonts w:ascii="Arial" w:hAnsi="Arial" w:cs="Arial"/>
                <w:sz w:val="20"/>
                <w:szCs w:val="20"/>
              </w:rPr>
              <w:t>à titre consultatif</w:t>
            </w:r>
            <w:r w:rsidR="00063B86" w:rsidRPr="00122856">
              <w:rPr>
                <w:rFonts w:ascii="Arial" w:hAnsi="Arial" w:cs="Arial"/>
                <w:sz w:val="20"/>
                <w:szCs w:val="20"/>
              </w:rPr>
              <w:t xml:space="preserve"> su</w:t>
            </w:r>
            <w:r w:rsidR="008C42BC" w:rsidRPr="00122856">
              <w:rPr>
                <w:rFonts w:ascii="Arial" w:hAnsi="Arial" w:cs="Arial"/>
                <w:sz w:val="20"/>
                <w:szCs w:val="20"/>
              </w:rPr>
              <w:t xml:space="preserve">r des questions spécifiques, </w:t>
            </w:r>
            <w:r w:rsidR="00771056" w:rsidRPr="00122856">
              <w:rPr>
                <w:rFonts w:ascii="Arial" w:hAnsi="Arial" w:cs="Arial"/>
                <w:sz w:val="20"/>
                <w:szCs w:val="20"/>
              </w:rPr>
              <w:t>a</w:t>
            </w:r>
            <w:r w:rsidR="008C42BC" w:rsidRPr="00122856">
              <w:rPr>
                <w:rFonts w:ascii="Arial" w:hAnsi="Arial" w:cs="Arial"/>
                <w:sz w:val="20"/>
                <w:szCs w:val="20"/>
              </w:rPr>
              <w:t>in</w:t>
            </w:r>
            <w:r w:rsidR="00771056" w:rsidRPr="00122856">
              <w:rPr>
                <w:rFonts w:ascii="Arial" w:hAnsi="Arial" w:cs="Arial"/>
                <w:sz w:val="20"/>
                <w:szCs w:val="20"/>
              </w:rPr>
              <w:t>s</w:t>
            </w:r>
            <w:r w:rsidR="008C42BC" w:rsidRPr="00122856">
              <w:rPr>
                <w:rFonts w:ascii="Arial" w:hAnsi="Arial" w:cs="Arial"/>
                <w:sz w:val="20"/>
                <w:szCs w:val="20"/>
              </w:rPr>
              <w:t xml:space="preserve">i que des experts </w:t>
            </w:r>
            <w:r w:rsidR="00E578CD" w:rsidRPr="00122856">
              <w:rPr>
                <w:rFonts w:ascii="Arial" w:hAnsi="Arial" w:cs="Arial"/>
                <w:sz w:val="20"/>
                <w:szCs w:val="20"/>
              </w:rPr>
              <w:t xml:space="preserve">du </w:t>
            </w:r>
            <w:r w:rsidR="008C42BC" w:rsidRPr="00122856">
              <w:rPr>
                <w:rFonts w:ascii="Arial" w:hAnsi="Arial" w:cs="Arial"/>
                <w:sz w:val="20"/>
                <w:szCs w:val="20"/>
              </w:rPr>
              <w:t>patrimoine culturel immatériel représentant des ONG accréditées de pays en développement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7103317F"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4</w:t>
            </w:r>
            <w:r w:rsidR="00EA2A97" w:rsidRPr="00122856">
              <w:rPr>
                <w:rFonts w:ascii="Arial" w:hAnsi="Arial" w:cs="Arial"/>
                <w:sz w:val="20"/>
                <w:szCs w:val="20"/>
              </w:rPr>
              <w:t>,</w:t>
            </w:r>
            <w:r w:rsidRPr="00122856">
              <w:rPr>
                <w:rFonts w:ascii="Arial" w:hAnsi="Arial" w:cs="Arial"/>
                <w:sz w:val="20"/>
                <w:szCs w:val="20"/>
              </w:rPr>
              <w:t>50</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228ED857"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4</w:t>
            </w:r>
            <w:r w:rsidR="00EA2A97" w:rsidRPr="00122856">
              <w:rPr>
                <w:rFonts w:ascii="Arial" w:hAnsi="Arial" w:cs="Arial"/>
                <w:sz w:val="20"/>
                <w:szCs w:val="20"/>
              </w:rPr>
              <w:t>,</w:t>
            </w:r>
            <w:r w:rsidRPr="00122856">
              <w:rPr>
                <w:rFonts w:ascii="Arial" w:hAnsi="Arial" w:cs="Arial"/>
                <w:sz w:val="20"/>
                <w:szCs w:val="20"/>
              </w:rPr>
              <w:t>50</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46F3D6D4"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0567B4AF"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7.</w:t>
            </w:r>
          </w:p>
        </w:tc>
        <w:tc>
          <w:tcPr>
            <w:tcW w:w="3545" w:type="pct"/>
            <w:tcBorders>
              <w:top w:val="nil"/>
              <w:left w:val="nil"/>
              <w:bottom w:val="single" w:sz="4" w:space="0" w:color="auto"/>
              <w:right w:val="single" w:sz="4" w:space="0" w:color="auto"/>
            </w:tcBorders>
            <w:shd w:val="clear" w:color="auto" w:fill="auto"/>
            <w:vAlign w:val="center"/>
          </w:tcPr>
          <w:p w14:paraId="768B504C" w14:textId="77777777" w:rsidR="00771056" w:rsidRPr="00122856" w:rsidRDefault="00037EA2" w:rsidP="00037EA2">
            <w:pPr>
              <w:spacing w:before="120" w:after="120"/>
              <w:jc w:val="both"/>
              <w:rPr>
                <w:rFonts w:ascii="Arial" w:hAnsi="Arial" w:cs="Arial"/>
                <w:sz w:val="20"/>
                <w:szCs w:val="20"/>
              </w:rPr>
            </w:pPr>
            <w:r w:rsidRPr="00122856">
              <w:rPr>
                <w:rFonts w:ascii="Arial" w:hAnsi="Arial" w:cs="Arial"/>
                <w:sz w:val="20"/>
                <w:szCs w:val="20"/>
              </w:rPr>
              <w:t>C</w:t>
            </w:r>
            <w:r w:rsidR="008C42BC" w:rsidRPr="00122856">
              <w:rPr>
                <w:rFonts w:ascii="Arial" w:hAnsi="Arial" w:cs="Arial"/>
                <w:sz w:val="20"/>
                <w:szCs w:val="20"/>
              </w:rPr>
              <w:t xml:space="preserve">oûts des services </w:t>
            </w:r>
            <w:r w:rsidR="00C5081B" w:rsidRPr="00122856">
              <w:rPr>
                <w:rFonts w:ascii="Arial" w:hAnsi="Arial" w:cs="Arial"/>
                <w:sz w:val="20"/>
                <w:szCs w:val="20"/>
              </w:rPr>
              <w:t>consultatifs</w:t>
            </w:r>
            <w:r w:rsidR="008C42BC" w:rsidRPr="00122856">
              <w:rPr>
                <w:rFonts w:ascii="Arial" w:hAnsi="Arial" w:cs="Arial"/>
                <w:sz w:val="20"/>
                <w:szCs w:val="20"/>
              </w:rPr>
              <w:t xml:space="preserve"> </w:t>
            </w:r>
            <w:r w:rsidR="002E1322" w:rsidRPr="00122856">
              <w:rPr>
                <w:rFonts w:ascii="Arial" w:hAnsi="Arial" w:cs="Arial"/>
                <w:sz w:val="20"/>
                <w:szCs w:val="20"/>
              </w:rPr>
              <w:t xml:space="preserve">devant être </w:t>
            </w:r>
            <w:r w:rsidR="008C42BC" w:rsidRPr="00122856">
              <w:rPr>
                <w:rFonts w:ascii="Arial" w:hAnsi="Arial" w:cs="Arial"/>
                <w:sz w:val="20"/>
                <w:szCs w:val="20"/>
              </w:rPr>
              <w:t xml:space="preserve">fournis à la demande du Comité, notamment l’aide aux </w:t>
            </w:r>
            <w:r w:rsidRPr="00122856">
              <w:rPr>
                <w:rFonts w:ascii="Arial" w:hAnsi="Arial" w:cs="Arial"/>
                <w:sz w:val="20"/>
                <w:szCs w:val="20"/>
              </w:rPr>
              <w:t>pays</w:t>
            </w:r>
            <w:r w:rsidR="008C42BC" w:rsidRPr="00122856">
              <w:rPr>
                <w:rFonts w:ascii="Arial" w:hAnsi="Arial" w:cs="Arial"/>
                <w:sz w:val="20"/>
                <w:szCs w:val="20"/>
              </w:rPr>
              <w:t xml:space="preserve"> en développement dont les représentants ont été nommés membres de l’Organe d’évaluation </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599472B0"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6</w:t>
            </w:r>
            <w:r w:rsidR="00EA2A97" w:rsidRPr="00122856">
              <w:rPr>
                <w:rFonts w:ascii="Arial" w:hAnsi="Arial" w:cs="Arial"/>
                <w:sz w:val="20"/>
                <w:szCs w:val="20"/>
              </w:rPr>
              <w:t>,</w:t>
            </w:r>
            <w:r w:rsidRPr="00122856">
              <w:rPr>
                <w:rFonts w:ascii="Arial" w:hAnsi="Arial" w:cs="Arial"/>
                <w:sz w:val="20"/>
                <w:szCs w:val="20"/>
              </w:rPr>
              <w:t>00</w:t>
            </w:r>
            <w:r w:rsidR="00EA2A97"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2F00A62D" w14:textId="77777777" w:rsidR="00771056" w:rsidRPr="00122856" w:rsidRDefault="00771056" w:rsidP="00EA2A97">
            <w:pPr>
              <w:spacing w:before="120" w:after="120"/>
              <w:jc w:val="center"/>
              <w:rPr>
                <w:rFonts w:ascii="Arial" w:hAnsi="Arial" w:cs="Arial"/>
                <w:sz w:val="20"/>
                <w:szCs w:val="20"/>
              </w:rPr>
            </w:pPr>
            <w:r w:rsidRPr="00122856">
              <w:rPr>
                <w:rFonts w:ascii="Arial" w:hAnsi="Arial" w:cs="Arial"/>
                <w:sz w:val="20"/>
                <w:szCs w:val="20"/>
              </w:rPr>
              <w:t>5</w:t>
            </w:r>
            <w:r w:rsidR="00EA2A97" w:rsidRPr="00122856">
              <w:rPr>
                <w:rFonts w:ascii="Arial" w:hAnsi="Arial" w:cs="Arial"/>
                <w:sz w:val="20"/>
                <w:szCs w:val="20"/>
              </w:rPr>
              <w:t>,</w:t>
            </w:r>
            <w:r w:rsidRPr="00122856">
              <w:rPr>
                <w:rFonts w:ascii="Arial" w:hAnsi="Arial" w:cs="Arial"/>
                <w:sz w:val="20"/>
                <w:szCs w:val="20"/>
              </w:rPr>
              <w:t>50</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54F29B7E"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13854BA0" w14:textId="77777777" w:rsidR="00771056" w:rsidRPr="00122856" w:rsidRDefault="00771056" w:rsidP="00771056">
            <w:pPr>
              <w:spacing w:before="120" w:after="120"/>
              <w:rPr>
                <w:rFonts w:ascii="Arial" w:hAnsi="Arial" w:cs="Arial"/>
                <w:sz w:val="20"/>
                <w:szCs w:val="20"/>
              </w:rPr>
            </w:pPr>
          </w:p>
        </w:tc>
        <w:tc>
          <w:tcPr>
            <w:tcW w:w="3545" w:type="pct"/>
            <w:tcBorders>
              <w:top w:val="nil"/>
              <w:left w:val="nil"/>
              <w:bottom w:val="single" w:sz="4" w:space="0" w:color="auto"/>
              <w:right w:val="single" w:sz="4" w:space="0" w:color="auto"/>
            </w:tcBorders>
            <w:shd w:val="clear" w:color="auto" w:fill="auto"/>
            <w:vAlign w:val="center"/>
          </w:tcPr>
          <w:p w14:paraId="7BB2ECF9" w14:textId="77777777" w:rsidR="00771056" w:rsidRPr="00122856" w:rsidRDefault="00771056" w:rsidP="008C42BC">
            <w:pPr>
              <w:spacing w:before="120" w:after="120"/>
              <w:jc w:val="both"/>
              <w:rPr>
                <w:rFonts w:ascii="Arial" w:hAnsi="Arial" w:cs="Arial"/>
                <w:sz w:val="20"/>
                <w:szCs w:val="20"/>
              </w:rPr>
            </w:pPr>
            <w:r w:rsidRPr="00122856">
              <w:rPr>
                <w:rFonts w:ascii="Arial" w:hAnsi="Arial" w:cs="Arial"/>
                <w:sz w:val="20"/>
                <w:szCs w:val="20"/>
              </w:rPr>
              <w:t>S</w:t>
            </w:r>
            <w:r w:rsidR="008C42BC" w:rsidRPr="00122856">
              <w:rPr>
                <w:rFonts w:ascii="Arial" w:hAnsi="Arial" w:cs="Arial"/>
                <w:sz w:val="20"/>
                <w:szCs w:val="20"/>
              </w:rPr>
              <w:t>o</w:t>
            </w:r>
            <w:r w:rsidRPr="00122856">
              <w:rPr>
                <w:rFonts w:ascii="Arial" w:hAnsi="Arial" w:cs="Arial"/>
                <w:sz w:val="20"/>
                <w:szCs w:val="20"/>
              </w:rPr>
              <w:t>u</w:t>
            </w:r>
            <w:r w:rsidR="008C42BC" w:rsidRPr="00122856">
              <w:rPr>
                <w:rFonts w:ascii="Arial" w:hAnsi="Arial" w:cs="Arial"/>
                <w:sz w:val="20"/>
                <w:szCs w:val="20"/>
              </w:rPr>
              <w:t>s</w:t>
            </w:r>
            <w:r w:rsidRPr="00122856">
              <w:rPr>
                <w:rFonts w:ascii="Arial" w:hAnsi="Arial" w:cs="Arial"/>
                <w:sz w:val="20"/>
                <w:szCs w:val="20"/>
              </w:rPr>
              <w:t>-total</w:t>
            </w:r>
          </w:p>
        </w:tc>
        <w:tc>
          <w:tcPr>
            <w:tcW w:w="628" w:type="pct"/>
            <w:tcBorders>
              <w:top w:val="nil"/>
              <w:left w:val="nil"/>
              <w:bottom w:val="single" w:sz="4" w:space="0" w:color="auto"/>
              <w:right w:val="single" w:sz="4" w:space="0" w:color="auto"/>
            </w:tcBorders>
            <w:shd w:val="clear" w:color="auto" w:fill="auto"/>
            <w:noWrap/>
            <w:vAlign w:val="center"/>
          </w:tcPr>
          <w:p w14:paraId="1A3A00F9" w14:textId="77777777" w:rsidR="00771056" w:rsidRPr="00122856" w:rsidRDefault="00771056" w:rsidP="00771056">
            <w:pPr>
              <w:spacing w:before="120" w:after="120"/>
              <w:jc w:val="center"/>
              <w:rPr>
                <w:rFonts w:ascii="Arial" w:hAnsi="Arial" w:cs="Arial"/>
                <w:sz w:val="20"/>
                <w:szCs w:val="20"/>
              </w:rPr>
            </w:pPr>
            <w:r w:rsidRPr="00122856">
              <w:rPr>
                <w:rFonts w:ascii="Arial" w:hAnsi="Arial" w:cs="Arial"/>
                <w:sz w:val="20"/>
                <w:szCs w:val="20"/>
              </w:rPr>
              <w:t>100</w:t>
            </w:r>
            <w:r w:rsidR="002E1322" w:rsidRPr="00122856">
              <w:rPr>
                <w:rFonts w:ascii="Arial" w:hAnsi="Arial" w:cs="Arial"/>
                <w:sz w:val="20"/>
                <w:szCs w:val="20"/>
              </w:rPr>
              <w:t> </w:t>
            </w:r>
            <w:r w:rsidRPr="00122856">
              <w:rPr>
                <w:rFonts w:ascii="Arial" w:hAnsi="Arial" w:cs="Arial"/>
                <w:sz w:val="20"/>
                <w:szCs w:val="20"/>
              </w:rPr>
              <w:t>%</w:t>
            </w:r>
          </w:p>
        </w:tc>
        <w:tc>
          <w:tcPr>
            <w:tcW w:w="561" w:type="pct"/>
            <w:tcBorders>
              <w:top w:val="dashed" w:sz="4" w:space="0" w:color="auto"/>
              <w:left w:val="single" w:sz="4" w:space="0" w:color="auto"/>
              <w:bottom w:val="dashed" w:sz="4" w:space="0" w:color="auto"/>
              <w:right w:val="dashed" w:sz="4" w:space="0" w:color="auto"/>
            </w:tcBorders>
            <w:vAlign w:val="center"/>
          </w:tcPr>
          <w:p w14:paraId="3E441551" w14:textId="77777777" w:rsidR="00771056" w:rsidRPr="00122856" w:rsidRDefault="00771056" w:rsidP="00771056">
            <w:pPr>
              <w:spacing w:before="120" w:after="120"/>
              <w:jc w:val="center"/>
              <w:rPr>
                <w:rFonts w:ascii="Arial" w:hAnsi="Arial" w:cs="Arial"/>
                <w:sz w:val="20"/>
                <w:szCs w:val="20"/>
              </w:rPr>
            </w:pPr>
            <w:r w:rsidRPr="00122856">
              <w:rPr>
                <w:rFonts w:ascii="Arial" w:hAnsi="Arial" w:cs="Arial"/>
                <w:sz w:val="20"/>
                <w:szCs w:val="20"/>
              </w:rPr>
              <w:t>95</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0DA2BE6C" w14:textId="77777777" w:rsidTr="00213394">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7A440D28" w14:textId="77777777" w:rsidR="00771056" w:rsidRPr="00122856" w:rsidRDefault="00771056" w:rsidP="00771056">
            <w:pPr>
              <w:spacing w:before="120" w:after="120"/>
              <w:rPr>
                <w:rFonts w:ascii="Arial" w:hAnsi="Arial" w:cs="Arial"/>
                <w:sz w:val="20"/>
                <w:szCs w:val="20"/>
              </w:rPr>
            </w:pPr>
            <w:r w:rsidRPr="00122856">
              <w:rPr>
                <w:rFonts w:ascii="Arial" w:hAnsi="Arial" w:cs="Arial"/>
                <w:sz w:val="20"/>
                <w:szCs w:val="20"/>
              </w:rPr>
              <w:t>8.</w:t>
            </w:r>
          </w:p>
        </w:tc>
        <w:tc>
          <w:tcPr>
            <w:tcW w:w="3545" w:type="pct"/>
            <w:tcBorders>
              <w:top w:val="nil"/>
              <w:left w:val="nil"/>
              <w:bottom w:val="single" w:sz="4" w:space="0" w:color="auto"/>
              <w:right w:val="single" w:sz="4" w:space="0" w:color="auto"/>
            </w:tcBorders>
            <w:shd w:val="clear" w:color="auto" w:fill="auto"/>
            <w:vAlign w:val="center"/>
          </w:tcPr>
          <w:p w14:paraId="1FB9B650" w14:textId="77777777" w:rsidR="00771056" w:rsidRPr="00122856" w:rsidRDefault="002E1322" w:rsidP="00037EA2">
            <w:pPr>
              <w:spacing w:before="120" w:after="120"/>
              <w:jc w:val="both"/>
              <w:rPr>
                <w:rFonts w:ascii="Arial" w:hAnsi="Arial" w:cs="Arial"/>
                <w:sz w:val="20"/>
                <w:szCs w:val="20"/>
              </w:rPr>
            </w:pPr>
            <w:r w:rsidRPr="00122856">
              <w:rPr>
                <w:rFonts w:ascii="Arial" w:hAnsi="Arial" w:cs="Arial"/>
                <w:sz w:val="20"/>
                <w:szCs w:val="20"/>
              </w:rPr>
              <w:t xml:space="preserve">Constitution du Fonds de réserve </w:t>
            </w:r>
            <w:r w:rsidR="00037EA2" w:rsidRPr="00122856">
              <w:rPr>
                <w:rFonts w:ascii="Arial" w:hAnsi="Arial" w:cs="Arial"/>
                <w:sz w:val="20"/>
                <w:szCs w:val="20"/>
              </w:rPr>
              <w:t>vis</w:t>
            </w:r>
            <w:r w:rsidRPr="00122856">
              <w:rPr>
                <w:rFonts w:ascii="Arial" w:hAnsi="Arial" w:cs="Arial"/>
                <w:sz w:val="20"/>
                <w:szCs w:val="20"/>
              </w:rPr>
              <w:t>é à l’a</w:t>
            </w:r>
            <w:r w:rsidR="00771056" w:rsidRPr="00122856">
              <w:rPr>
                <w:rFonts w:ascii="Arial" w:hAnsi="Arial" w:cs="Arial"/>
                <w:sz w:val="20"/>
                <w:szCs w:val="20"/>
              </w:rPr>
              <w:t xml:space="preserve">rticle 6 </w:t>
            </w:r>
            <w:r w:rsidRPr="00122856">
              <w:rPr>
                <w:rFonts w:ascii="Arial" w:hAnsi="Arial" w:cs="Arial"/>
                <w:sz w:val="20"/>
                <w:szCs w:val="20"/>
              </w:rPr>
              <w:t>du Règlement financier du Fonds</w:t>
            </w:r>
            <w:r w:rsidR="00771056" w:rsidRPr="00122856">
              <w:rPr>
                <w:rFonts w:ascii="Arial" w:hAnsi="Arial" w:cs="Arial"/>
                <w:sz w:val="20"/>
                <w:szCs w:val="20"/>
              </w:rPr>
              <w:t>.</w:t>
            </w:r>
          </w:p>
        </w:tc>
        <w:tc>
          <w:tcPr>
            <w:tcW w:w="628" w:type="pct"/>
            <w:tcBorders>
              <w:top w:val="nil"/>
              <w:left w:val="nil"/>
              <w:bottom w:val="single" w:sz="4" w:space="0" w:color="auto"/>
              <w:right w:val="single" w:sz="4" w:space="0" w:color="auto"/>
            </w:tcBorders>
            <w:shd w:val="clear" w:color="auto" w:fill="auto"/>
            <w:noWrap/>
            <w:vAlign w:val="center"/>
          </w:tcPr>
          <w:p w14:paraId="3293DB6D" w14:textId="57651CD9" w:rsidR="00771056" w:rsidRPr="00122856" w:rsidRDefault="00771056">
            <w:pPr>
              <w:jc w:val="center"/>
              <w:rPr>
                <w:rFonts w:ascii="Arial" w:hAnsi="Arial" w:cs="Arial"/>
                <w:sz w:val="20"/>
                <w:szCs w:val="20"/>
              </w:rPr>
            </w:pPr>
            <w:r w:rsidRPr="00122856">
              <w:rPr>
                <w:rFonts w:ascii="Arial" w:hAnsi="Arial" w:cs="Arial"/>
                <w:sz w:val="20"/>
                <w:szCs w:val="20"/>
              </w:rPr>
              <w:t>24</w:t>
            </w:r>
            <w:r w:rsidR="002E1322" w:rsidRPr="00122856">
              <w:rPr>
                <w:rFonts w:ascii="Arial" w:hAnsi="Arial" w:cs="Arial"/>
                <w:sz w:val="20"/>
                <w:szCs w:val="20"/>
              </w:rPr>
              <w:t> </w:t>
            </w:r>
            <w:r w:rsidRPr="00122856">
              <w:rPr>
                <w:rFonts w:ascii="Arial" w:hAnsi="Arial" w:cs="Arial"/>
                <w:sz w:val="20"/>
                <w:szCs w:val="20"/>
              </w:rPr>
              <w:t>190</w:t>
            </w:r>
            <w:r w:rsidR="002E1322" w:rsidRPr="00122856">
              <w:rPr>
                <w:rFonts w:ascii="Arial" w:hAnsi="Arial" w:cs="Arial"/>
                <w:sz w:val="20"/>
                <w:szCs w:val="20"/>
              </w:rPr>
              <w:t> </w:t>
            </w:r>
            <w:r w:rsidR="00E578CD" w:rsidRPr="00122856">
              <w:rPr>
                <w:rFonts w:ascii="Arial" w:hAnsi="Arial" w:cs="Arial"/>
                <w:sz w:val="20"/>
                <w:szCs w:val="20"/>
              </w:rPr>
              <w:t>USD</w:t>
            </w:r>
          </w:p>
        </w:tc>
        <w:tc>
          <w:tcPr>
            <w:tcW w:w="561" w:type="pct"/>
            <w:tcBorders>
              <w:top w:val="dashed" w:sz="4" w:space="0" w:color="auto"/>
              <w:left w:val="single" w:sz="4" w:space="0" w:color="auto"/>
              <w:bottom w:val="dashed" w:sz="4" w:space="0" w:color="auto"/>
              <w:right w:val="dashed" w:sz="4" w:space="0" w:color="auto"/>
            </w:tcBorders>
            <w:vAlign w:val="center"/>
          </w:tcPr>
          <w:p w14:paraId="6D55BF8F" w14:textId="77777777" w:rsidR="00771056" w:rsidRPr="00122856" w:rsidRDefault="00771056" w:rsidP="00771056">
            <w:pPr>
              <w:spacing w:before="120" w:after="120"/>
              <w:jc w:val="center"/>
              <w:rPr>
                <w:rFonts w:ascii="Arial" w:hAnsi="Arial" w:cs="Arial"/>
                <w:sz w:val="20"/>
                <w:szCs w:val="20"/>
              </w:rPr>
            </w:pPr>
            <w:r w:rsidRPr="00122856">
              <w:rPr>
                <w:rFonts w:ascii="Arial" w:hAnsi="Arial" w:cs="Arial"/>
                <w:sz w:val="20"/>
                <w:szCs w:val="20"/>
              </w:rPr>
              <w:t>5</w:t>
            </w:r>
            <w:r w:rsidR="00EA2A97" w:rsidRPr="00122856">
              <w:rPr>
                <w:rFonts w:ascii="Arial" w:hAnsi="Arial" w:cs="Arial"/>
                <w:sz w:val="20"/>
                <w:szCs w:val="20"/>
              </w:rPr>
              <w:t> </w:t>
            </w:r>
            <w:r w:rsidRPr="00122856">
              <w:rPr>
                <w:rFonts w:ascii="Arial" w:hAnsi="Arial" w:cs="Arial"/>
                <w:sz w:val="20"/>
                <w:szCs w:val="20"/>
              </w:rPr>
              <w:t>%</w:t>
            </w:r>
          </w:p>
        </w:tc>
      </w:tr>
      <w:tr w:rsidR="00771056" w:rsidRPr="00122856" w14:paraId="3AA6E090" w14:textId="77777777" w:rsidTr="00213394">
        <w:trPr>
          <w:cantSplit/>
        </w:trPr>
        <w:tc>
          <w:tcPr>
            <w:tcW w:w="44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FF73F" w14:textId="5E87FB73" w:rsidR="00771056" w:rsidRPr="00122856" w:rsidRDefault="00AE363D">
            <w:pPr>
              <w:spacing w:before="120" w:after="120"/>
              <w:jc w:val="both"/>
              <w:rPr>
                <w:rFonts w:ascii="Arial" w:hAnsi="Arial" w:cs="Arial"/>
                <w:sz w:val="20"/>
                <w:szCs w:val="20"/>
              </w:rPr>
            </w:pPr>
            <w:r w:rsidRPr="00122856">
              <w:rPr>
                <w:rFonts w:ascii="Arial" w:hAnsi="Arial" w:cs="Arial"/>
                <w:sz w:val="20"/>
                <w:szCs w:val="20"/>
              </w:rPr>
              <w:t xml:space="preserve">Les fonds non engagés à la fin de la période couverte par ce </w:t>
            </w:r>
            <w:r w:rsidR="00E578CD" w:rsidRPr="00122856">
              <w:rPr>
                <w:rFonts w:ascii="Arial" w:hAnsi="Arial" w:cs="Arial"/>
                <w:sz w:val="20"/>
                <w:szCs w:val="20"/>
              </w:rPr>
              <w:t xml:space="preserve">Plan </w:t>
            </w:r>
            <w:r w:rsidRPr="00122856">
              <w:rPr>
                <w:rFonts w:ascii="Arial" w:hAnsi="Arial" w:cs="Arial"/>
                <w:sz w:val="20"/>
                <w:szCs w:val="20"/>
              </w:rPr>
              <w:t>sont reportés sur l’exercice financier suivant et doivent être a</w:t>
            </w:r>
            <w:r w:rsidR="00EE57F4" w:rsidRPr="00122856">
              <w:rPr>
                <w:rFonts w:ascii="Arial" w:hAnsi="Arial" w:cs="Arial"/>
                <w:sz w:val="20"/>
                <w:szCs w:val="20"/>
              </w:rPr>
              <w:t>ffect</w:t>
            </w:r>
            <w:r w:rsidRPr="00122856">
              <w:rPr>
                <w:rFonts w:ascii="Arial" w:hAnsi="Arial" w:cs="Arial"/>
                <w:sz w:val="20"/>
                <w:szCs w:val="20"/>
              </w:rPr>
              <w:t xml:space="preserve">és conformément au </w:t>
            </w:r>
            <w:r w:rsidR="00E578CD" w:rsidRPr="00122856">
              <w:rPr>
                <w:rFonts w:ascii="Arial" w:hAnsi="Arial" w:cs="Arial"/>
                <w:sz w:val="20"/>
                <w:szCs w:val="20"/>
              </w:rPr>
              <w:t xml:space="preserve">Plan </w:t>
            </w:r>
            <w:r w:rsidRPr="00122856">
              <w:rPr>
                <w:rFonts w:ascii="Arial" w:hAnsi="Arial" w:cs="Arial"/>
                <w:sz w:val="20"/>
                <w:szCs w:val="20"/>
              </w:rPr>
              <w:t>approuvé par l’Assemblée générale à ce moment-là</w:t>
            </w:r>
            <w:r w:rsidR="00771056" w:rsidRPr="00122856">
              <w:rPr>
                <w:rFonts w:ascii="Arial" w:hAnsi="Arial" w:cs="Arial"/>
                <w:sz w:val="20"/>
                <w:szCs w:val="20"/>
              </w:rPr>
              <w:t>.</w:t>
            </w:r>
          </w:p>
        </w:tc>
        <w:tc>
          <w:tcPr>
            <w:tcW w:w="561" w:type="pct"/>
            <w:tcBorders>
              <w:left w:val="single" w:sz="4" w:space="0" w:color="auto"/>
            </w:tcBorders>
            <w:vAlign w:val="center"/>
          </w:tcPr>
          <w:p w14:paraId="5D6D06B3" w14:textId="77777777" w:rsidR="00771056" w:rsidRPr="00122856" w:rsidRDefault="00771056" w:rsidP="00771056">
            <w:pPr>
              <w:spacing w:before="120" w:after="120"/>
              <w:jc w:val="center"/>
              <w:rPr>
                <w:rFonts w:ascii="Arial" w:hAnsi="Arial" w:cs="Arial"/>
                <w:sz w:val="20"/>
                <w:szCs w:val="20"/>
              </w:rPr>
            </w:pPr>
          </w:p>
        </w:tc>
      </w:tr>
    </w:tbl>
    <w:p w14:paraId="2F01BE7E" w14:textId="197EBA9F" w:rsidR="00771056" w:rsidRPr="00122856" w:rsidRDefault="00E578CD" w:rsidP="00E578CD">
      <w:pPr>
        <w:pStyle w:val="Annex"/>
        <w:rPr>
          <w:bCs w:val="0"/>
          <w:lang w:val="fr-FR"/>
        </w:rPr>
      </w:pPr>
      <w:r w:rsidRPr="00122856">
        <w:rPr>
          <w:lang w:val="fr-FR"/>
        </w:rPr>
        <w:t>ANNEXE</w:t>
      </w:r>
      <w:r w:rsidRPr="00122856">
        <w:rPr>
          <w:bCs w:val="0"/>
          <w:lang w:val="fr-FR"/>
        </w:rPr>
        <w:t> II</w:t>
      </w:r>
    </w:p>
    <w:p w14:paraId="70F5BADE" w14:textId="19C6C64B" w:rsidR="00771056" w:rsidRPr="00122856" w:rsidRDefault="00E578CD" w:rsidP="00272057">
      <w:pPr>
        <w:spacing w:before="120" w:after="120"/>
        <w:jc w:val="right"/>
        <w:rPr>
          <w:rFonts w:ascii="Arial" w:eastAsia="SimSun" w:hAnsi="Arial" w:cs="Arial"/>
          <w:b/>
          <w:bCs/>
          <w:sz w:val="22"/>
          <w:szCs w:val="22"/>
          <w:lang w:eastAsia="zh-CN"/>
        </w:rPr>
      </w:pPr>
      <w:r w:rsidRPr="00122856">
        <w:rPr>
          <w:rFonts w:ascii="Arial" w:hAnsi="Arial" w:cs="Arial"/>
          <w:sz w:val="22"/>
          <w:szCs w:val="22"/>
          <w:lang w:eastAsia="zh-CN"/>
        </w:rPr>
        <w:t>État financier I</w:t>
      </w:r>
    </w:p>
    <w:p w14:paraId="1E0EC159" w14:textId="37A5F6CF" w:rsidR="00771056" w:rsidRPr="00122856" w:rsidRDefault="00827ECB" w:rsidP="00122856">
      <w:pPr>
        <w:pStyle w:val="COMParaDecision"/>
        <w:numPr>
          <w:ilvl w:val="0"/>
          <w:numId w:val="0"/>
        </w:numPr>
        <w:jc w:val="center"/>
      </w:pPr>
      <w:r w:rsidRPr="00122856">
        <w:rPr>
          <w:noProof/>
          <w:u w:val="none"/>
        </w:rPr>
        <w:drawing>
          <wp:inline distT="0" distB="0" distL="0" distR="0" wp14:anchorId="57C853D7" wp14:editId="68A32FA1">
            <wp:extent cx="6120130" cy="68668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6866844"/>
                    </a:xfrm>
                    <a:prstGeom prst="rect">
                      <a:avLst/>
                    </a:prstGeom>
                    <a:noFill/>
                    <a:ln>
                      <a:noFill/>
                    </a:ln>
                  </pic:spPr>
                </pic:pic>
              </a:graphicData>
            </a:graphic>
          </wp:inline>
        </w:drawing>
      </w:r>
    </w:p>
    <w:p w14:paraId="6F329978" w14:textId="5248E378" w:rsidR="00272057" w:rsidRPr="00122856" w:rsidRDefault="00272057" w:rsidP="00272057">
      <w:pPr>
        <w:pStyle w:val="COMParaDecision"/>
        <w:numPr>
          <w:ilvl w:val="0"/>
          <w:numId w:val="0"/>
        </w:numPr>
        <w:jc w:val="left"/>
      </w:pPr>
      <w:r w:rsidRPr="00122856">
        <w:br w:type="page"/>
      </w:r>
    </w:p>
    <w:p w14:paraId="514B6156" w14:textId="15A60B9D" w:rsidR="00A30397" w:rsidRPr="00122856" w:rsidRDefault="00153352" w:rsidP="00122856">
      <w:pPr>
        <w:pStyle w:val="COMParaDecision"/>
        <w:numPr>
          <w:ilvl w:val="0"/>
          <w:numId w:val="0"/>
        </w:numPr>
        <w:jc w:val="center"/>
        <w:rPr>
          <w:u w:val="none"/>
        </w:rPr>
      </w:pPr>
      <w:r w:rsidRPr="00153352">
        <w:rPr>
          <w:noProof/>
          <w:u w:val="none"/>
        </w:rPr>
        <w:drawing>
          <wp:inline distT="0" distB="0" distL="0" distR="0" wp14:anchorId="3DD22D71" wp14:editId="66175589">
            <wp:extent cx="6120130" cy="7281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7281828"/>
                    </a:xfrm>
                    <a:prstGeom prst="rect">
                      <a:avLst/>
                    </a:prstGeom>
                    <a:noFill/>
                    <a:ln>
                      <a:noFill/>
                    </a:ln>
                  </pic:spPr>
                </pic:pic>
              </a:graphicData>
            </a:graphic>
          </wp:inline>
        </w:drawing>
      </w:r>
      <w:r w:rsidR="00A30397" w:rsidRPr="00122856">
        <w:rPr>
          <w:u w:val="none"/>
        </w:rPr>
        <w:br w:type="page"/>
      </w:r>
    </w:p>
    <w:p w14:paraId="225A1946" w14:textId="626CF159" w:rsidR="00272057" w:rsidRPr="00122856" w:rsidRDefault="00A30397" w:rsidP="00A30397">
      <w:pPr>
        <w:jc w:val="right"/>
        <w:rPr>
          <w:rFonts w:ascii="Arial" w:hAnsi="Arial" w:cs="Arial"/>
        </w:rPr>
      </w:pPr>
      <w:r w:rsidRPr="00122856">
        <w:rPr>
          <w:rFonts w:ascii="Arial" w:hAnsi="Arial" w:cs="Arial"/>
        </w:rPr>
        <w:t xml:space="preserve">État </w:t>
      </w:r>
      <w:r w:rsidRPr="00122856">
        <w:rPr>
          <w:rFonts w:ascii="Arial" w:hAnsi="Arial" w:cs="Arial"/>
          <w:sz w:val="22"/>
          <w:szCs w:val="22"/>
          <w:lang w:eastAsia="zh-CN"/>
        </w:rPr>
        <w:t>financier</w:t>
      </w:r>
      <w:r w:rsidRPr="00122856">
        <w:rPr>
          <w:rFonts w:ascii="Arial" w:hAnsi="Arial" w:cs="Arial"/>
        </w:rPr>
        <w:t> II</w:t>
      </w:r>
    </w:p>
    <w:p w14:paraId="20C3E34E" w14:textId="78CD5B50" w:rsidR="00A30397" w:rsidRPr="00122856" w:rsidRDefault="00122856" w:rsidP="00122856">
      <w:pPr>
        <w:jc w:val="center"/>
        <w:rPr>
          <w:rFonts w:ascii="Arial" w:hAnsi="Arial" w:cs="Arial"/>
        </w:rPr>
      </w:pPr>
      <w:r w:rsidRPr="00122856">
        <w:rPr>
          <w:noProof/>
        </w:rPr>
        <w:drawing>
          <wp:inline distT="0" distB="0" distL="0" distR="0" wp14:anchorId="3294C949" wp14:editId="532ABEF6">
            <wp:extent cx="5622925" cy="6687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22925" cy="6687185"/>
                    </a:xfrm>
                    <a:prstGeom prst="rect">
                      <a:avLst/>
                    </a:prstGeom>
                    <a:noFill/>
                    <a:ln>
                      <a:noFill/>
                    </a:ln>
                  </pic:spPr>
                </pic:pic>
              </a:graphicData>
            </a:graphic>
          </wp:inline>
        </w:drawing>
      </w:r>
      <w:r w:rsidR="00A30397" w:rsidRPr="00122856">
        <w:rPr>
          <w:rFonts w:ascii="Arial" w:hAnsi="Arial" w:cs="Arial"/>
        </w:rPr>
        <w:br w:type="page"/>
      </w:r>
    </w:p>
    <w:p w14:paraId="5F01AEB1" w14:textId="2CA919D3" w:rsidR="00A30397" w:rsidRPr="00122856" w:rsidRDefault="00A30397" w:rsidP="00A30397">
      <w:pPr>
        <w:spacing w:before="120" w:after="120"/>
        <w:jc w:val="right"/>
        <w:rPr>
          <w:rFonts w:ascii="Arial" w:hAnsi="Arial" w:cs="Arial"/>
          <w:sz w:val="22"/>
          <w:szCs w:val="22"/>
        </w:rPr>
      </w:pPr>
      <w:r w:rsidRPr="00122856">
        <w:rPr>
          <w:rFonts w:ascii="Arial" w:hAnsi="Arial" w:cs="Arial"/>
          <w:sz w:val="22"/>
          <w:szCs w:val="22"/>
        </w:rPr>
        <w:t>État financier III</w:t>
      </w:r>
    </w:p>
    <w:p w14:paraId="0166473E" w14:textId="1030CE64" w:rsidR="00122856" w:rsidRPr="00122856" w:rsidRDefault="00122856" w:rsidP="00122856">
      <w:pPr>
        <w:jc w:val="center"/>
      </w:pPr>
      <w:r w:rsidRPr="00122856">
        <w:rPr>
          <w:noProof/>
        </w:rPr>
        <w:drawing>
          <wp:inline distT="0" distB="0" distL="0" distR="0" wp14:anchorId="3539409A" wp14:editId="7650A503">
            <wp:extent cx="6120130" cy="679470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6794708"/>
                    </a:xfrm>
                    <a:prstGeom prst="rect">
                      <a:avLst/>
                    </a:prstGeom>
                    <a:noFill/>
                    <a:ln>
                      <a:noFill/>
                    </a:ln>
                  </pic:spPr>
                </pic:pic>
              </a:graphicData>
            </a:graphic>
          </wp:inline>
        </w:drawing>
      </w:r>
    </w:p>
    <w:p w14:paraId="5DFC21CA" w14:textId="6AF984BD" w:rsidR="00A30397" w:rsidRPr="00122856" w:rsidRDefault="00A30397" w:rsidP="00122856">
      <w:pPr>
        <w:rPr>
          <w:rFonts w:ascii="Arial" w:hAnsi="Arial" w:cs="Arial"/>
        </w:rPr>
      </w:pPr>
      <w:r w:rsidRPr="00122856">
        <w:rPr>
          <w:rFonts w:ascii="Arial" w:hAnsi="Arial" w:cs="Arial"/>
        </w:rPr>
        <w:br w:type="page"/>
      </w:r>
    </w:p>
    <w:p w14:paraId="41C35551" w14:textId="15318FF2" w:rsidR="00A30397" w:rsidRPr="00122856" w:rsidRDefault="00A30397" w:rsidP="00A30397">
      <w:pPr>
        <w:spacing w:before="120" w:after="120"/>
        <w:jc w:val="center"/>
        <w:rPr>
          <w:rFonts w:ascii="Arial" w:hAnsi="Arial" w:cs="Arial"/>
          <w:b/>
          <w:sz w:val="22"/>
          <w:szCs w:val="22"/>
        </w:rPr>
      </w:pPr>
      <w:r w:rsidRPr="00122856">
        <w:rPr>
          <w:rFonts w:ascii="Arial" w:hAnsi="Arial" w:cs="Arial"/>
          <w:b/>
          <w:sz w:val="22"/>
          <w:szCs w:val="22"/>
        </w:rPr>
        <w:t>ANNEXE II (a)</w:t>
      </w:r>
    </w:p>
    <w:p w14:paraId="4B2BCB1B" w14:textId="77777777" w:rsidR="00122856" w:rsidRPr="00122856" w:rsidRDefault="00122856" w:rsidP="00A30397">
      <w:pPr>
        <w:spacing w:before="120" w:after="120"/>
        <w:jc w:val="center"/>
        <w:rPr>
          <w:rFonts w:ascii="Arial" w:hAnsi="Arial" w:cs="Arial"/>
          <w:b/>
          <w:sz w:val="22"/>
          <w:szCs w:val="22"/>
        </w:rPr>
        <w:sectPr w:rsidR="00122856" w:rsidRPr="00122856" w:rsidSect="00655736">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397" w:footer="284" w:gutter="0"/>
          <w:cols w:space="708"/>
          <w:titlePg/>
          <w:docGrid w:linePitch="360"/>
        </w:sectPr>
      </w:pPr>
      <w:r w:rsidRPr="00122856">
        <w:rPr>
          <w:noProof/>
        </w:rPr>
        <w:drawing>
          <wp:inline distT="0" distB="0" distL="0" distR="0" wp14:anchorId="4167FD4B" wp14:editId="29D5FDD6">
            <wp:extent cx="5986145" cy="7006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86145" cy="7006590"/>
                    </a:xfrm>
                    <a:prstGeom prst="rect">
                      <a:avLst/>
                    </a:prstGeom>
                    <a:noFill/>
                    <a:ln>
                      <a:noFill/>
                    </a:ln>
                  </pic:spPr>
                </pic:pic>
              </a:graphicData>
            </a:graphic>
          </wp:inline>
        </w:drawing>
      </w:r>
    </w:p>
    <w:p w14:paraId="0ED74C8B" w14:textId="0369E04E" w:rsidR="00122856" w:rsidRPr="00122856" w:rsidRDefault="00122856" w:rsidP="004E50B6">
      <w:pPr>
        <w:jc w:val="center"/>
        <w:rPr>
          <w:rFonts w:ascii="Arial" w:hAnsi="Arial" w:cs="Arial"/>
          <w:b/>
          <w:sz w:val="22"/>
          <w:szCs w:val="22"/>
          <w:lang w:eastAsia="zh-CN"/>
        </w:rPr>
      </w:pPr>
      <w:r w:rsidRPr="00122856">
        <w:rPr>
          <w:rFonts w:ascii="Arial" w:hAnsi="Arial" w:cs="Arial"/>
          <w:b/>
          <w:sz w:val="22"/>
          <w:szCs w:val="22"/>
          <w:lang w:eastAsia="zh-CN"/>
        </w:rPr>
        <w:t>ANNEXE II (b)</w:t>
      </w:r>
    </w:p>
    <w:p w14:paraId="0FCEBCB2" w14:textId="27A5A82B" w:rsidR="00122856" w:rsidRPr="00122856" w:rsidRDefault="004633CE" w:rsidP="00A30397">
      <w:pPr>
        <w:spacing w:before="120" w:after="120"/>
        <w:jc w:val="center"/>
        <w:rPr>
          <w:rFonts w:ascii="Arial" w:hAnsi="Arial" w:cs="Arial"/>
          <w:b/>
          <w:sz w:val="22"/>
          <w:szCs w:val="22"/>
        </w:rPr>
      </w:pPr>
      <w:r w:rsidRPr="004633CE">
        <w:rPr>
          <w:noProof/>
        </w:rPr>
        <w:drawing>
          <wp:inline distT="0" distB="0" distL="0" distR="0" wp14:anchorId="5DD487BF" wp14:editId="50EBD7BE">
            <wp:extent cx="8874000" cy="5842800"/>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74000" cy="5842800"/>
                    </a:xfrm>
                    <a:prstGeom prst="rect">
                      <a:avLst/>
                    </a:prstGeom>
                    <a:noFill/>
                    <a:ln>
                      <a:noFill/>
                    </a:ln>
                  </pic:spPr>
                </pic:pic>
              </a:graphicData>
            </a:graphic>
          </wp:inline>
        </w:drawing>
      </w:r>
      <w:r w:rsidR="00122856" w:rsidRPr="00122856">
        <w:rPr>
          <w:rFonts w:ascii="Arial" w:hAnsi="Arial" w:cs="Arial"/>
          <w:b/>
          <w:sz w:val="22"/>
          <w:szCs w:val="22"/>
        </w:rPr>
        <w:br w:type="page"/>
      </w:r>
    </w:p>
    <w:p w14:paraId="3F685835" w14:textId="210CBBAD" w:rsidR="00122856" w:rsidRPr="00122856" w:rsidRDefault="00122856" w:rsidP="00122856">
      <w:pPr>
        <w:spacing w:before="120" w:after="120"/>
        <w:jc w:val="center"/>
        <w:rPr>
          <w:rFonts w:ascii="Arial" w:hAnsi="Arial" w:cs="Arial"/>
          <w:b/>
          <w:sz w:val="22"/>
          <w:szCs w:val="22"/>
          <w:lang w:eastAsia="zh-CN"/>
        </w:rPr>
      </w:pPr>
      <w:r w:rsidRPr="00122856">
        <w:rPr>
          <w:rFonts w:ascii="Arial" w:hAnsi="Arial" w:cs="Arial"/>
          <w:b/>
          <w:sz w:val="22"/>
          <w:szCs w:val="22"/>
          <w:lang w:eastAsia="zh-CN"/>
        </w:rPr>
        <w:t>ANNEXE II (c)</w:t>
      </w:r>
    </w:p>
    <w:p w14:paraId="17AB54D5" w14:textId="77777777" w:rsidR="00122856" w:rsidRPr="00122856" w:rsidRDefault="00122856" w:rsidP="00A30397">
      <w:pPr>
        <w:spacing w:before="120" w:after="120"/>
        <w:jc w:val="center"/>
        <w:rPr>
          <w:rFonts w:ascii="Arial" w:hAnsi="Arial" w:cs="Arial"/>
          <w:b/>
          <w:sz w:val="22"/>
          <w:szCs w:val="22"/>
        </w:rPr>
        <w:sectPr w:rsidR="00122856" w:rsidRPr="00122856" w:rsidSect="00122856">
          <w:pgSz w:w="16838" w:h="11906" w:orient="landscape" w:code="9"/>
          <w:pgMar w:top="1134" w:right="1134" w:bottom="1134" w:left="1418" w:header="397" w:footer="284" w:gutter="0"/>
          <w:cols w:space="708"/>
          <w:docGrid w:linePitch="360"/>
        </w:sectPr>
      </w:pPr>
      <w:r w:rsidRPr="00122856">
        <w:rPr>
          <w:noProof/>
        </w:rPr>
        <w:drawing>
          <wp:inline distT="0" distB="0" distL="0" distR="0" wp14:anchorId="3AC72707" wp14:editId="53A04539">
            <wp:extent cx="9071610" cy="5142151"/>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71610" cy="5142151"/>
                    </a:xfrm>
                    <a:prstGeom prst="rect">
                      <a:avLst/>
                    </a:prstGeom>
                    <a:noFill/>
                    <a:ln>
                      <a:noFill/>
                    </a:ln>
                  </pic:spPr>
                </pic:pic>
              </a:graphicData>
            </a:graphic>
          </wp:inline>
        </w:drawing>
      </w:r>
    </w:p>
    <w:p w14:paraId="352EB2AE" w14:textId="45CC4979" w:rsidR="00122856" w:rsidRPr="00122856" w:rsidRDefault="00122856" w:rsidP="00A30397">
      <w:pPr>
        <w:spacing w:before="120" w:after="120"/>
        <w:jc w:val="center"/>
        <w:rPr>
          <w:rFonts w:ascii="Arial" w:hAnsi="Arial" w:cs="Arial"/>
          <w:b/>
          <w:sz w:val="22"/>
          <w:szCs w:val="22"/>
          <w:lang w:eastAsia="zh-CN"/>
        </w:rPr>
      </w:pPr>
      <w:r w:rsidRPr="00122856">
        <w:rPr>
          <w:rFonts w:ascii="Arial" w:hAnsi="Arial" w:cs="Arial"/>
          <w:b/>
          <w:sz w:val="22"/>
          <w:szCs w:val="22"/>
          <w:lang w:eastAsia="zh-CN"/>
        </w:rPr>
        <w:t>ANNEXE III</w:t>
      </w:r>
    </w:p>
    <w:p w14:paraId="492B82BE" w14:textId="5DC03E60" w:rsidR="00122856" w:rsidRDefault="00122856" w:rsidP="00A30397">
      <w:pPr>
        <w:spacing w:before="120" w:after="120"/>
        <w:jc w:val="center"/>
        <w:rPr>
          <w:rFonts w:ascii="Arial" w:hAnsi="Arial" w:cs="Arial"/>
          <w:b/>
          <w:sz w:val="22"/>
          <w:szCs w:val="22"/>
        </w:rPr>
      </w:pPr>
      <w:r w:rsidRPr="00785AA3">
        <w:rPr>
          <w:noProof/>
        </w:rPr>
        <w:drawing>
          <wp:inline distT="0" distB="0" distL="0" distR="0" wp14:anchorId="23CFE02F" wp14:editId="7316AC89">
            <wp:extent cx="6120130" cy="82416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8241665"/>
                    </a:xfrm>
                    <a:prstGeom prst="rect">
                      <a:avLst/>
                    </a:prstGeom>
                    <a:noFill/>
                    <a:ln>
                      <a:noFill/>
                    </a:ln>
                  </pic:spPr>
                </pic:pic>
              </a:graphicData>
            </a:graphic>
          </wp:inline>
        </w:drawing>
      </w:r>
      <w:r>
        <w:rPr>
          <w:rFonts w:ascii="Arial" w:hAnsi="Arial" w:cs="Arial"/>
          <w:b/>
          <w:sz w:val="22"/>
          <w:szCs w:val="22"/>
        </w:rPr>
        <w:br w:type="page"/>
      </w:r>
    </w:p>
    <w:p w14:paraId="3325D49F" w14:textId="1506CB9B" w:rsidR="00122856" w:rsidRPr="00122856" w:rsidRDefault="00122856" w:rsidP="00A30397">
      <w:pPr>
        <w:spacing w:before="120" w:after="120"/>
        <w:jc w:val="center"/>
        <w:rPr>
          <w:rFonts w:ascii="Arial" w:hAnsi="Arial" w:cs="Arial"/>
          <w:b/>
          <w:sz w:val="22"/>
          <w:szCs w:val="22"/>
        </w:rPr>
      </w:pPr>
      <w:r w:rsidRPr="00785AA3">
        <w:rPr>
          <w:noProof/>
        </w:rPr>
        <w:drawing>
          <wp:inline distT="0" distB="0" distL="0" distR="0" wp14:anchorId="40BDA465" wp14:editId="3AF50478">
            <wp:extent cx="6120130" cy="78314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7831455"/>
                    </a:xfrm>
                    <a:prstGeom prst="rect">
                      <a:avLst/>
                    </a:prstGeom>
                    <a:noFill/>
                    <a:ln>
                      <a:noFill/>
                    </a:ln>
                  </pic:spPr>
                </pic:pic>
              </a:graphicData>
            </a:graphic>
          </wp:inline>
        </w:drawing>
      </w:r>
    </w:p>
    <w:sectPr w:rsidR="00122856" w:rsidRPr="00122856" w:rsidSect="00122856">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BE3BC" w14:textId="77777777" w:rsidR="006F2FBE" w:rsidRDefault="006F2FBE" w:rsidP="00655736">
      <w:r>
        <w:separator/>
      </w:r>
    </w:p>
    <w:p w14:paraId="610C74E4" w14:textId="77777777" w:rsidR="006F2FBE" w:rsidRDefault="006F2FBE"/>
    <w:p w14:paraId="35ED479D" w14:textId="77777777" w:rsidR="006F2FBE" w:rsidRDefault="006F2FBE" w:rsidP="002E58D4"/>
    <w:p w14:paraId="6AE12461" w14:textId="77777777" w:rsidR="006F2FBE" w:rsidRDefault="006F2FBE" w:rsidP="002E58D4"/>
    <w:p w14:paraId="5A3D8EFA" w14:textId="77777777" w:rsidR="006F2FBE" w:rsidRDefault="006F2FBE" w:rsidP="002E58D4"/>
  </w:endnote>
  <w:endnote w:type="continuationSeparator" w:id="0">
    <w:p w14:paraId="36B08271" w14:textId="77777777" w:rsidR="006F2FBE" w:rsidRDefault="006F2FBE" w:rsidP="00655736">
      <w:r>
        <w:continuationSeparator/>
      </w:r>
    </w:p>
    <w:p w14:paraId="2C88F375" w14:textId="77777777" w:rsidR="006F2FBE" w:rsidRDefault="006F2FBE"/>
    <w:p w14:paraId="1CF09125" w14:textId="77777777" w:rsidR="006F2FBE" w:rsidRDefault="006F2FBE" w:rsidP="002E58D4"/>
    <w:p w14:paraId="53FCF069" w14:textId="77777777" w:rsidR="006F2FBE" w:rsidRDefault="006F2FBE" w:rsidP="002E58D4"/>
    <w:p w14:paraId="299FE049" w14:textId="77777777" w:rsidR="006F2FBE" w:rsidRDefault="006F2FB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8D15" w14:textId="77777777" w:rsidR="007239DC" w:rsidRDefault="0072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9626" w14:textId="77777777" w:rsidR="007239DC" w:rsidRDefault="00723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A94C" w14:textId="77777777" w:rsidR="007239DC" w:rsidRDefault="0072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A66DB" w14:textId="18CB5BF1" w:rsidR="006F2FBE" w:rsidRDefault="006F2FBE" w:rsidP="005F6B62">
      <w:r>
        <w:separator/>
      </w:r>
    </w:p>
  </w:footnote>
  <w:footnote w:type="continuationSeparator" w:id="0">
    <w:p w14:paraId="6472BBC4" w14:textId="21C64704" w:rsidR="006F2FBE" w:rsidRDefault="006F2FBE" w:rsidP="00514649">
      <w:r>
        <w:continuationSeparator/>
      </w:r>
    </w:p>
  </w:footnote>
  <w:footnote w:type="continuationNotice" w:id="1">
    <w:p w14:paraId="20B5974B" w14:textId="77777777" w:rsidR="006F2FBE" w:rsidRPr="0096485B" w:rsidRDefault="006F2FBE" w:rsidP="0096485B">
      <w:pPr>
        <w:pStyle w:val="Footer"/>
        <w:spacing w:line="20" w:lineRule="exact"/>
      </w:pPr>
    </w:p>
  </w:footnote>
  <w:footnote w:id="2">
    <w:p w14:paraId="656F6E69" w14:textId="7A2BC535" w:rsidR="006F2FBE" w:rsidRPr="006F2FBE" w:rsidRDefault="006F2FBE" w:rsidP="006F2FBE">
      <w:pPr>
        <w:pStyle w:val="FootnoteText"/>
        <w:spacing w:before="60" w:after="60"/>
        <w:ind w:left="284" w:hanging="284"/>
        <w:jc w:val="both"/>
        <w:rPr>
          <w:rFonts w:ascii="Arial" w:hAnsi="Arial" w:cs="Arial"/>
        </w:rPr>
      </w:pPr>
      <w:r w:rsidRPr="006F2FBE">
        <w:rPr>
          <w:rFonts w:ascii="Arial" w:hAnsi="Arial" w:cs="Arial"/>
        </w:rPr>
        <w:footnoteRef/>
      </w:r>
      <w:r w:rsidRPr="00A9039A">
        <w:rPr>
          <w:rFonts w:ascii="Arial" w:hAnsi="Arial" w:cs="Arial"/>
        </w:rPr>
        <w:t>.</w:t>
      </w:r>
      <w:r>
        <w:rPr>
          <w:rFonts w:ascii="Arial" w:hAnsi="Arial" w:cs="Arial"/>
        </w:rPr>
        <w:tab/>
      </w:r>
      <w:r w:rsidRPr="006F2FBE">
        <w:rPr>
          <w:rFonts w:ascii="Arial" w:hAnsi="Arial" w:cs="Arial"/>
        </w:rPr>
        <w:t xml:space="preserve">Chiffres arrondis au dollar supérieur </w:t>
      </w:r>
      <w:r w:rsidRPr="00A9039A">
        <w:rPr>
          <w:rFonts w:ascii="Arial" w:hAnsi="Arial" w:cs="Arial"/>
        </w:rPr>
        <w:t>p</w:t>
      </w:r>
      <w:r w:rsidRPr="005F6B62">
        <w:rPr>
          <w:rFonts w:ascii="Arial" w:hAnsi="Arial" w:cs="Arial"/>
        </w:rPr>
        <w:t>ar rapport</w:t>
      </w:r>
      <w:r w:rsidRPr="006F2FBE">
        <w:rPr>
          <w:rFonts w:ascii="Arial" w:hAnsi="Arial" w:cs="Arial"/>
        </w:rPr>
        <w:t xml:space="preserve"> à celui de l</w:t>
      </w:r>
      <w:r w:rsidRPr="00A9039A">
        <w:rPr>
          <w:rFonts w:ascii="Arial" w:hAnsi="Arial" w:cs="Arial"/>
        </w:rPr>
        <w:t>’É</w:t>
      </w:r>
      <w:r w:rsidRPr="006F2FBE">
        <w:rPr>
          <w:rFonts w:ascii="Arial" w:hAnsi="Arial" w:cs="Arial"/>
        </w:rPr>
        <w:t>tat financier I, page</w:t>
      </w:r>
      <w:r>
        <w:rPr>
          <w:rFonts w:ascii="Arial" w:hAnsi="Arial" w:cs="Arial"/>
        </w:rPr>
        <w:t> 1</w:t>
      </w:r>
      <w:r w:rsidR="004E50B6">
        <w:rPr>
          <w:rFonts w:ascii="Arial" w:hAnsi="Arial" w:cs="Arial"/>
        </w:rPr>
        <w:t>2</w:t>
      </w:r>
      <w:r w:rsidRPr="006F2FBE">
        <w:rPr>
          <w:rFonts w:ascii="Arial" w:hAnsi="Arial" w:cs="Arial"/>
        </w:rPr>
        <w:t>.</w:t>
      </w:r>
    </w:p>
  </w:footnote>
  <w:footnote w:id="3">
    <w:p w14:paraId="24A80965" w14:textId="5AB8C91A" w:rsidR="006F2FBE" w:rsidRPr="006F2FBE" w:rsidRDefault="006F2FBE" w:rsidP="006F2FBE">
      <w:pPr>
        <w:pStyle w:val="FootnoteText"/>
        <w:spacing w:before="60" w:after="60"/>
        <w:ind w:left="284" w:hanging="284"/>
        <w:jc w:val="both"/>
        <w:rPr>
          <w:rFonts w:ascii="Arial" w:hAnsi="Arial" w:cs="Arial"/>
        </w:rPr>
      </w:pPr>
      <w:r w:rsidRPr="006F2FBE">
        <w:rPr>
          <w:rFonts w:ascii="Arial" w:hAnsi="Arial" w:cs="Arial"/>
        </w:rPr>
        <w:footnoteRef/>
      </w:r>
      <w:r w:rsidRPr="006F2FBE">
        <w:rPr>
          <w:rFonts w:ascii="Arial" w:hAnsi="Arial" w:cs="Arial"/>
        </w:rPr>
        <w:t>.</w:t>
      </w:r>
      <w:r w:rsidRPr="006F2FBE">
        <w:rPr>
          <w:rFonts w:ascii="Arial" w:hAnsi="Arial" w:cs="Arial"/>
        </w:rPr>
        <w:tab/>
        <w:t>Dans l’</w:t>
      </w:r>
      <w:r w:rsidRPr="00A9039A">
        <w:rPr>
          <w:rFonts w:ascii="Arial" w:hAnsi="Arial" w:cs="Arial"/>
        </w:rPr>
        <w:t>É</w:t>
      </w:r>
      <w:r w:rsidRPr="006F2FBE">
        <w:rPr>
          <w:rFonts w:ascii="Arial" w:hAnsi="Arial" w:cs="Arial"/>
        </w:rPr>
        <w:t>tat financier</w:t>
      </w:r>
      <w:r w:rsidRPr="00A9039A">
        <w:rPr>
          <w:rFonts w:ascii="Arial" w:hAnsi="Arial" w:cs="Arial"/>
        </w:rPr>
        <w:t> </w:t>
      </w:r>
      <w:r w:rsidRPr="006F2FBE">
        <w:rPr>
          <w:rFonts w:ascii="Arial" w:hAnsi="Arial" w:cs="Arial"/>
        </w:rPr>
        <w:t>I, les contributions obligatoires pour la période 2014-2015 figurent en tant que revenus, qu’elles aient ou non été reçues. L’</w:t>
      </w:r>
      <w:r w:rsidRPr="00A9039A">
        <w:rPr>
          <w:rFonts w:ascii="Arial" w:hAnsi="Arial" w:cs="Arial"/>
        </w:rPr>
        <w:t>É</w:t>
      </w:r>
      <w:r w:rsidRPr="006F2FBE">
        <w:rPr>
          <w:rFonts w:ascii="Arial" w:hAnsi="Arial" w:cs="Arial"/>
        </w:rPr>
        <w:t>tat financier II montre que le montant encore impayé et dû par les États parties au 31</w:t>
      </w:r>
      <w:r>
        <w:rPr>
          <w:rFonts w:ascii="Arial" w:hAnsi="Arial" w:cs="Arial"/>
        </w:rPr>
        <w:t> </w:t>
      </w:r>
      <w:r w:rsidRPr="006F2FBE">
        <w:rPr>
          <w:rFonts w:ascii="Arial" w:hAnsi="Arial" w:cs="Arial"/>
        </w:rPr>
        <w:t>août 2015 s’élève à 387 056 dollars des États-Unis</w:t>
      </w:r>
      <w:r w:rsidRPr="00A9039A">
        <w:rPr>
          <w:rFonts w:ascii="Arial" w:hAnsi="Arial" w:cs="Arial"/>
        </w:rPr>
        <w:t>.</w:t>
      </w:r>
      <w:r w:rsidRPr="006F2FBE">
        <w:rPr>
          <w:rFonts w:ascii="Arial" w:hAnsi="Arial" w:cs="Arial"/>
        </w:rPr>
        <w:t xml:space="preserve"> </w:t>
      </w:r>
      <w:r w:rsidRPr="00A9039A">
        <w:rPr>
          <w:rFonts w:ascii="Arial" w:hAnsi="Arial" w:cs="Arial"/>
        </w:rPr>
        <w:t>L</w:t>
      </w:r>
      <w:r w:rsidRPr="006F2FBE">
        <w:rPr>
          <w:rFonts w:ascii="Arial" w:hAnsi="Arial" w:cs="Arial"/>
        </w:rPr>
        <w:t>es contributions réglementaires volontaires ne figurent en tant que revenus qu’au moment où elles sont encaissées.</w:t>
      </w:r>
    </w:p>
  </w:footnote>
  <w:footnote w:id="4">
    <w:p w14:paraId="5D7D2103" w14:textId="36FA5A70" w:rsidR="006F2FBE" w:rsidRPr="006F2FBE" w:rsidRDefault="006F2FBE" w:rsidP="006F2FBE">
      <w:pPr>
        <w:pStyle w:val="FootnoteText"/>
        <w:spacing w:before="60" w:after="60"/>
        <w:ind w:left="284" w:hanging="284"/>
        <w:jc w:val="both"/>
        <w:rPr>
          <w:rFonts w:ascii="Arial" w:hAnsi="Arial" w:cs="Arial"/>
          <w:bCs/>
        </w:rPr>
      </w:pPr>
      <w:r w:rsidRPr="006F2FBE">
        <w:rPr>
          <w:rFonts w:ascii="Arial" w:hAnsi="Arial" w:cs="Arial"/>
        </w:rPr>
        <w:footnoteRef/>
      </w:r>
      <w:r w:rsidRPr="006F2FBE">
        <w:rPr>
          <w:rFonts w:ascii="Arial" w:hAnsi="Arial" w:cs="Arial"/>
        </w:rPr>
        <w:t>.</w:t>
      </w:r>
      <w:r w:rsidRPr="006F2FBE">
        <w:rPr>
          <w:rFonts w:ascii="Arial" w:hAnsi="Arial" w:cs="Arial"/>
        </w:rPr>
        <w:tab/>
        <w:t>Depuis sa création en 2010, le sous-fonds – destiné exclusivement à renforcer les capacités humaines du Secrétariat – a</w:t>
      </w:r>
      <w:r>
        <w:rPr>
          <w:rFonts w:ascii="Arial" w:hAnsi="Arial" w:cs="Arial"/>
        </w:rPr>
        <w:t>vait</w:t>
      </w:r>
      <w:r w:rsidRPr="006F2FBE">
        <w:rPr>
          <w:rFonts w:ascii="Arial" w:hAnsi="Arial" w:cs="Arial"/>
        </w:rPr>
        <w:t xml:space="preserve"> reçu</w:t>
      </w:r>
      <w:r>
        <w:rPr>
          <w:rFonts w:ascii="Arial" w:hAnsi="Arial" w:cs="Arial"/>
        </w:rPr>
        <w:t>,</w:t>
      </w:r>
      <w:r w:rsidRPr="006F2FBE">
        <w:rPr>
          <w:rFonts w:ascii="Arial" w:hAnsi="Arial" w:cs="Arial"/>
        </w:rPr>
        <w:t xml:space="preserve"> </w:t>
      </w:r>
      <w:r>
        <w:rPr>
          <w:rFonts w:ascii="Arial" w:hAnsi="Arial" w:cs="Arial"/>
        </w:rPr>
        <w:t xml:space="preserve">au 30 septembre 2015, </w:t>
      </w:r>
      <w:r w:rsidRPr="006F2FBE">
        <w:rPr>
          <w:rFonts w:ascii="Arial" w:hAnsi="Arial" w:cs="Arial"/>
        </w:rPr>
        <w:t>des contributions pour un montant total de</w:t>
      </w:r>
      <w:r>
        <w:rPr>
          <w:rFonts w:ascii="Arial" w:hAnsi="Arial" w:cs="Arial"/>
        </w:rPr>
        <w:t xml:space="preserve"> </w:t>
      </w:r>
      <w:r w:rsidRPr="006F2FBE">
        <w:rPr>
          <w:rFonts w:ascii="Arial" w:hAnsi="Arial" w:cs="Arial"/>
        </w:rPr>
        <w:t>1 363 270 dollars des États-Unis, soit un quart des besoins identifiés pour la période.</w:t>
      </w:r>
    </w:p>
  </w:footnote>
  <w:footnote w:id="5">
    <w:p w14:paraId="6893E584" w14:textId="1EA97464" w:rsidR="006F2FBE" w:rsidRPr="006F2FBE" w:rsidRDefault="006F2FBE" w:rsidP="006F2FBE">
      <w:pPr>
        <w:pStyle w:val="FootnoteText"/>
        <w:spacing w:before="60" w:after="60"/>
        <w:ind w:left="284" w:hanging="284"/>
        <w:jc w:val="both"/>
        <w:rPr>
          <w:rFonts w:ascii="Arial" w:hAnsi="Arial" w:cs="Arial"/>
        </w:rPr>
      </w:pPr>
      <w:r w:rsidRPr="0096485B">
        <w:rPr>
          <w:rFonts w:ascii="Arial" w:hAnsi="Arial" w:cs="Arial"/>
        </w:rPr>
        <w:footnoteRef/>
      </w:r>
      <w:r w:rsidRPr="0096485B">
        <w:rPr>
          <w:rFonts w:ascii="Arial" w:hAnsi="Arial" w:cs="Arial"/>
        </w:rPr>
        <w:t>.</w:t>
      </w:r>
      <w:r w:rsidRPr="004E50B6">
        <w:rPr>
          <w:rFonts w:ascii="Arial" w:hAnsi="Arial" w:cs="Arial"/>
        </w:rPr>
        <w:tab/>
        <w:t>Chiffres arrondis au dollar supérieur par rapport à celui de l’État financier I, page 13.</w:t>
      </w:r>
    </w:p>
  </w:footnote>
  <w:footnote w:id="6">
    <w:p w14:paraId="24684835" w14:textId="7E07E0E7" w:rsidR="006F2FBE" w:rsidRPr="006F2FBE" w:rsidRDefault="006F2FBE" w:rsidP="00C340BC">
      <w:pPr>
        <w:pStyle w:val="Paragraph"/>
        <w:numPr>
          <w:ilvl w:val="0"/>
          <w:numId w:val="0"/>
        </w:numPr>
        <w:tabs>
          <w:tab w:val="left" w:pos="284"/>
        </w:tabs>
        <w:spacing w:after="0"/>
        <w:ind w:left="284" w:hanging="284"/>
        <w:rPr>
          <w:sz w:val="20"/>
          <w:szCs w:val="20"/>
          <w:lang w:val="fr-FR"/>
        </w:rPr>
      </w:pPr>
      <w:r w:rsidRPr="00F96BC2">
        <w:rPr>
          <w:rStyle w:val="FootnoteReference"/>
          <w:sz w:val="20"/>
          <w:szCs w:val="20"/>
          <w:vertAlign w:val="baseline"/>
        </w:rPr>
        <w:footnoteRef/>
      </w:r>
      <w:r w:rsidRPr="00634860">
        <w:rPr>
          <w:sz w:val="20"/>
          <w:szCs w:val="20"/>
          <w:lang w:val="fr-FR"/>
        </w:rPr>
        <w:t>.</w:t>
      </w:r>
      <w:r w:rsidRPr="00A9039A">
        <w:rPr>
          <w:sz w:val="20"/>
          <w:szCs w:val="20"/>
          <w:lang w:val="fr-FR"/>
        </w:rPr>
        <w:tab/>
        <w:t>Ce</w:t>
      </w:r>
      <w:r w:rsidRPr="005F6B62">
        <w:rPr>
          <w:sz w:val="20"/>
          <w:szCs w:val="20"/>
          <w:lang w:val="fr-FR"/>
        </w:rPr>
        <w:t xml:space="preserve"> calcul prend en compte les dépenses réelles à ce jour, l’assistance internationale accordée par le Bureau du Comité mais pas encore </w:t>
      </w:r>
      <w:r>
        <w:rPr>
          <w:sz w:val="20"/>
          <w:szCs w:val="20"/>
          <w:lang w:val="fr-FR"/>
        </w:rPr>
        <w:t>concrétisée</w:t>
      </w:r>
      <w:r w:rsidRPr="005F6B62">
        <w:rPr>
          <w:sz w:val="20"/>
          <w:szCs w:val="20"/>
          <w:lang w:val="fr-FR"/>
        </w:rPr>
        <w:t xml:space="preserve"> par des contrats à la date de rédaction du présent rapport, le solde des crédits alloués à la ligne « Autres fonctions du Comité » qui sera vraisemblablement dépensé avant la fin de l’année, et les frais de participation d’experts d’pays parties et d’organisations non gouvernementales à la dixième session du Comité.</w:t>
      </w:r>
    </w:p>
  </w:footnote>
  <w:footnote w:id="7">
    <w:p w14:paraId="4FA6E41B" w14:textId="77777777" w:rsidR="006F2FBE" w:rsidRPr="006F2FBE" w:rsidRDefault="006F2FBE" w:rsidP="00EE57F4">
      <w:pPr>
        <w:tabs>
          <w:tab w:val="left" w:pos="284"/>
        </w:tabs>
        <w:ind w:left="284" w:hanging="284"/>
        <w:jc w:val="both"/>
        <w:rPr>
          <w:rFonts w:ascii="Arial" w:hAnsi="Arial" w:cs="Arial"/>
          <w:sz w:val="20"/>
          <w:szCs w:val="20"/>
        </w:rPr>
      </w:pPr>
      <w:r w:rsidRPr="006F2FBE">
        <w:rPr>
          <w:rStyle w:val="FootnoteReference"/>
          <w:rFonts w:ascii="Arial" w:hAnsi="Arial" w:cs="Arial"/>
          <w:sz w:val="20"/>
          <w:szCs w:val="20"/>
          <w:vertAlign w:val="baseline"/>
        </w:rPr>
        <w:footnoteRef/>
      </w:r>
      <w:r w:rsidRPr="006F2FBE">
        <w:rPr>
          <w:rFonts w:ascii="Arial" w:hAnsi="Arial" w:cs="Arial"/>
          <w:sz w:val="20"/>
          <w:szCs w:val="20"/>
        </w:rPr>
        <w:t>.</w:t>
      </w:r>
      <w:r w:rsidRPr="006F2FBE">
        <w:rPr>
          <w:rFonts w:ascii="Arial" w:hAnsi="Arial" w:cs="Arial"/>
          <w:sz w:val="20"/>
          <w:szCs w:val="20"/>
        </w:rPr>
        <w:tab/>
        <w:t xml:space="preserve">Dans la configuration actuelle du Comité, 70 % de ses membres peuvent bénéficier d’une aide publique au développement (APD) ; avec un expert par pays, pas plus de 65 % des fonds disponibles pour leur participation aux réunions du Comité seront utilisés à cet effet au cours de l’actuel exercice biennal. En fait, la moitié des pays concernés appartiennent à la catégorie des pays à revenu moyen-supérieur et parmi eux, rarement plus de la moitié demandent une aide pour couvrir leurs frais de participation.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13B5B" w14:textId="77777777" w:rsidR="006F2FBE" w:rsidRPr="002E58D4" w:rsidRDefault="006F2FBE" w:rsidP="002E58D4">
    <w:pPr>
      <w:pStyle w:val="Header"/>
      <w:rPr>
        <w:rFonts w:ascii="Arial" w:hAnsi="Arial" w:cs="Arial"/>
        <w:lang w:val="en-US"/>
      </w:rPr>
    </w:pPr>
    <w:r>
      <w:rPr>
        <w:rFonts w:ascii="Arial" w:hAnsi="Arial" w:cs="Arial"/>
        <w:sz w:val="20"/>
        <w:szCs w:val="20"/>
        <w:lang w:val="en-US"/>
      </w:rPr>
      <w:t>ITH/15/10.COM/8</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728AD">
      <w:rPr>
        <w:rStyle w:val="PageNumber"/>
        <w:rFonts w:ascii="Arial" w:hAnsi="Arial" w:cs="Arial"/>
        <w:noProof/>
        <w:sz w:val="20"/>
        <w:szCs w:val="20"/>
        <w:lang w:val="en-US"/>
      </w:rPr>
      <w:t>8</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49FF3" w14:textId="77777777" w:rsidR="006F2FBE" w:rsidRPr="00BC3420" w:rsidRDefault="006F2FBE" w:rsidP="00BC3420">
    <w:pPr>
      <w:pStyle w:val="Header"/>
      <w:jc w:val="right"/>
      <w:rPr>
        <w:rFonts w:ascii="Arial" w:hAnsi="Arial" w:cs="Arial"/>
        <w:lang w:val="en-US"/>
      </w:rPr>
    </w:pPr>
    <w:r>
      <w:rPr>
        <w:rFonts w:ascii="Arial" w:hAnsi="Arial" w:cs="Arial"/>
        <w:sz w:val="20"/>
        <w:szCs w:val="20"/>
        <w:lang w:val="en-US"/>
      </w:rPr>
      <w:t>ITH/15/10.COM/8</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728AD">
      <w:rPr>
        <w:rStyle w:val="PageNumber"/>
        <w:rFonts w:ascii="Arial" w:hAnsi="Arial" w:cs="Arial"/>
        <w:noProof/>
        <w:sz w:val="20"/>
        <w:szCs w:val="20"/>
        <w:lang w:val="en-US"/>
      </w:rPr>
      <w:t>9</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53CF" w14:textId="77777777" w:rsidR="006F2FBE" w:rsidRPr="00122856" w:rsidRDefault="006F2FBE">
    <w:pPr>
      <w:pStyle w:val="Header"/>
    </w:pPr>
    <w:r w:rsidRPr="00122856">
      <w:rPr>
        <w:noProof/>
      </w:rPr>
      <w:drawing>
        <wp:anchor distT="0" distB="0" distL="114300" distR="114300" simplePos="0" relativeHeight="251657728" behindDoc="0" locked="0" layoutInCell="1" allowOverlap="1" wp14:anchorId="2CC34B01" wp14:editId="5B213982">
          <wp:simplePos x="0" y="0"/>
          <wp:positionH relativeFrom="column">
            <wp:posOffset>-377190</wp:posOffset>
          </wp:positionH>
          <wp:positionV relativeFrom="paragraph">
            <wp:posOffset>5080</wp:posOffset>
          </wp:positionV>
          <wp:extent cx="2038350" cy="1529080"/>
          <wp:effectExtent l="0" t="0" r="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F1ADF" w14:textId="77777777" w:rsidR="006F2FBE" w:rsidRPr="00122856" w:rsidRDefault="006F2FBE" w:rsidP="00655736">
    <w:pPr>
      <w:pStyle w:val="Header"/>
      <w:spacing w:after="520"/>
      <w:jc w:val="right"/>
      <w:rPr>
        <w:rFonts w:ascii="Arial" w:hAnsi="Arial" w:cs="Arial"/>
        <w:b/>
        <w:sz w:val="44"/>
        <w:szCs w:val="44"/>
      </w:rPr>
    </w:pPr>
    <w:r w:rsidRPr="00122856">
      <w:rPr>
        <w:rFonts w:ascii="Arial" w:hAnsi="Arial" w:cs="Arial"/>
        <w:b/>
        <w:sz w:val="44"/>
        <w:szCs w:val="44"/>
      </w:rPr>
      <w:t>10 COM</w:t>
    </w:r>
  </w:p>
  <w:p w14:paraId="31269B6E" w14:textId="77777777" w:rsidR="006F2FBE" w:rsidRPr="00122856" w:rsidRDefault="006F2FBE" w:rsidP="00655736">
    <w:pPr>
      <w:jc w:val="right"/>
      <w:rPr>
        <w:rFonts w:ascii="Arial" w:hAnsi="Arial" w:cs="Arial"/>
        <w:b/>
        <w:sz w:val="22"/>
        <w:szCs w:val="22"/>
      </w:rPr>
    </w:pPr>
    <w:r w:rsidRPr="00122856">
      <w:rPr>
        <w:rFonts w:ascii="Arial" w:hAnsi="Arial" w:cs="Arial"/>
        <w:b/>
        <w:sz w:val="22"/>
        <w:szCs w:val="22"/>
      </w:rPr>
      <w:t>ITH/15/10.COM/8</w:t>
    </w:r>
  </w:p>
  <w:p w14:paraId="31258A34" w14:textId="4BD84F6E" w:rsidR="006F2FBE" w:rsidRPr="00122856" w:rsidRDefault="006F2FBE" w:rsidP="00655736">
    <w:pPr>
      <w:jc w:val="right"/>
      <w:rPr>
        <w:rFonts w:ascii="Arial" w:hAnsi="Arial" w:cs="Arial"/>
        <w:b/>
        <w:sz w:val="22"/>
        <w:szCs w:val="22"/>
      </w:rPr>
    </w:pPr>
    <w:r w:rsidRPr="00122856">
      <w:rPr>
        <w:rFonts w:ascii="Arial" w:hAnsi="Arial" w:cs="Arial"/>
        <w:b/>
        <w:sz w:val="22"/>
        <w:szCs w:val="22"/>
      </w:rPr>
      <w:t>Paris, le 2 </w:t>
    </w:r>
    <w:r>
      <w:rPr>
        <w:rFonts w:ascii="Arial" w:hAnsi="Arial" w:cs="Arial"/>
        <w:b/>
        <w:sz w:val="22"/>
        <w:szCs w:val="22"/>
      </w:rPr>
      <w:t>n</w:t>
    </w:r>
    <w:r w:rsidRPr="00122856">
      <w:rPr>
        <w:rFonts w:ascii="Arial" w:hAnsi="Arial" w:cs="Arial"/>
        <w:b/>
        <w:sz w:val="22"/>
        <w:szCs w:val="22"/>
      </w:rPr>
      <w:t>ovembre 2015</w:t>
    </w:r>
  </w:p>
  <w:p w14:paraId="0833AC0F" w14:textId="77777777" w:rsidR="006F2FBE" w:rsidRPr="00122856" w:rsidRDefault="006F2FBE" w:rsidP="003E2A08">
    <w:pPr>
      <w:jc w:val="right"/>
      <w:rPr>
        <w:rFonts w:ascii="Arial" w:hAnsi="Arial" w:cs="Arial"/>
        <w:b/>
        <w:sz w:val="22"/>
        <w:szCs w:val="22"/>
      </w:rPr>
    </w:pPr>
    <w:r w:rsidRPr="00122856">
      <w:rPr>
        <w:rFonts w:ascii="Arial" w:hAnsi="Arial" w:cs="Arial"/>
        <w:b/>
        <w:sz w:val="22"/>
        <w:szCs w:val="22"/>
      </w:rPr>
      <w:t>Original : anglais</w:t>
    </w:r>
  </w:p>
  <w:p w14:paraId="415C73A5" w14:textId="77777777" w:rsidR="006F2FBE" w:rsidRPr="00122856" w:rsidRDefault="006F2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E3E"/>
    <w:multiLevelType w:val="hybridMultilevel"/>
    <w:tmpl w:val="0EECD02E"/>
    <w:lvl w:ilvl="0" w:tplc="08A29940">
      <w:start w:val="1"/>
      <w:numFmt w:val="lowerLetter"/>
      <w:lvlText w:val="%1)"/>
      <w:lvlJc w:val="left"/>
      <w:pPr>
        <w:ind w:left="360" w:hanging="360"/>
      </w:pPr>
      <w:rPr>
        <w:rFonts w:ascii="Arial" w:eastAsia="MS Mincho" w:hAnsi="Arial" w:cs="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344E47B5"/>
    <w:multiLevelType w:val="hybridMultilevel"/>
    <w:tmpl w:val="68FE4832"/>
    <w:lvl w:ilvl="0" w:tplc="1BC24516">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F4B6A0EA"/>
    <w:lvl w:ilvl="0" w:tplc="DAF68D48">
      <w:start w:val="1"/>
      <w:numFmt w:val="decimal"/>
      <w:pStyle w:val="COMParabodytext"/>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BD40C5"/>
    <w:multiLevelType w:val="hybridMultilevel"/>
    <w:tmpl w:val="B9E64288"/>
    <w:lvl w:ilvl="0" w:tplc="08A29940">
      <w:start w:val="1"/>
      <w:numFmt w:val="lowerLetter"/>
      <w:lvlText w:val="%1)"/>
      <w:lvlJc w:val="left"/>
      <w:pPr>
        <w:ind w:left="720" w:hanging="360"/>
      </w:pPr>
      <w:rPr>
        <w:rFonts w:ascii="Arial" w:eastAsia="MS Mincho"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57016B3"/>
    <w:multiLevelType w:val="hybridMultilevel"/>
    <w:tmpl w:val="65B067A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CAC2581"/>
    <w:multiLevelType w:val="hybridMultilevel"/>
    <w:tmpl w:val="DBDE616E"/>
    <w:lvl w:ilvl="0" w:tplc="16DA2818">
      <w:start w:val="3"/>
      <w:numFmt w:val="lowerLetter"/>
      <w:lvlText w:val="%1)"/>
      <w:lvlJc w:val="left"/>
      <w:pPr>
        <w:ind w:left="360" w:hanging="360"/>
      </w:pPr>
      <w:rPr>
        <w:rFonts w:ascii="Arial" w:eastAsia="MS Mincho" w:hAnsi="Arial" w:cs="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17"/>
  </w:num>
  <w:num w:numId="5">
    <w:abstractNumId w:val="16"/>
  </w:num>
  <w:num w:numId="6">
    <w:abstractNumId w:val="1"/>
  </w:num>
  <w:num w:numId="7">
    <w:abstractNumId w:val="4"/>
  </w:num>
  <w:num w:numId="8">
    <w:abstractNumId w:val="12"/>
  </w:num>
  <w:num w:numId="9">
    <w:abstractNumId w:val="7"/>
  </w:num>
  <w:num w:numId="10">
    <w:abstractNumId w:val="9"/>
  </w:num>
  <w:num w:numId="11">
    <w:abstractNumId w:val="6"/>
  </w:num>
  <w:num w:numId="12">
    <w:abstractNumId w:val="5"/>
  </w:num>
  <w:num w:numId="13">
    <w:abstractNumId w:val="11"/>
  </w:num>
  <w:num w:numId="14">
    <w:abstractNumId w:val="10"/>
  </w:num>
  <w:num w:numId="15">
    <w:abstractNumId w:val="0"/>
  </w:num>
  <w:num w:numId="16">
    <w:abstractNumId w:val="1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327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0D"/>
    <w:rsid w:val="0000216A"/>
    <w:rsid w:val="00012689"/>
    <w:rsid w:val="00013D1B"/>
    <w:rsid w:val="00020BFC"/>
    <w:rsid w:val="00022428"/>
    <w:rsid w:val="000263BA"/>
    <w:rsid w:val="00026522"/>
    <w:rsid w:val="00034569"/>
    <w:rsid w:val="0003530D"/>
    <w:rsid w:val="00037EA2"/>
    <w:rsid w:val="0005176E"/>
    <w:rsid w:val="00057D5A"/>
    <w:rsid w:val="00063B86"/>
    <w:rsid w:val="00067132"/>
    <w:rsid w:val="000675D0"/>
    <w:rsid w:val="000708CC"/>
    <w:rsid w:val="00077AB7"/>
    <w:rsid w:val="00080088"/>
    <w:rsid w:val="00081CD8"/>
    <w:rsid w:val="0008329C"/>
    <w:rsid w:val="000A0383"/>
    <w:rsid w:val="000A27C8"/>
    <w:rsid w:val="000A7F0E"/>
    <w:rsid w:val="000B3139"/>
    <w:rsid w:val="000B7173"/>
    <w:rsid w:val="000C0DF5"/>
    <w:rsid w:val="000D4427"/>
    <w:rsid w:val="000D62F6"/>
    <w:rsid w:val="000E4518"/>
    <w:rsid w:val="000E6CD7"/>
    <w:rsid w:val="000F1F6E"/>
    <w:rsid w:val="000F3A3F"/>
    <w:rsid w:val="0011464D"/>
    <w:rsid w:val="0011533F"/>
    <w:rsid w:val="00121380"/>
    <w:rsid w:val="00122856"/>
    <w:rsid w:val="001301AA"/>
    <w:rsid w:val="00132EAB"/>
    <w:rsid w:val="001339A7"/>
    <w:rsid w:val="001347F1"/>
    <w:rsid w:val="00137CA1"/>
    <w:rsid w:val="00153352"/>
    <w:rsid w:val="00154C47"/>
    <w:rsid w:val="0015683C"/>
    <w:rsid w:val="001569BB"/>
    <w:rsid w:val="00161442"/>
    <w:rsid w:val="00161584"/>
    <w:rsid w:val="00164D56"/>
    <w:rsid w:val="00165170"/>
    <w:rsid w:val="00167B10"/>
    <w:rsid w:val="00175901"/>
    <w:rsid w:val="001775E6"/>
    <w:rsid w:val="001802D5"/>
    <w:rsid w:val="0018066A"/>
    <w:rsid w:val="0019264E"/>
    <w:rsid w:val="001934E5"/>
    <w:rsid w:val="00196C1B"/>
    <w:rsid w:val="001A32B8"/>
    <w:rsid w:val="001A3FF3"/>
    <w:rsid w:val="001A766C"/>
    <w:rsid w:val="001B0F73"/>
    <w:rsid w:val="001B16C5"/>
    <w:rsid w:val="001B196B"/>
    <w:rsid w:val="001B579C"/>
    <w:rsid w:val="001C6219"/>
    <w:rsid w:val="001D4F0D"/>
    <w:rsid w:val="001E6F47"/>
    <w:rsid w:val="001E73DC"/>
    <w:rsid w:val="001F19BC"/>
    <w:rsid w:val="001F2896"/>
    <w:rsid w:val="0020150F"/>
    <w:rsid w:val="0020789C"/>
    <w:rsid w:val="00213394"/>
    <w:rsid w:val="002145F6"/>
    <w:rsid w:val="00217639"/>
    <w:rsid w:val="002177F5"/>
    <w:rsid w:val="00220A26"/>
    <w:rsid w:val="00220B6B"/>
    <w:rsid w:val="00222A2D"/>
    <w:rsid w:val="00223C90"/>
    <w:rsid w:val="00240670"/>
    <w:rsid w:val="002407AF"/>
    <w:rsid w:val="00250BF9"/>
    <w:rsid w:val="00253CCF"/>
    <w:rsid w:val="00260195"/>
    <w:rsid w:val="002605DB"/>
    <w:rsid w:val="00260B37"/>
    <w:rsid w:val="0026487D"/>
    <w:rsid w:val="00264AC1"/>
    <w:rsid w:val="00267913"/>
    <w:rsid w:val="00272057"/>
    <w:rsid w:val="00274D30"/>
    <w:rsid w:val="00280D62"/>
    <w:rsid w:val="0028305F"/>
    <w:rsid w:val="00291AEB"/>
    <w:rsid w:val="002A1F31"/>
    <w:rsid w:val="002A22FE"/>
    <w:rsid w:val="002A6C11"/>
    <w:rsid w:val="002A6F73"/>
    <w:rsid w:val="002B4CD6"/>
    <w:rsid w:val="002B7B41"/>
    <w:rsid w:val="002C023D"/>
    <w:rsid w:val="002C0D14"/>
    <w:rsid w:val="002C7063"/>
    <w:rsid w:val="002D1CF6"/>
    <w:rsid w:val="002D2AF2"/>
    <w:rsid w:val="002D3F0C"/>
    <w:rsid w:val="002E0BF5"/>
    <w:rsid w:val="002E1322"/>
    <w:rsid w:val="002E3D25"/>
    <w:rsid w:val="002E58D4"/>
    <w:rsid w:val="002E7030"/>
    <w:rsid w:val="002F2964"/>
    <w:rsid w:val="0031613D"/>
    <w:rsid w:val="003253E6"/>
    <w:rsid w:val="003259FF"/>
    <w:rsid w:val="003273FC"/>
    <w:rsid w:val="003377B5"/>
    <w:rsid w:val="003430E6"/>
    <w:rsid w:val="00344126"/>
    <w:rsid w:val="00351A39"/>
    <w:rsid w:val="00356BA9"/>
    <w:rsid w:val="0036296B"/>
    <w:rsid w:val="0036427D"/>
    <w:rsid w:val="00366645"/>
    <w:rsid w:val="00366DD8"/>
    <w:rsid w:val="00370902"/>
    <w:rsid w:val="00381003"/>
    <w:rsid w:val="003845BE"/>
    <w:rsid w:val="003906FB"/>
    <w:rsid w:val="00391F5E"/>
    <w:rsid w:val="00394C6D"/>
    <w:rsid w:val="003A215F"/>
    <w:rsid w:val="003A3B47"/>
    <w:rsid w:val="003B5510"/>
    <w:rsid w:val="003B62AC"/>
    <w:rsid w:val="003C1678"/>
    <w:rsid w:val="003C7055"/>
    <w:rsid w:val="003D069C"/>
    <w:rsid w:val="003D6D39"/>
    <w:rsid w:val="003E07D8"/>
    <w:rsid w:val="003E2A08"/>
    <w:rsid w:val="003E5883"/>
    <w:rsid w:val="003F113A"/>
    <w:rsid w:val="003F5515"/>
    <w:rsid w:val="003F6385"/>
    <w:rsid w:val="0040696E"/>
    <w:rsid w:val="004071FB"/>
    <w:rsid w:val="004239C7"/>
    <w:rsid w:val="00440F9B"/>
    <w:rsid w:val="004421E5"/>
    <w:rsid w:val="00443880"/>
    <w:rsid w:val="00452284"/>
    <w:rsid w:val="004539C7"/>
    <w:rsid w:val="0045678B"/>
    <w:rsid w:val="0046089D"/>
    <w:rsid w:val="004633CE"/>
    <w:rsid w:val="0046749C"/>
    <w:rsid w:val="0047267B"/>
    <w:rsid w:val="00483C9E"/>
    <w:rsid w:val="00486948"/>
    <w:rsid w:val="004964BC"/>
    <w:rsid w:val="004966C1"/>
    <w:rsid w:val="0049705E"/>
    <w:rsid w:val="004A2828"/>
    <w:rsid w:val="004A6056"/>
    <w:rsid w:val="004A64DB"/>
    <w:rsid w:val="004A7C31"/>
    <w:rsid w:val="004B6554"/>
    <w:rsid w:val="004C6BB3"/>
    <w:rsid w:val="004D25BE"/>
    <w:rsid w:val="004D5AA6"/>
    <w:rsid w:val="004D66AB"/>
    <w:rsid w:val="004E50B6"/>
    <w:rsid w:val="004E6750"/>
    <w:rsid w:val="00504A78"/>
    <w:rsid w:val="005072FD"/>
    <w:rsid w:val="00507915"/>
    <w:rsid w:val="00514649"/>
    <w:rsid w:val="0052482E"/>
    <w:rsid w:val="00526B7B"/>
    <w:rsid w:val="0052788F"/>
    <w:rsid w:val="005308CE"/>
    <w:rsid w:val="00547C90"/>
    <w:rsid w:val="00550C23"/>
    <w:rsid w:val="0055101A"/>
    <w:rsid w:val="005511EC"/>
    <w:rsid w:val="00552192"/>
    <w:rsid w:val="00552350"/>
    <w:rsid w:val="00552F62"/>
    <w:rsid w:val="0056271E"/>
    <w:rsid w:val="0057439C"/>
    <w:rsid w:val="00582232"/>
    <w:rsid w:val="00583497"/>
    <w:rsid w:val="00590097"/>
    <w:rsid w:val="005A783A"/>
    <w:rsid w:val="005B0127"/>
    <w:rsid w:val="005C0737"/>
    <w:rsid w:val="005C094D"/>
    <w:rsid w:val="005C2D39"/>
    <w:rsid w:val="005C4B73"/>
    <w:rsid w:val="005C68A1"/>
    <w:rsid w:val="005D294F"/>
    <w:rsid w:val="005D2D2B"/>
    <w:rsid w:val="005E371E"/>
    <w:rsid w:val="005E6DFE"/>
    <w:rsid w:val="005F303F"/>
    <w:rsid w:val="005F360B"/>
    <w:rsid w:val="005F6B62"/>
    <w:rsid w:val="00600D93"/>
    <w:rsid w:val="00623533"/>
    <w:rsid w:val="0062753F"/>
    <w:rsid w:val="00627C5C"/>
    <w:rsid w:val="00631A1B"/>
    <w:rsid w:val="00634860"/>
    <w:rsid w:val="00646067"/>
    <w:rsid w:val="00647902"/>
    <w:rsid w:val="00655736"/>
    <w:rsid w:val="00663B8D"/>
    <w:rsid w:val="00663CAB"/>
    <w:rsid w:val="00675D64"/>
    <w:rsid w:val="00676D0C"/>
    <w:rsid w:val="006776C3"/>
    <w:rsid w:val="006904F4"/>
    <w:rsid w:val="006907FE"/>
    <w:rsid w:val="006923BD"/>
    <w:rsid w:val="006928B8"/>
    <w:rsid w:val="00696C8D"/>
    <w:rsid w:val="006A131E"/>
    <w:rsid w:val="006A2AC2"/>
    <w:rsid w:val="006A3617"/>
    <w:rsid w:val="006B5001"/>
    <w:rsid w:val="006D21D9"/>
    <w:rsid w:val="006D22EE"/>
    <w:rsid w:val="006D2536"/>
    <w:rsid w:val="006D3D9A"/>
    <w:rsid w:val="006E46E4"/>
    <w:rsid w:val="006E55BA"/>
    <w:rsid w:val="006F0FB6"/>
    <w:rsid w:val="006F2FBE"/>
    <w:rsid w:val="006F5B8F"/>
    <w:rsid w:val="006F6CAE"/>
    <w:rsid w:val="0070732F"/>
    <w:rsid w:val="00711E75"/>
    <w:rsid w:val="00712309"/>
    <w:rsid w:val="00717DBD"/>
    <w:rsid w:val="007232F2"/>
    <w:rsid w:val="007239DC"/>
    <w:rsid w:val="00742EE5"/>
    <w:rsid w:val="00761990"/>
    <w:rsid w:val="00764CF9"/>
    <w:rsid w:val="007662B2"/>
    <w:rsid w:val="00766784"/>
    <w:rsid w:val="00771056"/>
    <w:rsid w:val="007715B1"/>
    <w:rsid w:val="00771E2F"/>
    <w:rsid w:val="0077778B"/>
    <w:rsid w:val="00784B8C"/>
    <w:rsid w:val="007866A2"/>
    <w:rsid w:val="007A64BA"/>
    <w:rsid w:val="007B61C8"/>
    <w:rsid w:val="007C5930"/>
    <w:rsid w:val="007C6F02"/>
    <w:rsid w:val="007E0B7D"/>
    <w:rsid w:val="007E2D2E"/>
    <w:rsid w:val="007E7ABD"/>
    <w:rsid w:val="007F2772"/>
    <w:rsid w:val="007F2A1E"/>
    <w:rsid w:val="007F6402"/>
    <w:rsid w:val="007F64D7"/>
    <w:rsid w:val="007F6A93"/>
    <w:rsid w:val="008002F4"/>
    <w:rsid w:val="008064F0"/>
    <w:rsid w:val="00823A11"/>
    <w:rsid w:val="00824EF7"/>
    <w:rsid w:val="00827ECB"/>
    <w:rsid w:val="00830156"/>
    <w:rsid w:val="00834472"/>
    <w:rsid w:val="0084267E"/>
    <w:rsid w:val="00844800"/>
    <w:rsid w:val="0085414A"/>
    <w:rsid w:val="00856AAC"/>
    <w:rsid w:val="0086269D"/>
    <w:rsid w:val="00863302"/>
    <w:rsid w:val="00866F43"/>
    <w:rsid w:val="008712A2"/>
    <w:rsid w:val="00871C8F"/>
    <w:rsid w:val="008724E5"/>
    <w:rsid w:val="008725A5"/>
    <w:rsid w:val="00884A9D"/>
    <w:rsid w:val="00885A69"/>
    <w:rsid w:val="0088624E"/>
    <w:rsid w:val="0089218E"/>
    <w:rsid w:val="008A4E1E"/>
    <w:rsid w:val="008A5CD7"/>
    <w:rsid w:val="008B6C93"/>
    <w:rsid w:val="008C296C"/>
    <w:rsid w:val="008C2DDB"/>
    <w:rsid w:val="008C42BC"/>
    <w:rsid w:val="008C4E30"/>
    <w:rsid w:val="008D15F0"/>
    <w:rsid w:val="008D3D96"/>
    <w:rsid w:val="008D4305"/>
    <w:rsid w:val="008F301E"/>
    <w:rsid w:val="00901C34"/>
    <w:rsid w:val="00913D86"/>
    <w:rsid w:val="0091437E"/>
    <w:rsid w:val="00914E50"/>
    <w:rsid w:val="009163A7"/>
    <w:rsid w:val="00922E3E"/>
    <w:rsid w:val="00927997"/>
    <w:rsid w:val="00933C6B"/>
    <w:rsid w:val="00950F68"/>
    <w:rsid w:val="00962119"/>
    <w:rsid w:val="0096485B"/>
    <w:rsid w:val="00974249"/>
    <w:rsid w:val="00981585"/>
    <w:rsid w:val="00982912"/>
    <w:rsid w:val="00985DED"/>
    <w:rsid w:val="00991F8D"/>
    <w:rsid w:val="009941C3"/>
    <w:rsid w:val="00995909"/>
    <w:rsid w:val="009A18CD"/>
    <w:rsid w:val="009C5DB8"/>
    <w:rsid w:val="009E1B50"/>
    <w:rsid w:val="009E24AC"/>
    <w:rsid w:val="009E4968"/>
    <w:rsid w:val="009F45E5"/>
    <w:rsid w:val="00A03CD0"/>
    <w:rsid w:val="00A05423"/>
    <w:rsid w:val="00A061B9"/>
    <w:rsid w:val="00A066DB"/>
    <w:rsid w:val="00A12558"/>
    <w:rsid w:val="00A13903"/>
    <w:rsid w:val="00A22B13"/>
    <w:rsid w:val="00A30397"/>
    <w:rsid w:val="00A34ED5"/>
    <w:rsid w:val="00A36582"/>
    <w:rsid w:val="00A45DBF"/>
    <w:rsid w:val="00A51838"/>
    <w:rsid w:val="00A555E0"/>
    <w:rsid w:val="00A56A9D"/>
    <w:rsid w:val="00A57D6E"/>
    <w:rsid w:val="00A61C6E"/>
    <w:rsid w:val="00A63F9A"/>
    <w:rsid w:val="00A65E57"/>
    <w:rsid w:val="00A755A2"/>
    <w:rsid w:val="00A834DF"/>
    <w:rsid w:val="00A858C8"/>
    <w:rsid w:val="00A86CB2"/>
    <w:rsid w:val="00A9039A"/>
    <w:rsid w:val="00A90761"/>
    <w:rsid w:val="00A962A1"/>
    <w:rsid w:val="00AB2C36"/>
    <w:rsid w:val="00AB43B9"/>
    <w:rsid w:val="00AB7646"/>
    <w:rsid w:val="00AC01B9"/>
    <w:rsid w:val="00AD1A86"/>
    <w:rsid w:val="00AD29E1"/>
    <w:rsid w:val="00AD43E8"/>
    <w:rsid w:val="00AE01CD"/>
    <w:rsid w:val="00AE103E"/>
    <w:rsid w:val="00AE363D"/>
    <w:rsid w:val="00AF0A07"/>
    <w:rsid w:val="00AF53C9"/>
    <w:rsid w:val="00AF5AE5"/>
    <w:rsid w:val="00AF625E"/>
    <w:rsid w:val="00AF721B"/>
    <w:rsid w:val="00AF7CF0"/>
    <w:rsid w:val="00B06AD6"/>
    <w:rsid w:val="00B152B1"/>
    <w:rsid w:val="00B241D1"/>
    <w:rsid w:val="00B25268"/>
    <w:rsid w:val="00B27DA7"/>
    <w:rsid w:val="00B43974"/>
    <w:rsid w:val="00B46002"/>
    <w:rsid w:val="00B46ECA"/>
    <w:rsid w:val="00B71084"/>
    <w:rsid w:val="00B8611C"/>
    <w:rsid w:val="00B87792"/>
    <w:rsid w:val="00B90701"/>
    <w:rsid w:val="00B90802"/>
    <w:rsid w:val="00B91675"/>
    <w:rsid w:val="00B96D9D"/>
    <w:rsid w:val="00BA5A4B"/>
    <w:rsid w:val="00BB29FB"/>
    <w:rsid w:val="00BC1B82"/>
    <w:rsid w:val="00BC3420"/>
    <w:rsid w:val="00BD52C9"/>
    <w:rsid w:val="00BE6354"/>
    <w:rsid w:val="00BE7C26"/>
    <w:rsid w:val="00C11875"/>
    <w:rsid w:val="00C340BC"/>
    <w:rsid w:val="00C358C4"/>
    <w:rsid w:val="00C377F5"/>
    <w:rsid w:val="00C410B7"/>
    <w:rsid w:val="00C44BF8"/>
    <w:rsid w:val="00C5081B"/>
    <w:rsid w:val="00C51B00"/>
    <w:rsid w:val="00C52AB4"/>
    <w:rsid w:val="00C54B3E"/>
    <w:rsid w:val="00C54F78"/>
    <w:rsid w:val="00C70EA7"/>
    <w:rsid w:val="00C728AD"/>
    <w:rsid w:val="00C7516E"/>
    <w:rsid w:val="00C8158A"/>
    <w:rsid w:val="00C904B0"/>
    <w:rsid w:val="00C92627"/>
    <w:rsid w:val="00C94F5A"/>
    <w:rsid w:val="00C96C02"/>
    <w:rsid w:val="00C975F7"/>
    <w:rsid w:val="00CA4045"/>
    <w:rsid w:val="00CA40F1"/>
    <w:rsid w:val="00CA56B7"/>
    <w:rsid w:val="00CB1FCD"/>
    <w:rsid w:val="00CE0F85"/>
    <w:rsid w:val="00CE11CD"/>
    <w:rsid w:val="00CE3100"/>
    <w:rsid w:val="00CF19C7"/>
    <w:rsid w:val="00CF60AF"/>
    <w:rsid w:val="00D003DA"/>
    <w:rsid w:val="00D1334B"/>
    <w:rsid w:val="00D213A9"/>
    <w:rsid w:val="00D24877"/>
    <w:rsid w:val="00D24C49"/>
    <w:rsid w:val="00D323F1"/>
    <w:rsid w:val="00D35AED"/>
    <w:rsid w:val="00D51797"/>
    <w:rsid w:val="00D72403"/>
    <w:rsid w:val="00D73826"/>
    <w:rsid w:val="00D75D42"/>
    <w:rsid w:val="00D83C28"/>
    <w:rsid w:val="00D83D91"/>
    <w:rsid w:val="00D93F16"/>
    <w:rsid w:val="00D946CB"/>
    <w:rsid w:val="00DA36ED"/>
    <w:rsid w:val="00DB4A84"/>
    <w:rsid w:val="00DC2F1B"/>
    <w:rsid w:val="00DD09AF"/>
    <w:rsid w:val="00DD2EAD"/>
    <w:rsid w:val="00DD7658"/>
    <w:rsid w:val="00DE34F1"/>
    <w:rsid w:val="00DE4CB7"/>
    <w:rsid w:val="00DE553A"/>
    <w:rsid w:val="00DF12E2"/>
    <w:rsid w:val="00DF4467"/>
    <w:rsid w:val="00DF4942"/>
    <w:rsid w:val="00DF5BE9"/>
    <w:rsid w:val="00E02874"/>
    <w:rsid w:val="00E13571"/>
    <w:rsid w:val="00E16144"/>
    <w:rsid w:val="00E22288"/>
    <w:rsid w:val="00E333A5"/>
    <w:rsid w:val="00E408A2"/>
    <w:rsid w:val="00E4202D"/>
    <w:rsid w:val="00E420FC"/>
    <w:rsid w:val="00E42E7E"/>
    <w:rsid w:val="00E47C36"/>
    <w:rsid w:val="00E519CA"/>
    <w:rsid w:val="00E578CD"/>
    <w:rsid w:val="00E617A6"/>
    <w:rsid w:val="00E627B1"/>
    <w:rsid w:val="00E62B4C"/>
    <w:rsid w:val="00E66ED9"/>
    <w:rsid w:val="00E71226"/>
    <w:rsid w:val="00E76F5E"/>
    <w:rsid w:val="00E773F6"/>
    <w:rsid w:val="00E80C79"/>
    <w:rsid w:val="00E813A0"/>
    <w:rsid w:val="00E929A0"/>
    <w:rsid w:val="00E9376C"/>
    <w:rsid w:val="00EA2A97"/>
    <w:rsid w:val="00EC209C"/>
    <w:rsid w:val="00EC398F"/>
    <w:rsid w:val="00EC4164"/>
    <w:rsid w:val="00EC68F7"/>
    <w:rsid w:val="00EE57F4"/>
    <w:rsid w:val="00EE5D11"/>
    <w:rsid w:val="00EF0494"/>
    <w:rsid w:val="00F134B7"/>
    <w:rsid w:val="00F21399"/>
    <w:rsid w:val="00F445FF"/>
    <w:rsid w:val="00F5747D"/>
    <w:rsid w:val="00F576CB"/>
    <w:rsid w:val="00F6171B"/>
    <w:rsid w:val="00F92EFB"/>
    <w:rsid w:val="00F939BA"/>
    <w:rsid w:val="00F94398"/>
    <w:rsid w:val="00F94F47"/>
    <w:rsid w:val="00F96BC2"/>
    <w:rsid w:val="00F974A6"/>
    <w:rsid w:val="00F97911"/>
    <w:rsid w:val="00FB65E5"/>
    <w:rsid w:val="00FB6860"/>
    <w:rsid w:val="00FC2683"/>
    <w:rsid w:val="00FC2940"/>
    <w:rsid w:val="00FC3EC8"/>
    <w:rsid w:val="00FC4715"/>
    <w:rsid w:val="00FC6C94"/>
    <w:rsid w:val="00FC6E32"/>
    <w:rsid w:val="00FD1226"/>
    <w:rsid w:val="00FD1663"/>
    <w:rsid w:val="00FD26C5"/>
    <w:rsid w:val="00FD2CBE"/>
    <w:rsid w:val="00FD6367"/>
    <w:rsid w:val="00FD6DBB"/>
    <w:rsid w:val="00FE1CA1"/>
    <w:rsid w:val="00FE2EBA"/>
    <w:rsid w:val="00FE485D"/>
    <w:rsid w:val="00FE4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84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spacing w:before="360" w:after="24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character" w:styleId="Hyperlink">
    <w:name w:val="Hyperlink"/>
    <w:unhideWhenUsed/>
    <w:rsid w:val="007A64BA"/>
    <w:rPr>
      <w:color w:val="0000FF"/>
      <w:u w:val="single"/>
    </w:rPr>
  </w:style>
  <w:style w:type="character" w:styleId="FootnoteReference">
    <w:name w:val="footnote reference"/>
    <w:uiPriority w:val="99"/>
    <w:unhideWhenUsed/>
    <w:rsid w:val="007F6A93"/>
    <w:rPr>
      <w:vertAlign w:val="superscript"/>
    </w:rPr>
  </w:style>
  <w:style w:type="character" w:customStyle="1" w:styleId="hps">
    <w:name w:val="hps"/>
    <w:rsid w:val="003377B5"/>
  </w:style>
  <w:style w:type="paragraph" w:customStyle="1" w:styleId="Paragraph">
    <w:name w:val="Paragraph"/>
    <w:basedOn w:val="Normal"/>
    <w:link w:val="ParagraphChar"/>
    <w:qFormat/>
    <w:rsid w:val="00C340BC"/>
    <w:pPr>
      <w:numPr>
        <w:numId w:val="18"/>
      </w:numPr>
      <w:autoSpaceDE w:val="0"/>
      <w:autoSpaceDN w:val="0"/>
      <w:adjustRightInd w:val="0"/>
      <w:spacing w:after="240"/>
      <w:jc w:val="both"/>
    </w:pPr>
    <w:rPr>
      <w:rFonts w:ascii="Arial" w:eastAsia="SimSun" w:hAnsi="Arial" w:cs="Arial"/>
      <w:bCs/>
      <w:color w:val="000000"/>
      <w:sz w:val="22"/>
      <w:szCs w:val="22"/>
      <w:lang w:val="en-GB" w:eastAsia="zh-CN"/>
    </w:rPr>
  </w:style>
  <w:style w:type="character" w:customStyle="1" w:styleId="ParagraphChar">
    <w:name w:val="Paragraph Char"/>
    <w:link w:val="Paragraph"/>
    <w:rsid w:val="00C340BC"/>
    <w:rPr>
      <w:rFonts w:ascii="Arial" w:hAnsi="Arial" w:cs="Arial"/>
      <w:bCs/>
      <w:color w:val="000000"/>
      <w:sz w:val="22"/>
      <w:szCs w:val="22"/>
      <w:lang w:val="en-GB" w:eastAsia="zh-CN"/>
    </w:rPr>
  </w:style>
  <w:style w:type="character" w:styleId="CommentReference">
    <w:name w:val="annotation reference"/>
    <w:basedOn w:val="DefaultParagraphFont"/>
    <w:uiPriority w:val="99"/>
    <w:semiHidden/>
    <w:unhideWhenUsed/>
    <w:rsid w:val="00CA4045"/>
    <w:rPr>
      <w:sz w:val="16"/>
      <w:szCs w:val="16"/>
    </w:rPr>
  </w:style>
  <w:style w:type="paragraph" w:styleId="CommentText">
    <w:name w:val="annotation text"/>
    <w:basedOn w:val="Normal"/>
    <w:link w:val="CommentTextChar"/>
    <w:uiPriority w:val="99"/>
    <w:semiHidden/>
    <w:unhideWhenUsed/>
    <w:rsid w:val="00CA4045"/>
    <w:rPr>
      <w:sz w:val="20"/>
      <w:szCs w:val="20"/>
    </w:rPr>
  </w:style>
  <w:style w:type="character" w:customStyle="1" w:styleId="CommentTextChar">
    <w:name w:val="Comment Text Char"/>
    <w:basedOn w:val="DefaultParagraphFont"/>
    <w:link w:val="CommentText"/>
    <w:uiPriority w:val="99"/>
    <w:semiHidden/>
    <w:rsid w:val="00CA404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4045"/>
    <w:rPr>
      <w:b/>
      <w:bCs/>
    </w:rPr>
  </w:style>
  <w:style w:type="character" w:customStyle="1" w:styleId="CommentSubjectChar">
    <w:name w:val="Comment Subject Char"/>
    <w:basedOn w:val="CommentTextChar"/>
    <w:link w:val="CommentSubject"/>
    <w:uiPriority w:val="99"/>
    <w:semiHidden/>
    <w:rsid w:val="00CA4045"/>
    <w:rPr>
      <w:rFonts w:ascii="Times New Roman" w:eastAsia="Times New Roman" w:hAnsi="Times New Roman"/>
      <w:b/>
      <w:bCs/>
    </w:rPr>
  </w:style>
  <w:style w:type="character" w:styleId="FollowedHyperlink">
    <w:name w:val="FollowedHyperlink"/>
    <w:basedOn w:val="DefaultParagraphFont"/>
    <w:uiPriority w:val="99"/>
    <w:semiHidden/>
    <w:unhideWhenUsed/>
    <w:rsid w:val="006F0FB6"/>
    <w:rPr>
      <w:color w:val="800080" w:themeColor="followedHyperlink"/>
      <w:u w:val="single"/>
    </w:rPr>
  </w:style>
  <w:style w:type="paragraph" w:styleId="FootnoteText">
    <w:name w:val="footnote text"/>
    <w:basedOn w:val="Normal"/>
    <w:link w:val="FootnoteTextChar"/>
    <w:uiPriority w:val="99"/>
    <w:semiHidden/>
    <w:unhideWhenUsed/>
    <w:rsid w:val="009E4968"/>
    <w:rPr>
      <w:sz w:val="20"/>
      <w:szCs w:val="20"/>
    </w:rPr>
  </w:style>
  <w:style w:type="character" w:customStyle="1" w:styleId="FootnoteTextChar">
    <w:name w:val="Footnote Text Char"/>
    <w:basedOn w:val="DefaultParagraphFont"/>
    <w:link w:val="FootnoteText"/>
    <w:uiPriority w:val="99"/>
    <w:semiHidden/>
    <w:rsid w:val="009E4968"/>
    <w:rPr>
      <w:rFonts w:ascii="Times New Roman" w:eastAsia="Times New Roman" w:hAnsi="Times New Roman"/>
    </w:rPr>
  </w:style>
  <w:style w:type="paragraph" w:customStyle="1" w:styleId="Default">
    <w:name w:val="Default"/>
    <w:link w:val="DefaultChar"/>
    <w:uiPriority w:val="99"/>
    <w:rsid w:val="002B4CD6"/>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2B4CD6"/>
    <w:rPr>
      <w:rFonts w:ascii="Arial" w:hAnsi="Arial" w:cs="Arial"/>
      <w:color w:val="000000"/>
      <w:sz w:val="24"/>
      <w:szCs w:val="24"/>
      <w:lang w:val="en-US" w:eastAsia="zh-CN"/>
    </w:rPr>
  </w:style>
  <w:style w:type="paragraph" w:customStyle="1" w:styleId="Annex">
    <w:name w:val="Annex"/>
    <w:basedOn w:val="Default"/>
    <w:next w:val="Normal"/>
    <w:rsid w:val="00E578CD"/>
    <w:pPr>
      <w:pageBreakBefore/>
      <w:spacing w:before="360" w:after="240"/>
      <w:jc w:val="center"/>
      <w:outlineLvl w:val="0"/>
    </w:pPr>
    <w:rPr>
      <w:b/>
      <w:bCs/>
      <w:color w:val="aut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497">
      <w:bodyDiv w:val="1"/>
      <w:marLeft w:val="0"/>
      <w:marRight w:val="0"/>
      <w:marTop w:val="0"/>
      <w:marBottom w:val="0"/>
      <w:divBdr>
        <w:top w:val="none" w:sz="0" w:space="0" w:color="auto"/>
        <w:left w:val="none" w:sz="0" w:space="0" w:color="auto"/>
        <w:bottom w:val="none" w:sz="0" w:space="0" w:color="auto"/>
        <w:right w:val="none" w:sz="0" w:space="0" w:color="auto"/>
      </w:divBdr>
    </w:div>
    <w:div w:id="84419536">
      <w:bodyDiv w:val="1"/>
      <w:marLeft w:val="0"/>
      <w:marRight w:val="0"/>
      <w:marTop w:val="0"/>
      <w:marBottom w:val="0"/>
      <w:divBdr>
        <w:top w:val="none" w:sz="0" w:space="0" w:color="auto"/>
        <w:left w:val="none" w:sz="0" w:space="0" w:color="auto"/>
        <w:bottom w:val="none" w:sz="0" w:space="0" w:color="auto"/>
        <w:right w:val="none" w:sz="0" w:space="0" w:color="auto"/>
      </w:divBdr>
    </w:div>
    <w:div w:id="164365282">
      <w:bodyDiv w:val="1"/>
      <w:marLeft w:val="0"/>
      <w:marRight w:val="0"/>
      <w:marTop w:val="0"/>
      <w:marBottom w:val="0"/>
      <w:divBdr>
        <w:top w:val="none" w:sz="0" w:space="0" w:color="auto"/>
        <w:left w:val="none" w:sz="0" w:space="0" w:color="auto"/>
        <w:bottom w:val="none" w:sz="0" w:space="0" w:color="auto"/>
        <w:right w:val="none" w:sz="0" w:space="0" w:color="auto"/>
      </w:divBdr>
    </w:div>
    <w:div w:id="183981104">
      <w:bodyDiv w:val="1"/>
      <w:marLeft w:val="0"/>
      <w:marRight w:val="0"/>
      <w:marTop w:val="0"/>
      <w:marBottom w:val="0"/>
      <w:divBdr>
        <w:top w:val="none" w:sz="0" w:space="0" w:color="auto"/>
        <w:left w:val="none" w:sz="0" w:space="0" w:color="auto"/>
        <w:bottom w:val="none" w:sz="0" w:space="0" w:color="auto"/>
        <w:right w:val="none" w:sz="0" w:space="0" w:color="auto"/>
      </w:divBdr>
    </w:div>
    <w:div w:id="38935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082">
          <w:marLeft w:val="0"/>
          <w:marRight w:val="0"/>
          <w:marTop w:val="0"/>
          <w:marBottom w:val="0"/>
          <w:divBdr>
            <w:top w:val="none" w:sz="0" w:space="0" w:color="auto"/>
            <w:left w:val="none" w:sz="0" w:space="0" w:color="auto"/>
            <w:bottom w:val="none" w:sz="0" w:space="0" w:color="auto"/>
            <w:right w:val="none" w:sz="0" w:space="0" w:color="auto"/>
          </w:divBdr>
        </w:div>
        <w:div w:id="1113862780">
          <w:marLeft w:val="0"/>
          <w:marRight w:val="0"/>
          <w:marTop w:val="0"/>
          <w:marBottom w:val="0"/>
          <w:divBdr>
            <w:top w:val="none" w:sz="0" w:space="0" w:color="auto"/>
            <w:left w:val="none" w:sz="0" w:space="0" w:color="auto"/>
            <w:bottom w:val="none" w:sz="0" w:space="0" w:color="auto"/>
            <w:right w:val="none" w:sz="0" w:space="0" w:color="auto"/>
          </w:divBdr>
        </w:div>
        <w:div w:id="1447041669">
          <w:marLeft w:val="0"/>
          <w:marRight w:val="0"/>
          <w:marTop w:val="0"/>
          <w:marBottom w:val="0"/>
          <w:divBdr>
            <w:top w:val="none" w:sz="0" w:space="0" w:color="auto"/>
            <w:left w:val="none" w:sz="0" w:space="0" w:color="auto"/>
            <w:bottom w:val="none" w:sz="0" w:space="0" w:color="auto"/>
            <w:right w:val="none" w:sz="0" w:space="0" w:color="auto"/>
          </w:divBdr>
        </w:div>
        <w:div w:id="2113939086">
          <w:marLeft w:val="0"/>
          <w:marRight w:val="0"/>
          <w:marTop w:val="0"/>
          <w:marBottom w:val="0"/>
          <w:divBdr>
            <w:top w:val="none" w:sz="0" w:space="0" w:color="auto"/>
            <w:left w:val="none" w:sz="0" w:space="0" w:color="auto"/>
            <w:bottom w:val="none" w:sz="0" w:space="0" w:color="auto"/>
            <w:right w:val="none" w:sz="0" w:space="0" w:color="auto"/>
          </w:divBdr>
        </w:div>
        <w:div w:id="922110213">
          <w:marLeft w:val="0"/>
          <w:marRight w:val="0"/>
          <w:marTop w:val="0"/>
          <w:marBottom w:val="0"/>
          <w:divBdr>
            <w:top w:val="none" w:sz="0" w:space="0" w:color="auto"/>
            <w:left w:val="none" w:sz="0" w:space="0" w:color="auto"/>
            <w:bottom w:val="none" w:sz="0" w:space="0" w:color="auto"/>
            <w:right w:val="none" w:sz="0" w:space="0" w:color="auto"/>
          </w:divBdr>
        </w:div>
        <w:div w:id="1897815387">
          <w:marLeft w:val="0"/>
          <w:marRight w:val="0"/>
          <w:marTop w:val="0"/>
          <w:marBottom w:val="0"/>
          <w:divBdr>
            <w:top w:val="none" w:sz="0" w:space="0" w:color="auto"/>
            <w:left w:val="none" w:sz="0" w:space="0" w:color="auto"/>
            <w:bottom w:val="none" w:sz="0" w:space="0" w:color="auto"/>
            <w:right w:val="none" w:sz="0" w:space="0" w:color="auto"/>
          </w:divBdr>
        </w:div>
      </w:divsChild>
    </w:div>
    <w:div w:id="446660501">
      <w:bodyDiv w:val="1"/>
      <w:marLeft w:val="0"/>
      <w:marRight w:val="0"/>
      <w:marTop w:val="0"/>
      <w:marBottom w:val="0"/>
      <w:divBdr>
        <w:top w:val="none" w:sz="0" w:space="0" w:color="auto"/>
        <w:left w:val="none" w:sz="0" w:space="0" w:color="auto"/>
        <w:bottom w:val="none" w:sz="0" w:space="0" w:color="auto"/>
        <w:right w:val="none" w:sz="0" w:space="0" w:color="auto"/>
      </w:divBdr>
    </w:div>
    <w:div w:id="457994501">
      <w:bodyDiv w:val="1"/>
      <w:marLeft w:val="0"/>
      <w:marRight w:val="0"/>
      <w:marTop w:val="0"/>
      <w:marBottom w:val="0"/>
      <w:divBdr>
        <w:top w:val="none" w:sz="0" w:space="0" w:color="auto"/>
        <w:left w:val="none" w:sz="0" w:space="0" w:color="auto"/>
        <w:bottom w:val="none" w:sz="0" w:space="0" w:color="auto"/>
        <w:right w:val="none" w:sz="0" w:space="0" w:color="auto"/>
      </w:divBdr>
    </w:div>
    <w:div w:id="596715914">
      <w:bodyDiv w:val="1"/>
      <w:marLeft w:val="0"/>
      <w:marRight w:val="0"/>
      <w:marTop w:val="0"/>
      <w:marBottom w:val="0"/>
      <w:divBdr>
        <w:top w:val="none" w:sz="0" w:space="0" w:color="auto"/>
        <w:left w:val="none" w:sz="0" w:space="0" w:color="auto"/>
        <w:bottom w:val="none" w:sz="0" w:space="0" w:color="auto"/>
        <w:right w:val="none" w:sz="0" w:space="0" w:color="auto"/>
      </w:divBdr>
    </w:div>
    <w:div w:id="615990287">
      <w:bodyDiv w:val="1"/>
      <w:marLeft w:val="0"/>
      <w:marRight w:val="0"/>
      <w:marTop w:val="0"/>
      <w:marBottom w:val="0"/>
      <w:divBdr>
        <w:top w:val="none" w:sz="0" w:space="0" w:color="auto"/>
        <w:left w:val="none" w:sz="0" w:space="0" w:color="auto"/>
        <w:bottom w:val="none" w:sz="0" w:space="0" w:color="auto"/>
        <w:right w:val="none" w:sz="0" w:space="0" w:color="auto"/>
      </w:divBdr>
    </w:div>
    <w:div w:id="655233132">
      <w:bodyDiv w:val="1"/>
      <w:marLeft w:val="0"/>
      <w:marRight w:val="0"/>
      <w:marTop w:val="0"/>
      <w:marBottom w:val="0"/>
      <w:divBdr>
        <w:top w:val="none" w:sz="0" w:space="0" w:color="auto"/>
        <w:left w:val="none" w:sz="0" w:space="0" w:color="auto"/>
        <w:bottom w:val="none" w:sz="0" w:space="0" w:color="auto"/>
        <w:right w:val="none" w:sz="0" w:space="0" w:color="auto"/>
      </w:divBdr>
    </w:div>
    <w:div w:id="663319727">
      <w:bodyDiv w:val="1"/>
      <w:marLeft w:val="0"/>
      <w:marRight w:val="0"/>
      <w:marTop w:val="0"/>
      <w:marBottom w:val="0"/>
      <w:divBdr>
        <w:top w:val="none" w:sz="0" w:space="0" w:color="auto"/>
        <w:left w:val="none" w:sz="0" w:space="0" w:color="auto"/>
        <w:bottom w:val="none" w:sz="0" w:space="0" w:color="auto"/>
        <w:right w:val="none" w:sz="0" w:space="0" w:color="auto"/>
      </w:divBdr>
    </w:div>
    <w:div w:id="745423987">
      <w:bodyDiv w:val="1"/>
      <w:marLeft w:val="0"/>
      <w:marRight w:val="0"/>
      <w:marTop w:val="0"/>
      <w:marBottom w:val="0"/>
      <w:divBdr>
        <w:top w:val="none" w:sz="0" w:space="0" w:color="auto"/>
        <w:left w:val="none" w:sz="0" w:space="0" w:color="auto"/>
        <w:bottom w:val="none" w:sz="0" w:space="0" w:color="auto"/>
        <w:right w:val="none" w:sz="0" w:space="0" w:color="auto"/>
      </w:divBdr>
    </w:div>
    <w:div w:id="779643592">
      <w:bodyDiv w:val="1"/>
      <w:marLeft w:val="0"/>
      <w:marRight w:val="0"/>
      <w:marTop w:val="0"/>
      <w:marBottom w:val="0"/>
      <w:divBdr>
        <w:top w:val="none" w:sz="0" w:space="0" w:color="auto"/>
        <w:left w:val="none" w:sz="0" w:space="0" w:color="auto"/>
        <w:bottom w:val="none" w:sz="0" w:space="0" w:color="auto"/>
        <w:right w:val="none" w:sz="0" w:space="0" w:color="auto"/>
      </w:divBdr>
    </w:div>
    <w:div w:id="795493391">
      <w:bodyDiv w:val="1"/>
      <w:marLeft w:val="0"/>
      <w:marRight w:val="0"/>
      <w:marTop w:val="0"/>
      <w:marBottom w:val="0"/>
      <w:divBdr>
        <w:top w:val="none" w:sz="0" w:space="0" w:color="auto"/>
        <w:left w:val="none" w:sz="0" w:space="0" w:color="auto"/>
        <w:bottom w:val="none" w:sz="0" w:space="0" w:color="auto"/>
        <w:right w:val="none" w:sz="0" w:space="0" w:color="auto"/>
      </w:divBdr>
    </w:div>
    <w:div w:id="934022516">
      <w:bodyDiv w:val="1"/>
      <w:marLeft w:val="0"/>
      <w:marRight w:val="0"/>
      <w:marTop w:val="0"/>
      <w:marBottom w:val="0"/>
      <w:divBdr>
        <w:top w:val="none" w:sz="0" w:space="0" w:color="auto"/>
        <w:left w:val="none" w:sz="0" w:space="0" w:color="auto"/>
        <w:bottom w:val="none" w:sz="0" w:space="0" w:color="auto"/>
        <w:right w:val="none" w:sz="0" w:space="0" w:color="auto"/>
      </w:divBdr>
    </w:div>
    <w:div w:id="1057123945">
      <w:bodyDiv w:val="1"/>
      <w:marLeft w:val="0"/>
      <w:marRight w:val="0"/>
      <w:marTop w:val="0"/>
      <w:marBottom w:val="0"/>
      <w:divBdr>
        <w:top w:val="none" w:sz="0" w:space="0" w:color="auto"/>
        <w:left w:val="none" w:sz="0" w:space="0" w:color="auto"/>
        <w:bottom w:val="none" w:sz="0" w:space="0" w:color="auto"/>
        <w:right w:val="none" w:sz="0" w:space="0" w:color="auto"/>
      </w:divBdr>
    </w:div>
    <w:div w:id="1171720651">
      <w:bodyDiv w:val="1"/>
      <w:marLeft w:val="0"/>
      <w:marRight w:val="0"/>
      <w:marTop w:val="0"/>
      <w:marBottom w:val="0"/>
      <w:divBdr>
        <w:top w:val="none" w:sz="0" w:space="0" w:color="auto"/>
        <w:left w:val="none" w:sz="0" w:space="0" w:color="auto"/>
        <w:bottom w:val="none" w:sz="0" w:space="0" w:color="auto"/>
        <w:right w:val="none" w:sz="0" w:space="0" w:color="auto"/>
      </w:divBdr>
    </w:div>
    <w:div w:id="1217859629">
      <w:bodyDiv w:val="1"/>
      <w:marLeft w:val="0"/>
      <w:marRight w:val="0"/>
      <w:marTop w:val="0"/>
      <w:marBottom w:val="0"/>
      <w:divBdr>
        <w:top w:val="none" w:sz="0" w:space="0" w:color="auto"/>
        <w:left w:val="none" w:sz="0" w:space="0" w:color="auto"/>
        <w:bottom w:val="none" w:sz="0" w:space="0" w:color="auto"/>
        <w:right w:val="none" w:sz="0" w:space="0" w:color="auto"/>
      </w:divBdr>
    </w:div>
    <w:div w:id="1318419204">
      <w:bodyDiv w:val="1"/>
      <w:marLeft w:val="0"/>
      <w:marRight w:val="0"/>
      <w:marTop w:val="0"/>
      <w:marBottom w:val="0"/>
      <w:divBdr>
        <w:top w:val="none" w:sz="0" w:space="0" w:color="auto"/>
        <w:left w:val="none" w:sz="0" w:space="0" w:color="auto"/>
        <w:bottom w:val="none" w:sz="0" w:space="0" w:color="auto"/>
        <w:right w:val="none" w:sz="0" w:space="0" w:color="auto"/>
      </w:divBdr>
      <w:divsChild>
        <w:div w:id="1438023028">
          <w:marLeft w:val="0"/>
          <w:marRight w:val="0"/>
          <w:marTop w:val="0"/>
          <w:marBottom w:val="0"/>
          <w:divBdr>
            <w:top w:val="none" w:sz="0" w:space="0" w:color="auto"/>
            <w:left w:val="none" w:sz="0" w:space="0" w:color="auto"/>
            <w:bottom w:val="none" w:sz="0" w:space="0" w:color="auto"/>
            <w:right w:val="none" w:sz="0" w:space="0" w:color="auto"/>
          </w:divBdr>
        </w:div>
        <w:div w:id="6491627">
          <w:marLeft w:val="0"/>
          <w:marRight w:val="0"/>
          <w:marTop w:val="0"/>
          <w:marBottom w:val="0"/>
          <w:divBdr>
            <w:top w:val="none" w:sz="0" w:space="0" w:color="auto"/>
            <w:left w:val="none" w:sz="0" w:space="0" w:color="auto"/>
            <w:bottom w:val="none" w:sz="0" w:space="0" w:color="auto"/>
            <w:right w:val="none" w:sz="0" w:space="0" w:color="auto"/>
          </w:divBdr>
        </w:div>
        <w:div w:id="1800411733">
          <w:marLeft w:val="0"/>
          <w:marRight w:val="0"/>
          <w:marTop w:val="0"/>
          <w:marBottom w:val="0"/>
          <w:divBdr>
            <w:top w:val="none" w:sz="0" w:space="0" w:color="auto"/>
            <w:left w:val="none" w:sz="0" w:space="0" w:color="auto"/>
            <w:bottom w:val="none" w:sz="0" w:space="0" w:color="auto"/>
            <w:right w:val="none" w:sz="0" w:space="0" w:color="auto"/>
          </w:divBdr>
        </w:div>
        <w:div w:id="1170172041">
          <w:marLeft w:val="0"/>
          <w:marRight w:val="0"/>
          <w:marTop w:val="0"/>
          <w:marBottom w:val="0"/>
          <w:divBdr>
            <w:top w:val="none" w:sz="0" w:space="0" w:color="auto"/>
            <w:left w:val="none" w:sz="0" w:space="0" w:color="auto"/>
            <w:bottom w:val="none" w:sz="0" w:space="0" w:color="auto"/>
            <w:right w:val="none" w:sz="0" w:space="0" w:color="auto"/>
          </w:divBdr>
        </w:div>
        <w:div w:id="27410371">
          <w:marLeft w:val="0"/>
          <w:marRight w:val="0"/>
          <w:marTop w:val="0"/>
          <w:marBottom w:val="0"/>
          <w:divBdr>
            <w:top w:val="none" w:sz="0" w:space="0" w:color="auto"/>
            <w:left w:val="none" w:sz="0" w:space="0" w:color="auto"/>
            <w:bottom w:val="none" w:sz="0" w:space="0" w:color="auto"/>
            <w:right w:val="none" w:sz="0" w:space="0" w:color="auto"/>
          </w:divBdr>
        </w:div>
        <w:div w:id="1089228430">
          <w:marLeft w:val="0"/>
          <w:marRight w:val="0"/>
          <w:marTop w:val="0"/>
          <w:marBottom w:val="0"/>
          <w:divBdr>
            <w:top w:val="none" w:sz="0" w:space="0" w:color="auto"/>
            <w:left w:val="none" w:sz="0" w:space="0" w:color="auto"/>
            <w:bottom w:val="none" w:sz="0" w:space="0" w:color="auto"/>
            <w:right w:val="none" w:sz="0" w:space="0" w:color="auto"/>
          </w:divBdr>
        </w:div>
      </w:divsChild>
    </w:div>
    <w:div w:id="1379935765">
      <w:bodyDiv w:val="1"/>
      <w:marLeft w:val="0"/>
      <w:marRight w:val="0"/>
      <w:marTop w:val="0"/>
      <w:marBottom w:val="0"/>
      <w:divBdr>
        <w:top w:val="none" w:sz="0" w:space="0" w:color="auto"/>
        <w:left w:val="none" w:sz="0" w:space="0" w:color="auto"/>
        <w:bottom w:val="none" w:sz="0" w:space="0" w:color="auto"/>
        <w:right w:val="none" w:sz="0" w:space="0" w:color="auto"/>
      </w:divBdr>
    </w:div>
    <w:div w:id="1406148425">
      <w:bodyDiv w:val="1"/>
      <w:marLeft w:val="0"/>
      <w:marRight w:val="0"/>
      <w:marTop w:val="0"/>
      <w:marBottom w:val="0"/>
      <w:divBdr>
        <w:top w:val="none" w:sz="0" w:space="0" w:color="auto"/>
        <w:left w:val="none" w:sz="0" w:space="0" w:color="auto"/>
        <w:bottom w:val="none" w:sz="0" w:space="0" w:color="auto"/>
        <w:right w:val="none" w:sz="0" w:space="0" w:color="auto"/>
      </w:divBdr>
    </w:div>
    <w:div w:id="1646079214">
      <w:bodyDiv w:val="1"/>
      <w:marLeft w:val="0"/>
      <w:marRight w:val="0"/>
      <w:marTop w:val="0"/>
      <w:marBottom w:val="0"/>
      <w:divBdr>
        <w:top w:val="none" w:sz="0" w:space="0" w:color="auto"/>
        <w:left w:val="none" w:sz="0" w:space="0" w:color="auto"/>
        <w:bottom w:val="none" w:sz="0" w:space="0" w:color="auto"/>
        <w:right w:val="none" w:sz="0" w:space="0" w:color="auto"/>
      </w:divBdr>
    </w:div>
    <w:div w:id="1661500642">
      <w:bodyDiv w:val="1"/>
      <w:marLeft w:val="0"/>
      <w:marRight w:val="0"/>
      <w:marTop w:val="0"/>
      <w:marBottom w:val="0"/>
      <w:divBdr>
        <w:top w:val="none" w:sz="0" w:space="0" w:color="auto"/>
        <w:left w:val="none" w:sz="0" w:space="0" w:color="auto"/>
        <w:bottom w:val="none" w:sz="0" w:space="0" w:color="auto"/>
        <w:right w:val="none" w:sz="0" w:space="0" w:color="auto"/>
      </w:divBdr>
    </w:div>
    <w:div w:id="179740821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0187709">
      <w:bodyDiv w:val="1"/>
      <w:marLeft w:val="0"/>
      <w:marRight w:val="0"/>
      <w:marTop w:val="0"/>
      <w:marBottom w:val="0"/>
      <w:divBdr>
        <w:top w:val="none" w:sz="0" w:space="0" w:color="auto"/>
        <w:left w:val="none" w:sz="0" w:space="0" w:color="auto"/>
        <w:bottom w:val="none" w:sz="0" w:space="0" w:color="auto"/>
        <w:right w:val="none" w:sz="0" w:space="0" w:color="auto"/>
      </w:divBdr>
    </w:div>
    <w:div w:id="21053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ITH-15-10.COM_2.BUR-Decisions-FR.doc" TargetMode="External"/><Relationship Id="rId18" Type="http://schemas.openxmlformats.org/officeDocument/2006/relationships/hyperlink" Target="http://www.unesco.org/culture/ich/doc/src/ITH-15-10.COM-7.b_FR.docx" TargetMode="External"/><Relationship Id="rId26" Type="http://schemas.openxmlformats.org/officeDocument/2006/relationships/hyperlink" Target="http://www.unesco.org/culture/ich/doc/src/ITH-13-8.COM-Decisions-FR.doc" TargetMode="External"/><Relationship Id="rId39" Type="http://schemas.openxmlformats.org/officeDocument/2006/relationships/image" Target="media/image6.emf"/><Relationship Id="rId21" Type="http://schemas.openxmlformats.org/officeDocument/2006/relationships/hyperlink" Target="http://www.unesco.org/culture/ich/doc/src/ITH-15-10.COM-9_FR.docx" TargetMode="External"/><Relationship Id="rId34" Type="http://schemas.openxmlformats.org/officeDocument/2006/relationships/header" Target="header2.xml"/><Relationship Id="rId42" Type="http://schemas.openxmlformats.org/officeDocument/2006/relationships/image" Target="media/image9.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esco.org/culture/ich/doc/src/ITH-13-8.COM-Decisions-FR.doc"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doc/src/ITH-13-8.COM-Decisions-EN.doc" TargetMode="External"/><Relationship Id="rId24" Type="http://schemas.openxmlformats.org/officeDocument/2006/relationships/hyperlink" Target="http://www.unesco.org/culture/ich/doc/src/ITH-14-5.GA-Resolutions-FR_.doc" TargetMode="External"/><Relationship Id="rId32" Type="http://schemas.openxmlformats.org/officeDocument/2006/relationships/image" Target="media/image4.emf"/><Relationship Id="rId37" Type="http://schemas.openxmlformats.org/officeDocument/2006/relationships/header" Target="header3.xml"/><Relationship Id="rId40" Type="http://schemas.openxmlformats.org/officeDocument/2006/relationships/image" Target="media/image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o.org/culture/ich/doc/src/ITH-13-8.COM-Decisions-FR.doc" TargetMode="External"/><Relationship Id="rId23" Type="http://schemas.openxmlformats.org/officeDocument/2006/relationships/hyperlink" Target="http://unesdoc.unesco.org/images/0021/002150/215084f.pdf" TargetMode="External"/><Relationship Id="rId28" Type="http://schemas.openxmlformats.org/officeDocument/2006/relationships/hyperlink" Target="http://www.unesco.org/culture/ich/doc/src/ITH-15-10.COM-9_FR.docx" TargetMode="External"/><Relationship Id="rId36" Type="http://schemas.openxmlformats.org/officeDocument/2006/relationships/footer" Target="footer2.xml"/><Relationship Id="rId10" Type="http://schemas.openxmlformats.org/officeDocument/2006/relationships/hyperlink" Target="http://www.unesco.org/culture/ich/doc/src/ITH-12-7.COM-Decisions_-FR.doc" TargetMode="External"/><Relationship Id="rId19" Type="http://schemas.openxmlformats.org/officeDocument/2006/relationships/hyperlink" Target="http://www.unesco.org/culture/ich/doc/src/IOS-AUD-2013-06-FR.pdf" TargetMode="Externa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esco.org/culture/ich/doc/src/ITH-14-5.GA-Resolutions-FR_.doc" TargetMode="External"/><Relationship Id="rId14" Type="http://schemas.openxmlformats.org/officeDocument/2006/relationships/hyperlink" Target="http://www.unesco.org/culture/ich/doc/src/ITH-15-10.COM_1.BUR-Decisions-FR.doc" TargetMode="External"/><Relationship Id="rId22" Type="http://schemas.openxmlformats.org/officeDocument/2006/relationships/hyperlink" Target="http://www.unesco.org/culture/ich/doc/src/ITH-13-8.COM-Decisions-FR.doc" TargetMode="External"/><Relationship Id="rId27" Type="http://schemas.openxmlformats.org/officeDocument/2006/relationships/hyperlink" Target="http://www.unesco.org/culture/ich/doc/src/ITH-15-10.COM-15.c_FR.docx" TargetMode="External"/><Relationship Id="rId30" Type="http://schemas.openxmlformats.org/officeDocument/2006/relationships/image" Target="media/image2.emf"/><Relationship Id="rId35" Type="http://schemas.openxmlformats.org/officeDocument/2006/relationships/footer" Target="footer1.xml"/><Relationship Id="rId43" Type="http://schemas.openxmlformats.org/officeDocument/2006/relationships/image" Target="media/image10.emf"/><Relationship Id="rId8" Type="http://schemas.openxmlformats.org/officeDocument/2006/relationships/hyperlink" Target="http://www.unesco.org/culture/ich/doc/src/00192-FR-PDF.pdf" TargetMode="External"/><Relationship Id="rId3" Type="http://schemas.openxmlformats.org/officeDocument/2006/relationships/styles" Target="styles.xml"/><Relationship Id="rId12" Type="http://schemas.openxmlformats.org/officeDocument/2006/relationships/hyperlink" Target="http://www.unesco.org/culture/ich/doc/src/ITH-10-3.GA-CONF.201-Resolution%20Rev.-FR.doc" TargetMode="External"/><Relationship Id="rId17" Type="http://schemas.openxmlformats.org/officeDocument/2006/relationships/hyperlink" Target="http://www.unesco.org/culture/ich/doc/src/ITH-14-9.COM_2.BUR-Decision-FR.doc" TargetMode="External"/><Relationship Id="rId25" Type="http://schemas.openxmlformats.org/officeDocument/2006/relationships/hyperlink" Target="http://www.unesco.org/culture/ich/doc/src/ITH-14-9.COM-Decisions-FR.doc" TargetMode="External"/><Relationship Id="rId33" Type="http://schemas.openxmlformats.org/officeDocument/2006/relationships/header" Target="header1.xml"/><Relationship Id="rId38" Type="http://schemas.openxmlformats.org/officeDocument/2006/relationships/footer" Target="footer3.xml"/><Relationship Id="rId20" Type="http://schemas.openxmlformats.org/officeDocument/2006/relationships/hyperlink" Target="http://www.unesco.org/culture/ich/doc/src/ITH-13-8.COM-Decisions-FR.doc" TargetMode="External"/><Relationship Id="rId41" Type="http://schemas.openxmlformats.org/officeDocument/2006/relationships/image" Target="media/image8.e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6463-9EF1-4AF3-A5DB-00A639FF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76D6EAC4</Template>
  <TotalTime>0</TotalTime>
  <Pages>20</Pages>
  <Words>6364</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2015-11-06T17:42:00Z</dcterms:created>
  <dcterms:modified xsi:type="dcterms:W3CDTF">2015-11-06T17:43:00Z</dcterms:modified>
</cp:coreProperties>
</file>