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2AC56" w14:textId="77777777" w:rsidR="00011BC7" w:rsidRPr="00A61C6E" w:rsidRDefault="00011BC7" w:rsidP="00011BC7">
      <w:pPr>
        <w:spacing w:before="1440"/>
        <w:jc w:val="center"/>
        <w:rPr>
          <w:rFonts w:ascii="Arial" w:hAnsi="Arial" w:cs="Arial"/>
          <w:b/>
          <w:sz w:val="22"/>
          <w:szCs w:val="22"/>
        </w:rPr>
      </w:pPr>
      <w:r w:rsidRPr="00A61C6E">
        <w:rPr>
          <w:rFonts w:ascii="Arial" w:hAnsi="Arial" w:cs="Arial"/>
          <w:b/>
          <w:sz w:val="22"/>
          <w:szCs w:val="22"/>
        </w:rPr>
        <w:t>CONVENTION POUR LA SAUVEGARDE DU</w:t>
      </w:r>
      <w:r w:rsidRPr="00A61C6E">
        <w:rPr>
          <w:rFonts w:ascii="Arial" w:hAnsi="Arial" w:cs="Arial"/>
          <w:b/>
          <w:sz w:val="22"/>
          <w:szCs w:val="22"/>
        </w:rPr>
        <w:br/>
        <w:t>PATRIMOINE CULTUREL IMMATÉRIEL</w:t>
      </w:r>
    </w:p>
    <w:p w14:paraId="75EA5314" w14:textId="77777777" w:rsidR="00011BC7" w:rsidRPr="00A61C6E" w:rsidRDefault="00011BC7" w:rsidP="00011BC7">
      <w:pPr>
        <w:spacing w:before="1200"/>
        <w:jc w:val="center"/>
        <w:rPr>
          <w:rFonts w:ascii="Arial" w:hAnsi="Arial" w:cs="Arial"/>
          <w:b/>
          <w:sz w:val="22"/>
          <w:szCs w:val="22"/>
        </w:rPr>
      </w:pPr>
      <w:r w:rsidRPr="00A61C6E">
        <w:rPr>
          <w:rFonts w:ascii="Arial" w:hAnsi="Arial" w:cs="Arial"/>
          <w:b/>
          <w:sz w:val="22"/>
          <w:szCs w:val="22"/>
        </w:rPr>
        <w:t>COMITÉ INTERGOUVERNEMENTAL DE SAUVEGARDE</w:t>
      </w:r>
      <w:r w:rsidRPr="00A61C6E">
        <w:rPr>
          <w:rFonts w:ascii="Arial" w:hAnsi="Arial" w:cs="Arial"/>
          <w:b/>
          <w:sz w:val="22"/>
          <w:szCs w:val="22"/>
        </w:rPr>
        <w:br/>
        <w:t>DU PATRIMOINE CULTUREL IMMATÉRIEL</w:t>
      </w:r>
    </w:p>
    <w:p w14:paraId="39821F6D" w14:textId="77777777" w:rsidR="00011BC7" w:rsidRPr="00B43974" w:rsidRDefault="00011BC7" w:rsidP="00011BC7">
      <w:pPr>
        <w:spacing w:before="840"/>
        <w:jc w:val="center"/>
        <w:rPr>
          <w:rFonts w:ascii="Arial" w:hAnsi="Arial" w:cs="Arial"/>
          <w:b/>
          <w:sz w:val="22"/>
          <w:szCs w:val="22"/>
        </w:rPr>
      </w:pPr>
      <w:r>
        <w:rPr>
          <w:rFonts w:ascii="Arial" w:hAnsi="Arial" w:cs="Arial"/>
          <w:b/>
          <w:sz w:val="22"/>
          <w:szCs w:val="22"/>
        </w:rPr>
        <w:t>Dixième</w:t>
      </w:r>
      <w:r w:rsidRPr="00B43974">
        <w:rPr>
          <w:rFonts w:ascii="Arial" w:hAnsi="Arial" w:cs="Arial"/>
          <w:b/>
          <w:sz w:val="22"/>
          <w:szCs w:val="22"/>
        </w:rPr>
        <w:t xml:space="preserve"> session</w:t>
      </w:r>
    </w:p>
    <w:p w14:paraId="4FFC677F" w14:textId="77777777" w:rsidR="00011BC7" w:rsidRPr="00A61C6E" w:rsidRDefault="00011BC7" w:rsidP="00011BC7">
      <w:pPr>
        <w:jc w:val="center"/>
        <w:rPr>
          <w:rFonts w:ascii="Arial" w:hAnsi="Arial" w:cs="Arial"/>
          <w:b/>
          <w:sz w:val="22"/>
          <w:szCs w:val="22"/>
        </w:rPr>
      </w:pPr>
      <w:r>
        <w:rPr>
          <w:rFonts w:ascii="Arial" w:hAnsi="Arial" w:cs="Arial"/>
          <w:b/>
          <w:sz w:val="22"/>
          <w:szCs w:val="22"/>
        </w:rPr>
        <w:t>Windhoek, Namibie</w:t>
      </w:r>
    </w:p>
    <w:p w14:paraId="211B573E" w14:textId="77777777" w:rsidR="00011BC7" w:rsidRPr="00A61C6E" w:rsidRDefault="00011BC7" w:rsidP="00011BC7">
      <w:pPr>
        <w:jc w:val="center"/>
        <w:rPr>
          <w:rFonts w:ascii="Arial" w:hAnsi="Arial" w:cs="Arial"/>
          <w:b/>
          <w:sz w:val="22"/>
          <w:szCs w:val="22"/>
        </w:rPr>
      </w:pPr>
      <w:r>
        <w:rPr>
          <w:rFonts w:ascii="Arial" w:hAnsi="Arial" w:cs="Arial"/>
          <w:b/>
          <w:sz w:val="22"/>
          <w:szCs w:val="22"/>
        </w:rPr>
        <w:t xml:space="preserve">30 </w:t>
      </w:r>
      <w:r w:rsidRPr="00A61C6E">
        <w:rPr>
          <w:rFonts w:ascii="Arial" w:hAnsi="Arial" w:cs="Arial"/>
          <w:b/>
          <w:sz w:val="22"/>
          <w:szCs w:val="22"/>
        </w:rPr>
        <w:t xml:space="preserve">novembre – </w:t>
      </w:r>
      <w:r>
        <w:rPr>
          <w:rFonts w:ascii="Arial" w:hAnsi="Arial" w:cs="Arial"/>
          <w:b/>
          <w:sz w:val="22"/>
          <w:szCs w:val="22"/>
        </w:rPr>
        <w:t>4</w:t>
      </w:r>
      <w:r w:rsidRPr="00A61C6E">
        <w:rPr>
          <w:rFonts w:ascii="Arial" w:hAnsi="Arial" w:cs="Arial"/>
          <w:b/>
          <w:sz w:val="22"/>
          <w:szCs w:val="22"/>
        </w:rPr>
        <w:t xml:space="preserve"> </w:t>
      </w:r>
      <w:r>
        <w:rPr>
          <w:rFonts w:ascii="Arial" w:hAnsi="Arial" w:cs="Arial"/>
          <w:b/>
          <w:sz w:val="22"/>
          <w:szCs w:val="22"/>
        </w:rPr>
        <w:t>décembre 2015</w:t>
      </w:r>
    </w:p>
    <w:p w14:paraId="3D7DB201" w14:textId="77777777" w:rsidR="00EC6F8D" w:rsidRPr="00293C60" w:rsidRDefault="00EC6F8D" w:rsidP="00EC6F8D">
      <w:pPr>
        <w:pStyle w:val="Sansinterligne2"/>
        <w:spacing w:before="1200"/>
        <w:jc w:val="center"/>
        <w:rPr>
          <w:rFonts w:ascii="Arial" w:hAnsi="Arial" w:cs="Arial"/>
          <w:b/>
          <w:sz w:val="22"/>
          <w:szCs w:val="22"/>
        </w:rPr>
      </w:pPr>
      <w:r>
        <w:rPr>
          <w:rFonts w:ascii="Arial" w:hAnsi="Arial"/>
          <w:b/>
          <w:sz w:val="22"/>
          <w:u w:val="single"/>
        </w:rPr>
        <w:t>Point 6.c de l’ordre du jour provisoire</w:t>
      </w:r>
      <w:bookmarkStart w:id="0" w:name="_GoBack"/>
      <w:r w:rsidRPr="002A13E4">
        <w:rPr>
          <w:u w:val="single"/>
        </w:rPr>
        <w:t> :</w:t>
      </w:r>
      <w:bookmarkEnd w:id="0"/>
    </w:p>
    <w:p w14:paraId="1A229ED1" w14:textId="31764D8C" w:rsidR="00EC6F8D" w:rsidRPr="00293C60" w:rsidRDefault="00A23469" w:rsidP="00A23469">
      <w:pPr>
        <w:pStyle w:val="Sansinterligne2"/>
        <w:spacing w:after="1200"/>
        <w:jc w:val="center"/>
        <w:rPr>
          <w:rFonts w:ascii="Arial" w:hAnsi="Arial" w:cs="Arial"/>
          <w:b/>
          <w:sz w:val="22"/>
          <w:szCs w:val="22"/>
        </w:rPr>
      </w:pPr>
      <w:r>
        <w:rPr>
          <w:rFonts w:ascii="Arial" w:hAnsi="Arial"/>
          <w:b/>
          <w:sz w:val="22"/>
        </w:rPr>
        <w:t xml:space="preserve">Rapports des États parties sur l’utilisation de l’assistance internationale </w:t>
      </w:r>
      <w:r w:rsidR="00BB59CF">
        <w:rPr>
          <w:rFonts w:ascii="Arial" w:hAnsi="Arial"/>
          <w:b/>
          <w:sz w:val="22"/>
        </w:rPr>
        <w:br/>
      </w:r>
      <w:r>
        <w:rPr>
          <w:rFonts w:ascii="Arial" w:hAnsi="Arial"/>
          <w:b/>
          <w:sz w:val="22"/>
        </w:rPr>
        <w:t>du Fonds du patrimoine culturel immatériel</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A23469" w14:paraId="3A1C4F10" w14:textId="77777777" w:rsidTr="00EC6F8D">
        <w:trPr>
          <w:jc w:val="center"/>
        </w:trPr>
        <w:tc>
          <w:tcPr>
            <w:tcW w:w="5670" w:type="dxa"/>
            <w:vAlign w:val="center"/>
          </w:tcPr>
          <w:p w14:paraId="3D337238" w14:textId="77777777" w:rsidR="00EC6F8D" w:rsidRPr="00293C60" w:rsidRDefault="00EC6F8D" w:rsidP="00CA56BB">
            <w:pPr>
              <w:pStyle w:val="Sansinterligne1"/>
              <w:spacing w:before="200" w:after="200"/>
              <w:jc w:val="center"/>
              <w:rPr>
                <w:rFonts w:ascii="Arial" w:hAnsi="Arial" w:cs="Arial"/>
                <w:b/>
                <w:sz w:val="22"/>
                <w:szCs w:val="22"/>
              </w:rPr>
            </w:pPr>
            <w:r>
              <w:rPr>
                <w:rFonts w:ascii="Arial" w:hAnsi="Arial"/>
                <w:b/>
                <w:sz w:val="22"/>
              </w:rPr>
              <w:t>Résumé</w:t>
            </w:r>
          </w:p>
          <w:p w14:paraId="79B1B451" w14:textId="2E1DAFE5" w:rsidR="00D447A7" w:rsidRPr="00BC620A" w:rsidRDefault="00D447A7" w:rsidP="00D447A7">
            <w:pPr>
              <w:pStyle w:val="Sansinterligne2"/>
              <w:spacing w:before="200" w:after="200"/>
              <w:jc w:val="both"/>
              <w:rPr>
                <w:rFonts w:ascii="Arial" w:hAnsi="Arial" w:cs="Arial"/>
                <w:sz w:val="22"/>
                <w:szCs w:val="22"/>
              </w:rPr>
            </w:pPr>
            <w:r>
              <w:rPr>
                <w:rFonts w:ascii="Arial" w:hAnsi="Arial"/>
                <w:sz w:val="22"/>
              </w:rPr>
              <w:t>L’</w:t>
            </w:r>
            <w:r w:rsidR="00F2128E">
              <w:rPr>
                <w:rFonts w:ascii="Arial" w:hAnsi="Arial"/>
                <w:sz w:val="22"/>
              </w:rPr>
              <w:t>a</w:t>
            </w:r>
            <w:r>
              <w:rPr>
                <w:rFonts w:ascii="Arial" w:hAnsi="Arial"/>
                <w:sz w:val="22"/>
              </w:rPr>
              <w:t xml:space="preserve">rticle 24.3 de la Convention stipule que </w:t>
            </w:r>
            <w:r w:rsidRPr="00011BC7">
              <w:rPr>
                <w:rFonts w:ascii="Arial" w:hAnsi="Arial"/>
                <w:sz w:val="22"/>
              </w:rPr>
              <w:t xml:space="preserve">« L’État partie </w:t>
            </w:r>
            <w:r w:rsidRPr="00FC1BD0">
              <w:rPr>
                <w:rFonts w:ascii="Arial" w:hAnsi="Arial"/>
                <w:sz w:val="22"/>
              </w:rPr>
              <w:t xml:space="preserve">bénéficiaire remet au Comité un rapport sur l’utilisation de l’assistance accordée en faveur de la sauvegarde du patrimoine culturel immatériel ». Le présent document </w:t>
            </w:r>
            <w:r w:rsidR="00FC1BD0">
              <w:rPr>
                <w:rFonts w:ascii="Arial" w:hAnsi="Arial"/>
                <w:sz w:val="22"/>
              </w:rPr>
              <w:t xml:space="preserve">couvre </w:t>
            </w:r>
            <w:r w:rsidRPr="00FC1BD0">
              <w:rPr>
                <w:rFonts w:ascii="Arial" w:hAnsi="Arial"/>
                <w:sz w:val="22"/>
              </w:rPr>
              <w:t xml:space="preserve">la </w:t>
            </w:r>
            <w:r w:rsidR="00FC1BD0" w:rsidRPr="00FC1BD0">
              <w:rPr>
                <w:rFonts w:ascii="Arial" w:hAnsi="Arial"/>
                <w:sz w:val="22"/>
              </w:rPr>
              <w:t xml:space="preserve">période </w:t>
            </w:r>
            <w:r w:rsidR="00FC1BD0">
              <w:rPr>
                <w:rFonts w:ascii="Arial" w:hAnsi="Arial"/>
                <w:sz w:val="22"/>
              </w:rPr>
              <w:t xml:space="preserve">de </w:t>
            </w:r>
            <w:r w:rsidRPr="00FC1BD0">
              <w:rPr>
                <w:rFonts w:ascii="Arial" w:hAnsi="Arial"/>
                <w:sz w:val="22"/>
              </w:rPr>
              <w:t>présentation de</w:t>
            </w:r>
            <w:r w:rsidR="00FC1BD0">
              <w:rPr>
                <w:rFonts w:ascii="Arial" w:hAnsi="Arial"/>
                <w:sz w:val="22"/>
              </w:rPr>
              <w:t>s</w:t>
            </w:r>
            <w:r w:rsidRPr="00FC1BD0">
              <w:rPr>
                <w:rFonts w:ascii="Arial" w:hAnsi="Arial"/>
                <w:sz w:val="22"/>
              </w:rPr>
              <w:t xml:space="preserve"> rapports d’octobre 2014 à septembre 2015.</w:t>
            </w:r>
          </w:p>
          <w:p w14:paraId="315F8FCC" w14:textId="77777777" w:rsidR="00EC6F8D" w:rsidRPr="00293C60" w:rsidRDefault="00EC6F8D" w:rsidP="00CA56BB">
            <w:pPr>
              <w:pStyle w:val="Sansinterligne2"/>
              <w:spacing w:before="200" w:after="200"/>
              <w:jc w:val="both"/>
              <w:rPr>
                <w:rFonts w:ascii="Arial" w:hAnsi="Arial" w:cs="Arial"/>
                <w:b/>
                <w:sz w:val="22"/>
                <w:szCs w:val="22"/>
              </w:rPr>
            </w:pPr>
            <w:r>
              <w:rPr>
                <w:rFonts w:ascii="Arial" w:hAnsi="Arial"/>
                <w:b/>
                <w:sz w:val="22"/>
              </w:rPr>
              <w:t xml:space="preserve">Décision requise : </w:t>
            </w:r>
            <w:r>
              <w:rPr>
                <w:rFonts w:ascii="Arial" w:hAnsi="Arial"/>
                <w:sz w:val="22"/>
              </w:rPr>
              <w:t>paragraphe 9</w:t>
            </w:r>
          </w:p>
        </w:tc>
      </w:tr>
    </w:tbl>
    <w:p w14:paraId="6B11FD5D" w14:textId="752E2B93" w:rsidR="00D447A7" w:rsidRPr="00FC1BD0" w:rsidRDefault="00655736" w:rsidP="00377E5D">
      <w:pPr>
        <w:pStyle w:val="Marge"/>
        <w:numPr>
          <w:ilvl w:val="0"/>
          <w:numId w:val="9"/>
        </w:numPr>
        <w:spacing w:before="120" w:after="120"/>
        <w:ind w:left="567" w:hanging="567"/>
      </w:pPr>
      <w:r>
        <w:br w:type="page"/>
      </w:r>
      <w:r>
        <w:lastRenderedPageBreak/>
        <w:t>L’</w:t>
      </w:r>
      <w:r w:rsidR="00F2128E">
        <w:t>a</w:t>
      </w:r>
      <w:r>
        <w:t xml:space="preserve">rticle 24.3 de la Convention stipule </w:t>
      </w:r>
      <w:r w:rsidRPr="00FC1BD0">
        <w:t>que « L’État partie bénéficiaire remet au Comité un rapport sur l’utilisation de l’assistance accordée en faveur de la sauvegarde du patrimoine culturel immatériel ». Cette assistance financière</w:t>
      </w:r>
      <w:r>
        <w:t xml:space="preserve"> internationale du Fonds du patrimoine culturel immatériel est décrite au chapitre V de la Convention et aux chapitres I.4 et I.14 des Directives opérationnelles. </w:t>
      </w:r>
      <w:r w:rsidRPr="00FC1BD0">
        <w:t xml:space="preserve">Le présent document </w:t>
      </w:r>
      <w:r w:rsidR="00FC1BD0">
        <w:t>couvre</w:t>
      </w:r>
      <w:r w:rsidR="00FC1BD0" w:rsidRPr="00FC1BD0">
        <w:t xml:space="preserve"> </w:t>
      </w:r>
      <w:r w:rsidRPr="00FC1BD0">
        <w:t xml:space="preserve">la </w:t>
      </w:r>
      <w:r w:rsidR="00FC1BD0" w:rsidRPr="00FC1BD0">
        <w:t xml:space="preserve">période </w:t>
      </w:r>
      <w:r w:rsidR="00FC1BD0">
        <w:t xml:space="preserve">de </w:t>
      </w:r>
      <w:r w:rsidRPr="00FC1BD0">
        <w:t>présentation de</w:t>
      </w:r>
      <w:r w:rsidR="00FC1BD0">
        <w:t>s</w:t>
      </w:r>
      <w:r w:rsidRPr="00FC1BD0">
        <w:t xml:space="preserve"> rapports d’octobre 2014 à septembre 2015.</w:t>
      </w:r>
    </w:p>
    <w:p w14:paraId="2C31CFD9" w14:textId="008DD09B" w:rsidR="00624484" w:rsidRPr="00554FEB" w:rsidRDefault="009455BA" w:rsidP="00377E5D">
      <w:pPr>
        <w:pStyle w:val="Marge"/>
        <w:numPr>
          <w:ilvl w:val="0"/>
          <w:numId w:val="9"/>
        </w:numPr>
        <w:spacing w:before="120" w:after="120"/>
        <w:ind w:left="567" w:hanging="567"/>
      </w:pPr>
      <w:r>
        <w:t>Le</w:t>
      </w:r>
      <w:r w:rsidR="00FC1BD0">
        <w:t>s</w:t>
      </w:r>
      <w:r>
        <w:t xml:space="preserve"> </w:t>
      </w:r>
      <w:r w:rsidRPr="00FC1BD0">
        <w:t>rapport</w:t>
      </w:r>
      <w:r w:rsidR="00FC1BD0">
        <w:t>s</w:t>
      </w:r>
      <w:r>
        <w:t xml:space="preserve"> remis au Comité sur l’utilisation de l’assistance accordée en faveur de la sauvegarde du patrimoine culturel immatériel permet</w:t>
      </w:r>
      <w:r w:rsidR="00FC1BD0">
        <w:t>tent</w:t>
      </w:r>
      <w:r>
        <w:t xml:space="preserve"> aux États parties bénéficiaires de présenter les résultats du projet par rapport aux résultats escomptés, les avantages pour les communautés concernées, les mesures prises pour assurer la durabilité ainsi que les difficultés et les enseignements tirés.</w:t>
      </w:r>
    </w:p>
    <w:p w14:paraId="0DFF8370" w14:textId="38C20747" w:rsidR="006C6DCC" w:rsidRDefault="00362B46" w:rsidP="00F06A09">
      <w:pPr>
        <w:pStyle w:val="Marge"/>
        <w:numPr>
          <w:ilvl w:val="0"/>
          <w:numId w:val="9"/>
        </w:numPr>
        <w:spacing w:before="120" w:after="120"/>
        <w:ind w:left="567" w:hanging="567"/>
      </w:pPr>
      <w:r>
        <w:t>Au début de la période de rapport qui a eu lieu en octobre 2014, 10 projets d’assistance internationale étaient en cours pour un montant de 1</w:t>
      </w:r>
      <w:r w:rsidR="00F2128E">
        <w:t> </w:t>
      </w:r>
      <w:r>
        <w:t>321</w:t>
      </w:r>
      <w:r w:rsidR="00F2128E">
        <w:t> </w:t>
      </w:r>
      <w:r>
        <w:t>630 dollars des États-Unis</w:t>
      </w:r>
      <w:r w:rsidR="00FC1BD0">
        <w:t>, p</w:t>
      </w:r>
      <w:r>
        <w:t xml:space="preserve">armi </w:t>
      </w:r>
      <w:r w:rsidR="00FC1BD0">
        <w:t>lesquels</w:t>
      </w:r>
      <w:r>
        <w:t xml:space="preserve"> six projets d’un montant supérieur à 25</w:t>
      </w:r>
      <w:r w:rsidR="00F2128E">
        <w:t> </w:t>
      </w:r>
      <w:r>
        <w:t>000 dollars</w:t>
      </w:r>
      <w:r w:rsidR="00F2128E" w:rsidRPr="00F2128E">
        <w:t xml:space="preserve"> </w:t>
      </w:r>
      <w:r w:rsidR="00F2128E">
        <w:t>des États-Unis</w:t>
      </w:r>
      <w:r>
        <w:t xml:space="preserve">, un </w:t>
      </w:r>
      <w:r w:rsidR="00FC1BD0">
        <w:t xml:space="preserve">projet d’un montant allant </w:t>
      </w:r>
      <w:r w:rsidR="00F2128E">
        <w:t xml:space="preserve">jusqu’à </w:t>
      </w:r>
      <w:r>
        <w:t>25</w:t>
      </w:r>
      <w:r w:rsidR="00F2128E">
        <w:t> </w:t>
      </w:r>
      <w:r>
        <w:t>000 dollars</w:t>
      </w:r>
      <w:r w:rsidR="00F2128E" w:rsidRPr="00F2128E">
        <w:t xml:space="preserve"> </w:t>
      </w:r>
      <w:r w:rsidR="00F2128E">
        <w:t>des États-Unis</w:t>
      </w:r>
      <w:r>
        <w:t xml:space="preserve">, un projet d’assistance d’urgence et deux projets d’assistance préparatoire pour une inscription sur la </w:t>
      </w:r>
      <w:r w:rsidR="00F2128E">
        <w:t>L</w:t>
      </w:r>
      <w:r>
        <w:t>iste du patrimoine culturel immatériel nécessitant une sauvegarde urgente.</w:t>
      </w:r>
    </w:p>
    <w:p w14:paraId="1E621DBB" w14:textId="2BB77863" w:rsidR="00206CC4" w:rsidRDefault="00300655" w:rsidP="001144DC">
      <w:pPr>
        <w:pStyle w:val="Marge"/>
        <w:numPr>
          <w:ilvl w:val="0"/>
          <w:numId w:val="9"/>
        </w:numPr>
        <w:spacing w:before="120" w:after="120"/>
        <w:ind w:left="567" w:hanging="567"/>
      </w:pPr>
      <w:r>
        <w:t xml:space="preserve">Six projets ont été menés à terme avec succès et les rapports finaux ont été </w:t>
      </w:r>
      <w:r w:rsidR="000E7C9F">
        <w:t xml:space="preserve">dûment </w:t>
      </w:r>
      <w:r>
        <w:t xml:space="preserve">soumis. Parmi ces derniers, deux étaient des projets d’assistance préparatoire qui avaient été soumis pour inscription sur la Liste du patrimoine culturel immatériel nécessitant une sauvegarde urgente pour être examinés par le </w:t>
      </w:r>
      <w:r w:rsidR="000E7C9F">
        <w:t>C</w:t>
      </w:r>
      <w:r>
        <w:t xml:space="preserve">omité en 2016. Trois projets sont en cours </w:t>
      </w:r>
      <w:r w:rsidR="000E7C9F">
        <w:t>conformément au</w:t>
      </w:r>
      <w:r>
        <w:t xml:space="preserve"> calendrier prévu, et les rapports d’avancement ont été </w:t>
      </w:r>
      <w:r w:rsidR="000E7C9F">
        <w:t xml:space="preserve">dûment </w:t>
      </w:r>
      <w:r>
        <w:t>soumis.</w:t>
      </w:r>
    </w:p>
    <w:p w14:paraId="351B51B2" w14:textId="7F817980" w:rsidR="00206CC4" w:rsidRPr="00BC620A" w:rsidRDefault="00FC1BD0" w:rsidP="00206CC4">
      <w:pPr>
        <w:pStyle w:val="Marge"/>
        <w:numPr>
          <w:ilvl w:val="0"/>
          <w:numId w:val="9"/>
        </w:numPr>
        <w:spacing w:before="120" w:after="120"/>
        <w:ind w:left="567" w:hanging="567"/>
        <w:rPr>
          <w:snapToGrid/>
        </w:rPr>
      </w:pPr>
      <w:r>
        <w:t>Concernant l’un des projets en cours, i</w:t>
      </w:r>
      <w:r w:rsidR="000E7C9F">
        <w:t>l n’y a pas eu de</w:t>
      </w:r>
      <w:r w:rsidR="00206CC4">
        <w:t xml:space="preserve"> rapport en raison de problèmes de transfert de fonds entre la trésorerie nationale et l’agence de mise en œuvre du pays. Alors que les phases I et II du projet ont été menées à terme, l’agence de mise en œuvre ne peut pas terminer la phase finale tant que les fonds ne sont pas débloqués. Le Secrétariat est à la recherche d’une solution administrative avec l’État partie concerné pour résoudre le problème. Aucun rapport d’avancement </w:t>
      </w:r>
      <w:r w:rsidR="000E7C9F">
        <w:t>n’a pu</w:t>
      </w:r>
      <w:r w:rsidR="00206CC4">
        <w:t xml:space="preserve"> être soumis à l</w:t>
      </w:r>
      <w:r w:rsidR="000E7C9F">
        <w:t>’</w:t>
      </w:r>
      <w:r w:rsidR="00206CC4">
        <w:t>a</w:t>
      </w:r>
      <w:r w:rsidR="000E7C9F">
        <w:t>ttention de la</w:t>
      </w:r>
      <w:r w:rsidR="00206CC4">
        <w:t xml:space="preserve"> </w:t>
      </w:r>
      <w:r w:rsidR="000E7C9F">
        <w:t>dixième</w:t>
      </w:r>
      <w:r w:rsidR="00206CC4">
        <w:t xml:space="preserve"> session du Comité.</w:t>
      </w:r>
    </w:p>
    <w:p w14:paraId="7419ED6E" w14:textId="77777777" w:rsidR="00827BAF" w:rsidRPr="00206CC4" w:rsidRDefault="00AC4A8F">
      <w:pPr>
        <w:pStyle w:val="Marge"/>
        <w:numPr>
          <w:ilvl w:val="0"/>
          <w:numId w:val="9"/>
        </w:numPr>
        <w:spacing w:before="120" w:after="120"/>
        <w:ind w:left="567" w:hanging="567"/>
      </w:pPr>
      <w:r>
        <w:t>Les rapports sur chacun de ces neuf projets sont disponibles au téléchargement dans la langue dans laquelle ils ont été soumis sur les liens indiqués ci-dessous.</w:t>
      </w:r>
    </w:p>
    <w:tbl>
      <w:tblPr>
        <w:tblW w:w="0" w:type="auto"/>
        <w:tblInd w:w="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0"/>
        <w:gridCol w:w="1418"/>
        <w:gridCol w:w="2268"/>
        <w:gridCol w:w="1134"/>
        <w:gridCol w:w="1524"/>
      </w:tblGrid>
      <w:tr w:rsidR="00D315C2" w:rsidRPr="00BB59CF" w14:paraId="7B49AAD9" w14:textId="77777777" w:rsidTr="00BB59CF">
        <w:trPr>
          <w:cantSplit/>
        </w:trPr>
        <w:tc>
          <w:tcPr>
            <w:tcW w:w="2810" w:type="dxa"/>
            <w:shd w:val="clear" w:color="auto" w:fill="D9D9D9"/>
          </w:tcPr>
          <w:p w14:paraId="21B69803" w14:textId="77777777" w:rsidR="0092667B" w:rsidRPr="00BB59CF" w:rsidRDefault="0092667B" w:rsidP="007E09C0">
            <w:pPr>
              <w:pStyle w:val="Marge"/>
              <w:spacing w:before="120" w:after="120"/>
              <w:jc w:val="left"/>
              <w:rPr>
                <w:rFonts w:cs="Arial"/>
                <w:b/>
                <w:bCs/>
                <w:sz w:val="18"/>
                <w:szCs w:val="18"/>
              </w:rPr>
            </w:pPr>
            <w:r w:rsidRPr="00BB59CF">
              <w:rPr>
                <w:b/>
                <w:sz w:val="18"/>
                <w:szCs w:val="18"/>
              </w:rPr>
              <w:t>Projet</w:t>
            </w:r>
          </w:p>
        </w:tc>
        <w:tc>
          <w:tcPr>
            <w:tcW w:w="1418" w:type="dxa"/>
            <w:shd w:val="clear" w:color="auto" w:fill="D9D9D9"/>
          </w:tcPr>
          <w:p w14:paraId="74F27916" w14:textId="77777777" w:rsidR="0092667B" w:rsidRPr="00BB59CF" w:rsidRDefault="0092667B" w:rsidP="007E09C0">
            <w:pPr>
              <w:pStyle w:val="Marge"/>
              <w:spacing w:before="120" w:after="120"/>
              <w:jc w:val="left"/>
              <w:rPr>
                <w:rFonts w:cs="Arial"/>
                <w:b/>
                <w:bCs/>
                <w:sz w:val="18"/>
                <w:szCs w:val="18"/>
              </w:rPr>
            </w:pPr>
            <w:r w:rsidRPr="00BB59CF">
              <w:rPr>
                <w:b/>
                <w:sz w:val="18"/>
                <w:szCs w:val="18"/>
              </w:rPr>
              <w:t>Bénéficiaire</w:t>
            </w:r>
          </w:p>
        </w:tc>
        <w:tc>
          <w:tcPr>
            <w:tcW w:w="2268" w:type="dxa"/>
            <w:shd w:val="clear" w:color="auto" w:fill="D9D9D9"/>
          </w:tcPr>
          <w:p w14:paraId="151C4492" w14:textId="3CF11AE3" w:rsidR="0092667B" w:rsidRPr="00BB59CF" w:rsidRDefault="00EE2D4D" w:rsidP="00BB59CF">
            <w:pPr>
              <w:pStyle w:val="Marge"/>
              <w:spacing w:before="120" w:after="120"/>
              <w:jc w:val="center"/>
              <w:rPr>
                <w:rFonts w:cs="Arial"/>
                <w:b/>
                <w:bCs/>
                <w:sz w:val="18"/>
                <w:szCs w:val="18"/>
              </w:rPr>
            </w:pPr>
            <w:r w:rsidRPr="00BB59CF">
              <w:rPr>
                <w:b/>
                <w:sz w:val="18"/>
                <w:szCs w:val="18"/>
              </w:rPr>
              <w:t>Montant</w:t>
            </w:r>
            <w:r w:rsidR="00BB59CF" w:rsidRPr="00BB59CF">
              <w:rPr>
                <w:b/>
                <w:sz w:val="18"/>
                <w:szCs w:val="18"/>
              </w:rPr>
              <w:br/>
              <w:t>(</w:t>
            </w:r>
            <w:r w:rsidR="00BB59CF" w:rsidRPr="00BB59CF">
              <w:rPr>
                <w:snapToGrid/>
                <w:sz w:val="18"/>
                <w:szCs w:val="18"/>
              </w:rPr>
              <w:t>dollars des États-Unis)</w:t>
            </w:r>
          </w:p>
        </w:tc>
        <w:tc>
          <w:tcPr>
            <w:tcW w:w="1134" w:type="dxa"/>
            <w:shd w:val="clear" w:color="auto" w:fill="D9D9D9"/>
          </w:tcPr>
          <w:p w14:paraId="787F4703" w14:textId="77777777" w:rsidR="0092667B" w:rsidRPr="00BB59CF" w:rsidRDefault="0092667B" w:rsidP="00BB59CF">
            <w:pPr>
              <w:pStyle w:val="Marge"/>
              <w:spacing w:before="120" w:after="120"/>
              <w:jc w:val="center"/>
              <w:rPr>
                <w:rFonts w:cs="Arial"/>
                <w:b/>
                <w:bCs/>
                <w:sz w:val="18"/>
                <w:szCs w:val="18"/>
              </w:rPr>
            </w:pPr>
            <w:r w:rsidRPr="00BB59CF">
              <w:rPr>
                <w:b/>
                <w:sz w:val="18"/>
                <w:szCs w:val="18"/>
              </w:rPr>
              <w:t>Période</w:t>
            </w:r>
          </w:p>
        </w:tc>
        <w:tc>
          <w:tcPr>
            <w:tcW w:w="1524" w:type="dxa"/>
            <w:shd w:val="clear" w:color="auto" w:fill="D9D9D9"/>
          </w:tcPr>
          <w:p w14:paraId="45D44436" w14:textId="77777777" w:rsidR="0092667B" w:rsidRPr="00BB59CF" w:rsidRDefault="0092667B" w:rsidP="007E09C0">
            <w:pPr>
              <w:pStyle w:val="Marge"/>
              <w:spacing w:before="120" w:after="120"/>
              <w:jc w:val="left"/>
              <w:rPr>
                <w:rFonts w:cs="Arial"/>
                <w:b/>
                <w:bCs/>
                <w:sz w:val="18"/>
                <w:szCs w:val="18"/>
              </w:rPr>
            </w:pPr>
            <w:r w:rsidRPr="00BB59CF">
              <w:rPr>
                <w:b/>
                <w:sz w:val="18"/>
                <w:szCs w:val="18"/>
              </w:rPr>
              <w:t>Rapport</w:t>
            </w:r>
          </w:p>
        </w:tc>
      </w:tr>
      <w:tr w:rsidR="00D315C2" w:rsidRPr="005A39B2" w14:paraId="6953FA87" w14:textId="77777777" w:rsidTr="00BB59CF">
        <w:trPr>
          <w:cantSplit/>
        </w:trPr>
        <w:tc>
          <w:tcPr>
            <w:tcW w:w="2810" w:type="dxa"/>
            <w:shd w:val="clear" w:color="auto" w:fill="auto"/>
          </w:tcPr>
          <w:p w14:paraId="542C41DD" w14:textId="0131F8E6" w:rsidR="0092667B" w:rsidRPr="009720B7" w:rsidRDefault="00514803" w:rsidP="00243AF0">
            <w:pPr>
              <w:pStyle w:val="Marge"/>
              <w:spacing w:beforeLines="60" w:before="144" w:after="60"/>
              <w:jc w:val="left"/>
              <w:rPr>
                <w:rFonts w:cs="Arial"/>
                <w:sz w:val="20"/>
                <w:szCs w:val="20"/>
                <w:highlight w:val="yellow"/>
              </w:rPr>
            </w:pPr>
            <w:r w:rsidRPr="009720B7">
              <w:rPr>
                <w:sz w:val="20"/>
              </w:rPr>
              <w:t>L’</w:t>
            </w:r>
            <w:r w:rsidRPr="009720B7">
              <w:t>i</w:t>
            </w:r>
            <w:r w:rsidR="001F735E" w:rsidRPr="00243AF0">
              <w:rPr>
                <w:sz w:val="20"/>
              </w:rPr>
              <w:t>nventaire de</w:t>
            </w:r>
            <w:r w:rsidRPr="009720B7">
              <w:rPr>
                <w:sz w:val="20"/>
              </w:rPr>
              <w:t>s</w:t>
            </w:r>
            <w:r w:rsidR="001F735E" w:rsidRPr="00243AF0">
              <w:rPr>
                <w:sz w:val="20"/>
              </w:rPr>
              <w:t xml:space="preserve"> </w:t>
            </w:r>
            <w:r w:rsidR="001F735E" w:rsidRPr="00514803">
              <w:rPr>
                <w:sz w:val="20"/>
              </w:rPr>
              <w:t>musique</w:t>
            </w:r>
            <w:r w:rsidRPr="009720B7">
              <w:rPr>
                <w:sz w:val="20"/>
              </w:rPr>
              <w:t>s</w:t>
            </w:r>
            <w:r w:rsidR="001F735E" w:rsidRPr="00243AF0">
              <w:rPr>
                <w:sz w:val="20"/>
              </w:rPr>
              <w:t xml:space="preserve"> </w:t>
            </w:r>
            <w:r w:rsidR="001F735E" w:rsidRPr="00514803">
              <w:rPr>
                <w:sz w:val="20"/>
              </w:rPr>
              <w:t>traditionnelle</w:t>
            </w:r>
            <w:r w:rsidRPr="009720B7">
              <w:rPr>
                <w:sz w:val="20"/>
              </w:rPr>
              <w:t>s</w:t>
            </w:r>
            <w:r w:rsidR="001F735E" w:rsidRPr="00243AF0">
              <w:rPr>
                <w:sz w:val="20"/>
              </w:rPr>
              <w:t xml:space="preserve"> au Sénégal</w:t>
            </w:r>
            <w:r w:rsidR="008B16C7">
              <w:rPr>
                <w:sz w:val="20"/>
              </w:rPr>
              <w:t xml:space="preserve"> (n°</w:t>
            </w:r>
            <w:r w:rsidR="008B16C7" w:rsidRPr="008B16C7">
              <w:rPr>
                <w:rFonts w:cs="Arial"/>
                <w:sz w:val="20"/>
                <w:szCs w:val="20"/>
              </w:rPr>
              <w:t>00553</w:t>
            </w:r>
            <w:r w:rsidR="008B16C7">
              <w:rPr>
                <w:sz w:val="20"/>
              </w:rPr>
              <w:t>)</w:t>
            </w:r>
          </w:p>
        </w:tc>
        <w:tc>
          <w:tcPr>
            <w:tcW w:w="1418" w:type="dxa"/>
            <w:shd w:val="clear" w:color="auto" w:fill="auto"/>
          </w:tcPr>
          <w:p w14:paraId="40E79F04" w14:textId="77777777" w:rsidR="0092667B" w:rsidRPr="001F735E" w:rsidRDefault="001F735E" w:rsidP="00EE2918">
            <w:pPr>
              <w:pStyle w:val="Marge"/>
              <w:spacing w:beforeLines="60" w:before="144" w:after="60"/>
              <w:jc w:val="left"/>
              <w:rPr>
                <w:rFonts w:cs="Arial"/>
                <w:snapToGrid/>
                <w:sz w:val="20"/>
                <w:szCs w:val="20"/>
              </w:rPr>
            </w:pPr>
            <w:r>
              <w:rPr>
                <w:snapToGrid/>
                <w:sz w:val="20"/>
              </w:rPr>
              <w:t>Sénégal</w:t>
            </w:r>
          </w:p>
        </w:tc>
        <w:tc>
          <w:tcPr>
            <w:tcW w:w="2268" w:type="dxa"/>
          </w:tcPr>
          <w:p w14:paraId="10CC2D3B" w14:textId="345FE7BA" w:rsidR="0092667B" w:rsidRPr="000E7C9F" w:rsidRDefault="00FF4F17" w:rsidP="00BB59CF">
            <w:pPr>
              <w:pStyle w:val="Marge"/>
              <w:spacing w:beforeLines="60" w:before="144" w:after="60"/>
              <w:jc w:val="right"/>
              <w:rPr>
                <w:snapToGrid/>
                <w:sz w:val="20"/>
              </w:rPr>
            </w:pPr>
            <w:r>
              <w:rPr>
                <w:snapToGrid/>
                <w:sz w:val="20"/>
              </w:rPr>
              <w:t>80</w:t>
            </w:r>
            <w:r w:rsidR="000E7C9F">
              <w:rPr>
                <w:snapToGrid/>
                <w:sz w:val="20"/>
              </w:rPr>
              <w:t> </w:t>
            </w:r>
            <w:r>
              <w:rPr>
                <w:snapToGrid/>
                <w:sz w:val="20"/>
              </w:rPr>
              <w:t xml:space="preserve">789 </w:t>
            </w:r>
          </w:p>
        </w:tc>
        <w:tc>
          <w:tcPr>
            <w:tcW w:w="1134" w:type="dxa"/>
            <w:shd w:val="clear" w:color="auto" w:fill="auto"/>
          </w:tcPr>
          <w:p w14:paraId="03EFDC92" w14:textId="77777777" w:rsidR="0092667B" w:rsidRPr="001F735E" w:rsidRDefault="001F735E" w:rsidP="00BB59CF">
            <w:pPr>
              <w:pStyle w:val="Marge"/>
              <w:spacing w:beforeLines="60" w:before="144" w:after="60"/>
              <w:jc w:val="center"/>
              <w:rPr>
                <w:rFonts w:cs="Arial"/>
                <w:snapToGrid/>
                <w:sz w:val="20"/>
                <w:szCs w:val="20"/>
              </w:rPr>
            </w:pPr>
            <w:r>
              <w:rPr>
                <w:snapToGrid/>
                <w:sz w:val="20"/>
              </w:rPr>
              <w:t>08/2013- 12/2014</w:t>
            </w:r>
          </w:p>
        </w:tc>
        <w:tc>
          <w:tcPr>
            <w:tcW w:w="1524" w:type="dxa"/>
            <w:shd w:val="clear" w:color="auto" w:fill="auto"/>
          </w:tcPr>
          <w:p w14:paraId="23ED7FFE" w14:textId="0FF393F0" w:rsidR="0092667B" w:rsidRPr="001F735E" w:rsidRDefault="001F735E" w:rsidP="007A243F">
            <w:pPr>
              <w:pStyle w:val="Marge"/>
              <w:spacing w:beforeLines="60" w:before="144" w:after="60"/>
              <w:jc w:val="left"/>
              <w:rPr>
                <w:rFonts w:cs="Arial"/>
                <w:snapToGrid/>
                <w:sz w:val="20"/>
                <w:szCs w:val="20"/>
              </w:rPr>
            </w:pPr>
            <w:r>
              <w:rPr>
                <w:snapToGrid/>
                <w:sz w:val="20"/>
              </w:rPr>
              <w:t xml:space="preserve">Rapport final en </w:t>
            </w:r>
            <w:hyperlink r:id="rId8" w:history="1">
              <w:r w:rsidRPr="008B16C7">
                <w:rPr>
                  <w:rStyle w:val="Hyperlink"/>
                  <w:snapToGrid/>
                  <w:sz w:val="20"/>
                </w:rPr>
                <w:t>français</w:t>
              </w:r>
            </w:hyperlink>
          </w:p>
        </w:tc>
      </w:tr>
      <w:tr w:rsidR="00D315C2" w:rsidRPr="005A39B2" w14:paraId="6A376E98" w14:textId="77777777" w:rsidTr="00BB59CF">
        <w:trPr>
          <w:cantSplit/>
        </w:trPr>
        <w:tc>
          <w:tcPr>
            <w:tcW w:w="2810" w:type="dxa"/>
            <w:shd w:val="clear" w:color="auto" w:fill="auto"/>
          </w:tcPr>
          <w:p w14:paraId="55BF0347" w14:textId="4147081A" w:rsidR="005748DC" w:rsidRPr="009720B7" w:rsidRDefault="005748DC" w:rsidP="00EE2918">
            <w:pPr>
              <w:pStyle w:val="Marge"/>
              <w:spacing w:beforeLines="60" w:before="144" w:after="60"/>
              <w:jc w:val="left"/>
              <w:rPr>
                <w:rFonts w:cs="Arial"/>
                <w:snapToGrid/>
                <w:sz w:val="20"/>
                <w:szCs w:val="20"/>
                <w:highlight w:val="yellow"/>
              </w:rPr>
            </w:pPr>
            <w:r w:rsidRPr="00243AF0">
              <w:rPr>
                <w:snapToGrid/>
                <w:sz w:val="20"/>
              </w:rPr>
              <w:t xml:space="preserve">Documentation, promotion et diffusion des </w:t>
            </w:r>
            <w:r w:rsidR="00514803" w:rsidRPr="009720B7">
              <w:rPr>
                <w:snapToGrid/>
                <w:sz w:val="20"/>
              </w:rPr>
              <w:t>« </w:t>
            </w:r>
            <w:r w:rsidRPr="00243AF0">
              <w:rPr>
                <w:snapToGrid/>
                <w:sz w:val="20"/>
              </w:rPr>
              <w:t>appels de tambours</w:t>
            </w:r>
            <w:r w:rsidR="00514803" w:rsidRPr="009720B7">
              <w:rPr>
                <w:snapToGrid/>
                <w:sz w:val="20"/>
              </w:rPr>
              <w:t> »</w:t>
            </w:r>
            <w:r w:rsidRPr="00243AF0">
              <w:rPr>
                <w:snapToGrid/>
                <w:sz w:val="20"/>
              </w:rPr>
              <w:t xml:space="preserve"> traditionnels du candombe, qui expriment l’identité des quartiers de Sur, de</w:t>
            </w:r>
            <w:r w:rsidRPr="00514803">
              <w:rPr>
                <w:snapToGrid/>
                <w:sz w:val="20"/>
              </w:rPr>
              <w:t xml:space="preserve"> Palermo et de Cord</w:t>
            </w:r>
            <w:r w:rsidR="008B16C7">
              <w:rPr>
                <w:snapToGrid/>
                <w:sz w:val="20"/>
              </w:rPr>
              <w:t>ón, dans la ville de Montevideo</w:t>
            </w:r>
            <w:r w:rsidR="008B16C7">
              <w:rPr>
                <w:sz w:val="20"/>
              </w:rPr>
              <w:t xml:space="preserve"> (n°</w:t>
            </w:r>
            <w:r w:rsidR="008B16C7" w:rsidRPr="008B16C7">
              <w:rPr>
                <w:rFonts w:cs="Arial"/>
                <w:snapToGrid/>
                <w:sz w:val="20"/>
                <w:szCs w:val="20"/>
              </w:rPr>
              <w:t>00555</w:t>
            </w:r>
            <w:r w:rsidR="008B16C7">
              <w:rPr>
                <w:sz w:val="20"/>
              </w:rPr>
              <w:t>)</w:t>
            </w:r>
          </w:p>
        </w:tc>
        <w:tc>
          <w:tcPr>
            <w:tcW w:w="1418" w:type="dxa"/>
            <w:shd w:val="clear" w:color="auto" w:fill="auto"/>
          </w:tcPr>
          <w:p w14:paraId="1BEDACC3" w14:textId="77777777" w:rsidR="005748DC" w:rsidRPr="00DC75EA" w:rsidRDefault="005748DC" w:rsidP="00EE2918">
            <w:pPr>
              <w:pStyle w:val="Marge"/>
              <w:spacing w:beforeLines="60" w:before="144" w:after="60"/>
              <w:jc w:val="left"/>
              <w:rPr>
                <w:rFonts w:cs="Arial"/>
                <w:snapToGrid/>
                <w:sz w:val="20"/>
                <w:szCs w:val="20"/>
              </w:rPr>
            </w:pPr>
            <w:r>
              <w:rPr>
                <w:snapToGrid/>
                <w:sz w:val="20"/>
              </w:rPr>
              <w:t>Uruguay</w:t>
            </w:r>
          </w:p>
        </w:tc>
        <w:tc>
          <w:tcPr>
            <w:tcW w:w="2268" w:type="dxa"/>
          </w:tcPr>
          <w:p w14:paraId="080972E2" w14:textId="0CCBFD12" w:rsidR="005748DC" w:rsidRPr="00DC75EA" w:rsidRDefault="00FF4F17" w:rsidP="00BB59CF">
            <w:pPr>
              <w:pStyle w:val="Marge"/>
              <w:spacing w:beforeLines="60" w:before="144" w:after="60"/>
              <w:jc w:val="right"/>
              <w:rPr>
                <w:rFonts w:cs="Arial"/>
                <w:snapToGrid/>
                <w:sz w:val="20"/>
                <w:szCs w:val="20"/>
              </w:rPr>
            </w:pPr>
            <w:r>
              <w:rPr>
                <w:snapToGrid/>
                <w:sz w:val="20"/>
              </w:rPr>
              <w:t>186</w:t>
            </w:r>
            <w:r w:rsidR="000E7C9F">
              <w:rPr>
                <w:snapToGrid/>
                <w:sz w:val="20"/>
              </w:rPr>
              <w:t> </w:t>
            </w:r>
            <w:r>
              <w:rPr>
                <w:snapToGrid/>
                <w:sz w:val="20"/>
              </w:rPr>
              <w:t>875</w:t>
            </w:r>
          </w:p>
        </w:tc>
        <w:tc>
          <w:tcPr>
            <w:tcW w:w="1134" w:type="dxa"/>
            <w:shd w:val="clear" w:color="auto" w:fill="auto"/>
          </w:tcPr>
          <w:p w14:paraId="6D890ADC" w14:textId="77777777" w:rsidR="005748DC" w:rsidRPr="00DC75EA" w:rsidRDefault="005748DC" w:rsidP="00BB59CF">
            <w:pPr>
              <w:pStyle w:val="Marge"/>
              <w:spacing w:beforeLines="60" w:before="144" w:after="60"/>
              <w:jc w:val="center"/>
              <w:rPr>
                <w:rFonts w:cs="Arial"/>
                <w:snapToGrid/>
                <w:sz w:val="20"/>
                <w:szCs w:val="20"/>
              </w:rPr>
            </w:pPr>
            <w:r>
              <w:rPr>
                <w:snapToGrid/>
                <w:sz w:val="20"/>
              </w:rPr>
              <w:t>09/2013-</w:t>
            </w:r>
            <w:r>
              <w:t xml:space="preserve"> </w:t>
            </w:r>
            <w:r>
              <w:rPr>
                <w:snapToGrid/>
                <w:sz w:val="20"/>
              </w:rPr>
              <w:t>08/2015</w:t>
            </w:r>
          </w:p>
        </w:tc>
        <w:tc>
          <w:tcPr>
            <w:tcW w:w="1524" w:type="dxa"/>
            <w:shd w:val="clear" w:color="auto" w:fill="auto"/>
          </w:tcPr>
          <w:p w14:paraId="6FA6B9EB" w14:textId="13315987" w:rsidR="005748DC" w:rsidRPr="00554FEB" w:rsidRDefault="005748DC" w:rsidP="00EE2918">
            <w:pPr>
              <w:pStyle w:val="Marge"/>
              <w:spacing w:beforeLines="60" w:before="144" w:after="60"/>
              <w:jc w:val="left"/>
              <w:rPr>
                <w:rFonts w:cs="Arial"/>
                <w:snapToGrid/>
                <w:sz w:val="20"/>
                <w:szCs w:val="20"/>
              </w:rPr>
            </w:pPr>
            <w:r>
              <w:rPr>
                <w:sz w:val="20"/>
              </w:rPr>
              <w:t>Rapport final</w:t>
            </w:r>
            <w:r w:rsidR="000E7C9F">
              <w:rPr>
                <w:sz w:val="20"/>
              </w:rPr>
              <w:t xml:space="preserve"> en </w:t>
            </w:r>
            <w:hyperlink r:id="rId9" w:history="1">
              <w:r w:rsidRPr="008B16C7">
                <w:rPr>
                  <w:rStyle w:val="Hyperlink"/>
                  <w:sz w:val="20"/>
                </w:rPr>
                <w:t>anglais</w:t>
              </w:r>
            </w:hyperlink>
          </w:p>
        </w:tc>
      </w:tr>
      <w:tr w:rsidR="00D315C2" w:rsidRPr="005A39B2" w14:paraId="6D8FF570" w14:textId="77777777" w:rsidTr="00BB59CF">
        <w:trPr>
          <w:cantSplit/>
        </w:trPr>
        <w:tc>
          <w:tcPr>
            <w:tcW w:w="2810" w:type="dxa"/>
            <w:shd w:val="clear" w:color="auto" w:fill="auto"/>
          </w:tcPr>
          <w:p w14:paraId="6B9AB1BB" w14:textId="459062B2" w:rsidR="0092667B" w:rsidRPr="00243AF0" w:rsidRDefault="001F735E" w:rsidP="00243AF0">
            <w:pPr>
              <w:pStyle w:val="Marge"/>
              <w:spacing w:beforeLines="60" w:before="144" w:after="60"/>
              <w:jc w:val="left"/>
              <w:rPr>
                <w:rFonts w:cs="Arial"/>
                <w:sz w:val="20"/>
                <w:szCs w:val="20"/>
              </w:rPr>
            </w:pPr>
            <w:r w:rsidRPr="00243AF0">
              <w:rPr>
                <w:sz w:val="20"/>
              </w:rPr>
              <w:t xml:space="preserve">Inventaire du patrimoine culturel immatériel de quatre communautés </w:t>
            </w:r>
            <w:r w:rsidR="00514803" w:rsidRPr="009720B7">
              <w:rPr>
                <w:sz w:val="20"/>
              </w:rPr>
              <w:t>ougandaise</w:t>
            </w:r>
            <w:r w:rsidR="008B16C7">
              <w:rPr>
                <w:sz w:val="20"/>
              </w:rPr>
              <w:t xml:space="preserve"> (n°</w:t>
            </w:r>
            <w:r w:rsidR="008B16C7" w:rsidRPr="008B16C7">
              <w:rPr>
                <w:rFonts w:cs="Arial"/>
                <w:sz w:val="20"/>
                <w:szCs w:val="20"/>
              </w:rPr>
              <w:t>00557</w:t>
            </w:r>
            <w:r w:rsidR="008B16C7">
              <w:rPr>
                <w:sz w:val="20"/>
              </w:rPr>
              <w:t>)</w:t>
            </w:r>
          </w:p>
        </w:tc>
        <w:tc>
          <w:tcPr>
            <w:tcW w:w="1418" w:type="dxa"/>
            <w:shd w:val="clear" w:color="auto" w:fill="auto"/>
          </w:tcPr>
          <w:p w14:paraId="28A13E15" w14:textId="77777777" w:rsidR="0092667B" w:rsidRPr="00DC75EA" w:rsidRDefault="001F735E" w:rsidP="00EE2918">
            <w:pPr>
              <w:pStyle w:val="Marge"/>
              <w:spacing w:beforeLines="60" w:before="144" w:after="60"/>
              <w:jc w:val="left"/>
              <w:rPr>
                <w:rFonts w:cs="Arial"/>
                <w:sz w:val="20"/>
                <w:szCs w:val="20"/>
              </w:rPr>
            </w:pPr>
            <w:r>
              <w:rPr>
                <w:sz w:val="20"/>
              </w:rPr>
              <w:t>Ouganda</w:t>
            </w:r>
          </w:p>
        </w:tc>
        <w:tc>
          <w:tcPr>
            <w:tcW w:w="2268" w:type="dxa"/>
          </w:tcPr>
          <w:p w14:paraId="4CD77BE0" w14:textId="08B85D68" w:rsidR="0092667B" w:rsidRPr="00DC75EA" w:rsidRDefault="00FF4F17" w:rsidP="00BB59CF">
            <w:pPr>
              <w:pStyle w:val="Marge"/>
              <w:spacing w:beforeLines="60" w:before="144" w:after="60"/>
              <w:jc w:val="right"/>
              <w:rPr>
                <w:rFonts w:cs="Arial"/>
                <w:snapToGrid/>
                <w:sz w:val="20"/>
                <w:szCs w:val="20"/>
              </w:rPr>
            </w:pPr>
            <w:r>
              <w:rPr>
                <w:snapToGrid/>
                <w:sz w:val="20"/>
              </w:rPr>
              <w:t>216</w:t>
            </w:r>
            <w:r w:rsidR="000E7C9F">
              <w:rPr>
                <w:snapToGrid/>
                <w:sz w:val="20"/>
              </w:rPr>
              <w:t> </w:t>
            </w:r>
            <w:r>
              <w:rPr>
                <w:snapToGrid/>
                <w:sz w:val="20"/>
              </w:rPr>
              <w:t>000</w:t>
            </w:r>
          </w:p>
        </w:tc>
        <w:tc>
          <w:tcPr>
            <w:tcW w:w="1134" w:type="dxa"/>
            <w:shd w:val="clear" w:color="auto" w:fill="auto"/>
          </w:tcPr>
          <w:p w14:paraId="01B82ED3" w14:textId="77777777" w:rsidR="0092667B" w:rsidRPr="00DC75EA" w:rsidRDefault="001F735E" w:rsidP="00BB59CF">
            <w:pPr>
              <w:pStyle w:val="Marge"/>
              <w:spacing w:beforeLines="60" w:before="144" w:after="60"/>
              <w:jc w:val="center"/>
              <w:rPr>
                <w:rFonts w:cs="Arial"/>
                <w:sz w:val="20"/>
                <w:szCs w:val="20"/>
              </w:rPr>
            </w:pPr>
            <w:r>
              <w:rPr>
                <w:sz w:val="20"/>
              </w:rPr>
              <w:t>07/2013-</w:t>
            </w:r>
            <w:r>
              <w:t xml:space="preserve"> </w:t>
            </w:r>
            <w:r>
              <w:rPr>
                <w:sz w:val="20"/>
              </w:rPr>
              <w:t>08/2015</w:t>
            </w:r>
          </w:p>
        </w:tc>
        <w:tc>
          <w:tcPr>
            <w:tcW w:w="1524" w:type="dxa"/>
            <w:shd w:val="clear" w:color="auto" w:fill="auto"/>
          </w:tcPr>
          <w:p w14:paraId="32687CFE" w14:textId="4BCBDDAB" w:rsidR="0092667B" w:rsidRPr="00554FEB" w:rsidRDefault="001F735E" w:rsidP="00EE2918">
            <w:pPr>
              <w:pStyle w:val="Marge"/>
              <w:spacing w:beforeLines="60" w:before="144" w:after="60"/>
              <w:jc w:val="left"/>
              <w:rPr>
                <w:rFonts w:cs="Arial"/>
                <w:sz w:val="20"/>
                <w:szCs w:val="20"/>
              </w:rPr>
            </w:pPr>
            <w:r>
              <w:rPr>
                <w:sz w:val="20"/>
              </w:rPr>
              <w:t>Rapport final</w:t>
            </w:r>
            <w:r w:rsidR="000E7C9F">
              <w:rPr>
                <w:sz w:val="20"/>
              </w:rPr>
              <w:t xml:space="preserve"> en </w:t>
            </w:r>
            <w:hyperlink r:id="rId10" w:history="1">
              <w:r w:rsidRPr="008B16C7">
                <w:rPr>
                  <w:rStyle w:val="Hyperlink"/>
                  <w:sz w:val="20"/>
                </w:rPr>
                <w:t>anglais</w:t>
              </w:r>
            </w:hyperlink>
          </w:p>
        </w:tc>
      </w:tr>
      <w:tr w:rsidR="00D315C2" w:rsidRPr="005A39B2" w14:paraId="1C0B7F63" w14:textId="77777777" w:rsidTr="00BB59CF">
        <w:trPr>
          <w:cantSplit/>
        </w:trPr>
        <w:tc>
          <w:tcPr>
            <w:tcW w:w="2810" w:type="dxa"/>
            <w:shd w:val="clear" w:color="auto" w:fill="auto"/>
          </w:tcPr>
          <w:p w14:paraId="46C7A95F" w14:textId="1BF184B1" w:rsidR="005E5BEC" w:rsidRPr="00243AF0" w:rsidRDefault="00514803" w:rsidP="00243AF0">
            <w:pPr>
              <w:pStyle w:val="Marge"/>
              <w:spacing w:beforeLines="60" w:before="144" w:after="60"/>
              <w:jc w:val="left"/>
              <w:rPr>
                <w:rFonts w:cs="Arial"/>
                <w:snapToGrid/>
                <w:sz w:val="20"/>
                <w:szCs w:val="20"/>
              </w:rPr>
            </w:pPr>
            <w:r w:rsidRPr="009720B7">
              <w:rPr>
                <w:sz w:val="20"/>
              </w:rPr>
              <w:lastRenderedPageBreak/>
              <w:t>La sauvegarde et promotion des connaissances autochtones associées à l'environnement écologique des Ha Nhi noirs de la province de Lao Cai (Viet Nam)</w:t>
            </w:r>
            <w:r w:rsidR="008B16C7">
              <w:rPr>
                <w:sz w:val="20"/>
              </w:rPr>
              <w:t xml:space="preserve"> (n°</w:t>
            </w:r>
            <w:r w:rsidR="008B16C7" w:rsidRPr="008B16C7">
              <w:rPr>
                <w:rFonts w:cs="Arial"/>
                <w:snapToGrid/>
                <w:sz w:val="20"/>
                <w:szCs w:val="20"/>
              </w:rPr>
              <w:t>00598</w:t>
            </w:r>
            <w:r w:rsidR="008B16C7">
              <w:rPr>
                <w:sz w:val="20"/>
              </w:rPr>
              <w:t>)</w:t>
            </w:r>
          </w:p>
        </w:tc>
        <w:tc>
          <w:tcPr>
            <w:tcW w:w="1418" w:type="dxa"/>
            <w:shd w:val="clear" w:color="auto" w:fill="auto"/>
          </w:tcPr>
          <w:p w14:paraId="74B979B3" w14:textId="77777777" w:rsidR="005E5BEC" w:rsidRPr="00DC75EA" w:rsidRDefault="005E5BEC" w:rsidP="00EE2918">
            <w:pPr>
              <w:pStyle w:val="Marge"/>
              <w:spacing w:beforeLines="60" w:before="144" w:after="60"/>
              <w:jc w:val="left"/>
              <w:rPr>
                <w:rFonts w:cs="Arial"/>
                <w:snapToGrid/>
                <w:sz w:val="20"/>
                <w:szCs w:val="20"/>
              </w:rPr>
            </w:pPr>
            <w:r>
              <w:rPr>
                <w:snapToGrid/>
                <w:sz w:val="20"/>
              </w:rPr>
              <w:t>Vietnam</w:t>
            </w:r>
          </w:p>
        </w:tc>
        <w:tc>
          <w:tcPr>
            <w:tcW w:w="2268" w:type="dxa"/>
          </w:tcPr>
          <w:p w14:paraId="0A7EC037" w14:textId="23E4054C" w:rsidR="005E5BEC" w:rsidRPr="00DC75EA" w:rsidRDefault="00EE2918" w:rsidP="00BB59CF">
            <w:pPr>
              <w:pStyle w:val="Marge"/>
              <w:spacing w:beforeLines="60" w:before="144" w:after="60"/>
              <w:jc w:val="right"/>
              <w:rPr>
                <w:rFonts w:cs="Arial"/>
                <w:snapToGrid/>
                <w:sz w:val="20"/>
                <w:szCs w:val="20"/>
              </w:rPr>
            </w:pPr>
            <w:r>
              <w:rPr>
                <w:snapToGrid/>
                <w:sz w:val="20"/>
              </w:rPr>
              <w:t>24</w:t>
            </w:r>
            <w:r w:rsidR="000E7C9F">
              <w:rPr>
                <w:snapToGrid/>
                <w:sz w:val="20"/>
              </w:rPr>
              <w:t> </w:t>
            </w:r>
            <w:r>
              <w:rPr>
                <w:snapToGrid/>
                <w:sz w:val="20"/>
              </w:rPr>
              <w:t>631</w:t>
            </w:r>
          </w:p>
        </w:tc>
        <w:tc>
          <w:tcPr>
            <w:tcW w:w="1134" w:type="dxa"/>
            <w:shd w:val="clear" w:color="auto" w:fill="auto"/>
          </w:tcPr>
          <w:p w14:paraId="3BA0BEF2" w14:textId="77777777" w:rsidR="005E5BEC" w:rsidRPr="00DC75EA" w:rsidRDefault="005E5BEC" w:rsidP="00BB59CF">
            <w:pPr>
              <w:pStyle w:val="Marge"/>
              <w:spacing w:beforeLines="60" w:before="144" w:after="60"/>
              <w:jc w:val="center"/>
              <w:rPr>
                <w:rFonts w:cs="Arial"/>
                <w:snapToGrid/>
                <w:sz w:val="20"/>
                <w:szCs w:val="20"/>
              </w:rPr>
            </w:pPr>
            <w:r>
              <w:rPr>
                <w:snapToGrid/>
                <w:sz w:val="20"/>
              </w:rPr>
              <w:t>11/2013-</w:t>
            </w:r>
            <w:r>
              <w:t xml:space="preserve"> </w:t>
            </w:r>
            <w:r>
              <w:rPr>
                <w:snapToGrid/>
                <w:sz w:val="20"/>
              </w:rPr>
              <w:t>09/2015</w:t>
            </w:r>
          </w:p>
        </w:tc>
        <w:tc>
          <w:tcPr>
            <w:tcW w:w="1524" w:type="dxa"/>
            <w:shd w:val="clear" w:color="auto" w:fill="auto"/>
          </w:tcPr>
          <w:p w14:paraId="02D0B70F" w14:textId="1275C0F7" w:rsidR="005E5BEC" w:rsidRPr="00DC75EA" w:rsidRDefault="000E7C9F" w:rsidP="00EE2918">
            <w:pPr>
              <w:pStyle w:val="Marge"/>
              <w:spacing w:beforeLines="60" w:before="144" w:after="60"/>
              <w:jc w:val="left"/>
              <w:rPr>
                <w:rFonts w:cs="Arial"/>
                <w:snapToGrid/>
                <w:sz w:val="20"/>
                <w:szCs w:val="20"/>
              </w:rPr>
            </w:pPr>
            <w:r>
              <w:rPr>
                <w:sz w:val="20"/>
              </w:rPr>
              <w:t xml:space="preserve">Rapport final en </w:t>
            </w:r>
            <w:hyperlink r:id="rId11" w:history="1">
              <w:r w:rsidRPr="008B16C7">
                <w:rPr>
                  <w:rStyle w:val="Hyperlink"/>
                  <w:sz w:val="20"/>
                </w:rPr>
                <w:t>anglais</w:t>
              </w:r>
            </w:hyperlink>
          </w:p>
        </w:tc>
      </w:tr>
      <w:tr w:rsidR="00D315C2" w:rsidRPr="005A39B2" w14:paraId="366F1B37" w14:textId="77777777" w:rsidTr="00BB59CF">
        <w:trPr>
          <w:cantSplit/>
        </w:trPr>
        <w:tc>
          <w:tcPr>
            <w:tcW w:w="2810" w:type="dxa"/>
            <w:shd w:val="clear" w:color="auto" w:fill="auto"/>
          </w:tcPr>
          <w:p w14:paraId="0022B0A5" w14:textId="438A1FBE" w:rsidR="001F735E" w:rsidRPr="009720B7" w:rsidRDefault="00514803" w:rsidP="00EE2918">
            <w:pPr>
              <w:pStyle w:val="Marge"/>
              <w:spacing w:beforeLines="60" w:before="144" w:after="60"/>
              <w:jc w:val="left"/>
              <w:rPr>
                <w:rFonts w:cs="Arial"/>
                <w:snapToGrid/>
                <w:sz w:val="20"/>
                <w:szCs w:val="20"/>
                <w:highlight w:val="yellow"/>
              </w:rPr>
            </w:pPr>
            <w:r w:rsidRPr="009720B7">
              <w:rPr>
                <w:sz w:val="20"/>
              </w:rPr>
              <w:t>L’o’di, musique madi de lyre arquée</w:t>
            </w:r>
            <w:r w:rsidR="008B16C7">
              <w:rPr>
                <w:sz w:val="20"/>
              </w:rPr>
              <w:t xml:space="preserve"> (n°</w:t>
            </w:r>
            <w:r w:rsidR="008B16C7" w:rsidRPr="008B16C7">
              <w:rPr>
                <w:rFonts w:cs="Arial"/>
                <w:snapToGrid/>
                <w:sz w:val="20"/>
                <w:szCs w:val="20"/>
              </w:rPr>
              <w:t>00890</w:t>
            </w:r>
            <w:r w:rsidR="008B16C7">
              <w:rPr>
                <w:sz w:val="20"/>
              </w:rPr>
              <w:t>)</w:t>
            </w:r>
          </w:p>
        </w:tc>
        <w:tc>
          <w:tcPr>
            <w:tcW w:w="1418" w:type="dxa"/>
            <w:shd w:val="clear" w:color="auto" w:fill="auto"/>
          </w:tcPr>
          <w:p w14:paraId="4DDF4C7C" w14:textId="77777777" w:rsidR="001F735E" w:rsidRPr="00DC75EA" w:rsidRDefault="001F735E" w:rsidP="00EE2918">
            <w:pPr>
              <w:pStyle w:val="Marge"/>
              <w:spacing w:beforeLines="60" w:before="144" w:after="60"/>
              <w:jc w:val="left"/>
              <w:rPr>
                <w:rFonts w:cs="Arial"/>
                <w:snapToGrid/>
                <w:sz w:val="20"/>
                <w:szCs w:val="20"/>
              </w:rPr>
            </w:pPr>
            <w:r>
              <w:rPr>
                <w:snapToGrid/>
                <w:sz w:val="20"/>
              </w:rPr>
              <w:t>Ouganda</w:t>
            </w:r>
          </w:p>
        </w:tc>
        <w:tc>
          <w:tcPr>
            <w:tcW w:w="2268" w:type="dxa"/>
          </w:tcPr>
          <w:p w14:paraId="31F8B8B3" w14:textId="7DABF605" w:rsidR="00C748CC" w:rsidRDefault="00FF4F17" w:rsidP="008B16C7">
            <w:pPr>
              <w:pStyle w:val="Marge"/>
              <w:jc w:val="right"/>
              <w:rPr>
                <w:snapToGrid/>
                <w:sz w:val="20"/>
              </w:rPr>
            </w:pPr>
            <w:r>
              <w:rPr>
                <w:snapToGrid/>
                <w:sz w:val="20"/>
              </w:rPr>
              <w:t>10</w:t>
            </w:r>
            <w:r w:rsidR="000E7C9F">
              <w:rPr>
                <w:snapToGrid/>
                <w:sz w:val="20"/>
              </w:rPr>
              <w:t> </w:t>
            </w:r>
            <w:r>
              <w:rPr>
                <w:snapToGrid/>
                <w:sz w:val="20"/>
              </w:rPr>
              <w:t>000</w:t>
            </w:r>
          </w:p>
          <w:p w14:paraId="0A8600C7" w14:textId="21B8F3D0" w:rsidR="001F735E" w:rsidRPr="00DC75EA" w:rsidRDefault="00FF4F17" w:rsidP="008B16C7">
            <w:pPr>
              <w:pStyle w:val="Marge"/>
              <w:jc w:val="right"/>
              <w:rPr>
                <w:rFonts w:cs="Arial"/>
                <w:snapToGrid/>
                <w:sz w:val="20"/>
                <w:szCs w:val="20"/>
              </w:rPr>
            </w:pPr>
            <w:r>
              <w:rPr>
                <w:snapToGrid/>
                <w:sz w:val="20"/>
              </w:rPr>
              <w:t xml:space="preserve">Assistance préparatoire </w:t>
            </w:r>
            <w:r w:rsidR="00BB59CF">
              <w:rPr>
                <w:snapToGrid/>
                <w:sz w:val="20"/>
              </w:rPr>
              <w:t>–</w:t>
            </w:r>
            <w:r>
              <w:rPr>
                <w:snapToGrid/>
                <w:sz w:val="20"/>
              </w:rPr>
              <w:t xml:space="preserve"> USL</w:t>
            </w:r>
          </w:p>
        </w:tc>
        <w:tc>
          <w:tcPr>
            <w:tcW w:w="1134" w:type="dxa"/>
            <w:shd w:val="clear" w:color="auto" w:fill="auto"/>
          </w:tcPr>
          <w:p w14:paraId="51D877FB" w14:textId="77777777" w:rsidR="001F735E" w:rsidRPr="00DC75EA" w:rsidRDefault="001F735E" w:rsidP="00BB59CF">
            <w:pPr>
              <w:pStyle w:val="Marge"/>
              <w:spacing w:beforeLines="60" w:before="144" w:after="60"/>
              <w:jc w:val="center"/>
              <w:rPr>
                <w:rFonts w:cs="Arial"/>
                <w:snapToGrid/>
                <w:sz w:val="20"/>
                <w:szCs w:val="20"/>
              </w:rPr>
            </w:pPr>
            <w:r>
              <w:rPr>
                <w:snapToGrid/>
                <w:sz w:val="20"/>
              </w:rPr>
              <w:t>12/2013-</w:t>
            </w:r>
            <w:r>
              <w:t xml:space="preserve"> </w:t>
            </w:r>
            <w:r>
              <w:rPr>
                <w:snapToGrid/>
                <w:sz w:val="20"/>
              </w:rPr>
              <w:t>03/2015</w:t>
            </w:r>
          </w:p>
        </w:tc>
        <w:tc>
          <w:tcPr>
            <w:tcW w:w="1524" w:type="dxa"/>
            <w:shd w:val="clear" w:color="auto" w:fill="auto"/>
          </w:tcPr>
          <w:p w14:paraId="57F6E9AB" w14:textId="6806C797" w:rsidR="001F735E" w:rsidRPr="00DC75EA" w:rsidRDefault="000E7C9F" w:rsidP="00EE2918">
            <w:pPr>
              <w:pStyle w:val="Marge"/>
              <w:spacing w:beforeLines="60" w:before="144" w:after="60"/>
              <w:jc w:val="left"/>
              <w:rPr>
                <w:rFonts w:cs="Arial"/>
                <w:sz w:val="20"/>
                <w:szCs w:val="20"/>
              </w:rPr>
            </w:pPr>
            <w:r>
              <w:rPr>
                <w:sz w:val="20"/>
              </w:rPr>
              <w:t xml:space="preserve">Rapport final en </w:t>
            </w:r>
            <w:hyperlink r:id="rId12" w:history="1">
              <w:r w:rsidRPr="008B16C7">
                <w:rPr>
                  <w:rStyle w:val="Hyperlink"/>
                  <w:sz w:val="20"/>
                </w:rPr>
                <w:t>anglais</w:t>
              </w:r>
            </w:hyperlink>
          </w:p>
        </w:tc>
      </w:tr>
      <w:tr w:rsidR="00D315C2" w:rsidRPr="005A39B2" w14:paraId="44AF99FB" w14:textId="77777777" w:rsidTr="00BB59CF">
        <w:trPr>
          <w:cantSplit/>
        </w:trPr>
        <w:tc>
          <w:tcPr>
            <w:tcW w:w="2810" w:type="dxa"/>
            <w:shd w:val="clear" w:color="auto" w:fill="auto"/>
          </w:tcPr>
          <w:p w14:paraId="5F73DB81" w14:textId="4FD77C62" w:rsidR="005E5BEC" w:rsidRPr="009720B7" w:rsidRDefault="004832C2" w:rsidP="00EE2918">
            <w:pPr>
              <w:pStyle w:val="Marge"/>
              <w:spacing w:beforeLines="60" w:before="144" w:after="60"/>
              <w:jc w:val="left"/>
              <w:rPr>
                <w:rFonts w:cs="Arial"/>
                <w:sz w:val="20"/>
                <w:szCs w:val="20"/>
                <w:highlight w:val="yellow"/>
              </w:rPr>
            </w:pPr>
            <w:r w:rsidRPr="009720B7">
              <w:rPr>
                <w:sz w:val="20"/>
              </w:rPr>
              <w:t>Rituels et pratiques associés au sanctuaire de Kit Mikayi chez les communautés luo au Kenya</w:t>
            </w:r>
            <w:r w:rsidR="008B16C7">
              <w:rPr>
                <w:sz w:val="20"/>
              </w:rPr>
              <w:t xml:space="preserve"> (n°</w:t>
            </w:r>
            <w:r w:rsidR="008B16C7" w:rsidRPr="008B16C7">
              <w:rPr>
                <w:rFonts w:cs="Arial"/>
                <w:sz w:val="20"/>
                <w:szCs w:val="20"/>
              </w:rPr>
              <w:t>00632</w:t>
            </w:r>
            <w:r w:rsidR="008B16C7">
              <w:rPr>
                <w:sz w:val="20"/>
              </w:rPr>
              <w:t>)</w:t>
            </w:r>
          </w:p>
        </w:tc>
        <w:tc>
          <w:tcPr>
            <w:tcW w:w="1418" w:type="dxa"/>
            <w:shd w:val="clear" w:color="auto" w:fill="auto"/>
          </w:tcPr>
          <w:p w14:paraId="7AB8CB7C" w14:textId="77777777" w:rsidR="005E5BEC" w:rsidRPr="00DC75EA" w:rsidRDefault="005E5BEC" w:rsidP="00EE2918">
            <w:pPr>
              <w:pStyle w:val="Marge"/>
              <w:spacing w:beforeLines="60" w:before="144" w:after="60"/>
              <w:jc w:val="left"/>
              <w:rPr>
                <w:rFonts w:cs="Arial"/>
                <w:sz w:val="20"/>
                <w:szCs w:val="20"/>
              </w:rPr>
            </w:pPr>
            <w:r>
              <w:rPr>
                <w:sz w:val="20"/>
              </w:rPr>
              <w:t>Kenya</w:t>
            </w:r>
          </w:p>
        </w:tc>
        <w:tc>
          <w:tcPr>
            <w:tcW w:w="2268" w:type="dxa"/>
          </w:tcPr>
          <w:p w14:paraId="565B12CC" w14:textId="4F6E39BE" w:rsidR="00FF4F17" w:rsidRDefault="00FF4F17" w:rsidP="00EE2918">
            <w:pPr>
              <w:pStyle w:val="Marge"/>
              <w:spacing w:beforeLines="60" w:before="144" w:after="60"/>
              <w:jc w:val="right"/>
              <w:rPr>
                <w:rFonts w:cs="Arial"/>
                <w:snapToGrid/>
                <w:sz w:val="20"/>
                <w:szCs w:val="20"/>
              </w:rPr>
            </w:pPr>
            <w:r>
              <w:rPr>
                <w:snapToGrid/>
                <w:sz w:val="20"/>
              </w:rPr>
              <w:t>17</w:t>
            </w:r>
            <w:r w:rsidR="00C748CC">
              <w:rPr>
                <w:snapToGrid/>
                <w:sz w:val="20"/>
              </w:rPr>
              <w:t> </w:t>
            </w:r>
            <w:r>
              <w:rPr>
                <w:snapToGrid/>
                <w:sz w:val="20"/>
              </w:rPr>
              <w:t>668</w:t>
            </w:r>
          </w:p>
          <w:p w14:paraId="64D77F3B" w14:textId="633295F8" w:rsidR="005E5BEC" w:rsidRPr="00DC75EA" w:rsidRDefault="005E5BEC" w:rsidP="00EE2918">
            <w:pPr>
              <w:pStyle w:val="Marge"/>
              <w:spacing w:beforeLines="60" w:before="144" w:after="60"/>
              <w:jc w:val="right"/>
              <w:rPr>
                <w:rFonts w:cs="Arial"/>
                <w:snapToGrid/>
                <w:sz w:val="20"/>
                <w:szCs w:val="20"/>
              </w:rPr>
            </w:pPr>
            <w:r>
              <w:rPr>
                <w:snapToGrid/>
                <w:sz w:val="20"/>
              </w:rPr>
              <w:t xml:space="preserve">Assistance préparatoire </w:t>
            </w:r>
            <w:r w:rsidR="00BB59CF">
              <w:rPr>
                <w:snapToGrid/>
                <w:sz w:val="20"/>
              </w:rPr>
              <w:t>–</w:t>
            </w:r>
            <w:r>
              <w:rPr>
                <w:snapToGrid/>
                <w:sz w:val="20"/>
              </w:rPr>
              <w:t xml:space="preserve"> USL</w:t>
            </w:r>
          </w:p>
        </w:tc>
        <w:tc>
          <w:tcPr>
            <w:tcW w:w="1134" w:type="dxa"/>
            <w:shd w:val="clear" w:color="auto" w:fill="auto"/>
          </w:tcPr>
          <w:p w14:paraId="3A38F52B" w14:textId="77777777" w:rsidR="005E5BEC" w:rsidRPr="00DC75EA" w:rsidRDefault="005E5BEC" w:rsidP="00BB59CF">
            <w:pPr>
              <w:pStyle w:val="Marge"/>
              <w:spacing w:beforeLines="60" w:before="144" w:after="60"/>
              <w:jc w:val="center"/>
              <w:rPr>
                <w:rFonts w:cs="Arial"/>
                <w:sz w:val="20"/>
                <w:szCs w:val="20"/>
              </w:rPr>
            </w:pPr>
            <w:r>
              <w:rPr>
                <w:sz w:val="20"/>
              </w:rPr>
              <w:t>12/2013-03/2015</w:t>
            </w:r>
          </w:p>
        </w:tc>
        <w:tc>
          <w:tcPr>
            <w:tcW w:w="1524" w:type="dxa"/>
            <w:shd w:val="clear" w:color="auto" w:fill="auto"/>
          </w:tcPr>
          <w:p w14:paraId="5A247BD6" w14:textId="5F3BC58A" w:rsidR="005E5BEC" w:rsidRPr="00DC75EA" w:rsidRDefault="000E7C9F" w:rsidP="00EE2918">
            <w:pPr>
              <w:pStyle w:val="Marge"/>
              <w:spacing w:beforeLines="60" w:before="144" w:after="60"/>
              <w:jc w:val="left"/>
              <w:rPr>
                <w:rFonts w:cs="Arial"/>
                <w:sz w:val="20"/>
                <w:szCs w:val="20"/>
              </w:rPr>
            </w:pPr>
            <w:r>
              <w:rPr>
                <w:sz w:val="20"/>
              </w:rPr>
              <w:t xml:space="preserve">Rapport final en </w:t>
            </w:r>
            <w:hyperlink r:id="rId13" w:history="1">
              <w:r w:rsidRPr="008B16C7">
                <w:rPr>
                  <w:rStyle w:val="Hyperlink"/>
                  <w:sz w:val="20"/>
                </w:rPr>
                <w:t>anglais</w:t>
              </w:r>
            </w:hyperlink>
          </w:p>
        </w:tc>
      </w:tr>
      <w:tr w:rsidR="00D315C2" w:rsidRPr="005A39B2" w14:paraId="41552F90" w14:textId="77777777" w:rsidTr="00BB59CF">
        <w:trPr>
          <w:cantSplit/>
        </w:trPr>
        <w:tc>
          <w:tcPr>
            <w:tcW w:w="2810" w:type="dxa"/>
            <w:shd w:val="clear" w:color="auto" w:fill="auto"/>
          </w:tcPr>
          <w:p w14:paraId="1FB318D6" w14:textId="5118168E" w:rsidR="005748DC" w:rsidRPr="009720B7" w:rsidRDefault="008039D6" w:rsidP="00243AF0">
            <w:pPr>
              <w:pStyle w:val="Marge"/>
              <w:spacing w:beforeLines="60" w:before="144" w:after="60"/>
              <w:jc w:val="left"/>
              <w:rPr>
                <w:rFonts w:cs="Arial"/>
                <w:sz w:val="20"/>
                <w:szCs w:val="20"/>
                <w:highlight w:val="yellow"/>
              </w:rPr>
            </w:pPr>
            <w:r w:rsidRPr="009720B7">
              <w:rPr>
                <w:snapToGrid/>
                <w:sz w:val="20"/>
              </w:rPr>
              <w:t>L’i</w:t>
            </w:r>
            <w:r w:rsidR="005748DC" w:rsidRPr="008039D6">
              <w:rPr>
                <w:snapToGrid/>
                <w:sz w:val="20"/>
              </w:rPr>
              <w:t xml:space="preserve">nventaire et </w:t>
            </w:r>
            <w:r w:rsidRPr="009720B7">
              <w:rPr>
                <w:snapToGrid/>
                <w:sz w:val="20"/>
              </w:rPr>
              <w:t xml:space="preserve">la </w:t>
            </w:r>
            <w:r w:rsidR="005748DC" w:rsidRPr="00243AF0">
              <w:rPr>
                <w:snapToGrid/>
                <w:sz w:val="20"/>
              </w:rPr>
              <w:t xml:space="preserve">promotion du patrimoine culturel immatériel au </w:t>
            </w:r>
            <w:r w:rsidR="005748DC" w:rsidRPr="008039D6">
              <w:rPr>
                <w:snapToGrid/>
                <w:sz w:val="20"/>
              </w:rPr>
              <w:t>Burkina Faso</w:t>
            </w:r>
            <w:r w:rsidR="008B16C7">
              <w:rPr>
                <w:sz w:val="20"/>
              </w:rPr>
              <w:t xml:space="preserve"> (n°</w:t>
            </w:r>
            <w:r w:rsidR="008B16C7" w:rsidRPr="008B16C7">
              <w:rPr>
                <w:rFonts w:cs="Arial"/>
                <w:snapToGrid/>
                <w:sz w:val="20"/>
                <w:szCs w:val="20"/>
              </w:rPr>
              <w:t>00678</w:t>
            </w:r>
            <w:r w:rsidR="008B16C7">
              <w:rPr>
                <w:sz w:val="20"/>
              </w:rPr>
              <w:t>)</w:t>
            </w:r>
          </w:p>
        </w:tc>
        <w:tc>
          <w:tcPr>
            <w:tcW w:w="1418" w:type="dxa"/>
            <w:shd w:val="clear" w:color="auto" w:fill="auto"/>
          </w:tcPr>
          <w:p w14:paraId="34CC9DBD" w14:textId="77777777" w:rsidR="005748DC" w:rsidRPr="00DC75EA" w:rsidRDefault="005748DC" w:rsidP="00EE2918">
            <w:pPr>
              <w:pStyle w:val="Marge"/>
              <w:spacing w:beforeLines="60" w:before="144" w:after="60"/>
              <w:jc w:val="left"/>
              <w:rPr>
                <w:rFonts w:cs="Arial"/>
                <w:sz w:val="20"/>
                <w:szCs w:val="20"/>
              </w:rPr>
            </w:pPr>
            <w:r>
              <w:rPr>
                <w:snapToGrid/>
                <w:sz w:val="20"/>
              </w:rPr>
              <w:t>Burkina Faso</w:t>
            </w:r>
          </w:p>
        </w:tc>
        <w:tc>
          <w:tcPr>
            <w:tcW w:w="2268" w:type="dxa"/>
          </w:tcPr>
          <w:p w14:paraId="28CC26E4" w14:textId="26B02F20" w:rsidR="005748DC" w:rsidRPr="0092667B" w:rsidRDefault="008A1961" w:rsidP="00BB59CF">
            <w:pPr>
              <w:pStyle w:val="Marge"/>
              <w:spacing w:beforeLines="60" w:before="144" w:after="60"/>
              <w:jc w:val="right"/>
              <w:rPr>
                <w:rFonts w:cs="Arial"/>
                <w:snapToGrid/>
                <w:sz w:val="20"/>
                <w:szCs w:val="20"/>
              </w:rPr>
            </w:pPr>
            <w:r>
              <w:rPr>
                <w:snapToGrid/>
                <w:sz w:val="20"/>
              </w:rPr>
              <w:t>262</w:t>
            </w:r>
            <w:r w:rsidR="00C748CC">
              <w:rPr>
                <w:snapToGrid/>
                <w:sz w:val="20"/>
              </w:rPr>
              <w:t> </w:t>
            </w:r>
            <w:r>
              <w:rPr>
                <w:snapToGrid/>
                <w:sz w:val="20"/>
              </w:rPr>
              <w:t>080</w:t>
            </w:r>
          </w:p>
        </w:tc>
        <w:tc>
          <w:tcPr>
            <w:tcW w:w="1134" w:type="dxa"/>
            <w:shd w:val="clear" w:color="auto" w:fill="auto"/>
          </w:tcPr>
          <w:p w14:paraId="3AFCBA64" w14:textId="77777777" w:rsidR="005748DC" w:rsidRPr="00DC75EA" w:rsidRDefault="005748DC" w:rsidP="00BB59CF">
            <w:pPr>
              <w:pStyle w:val="Marge"/>
              <w:spacing w:beforeLines="60" w:before="144" w:after="60"/>
              <w:jc w:val="center"/>
              <w:rPr>
                <w:rFonts w:cs="Arial"/>
                <w:sz w:val="20"/>
                <w:szCs w:val="20"/>
              </w:rPr>
            </w:pPr>
            <w:r>
              <w:rPr>
                <w:snapToGrid/>
                <w:sz w:val="20"/>
              </w:rPr>
              <w:t>04/2013-07/2016</w:t>
            </w:r>
          </w:p>
        </w:tc>
        <w:tc>
          <w:tcPr>
            <w:tcW w:w="1524" w:type="dxa"/>
            <w:shd w:val="clear" w:color="auto" w:fill="auto"/>
          </w:tcPr>
          <w:p w14:paraId="0C8765B3" w14:textId="3ECF6A07" w:rsidR="005748DC" w:rsidRPr="00DC75EA" w:rsidRDefault="005748DC" w:rsidP="00EE2918">
            <w:pPr>
              <w:pStyle w:val="Marge"/>
              <w:spacing w:beforeLines="60" w:before="144" w:after="60"/>
              <w:jc w:val="left"/>
              <w:rPr>
                <w:rFonts w:cs="Arial"/>
                <w:sz w:val="20"/>
                <w:szCs w:val="20"/>
              </w:rPr>
            </w:pPr>
            <w:r>
              <w:rPr>
                <w:snapToGrid/>
                <w:sz w:val="20"/>
              </w:rPr>
              <w:t>Rapport d’avancement</w:t>
            </w:r>
            <w:r w:rsidR="00C748CC">
              <w:rPr>
                <w:snapToGrid/>
                <w:sz w:val="20"/>
              </w:rPr>
              <w:t xml:space="preserve"> en</w:t>
            </w:r>
            <w:r>
              <w:rPr>
                <w:snapToGrid/>
                <w:sz w:val="20"/>
              </w:rPr>
              <w:t xml:space="preserve"> </w:t>
            </w:r>
            <w:hyperlink r:id="rId14" w:history="1">
              <w:r w:rsidRPr="008B16C7">
                <w:rPr>
                  <w:rStyle w:val="Hyperlink"/>
                  <w:snapToGrid/>
                  <w:sz w:val="20"/>
                </w:rPr>
                <w:t>français</w:t>
              </w:r>
            </w:hyperlink>
          </w:p>
        </w:tc>
      </w:tr>
      <w:tr w:rsidR="00D315C2" w:rsidRPr="005A39B2" w14:paraId="78F803AC" w14:textId="77777777" w:rsidTr="00BB59CF">
        <w:trPr>
          <w:cantSplit/>
        </w:trPr>
        <w:tc>
          <w:tcPr>
            <w:tcW w:w="2810" w:type="dxa"/>
            <w:shd w:val="clear" w:color="auto" w:fill="auto"/>
          </w:tcPr>
          <w:p w14:paraId="7C0E6F3E" w14:textId="27BAB02C" w:rsidR="005748DC" w:rsidRPr="008039D6" w:rsidRDefault="005748DC" w:rsidP="00EE2918">
            <w:pPr>
              <w:pStyle w:val="Marge"/>
              <w:spacing w:beforeLines="60" w:before="144" w:after="60"/>
              <w:jc w:val="left"/>
              <w:rPr>
                <w:rFonts w:cs="Arial"/>
                <w:sz w:val="20"/>
                <w:szCs w:val="20"/>
              </w:rPr>
            </w:pPr>
            <w:r w:rsidRPr="00243AF0">
              <w:rPr>
                <w:sz w:val="20"/>
              </w:rPr>
              <w:t>Sauvegarde et revitalisation de l’épopée traditionnelle mongole</w:t>
            </w:r>
            <w:r w:rsidR="008B16C7">
              <w:rPr>
                <w:sz w:val="20"/>
              </w:rPr>
              <w:t xml:space="preserve"> (n°</w:t>
            </w:r>
            <w:r w:rsidR="008B16C7" w:rsidRPr="008B16C7">
              <w:rPr>
                <w:rFonts w:cs="Arial"/>
                <w:sz w:val="20"/>
                <w:szCs w:val="20"/>
              </w:rPr>
              <w:t>00549</w:t>
            </w:r>
            <w:r w:rsidR="008B16C7">
              <w:rPr>
                <w:sz w:val="20"/>
              </w:rPr>
              <w:t>)</w:t>
            </w:r>
          </w:p>
        </w:tc>
        <w:tc>
          <w:tcPr>
            <w:tcW w:w="1418" w:type="dxa"/>
            <w:shd w:val="clear" w:color="auto" w:fill="auto"/>
          </w:tcPr>
          <w:p w14:paraId="50CE85BF" w14:textId="77777777" w:rsidR="005748DC" w:rsidRPr="00DC75EA" w:rsidRDefault="005748DC" w:rsidP="00EE2918">
            <w:pPr>
              <w:pStyle w:val="Marge"/>
              <w:spacing w:beforeLines="60" w:before="144" w:after="60"/>
              <w:jc w:val="left"/>
              <w:rPr>
                <w:rFonts w:cs="Arial"/>
                <w:sz w:val="20"/>
                <w:szCs w:val="20"/>
              </w:rPr>
            </w:pPr>
            <w:r>
              <w:rPr>
                <w:sz w:val="20"/>
              </w:rPr>
              <w:t>Mongolie</w:t>
            </w:r>
          </w:p>
        </w:tc>
        <w:tc>
          <w:tcPr>
            <w:tcW w:w="2268" w:type="dxa"/>
          </w:tcPr>
          <w:p w14:paraId="1DEDE3B4" w14:textId="500CA4E8" w:rsidR="005748DC" w:rsidRPr="00DC75EA" w:rsidRDefault="00FF4F17" w:rsidP="00BB59CF">
            <w:pPr>
              <w:pStyle w:val="Marge"/>
              <w:spacing w:beforeLines="60" w:before="144" w:after="60"/>
              <w:jc w:val="right"/>
              <w:rPr>
                <w:rFonts w:cs="Arial"/>
                <w:snapToGrid/>
                <w:sz w:val="20"/>
                <w:szCs w:val="20"/>
              </w:rPr>
            </w:pPr>
            <w:r>
              <w:rPr>
                <w:snapToGrid/>
                <w:sz w:val="20"/>
              </w:rPr>
              <w:t>89</w:t>
            </w:r>
            <w:r w:rsidR="00C748CC">
              <w:rPr>
                <w:snapToGrid/>
                <w:sz w:val="20"/>
              </w:rPr>
              <w:t> </w:t>
            </w:r>
            <w:r>
              <w:rPr>
                <w:snapToGrid/>
                <w:sz w:val="20"/>
              </w:rPr>
              <w:t>700</w:t>
            </w:r>
          </w:p>
        </w:tc>
        <w:tc>
          <w:tcPr>
            <w:tcW w:w="1134" w:type="dxa"/>
            <w:shd w:val="clear" w:color="auto" w:fill="auto"/>
          </w:tcPr>
          <w:p w14:paraId="4A4538C5" w14:textId="77777777" w:rsidR="005748DC" w:rsidRPr="00DC75EA" w:rsidRDefault="005748DC" w:rsidP="00BB59CF">
            <w:pPr>
              <w:pStyle w:val="Marge"/>
              <w:spacing w:beforeLines="60" w:before="144" w:after="60"/>
              <w:jc w:val="center"/>
              <w:rPr>
                <w:rFonts w:cs="Arial"/>
                <w:sz w:val="20"/>
                <w:szCs w:val="20"/>
              </w:rPr>
            </w:pPr>
            <w:r>
              <w:rPr>
                <w:sz w:val="20"/>
              </w:rPr>
              <w:t>06/2013-</w:t>
            </w:r>
            <w:r>
              <w:t xml:space="preserve"> </w:t>
            </w:r>
            <w:r>
              <w:rPr>
                <w:sz w:val="20"/>
              </w:rPr>
              <w:t>06/2016</w:t>
            </w:r>
          </w:p>
        </w:tc>
        <w:tc>
          <w:tcPr>
            <w:tcW w:w="1524" w:type="dxa"/>
            <w:shd w:val="clear" w:color="auto" w:fill="auto"/>
          </w:tcPr>
          <w:p w14:paraId="5C9FC93D" w14:textId="588E15F4" w:rsidR="005748DC" w:rsidRPr="00DC75EA" w:rsidRDefault="005748DC" w:rsidP="00EE2918">
            <w:pPr>
              <w:pStyle w:val="Marge"/>
              <w:spacing w:beforeLines="60" w:before="144" w:after="60"/>
              <w:jc w:val="left"/>
              <w:rPr>
                <w:rFonts w:cs="Arial"/>
                <w:sz w:val="20"/>
                <w:szCs w:val="20"/>
              </w:rPr>
            </w:pPr>
            <w:r>
              <w:rPr>
                <w:snapToGrid/>
                <w:sz w:val="20"/>
              </w:rPr>
              <w:t>Rapport d’avancement</w:t>
            </w:r>
            <w:r w:rsidR="00C748CC">
              <w:rPr>
                <w:snapToGrid/>
                <w:sz w:val="20"/>
              </w:rPr>
              <w:t xml:space="preserve"> en</w:t>
            </w:r>
            <w:r>
              <w:rPr>
                <w:snapToGrid/>
                <w:sz w:val="20"/>
              </w:rPr>
              <w:t xml:space="preserve"> </w:t>
            </w:r>
            <w:hyperlink r:id="rId15" w:history="1">
              <w:r w:rsidRPr="008B16C7">
                <w:rPr>
                  <w:rStyle w:val="Hyperlink"/>
                  <w:snapToGrid/>
                  <w:sz w:val="20"/>
                </w:rPr>
                <w:t>anglais</w:t>
              </w:r>
            </w:hyperlink>
          </w:p>
        </w:tc>
      </w:tr>
      <w:tr w:rsidR="00D315C2" w:rsidRPr="005A39B2" w14:paraId="3B28C39F" w14:textId="77777777" w:rsidTr="00BB59CF">
        <w:trPr>
          <w:cantSplit/>
        </w:trPr>
        <w:tc>
          <w:tcPr>
            <w:tcW w:w="2810" w:type="dxa"/>
            <w:shd w:val="clear" w:color="auto" w:fill="auto"/>
          </w:tcPr>
          <w:p w14:paraId="5DB1C782" w14:textId="0C1AC213" w:rsidR="00E13088" w:rsidRPr="008039D6" w:rsidRDefault="00E13088" w:rsidP="00EE2918">
            <w:pPr>
              <w:pStyle w:val="Marge"/>
              <w:spacing w:beforeLines="60" w:before="144" w:after="60"/>
              <w:jc w:val="left"/>
              <w:rPr>
                <w:rFonts w:cs="Arial"/>
                <w:sz w:val="20"/>
                <w:szCs w:val="20"/>
              </w:rPr>
            </w:pPr>
            <w:r w:rsidRPr="00243AF0">
              <w:rPr>
                <w:sz w:val="20"/>
              </w:rPr>
              <w:t>Inventaire du patrimoine culturel immatériel au Mali en vue de sa sauvegarde urgente</w:t>
            </w:r>
            <w:r w:rsidR="008B16C7">
              <w:rPr>
                <w:sz w:val="20"/>
              </w:rPr>
              <w:t xml:space="preserve"> (n°</w:t>
            </w:r>
            <w:r w:rsidR="008B16C7" w:rsidRPr="008B16C7">
              <w:rPr>
                <w:rFonts w:cs="Arial"/>
                <w:sz w:val="20"/>
                <w:szCs w:val="20"/>
              </w:rPr>
              <w:t>01026</w:t>
            </w:r>
            <w:r w:rsidR="008B16C7">
              <w:rPr>
                <w:sz w:val="20"/>
              </w:rPr>
              <w:t>)</w:t>
            </w:r>
          </w:p>
        </w:tc>
        <w:tc>
          <w:tcPr>
            <w:tcW w:w="1418" w:type="dxa"/>
            <w:shd w:val="clear" w:color="auto" w:fill="auto"/>
          </w:tcPr>
          <w:p w14:paraId="083FA0F8" w14:textId="77777777" w:rsidR="00E13088" w:rsidRPr="00DC75EA" w:rsidRDefault="00E13088" w:rsidP="00EE2918">
            <w:pPr>
              <w:pStyle w:val="Marge"/>
              <w:spacing w:beforeLines="60" w:before="144" w:after="60"/>
              <w:jc w:val="left"/>
              <w:rPr>
                <w:rFonts w:cs="Arial"/>
                <w:sz w:val="20"/>
                <w:szCs w:val="20"/>
              </w:rPr>
            </w:pPr>
            <w:r>
              <w:rPr>
                <w:sz w:val="20"/>
              </w:rPr>
              <w:t>Mali</w:t>
            </w:r>
          </w:p>
        </w:tc>
        <w:tc>
          <w:tcPr>
            <w:tcW w:w="2268" w:type="dxa"/>
          </w:tcPr>
          <w:p w14:paraId="555031B9" w14:textId="101F40A9" w:rsidR="00FF4F17" w:rsidRDefault="00FF4F17" w:rsidP="00EE2918">
            <w:pPr>
              <w:pStyle w:val="Marge"/>
              <w:spacing w:beforeLines="60" w:before="144" w:after="60"/>
              <w:jc w:val="right"/>
              <w:rPr>
                <w:rFonts w:cs="Arial"/>
                <w:snapToGrid/>
                <w:sz w:val="20"/>
                <w:szCs w:val="20"/>
              </w:rPr>
            </w:pPr>
            <w:r>
              <w:rPr>
                <w:snapToGrid/>
                <w:sz w:val="20"/>
              </w:rPr>
              <w:t>307</w:t>
            </w:r>
            <w:r w:rsidR="00C748CC">
              <w:rPr>
                <w:snapToGrid/>
                <w:sz w:val="20"/>
              </w:rPr>
              <w:t> </w:t>
            </w:r>
            <w:r>
              <w:rPr>
                <w:snapToGrid/>
                <w:sz w:val="20"/>
              </w:rPr>
              <w:t>307</w:t>
            </w:r>
          </w:p>
          <w:p w14:paraId="35F1BDE9" w14:textId="77777777" w:rsidR="00E13088" w:rsidRPr="00DC75EA" w:rsidRDefault="00E13088" w:rsidP="00EE2918">
            <w:pPr>
              <w:pStyle w:val="Marge"/>
              <w:spacing w:beforeLines="60" w:before="144" w:after="60"/>
              <w:jc w:val="right"/>
              <w:rPr>
                <w:rFonts w:cs="Arial"/>
                <w:snapToGrid/>
                <w:sz w:val="20"/>
                <w:szCs w:val="20"/>
              </w:rPr>
            </w:pPr>
            <w:r>
              <w:rPr>
                <w:snapToGrid/>
                <w:sz w:val="20"/>
              </w:rPr>
              <w:t>Assistance d’urgence</w:t>
            </w:r>
          </w:p>
        </w:tc>
        <w:tc>
          <w:tcPr>
            <w:tcW w:w="1134" w:type="dxa"/>
            <w:shd w:val="clear" w:color="auto" w:fill="auto"/>
          </w:tcPr>
          <w:p w14:paraId="160F665E" w14:textId="77777777" w:rsidR="00E13088" w:rsidRPr="00DC75EA" w:rsidRDefault="00E13088" w:rsidP="00BB59CF">
            <w:pPr>
              <w:pStyle w:val="Marge"/>
              <w:spacing w:beforeLines="60" w:before="144" w:after="60"/>
              <w:jc w:val="center"/>
              <w:rPr>
                <w:rFonts w:cs="Arial"/>
                <w:sz w:val="20"/>
                <w:szCs w:val="20"/>
              </w:rPr>
            </w:pPr>
            <w:r>
              <w:rPr>
                <w:sz w:val="20"/>
              </w:rPr>
              <w:t>12/2013-11/2016</w:t>
            </w:r>
          </w:p>
        </w:tc>
        <w:tc>
          <w:tcPr>
            <w:tcW w:w="1524" w:type="dxa"/>
            <w:shd w:val="clear" w:color="auto" w:fill="auto"/>
          </w:tcPr>
          <w:p w14:paraId="67D6EC01" w14:textId="6F9B2EE7" w:rsidR="00E13088" w:rsidRPr="00DC75EA" w:rsidRDefault="00E13088" w:rsidP="00EE2918">
            <w:pPr>
              <w:pStyle w:val="Marge"/>
              <w:spacing w:beforeLines="60" w:before="144" w:after="60"/>
              <w:jc w:val="left"/>
              <w:rPr>
                <w:rFonts w:cs="Arial"/>
                <w:sz w:val="20"/>
                <w:szCs w:val="20"/>
              </w:rPr>
            </w:pPr>
            <w:r>
              <w:rPr>
                <w:snapToGrid/>
                <w:sz w:val="20"/>
              </w:rPr>
              <w:t>Rapport d’avancement</w:t>
            </w:r>
            <w:r w:rsidR="00C748CC">
              <w:rPr>
                <w:snapToGrid/>
                <w:sz w:val="20"/>
              </w:rPr>
              <w:t xml:space="preserve"> en</w:t>
            </w:r>
            <w:r>
              <w:rPr>
                <w:snapToGrid/>
                <w:sz w:val="20"/>
              </w:rPr>
              <w:t xml:space="preserve"> </w:t>
            </w:r>
            <w:hyperlink r:id="rId16" w:history="1">
              <w:r w:rsidRPr="008B16C7">
                <w:rPr>
                  <w:rStyle w:val="Hyperlink"/>
                  <w:snapToGrid/>
                  <w:sz w:val="20"/>
                </w:rPr>
                <w:t>français</w:t>
              </w:r>
            </w:hyperlink>
          </w:p>
        </w:tc>
      </w:tr>
    </w:tbl>
    <w:p w14:paraId="25E57BC3" w14:textId="21E4C65E" w:rsidR="002338FA" w:rsidRPr="000F1A04" w:rsidRDefault="005606D0" w:rsidP="00BB59CF">
      <w:pPr>
        <w:pStyle w:val="Marge"/>
        <w:numPr>
          <w:ilvl w:val="0"/>
          <w:numId w:val="9"/>
        </w:numPr>
        <w:spacing w:before="240" w:after="120"/>
        <w:ind w:left="567" w:hanging="567"/>
        <w:rPr>
          <w:snapToGrid/>
        </w:rPr>
      </w:pPr>
      <w:r>
        <w:t xml:space="preserve">Certains contrats relatifs à ces projets ayant été établis avant la publication du formulaire </w:t>
      </w:r>
      <w:r w:rsidRPr="00243AF0">
        <w:t>ICH-04-R</w:t>
      </w:r>
      <w:r w:rsidR="00C748CC" w:rsidRPr="000F1A04">
        <w:t>ap</w:t>
      </w:r>
      <w:r w:rsidRPr="000F1A04">
        <w:t>port</w:t>
      </w:r>
      <w:r>
        <w:t xml:space="preserve">, aucune obligation contractuelle n’exigeait des États concernés qu’ils fournissent </w:t>
      </w:r>
      <w:r w:rsidR="00C748CC">
        <w:t>d</w:t>
      </w:r>
      <w:r>
        <w:t xml:space="preserve">es rapports </w:t>
      </w:r>
      <w:r w:rsidR="00C748CC">
        <w:t xml:space="preserve">selon le formulaire, tel qu’élaboré </w:t>
      </w:r>
      <w:r>
        <w:t xml:space="preserve">suite à la demande du Comité à sa huitième session (Décision 8.COM 6.c.). </w:t>
      </w:r>
      <w:r w:rsidR="006A2FEE">
        <w:t xml:space="preserve">Néanmoins, </w:t>
      </w:r>
      <w:r>
        <w:t xml:space="preserve">pendant cette période de transition, un seul rapport sur l’état d’avancement et un rapport final ont été fournis sans </w:t>
      </w:r>
      <w:r w:rsidR="006A2FEE">
        <w:t>utiliser</w:t>
      </w:r>
      <w:r>
        <w:t xml:space="preserve"> ce formulaire. Tous les autres rapports d’avancement et rapport finaux ont été préparés et soumis à l’aide du </w:t>
      </w:r>
      <w:r w:rsidRPr="00243AF0">
        <w:t xml:space="preserve">formulaire </w:t>
      </w:r>
      <w:r w:rsidRPr="000F1A04">
        <w:t>ICH-04-</w:t>
      </w:r>
      <w:r w:rsidR="006A2FEE" w:rsidRPr="000F1A04">
        <w:t>Rapport</w:t>
      </w:r>
      <w:r w:rsidRPr="000F1A04">
        <w:t>.</w:t>
      </w:r>
    </w:p>
    <w:p w14:paraId="6FC9A8E0" w14:textId="5E9B5B1C" w:rsidR="006C6DCC" w:rsidRPr="00387705" w:rsidRDefault="00387705" w:rsidP="006C6DCC">
      <w:pPr>
        <w:pStyle w:val="Marge"/>
        <w:numPr>
          <w:ilvl w:val="0"/>
          <w:numId w:val="9"/>
        </w:numPr>
        <w:spacing w:before="120" w:after="120"/>
        <w:ind w:left="567" w:hanging="567"/>
        <w:rPr>
          <w:rFonts w:cs="Arial"/>
          <w:szCs w:val="22"/>
        </w:rPr>
      </w:pPr>
      <w:r>
        <w:t xml:space="preserve">Les projets financés par le Fonds du patrimoine culturel immatériel ont été développés et mis en œuvre par des États bénéficiaires. Les approches et activités présentées dans les six rapports finaux et les trois rapports d’avancement sont diverses : quatre mettent l’accent sur l’identification et la préparation des inventaires, et cinq sur la sauvegarde d’éléments particuliers ou du patrimoine culturel immatériel d’une communauté donnée. </w:t>
      </w:r>
      <w:r w:rsidR="0091158F">
        <w:t>Une</w:t>
      </w:r>
      <w:r>
        <w:t xml:space="preserve"> sensibilisation </w:t>
      </w:r>
      <w:r w:rsidR="0091158F">
        <w:t xml:space="preserve">à </w:t>
      </w:r>
      <w:r>
        <w:t xml:space="preserve">l’importance du patrimoine culturel immatériel </w:t>
      </w:r>
      <w:r w:rsidR="0091158F">
        <w:t xml:space="preserve">a été </w:t>
      </w:r>
      <w:r w:rsidR="000F1A04">
        <w:t>réalisée</w:t>
      </w:r>
      <w:r w:rsidR="0091158F">
        <w:t xml:space="preserve"> </w:t>
      </w:r>
      <w:r>
        <w:t xml:space="preserve">dans tous les </w:t>
      </w:r>
      <w:r w:rsidR="000F1A04">
        <w:t>projets</w:t>
      </w:r>
      <w:r>
        <w:t xml:space="preserve">. Les inventaires régionaux ont été ou sont établis en vue de la sauvegarde, et les capacités de parties prenantes locales ont été </w:t>
      </w:r>
      <w:r w:rsidR="0016445F">
        <w:t>renforcées</w:t>
      </w:r>
      <w:r>
        <w:t xml:space="preserve">. Les États ont obtenu des résultats grâce à leurs propres systèmes, ressources humaines et institutions - </w:t>
      </w:r>
      <w:r w:rsidR="0016445F">
        <w:t>u</w:t>
      </w:r>
      <w:r>
        <w:t>ne approche favorable à l’appropriation et la durabilité.</w:t>
      </w:r>
    </w:p>
    <w:p w14:paraId="26608CB1" w14:textId="04AF92A6" w:rsidR="00C670D8" w:rsidRPr="000F1A04" w:rsidRDefault="00C670D8" w:rsidP="00377E5D">
      <w:pPr>
        <w:pStyle w:val="COMPara"/>
        <w:jc w:val="both"/>
      </w:pPr>
      <w:r>
        <w:t xml:space="preserve">Au cours de la période de rapport, sept nouvelles demandes </w:t>
      </w:r>
      <w:r w:rsidR="003B53D4">
        <w:t>d</w:t>
      </w:r>
      <w:r>
        <w:t xml:space="preserve">’assistance internationale ont été approuvées par le Bureau du Comité pour un montant </w:t>
      </w:r>
      <w:r w:rsidR="003B53D4">
        <w:t xml:space="preserve">total </w:t>
      </w:r>
      <w:r>
        <w:t>de 436</w:t>
      </w:r>
      <w:r w:rsidR="003B53D4">
        <w:t> </w:t>
      </w:r>
      <w:r>
        <w:t xml:space="preserve">870 dollars </w:t>
      </w:r>
      <w:r w:rsidR="003B53D4" w:rsidRPr="009720B7">
        <w:t>des États-Unis</w:t>
      </w:r>
      <w:r w:rsidR="000F1A04">
        <w:t>, dont</w:t>
      </w:r>
      <w:r>
        <w:t xml:space="preserve"> trois en novembre 2014 et quatre en juin 2015</w:t>
      </w:r>
      <w:r w:rsidR="000F1A04">
        <w:t>, et p</w:t>
      </w:r>
      <w:r>
        <w:t xml:space="preserve">armi </w:t>
      </w:r>
      <w:r w:rsidR="000F1A04">
        <w:t>lesquelles</w:t>
      </w:r>
      <w:r>
        <w:t xml:space="preserve">, cinq </w:t>
      </w:r>
      <w:r w:rsidR="000F1A04">
        <w:t xml:space="preserve">pour un montant allant </w:t>
      </w:r>
      <w:r w:rsidR="003B53D4" w:rsidRPr="00243AF0">
        <w:t>jusqu’à</w:t>
      </w:r>
      <w:r>
        <w:t xml:space="preserve"> 25</w:t>
      </w:r>
      <w:r w:rsidR="003B53D4">
        <w:t> </w:t>
      </w:r>
      <w:r>
        <w:t xml:space="preserve">000 dollars </w:t>
      </w:r>
      <w:r w:rsidR="003B53D4" w:rsidRPr="009720B7">
        <w:t>des États-Unis</w:t>
      </w:r>
      <w:r>
        <w:t>, un</w:t>
      </w:r>
      <w:r w:rsidR="003B53D4">
        <w:t>e</w:t>
      </w:r>
      <w:r>
        <w:t xml:space="preserve"> destiné</w:t>
      </w:r>
      <w:r w:rsidR="003B53D4">
        <w:t>e</w:t>
      </w:r>
      <w:r>
        <w:t xml:space="preserve"> à l’assistance préparatoire pour l’élaboration de nominations pour l’inscription sur la Liste du patrimoine culturel immatériel nécessitant une sauvegarde urgente, et deux demandes d’assistance d’urgence. Le continent africain représente 363</w:t>
      </w:r>
      <w:r w:rsidR="003B53D4">
        <w:t> </w:t>
      </w:r>
      <w:r>
        <w:t xml:space="preserve">622 dollars </w:t>
      </w:r>
      <w:r w:rsidR="003B53D4" w:rsidRPr="009720B7">
        <w:t>des États-Unis</w:t>
      </w:r>
      <w:r>
        <w:t xml:space="preserve">, soit 83,23 % du montant de l’assistance accordée pendant la période considérée, </w:t>
      </w:r>
      <w:r w:rsidRPr="00243AF0">
        <w:t xml:space="preserve">conformément à la </w:t>
      </w:r>
      <w:r w:rsidR="003B53D4" w:rsidRPr="00243AF0">
        <w:t>Priorité Afrique</w:t>
      </w:r>
      <w:r w:rsidR="003B53D4" w:rsidRPr="000F1A04">
        <w:t xml:space="preserve"> </w:t>
      </w:r>
      <w:r w:rsidRPr="000F1A04">
        <w:t>de l’UNESCO. La mise en œuvre de ces projets a démarré ou est en cours, et à ce jour, aucun rapport n’est attendu pour ces projets.</w:t>
      </w:r>
    </w:p>
    <w:p w14:paraId="61022AC1" w14:textId="5E99AB31" w:rsidR="00D95C4C" w:rsidRPr="00EA528C" w:rsidRDefault="000B1C8F" w:rsidP="00AA6232">
      <w:pPr>
        <w:pStyle w:val="COMPara"/>
      </w:pPr>
      <w:r>
        <w:t>Le Comité souhaitera peut-être adopter la décision suivante</w:t>
      </w:r>
      <w:r w:rsidR="00225295">
        <w:t> </w:t>
      </w:r>
      <w:r>
        <w:t>:</w:t>
      </w:r>
    </w:p>
    <w:p w14:paraId="2B2F20C1" w14:textId="77777777" w:rsidR="00D95C4C" w:rsidRPr="00FD624F" w:rsidRDefault="004A34A0" w:rsidP="00041A66">
      <w:pPr>
        <w:pStyle w:val="COMTitleDecision"/>
        <w:rPr>
          <w:rFonts w:eastAsia="SimSun"/>
        </w:rPr>
      </w:pPr>
      <w:r>
        <w:t>PROJET DE DÉCISION 10.COM 6.c</w:t>
      </w:r>
    </w:p>
    <w:p w14:paraId="4A086281" w14:textId="77777777" w:rsidR="00D95C4C" w:rsidRPr="00285BB4" w:rsidRDefault="00285BB4" w:rsidP="00285BB4">
      <w:pPr>
        <w:pStyle w:val="COMPreambulaDecisions"/>
        <w:rPr>
          <w:rFonts w:eastAsia="SimSun"/>
        </w:rPr>
      </w:pPr>
      <w:r>
        <w:t>Le Comité,</w:t>
      </w:r>
    </w:p>
    <w:p w14:paraId="3EB7D943" w14:textId="77777777" w:rsidR="0057439C" w:rsidRPr="00A73D95" w:rsidRDefault="00D95C4C" w:rsidP="0027466B">
      <w:pPr>
        <w:pStyle w:val="COMParaDecision"/>
        <w:jc w:val="left"/>
      </w:pPr>
      <w:r>
        <w:t>Ayant examiné</w:t>
      </w:r>
      <w:r w:rsidRPr="009720B7">
        <w:rPr>
          <w:u w:val="none"/>
        </w:rPr>
        <w:t xml:space="preserve"> le document ITH/15/10.COM/6.c,</w:t>
      </w:r>
    </w:p>
    <w:p w14:paraId="2E16B67C" w14:textId="2E758816" w:rsidR="00A73D95" w:rsidRPr="00BC620A" w:rsidRDefault="00A73D95" w:rsidP="00533D29">
      <w:pPr>
        <w:pStyle w:val="COMParaDecision"/>
      </w:pPr>
      <w:r>
        <w:t>Rappelant</w:t>
      </w:r>
      <w:r>
        <w:rPr>
          <w:u w:val="none"/>
        </w:rPr>
        <w:t xml:space="preserve"> l’article 24.3 de la Convention,</w:t>
      </w:r>
    </w:p>
    <w:p w14:paraId="3863700A" w14:textId="41622156" w:rsidR="00A73D95" w:rsidRPr="00BC620A" w:rsidRDefault="00225295" w:rsidP="00533D29">
      <w:pPr>
        <w:pStyle w:val="COMParaDecision"/>
      </w:pPr>
      <w:r w:rsidRPr="00243AF0">
        <w:t>Exprime sa</w:t>
      </w:r>
      <w:r w:rsidR="00A73D95">
        <w:t xml:space="preserve"> satisfaction</w:t>
      </w:r>
      <w:r w:rsidR="00A73D95">
        <w:rPr>
          <w:u w:val="none"/>
        </w:rPr>
        <w:t xml:space="preserve"> </w:t>
      </w:r>
      <w:r w:rsidR="00B7603D">
        <w:rPr>
          <w:u w:val="none"/>
        </w:rPr>
        <w:t xml:space="preserve">sur le fait </w:t>
      </w:r>
      <w:r w:rsidR="00A73D95">
        <w:rPr>
          <w:u w:val="none"/>
        </w:rPr>
        <w:t xml:space="preserve">que les pays en développement sont toujours les principaux bénéficiaires de l’assistance internationale du Fonds du patrimoine culturel immatériel et notamment ceux </w:t>
      </w:r>
      <w:r>
        <w:rPr>
          <w:u w:val="none"/>
        </w:rPr>
        <w:t>en Afrique</w:t>
      </w:r>
      <w:r w:rsidR="00A73D95">
        <w:rPr>
          <w:u w:val="none"/>
        </w:rPr>
        <w:t> ;</w:t>
      </w:r>
    </w:p>
    <w:p w14:paraId="59CE03ED" w14:textId="66E2AF90" w:rsidR="00A73D95" w:rsidRDefault="00A73D95" w:rsidP="00533D29">
      <w:pPr>
        <w:pStyle w:val="COMParaDecision"/>
        <w:rPr>
          <w:u w:val="none"/>
        </w:rPr>
      </w:pPr>
      <w:r>
        <w:t>Remercie</w:t>
      </w:r>
      <w:r>
        <w:rPr>
          <w:u w:val="none"/>
        </w:rPr>
        <w:t xml:space="preserve"> les États bénéficiaires qui ont soumis </w:t>
      </w:r>
      <w:r w:rsidR="00225295">
        <w:rPr>
          <w:u w:val="none"/>
        </w:rPr>
        <w:t>d</w:t>
      </w:r>
      <w:r>
        <w:rPr>
          <w:u w:val="none"/>
        </w:rPr>
        <w:t xml:space="preserve">es rapports </w:t>
      </w:r>
      <w:r w:rsidR="00225295">
        <w:rPr>
          <w:u w:val="none"/>
        </w:rPr>
        <w:t xml:space="preserve">finaux ou </w:t>
      </w:r>
      <w:r>
        <w:rPr>
          <w:u w:val="none"/>
        </w:rPr>
        <w:t>d’avancement relatifs aux projets ayant obtenu l’assistance financière du Fonds du patrimoine culturel immatériel ;</w:t>
      </w:r>
    </w:p>
    <w:p w14:paraId="4F798233" w14:textId="5A58C72B" w:rsidR="00EC73B0" w:rsidRDefault="00B16285" w:rsidP="00533D29">
      <w:pPr>
        <w:pStyle w:val="COMParaDecision"/>
      </w:pPr>
      <w:r>
        <w:t>Apprécie</w:t>
      </w:r>
      <w:r>
        <w:rPr>
          <w:u w:val="none"/>
        </w:rPr>
        <w:t xml:space="preserve"> </w:t>
      </w:r>
      <w:r w:rsidR="00225295">
        <w:rPr>
          <w:u w:val="none"/>
        </w:rPr>
        <w:t>l’impact</w:t>
      </w:r>
      <w:r>
        <w:rPr>
          <w:u w:val="none"/>
        </w:rPr>
        <w:t xml:space="preserve"> </w:t>
      </w:r>
      <w:r w:rsidR="00702883">
        <w:rPr>
          <w:u w:val="none"/>
        </w:rPr>
        <w:t xml:space="preserve">que </w:t>
      </w:r>
      <w:r>
        <w:rPr>
          <w:u w:val="none"/>
        </w:rPr>
        <w:t xml:space="preserve">l’assistance </w:t>
      </w:r>
      <w:r w:rsidR="00702883">
        <w:rPr>
          <w:u w:val="none"/>
        </w:rPr>
        <w:t xml:space="preserve">a eu dans </w:t>
      </w:r>
      <w:r>
        <w:rPr>
          <w:u w:val="none"/>
        </w:rPr>
        <w:t xml:space="preserve">les États bénéficiaires pour la sauvegarde du patrimoine culturel immatériel présent sur leurs territoires et les </w:t>
      </w:r>
      <w:r>
        <w:t>encourage</w:t>
      </w:r>
      <w:r>
        <w:rPr>
          <w:u w:val="none"/>
        </w:rPr>
        <w:t xml:space="preserve"> à continuer d’assurer la durabilité et </w:t>
      </w:r>
      <w:r w:rsidR="00702883">
        <w:rPr>
          <w:u w:val="none"/>
        </w:rPr>
        <w:t xml:space="preserve">le renforcement </w:t>
      </w:r>
      <w:r>
        <w:rPr>
          <w:u w:val="none"/>
        </w:rPr>
        <w:t>des résultats des projets ;</w:t>
      </w:r>
    </w:p>
    <w:p w14:paraId="0E2B8EEA" w14:textId="4E5F9CAA" w:rsidR="00131E38" w:rsidRDefault="00131E38" w:rsidP="00533D29">
      <w:pPr>
        <w:pStyle w:val="COMParaDecision"/>
      </w:pPr>
      <w:r>
        <w:t>Note avec satisfaction</w:t>
      </w:r>
      <w:r>
        <w:rPr>
          <w:u w:val="none"/>
        </w:rPr>
        <w:t xml:space="preserve"> le</w:t>
      </w:r>
      <w:r w:rsidR="00243AF0">
        <w:rPr>
          <w:u w:val="none"/>
        </w:rPr>
        <w:t>s</w:t>
      </w:r>
      <w:r>
        <w:rPr>
          <w:u w:val="none"/>
        </w:rPr>
        <w:t xml:space="preserve"> </w:t>
      </w:r>
      <w:r w:rsidR="00243AF0">
        <w:rPr>
          <w:u w:val="none"/>
        </w:rPr>
        <w:t xml:space="preserve">résultats initiaux prometteurs </w:t>
      </w:r>
      <w:r>
        <w:rPr>
          <w:u w:val="none"/>
        </w:rPr>
        <w:t>de la première assistance internationale d’urgence accordée par le Fonds du patrimoine culturel</w:t>
      </w:r>
      <w:r w:rsidR="00243AF0">
        <w:rPr>
          <w:u w:val="none"/>
        </w:rPr>
        <w:t xml:space="preserve"> </w:t>
      </w:r>
      <w:r w:rsidR="004B1F55">
        <w:rPr>
          <w:u w:val="none"/>
        </w:rPr>
        <w:t xml:space="preserve">immatériel </w:t>
      </w:r>
      <w:r w:rsidR="00243AF0">
        <w:rPr>
          <w:u w:val="none"/>
        </w:rPr>
        <w:t xml:space="preserve">comme contribution à la reconstruction et à la cohésion sociale et </w:t>
      </w:r>
      <w:r w:rsidR="00243AF0" w:rsidRPr="009720B7">
        <w:t>encourage</w:t>
      </w:r>
      <w:r w:rsidR="00243AF0">
        <w:rPr>
          <w:u w:val="none"/>
        </w:rPr>
        <w:t xml:space="preserve"> le Mali à poursuivre ses efforts dans cette voie malgré les difficultés contextuelles ;</w:t>
      </w:r>
    </w:p>
    <w:p w14:paraId="0384B5F9" w14:textId="77777777" w:rsidR="00A73D95" w:rsidRPr="00A73D95" w:rsidRDefault="00A73D95" w:rsidP="00533D29">
      <w:pPr>
        <w:pStyle w:val="COMParaDecision"/>
      </w:pPr>
      <w:r>
        <w:t>Félicite</w:t>
      </w:r>
      <w:r>
        <w:rPr>
          <w:u w:val="none"/>
        </w:rPr>
        <w:t xml:space="preserve"> le Kenya et l’Ouganda pour la soumission des candidatures à la Liste du patrimoine culturel immatériel nécessitant une sauvegarde urgente comme résultat de l’assistance préparatoire accordée ;</w:t>
      </w:r>
    </w:p>
    <w:p w14:paraId="307B782E" w14:textId="458F76C1" w:rsidR="00533D29" w:rsidRPr="009720B7" w:rsidRDefault="006C56C2" w:rsidP="0036285D">
      <w:pPr>
        <w:pStyle w:val="COMParaDecision"/>
        <w:rPr>
          <w:u w:val="none"/>
        </w:rPr>
      </w:pPr>
      <w:r>
        <w:t>Demande</w:t>
      </w:r>
      <w:r w:rsidRPr="009720B7">
        <w:rPr>
          <w:u w:val="none"/>
        </w:rPr>
        <w:t xml:space="preserve"> aux</w:t>
      </w:r>
      <w:r w:rsidR="00533D29" w:rsidRPr="00243AF0">
        <w:rPr>
          <w:u w:val="none"/>
        </w:rPr>
        <w:t xml:space="preserve"> </w:t>
      </w:r>
      <w:r w:rsidR="00533D29" w:rsidRPr="00B7603D">
        <w:rPr>
          <w:u w:val="none"/>
        </w:rPr>
        <w:t xml:space="preserve">États parties </w:t>
      </w:r>
      <w:r w:rsidR="00B7603D" w:rsidRPr="009720B7">
        <w:rPr>
          <w:u w:val="none"/>
        </w:rPr>
        <w:t>d’</w:t>
      </w:r>
      <w:r w:rsidR="00533D29" w:rsidRPr="00243AF0">
        <w:rPr>
          <w:u w:val="none"/>
        </w:rPr>
        <w:t>utiliser le formulaire ICH-04-</w:t>
      </w:r>
      <w:r w:rsidRPr="00B7603D">
        <w:rPr>
          <w:u w:val="none"/>
        </w:rPr>
        <w:t>Rapport</w:t>
      </w:r>
      <w:r w:rsidR="00533D29" w:rsidRPr="00B7603D">
        <w:rPr>
          <w:u w:val="none"/>
        </w:rPr>
        <w:t xml:space="preserve"> </w:t>
      </w:r>
      <w:r w:rsidR="00B7603D" w:rsidRPr="009720B7">
        <w:rPr>
          <w:u w:val="none"/>
        </w:rPr>
        <w:t>pour rendre compte de l’utilisation de l’assistance accordée</w:t>
      </w:r>
      <w:r w:rsidR="00533D29" w:rsidRPr="00243AF0">
        <w:rPr>
          <w:u w:val="none"/>
        </w:rPr>
        <w:t>.</w:t>
      </w:r>
    </w:p>
    <w:sectPr w:rsidR="00533D29" w:rsidRPr="009720B7" w:rsidSect="00655736">
      <w:headerReference w:type="even" r:id="rId17"/>
      <w:headerReference w:type="default" r:id="rId18"/>
      <w:headerReference w:type="first" r:id="rId19"/>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5D8D7" w14:textId="77777777" w:rsidR="00DB0552" w:rsidRDefault="00DB0552" w:rsidP="00655736">
      <w:r>
        <w:separator/>
      </w:r>
    </w:p>
  </w:endnote>
  <w:endnote w:type="continuationSeparator" w:id="0">
    <w:p w14:paraId="482E1188" w14:textId="77777777" w:rsidR="00DB0552" w:rsidRDefault="00DB055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DFBD3" w14:textId="77777777" w:rsidR="00DB0552" w:rsidRDefault="00DB0552" w:rsidP="00655736">
      <w:r>
        <w:separator/>
      </w:r>
    </w:p>
  </w:footnote>
  <w:footnote w:type="continuationSeparator" w:id="0">
    <w:p w14:paraId="4629F0AA" w14:textId="77777777" w:rsidR="00DB0552" w:rsidRDefault="00DB0552" w:rsidP="00655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3A449" w14:textId="77777777" w:rsidR="00D95C4C" w:rsidRPr="00C23A97" w:rsidRDefault="00D8250F">
    <w:pPr>
      <w:pStyle w:val="Header"/>
      <w:rPr>
        <w:rFonts w:ascii="Arial" w:hAnsi="Arial" w:cs="Arial"/>
      </w:rPr>
    </w:pPr>
    <w:r>
      <w:rPr>
        <w:rFonts w:ascii="Arial" w:hAnsi="Arial"/>
        <w:sz w:val="20"/>
      </w:rPr>
      <w:t xml:space="preserve">ITH/15/10.COM/6.c – page </w:t>
    </w:r>
    <w:r w:rsidR="00D95C4C" w:rsidRPr="00C23A97">
      <w:rPr>
        <w:rStyle w:val="PageNumber"/>
        <w:rFonts w:ascii="Arial" w:hAnsi="Arial" w:cs="Arial"/>
        <w:sz w:val="20"/>
        <w:szCs w:val="20"/>
      </w:rPr>
      <w:fldChar w:fldCharType="begin"/>
    </w:r>
    <w:r w:rsidR="00D95C4C" w:rsidRPr="00C23A97">
      <w:rPr>
        <w:rStyle w:val="PageNumber"/>
        <w:rFonts w:ascii="Arial" w:hAnsi="Arial" w:cs="Arial"/>
        <w:sz w:val="20"/>
        <w:szCs w:val="20"/>
      </w:rPr>
      <w:instrText xml:space="preserve"> PAGE </w:instrText>
    </w:r>
    <w:r w:rsidR="00D95C4C" w:rsidRPr="00C23A97">
      <w:rPr>
        <w:rStyle w:val="PageNumber"/>
        <w:rFonts w:ascii="Arial" w:hAnsi="Arial" w:cs="Arial"/>
        <w:sz w:val="20"/>
        <w:szCs w:val="20"/>
      </w:rPr>
      <w:fldChar w:fldCharType="separate"/>
    </w:r>
    <w:r w:rsidR="002A13E4">
      <w:rPr>
        <w:rStyle w:val="PageNumber"/>
        <w:rFonts w:ascii="Arial" w:hAnsi="Arial" w:cs="Arial"/>
        <w:noProof/>
        <w:sz w:val="20"/>
        <w:szCs w:val="20"/>
      </w:rPr>
      <w:t>2</w:t>
    </w:r>
    <w:r w:rsidR="00D95C4C" w:rsidRPr="00C23A97">
      <w:rPr>
        <w:rStyle w:val="PageNumber"/>
        <w:rFonts w:ascii="Arial" w:hAnsi="Arial" w:cs="Arial"/>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1035E" w14:textId="77777777" w:rsidR="00D95C4C" w:rsidRPr="0063300C" w:rsidRDefault="00D8250F" w:rsidP="0063300C">
    <w:pPr>
      <w:pStyle w:val="Header"/>
      <w:jc w:val="right"/>
      <w:rPr>
        <w:rFonts w:ascii="Arial" w:hAnsi="Arial" w:cs="Arial"/>
      </w:rPr>
    </w:pPr>
    <w:r>
      <w:rPr>
        <w:rFonts w:ascii="Arial" w:hAnsi="Arial"/>
        <w:sz w:val="20"/>
      </w:rPr>
      <w:t xml:space="preserve">ITH/15/10.COM/6.c – page </w:t>
    </w:r>
    <w:r w:rsidR="004A34A0" w:rsidRPr="0063300C">
      <w:rPr>
        <w:rStyle w:val="PageNumber"/>
        <w:rFonts w:ascii="Arial" w:hAnsi="Arial" w:cs="Arial"/>
        <w:sz w:val="20"/>
        <w:szCs w:val="20"/>
      </w:rPr>
      <w:fldChar w:fldCharType="begin"/>
    </w:r>
    <w:r w:rsidR="004A34A0" w:rsidRPr="0063300C">
      <w:rPr>
        <w:rStyle w:val="PageNumber"/>
        <w:rFonts w:ascii="Arial" w:hAnsi="Arial" w:cs="Arial"/>
        <w:sz w:val="20"/>
        <w:szCs w:val="20"/>
      </w:rPr>
      <w:instrText xml:space="preserve"> PAGE </w:instrText>
    </w:r>
    <w:r w:rsidR="004A34A0" w:rsidRPr="0063300C">
      <w:rPr>
        <w:rStyle w:val="PageNumber"/>
        <w:rFonts w:ascii="Arial" w:hAnsi="Arial" w:cs="Arial"/>
        <w:sz w:val="20"/>
        <w:szCs w:val="20"/>
      </w:rPr>
      <w:fldChar w:fldCharType="separate"/>
    </w:r>
    <w:r w:rsidR="002A13E4">
      <w:rPr>
        <w:rStyle w:val="PageNumber"/>
        <w:rFonts w:ascii="Arial" w:hAnsi="Arial" w:cs="Arial"/>
        <w:noProof/>
        <w:sz w:val="20"/>
        <w:szCs w:val="20"/>
      </w:rPr>
      <w:t>3</w:t>
    </w:r>
    <w:r w:rsidR="004A34A0" w:rsidRPr="0063300C">
      <w:rPr>
        <w:rStyle w:val="PageNumber"/>
        <w:rFonts w:ascii="Arial" w:hAnsi="Arial" w:cs="Arial"/>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5EDAA" w14:textId="6E5C8346" w:rsidR="00D95C4C" w:rsidRPr="00F32C23" w:rsidRDefault="00BF273A">
    <w:pPr>
      <w:pStyle w:val="Header"/>
    </w:pPr>
    <w:r>
      <w:rPr>
        <w:noProof/>
        <w:lang w:bidi="ar-SA"/>
      </w:rPr>
      <w:drawing>
        <wp:anchor distT="0" distB="0" distL="114300" distR="114300" simplePos="0" relativeHeight="251659264" behindDoc="0" locked="0" layoutInCell="1" allowOverlap="1" wp14:anchorId="6E24FB14" wp14:editId="5562F91D">
          <wp:simplePos x="0" y="0"/>
          <wp:positionH relativeFrom="column">
            <wp:posOffset>-368135</wp:posOffset>
          </wp:positionH>
          <wp:positionV relativeFrom="paragraph">
            <wp:posOffset>11875</wp:posOffset>
          </wp:positionV>
          <wp:extent cx="2038350" cy="1529080"/>
          <wp:effectExtent l="0" t="0" r="0" b="0"/>
          <wp:wrapNone/>
          <wp:docPr id="1"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1529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3B6B05" w14:textId="77777777" w:rsidR="00D95C4C" w:rsidRPr="00BF273A" w:rsidRDefault="00D8250F" w:rsidP="00655736">
    <w:pPr>
      <w:pStyle w:val="Header"/>
      <w:spacing w:after="520"/>
      <w:jc w:val="right"/>
      <w:rPr>
        <w:rFonts w:ascii="Arial" w:hAnsi="Arial" w:cs="Arial"/>
        <w:b/>
        <w:sz w:val="44"/>
        <w:szCs w:val="44"/>
        <w:lang w:val="pt-BR"/>
      </w:rPr>
    </w:pPr>
    <w:r w:rsidRPr="00BF273A">
      <w:rPr>
        <w:rFonts w:ascii="Arial" w:hAnsi="Arial"/>
        <w:b/>
        <w:sz w:val="44"/>
        <w:lang w:val="pt-BR"/>
      </w:rPr>
      <w:t>10 COM</w:t>
    </w:r>
  </w:p>
  <w:p w14:paraId="1A859DF9" w14:textId="77777777" w:rsidR="00D95C4C" w:rsidRPr="0092538F" w:rsidRDefault="00D8250F" w:rsidP="00655736">
    <w:pPr>
      <w:jc w:val="right"/>
      <w:rPr>
        <w:rFonts w:ascii="Arial" w:hAnsi="Arial" w:cs="Arial"/>
        <w:b/>
        <w:sz w:val="22"/>
        <w:szCs w:val="22"/>
      </w:rPr>
    </w:pPr>
    <w:r w:rsidRPr="0092538F">
      <w:rPr>
        <w:rFonts w:ascii="Arial" w:hAnsi="Arial"/>
        <w:b/>
        <w:sz w:val="22"/>
      </w:rPr>
      <w:t>ITH/15/10.COM/6.c</w:t>
    </w:r>
  </w:p>
  <w:p w14:paraId="130A1660" w14:textId="20A260E4" w:rsidR="00D95C4C" w:rsidRPr="0092538F" w:rsidRDefault="00D95C4C" w:rsidP="00655736">
    <w:pPr>
      <w:jc w:val="right"/>
      <w:rPr>
        <w:rFonts w:ascii="Arial" w:hAnsi="Arial" w:cs="Arial"/>
        <w:b/>
        <w:sz w:val="22"/>
        <w:szCs w:val="22"/>
      </w:rPr>
    </w:pPr>
    <w:r w:rsidRPr="0092538F">
      <w:rPr>
        <w:rFonts w:ascii="Arial" w:hAnsi="Arial"/>
        <w:b/>
        <w:sz w:val="22"/>
      </w:rPr>
      <w:t xml:space="preserve">Paris, le </w:t>
    </w:r>
    <w:r w:rsidR="0092538F" w:rsidRPr="0092538F">
      <w:rPr>
        <w:rFonts w:ascii="Arial" w:hAnsi="Arial"/>
        <w:b/>
        <w:sz w:val="22"/>
      </w:rPr>
      <w:t>2</w:t>
    </w:r>
    <w:r w:rsidR="00642D22" w:rsidRPr="0092538F">
      <w:rPr>
        <w:rFonts w:ascii="Arial" w:hAnsi="Arial"/>
        <w:b/>
        <w:sz w:val="22"/>
      </w:rPr>
      <w:t xml:space="preserve"> </w:t>
    </w:r>
    <w:r w:rsidR="0092538F" w:rsidRPr="0092538F">
      <w:rPr>
        <w:rFonts w:ascii="Arial" w:hAnsi="Arial"/>
        <w:b/>
        <w:sz w:val="22"/>
      </w:rPr>
      <w:t>novembre</w:t>
    </w:r>
    <w:r w:rsidRPr="0092538F">
      <w:rPr>
        <w:rFonts w:ascii="Arial" w:hAnsi="Arial"/>
        <w:b/>
        <w:sz w:val="22"/>
      </w:rPr>
      <w:t xml:space="preserve"> 2015</w:t>
    </w:r>
  </w:p>
  <w:p w14:paraId="05092E34" w14:textId="77777777" w:rsidR="00D95C4C" w:rsidRPr="0092538F" w:rsidRDefault="00D95C4C" w:rsidP="000048ED">
    <w:pPr>
      <w:jc w:val="right"/>
      <w:rPr>
        <w:rFonts w:ascii="Arial" w:hAnsi="Arial" w:cs="Arial"/>
        <w:b/>
        <w:sz w:val="22"/>
        <w:szCs w:val="22"/>
      </w:rPr>
    </w:pPr>
    <w:r w:rsidRPr="0092538F">
      <w:rPr>
        <w:rFonts w:ascii="Arial" w:hAnsi="Arial"/>
        <w:b/>
        <w:sz w:val="22"/>
      </w:rPr>
      <w:t>Original : anglais</w:t>
    </w:r>
  </w:p>
  <w:p w14:paraId="4C3E45C0" w14:textId="77777777" w:rsidR="00D95C4C" w:rsidRPr="00F32C23" w:rsidRDefault="00D95C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8"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0"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4"/>
  </w:num>
  <w:num w:numId="3">
    <w:abstractNumId w:val="1"/>
  </w:num>
  <w:num w:numId="4">
    <w:abstractNumId w:val="11"/>
  </w:num>
  <w:num w:numId="5">
    <w:abstractNumId w:val="10"/>
  </w:num>
  <w:num w:numId="6">
    <w:abstractNumId w:val="0"/>
  </w:num>
  <w:num w:numId="7">
    <w:abstractNumId w:val="2"/>
  </w:num>
  <w:num w:numId="8">
    <w:abstractNumId w:val="8"/>
  </w:num>
  <w:num w:numId="9">
    <w:abstractNumId w:val="3"/>
  </w:num>
  <w:num w:numId="10">
    <w:abstractNumId w:val="5"/>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469"/>
    <w:rsid w:val="000005F0"/>
    <w:rsid w:val="00003FAE"/>
    <w:rsid w:val="000048ED"/>
    <w:rsid w:val="00011BC7"/>
    <w:rsid w:val="00026949"/>
    <w:rsid w:val="00041A66"/>
    <w:rsid w:val="0005176E"/>
    <w:rsid w:val="000765F7"/>
    <w:rsid w:val="00077AB7"/>
    <w:rsid w:val="00081CD8"/>
    <w:rsid w:val="000845F8"/>
    <w:rsid w:val="0009789C"/>
    <w:rsid w:val="000A5684"/>
    <w:rsid w:val="000A7F0E"/>
    <w:rsid w:val="000B1C8F"/>
    <w:rsid w:val="000C0D61"/>
    <w:rsid w:val="000E7C9F"/>
    <w:rsid w:val="000F1A04"/>
    <w:rsid w:val="000F3A3F"/>
    <w:rsid w:val="00102557"/>
    <w:rsid w:val="00102E31"/>
    <w:rsid w:val="001144DC"/>
    <w:rsid w:val="00131E38"/>
    <w:rsid w:val="00152D35"/>
    <w:rsid w:val="0016445F"/>
    <w:rsid w:val="00164D56"/>
    <w:rsid w:val="00167B10"/>
    <w:rsid w:val="0017165D"/>
    <w:rsid w:val="0017402F"/>
    <w:rsid w:val="00182E0A"/>
    <w:rsid w:val="00196C1B"/>
    <w:rsid w:val="001B0F73"/>
    <w:rsid w:val="001C2DB7"/>
    <w:rsid w:val="001C3F04"/>
    <w:rsid w:val="001D5C04"/>
    <w:rsid w:val="001E71D0"/>
    <w:rsid w:val="001F735E"/>
    <w:rsid w:val="00206CC4"/>
    <w:rsid w:val="00206EC7"/>
    <w:rsid w:val="00222A2D"/>
    <w:rsid w:val="00223029"/>
    <w:rsid w:val="00223268"/>
    <w:rsid w:val="00225295"/>
    <w:rsid w:val="002338FA"/>
    <w:rsid w:val="00234745"/>
    <w:rsid w:val="002407AF"/>
    <w:rsid w:val="00243AF0"/>
    <w:rsid w:val="002565B3"/>
    <w:rsid w:val="0027466B"/>
    <w:rsid w:val="002838A5"/>
    <w:rsid w:val="00285BB4"/>
    <w:rsid w:val="002A13E4"/>
    <w:rsid w:val="002B3FA8"/>
    <w:rsid w:val="002C09E3"/>
    <w:rsid w:val="002F20C1"/>
    <w:rsid w:val="00300655"/>
    <w:rsid w:val="00327454"/>
    <w:rsid w:val="00331E27"/>
    <w:rsid w:val="00344B58"/>
    <w:rsid w:val="00345CB4"/>
    <w:rsid w:val="00352A4C"/>
    <w:rsid w:val="0036285D"/>
    <w:rsid w:val="00362B46"/>
    <w:rsid w:val="00375D42"/>
    <w:rsid w:val="00377E5D"/>
    <w:rsid w:val="003876BC"/>
    <w:rsid w:val="00387705"/>
    <w:rsid w:val="003B3BE6"/>
    <w:rsid w:val="003B53D4"/>
    <w:rsid w:val="003D069C"/>
    <w:rsid w:val="003D4100"/>
    <w:rsid w:val="003D4D3E"/>
    <w:rsid w:val="003D7646"/>
    <w:rsid w:val="003F113A"/>
    <w:rsid w:val="003F3E63"/>
    <w:rsid w:val="00407480"/>
    <w:rsid w:val="00414643"/>
    <w:rsid w:val="0042275F"/>
    <w:rsid w:val="004307FB"/>
    <w:rsid w:val="004421E5"/>
    <w:rsid w:val="00452284"/>
    <w:rsid w:val="0045530C"/>
    <w:rsid w:val="00457C8E"/>
    <w:rsid w:val="00470522"/>
    <w:rsid w:val="004832C2"/>
    <w:rsid w:val="004856CA"/>
    <w:rsid w:val="00487E67"/>
    <w:rsid w:val="0049705E"/>
    <w:rsid w:val="00497C8A"/>
    <w:rsid w:val="004A2767"/>
    <w:rsid w:val="004A34A0"/>
    <w:rsid w:val="004B1F55"/>
    <w:rsid w:val="005008A8"/>
    <w:rsid w:val="00500CDF"/>
    <w:rsid w:val="00510534"/>
    <w:rsid w:val="00514803"/>
    <w:rsid w:val="00526B7B"/>
    <w:rsid w:val="005308CE"/>
    <w:rsid w:val="00533D29"/>
    <w:rsid w:val="005362C7"/>
    <w:rsid w:val="00536351"/>
    <w:rsid w:val="00554FEB"/>
    <w:rsid w:val="0055571A"/>
    <w:rsid w:val="005606D0"/>
    <w:rsid w:val="00566895"/>
    <w:rsid w:val="0057439C"/>
    <w:rsid w:val="005748DC"/>
    <w:rsid w:val="005A288B"/>
    <w:rsid w:val="005B0127"/>
    <w:rsid w:val="005B7A35"/>
    <w:rsid w:val="005C4B73"/>
    <w:rsid w:val="005D0518"/>
    <w:rsid w:val="005D29F1"/>
    <w:rsid w:val="005E1D2B"/>
    <w:rsid w:val="005E5BEC"/>
    <w:rsid w:val="005E7074"/>
    <w:rsid w:val="005F2BAF"/>
    <w:rsid w:val="00600D93"/>
    <w:rsid w:val="00624484"/>
    <w:rsid w:val="0063300C"/>
    <w:rsid w:val="00642D22"/>
    <w:rsid w:val="00655736"/>
    <w:rsid w:val="00656DBA"/>
    <w:rsid w:val="00663B8D"/>
    <w:rsid w:val="00691E62"/>
    <w:rsid w:val="00696C8D"/>
    <w:rsid w:val="006A2AC2"/>
    <w:rsid w:val="006A2FEE"/>
    <w:rsid w:val="006A3617"/>
    <w:rsid w:val="006B6CF7"/>
    <w:rsid w:val="006C56C2"/>
    <w:rsid w:val="006C6DCC"/>
    <w:rsid w:val="006D071B"/>
    <w:rsid w:val="006D7E86"/>
    <w:rsid w:val="006E46E4"/>
    <w:rsid w:val="006E4B40"/>
    <w:rsid w:val="00702883"/>
    <w:rsid w:val="00717DA5"/>
    <w:rsid w:val="0074447D"/>
    <w:rsid w:val="00744484"/>
    <w:rsid w:val="00747566"/>
    <w:rsid w:val="00773188"/>
    <w:rsid w:val="00783782"/>
    <w:rsid w:val="00784B8C"/>
    <w:rsid w:val="007879E1"/>
    <w:rsid w:val="007A243F"/>
    <w:rsid w:val="007A4C7A"/>
    <w:rsid w:val="007C4BF3"/>
    <w:rsid w:val="008039D6"/>
    <w:rsid w:val="008122F6"/>
    <w:rsid w:val="00823A11"/>
    <w:rsid w:val="00827BAF"/>
    <w:rsid w:val="008365FA"/>
    <w:rsid w:val="0085405E"/>
    <w:rsid w:val="0085414A"/>
    <w:rsid w:val="0086269D"/>
    <w:rsid w:val="0086543A"/>
    <w:rsid w:val="00867855"/>
    <w:rsid w:val="00867B92"/>
    <w:rsid w:val="008724E5"/>
    <w:rsid w:val="00884A9D"/>
    <w:rsid w:val="0088512B"/>
    <w:rsid w:val="008A1961"/>
    <w:rsid w:val="008A2B2D"/>
    <w:rsid w:val="008A4E1E"/>
    <w:rsid w:val="008B16C7"/>
    <w:rsid w:val="008C296C"/>
    <w:rsid w:val="008D0667"/>
    <w:rsid w:val="008D4305"/>
    <w:rsid w:val="008E1A85"/>
    <w:rsid w:val="0091158F"/>
    <w:rsid w:val="009163A7"/>
    <w:rsid w:val="0092538F"/>
    <w:rsid w:val="0092667B"/>
    <w:rsid w:val="00930DA8"/>
    <w:rsid w:val="00941567"/>
    <w:rsid w:val="009455BA"/>
    <w:rsid w:val="009466B5"/>
    <w:rsid w:val="00946D0B"/>
    <w:rsid w:val="00955877"/>
    <w:rsid w:val="009720B7"/>
    <w:rsid w:val="009A18CD"/>
    <w:rsid w:val="009A2F55"/>
    <w:rsid w:val="009B39E4"/>
    <w:rsid w:val="009B5A63"/>
    <w:rsid w:val="009D5428"/>
    <w:rsid w:val="009F276A"/>
    <w:rsid w:val="00A12558"/>
    <w:rsid w:val="00A13903"/>
    <w:rsid w:val="00A23469"/>
    <w:rsid w:val="00A27032"/>
    <w:rsid w:val="00A34ED5"/>
    <w:rsid w:val="00A45DBF"/>
    <w:rsid w:val="00A62CFF"/>
    <w:rsid w:val="00A73D95"/>
    <w:rsid w:val="00A755A2"/>
    <w:rsid w:val="00A75DC3"/>
    <w:rsid w:val="00AA6232"/>
    <w:rsid w:val="00AA6660"/>
    <w:rsid w:val="00AB2C36"/>
    <w:rsid w:val="00AB6DDE"/>
    <w:rsid w:val="00AB70B6"/>
    <w:rsid w:val="00AC4A8F"/>
    <w:rsid w:val="00AD1A86"/>
    <w:rsid w:val="00AE0523"/>
    <w:rsid w:val="00AE103E"/>
    <w:rsid w:val="00AE3680"/>
    <w:rsid w:val="00AF0A07"/>
    <w:rsid w:val="00AF4AEC"/>
    <w:rsid w:val="00AF625E"/>
    <w:rsid w:val="00B10920"/>
    <w:rsid w:val="00B16285"/>
    <w:rsid w:val="00B7603D"/>
    <w:rsid w:val="00B9257B"/>
    <w:rsid w:val="00BB04AF"/>
    <w:rsid w:val="00BB3915"/>
    <w:rsid w:val="00BB59CF"/>
    <w:rsid w:val="00BC122C"/>
    <w:rsid w:val="00BD30ED"/>
    <w:rsid w:val="00BD52C9"/>
    <w:rsid w:val="00BE6354"/>
    <w:rsid w:val="00BF273A"/>
    <w:rsid w:val="00C06C59"/>
    <w:rsid w:val="00C138D1"/>
    <w:rsid w:val="00C23A97"/>
    <w:rsid w:val="00C43401"/>
    <w:rsid w:val="00C64855"/>
    <w:rsid w:val="00C670D8"/>
    <w:rsid w:val="00C70EA7"/>
    <w:rsid w:val="00C748CC"/>
    <w:rsid w:val="00C7516E"/>
    <w:rsid w:val="00C75770"/>
    <w:rsid w:val="00C831FB"/>
    <w:rsid w:val="00CA56BB"/>
    <w:rsid w:val="00CC4A35"/>
    <w:rsid w:val="00D00B2B"/>
    <w:rsid w:val="00D211E5"/>
    <w:rsid w:val="00D24877"/>
    <w:rsid w:val="00D315C2"/>
    <w:rsid w:val="00D447A7"/>
    <w:rsid w:val="00D73CAB"/>
    <w:rsid w:val="00D7640E"/>
    <w:rsid w:val="00D8250F"/>
    <w:rsid w:val="00D916FC"/>
    <w:rsid w:val="00D95C4C"/>
    <w:rsid w:val="00DA36ED"/>
    <w:rsid w:val="00DB0552"/>
    <w:rsid w:val="00DB493F"/>
    <w:rsid w:val="00DB752E"/>
    <w:rsid w:val="00DC600C"/>
    <w:rsid w:val="00DE0007"/>
    <w:rsid w:val="00DE34F1"/>
    <w:rsid w:val="00DE6160"/>
    <w:rsid w:val="00DF4942"/>
    <w:rsid w:val="00E13088"/>
    <w:rsid w:val="00E2213D"/>
    <w:rsid w:val="00E225D9"/>
    <w:rsid w:val="00E33F7C"/>
    <w:rsid w:val="00E627B1"/>
    <w:rsid w:val="00E70169"/>
    <w:rsid w:val="00E9376C"/>
    <w:rsid w:val="00EA335E"/>
    <w:rsid w:val="00EA528C"/>
    <w:rsid w:val="00EA580C"/>
    <w:rsid w:val="00EC6F8D"/>
    <w:rsid w:val="00EC73B0"/>
    <w:rsid w:val="00EE2918"/>
    <w:rsid w:val="00EE2D4D"/>
    <w:rsid w:val="00EE6806"/>
    <w:rsid w:val="00EF34E2"/>
    <w:rsid w:val="00F05FEE"/>
    <w:rsid w:val="00F06A09"/>
    <w:rsid w:val="00F2128E"/>
    <w:rsid w:val="00F22314"/>
    <w:rsid w:val="00F30DC6"/>
    <w:rsid w:val="00F32C23"/>
    <w:rsid w:val="00F51B71"/>
    <w:rsid w:val="00F53DE9"/>
    <w:rsid w:val="00F576CB"/>
    <w:rsid w:val="00F62D27"/>
    <w:rsid w:val="00F7035D"/>
    <w:rsid w:val="00F71A02"/>
    <w:rsid w:val="00FA0D63"/>
    <w:rsid w:val="00FC1BD0"/>
    <w:rsid w:val="00FD1226"/>
    <w:rsid w:val="00FF4830"/>
    <w:rsid w:val="00FF4F1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0198934"/>
  <w15:docId w15:val="{370EF632-991E-4B29-A024-1E612C3B3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fr-FR" w:eastAsia="fr-FR" w:bidi="fr-FR"/>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fr-FR"/>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rPr>
  </w:style>
  <w:style w:type="character" w:styleId="CommentReference">
    <w:name w:val="annotation reference"/>
    <w:basedOn w:val="DefaultParagraphFont"/>
    <w:uiPriority w:val="99"/>
    <w:semiHidden/>
    <w:unhideWhenUsed/>
    <w:rsid w:val="00C43401"/>
    <w:rPr>
      <w:sz w:val="16"/>
      <w:szCs w:val="16"/>
    </w:rPr>
  </w:style>
  <w:style w:type="paragraph" w:styleId="CommentText">
    <w:name w:val="annotation text"/>
    <w:basedOn w:val="Normal"/>
    <w:link w:val="CommentTextChar"/>
    <w:uiPriority w:val="99"/>
    <w:semiHidden/>
    <w:unhideWhenUsed/>
    <w:rsid w:val="00C43401"/>
    <w:rPr>
      <w:sz w:val="20"/>
      <w:szCs w:val="20"/>
    </w:rPr>
  </w:style>
  <w:style w:type="character" w:customStyle="1" w:styleId="CommentTextChar">
    <w:name w:val="Comment Text Char"/>
    <w:basedOn w:val="DefaultParagraphFont"/>
    <w:link w:val="CommentText"/>
    <w:uiPriority w:val="99"/>
    <w:semiHidden/>
    <w:rsid w:val="00C4340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43401"/>
    <w:rPr>
      <w:b/>
      <w:bCs/>
    </w:rPr>
  </w:style>
  <w:style w:type="character" w:customStyle="1" w:styleId="CommentSubjectChar">
    <w:name w:val="Comment Subject Char"/>
    <w:basedOn w:val="CommentTextChar"/>
    <w:link w:val="CommentSubject"/>
    <w:uiPriority w:val="99"/>
    <w:semiHidden/>
    <w:rsid w:val="00C43401"/>
    <w:rPr>
      <w:rFonts w:ascii="Times New Roman" w:eastAsia="Times New Roman" w:hAnsi="Times New Roman"/>
      <w:b/>
      <w:bCs/>
    </w:rPr>
  </w:style>
  <w:style w:type="character" w:styleId="Hyperlink">
    <w:name w:val="Hyperlink"/>
    <w:uiPriority w:val="99"/>
    <w:unhideWhenUsed/>
    <w:rsid w:val="0092667B"/>
    <w:rPr>
      <w:color w:val="0563C1"/>
      <w:u w:val="single"/>
    </w:rPr>
  </w:style>
  <w:style w:type="paragraph" w:styleId="Revision">
    <w:name w:val="Revision"/>
    <w:hidden/>
    <w:uiPriority w:val="99"/>
    <w:semiHidden/>
    <w:rsid w:val="009A2F5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esco.org/culture/ich/doc/download.php?versionID=38605" TargetMode="External"/><Relationship Id="rId13" Type="http://schemas.openxmlformats.org/officeDocument/2006/relationships/hyperlink" Target="http://www.unesco.org/culture/ich/doc/download.php?versionID=3860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nesco.org/culture/ich/doc/download.php?versionID=3683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nesco.org/culture/ich/doc/download.php?versionID=3860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esco.org/culture/ich/doc/download.php?versionID=38619" TargetMode="External"/><Relationship Id="rId5" Type="http://schemas.openxmlformats.org/officeDocument/2006/relationships/webSettings" Target="webSettings.xml"/><Relationship Id="rId15" Type="http://schemas.openxmlformats.org/officeDocument/2006/relationships/hyperlink" Target="http://www.unesco.org/culture/ich/doc/download.php?versionID=37431" TargetMode="External"/><Relationship Id="rId10" Type="http://schemas.openxmlformats.org/officeDocument/2006/relationships/hyperlink" Target="http://www.unesco.org/culture/ich/doc/download.php?versionID=38609"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unesco.org/culture/ich/doc/download.php?versionID=38610" TargetMode="External"/><Relationship Id="rId14" Type="http://schemas.openxmlformats.org/officeDocument/2006/relationships/hyperlink" Target="http://www.unesco.org/culture/ich/doc/download.php?versionID=3732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EE528-985B-4890-B0C8-3CFD81B1E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Template>
  <TotalTime>39</TotalTime>
  <Pages>4</Pages>
  <Words>1452</Words>
  <Characters>7992</Characters>
  <Application>Microsoft Office Word</Application>
  <DocSecurity>0</DocSecurity>
  <Lines>66</Lines>
  <Paragraphs>18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UNESCO</Company>
  <LinksUpToDate>false</LinksUpToDate>
  <CharactersWithSpaces>9426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Constantinou</dc:creator>
  <cp:lastModifiedBy>c_duvelle</cp:lastModifiedBy>
  <cp:revision>9</cp:revision>
  <cp:lastPrinted>2015-10-09T18:19:00Z</cp:lastPrinted>
  <dcterms:created xsi:type="dcterms:W3CDTF">2015-10-26T08:16:00Z</dcterms:created>
  <dcterms:modified xsi:type="dcterms:W3CDTF">2015-11-02T10:33:00Z</dcterms:modified>
</cp:coreProperties>
</file>