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B18B0"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096ED934"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C8F5B61"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22B1A0FC" w14:textId="77777777" w:rsidR="009D5428" w:rsidRDefault="00487E67" w:rsidP="005E7074">
      <w:pPr>
        <w:jc w:val="center"/>
        <w:rPr>
          <w:rFonts w:ascii="Arial" w:hAnsi="Arial" w:cs="Arial"/>
          <w:b/>
          <w:sz w:val="22"/>
          <w:szCs w:val="22"/>
          <w:lang w:val="en-GB"/>
        </w:rPr>
      </w:pPr>
      <w:r>
        <w:rPr>
          <w:rFonts w:ascii="Arial" w:hAnsi="Arial" w:cs="Arial"/>
          <w:b/>
          <w:sz w:val="22"/>
          <w:szCs w:val="22"/>
          <w:lang w:val="en-GB"/>
        </w:rPr>
        <w:t>Windhoek</w:t>
      </w:r>
      <w:r w:rsidR="00EA580C">
        <w:rPr>
          <w:rFonts w:ascii="Arial" w:hAnsi="Arial" w:cs="Arial"/>
          <w:b/>
          <w:sz w:val="22"/>
          <w:szCs w:val="22"/>
          <w:lang w:val="en-GB"/>
        </w:rPr>
        <w:t>,</w:t>
      </w:r>
      <w:r w:rsidR="00D8250F">
        <w:rPr>
          <w:rFonts w:ascii="Arial" w:hAnsi="Arial" w:cs="Arial"/>
          <w:b/>
          <w:sz w:val="22"/>
          <w:szCs w:val="22"/>
          <w:lang w:val="en-GB"/>
        </w:rPr>
        <w:t xml:space="preserve"> Namibia</w:t>
      </w:r>
    </w:p>
    <w:p w14:paraId="1379AA0F" w14:textId="77777777"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14:paraId="3D7DB201"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A23469">
        <w:rPr>
          <w:rFonts w:ascii="Arial" w:hAnsi="Arial" w:cs="Arial"/>
          <w:b/>
          <w:sz w:val="22"/>
          <w:szCs w:val="22"/>
          <w:u w:val="single"/>
          <w:lang w:val="en-GB"/>
        </w:rPr>
        <w:t>6.c</w:t>
      </w:r>
      <w:r w:rsidRPr="00293C60">
        <w:rPr>
          <w:rFonts w:ascii="Arial" w:hAnsi="Arial" w:cs="Arial"/>
          <w:b/>
          <w:sz w:val="22"/>
          <w:szCs w:val="22"/>
          <w:u w:val="single"/>
          <w:lang w:val="en-GB"/>
        </w:rPr>
        <w:t xml:space="preserve"> of the Provisional Agend</w:t>
      </w:r>
      <w:bookmarkStart w:id="0" w:name="_GoBack"/>
      <w:r w:rsidRPr="001C5379">
        <w:rPr>
          <w:rFonts w:ascii="Arial" w:hAnsi="Arial" w:cs="Arial"/>
          <w:b/>
          <w:sz w:val="22"/>
          <w:szCs w:val="22"/>
          <w:u w:val="single"/>
          <w:lang w:val="en-GB"/>
        </w:rPr>
        <w:t>a:</w:t>
      </w:r>
      <w:bookmarkEnd w:id="0"/>
    </w:p>
    <w:p w14:paraId="1A229ED1" w14:textId="77777777" w:rsidR="00EC6F8D" w:rsidRPr="00293C60" w:rsidRDefault="00A23469" w:rsidP="00A23469">
      <w:pPr>
        <w:pStyle w:val="Sansinterligne2"/>
        <w:spacing w:after="1200"/>
        <w:jc w:val="center"/>
        <w:rPr>
          <w:rFonts w:ascii="Arial" w:hAnsi="Arial" w:cs="Arial"/>
          <w:b/>
          <w:sz w:val="22"/>
          <w:szCs w:val="22"/>
          <w:lang w:val="en-GB"/>
        </w:rPr>
      </w:pPr>
      <w:r w:rsidRPr="00A23469">
        <w:rPr>
          <w:rFonts w:ascii="Arial" w:hAnsi="Arial" w:cs="Arial"/>
          <w:b/>
          <w:sz w:val="22"/>
          <w:szCs w:val="22"/>
          <w:lang w:val="en-GB"/>
        </w:rPr>
        <w:t>Reports of States Parties on the use of international assistance</w:t>
      </w:r>
      <w:r>
        <w:rPr>
          <w:rFonts w:ascii="Arial" w:hAnsi="Arial" w:cs="Arial"/>
          <w:b/>
          <w:sz w:val="22"/>
          <w:szCs w:val="22"/>
          <w:lang w:val="en-GB"/>
        </w:rPr>
        <w:br/>
      </w:r>
      <w:r w:rsidRPr="00A23469">
        <w:rPr>
          <w:rFonts w:ascii="Arial" w:hAnsi="Arial" w:cs="Arial"/>
          <w:b/>
          <w:sz w:val="22"/>
          <w:szCs w:val="22"/>
          <w:lang w:val="en-GB"/>
        </w:rPr>
        <w:t>from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23469" w14:paraId="3A1C4F10" w14:textId="77777777" w:rsidTr="00EC6F8D">
        <w:trPr>
          <w:jc w:val="center"/>
        </w:trPr>
        <w:tc>
          <w:tcPr>
            <w:tcW w:w="5670" w:type="dxa"/>
            <w:vAlign w:val="center"/>
          </w:tcPr>
          <w:p w14:paraId="3D337238"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79B1B451" w14:textId="3B426334" w:rsidR="00D447A7" w:rsidRPr="00BC620A" w:rsidRDefault="00D447A7" w:rsidP="00D447A7">
            <w:pPr>
              <w:pStyle w:val="Sansinterligne2"/>
              <w:spacing w:before="200" w:after="200"/>
              <w:jc w:val="both"/>
              <w:rPr>
                <w:rFonts w:ascii="Arial" w:hAnsi="Arial" w:cs="Arial"/>
                <w:sz w:val="22"/>
                <w:szCs w:val="22"/>
                <w:lang w:val="en-GB"/>
              </w:rPr>
            </w:pPr>
            <w:r w:rsidRPr="00BC620A">
              <w:rPr>
                <w:rFonts w:ascii="Arial" w:hAnsi="Arial" w:cs="Arial"/>
                <w:sz w:val="22"/>
                <w:szCs w:val="22"/>
                <w:lang w:val="en-GB"/>
              </w:rPr>
              <w:t>Article 24.3 of the Convention provides that ‘The beneficiary State Party shall submit to the Committee a report on the use made of the assistance provided for the safeguarding of the intangible cultural heritage.</w:t>
            </w:r>
            <w:r w:rsidR="005362C7">
              <w:rPr>
                <w:rFonts w:ascii="Arial" w:hAnsi="Arial" w:cs="Arial"/>
                <w:sz w:val="22"/>
                <w:szCs w:val="22"/>
                <w:lang w:val="en-GB"/>
              </w:rPr>
              <w:t>’</w:t>
            </w:r>
            <w:r w:rsidRPr="00BC620A">
              <w:rPr>
                <w:rFonts w:ascii="Arial" w:hAnsi="Arial" w:cs="Arial"/>
                <w:sz w:val="22"/>
                <w:szCs w:val="22"/>
                <w:lang w:val="en-GB"/>
              </w:rPr>
              <w:t xml:space="preserve"> This document covers reporting for</w:t>
            </w:r>
            <w:r>
              <w:rPr>
                <w:rFonts w:ascii="Arial" w:hAnsi="Arial" w:cs="Arial"/>
                <w:sz w:val="22"/>
                <w:szCs w:val="22"/>
                <w:lang w:val="en-GB"/>
              </w:rPr>
              <w:t xml:space="preserve"> the period</w:t>
            </w:r>
            <w:r w:rsidR="005362C7">
              <w:rPr>
                <w:rFonts w:ascii="Arial" w:hAnsi="Arial" w:cs="Arial"/>
                <w:sz w:val="22"/>
                <w:szCs w:val="22"/>
                <w:lang w:val="en-GB"/>
              </w:rPr>
              <w:t xml:space="preserve"> October </w:t>
            </w:r>
            <w:r>
              <w:rPr>
                <w:rFonts w:ascii="Arial" w:hAnsi="Arial" w:cs="Arial"/>
                <w:sz w:val="22"/>
                <w:szCs w:val="22"/>
                <w:lang w:val="en-GB"/>
              </w:rPr>
              <w:t>2014 to September 2015</w:t>
            </w:r>
            <w:r w:rsidRPr="00BC620A">
              <w:rPr>
                <w:rFonts w:ascii="Arial" w:hAnsi="Arial" w:cs="Arial"/>
                <w:sz w:val="22"/>
                <w:szCs w:val="22"/>
                <w:lang w:val="en-GB"/>
              </w:rPr>
              <w:t>.</w:t>
            </w:r>
          </w:p>
          <w:p w14:paraId="315F8FCC" w14:textId="77777777"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930DA8" w:rsidRPr="00EE2918">
              <w:rPr>
                <w:rFonts w:ascii="Arial" w:hAnsi="Arial" w:cs="Arial"/>
                <w:bCs/>
                <w:sz w:val="22"/>
                <w:szCs w:val="22"/>
                <w:lang w:val="en-GB"/>
              </w:rPr>
              <w:t>9</w:t>
            </w:r>
          </w:p>
        </w:tc>
      </w:tr>
    </w:tbl>
    <w:p w14:paraId="6B11FD5D" w14:textId="0C697402" w:rsidR="00D447A7" w:rsidRPr="00BC620A" w:rsidRDefault="00655736" w:rsidP="00377E5D">
      <w:pPr>
        <w:pStyle w:val="Marge"/>
        <w:numPr>
          <w:ilvl w:val="0"/>
          <w:numId w:val="9"/>
        </w:numPr>
        <w:spacing w:before="120" w:after="120"/>
        <w:ind w:left="567" w:hanging="567"/>
        <w:rPr>
          <w:lang w:val="en-GB"/>
        </w:rPr>
      </w:pPr>
      <w:r w:rsidRPr="00D447A7">
        <w:rPr>
          <w:lang w:val="en-US"/>
        </w:rPr>
        <w:br w:type="page"/>
      </w:r>
      <w:r w:rsidR="00D447A7" w:rsidRPr="00BC620A">
        <w:rPr>
          <w:lang w:val="en-GB"/>
        </w:rPr>
        <w:lastRenderedPageBreak/>
        <w:t>Article 24.3 of</w:t>
      </w:r>
      <w:r w:rsidR="00D916FC">
        <w:rPr>
          <w:lang w:val="en-GB"/>
        </w:rPr>
        <w:t xml:space="preserve"> the Convention provides that ‘</w:t>
      </w:r>
      <w:r w:rsidR="00D73CAB">
        <w:rPr>
          <w:lang w:val="en-GB"/>
        </w:rPr>
        <w:t>T</w:t>
      </w:r>
      <w:r w:rsidR="00D447A7" w:rsidRPr="00BC620A">
        <w:rPr>
          <w:lang w:val="en-GB"/>
        </w:rPr>
        <w:t>he beneficiary State Party shall submit to the Committee a report on the use made of the assistance provided for the safeguarding of the intangible cultural heritage.’ Such international financial assistance from the Intangible Cultural Heritage Fund is described in Chapter V</w:t>
      </w:r>
      <w:r w:rsidR="00D916FC">
        <w:rPr>
          <w:lang w:val="en-GB"/>
        </w:rPr>
        <w:t xml:space="preserve"> of the Convention and Chapters </w:t>
      </w:r>
      <w:r w:rsidR="00D447A7" w:rsidRPr="00BC620A">
        <w:rPr>
          <w:lang w:val="en-GB"/>
        </w:rPr>
        <w:t>I.4 and I.14 of the Operational Directives. The present document covers reporting fo</w:t>
      </w:r>
      <w:r w:rsidR="00D211E5">
        <w:rPr>
          <w:lang w:val="en-GB"/>
        </w:rPr>
        <w:t>r the period</w:t>
      </w:r>
      <w:r w:rsidR="00D73CAB">
        <w:rPr>
          <w:lang w:val="en-GB"/>
        </w:rPr>
        <w:t xml:space="preserve"> October </w:t>
      </w:r>
      <w:r w:rsidR="00D211E5">
        <w:rPr>
          <w:lang w:val="en-GB"/>
        </w:rPr>
        <w:t>2014 to September 2015</w:t>
      </w:r>
      <w:r w:rsidR="00D447A7" w:rsidRPr="00BC620A">
        <w:rPr>
          <w:lang w:val="en-GB"/>
        </w:rPr>
        <w:t>.</w:t>
      </w:r>
    </w:p>
    <w:p w14:paraId="2C31CFD9" w14:textId="449431C4" w:rsidR="00624484" w:rsidRPr="00554FEB" w:rsidRDefault="009455BA" w:rsidP="00377E5D">
      <w:pPr>
        <w:pStyle w:val="Marge"/>
        <w:numPr>
          <w:ilvl w:val="0"/>
          <w:numId w:val="9"/>
        </w:numPr>
        <w:spacing w:before="120" w:after="120"/>
        <w:ind w:left="567" w:hanging="567"/>
        <w:rPr>
          <w:lang w:val="en-GB"/>
        </w:rPr>
      </w:pPr>
      <w:r w:rsidRPr="00362B46">
        <w:rPr>
          <w:lang w:val="en-GB"/>
        </w:rPr>
        <w:t xml:space="preserve">Reporting </w:t>
      </w:r>
      <w:r w:rsidR="00E225D9">
        <w:rPr>
          <w:lang w:val="en-GB"/>
        </w:rPr>
        <w:t xml:space="preserve">to the Committee </w:t>
      </w:r>
      <w:r w:rsidRPr="00362B46">
        <w:rPr>
          <w:lang w:val="en-GB"/>
        </w:rPr>
        <w:t xml:space="preserve">on the use made of the assistance provided </w:t>
      </w:r>
      <w:r w:rsidR="00362B46" w:rsidRPr="00362B46">
        <w:rPr>
          <w:lang w:val="en-GB"/>
        </w:rPr>
        <w:t xml:space="preserve">for the safeguarding of the intangible cultural heritage </w:t>
      </w:r>
      <w:r w:rsidR="00624484">
        <w:rPr>
          <w:lang w:val="en-GB"/>
        </w:rPr>
        <w:t>gives</w:t>
      </w:r>
      <w:r w:rsidR="00624484" w:rsidRPr="00362B46">
        <w:rPr>
          <w:lang w:val="en-GB"/>
        </w:rPr>
        <w:t xml:space="preserve"> </w:t>
      </w:r>
      <w:r w:rsidR="00E225D9" w:rsidRPr="00362B46">
        <w:rPr>
          <w:lang w:val="en-GB"/>
        </w:rPr>
        <w:t xml:space="preserve">beneficiary States Parties </w:t>
      </w:r>
      <w:r w:rsidRPr="00362B46">
        <w:rPr>
          <w:lang w:val="en-GB"/>
        </w:rPr>
        <w:t>a</w:t>
      </w:r>
      <w:r w:rsidR="002F20C1">
        <w:rPr>
          <w:lang w:val="en-GB"/>
        </w:rPr>
        <w:t xml:space="preserve">n </w:t>
      </w:r>
      <w:r w:rsidR="00624484">
        <w:rPr>
          <w:lang w:val="en-GB"/>
        </w:rPr>
        <w:t>opportunity</w:t>
      </w:r>
      <w:r w:rsidRPr="00362B46">
        <w:rPr>
          <w:lang w:val="en-GB"/>
        </w:rPr>
        <w:t xml:space="preserve"> to </w:t>
      </w:r>
      <w:r w:rsidR="00624484">
        <w:rPr>
          <w:lang w:val="en-GB"/>
        </w:rPr>
        <w:t xml:space="preserve">present </w:t>
      </w:r>
      <w:r w:rsidR="00E225D9">
        <w:rPr>
          <w:lang w:val="en-GB"/>
        </w:rPr>
        <w:t xml:space="preserve"> results of the project against </w:t>
      </w:r>
      <w:r w:rsidR="00362B46" w:rsidRPr="00362B46">
        <w:rPr>
          <w:lang w:val="en-GB"/>
        </w:rPr>
        <w:t>expected results</w:t>
      </w:r>
      <w:r w:rsidR="002F20C1">
        <w:rPr>
          <w:lang w:val="en-GB"/>
        </w:rPr>
        <w:t>,</w:t>
      </w:r>
      <w:r w:rsidR="00362B46" w:rsidRPr="00362B46">
        <w:rPr>
          <w:lang w:val="en-GB"/>
        </w:rPr>
        <w:t xml:space="preserve"> benefit</w:t>
      </w:r>
      <w:r w:rsidR="005748DC">
        <w:rPr>
          <w:lang w:val="en-GB"/>
        </w:rPr>
        <w:t>s for the communities concerned</w:t>
      </w:r>
      <w:r w:rsidR="00223268">
        <w:rPr>
          <w:lang w:val="en-GB"/>
        </w:rPr>
        <w:t>,</w:t>
      </w:r>
      <w:r w:rsidR="005748DC">
        <w:rPr>
          <w:lang w:val="en-GB"/>
        </w:rPr>
        <w:t xml:space="preserve"> </w:t>
      </w:r>
      <w:r w:rsidR="00A75DC3">
        <w:rPr>
          <w:lang w:val="en-GB"/>
        </w:rPr>
        <w:t xml:space="preserve">measures taken to ensure sustainability and </w:t>
      </w:r>
      <w:r w:rsidR="00A75DC3" w:rsidRPr="00554FEB">
        <w:rPr>
          <w:lang w:val="en-GB"/>
        </w:rPr>
        <w:t>challenges and lessons learnt.</w:t>
      </w:r>
    </w:p>
    <w:p w14:paraId="0DFF8370" w14:textId="0B743BEA" w:rsidR="006C6DCC" w:rsidRDefault="00362B46" w:rsidP="00F06A09">
      <w:pPr>
        <w:pStyle w:val="Marge"/>
        <w:numPr>
          <w:ilvl w:val="0"/>
          <w:numId w:val="9"/>
        </w:numPr>
        <w:spacing w:before="120" w:after="120"/>
        <w:ind w:left="567" w:hanging="567"/>
        <w:rPr>
          <w:lang w:val="en-GB"/>
        </w:rPr>
      </w:pPr>
      <w:r w:rsidRPr="00554FEB">
        <w:rPr>
          <w:lang w:val="en-GB"/>
        </w:rPr>
        <w:t>At the beginning of t</w:t>
      </w:r>
      <w:r w:rsidR="00DB493F" w:rsidRPr="00554FEB">
        <w:rPr>
          <w:lang w:val="en-GB"/>
        </w:rPr>
        <w:t xml:space="preserve">he reporting </w:t>
      </w:r>
      <w:r w:rsidR="00827BAF" w:rsidRPr="00554FEB">
        <w:rPr>
          <w:lang w:val="en-GB"/>
        </w:rPr>
        <w:t>period</w:t>
      </w:r>
      <w:r w:rsidR="00E225D9" w:rsidRPr="00554FEB">
        <w:rPr>
          <w:lang w:val="en-GB"/>
        </w:rPr>
        <w:t>,</w:t>
      </w:r>
      <w:r w:rsidR="00827BAF" w:rsidRPr="00554FEB">
        <w:rPr>
          <w:lang w:val="en-GB"/>
        </w:rPr>
        <w:t xml:space="preserve"> </w:t>
      </w:r>
      <w:r w:rsidR="00E225D9" w:rsidRPr="00554FEB">
        <w:rPr>
          <w:lang w:val="en-GB"/>
        </w:rPr>
        <w:t xml:space="preserve">in </w:t>
      </w:r>
      <w:r w:rsidR="00DB493F" w:rsidRPr="00554FEB">
        <w:rPr>
          <w:lang w:val="en-GB"/>
        </w:rPr>
        <w:t>October 2014</w:t>
      </w:r>
      <w:r w:rsidR="00E225D9" w:rsidRPr="00554FEB">
        <w:rPr>
          <w:lang w:val="en-GB"/>
        </w:rPr>
        <w:t>,</w:t>
      </w:r>
      <w:r w:rsidR="00DB493F" w:rsidRPr="00554FEB">
        <w:rPr>
          <w:lang w:val="en-GB"/>
        </w:rPr>
        <w:t xml:space="preserve"> there were </w:t>
      </w:r>
      <w:r w:rsidR="002565B3" w:rsidRPr="00554FEB">
        <w:rPr>
          <w:lang w:val="en-GB"/>
        </w:rPr>
        <w:t xml:space="preserve">ten </w:t>
      </w:r>
      <w:r w:rsidRPr="00554FEB">
        <w:rPr>
          <w:lang w:val="en-GB"/>
        </w:rPr>
        <w:t xml:space="preserve">ongoing </w:t>
      </w:r>
      <w:r w:rsidR="00C831FB" w:rsidRPr="00554FEB">
        <w:rPr>
          <w:lang w:val="en-GB"/>
        </w:rPr>
        <w:t>I</w:t>
      </w:r>
      <w:r w:rsidRPr="00554FEB">
        <w:rPr>
          <w:lang w:val="en-GB"/>
        </w:rPr>
        <w:t>nt</w:t>
      </w:r>
      <w:r w:rsidR="00C43401" w:rsidRPr="00554FEB">
        <w:rPr>
          <w:lang w:val="en-GB"/>
        </w:rPr>
        <w:t xml:space="preserve">ernational </w:t>
      </w:r>
      <w:r w:rsidR="00C831FB" w:rsidRPr="00554FEB">
        <w:rPr>
          <w:lang w:val="en-GB"/>
        </w:rPr>
        <w:t>A</w:t>
      </w:r>
      <w:r w:rsidR="00C43401" w:rsidRPr="00554FEB">
        <w:rPr>
          <w:lang w:val="en-GB"/>
        </w:rPr>
        <w:t>ssistance projects</w:t>
      </w:r>
      <w:r w:rsidR="00EE2D4D">
        <w:rPr>
          <w:lang w:val="en-GB"/>
        </w:rPr>
        <w:t xml:space="preserve"> </w:t>
      </w:r>
      <w:r w:rsidR="00C670D8" w:rsidRPr="00554FEB">
        <w:rPr>
          <w:lang w:val="en-GB"/>
        </w:rPr>
        <w:t>for a</w:t>
      </w:r>
      <w:r w:rsidR="00BC122C" w:rsidRPr="00554FEB">
        <w:rPr>
          <w:lang w:val="en-GB"/>
        </w:rPr>
        <w:t xml:space="preserve"> total </w:t>
      </w:r>
      <w:r w:rsidR="00C670D8" w:rsidRPr="00554FEB">
        <w:rPr>
          <w:lang w:val="en-GB"/>
        </w:rPr>
        <w:t>US$</w:t>
      </w:r>
      <w:r w:rsidR="00331E27" w:rsidRPr="00554FEB">
        <w:rPr>
          <w:lang w:val="en-GB"/>
        </w:rPr>
        <w:t>1,321,630</w:t>
      </w:r>
      <w:r w:rsidR="009B5A63" w:rsidRPr="00554FEB">
        <w:rPr>
          <w:lang w:val="en-GB"/>
        </w:rPr>
        <w:t>:</w:t>
      </w:r>
      <w:r w:rsidR="00BC122C" w:rsidRPr="00554FEB">
        <w:rPr>
          <w:lang w:val="en-GB"/>
        </w:rPr>
        <w:t xml:space="preserve"> </w:t>
      </w:r>
      <w:r w:rsidR="00331E27" w:rsidRPr="00554FEB">
        <w:rPr>
          <w:lang w:val="en-GB"/>
        </w:rPr>
        <w:t>six</w:t>
      </w:r>
      <w:r w:rsidR="00331E27" w:rsidRPr="00F06A09">
        <w:rPr>
          <w:lang w:val="en-GB"/>
        </w:rPr>
        <w:t xml:space="preserve"> </w:t>
      </w:r>
      <w:r w:rsidR="00827BAF" w:rsidRPr="00F06A09">
        <w:rPr>
          <w:lang w:val="en-GB"/>
        </w:rPr>
        <w:t xml:space="preserve">greater than US$25,000, </w:t>
      </w:r>
      <w:r w:rsidR="005748DC">
        <w:rPr>
          <w:lang w:val="en-GB"/>
        </w:rPr>
        <w:t>one up to US$25,</w:t>
      </w:r>
      <w:r w:rsidR="005748DC" w:rsidRPr="00F06A09">
        <w:rPr>
          <w:lang w:val="en-GB"/>
        </w:rPr>
        <w:t>000</w:t>
      </w:r>
      <w:r w:rsidR="005748DC">
        <w:rPr>
          <w:lang w:val="en-GB"/>
        </w:rPr>
        <w:t>,</w:t>
      </w:r>
      <w:r w:rsidR="005748DC" w:rsidRPr="00F06A09">
        <w:rPr>
          <w:lang w:val="en-GB"/>
        </w:rPr>
        <w:t xml:space="preserve"> </w:t>
      </w:r>
      <w:r w:rsidR="00827BAF" w:rsidRPr="00F06A09">
        <w:rPr>
          <w:lang w:val="en-GB"/>
        </w:rPr>
        <w:t>one emergency assistance</w:t>
      </w:r>
      <w:r w:rsidR="00510534">
        <w:rPr>
          <w:lang w:val="en-GB"/>
        </w:rPr>
        <w:t xml:space="preserve"> project</w:t>
      </w:r>
      <w:r w:rsidR="002338FA">
        <w:rPr>
          <w:lang w:val="en-GB"/>
        </w:rPr>
        <w:t xml:space="preserve"> </w:t>
      </w:r>
      <w:r w:rsidR="00827BAF" w:rsidRPr="00F06A09">
        <w:rPr>
          <w:lang w:val="en-GB"/>
        </w:rPr>
        <w:t xml:space="preserve">and two </w:t>
      </w:r>
      <w:r w:rsidR="00C831FB">
        <w:rPr>
          <w:lang w:val="en-GB"/>
        </w:rPr>
        <w:t>P</w:t>
      </w:r>
      <w:r w:rsidR="00827BAF" w:rsidRPr="00F06A09">
        <w:rPr>
          <w:lang w:val="en-GB"/>
        </w:rPr>
        <w:t xml:space="preserve">reparatory </w:t>
      </w:r>
      <w:r w:rsidR="00C831FB">
        <w:rPr>
          <w:lang w:val="en-GB"/>
        </w:rPr>
        <w:t>A</w:t>
      </w:r>
      <w:r w:rsidR="00827BAF" w:rsidRPr="00F06A09">
        <w:rPr>
          <w:lang w:val="en-GB"/>
        </w:rPr>
        <w:t xml:space="preserve">ssistance projects for inscription on the List of Intangible Cultural Heritage in Need of </w:t>
      </w:r>
      <w:r w:rsidR="00BC122C">
        <w:rPr>
          <w:lang w:val="en-GB"/>
        </w:rPr>
        <w:t>U</w:t>
      </w:r>
      <w:r w:rsidR="00827BAF" w:rsidRPr="00F06A09">
        <w:rPr>
          <w:lang w:val="en-GB"/>
        </w:rPr>
        <w:t>rgent Safeguarding.</w:t>
      </w:r>
    </w:p>
    <w:p w14:paraId="1E621DBB" w14:textId="77777777" w:rsidR="00206CC4" w:rsidRDefault="00300655" w:rsidP="001144DC">
      <w:pPr>
        <w:pStyle w:val="Marge"/>
        <w:numPr>
          <w:ilvl w:val="0"/>
          <w:numId w:val="9"/>
        </w:numPr>
        <w:spacing w:before="120" w:after="120"/>
        <w:ind w:left="567" w:hanging="567"/>
        <w:rPr>
          <w:lang w:val="en-GB"/>
        </w:rPr>
      </w:pPr>
      <w:r>
        <w:rPr>
          <w:lang w:val="en-GB"/>
        </w:rPr>
        <w:t>Six</w:t>
      </w:r>
      <w:r w:rsidRPr="001144DC">
        <w:rPr>
          <w:lang w:val="en-GB"/>
        </w:rPr>
        <w:t xml:space="preserve"> projects were completed successfully and final reports duly </w:t>
      </w:r>
      <w:r>
        <w:rPr>
          <w:lang w:val="en-GB"/>
        </w:rPr>
        <w:t>submitted</w:t>
      </w:r>
      <w:r w:rsidR="00691E62">
        <w:rPr>
          <w:lang w:val="en-GB"/>
        </w:rPr>
        <w:t xml:space="preserve">. </w:t>
      </w:r>
      <w:r w:rsidR="00BC122C">
        <w:rPr>
          <w:lang w:val="en-GB"/>
        </w:rPr>
        <w:t>O</w:t>
      </w:r>
      <w:r w:rsidR="00691E62">
        <w:rPr>
          <w:lang w:val="en-GB"/>
        </w:rPr>
        <w:t>f th</w:t>
      </w:r>
      <w:r w:rsidR="00BC122C">
        <w:rPr>
          <w:lang w:val="en-GB"/>
        </w:rPr>
        <w:t>ose, two</w:t>
      </w:r>
      <w:r w:rsidR="00691E62">
        <w:rPr>
          <w:lang w:val="en-GB"/>
        </w:rPr>
        <w:t xml:space="preserve"> were</w:t>
      </w:r>
      <w:r w:rsidR="000845F8">
        <w:rPr>
          <w:lang w:val="en-GB"/>
        </w:rPr>
        <w:t xml:space="preserve"> </w:t>
      </w:r>
      <w:r w:rsidR="00C831FB">
        <w:rPr>
          <w:lang w:val="en-GB"/>
        </w:rPr>
        <w:t>P</w:t>
      </w:r>
      <w:r w:rsidRPr="00F06A09">
        <w:rPr>
          <w:lang w:val="en-GB"/>
        </w:rPr>
        <w:t xml:space="preserve">reparatory </w:t>
      </w:r>
      <w:r w:rsidR="00C831FB">
        <w:rPr>
          <w:lang w:val="en-GB"/>
        </w:rPr>
        <w:t>A</w:t>
      </w:r>
      <w:r w:rsidRPr="00F06A09">
        <w:rPr>
          <w:lang w:val="en-GB"/>
        </w:rPr>
        <w:t>ssistance projects</w:t>
      </w:r>
      <w:r w:rsidR="00C831FB">
        <w:rPr>
          <w:lang w:val="en-GB"/>
        </w:rPr>
        <w:t>,</w:t>
      </w:r>
      <w:r w:rsidR="00691E62">
        <w:rPr>
          <w:lang w:val="en-GB"/>
        </w:rPr>
        <w:t xml:space="preserve"> which </w:t>
      </w:r>
      <w:r w:rsidR="00BC122C">
        <w:rPr>
          <w:lang w:val="en-GB"/>
        </w:rPr>
        <w:t>were</w:t>
      </w:r>
      <w:r w:rsidRPr="00F06A09">
        <w:rPr>
          <w:lang w:val="en-GB"/>
        </w:rPr>
        <w:t xml:space="preserve"> </w:t>
      </w:r>
      <w:r w:rsidR="00AE3680">
        <w:rPr>
          <w:lang w:val="en-GB"/>
        </w:rPr>
        <w:t xml:space="preserve">submitted for inscription on </w:t>
      </w:r>
      <w:r w:rsidRPr="00F06A09">
        <w:rPr>
          <w:lang w:val="en-GB"/>
        </w:rPr>
        <w:t>the List of Intangibl</w:t>
      </w:r>
      <w:r w:rsidR="000845F8">
        <w:rPr>
          <w:lang w:val="en-GB"/>
        </w:rPr>
        <w:t>e Cultural Heritage in Need of U</w:t>
      </w:r>
      <w:r w:rsidRPr="00F06A09">
        <w:rPr>
          <w:lang w:val="en-GB"/>
        </w:rPr>
        <w:t xml:space="preserve">rgent </w:t>
      </w:r>
      <w:r w:rsidR="000845F8">
        <w:rPr>
          <w:lang w:val="en-GB"/>
        </w:rPr>
        <w:t>S</w:t>
      </w:r>
      <w:r w:rsidR="000845F8" w:rsidRPr="00F06A09">
        <w:rPr>
          <w:lang w:val="en-GB"/>
        </w:rPr>
        <w:t>afeguarding</w:t>
      </w:r>
      <w:r w:rsidR="005748DC">
        <w:rPr>
          <w:lang w:val="en-GB"/>
        </w:rPr>
        <w:t xml:space="preserve"> to be examined by the Committee in 2016</w:t>
      </w:r>
      <w:r w:rsidRPr="00F06A09">
        <w:rPr>
          <w:lang w:val="en-GB"/>
        </w:rPr>
        <w:t xml:space="preserve">. </w:t>
      </w:r>
      <w:r w:rsidRPr="001144DC">
        <w:rPr>
          <w:lang w:val="en-GB"/>
        </w:rPr>
        <w:t>T</w:t>
      </w:r>
      <w:r>
        <w:rPr>
          <w:lang w:val="en-GB"/>
        </w:rPr>
        <w:t>hree</w:t>
      </w:r>
      <w:r w:rsidRPr="001144DC">
        <w:rPr>
          <w:lang w:val="en-GB"/>
        </w:rPr>
        <w:t xml:space="preserve"> projects are ongoing</w:t>
      </w:r>
      <w:r w:rsidR="00BC122C">
        <w:rPr>
          <w:lang w:val="en-GB"/>
        </w:rPr>
        <w:t>,</w:t>
      </w:r>
      <w:r w:rsidRPr="001144DC">
        <w:rPr>
          <w:lang w:val="en-GB"/>
        </w:rPr>
        <w:t xml:space="preserve"> as foreseen in their timetable</w:t>
      </w:r>
      <w:r w:rsidR="009F276A">
        <w:rPr>
          <w:lang w:val="en-GB"/>
        </w:rPr>
        <w:t>,</w:t>
      </w:r>
      <w:r w:rsidRPr="001144DC">
        <w:rPr>
          <w:lang w:val="en-GB"/>
        </w:rPr>
        <w:t xml:space="preserve"> and progress reports </w:t>
      </w:r>
      <w:r w:rsidR="00470522">
        <w:rPr>
          <w:lang w:val="en-GB"/>
        </w:rPr>
        <w:t xml:space="preserve">have been </w:t>
      </w:r>
      <w:r w:rsidR="000845F8">
        <w:rPr>
          <w:lang w:val="en-GB"/>
        </w:rPr>
        <w:t xml:space="preserve">duly </w:t>
      </w:r>
      <w:r w:rsidRPr="001144DC">
        <w:rPr>
          <w:lang w:val="en-GB"/>
        </w:rPr>
        <w:t>submitted</w:t>
      </w:r>
      <w:r w:rsidR="00B9257B">
        <w:rPr>
          <w:lang w:val="en-GB"/>
        </w:rPr>
        <w:t>.</w:t>
      </w:r>
    </w:p>
    <w:p w14:paraId="351B51B2" w14:textId="714CF164" w:rsidR="00206CC4" w:rsidRPr="00BC620A" w:rsidRDefault="00206CC4" w:rsidP="00206CC4">
      <w:pPr>
        <w:pStyle w:val="Marge"/>
        <w:numPr>
          <w:ilvl w:val="0"/>
          <w:numId w:val="9"/>
        </w:numPr>
        <w:spacing w:before="120" w:after="120"/>
        <w:ind w:left="567" w:hanging="567"/>
        <w:rPr>
          <w:snapToGrid/>
          <w:lang w:val="en-GB" w:eastAsia="fr-FR"/>
        </w:rPr>
      </w:pPr>
      <w:r>
        <w:rPr>
          <w:lang w:val="en-GB"/>
        </w:rPr>
        <w:t xml:space="preserve">One ongoing project has </w:t>
      </w:r>
      <w:r w:rsidR="009B5A63">
        <w:rPr>
          <w:lang w:val="en-GB"/>
        </w:rPr>
        <w:t xml:space="preserve">not been </w:t>
      </w:r>
      <w:r>
        <w:rPr>
          <w:lang w:val="en-GB"/>
        </w:rPr>
        <w:t>report</w:t>
      </w:r>
      <w:r w:rsidR="009B5A63">
        <w:rPr>
          <w:lang w:val="en-GB"/>
        </w:rPr>
        <w:t xml:space="preserve">ed on </w:t>
      </w:r>
      <w:r w:rsidR="009B39E4">
        <w:rPr>
          <w:lang w:val="en-GB"/>
        </w:rPr>
        <w:t xml:space="preserve">because of </w:t>
      </w:r>
      <w:r>
        <w:rPr>
          <w:lang w:val="en-GB"/>
        </w:rPr>
        <w:t xml:space="preserve">funds </w:t>
      </w:r>
      <w:r w:rsidR="009B5A63">
        <w:rPr>
          <w:lang w:val="en-GB"/>
        </w:rPr>
        <w:t xml:space="preserve">transfer </w:t>
      </w:r>
      <w:r w:rsidR="009B39E4">
        <w:rPr>
          <w:lang w:val="en-GB"/>
        </w:rPr>
        <w:t>difficulties between</w:t>
      </w:r>
      <w:r>
        <w:rPr>
          <w:lang w:val="en-GB"/>
        </w:rPr>
        <w:t xml:space="preserve"> the national treasury </w:t>
      </w:r>
      <w:r w:rsidR="009B39E4">
        <w:rPr>
          <w:lang w:val="en-GB"/>
        </w:rPr>
        <w:t>and</w:t>
      </w:r>
      <w:r>
        <w:rPr>
          <w:lang w:val="en-GB"/>
        </w:rPr>
        <w:t xml:space="preserve"> implementation agency</w:t>
      </w:r>
      <w:r w:rsidR="009B39E4">
        <w:rPr>
          <w:lang w:val="en-GB"/>
        </w:rPr>
        <w:t xml:space="preserve"> of the country</w:t>
      </w:r>
      <w:r>
        <w:rPr>
          <w:lang w:val="en-GB"/>
        </w:rPr>
        <w:t xml:space="preserve">. </w:t>
      </w:r>
      <w:r w:rsidR="00F51B71">
        <w:rPr>
          <w:lang w:val="en-GB"/>
        </w:rPr>
        <w:t xml:space="preserve">While </w:t>
      </w:r>
      <w:r w:rsidR="00CC4A35" w:rsidRPr="00DE0007">
        <w:rPr>
          <w:lang w:val="en-GB"/>
        </w:rPr>
        <w:t>Phase</w:t>
      </w:r>
      <w:r w:rsidR="00DE0007" w:rsidRPr="00DE0007">
        <w:rPr>
          <w:lang w:val="en-GB"/>
        </w:rPr>
        <w:t>s I and</w:t>
      </w:r>
      <w:r w:rsidR="00CC4A35" w:rsidRPr="00DE0007">
        <w:rPr>
          <w:lang w:val="en-GB"/>
        </w:rPr>
        <w:t xml:space="preserve"> II</w:t>
      </w:r>
      <w:r w:rsidR="00DE0007">
        <w:rPr>
          <w:lang w:val="en-GB"/>
        </w:rPr>
        <w:t xml:space="preserve"> of the project</w:t>
      </w:r>
      <w:r w:rsidR="00F51B71">
        <w:rPr>
          <w:lang w:val="en-GB"/>
        </w:rPr>
        <w:t xml:space="preserve"> </w:t>
      </w:r>
      <w:r w:rsidR="00DE0007">
        <w:rPr>
          <w:lang w:val="en-GB"/>
        </w:rPr>
        <w:t>have</w:t>
      </w:r>
      <w:r w:rsidR="00F51B71">
        <w:rPr>
          <w:lang w:val="en-GB"/>
        </w:rPr>
        <w:t xml:space="preserve"> been completed, the </w:t>
      </w:r>
      <w:r w:rsidR="00A62CFF">
        <w:rPr>
          <w:lang w:val="en-GB"/>
        </w:rPr>
        <w:t>implementation agency cannot finish the final phase until the funds are released</w:t>
      </w:r>
      <w:r w:rsidR="00CC4A35">
        <w:rPr>
          <w:lang w:val="en-GB"/>
        </w:rPr>
        <w:t xml:space="preserve">. </w:t>
      </w:r>
      <w:r w:rsidR="00F51B71">
        <w:rPr>
          <w:lang w:val="en-GB"/>
        </w:rPr>
        <w:t>T</w:t>
      </w:r>
      <w:r>
        <w:rPr>
          <w:lang w:val="en-GB"/>
        </w:rPr>
        <w:t xml:space="preserve">he Secretariat is seeking </w:t>
      </w:r>
      <w:r w:rsidR="00C831FB">
        <w:rPr>
          <w:lang w:val="en-GB"/>
        </w:rPr>
        <w:t xml:space="preserve">an </w:t>
      </w:r>
      <w:r>
        <w:rPr>
          <w:lang w:val="en-GB"/>
        </w:rPr>
        <w:t>administrative solution with the State Party concerned to overcome th</w:t>
      </w:r>
      <w:r w:rsidR="009F276A">
        <w:rPr>
          <w:lang w:val="en-GB"/>
        </w:rPr>
        <w:t>e</w:t>
      </w:r>
      <w:r>
        <w:rPr>
          <w:lang w:val="en-GB"/>
        </w:rPr>
        <w:t xml:space="preserve"> problem</w:t>
      </w:r>
      <w:r w:rsidR="00F51B71">
        <w:rPr>
          <w:lang w:val="en-GB"/>
        </w:rPr>
        <w:t>. N</w:t>
      </w:r>
      <w:r>
        <w:rPr>
          <w:lang w:val="en-GB"/>
        </w:rPr>
        <w:t xml:space="preserve">o progress report could be submitted for the attention of </w:t>
      </w:r>
      <w:r w:rsidR="003876BC">
        <w:rPr>
          <w:lang w:val="en-GB"/>
        </w:rPr>
        <w:t xml:space="preserve">the tenth session of the </w:t>
      </w:r>
      <w:r>
        <w:rPr>
          <w:lang w:val="en-GB"/>
        </w:rPr>
        <w:t>Committee.</w:t>
      </w:r>
    </w:p>
    <w:p w14:paraId="7419ED6E" w14:textId="77777777" w:rsidR="00827BAF" w:rsidRPr="00206CC4" w:rsidRDefault="00AC4A8F">
      <w:pPr>
        <w:pStyle w:val="Marge"/>
        <w:numPr>
          <w:ilvl w:val="0"/>
          <w:numId w:val="9"/>
        </w:numPr>
        <w:spacing w:before="120" w:after="120"/>
        <w:ind w:left="567" w:hanging="567"/>
        <w:rPr>
          <w:lang w:val="en-GB"/>
        </w:rPr>
      </w:pPr>
      <w:r w:rsidRPr="00206CC4">
        <w:rPr>
          <w:lang w:val="en-GB"/>
        </w:rPr>
        <w:t xml:space="preserve">Reports on each of these </w:t>
      </w:r>
      <w:r w:rsidR="000845F8" w:rsidRPr="00206CC4">
        <w:rPr>
          <w:lang w:val="en-GB"/>
        </w:rPr>
        <w:t>nine</w:t>
      </w:r>
      <w:r w:rsidRPr="00206CC4">
        <w:rPr>
          <w:lang w:val="en-GB"/>
        </w:rPr>
        <w:t xml:space="preserve"> projects are available </w:t>
      </w:r>
      <w:r w:rsidR="00F51B71">
        <w:rPr>
          <w:lang w:val="en-GB"/>
        </w:rPr>
        <w:t>t</w:t>
      </w:r>
      <w:r w:rsidRPr="00206CC4">
        <w:rPr>
          <w:lang w:val="en-GB"/>
        </w:rPr>
        <w:t xml:space="preserve">o download in the language in which they were submitted at the </w:t>
      </w:r>
      <w:r w:rsidRPr="00207E01">
        <w:rPr>
          <w:lang w:val="en-GB"/>
        </w:rPr>
        <w:t>links</w:t>
      </w:r>
      <w:r w:rsidRPr="00206CC4">
        <w:rPr>
          <w:lang w:val="en-GB"/>
        </w:rPr>
        <w:t xml:space="preserve"> indicated below.</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1418"/>
        <w:gridCol w:w="1754"/>
        <w:gridCol w:w="1223"/>
        <w:gridCol w:w="1949"/>
      </w:tblGrid>
      <w:tr w:rsidR="00D315C2" w:rsidRPr="00025A76" w14:paraId="7B49AAD9" w14:textId="77777777" w:rsidTr="00025A76">
        <w:trPr>
          <w:cantSplit/>
        </w:trPr>
        <w:tc>
          <w:tcPr>
            <w:tcW w:w="2810" w:type="dxa"/>
            <w:shd w:val="clear" w:color="auto" w:fill="D9D9D9"/>
          </w:tcPr>
          <w:p w14:paraId="21B69803" w14:textId="77777777" w:rsidR="0092667B" w:rsidRPr="00025A76" w:rsidRDefault="0092667B" w:rsidP="007E09C0">
            <w:pPr>
              <w:pStyle w:val="Marge"/>
              <w:spacing w:before="120" w:after="120"/>
              <w:jc w:val="left"/>
              <w:rPr>
                <w:rFonts w:cs="Arial"/>
                <w:b/>
                <w:bCs/>
                <w:sz w:val="18"/>
                <w:szCs w:val="18"/>
                <w:lang w:val="en-GB"/>
              </w:rPr>
            </w:pPr>
            <w:r w:rsidRPr="00025A76">
              <w:rPr>
                <w:rFonts w:cs="Arial"/>
                <w:b/>
                <w:bCs/>
                <w:sz w:val="18"/>
                <w:szCs w:val="18"/>
                <w:lang w:val="en-GB"/>
              </w:rPr>
              <w:t>Project</w:t>
            </w:r>
          </w:p>
        </w:tc>
        <w:tc>
          <w:tcPr>
            <w:tcW w:w="1418" w:type="dxa"/>
            <w:shd w:val="clear" w:color="auto" w:fill="D9D9D9"/>
          </w:tcPr>
          <w:p w14:paraId="74F27916" w14:textId="77777777" w:rsidR="0092667B" w:rsidRPr="00025A76" w:rsidRDefault="0092667B" w:rsidP="007E09C0">
            <w:pPr>
              <w:pStyle w:val="Marge"/>
              <w:spacing w:before="120" w:after="120"/>
              <w:jc w:val="left"/>
              <w:rPr>
                <w:rFonts w:cs="Arial"/>
                <w:b/>
                <w:bCs/>
                <w:sz w:val="18"/>
                <w:szCs w:val="18"/>
                <w:lang w:val="en-GB"/>
              </w:rPr>
            </w:pPr>
            <w:r w:rsidRPr="00025A76">
              <w:rPr>
                <w:rFonts w:cs="Arial"/>
                <w:b/>
                <w:bCs/>
                <w:sz w:val="18"/>
                <w:szCs w:val="18"/>
                <w:lang w:val="en-GB"/>
              </w:rPr>
              <w:t>Beneficiary</w:t>
            </w:r>
          </w:p>
        </w:tc>
        <w:tc>
          <w:tcPr>
            <w:tcW w:w="1754" w:type="dxa"/>
            <w:shd w:val="clear" w:color="auto" w:fill="D9D9D9"/>
          </w:tcPr>
          <w:p w14:paraId="151C4492" w14:textId="396D670F" w:rsidR="0092667B" w:rsidRPr="00025A76" w:rsidRDefault="00EE2D4D" w:rsidP="00025A76">
            <w:pPr>
              <w:pStyle w:val="Marge"/>
              <w:spacing w:before="120" w:after="120"/>
              <w:jc w:val="center"/>
              <w:rPr>
                <w:rFonts w:cs="Arial"/>
                <w:b/>
                <w:bCs/>
                <w:sz w:val="18"/>
                <w:szCs w:val="18"/>
                <w:lang w:val="en-GB"/>
              </w:rPr>
            </w:pPr>
            <w:r w:rsidRPr="00025A76">
              <w:rPr>
                <w:rFonts w:cs="Arial"/>
                <w:b/>
                <w:bCs/>
                <w:sz w:val="18"/>
                <w:szCs w:val="18"/>
                <w:lang w:val="en-GB"/>
              </w:rPr>
              <w:t>Amount</w:t>
            </w:r>
            <w:r w:rsidR="00025A76" w:rsidRPr="00025A76">
              <w:rPr>
                <w:rFonts w:cs="Arial"/>
                <w:b/>
                <w:bCs/>
                <w:sz w:val="18"/>
                <w:szCs w:val="18"/>
                <w:lang w:val="en-GB"/>
              </w:rPr>
              <w:br/>
              <w:t>(</w:t>
            </w:r>
            <w:r w:rsidR="00025A76" w:rsidRPr="00025A76">
              <w:rPr>
                <w:rFonts w:cs="Arial"/>
                <w:snapToGrid/>
                <w:sz w:val="18"/>
                <w:szCs w:val="18"/>
                <w:lang w:val="en-GB" w:eastAsia="fr-FR"/>
              </w:rPr>
              <w:t>US$)</w:t>
            </w:r>
          </w:p>
        </w:tc>
        <w:tc>
          <w:tcPr>
            <w:tcW w:w="1223" w:type="dxa"/>
            <w:shd w:val="clear" w:color="auto" w:fill="D9D9D9"/>
          </w:tcPr>
          <w:p w14:paraId="787F4703" w14:textId="77777777" w:rsidR="0092667B" w:rsidRPr="00025A76" w:rsidRDefault="0092667B" w:rsidP="00025A76">
            <w:pPr>
              <w:pStyle w:val="Marge"/>
              <w:spacing w:before="120" w:after="120"/>
              <w:jc w:val="center"/>
              <w:rPr>
                <w:rFonts w:cs="Arial"/>
                <w:b/>
                <w:bCs/>
                <w:sz w:val="18"/>
                <w:szCs w:val="18"/>
                <w:lang w:val="en-GB"/>
              </w:rPr>
            </w:pPr>
            <w:r w:rsidRPr="00025A76">
              <w:rPr>
                <w:rFonts w:cs="Arial"/>
                <w:b/>
                <w:bCs/>
                <w:sz w:val="18"/>
                <w:szCs w:val="18"/>
                <w:lang w:val="en-GB"/>
              </w:rPr>
              <w:t>Period</w:t>
            </w:r>
          </w:p>
        </w:tc>
        <w:tc>
          <w:tcPr>
            <w:tcW w:w="1949" w:type="dxa"/>
            <w:shd w:val="clear" w:color="auto" w:fill="D9D9D9"/>
          </w:tcPr>
          <w:p w14:paraId="45D44436" w14:textId="77777777" w:rsidR="0092667B" w:rsidRPr="00025A76" w:rsidRDefault="0092667B" w:rsidP="007E09C0">
            <w:pPr>
              <w:pStyle w:val="Marge"/>
              <w:spacing w:before="120" w:after="120"/>
              <w:jc w:val="left"/>
              <w:rPr>
                <w:rFonts w:cs="Arial"/>
                <w:b/>
                <w:bCs/>
                <w:sz w:val="18"/>
                <w:szCs w:val="18"/>
                <w:lang w:val="en-GB"/>
              </w:rPr>
            </w:pPr>
            <w:r w:rsidRPr="00025A76">
              <w:rPr>
                <w:rFonts w:cs="Arial"/>
                <w:b/>
                <w:bCs/>
                <w:sz w:val="18"/>
                <w:szCs w:val="18"/>
                <w:lang w:val="en-GB"/>
              </w:rPr>
              <w:t>Report</w:t>
            </w:r>
          </w:p>
        </w:tc>
      </w:tr>
      <w:tr w:rsidR="00D315C2" w:rsidRPr="005A39B2" w14:paraId="6953FA87" w14:textId="77777777" w:rsidTr="00025A76">
        <w:trPr>
          <w:cantSplit/>
        </w:trPr>
        <w:tc>
          <w:tcPr>
            <w:tcW w:w="2810" w:type="dxa"/>
            <w:shd w:val="clear" w:color="auto" w:fill="auto"/>
          </w:tcPr>
          <w:p w14:paraId="542C41DD" w14:textId="43B3A2F4" w:rsidR="0092667B" w:rsidRPr="001F735E" w:rsidRDefault="001F735E" w:rsidP="00EE2918">
            <w:pPr>
              <w:pStyle w:val="Marge"/>
              <w:spacing w:beforeLines="60" w:before="144" w:after="60"/>
              <w:jc w:val="left"/>
              <w:rPr>
                <w:rFonts w:cs="Arial"/>
                <w:sz w:val="20"/>
                <w:szCs w:val="20"/>
                <w:lang w:val="en-US"/>
              </w:rPr>
            </w:pPr>
            <w:r w:rsidRPr="001F735E">
              <w:rPr>
                <w:lang w:val="en-US"/>
              </w:rPr>
              <w:t>I</w:t>
            </w:r>
            <w:r w:rsidRPr="001F735E">
              <w:rPr>
                <w:rFonts w:cs="Arial"/>
                <w:sz w:val="20"/>
                <w:szCs w:val="20"/>
                <w:lang w:val="en-GB"/>
              </w:rPr>
              <w:t>nventory of traditional music in Senegal</w:t>
            </w:r>
            <w:r w:rsidR="00FA5FA7">
              <w:rPr>
                <w:rFonts w:cs="Arial"/>
                <w:sz w:val="20"/>
                <w:szCs w:val="20"/>
                <w:lang w:val="en-GB"/>
              </w:rPr>
              <w:t xml:space="preserve"> (No.00553)</w:t>
            </w:r>
          </w:p>
        </w:tc>
        <w:tc>
          <w:tcPr>
            <w:tcW w:w="1418" w:type="dxa"/>
            <w:shd w:val="clear" w:color="auto" w:fill="auto"/>
          </w:tcPr>
          <w:p w14:paraId="40E79F04" w14:textId="77777777" w:rsidR="0092667B" w:rsidRPr="001F735E" w:rsidRDefault="001F735E" w:rsidP="00EE2918">
            <w:pPr>
              <w:pStyle w:val="Marge"/>
              <w:spacing w:beforeLines="60" w:before="144" w:after="60"/>
              <w:jc w:val="left"/>
              <w:rPr>
                <w:rFonts w:cs="Arial"/>
                <w:snapToGrid/>
                <w:sz w:val="20"/>
                <w:szCs w:val="20"/>
                <w:lang w:val="en-GB" w:eastAsia="fr-FR"/>
              </w:rPr>
            </w:pPr>
            <w:r w:rsidRPr="001F735E">
              <w:rPr>
                <w:rFonts w:cs="Arial"/>
                <w:snapToGrid/>
                <w:sz w:val="20"/>
                <w:szCs w:val="20"/>
                <w:lang w:val="en-GB" w:eastAsia="fr-FR"/>
              </w:rPr>
              <w:t>Senegal</w:t>
            </w:r>
          </w:p>
        </w:tc>
        <w:tc>
          <w:tcPr>
            <w:tcW w:w="1754" w:type="dxa"/>
          </w:tcPr>
          <w:p w14:paraId="10CC2D3B" w14:textId="4B8BC4BD" w:rsidR="0092667B" w:rsidRPr="00DC75EA"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80</w:t>
            </w:r>
            <w:r>
              <w:rPr>
                <w:rFonts w:cs="Arial"/>
                <w:snapToGrid/>
                <w:sz w:val="20"/>
                <w:szCs w:val="20"/>
                <w:lang w:val="en-GB" w:eastAsia="fr-FR"/>
              </w:rPr>
              <w:t>,</w:t>
            </w:r>
            <w:r w:rsidRPr="00FF4F17">
              <w:rPr>
                <w:rFonts w:cs="Arial"/>
                <w:snapToGrid/>
                <w:sz w:val="20"/>
                <w:szCs w:val="20"/>
                <w:lang w:val="en-GB" w:eastAsia="fr-FR"/>
              </w:rPr>
              <w:t>789</w:t>
            </w:r>
          </w:p>
        </w:tc>
        <w:tc>
          <w:tcPr>
            <w:tcW w:w="1223" w:type="dxa"/>
            <w:shd w:val="clear" w:color="auto" w:fill="auto"/>
          </w:tcPr>
          <w:p w14:paraId="03EFDC92" w14:textId="77777777" w:rsidR="0092667B" w:rsidRPr="001F735E" w:rsidRDefault="001F735E" w:rsidP="00025A76">
            <w:pPr>
              <w:pStyle w:val="Marge"/>
              <w:spacing w:beforeLines="60" w:before="144" w:after="60"/>
              <w:jc w:val="center"/>
              <w:rPr>
                <w:rFonts w:cs="Arial"/>
                <w:snapToGrid/>
                <w:sz w:val="20"/>
                <w:szCs w:val="20"/>
                <w:lang w:val="en-GB" w:eastAsia="fr-FR"/>
              </w:rPr>
            </w:pPr>
            <w:r w:rsidRPr="001F735E">
              <w:rPr>
                <w:rFonts w:cs="Arial"/>
                <w:snapToGrid/>
                <w:sz w:val="20"/>
                <w:szCs w:val="20"/>
                <w:lang w:val="en-GB" w:eastAsia="fr-FR"/>
              </w:rPr>
              <w:t>08/2013- 12/2014</w:t>
            </w:r>
          </w:p>
        </w:tc>
        <w:tc>
          <w:tcPr>
            <w:tcW w:w="1949" w:type="dxa"/>
            <w:shd w:val="clear" w:color="auto" w:fill="auto"/>
          </w:tcPr>
          <w:p w14:paraId="23ED7FFE" w14:textId="7936D05A" w:rsidR="0092667B" w:rsidRPr="00FA5FA7" w:rsidRDefault="001F735E" w:rsidP="007A243F">
            <w:pPr>
              <w:pStyle w:val="Marge"/>
              <w:spacing w:beforeLines="60" w:before="144" w:after="60"/>
              <w:jc w:val="left"/>
              <w:rPr>
                <w:rFonts w:cs="Arial"/>
                <w:snapToGrid/>
                <w:sz w:val="20"/>
                <w:szCs w:val="20"/>
                <w:lang w:val="en-GB" w:eastAsia="fr-FR"/>
              </w:rPr>
            </w:pPr>
            <w:r w:rsidRPr="00FA5FA7">
              <w:rPr>
                <w:rFonts w:cs="Arial"/>
                <w:snapToGrid/>
                <w:sz w:val="20"/>
                <w:szCs w:val="20"/>
                <w:lang w:val="en-GB" w:eastAsia="fr-FR"/>
              </w:rPr>
              <w:t>Final report</w:t>
            </w:r>
            <w:r w:rsidR="00F6070F" w:rsidRPr="00FA5FA7">
              <w:rPr>
                <w:rFonts w:cs="Arial"/>
                <w:snapToGrid/>
                <w:sz w:val="20"/>
                <w:szCs w:val="20"/>
                <w:lang w:val="en-GB" w:eastAsia="fr-FR"/>
              </w:rPr>
              <w:t>:</w:t>
            </w:r>
            <w:r w:rsidRPr="00FA5FA7">
              <w:rPr>
                <w:rFonts w:cs="Arial"/>
                <w:snapToGrid/>
                <w:sz w:val="20"/>
                <w:szCs w:val="20"/>
                <w:lang w:val="en-GB" w:eastAsia="fr-FR"/>
              </w:rPr>
              <w:t xml:space="preserve"> </w:t>
            </w:r>
            <w:hyperlink r:id="rId8" w:tgtFrame="_blank" w:history="1">
              <w:r w:rsidR="00FA5FA7" w:rsidRPr="00FA5FA7">
                <w:rPr>
                  <w:rStyle w:val="Hyperlink"/>
                  <w:sz w:val="20"/>
                  <w:szCs w:val="20"/>
                </w:rPr>
                <w:t>French</w:t>
              </w:r>
            </w:hyperlink>
          </w:p>
        </w:tc>
      </w:tr>
      <w:tr w:rsidR="00D315C2" w:rsidRPr="00FA5FA7" w14:paraId="6A376E98" w14:textId="77777777" w:rsidTr="00025A76">
        <w:trPr>
          <w:cantSplit/>
        </w:trPr>
        <w:tc>
          <w:tcPr>
            <w:tcW w:w="2810" w:type="dxa"/>
            <w:shd w:val="clear" w:color="auto" w:fill="auto"/>
          </w:tcPr>
          <w:p w14:paraId="55BF0347" w14:textId="764ED4AC" w:rsidR="005748DC" w:rsidRPr="00DC75EA" w:rsidRDefault="005748DC" w:rsidP="00EE2918">
            <w:pPr>
              <w:pStyle w:val="Marge"/>
              <w:spacing w:beforeLines="60" w:before="144" w:after="60"/>
              <w:jc w:val="left"/>
              <w:rPr>
                <w:rFonts w:cs="Arial"/>
                <w:snapToGrid/>
                <w:sz w:val="20"/>
                <w:szCs w:val="20"/>
                <w:lang w:val="en-GB" w:eastAsia="fr-FR"/>
              </w:rPr>
            </w:pPr>
            <w:r w:rsidRPr="001F735E">
              <w:rPr>
                <w:rFonts w:cs="Arial"/>
                <w:snapToGrid/>
                <w:sz w:val="20"/>
                <w:szCs w:val="20"/>
                <w:lang w:val="en-GB" w:eastAsia="fr-FR"/>
              </w:rPr>
              <w:t>Documentation, promotion and dissemination of the Candombe traditional drum calls, expressions of identity of the Sur, Palermo, and Cordón neighbourhoods in the city of Montevideo</w:t>
            </w:r>
            <w:r w:rsidR="00FA5FA7">
              <w:rPr>
                <w:rFonts w:cs="Arial"/>
                <w:snapToGrid/>
                <w:sz w:val="20"/>
                <w:szCs w:val="20"/>
                <w:lang w:val="en-GB" w:eastAsia="fr-FR"/>
              </w:rPr>
              <w:t xml:space="preserve"> (No. 00555)</w:t>
            </w:r>
          </w:p>
        </w:tc>
        <w:tc>
          <w:tcPr>
            <w:tcW w:w="1418" w:type="dxa"/>
            <w:shd w:val="clear" w:color="auto" w:fill="auto"/>
          </w:tcPr>
          <w:p w14:paraId="1BEDACC3" w14:textId="77777777" w:rsidR="005748DC" w:rsidRPr="00DC75EA" w:rsidRDefault="005748DC" w:rsidP="00EE2918">
            <w:pPr>
              <w:pStyle w:val="Marge"/>
              <w:spacing w:beforeLines="60" w:before="144" w:after="60"/>
              <w:jc w:val="left"/>
              <w:rPr>
                <w:rFonts w:cs="Arial"/>
                <w:snapToGrid/>
                <w:sz w:val="20"/>
                <w:szCs w:val="20"/>
                <w:lang w:val="en-GB" w:eastAsia="fr-FR"/>
              </w:rPr>
            </w:pPr>
            <w:r>
              <w:rPr>
                <w:rFonts w:cs="Arial"/>
                <w:snapToGrid/>
                <w:sz w:val="20"/>
                <w:szCs w:val="20"/>
                <w:lang w:val="en-GB" w:eastAsia="fr-FR"/>
              </w:rPr>
              <w:t>Uruguay</w:t>
            </w:r>
          </w:p>
        </w:tc>
        <w:tc>
          <w:tcPr>
            <w:tcW w:w="1754" w:type="dxa"/>
          </w:tcPr>
          <w:p w14:paraId="080972E2" w14:textId="1A0047D9" w:rsidR="005748DC" w:rsidRPr="00DC75EA"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186</w:t>
            </w:r>
            <w:r>
              <w:rPr>
                <w:rFonts w:cs="Arial"/>
                <w:snapToGrid/>
                <w:sz w:val="20"/>
                <w:szCs w:val="20"/>
                <w:lang w:val="en-GB" w:eastAsia="fr-FR"/>
              </w:rPr>
              <w:t>,</w:t>
            </w:r>
            <w:r w:rsidRPr="00FF4F17">
              <w:rPr>
                <w:rFonts w:cs="Arial"/>
                <w:snapToGrid/>
                <w:sz w:val="20"/>
                <w:szCs w:val="20"/>
                <w:lang w:val="en-GB" w:eastAsia="fr-FR"/>
              </w:rPr>
              <w:t>875</w:t>
            </w:r>
          </w:p>
        </w:tc>
        <w:tc>
          <w:tcPr>
            <w:tcW w:w="1223" w:type="dxa"/>
            <w:shd w:val="clear" w:color="auto" w:fill="auto"/>
          </w:tcPr>
          <w:p w14:paraId="6D890ADC" w14:textId="77777777" w:rsidR="005748DC" w:rsidRPr="00DC75EA" w:rsidRDefault="005748DC" w:rsidP="00025A76">
            <w:pPr>
              <w:pStyle w:val="Marge"/>
              <w:spacing w:beforeLines="60" w:before="144" w:after="60"/>
              <w:jc w:val="center"/>
              <w:rPr>
                <w:rFonts w:cs="Arial"/>
                <w:snapToGrid/>
                <w:sz w:val="20"/>
                <w:szCs w:val="20"/>
                <w:lang w:val="en-GB" w:eastAsia="fr-FR"/>
              </w:rPr>
            </w:pPr>
            <w:r w:rsidRPr="001F735E">
              <w:rPr>
                <w:rFonts w:cs="Arial"/>
                <w:snapToGrid/>
                <w:sz w:val="20"/>
                <w:szCs w:val="20"/>
                <w:lang w:val="en-GB" w:eastAsia="fr-FR"/>
              </w:rPr>
              <w:t>09/2013</w:t>
            </w:r>
            <w:r>
              <w:rPr>
                <w:rFonts w:cs="Arial"/>
                <w:snapToGrid/>
                <w:sz w:val="20"/>
                <w:szCs w:val="20"/>
                <w:lang w:val="en-GB" w:eastAsia="fr-FR"/>
              </w:rPr>
              <w:t>-</w:t>
            </w:r>
            <w:r>
              <w:t xml:space="preserve"> </w:t>
            </w:r>
            <w:r w:rsidRPr="001F735E">
              <w:rPr>
                <w:rFonts w:cs="Arial"/>
                <w:snapToGrid/>
                <w:sz w:val="20"/>
                <w:szCs w:val="20"/>
                <w:lang w:val="en-GB" w:eastAsia="fr-FR"/>
              </w:rPr>
              <w:t>08/2015</w:t>
            </w:r>
          </w:p>
        </w:tc>
        <w:tc>
          <w:tcPr>
            <w:tcW w:w="1949" w:type="dxa"/>
            <w:shd w:val="clear" w:color="auto" w:fill="auto"/>
          </w:tcPr>
          <w:p w14:paraId="6FA6B9EB" w14:textId="2B821B3E" w:rsidR="005748DC" w:rsidRPr="00554FEB" w:rsidRDefault="005748DC" w:rsidP="00FA5FA7">
            <w:pPr>
              <w:pStyle w:val="Marge"/>
              <w:spacing w:beforeLines="60" w:before="144" w:after="60"/>
              <w:jc w:val="left"/>
              <w:rPr>
                <w:rFonts w:cs="Arial"/>
                <w:snapToGrid/>
                <w:sz w:val="20"/>
                <w:szCs w:val="20"/>
                <w:lang w:val="en-GB" w:eastAsia="fr-FR"/>
              </w:rPr>
            </w:pPr>
            <w:r w:rsidRPr="00554FEB">
              <w:rPr>
                <w:rFonts w:cs="Arial"/>
                <w:sz w:val="20"/>
                <w:szCs w:val="20"/>
                <w:lang w:val="en-GB"/>
              </w:rPr>
              <w:t>Final report</w:t>
            </w:r>
            <w:r w:rsidR="00F6070F">
              <w:rPr>
                <w:rFonts w:cs="Arial"/>
                <w:sz w:val="20"/>
                <w:szCs w:val="20"/>
                <w:lang w:val="en-GB"/>
              </w:rPr>
              <w:t>:</w:t>
            </w:r>
            <w:r w:rsidR="00FA5FA7">
              <w:rPr>
                <w:rFonts w:cs="Arial"/>
                <w:sz w:val="20"/>
                <w:szCs w:val="20"/>
                <w:lang w:val="en-GB"/>
              </w:rPr>
              <w:t xml:space="preserve"> </w:t>
            </w:r>
            <w:hyperlink r:id="rId9" w:history="1">
              <w:r w:rsidRPr="00390528">
                <w:rPr>
                  <w:rStyle w:val="Hyperlink"/>
                  <w:rFonts w:cs="Arial"/>
                  <w:sz w:val="20"/>
                  <w:szCs w:val="20"/>
                  <w:lang w:val="en-GB"/>
                </w:rPr>
                <w:t>English</w:t>
              </w:r>
            </w:hyperlink>
          </w:p>
        </w:tc>
      </w:tr>
      <w:tr w:rsidR="00D315C2" w:rsidRPr="00FA5FA7" w14:paraId="6D8FF570" w14:textId="77777777" w:rsidTr="00025A76">
        <w:trPr>
          <w:cantSplit/>
        </w:trPr>
        <w:tc>
          <w:tcPr>
            <w:tcW w:w="2810" w:type="dxa"/>
            <w:shd w:val="clear" w:color="auto" w:fill="auto"/>
          </w:tcPr>
          <w:p w14:paraId="6B9AB1BB" w14:textId="2949264B" w:rsidR="0092667B" w:rsidRPr="00DC75EA" w:rsidRDefault="001F735E" w:rsidP="00EE2918">
            <w:pPr>
              <w:pStyle w:val="Marge"/>
              <w:spacing w:beforeLines="60" w:before="144" w:after="60"/>
              <w:jc w:val="left"/>
              <w:rPr>
                <w:rFonts w:cs="Arial"/>
                <w:sz w:val="20"/>
                <w:szCs w:val="20"/>
                <w:lang w:val="en-GB"/>
              </w:rPr>
            </w:pPr>
            <w:r w:rsidRPr="001F735E">
              <w:rPr>
                <w:rFonts w:cs="Arial"/>
                <w:sz w:val="20"/>
                <w:szCs w:val="20"/>
                <w:lang w:val="en-GB"/>
              </w:rPr>
              <w:t>Inventorying the intangible cultural heritage of four communities in Uganda</w:t>
            </w:r>
            <w:r w:rsidR="00FA5FA7">
              <w:rPr>
                <w:rFonts w:cs="Arial"/>
                <w:sz w:val="20"/>
                <w:szCs w:val="20"/>
                <w:lang w:val="en-GB"/>
              </w:rPr>
              <w:t xml:space="preserve"> (No. 00557)</w:t>
            </w:r>
          </w:p>
        </w:tc>
        <w:tc>
          <w:tcPr>
            <w:tcW w:w="1418" w:type="dxa"/>
            <w:shd w:val="clear" w:color="auto" w:fill="auto"/>
          </w:tcPr>
          <w:p w14:paraId="28A13E15" w14:textId="77777777" w:rsidR="0092667B" w:rsidRPr="00DC75EA" w:rsidRDefault="001F735E" w:rsidP="00EE2918">
            <w:pPr>
              <w:pStyle w:val="Marge"/>
              <w:spacing w:beforeLines="60" w:before="144" w:after="60"/>
              <w:jc w:val="left"/>
              <w:rPr>
                <w:rFonts w:cs="Arial"/>
                <w:sz w:val="20"/>
                <w:szCs w:val="20"/>
                <w:lang w:val="en-GB"/>
              </w:rPr>
            </w:pPr>
            <w:r>
              <w:rPr>
                <w:rFonts w:cs="Arial"/>
                <w:sz w:val="20"/>
                <w:szCs w:val="20"/>
                <w:lang w:val="en-GB"/>
              </w:rPr>
              <w:t>Uganda</w:t>
            </w:r>
          </w:p>
        </w:tc>
        <w:tc>
          <w:tcPr>
            <w:tcW w:w="1754" w:type="dxa"/>
          </w:tcPr>
          <w:p w14:paraId="4CD77BE0" w14:textId="17D10901" w:rsidR="0092667B" w:rsidRPr="00DC75EA"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216</w:t>
            </w:r>
            <w:r>
              <w:rPr>
                <w:rFonts w:cs="Arial"/>
                <w:snapToGrid/>
                <w:sz w:val="20"/>
                <w:szCs w:val="20"/>
                <w:lang w:val="en-GB" w:eastAsia="fr-FR"/>
              </w:rPr>
              <w:t>,</w:t>
            </w:r>
            <w:r w:rsidRPr="00FF4F17">
              <w:rPr>
                <w:rFonts w:cs="Arial"/>
                <w:snapToGrid/>
                <w:sz w:val="20"/>
                <w:szCs w:val="20"/>
                <w:lang w:val="en-GB" w:eastAsia="fr-FR"/>
              </w:rPr>
              <w:t>000</w:t>
            </w:r>
          </w:p>
        </w:tc>
        <w:tc>
          <w:tcPr>
            <w:tcW w:w="1223" w:type="dxa"/>
            <w:shd w:val="clear" w:color="auto" w:fill="auto"/>
          </w:tcPr>
          <w:p w14:paraId="01B82ED3" w14:textId="77777777" w:rsidR="0092667B" w:rsidRPr="00DC75EA" w:rsidRDefault="001F735E" w:rsidP="00025A76">
            <w:pPr>
              <w:pStyle w:val="Marge"/>
              <w:spacing w:beforeLines="60" w:before="144" w:after="60"/>
              <w:jc w:val="center"/>
              <w:rPr>
                <w:rFonts w:cs="Arial"/>
                <w:sz w:val="20"/>
                <w:szCs w:val="20"/>
                <w:lang w:val="en-GB"/>
              </w:rPr>
            </w:pPr>
            <w:r w:rsidRPr="001F735E">
              <w:rPr>
                <w:rFonts w:cs="Arial"/>
                <w:sz w:val="20"/>
                <w:szCs w:val="20"/>
                <w:lang w:val="en-GB"/>
              </w:rPr>
              <w:t>07/2013</w:t>
            </w:r>
            <w:r>
              <w:rPr>
                <w:rFonts w:cs="Arial"/>
                <w:sz w:val="20"/>
                <w:szCs w:val="20"/>
                <w:lang w:val="en-GB"/>
              </w:rPr>
              <w:t>-</w:t>
            </w:r>
            <w:r w:rsidRPr="00FA5FA7">
              <w:rPr>
                <w:lang w:val="en-GB"/>
              </w:rPr>
              <w:t xml:space="preserve"> </w:t>
            </w:r>
            <w:r w:rsidRPr="001F735E">
              <w:rPr>
                <w:rFonts w:cs="Arial"/>
                <w:sz w:val="20"/>
                <w:szCs w:val="20"/>
                <w:lang w:val="en-GB"/>
              </w:rPr>
              <w:t>08/2015</w:t>
            </w:r>
          </w:p>
        </w:tc>
        <w:tc>
          <w:tcPr>
            <w:tcW w:w="1949" w:type="dxa"/>
            <w:shd w:val="clear" w:color="auto" w:fill="auto"/>
          </w:tcPr>
          <w:p w14:paraId="32687CFE" w14:textId="0F822FD9" w:rsidR="0092667B" w:rsidRPr="00554FEB" w:rsidRDefault="001F735E" w:rsidP="00FA5FA7">
            <w:pPr>
              <w:pStyle w:val="Marge"/>
              <w:spacing w:beforeLines="60" w:before="144" w:after="60"/>
              <w:jc w:val="left"/>
              <w:rPr>
                <w:rFonts w:cs="Arial"/>
                <w:sz w:val="20"/>
                <w:szCs w:val="20"/>
                <w:lang w:val="en-GB"/>
              </w:rPr>
            </w:pPr>
            <w:r w:rsidRPr="00554FEB">
              <w:rPr>
                <w:rFonts w:cs="Arial"/>
                <w:sz w:val="20"/>
                <w:szCs w:val="20"/>
                <w:lang w:val="en-GB"/>
              </w:rPr>
              <w:t>Final report</w:t>
            </w:r>
            <w:r w:rsidR="00F6070F">
              <w:rPr>
                <w:rFonts w:cs="Arial"/>
                <w:sz w:val="20"/>
                <w:szCs w:val="20"/>
                <w:lang w:val="en-GB"/>
              </w:rPr>
              <w:t>:</w:t>
            </w:r>
            <w:r w:rsidR="00FA5FA7">
              <w:rPr>
                <w:rFonts w:cs="Arial"/>
                <w:sz w:val="20"/>
                <w:szCs w:val="20"/>
                <w:lang w:val="en-GB"/>
              </w:rPr>
              <w:t xml:space="preserve"> </w:t>
            </w:r>
            <w:hyperlink r:id="rId10" w:history="1">
              <w:r w:rsidRPr="00390528">
                <w:rPr>
                  <w:rStyle w:val="Hyperlink"/>
                  <w:rFonts w:cs="Arial"/>
                  <w:sz w:val="20"/>
                  <w:szCs w:val="20"/>
                  <w:lang w:val="en-GB"/>
                </w:rPr>
                <w:t>English</w:t>
              </w:r>
            </w:hyperlink>
          </w:p>
        </w:tc>
      </w:tr>
      <w:tr w:rsidR="00D315C2" w:rsidRPr="00FA5FA7" w14:paraId="1C0B7F63" w14:textId="77777777" w:rsidTr="00025A76">
        <w:trPr>
          <w:cantSplit/>
        </w:trPr>
        <w:tc>
          <w:tcPr>
            <w:tcW w:w="2810" w:type="dxa"/>
            <w:shd w:val="clear" w:color="auto" w:fill="auto"/>
          </w:tcPr>
          <w:p w14:paraId="46C7A95F" w14:textId="5FA3C854" w:rsidR="005E5BEC" w:rsidRPr="00DC75EA" w:rsidRDefault="005E5BEC" w:rsidP="00EE2918">
            <w:pPr>
              <w:pStyle w:val="Marge"/>
              <w:spacing w:beforeLines="60" w:before="144" w:after="60"/>
              <w:jc w:val="left"/>
              <w:rPr>
                <w:rFonts w:cs="Arial"/>
                <w:snapToGrid/>
                <w:sz w:val="20"/>
                <w:szCs w:val="20"/>
                <w:lang w:val="en-GB" w:eastAsia="fr-FR"/>
              </w:rPr>
            </w:pPr>
            <w:r w:rsidRPr="001F735E">
              <w:rPr>
                <w:rFonts w:cs="Arial"/>
                <w:snapToGrid/>
                <w:sz w:val="20"/>
                <w:szCs w:val="20"/>
                <w:lang w:val="en-GB" w:eastAsia="fr-FR"/>
              </w:rPr>
              <w:lastRenderedPageBreak/>
              <w:t>Safeguarding and promotion of indigenous knowledge associated with the ecological environment of the Black Ha Nhi in Lao Cai Province, Viet Nam</w:t>
            </w:r>
            <w:r w:rsidR="00FA5FA7">
              <w:rPr>
                <w:rFonts w:cs="Arial"/>
                <w:snapToGrid/>
                <w:sz w:val="20"/>
                <w:szCs w:val="20"/>
                <w:lang w:val="en-GB" w:eastAsia="fr-FR"/>
              </w:rPr>
              <w:t xml:space="preserve"> (No. 00598)</w:t>
            </w:r>
          </w:p>
        </w:tc>
        <w:tc>
          <w:tcPr>
            <w:tcW w:w="1418" w:type="dxa"/>
            <w:shd w:val="clear" w:color="auto" w:fill="auto"/>
          </w:tcPr>
          <w:p w14:paraId="74B979B3" w14:textId="77777777" w:rsidR="005E5BEC" w:rsidRPr="00DC75EA" w:rsidRDefault="005E5BEC" w:rsidP="00EE2918">
            <w:pPr>
              <w:pStyle w:val="Marge"/>
              <w:spacing w:beforeLines="60" w:before="144" w:after="60"/>
              <w:jc w:val="left"/>
              <w:rPr>
                <w:rFonts w:cs="Arial"/>
                <w:snapToGrid/>
                <w:sz w:val="20"/>
                <w:szCs w:val="20"/>
                <w:lang w:val="en-GB" w:eastAsia="fr-FR"/>
              </w:rPr>
            </w:pPr>
            <w:r w:rsidRPr="001F735E">
              <w:rPr>
                <w:rFonts w:cs="Arial"/>
                <w:snapToGrid/>
                <w:sz w:val="20"/>
                <w:szCs w:val="20"/>
                <w:lang w:val="en-GB" w:eastAsia="fr-FR"/>
              </w:rPr>
              <w:t>Viet Nam</w:t>
            </w:r>
          </w:p>
        </w:tc>
        <w:tc>
          <w:tcPr>
            <w:tcW w:w="1754" w:type="dxa"/>
          </w:tcPr>
          <w:p w14:paraId="0A7EC037" w14:textId="1839E898" w:rsidR="005E5BEC" w:rsidRPr="00DC75EA"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24</w:t>
            </w:r>
            <w:r>
              <w:rPr>
                <w:rFonts w:cs="Arial"/>
                <w:snapToGrid/>
                <w:sz w:val="20"/>
                <w:szCs w:val="20"/>
                <w:lang w:val="en-GB" w:eastAsia="fr-FR"/>
              </w:rPr>
              <w:t>,</w:t>
            </w:r>
            <w:r w:rsidRPr="00FF4F17">
              <w:rPr>
                <w:rFonts w:cs="Arial"/>
                <w:snapToGrid/>
                <w:sz w:val="20"/>
                <w:szCs w:val="20"/>
                <w:lang w:val="en-GB" w:eastAsia="fr-FR"/>
              </w:rPr>
              <w:t>631</w:t>
            </w:r>
          </w:p>
        </w:tc>
        <w:tc>
          <w:tcPr>
            <w:tcW w:w="1223" w:type="dxa"/>
            <w:shd w:val="clear" w:color="auto" w:fill="auto"/>
          </w:tcPr>
          <w:p w14:paraId="3BA0BEF2" w14:textId="77777777" w:rsidR="005E5BEC" w:rsidRPr="00DC75EA" w:rsidRDefault="005E5BEC" w:rsidP="00025A76">
            <w:pPr>
              <w:pStyle w:val="Marge"/>
              <w:spacing w:beforeLines="60" w:before="144" w:after="60"/>
              <w:jc w:val="center"/>
              <w:rPr>
                <w:rFonts w:cs="Arial"/>
                <w:snapToGrid/>
                <w:sz w:val="20"/>
                <w:szCs w:val="20"/>
                <w:lang w:val="en-GB" w:eastAsia="fr-FR"/>
              </w:rPr>
            </w:pPr>
            <w:r w:rsidRPr="001F735E">
              <w:rPr>
                <w:rFonts w:cs="Arial"/>
                <w:snapToGrid/>
                <w:sz w:val="20"/>
                <w:szCs w:val="20"/>
                <w:lang w:val="en-GB" w:eastAsia="fr-FR"/>
              </w:rPr>
              <w:t>11/2013</w:t>
            </w:r>
            <w:r>
              <w:rPr>
                <w:rFonts w:cs="Arial"/>
                <w:snapToGrid/>
                <w:sz w:val="20"/>
                <w:szCs w:val="20"/>
                <w:lang w:val="en-GB" w:eastAsia="fr-FR"/>
              </w:rPr>
              <w:t>-</w:t>
            </w:r>
            <w:r>
              <w:t xml:space="preserve"> </w:t>
            </w:r>
            <w:r w:rsidRPr="001F735E">
              <w:rPr>
                <w:rFonts w:cs="Arial"/>
                <w:snapToGrid/>
                <w:sz w:val="20"/>
                <w:szCs w:val="20"/>
                <w:lang w:val="en-GB" w:eastAsia="fr-FR"/>
              </w:rPr>
              <w:t>09/2015</w:t>
            </w:r>
          </w:p>
        </w:tc>
        <w:tc>
          <w:tcPr>
            <w:tcW w:w="1949" w:type="dxa"/>
            <w:shd w:val="clear" w:color="auto" w:fill="auto"/>
          </w:tcPr>
          <w:p w14:paraId="02D0B70F" w14:textId="5A8F1FCB" w:rsidR="005E5BEC" w:rsidRPr="00FA5FA7" w:rsidRDefault="005E5BEC" w:rsidP="00FA5FA7">
            <w:pPr>
              <w:pStyle w:val="Marge"/>
              <w:spacing w:beforeLines="60" w:before="144" w:after="60"/>
              <w:jc w:val="left"/>
              <w:rPr>
                <w:rFonts w:cs="Arial"/>
                <w:sz w:val="20"/>
                <w:szCs w:val="20"/>
                <w:lang w:val="en-GB"/>
              </w:rPr>
            </w:pPr>
            <w:r w:rsidRPr="001F735E">
              <w:rPr>
                <w:rFonts w:cs="Arial"/>
                <w:sz w:val="20"/>
                <w:szCs w:val="20"/>
                <w:lang w:val="en-GB"/>
              </w:rPr>
              <w:t>Final report</w:t>
            </w:r>
            <w:r w:rsidR="00F6070F">
              <w:rPr>
                <w:rFonts w:cs="Arial"/>
                <w:sz w:val="20"/>
                <w:szCs w:val="20"/>
                <w:lang w:val="en-GB"/>
              </w:rPr>
              <w:t>:</w:t>
            </w:r>
            <w:r w:rsidR="00FA5FA7">
              <w:rPr>
                <w:rFonts w:cs="Arial"/>
                <w:sz w:val="20"/>
                <w:szCs w:val="20"/>
                <w:lang w:val="en-GB"/>
              </w:rPr>
              <w:t xml:space="preserve"> </w:t>
            </w:r>
            <w:hyperlink r:id="rId11" w:history="1">
              <w:r w:rsidRPr="00321AB3">
                <w:rPr>
                  <w:rStyle w:val="Hyperlink"/>
                  <w:rFonts w:cs="Arial"/>
                  <w:sz w:val="20"/>
                  <w:szCs w:val="20"/>
                  <w:lang w:val="en-GB"/>
                </w:rPr>
                <w:t>English</w:t>
              </w:r>
            </w:hyperlink>
          </w:p>
        </w:tc>
      </w:tr>
      <w:tr w:rsidR="00D315C2" w:rsidRPr="00FA5FA7" w14:paraId="366F1B37" w14:textId="77777777" w:rsidTr="00025A76">
        <w:trPr>
          <w:cantSplit/>
        </w:trPr>
        <w:tc>
          <w:tcPr>
            <w:tcW w:w="2810" w:type="dxa"/>
            <w:shd w:val="clear" w:color="auto" w:fill="auto"/>
          </w:tcPr>
          <w:p w14:paraId="0022B0A5" w14:textId="7C15132A" w:rsidR="001F735E" w:rsidRPr="00DC75EA" w:rsidRDefault="001F735E" w:rsidP="00EE2918">
            <w:pPr>
              <w:pStyle w:val="Marge"/>
              <w:spacing w:beforeLines="60" w:before="144" w:after="60"/>
              <w:jc w:val="left"/>
              <w:rPr>
                <w:rFonts w:cs="Arial"/>
                <w:snapToGrid/>
                <w:sz w:val="20"/>
                <w:szCs w:val="20"/>
                <w:lang w:val="en-GB" w:eastAsia="fr-FR"/>
              </w:rPr>
            </w:pPr>
            <w:r w:rsidRPr="001F735E">
              <w:rPr>
                <w:rFonts w:cs="Arial"/>
                <w:snapToGrid/>
                <w:sz w:val="20"/>
                <w:szCs w:val="20"/>
                <w:lang w:val="en-GB" w:eastAsia="fr-FR"/>
              </w:rPr>
              <w:t>Madi bow lyre music, O’di</w:t>
            </w:r>
            <w:r w:rsidR="00FA5FA7">
              <w:rPr>
                <w:rFonts w:cs="Arial"/>
                <w:snapToGrid/>
                <w:sz w:val="20"/>
                <w:szCs w:val="20"/>
                <w:lang w:val="en-GB" w:eastAsia="fr-FR"/>
              </w:rPr>
              <w:t xml:space="preserve"> (No. 00890)</w:t>
            </w:r>
          </w:p>
        </w:tc>
        <w:tc>
          <w:tcPr>
            <w:tcW w:w="1418" w:type="dxa"/>
            <w:shd w:val="clear" w:color="auto" w:fill="auto"/>
          </w:tcPr>
          <w:p w14:paraId="4DDF4C7C" w14:textId="77777777" w:rsidR="001F735E" w:rsidRPr="00DC75EA" w:rsidRDefault="001F735E" w:rsidP="00EE2918">
            <w:pPr>
              <w:pStyle w:val="Marge"/>
              <w:spacing w:beforeLines="60" w:before="144" w:after="60"/>
              <w:jc w:val="left"/>
              <w:rPr>
                <w:rFonts w:cs="Arial"/>
                <w:snapToGrid/>
                <w:sz w:val="20"/>
                <w:szCs w:val="20"/>
                <w:lang w:val="en-GB" w:eastAsia="fr-FR"/>
              </w:rPr>
            </w:pPr>
            <w:r>
              <w:rPr>
                <w:rFonts w:cs="Arial"/>
                <w:snapToGrid/>
                <w:sz w:val="20"/>
                <w:szCs w:val="20"/>
                <w:lang w:val="en-GB" w:eastAsia="fr-FR"/>
              </w:rPr>
              <w:t>Uganda</w:t>
            </w:r>
          </w:p>
        </w:tc>
        <w:tc>
          <w:tcPr>
            <w:tcW w:w="1754" w:type="dxa"/>
          </w:tcPr>
          <w:p w14:paraId="50932C1F" w14:textId="009CD38F" w:rsidR="00F6070F"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10</w:t>
            </w:r>
            <w:r>
              <w:rPr>
                <w:rFonts w:cs="Arial"/>
                <w:snapToGrid/>
                <w:sz w:val="20"/>
                <w:szCs w:val="20"/>
                <w:lang w:val="en-GB" w:eastAsia="fr-FR"/>
              </w:rPr>
              <w:t>,</w:t>
            </w:r>
            <w:r w:rsidRPr="00FF4F17">
              <w:rPr>
                <w:rFonts w:cs="Arial"/>
                <w:snapToGrid/>
                <w:sz w:val="20"/>
                <w:szCs w:val="20"/>
                <w:lang w:val="en-GB" w:eastAsia="fr-FR"/>
              </w:rPr>
              <w:t>000</w:t>
            </w:r>
          </w:p>
          <w:p w14:paraId="0A8600C7" w14:textId="6EB5DB25" w:rsidR="001F735E" w:rsidRPr="00DC75EA" w:rsidRDefault="001F735E" w:rsidP="00EE2918">
            <w:pPr>
              <w:pStyle w:val="Marge"/>
              <w:spacing w:beforeLines="60" w:before="144" w:after="60"/>
              <w:jc w:val="right"/>
              <w:rPr>
                <w:rFonts w:cs="Arial"/>
                <w:snapToGrid/>
                <w:sz w:val="20"/>
                <w:szCs w:val="20"/>
                <w:lang w:val="en-GB" w:eastAsia="fr-FR"/>
              </w:rPr>
            </w:pPr>
            <w:r>
              <w:rPr>
                <w:rFonts w:cs="Arial"/>
                <w:snapToGrid/>
                <w:sz w:val="20"/>
                <w:szCs w:val="20"/>
                <w:lang w:val="en-GB" w:eastAsia="fr-FR"/>
              </w:rPr>
              <w:t>Preparatory Assistance</w:t>
            </w:r>
            <w:r w:rsidR="005E5BEC">
              <w:rPr>
                <w:rFonts w:cs="Arial"/>
                <w:snapToGrid/>
                <w:sz w:val="20"/>
                <w:szCs w:val="20"/>
                <w:lang w:val="en-GB" w:eastAsia="fr-FR"/>
              </w:rPr>
              <w:t xml:space="preserve"> - USL</w:t>
            </w:r>
          </w:p>
        </w:tc>
        <w:tc>
          <w:tcPr>
            <w:tcW w:w="1223" w:type="dxa"/>
            <w:shd w:val="clear" w:color="auto" w:fill="auto"/>
          </w:tcPr>
          <w:p w14:paraId="51D877FB" w14:textId="77777777" w:rsidR="001F735E" w:rsidRPr="00DC75EA" w:rsidRDefault="001F735E" w:rsidP="00025A76">
            <w:pPr>
              <w:pStyle w:val="Marge"/>
              <w:spacing w:beforeLines="60" w:before="144" w:after="60"/>
              <w:jc w:val="center"/>
              <w:rPr>
                <w:rFonts w:cs="Arial"/>
                <w:snapToGrid/>
                <w:sz w:val="20"/>
                <w:szCs w:val="20"/>
                <w:lang w:val="en-GB" w:eastAsia="fr-FR"/>
              </w:rPr>
            </w:pPr>
            <w:r w:rsidRPr="001F735E">
              <w:rPr>
                <w:rFonts w:cs="Arial"/>
                <w:snapToGrid/>
                <w:sz w:val="20"/>
                <w:szCs w:val="20"/>
                <w:lang w:val="en-GB" w:eastAsia="fr-FR"/>
              </w:rPr>
              <w:t>12/2013</w:t>
            </w:r>
            <w:r>
              <w:rPr>
                <w:rFonts w:cs="Arial"/>
                <w:snapToGrid/>
                <w:sz w:val="20"/>
                <w:szCs w:val="20"/>
                <w:lang w:val="en-GB" w:eastAsia="fr-FR"/>
              </w:rPr>
              <w:t>-</w:t>
            </w:r>
            <w:r w:rsidRPr="00FA5FA7">
              <w:rPr>
                <w:lang w:val="en-GB"/>
              </w:rPr>
              <w:t xml:space="preserve"> </w:t>
            </w:r>
            <w:r w:rsidRPr="001F735E">
              <w:rPr>
                <w:rFonts w:cs="Arial"/>
                <w:snapToGrid/>
                <w:sz w:val="20"/>
                <w:szCs w:val="20"/>
                <w:lang w:val="en-GB" w:eastAsia="fr-FR"/>
              </w:rPr>
              <w:t>03/2015</w:t>
            </w:r>
          </w:p>
        </w:tc>
        <w:tc>
          <w:tcPr>
            <w:tcW w:w="1949" w:type="dxa"/>
            <w:shd w:val="clear" w:color="auto" w:fill="auto"/>
          </w:tcPr>
          <w:p w14:paraId="57F6E9AB" w14:textId="6EE1E1C4" w:rsidR="001F735E" w:rsidRPr="00DC75EA" w:rsidRDefault="001F735E" w:rsidP="00FA5FA7">
            <w:pPr>
              <w:pStyle w:val="Marge"/>
              <w:spacing w:beforeLines="60" w:before="144" w:after="60"/>
              <w:jc w:val="left"/>
              <w:rPr>
                <w:rFonts w:cs="Arial"/>
                <w:sz w:val="20"/>
                <w:szCs w:val="20"/>
                <w:lang w:val="en-GB"/>
              </w:rPr>
            </w:pPr>
            <w:r>
              <w:rPr>
                <w:rFonts w:cs="Arial"/>
                <w:sz w:val="20"/>
                <w:szCs w:val="20"/>
                <w:lang w:val="en-GB"/>
              </w:rPr>
              <w:t>Final report</w:t>
            </w:r>
            <w:r w:rsidR="00F6070F">
              <w:rPr>
                <w:rFonts w:cs="Arial"/>
                <w:sz w:val="20"/>
                <w:szCs w:val="20"/>
                <w:lang w:val="en-GB"/>
              </w:rPr>
              <w:t>:</w:t>
            </w:r>
            <w:r w:rsidR="00FA5FA7">
              <w:rPr>
                <w:rFonts w:cs="Arial"/>
                <w:sz w:val="20"/>
                <w:szCs w:val="20"/>
                <w:lang w:val="en-GB"/>
              </w:rPr>
              <w:t xml:space="preserve"> </w:t>
            </w:r>
            <w:hyperlink r:id="rId12" w:history="1">
              <w:r w:rsidRPr="00FA5FA7">
                <w:rPr>
                  <w:rStyle w:val="Hyperlink"/>
                  <w:rFonts w:cs="Arial"/>
                  <w:sz w:val="20"/>
                  <w:szCs w:val="20"/>
                  <w:lang w:val="en-GB"/>
                </w:rPr>
                <w:t>English</w:t>
              </w:r>
            </w:hyperlink>
          </w:p>
        </w:tc>
      </w:tr>
      <w:tr w:rsidR="00D315C2" w:rsidRPr="00FA5FA7" w14:paraId="44AF99FB" w14:textId="77777777" w:rsidTr="00025A76">
        <w:trPr>
          <w:cantSplit/>
        </w:trPr>
        <w:tc>
          <w:tcPr>
            <w:tcW w:w="2810" w:type="dxa"/>
            <w:shd w:val="clear" w:color="auto" w:fill="auto"/>
          </w:tcPr>
          <w:p w14:paraId="5F73DB81" w14:textId="75575BE3" w:rsidR="005E5BEC" w:rsidRPr="00DC75EA" w:rsidRDefault="005E5BEC" w:rsidP="00EE2918">
            <w:pPr>
              <w:pStyle w:val="Marge"/>
              <w:spacing w:beforeLines="60" w:before="144" w:after="60"/>
              <w:jc w:val="left"/>
              <w:rPr>
                <w:rFonts w:cs="Arial"/>
                <w:sz w:val="20"/>
                <w:szCs w:val="20"/>
                <w:lang w:val="en-GB"/>
              </w:rPr>
            </w:pPr>
            <w:r w:rsidRPr="0092667B">
              <w:rPr>
                <w:rFonts w:cs="Arial"/>
                <w:sz w:val="20"/>
                <w:szCs w:val="20"/>
                <w:lang w:val="en-GB"/>
              </w:rPr>
              <w:t>Rituals and practices associated with Kit Mikayi shrine of the Luo community in Kenya</w:t>
            </w:r>
            <w:r w:rsidR="00FA5FA7">
              <w:rPr>
                <w:rFonts w:cs="Arial"/>
                <w:sz w:val="20"/>
                <w:szCs w:val="20"/>
                <w:lang w:val="en-GB"/>
              </w:rPr>
              <w:t xml:space="preserve"> (No. 00632)</w:t>
            </w:r>
          </w:p>
        </w:tc>
        <w:tc>
          <w:tcPr>
            <w:tcW w:w="1418" w:type="dxa"/>
            <w:shd w:val="clear" w:color="auto" w:fill="auto"/>
          </w:tcPr>
          <w:p w14:paraId="7AB8CB7C" w14:textId="77777777" w:rsidR="005E5BEC" w:rsidRPr="00DC75EA" w:rsidRDefault="005E5BEC" w:rsidP="00EE2918">
            <w:pPr>
              <w:pStyle w:val="Marge"/>
              <w:spacing w:beforeLines="60" w:before="144" w:after="60"/>
              <w:jc w:val="left"/>
              <w:rPr>
                <w:rFonts w:cs="Arial"/>
                <w:sz w:val="20"/>
                <w:szCs w:val="20"/>
                <w:lang w:val="en-GB"/>
              </w:rPr>
            </w:pPr>
            <w:r>
              <w:rPr>
                <w:rFonts w:cs="Arial"/>
                <w:sz w:val="20"/>
                <w:szCs w:val="20"/>
                <w:lang w:val="en-GB"/>
              </w:rPr>
              <w:t>Kenya</w:t>
            </w:r>
          </w:p>
        </w:tc>
        <w:tc>
          <w:tcPr>
            <w:tcW w:w="1754" w:type="dxa"/>
          </w:tcPr>
          <w:p w14:paraId="565B12CC" w14:textId="1B6CBB3D" w:rsidR="00FF4F17"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17</w:t>
            </w:r>
            <w:r>
              <w:rPr>
                <w:rFonts w:cs="Arial"/>
                <w:snapToGrid/>
                <w:sz w:val="20"/>
                <w:szCs w:val="20"/>
                <w:lang w:val="en-GB" w:eastAsia="fr-FR"/>
              </w:rPr>
              <w:t>,</w:t>
            </w:r>
            <w:r w:rsidRPr="00FF4F17">
              <w:rPr>
                <w:rFonts w:cs="Arial"/>
                <w:snapToGrid/>
                <w:sz w:val="20"/>
                <w:szCs w:val="20"/>
                <w:lang w:val="en-GB" w:eastAsia="fr-FR"/>
              </w:rPr>
              <w:t>668</w:t>
            </w:r>
          </w:p>
          <w:p w14:paraId="64D77F3B" w14:textId="77777777" w:rsidR="005E5BEC" w:rsidRPr="00DC75EA" w:rsidRDefault="005E5BEC" w:rsidP="00EE2918">
            <w:pPr>
              <w:pStyle w:val="Marge"/>
              <w:spacing w:beforeLines="60" w:before="144" w:after="60"/>
              <w:jc w:val="right"/>
              <w:rPr>
                <w:rFonts w:cs="Arial"/>
                <w:snapToGrid/>
                <w:sz w:val="20"/>
                <w:szCs w:val="20"/>
                <w:lang w:val="en-GB" w:eastAsia="fr-FR"/>
              </w:rPr>
            </w:pPr>
            <w:r>
              <w:rPr>
                <w:rFonts w:cs="Arial"/>
                <w:snapToGrid/>
                <w:sz w:val="20"/>
                <w:szCs w:val="20"/>
                <w:lang w:val="en-GB" w:eastAsia="fr-FR"/>
              </w:rPr>
              <w:t>Preparatory Assistance - USL</w:t>
            </w:r>
          </w:p>
        </w:tc>
        <w:tc>
          <w:tcPr>
            <w:tcW w:w="1223" w:type="dxa"/>
            <w:shd w:val="clear" w:color="auto" w:fill="auto"/>
          </w:tcPr>
          <w:p w14:paraId="3A38F52B" w14:textId="77777777" w:rsidR="005E5BEC" w:rsidRPr="00DC75EA" w:rsidRDefault="005E5BEC" w:rsidP="00025A76">
            <w:pPr>
              <w:pStyle w:val="Marge"/>
              <w:spacing w:beforeLines="60" w:before="144" w:after="60"/>
              <w:jc w:val="center"/>
              <w:rPr>
                <w:rFonts w:cs="Arial"/>
                <w:sz w:val="20"/>
                <w:szCs w:val="20"/>
                <w:lang w:val="en-GB"/>
              </w:rPr>
            </w:pPr>
            <w:r>
              <w:rPr>
                <w:rFonts w:cs="Arial"/>
                <w:sz w:val="20"/>
                <w:szCs w:val="20"/>
                <w:lang w:val="en-GB"/>
              </w:rPr>
              <w:t>12/2013-</w:t>
            </w:r>
            <w:r w:rsidRPr="0092667B">
              <w:rPr>
                <w:rFonts w:cs="Arial"/>
                <w:sz w:val="20"/>
                <w:szCs w:val="20"/>
                <w:lang w:val="en-GB"/>
              </w:rPr>
              <w:t>03/2015</w:t>
            </w:r>
          </w:p>
        </w:tc>
        <w:tc>
          <w:tcPr>
            <w:tcW w:w="1949" w:type="dxa"/>
            <w:shd w:val="clear" w:color="auto" w:fill="auto"/>
          </w:tcPr>
          <w:p w14:paraId="5A247BD6" w14:textId="574C2712" w:rsidR="005E5BEC" w:rsidRPr="00DC75EA" w:rsidRDefault="005E5BEC" w:rsidP="00FA5FA7">
            <w:pPr>
              <w:pStyle w:val="Marge"/>
              <w:spacing w:beforeLines="60" w:before="144" w:after="60"/>
              <w:jc w:val="left"/>
              <w:rPr>
                <w:rFonts w:cs="Arial"/>
                <w:sz w:val="20"/>
                <w:szCs w:val="20"/>
                <w:lang w:val="en-GB"/>
              </w:rPr>
            </w:pPr>
            <w:r>
              <w:rPr>
                <w:rFonts w:cs="Arial"/>
                <w:sz w:val="20"/>
                <w:szCs w:val="20"/>
                <w:lang w:val="en-GB"/>
              </w:rPr>
              <w:t>Final report</w:t>
            </w:r>
            <w:r w:rsidR="00F6070F">
              <w:rPr>
                <w:rFonts w:cs="Arial"/>
                <w:sz w:val="20"/>
                <w:szCs w:val="20"/>
                <w:lang w:val="en-GB"/>
              </w:rPr>
              <w:t>:</w:t>
            </w:r>
            <w:r w:rsidR="00FA5FA7">
              <w:rPr>
                <w:rFonts w:cs="Arial"/>
                <w:sz w:val="20"/>
                <w:szCs w:val="20"/>
                <w:lang w:val="en-GB"/>
              </w:rPr>
              <w:t xml:space="preserve"> </w:t>
            </w:r>
            <w:hyperlink r:id="rId13" w:history="1">
              <w:r w:rsidRPr="00390528">
                <w:rPr>
                  <w:rStyle w:val="Hyperlink"/>
                  <w:rFonts w:cs="Arial"/>
                  <w:snapToGrid/>
                  <w:sz w:val="20"/>
                  <w:szCs w:val="20"/>
                  <w:lang w:val="en-GB" w:eastAsia="fr-FR"/>
                </w:rPr>
                <w:t>English</w:t>
              </w:r>
            </w:hyperlink>
          </w:p>
        </w:tc>
      </w:tr>
      <w:tr w:rsidR="00D315C2" w:rsidRPr="00390528" w14:paraId="41552F90" w14:textId="77777777" w:rsidTr="00025A76">
        <w:trPr>
          <w:cantSplit/>
        </w:trPr>
        <w:tc>
          <w:tcPr>
            <w:tcW w:w="2810" w:type="dxa"/>
            <w:shd w:val="clear" w:color="auto" w:fill="auto"/>
          </w:tcPr>
          <w:p w14:paraId="1FB318D6" w14:textId="6CF13F37" w:rsidR="005748DC" w:rsidRPr="00DC75EA" w:rsidRDefault="005748DC" w:rsidP="00EE2918">
            <w:pPr>
              <w:pStyle w:val="Marge"/>
              <w:spacing w:beforeLines="60" w:before="144" w:after="60"/>
              <w:jc w:val="left"/>
              <w:rPr>
                <w:rFonts w:cs="Arial"/>
                <w:sz w:val="20"/>
                <w:szCs w:val="20"/>
                <w:lang w:val="en-GB"/>
              </w:rPr>
            </w:pPr>
            <w:r w:rsidRPr="0092667B">
              <w:rPr>
                <w:rFonts w:cs="Arial"/>
                <w:snapToGrid/>
                <w:sz w:val="20"/>
                <w:szCs w:val="20"/>
                <w:lang w:val="en-GB" w:eastAsia="fr-FR"/>
              </w:rPr>
              <w:t>Inventory and promotion of intangible cultural heritage in Burkina Faso</w:t>
            </w:r>
            <w:r w:rsidR="00FA5FA7">
              <w:rPr>
                <w:rFonts w:cs="Arial"/>
                <w:snapToGrid/>
                <w:sz w:val="20"/>
                <w:szCs w:val="20"/>
                <w:lang w:val="en-GB" w:eastAsia="fr-FR"/>
              </w:rPr>
              <w:t xml:space="preserve"> (No. 00678)</w:t>
            </w:r>
          </w:p>
        </w:tc>
        <w:tc>
          <w:tcPr>
            <w:tcW w:w="1418" w:type="dxa"/>
            <w:shd w:val="clear" w:color="auto" w:fill="auto"/>
          </w:tcPr>
          <w:p w14:paraId="34CC9DBD" w14:textId="77777777" w:rsidR="005748DC" w:rsidRPr="00DC75EA" w:rsidRDefault="005748DC" w:rsidP="00EE2918">
            <w:pPr>
              <w:pStyle w:val="Marge"/>
              <w:spacing w:beforeLines="60" w:before="144" w:after="60"/>
              <w:jc w:val="left"/>
              <w:rPr>
                <w:rFonts w:cs="Arial"/>
                <w:sz w:val="20"/>
                <w:szCs w:val="20"/>
                <w:lang w:val="en-GB"/>
              </w:rPr>
            </w:pPr>
            <w:r w:rsidRPr="0092667B">
              <w:rPr>
                <w:rFonts w:cs="Arial"/>
                <w:snapToGrid/>
                <w:sz w:val="20"/>
                <w:szCs w:val="20"/>
                <w:lang w:val="en-GB" w:eastAsia="fr-FR"/>
              </w:rPr>
              <w:t>Burkina Faso</w:t>
            </w:r>
          </w:p>
        </w:tc>
        <w:tc>
          <w:tcPr>
            <w:tcW w:w="1754" w:type="dxa"/>
          </w:tcPr>
          <w:p w14:paraId="28CC26E4" w14:textId="3557E608" w:rsidR="005748DC" w:rsidRPr="0092667B" w:rsidRDefault="008A1961" w:rsidP="00EE2918">
            <w:pPr>
              <w:pStyle w:val="Marge"/>
              <w:spacing w:beforeLines="60" w:before="144" w:after="60"/>
              <w:jc w:val="right"/>
              <w:rPr>
                <w:rFonts w:cs="Arial"/>
                <w:snapToGrid/>
                <w:sz w:val="20"/>
                <w:szCs w:val="20"/>
                <w:lang w:val="en-GB" w:eastAsia="fr-FR"/>
              </w:rPr>
            </w:pPr>
            <w:r w:rsidRPr="008A1961">
              <w:rPr>
                <w:rFonts w:cs="Arial"/>
                <w:snapToGrid/>
                <w:sz w:val="20"/>
                <w:szCs w:val="20"/>
                <w:lang w:val="en-GB" w:eastAsia="fr-FR"/>
              </w:rPr>
              <w:t>262</w:t>
            </w:r>
            <w:r>
              <w:rPr>
                <w:rFonts w:cs="Arial"/>
                <w:snapToGrid/>
                <w:sz w:val="20"/>
                <w:szCs w:val="20"/>
                <w:lang w:val="en-GB" w:eastAsia="fr-FR"/>
              </w:rPr>
              <w:t>,</w:t>
            </w:r>
            <w:r w:rsidRPr="008A1961">
              <w:rPr>
                <w:rFonts w:cs="Arial"/>
                <w:snapToGrid/>
                <w:sz w:val="20"/>
                <w:szCs w:val="20"/>
                <w:lang w:val="en-GB" w:eastAsia="fr-FR"/>
              </w:rPr>
              <w:t>080</w:t>
            </w:r>
          </w:p>
        </w:tc>
        <w:tc>
          <w:tcPr>
            <w:tcW w:w="1223" w:type="dxa"/>
            <w:shd w:val="clear" w:color="auto" w:fill="auto"/>
          </w:tcPr>
          <w:p w14:paraId="3AFCBA64" w14:textId="77777777" w:rsidR="005748DC" w:rsidRPr="00DC75EA" w:rsidRDefault="005748DC" w:rsidP="00025A76">
            <w:pPr>
              <w:pStyle w:val="Marge"/>
              <w:spacing w:beforeLines="60" w:before="144" w:after="60"/>
              <w:jc w:val="center"/>
              <w:rPr>
                <w:rFonts w:cs="Arial"/>
                <w:sz w:val="20"/>
                <w:szCs w:val="20"/>
                <w:lang w:val="en-GB"/>
              </w:rPr>
            </w:pPr>
            <w:r w:rsidRPr="0092667B">
              <w:rPr>
                <w:rFonts w:cs="Arial"/>
                <w:snapToGrid/>
                <w:sz w:val="20"/>
                <w:szCs w:val="20"/>
                <w:lang w:val="en-GB" w:eastAsia="fr-FR"/>
              </w:rPr>
              <w:t>04/2013</w:t>
            </w:r>
            <w:r w:rsidRPr="00DC75EA">
              <w:rPr>
                <w:rFonts w:cs="Arial"/>
                <w:snapToGrid/>
                <w:sz w:val="20"/>
                <w:szCs w:val="20"/>
                <w:lang w:val="en-GB" w:eastAsia="fr-FR"/>
              </w:rPr>
              <w:t>-</w:t>
            </w:r>
            <w:r w:rsidRPr="0092667B">
              <w:rPr>
                <w:rFonts w:cs="Arial"/>
                <w:snapToGrid/>
                <w:sz w:val="20"/>
                <w:szCs w:val="20"/>
                <w:lang w:val="en-GB" w:eastAsia="fr-FR"/>
              </w:rPr>
              <w:t>07/2016</w:t>
            </w:r>
          </w:p>
        </w:tc>
        <w:tc>
          <w:tcPr>
            <w:tcW w:w="1949" w:type="dxa"/>
            <w:shd w:val="clear" w:color="auto" w:fill="auto"/>
          </w:tcPr>
          <w:p w14:paraId="0C8765B3" w14:textId="643B8C0F" w:rsidR="005748DC" w:rsidRPr="00DC75EA" w:rsidRDefault="005748DC" w:rsidP="00EE2918">
            <w:pPr>
              <w:pStyle w:val="Marge"/>
              <w:spacing w:beforeLines="60" w:before="144" w:after="60"/>
              <w:jc w:val="left"/>
              <w:rPr>
                <w:rFonts w:cs="Arial"/>
                <w:sz w:val="20"/>
                <w:szCs w:val="20"/>
                <w:lang w:val="en-GB"/>
              </w:rPr>
            </w:pPr>
            <w:r>
              <w:rPr>
                <w:rFonts w:cs="Arial"/>
                <w:snapToGrid/>
                <w:sz w:val="20"/>
                <w:szCs w:val="20"/>
                <w:lang w:val="en-GB" w:eastAsia="fr-FR"/>
              </w:rPr>
              <w:t>Progress</w:t>
            </w:r>
            <w:r w:rsidR="00390528">
              <w:rPr>
                <w:rFonts w:cs="Arial"/>
                <w:snapToGrid/>
                <w:sz w:val="20"/>
                <w:szCs w:val="20"/>
                <w:lang w:val="en-GB" w:eastAsia="fr-FR"/>
              </w:rPr>
              <w:t xml:space="preserve"> report:</w:t>
            </w:r>
            <w:r w:rsidR="00390528">
              <w:rPr>
                <w:rFonts w:cs="Arial"/>
                <w:snapToGrid/>
                <w:sz w:val="20"/>
                <w:szCs w:val="20"/>
                <w:lang w:val="en-GB" w:eastAsia="fr-FR"/>
              </w:rPr>
              <w:br/>
            </w:r>
            <w:hyperlink r:id="rId14" w:history="1">
              <w:r w:rsidRPr="00390528">
                <w:rPr>
                  <w:rStyle w:val="Hyperlink"/>
                  <w:rFonts w:cs="Arial"/>
                  <w:snapToGrid/>
                  <w:sz w:val="20"/>
                  <w:szCs w:val="20"/>
                  <w:lang w:val="en-GB" w:eastAsia="fr-FR"/>
                </w:rPr>
                <w:t>French</w:t>
              </w:r>
            </w:hyperlink>
          </w:p>
        </w:tc>
      </w:tr>
      <w:tr w:rsidR="00D315C2" w:rsidRPr="005A39B2" w14:paraId="78F803AC" w14:textId="77777777" w:rsidTr="00025A76">
        <w:trPr>
          <w:cantSplit/>
        </w:trPr>
        <w:tc>
          <w:tcPr>
            <w:tcW w:w="2810" w:type="dxa"/>
            <w:shd w:val="clear" w:color="auto" w:fill="auto"/>
          </w:tcPr>
          <w:p w14:paraId="7C0E6F3E" w14:textId="4F6C658C" w:rsidR="005748DC" w:rsidRPr="00FA5FA7" w:rsidRDefault="005748DC" w:rsidP="00EE2918">
            <w:pPr>
              <w:pStyle w:val="Marge"/>
              <w:spacing w:beforeLines="60" w:before="144" w:after="60"/>
              <w:jc w:val="left"/>
              <w:rPr>
                <w:rFonts w:cs="Arial"/>
                <w:sz w:val="20"/>
                <w:szCs w:val="20"/>
                <w:lang w:val="en-GB"/>
              </w:rPr>
            </w:pPr>
            <w:r w:rsidRPr="001F735E">
              <w:rPr>
                <w:rFonts w:cs="Arial"/>
                <w:sz w:val="20"/>
                <w:szCs w:val="20"/>
                <w:lang w:val="en-GB"/>
              </w:rPr>
              <w:t>Safeguarding and revitalizing</w:t>
            </w:r>
            <w:r>
              <w:rPr>
                <w:rFonts w:cs="Arial"/>
                <w:sz w:val="20"/>
                <w:szCs w:val="20"/>
                <w:lang w:val="en-GB"/>
              </w:rPr>
              <w:t xml:space="preserve"> the Mongolian traditional epic</w:t>
            </w:r>
            <w:r w:rsidR="00FA5FA7">
              <w:rPr>
                <w:rFonts w:cs="Arial"/>
                <w:sz w:val="20"/>
                <w:szCs w:val="20"/>
                <w:lang w:val="en-GB"/>
              </w:rPr>
              <w:t xml:space="preserve"> (No° </w:t>
            </w:r>
            <w:r w:rsidR="00FA5FA7" w:rsidRPr="00FA5FA7">
              <w:rPr>
                <w:rFonts w:cs="Arial"/>
                <w:sz w:val="20"/>
                <w:szCs w:val="20"/>
                <w:lang w:val="en-GB"/>
              </w:rPr>
              <w:t>00549)</w:t>
            </w:r>
          </w:p>
        </w:tc>
        <w:tc>
          <w:tcPr>
            <w:tcW w:w="1418" w:type="dxa"/>
            <w:shd w:val="clear" w:color="auto" w:fill="auto"/>
          </w:tcPr>
          <w:p w14:paraId="50CE85BF" w14:textId="77777777" w:rsidR="005748DC" w:rsidRPr="00DC75EA" w:rsidRDefault="005748DC" w:rsidP="00EE2918">
            <w:pPr>
              <w:pStyle w:val="Marge"/>
              <w:spacing w:beforeLines="60" w:before="144" w:after="60"/>
              <w:jc w:val="left"/>
              <w:rPr>
                <w:rFonts w:cs="Arial"/>
                <w:sz w:val="20"/>
                <w:szCs w:val="20"/>
                <w:lang w:val="en-GB"/>
              </w:rPr>
            </w:pPr>
            <w:r w:rsidRPr="001F735E">
              <w:rPr>
                <w:rFonts w:cs="Arial"/>
                <w:sz w:val="20"/>
                <w:szCs w:val="20"/>
                <w:lang w:val="en-GB"/>
              </w:rPr>
              <w:t>Mongolia</w:t>
            </w:r>
          </w:p>
        </w:tc>
        <w:tc>
          <w:tcPr>
            <w:tcW w:w="1754" w:type="dxa"/>
          </w:tcPr>
          <w:p w14:paraId="1DEDE3B4" w14:textId="7F4BA58A" w:rsidR="005748DC" w:rsidRPr="00DC75EA"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89</w:t>
            </w:r>
            <w:r>
              <w:rPr>
                <w:rFonts w:cs="Arial"/>
                <w:snapToGrid/>
                <w:sz w:val="20"/>
                <w:szCs w:val="20"/>
                <w:lang w:val="en-GB" w:eastAsia="fr-FR"/>
              </w:rPr>
              <w:t>,</w:t>
            </w:r>
            <w:r w:rsidRPr="00FF4F17">
              <w:rPr>
                <w:rFonts w:cs="Arial"/>
                <w:snapToGrid/>
                <w:sz w:val="20"/>
                <w:szCs w:val="20"/>
                <w:lang w:val="en-GB" w:eastAsia="fr-FR"/>
              </w:rPr>
              <w:t>700</w:t>
            </w:r>
          </w:p>
        </w:tc>
        <w:tc>
          <w:tcPr>
            <w:tcW w:w="1223" w:type="dxa"/>
            <w:shd w:val="clear" w:color="auto" w:fill="auto"/>
          </w:tcPr>
          <w:p w14:paraId="4A4538C5" w14:textId="77777777" w:rsidR="005748DC" w:rsidRPr="00DC75EA" w:rsidRDefault="005748DC" w:rsidP="00025A76">
            <w:pPr>
              <w:pStyle w:val="Marge"/>
              <w:spacing w:beforeLines="60" w:before="144" w:after="60"/>
              <w:jc w:val="center"/>
              <w:rPr>
                <w:rFonts w:cs="Arial"/>
                <w:sz w:val="20"/>
                <w:szCs w:val="20"/>
                <w:lang w:val="en-GB"/>
              </w:rPr>
            </w:pPr>
            <w:r w:rsidRPr="001F735E">
              <w:rPr>
                <w:rFonts w:cs="Arial"/>
                <w:sz w:val="20"/>
                <w:szCs w:val="20"/>
                <w:lang w:val="en-GB"/>
              </w:rPr>
              <w:t>06/2013</w:t>
            </w:r>
            <w:r>
              <w:rPr>
                <w:rFonts w:cs="Arial"/>
                <w:sz w:val="20"/>
                <w:szCs w:val="20"/>
                <w:lang w:val="en-GB"/>
              </w:rPr>
              <w:t>-</w:t>
            </w:r>
            <w:r w:rsidRPr="00FA5FA7">
              <w:rPr>
                <w:lang w:val="en-GB"/>
              </w:rPr>
              <w:t xml:space="preserve"> </w:t>
            </w:r>
            <w:r w:rsidRPr="001F735E">
              <w:rPr>
                <w:rFonts w:cs="Arial"/>
                <w:sz w:val="20"/>
                <w:szCs w:val="20"/>
                <w:lang w:val="en-GB"/>
              </w:rPr>
              <w:t>06/2016</w:t>
            </w:r>
          </w:p>
        </w:tc>
        <w:tc>
          <w:tcPr>
            <w:tcW w:w="1949" w:type="dxa"/>
            <w:shd w:val="clear" w:color="auto" w:fill="auto"/>
          </w:tcPr>
          <w:p w14:paraId="5C9FC93D" w14:textId="1F7A3ED8" w:rsidR="005748DC" w:rsidRPr="00DC75EA" w:rsidRDefault="005748DC" w:rsidP="00EE2918">
            <w:pPr>
              <w:pStyle w:val="Marge"/>
              <w:spacing w:beforeLines="60" w:before="144" w:after="60"/>
              <w:jc w:val="left"/>
              <w:rPr>
                <w:rFonts w:cs="Arial"/>
                <w:sz w:val="20"/>
                <w:szCs w:val="20"/>
                <w:lang w:val="en-GB"/>
              </w:rPr>
            </w:pPr>
            <w:r>
              <w:rPr>
                <w:rFonts w:cs="Arial"/>
                <w:snapToGrid/>
                <w:sz w:val="20"/>
                <w:szCs w:val="20"/>
                <w:lang w:val="en-GB" w:eastAsia="fr-FR"/>
              </w:rPr>
              <w:t>Progress</w:t>
            </w:r>
            <w:r w:rsidRPr="00DC75EA">
              <w:rPr>
                <w:rFonts w:cs="Arial"/>
                <w:snapToGrid/>
                <w:sz w:val="20"/>
                <w:szCs w:val="20"/>
                <w:lang w:val="en-GB" w:eastAsia="fr-FR"/>
              </w:rPr>
              <w:t xml:space="preserve"> report: </w:t>
            </w:r>
            <w:hyperlink r:id="rId15" w:history="1">
              <w:r w:rsidRPr="00390528">
                <w:rPr>
                  <w:rStyle w:val="Hyperlink"/>
                  <w:rFonts w:cs="Arial"/>
                  <w:snapToGrid/>
                  <w:sz w:val="20"/>
                  <w:szCs w:val="20"/>
                  <w:lang w:val="en-GB" w:eastAsia="fr-FR"/>
                </w:rPr>
                <w:t>English</w:t>
              </w:r>
            </w:hyperlink>
          </w:p>
        </w:tc>
      </w:tr>
      <w:tr w:rsidR="00D315C2" w:rsidRPr="005A39B2" w14:paraId="3B28C39F" w14:textId="77777777" w:rsidTr="00025A76">
        <w:trPr>
          <w:cantSplit/>
        </w:trPr>
        <w:tc>
          <w:tcPr>
            <w:tcW w:w="2810" w:type="dxa"/>
            <w:shd w:val="clear" w:color="auto" w:fill="auto"/>
          </w:tcPr>
          <w:p w14:paraId="5DB1C782" w14:textId="7632F5E3" w:rsidR="00E13088" w:rsidRPr="00DC75EA" w:rsidRDefault="00E13088" w:rsidP="00390528">
            <w:pPr>
              <w:pStyle w:val="Marge"/>
              <w:spacing w:beforeLines="60" w:before="144" w:after="60"/>
              <w:jc w:val="left"/>
              <w:rPr>
                <w:rFonts w:cs="Arial"/>
                <w:sz w:val="20"/>
                <w:szCs w:val="20"/>
                <w:lang w:val="en-GB"/>
              </w:rPr>
            </w:pPr>
            <w:r w:rsidRPr="0092667B">
              <w:rPr>
                <w:rFonts w:cs="Arial"/>
                <w:sz w:val="20"/>
                <w:szCs w:val="20"/>
                <w:lang w:val="en-GB"/>
              </w:rPr>
              <w:t>Inventory of intangible cultural heritage in Mali with a view to its urgent safeguarding</w:t>
            </w:r>
            <w:r w:rsidR="00FA5FA7">
              <w:rPr>
                <w:rFonts w:cs="Arial"/>
                <w:sz w:val="20"/>
                <w:szCs w:val="20"/>
                <w:lang w:val="en-GB"/>
              </w:rPr>
              <w:t xml:space="preserve"> (No° </w:t>
            </w:r>
            <w:r w:rsidR="00FA5FA7" w:rsidRPr="00FA5FA7">
              <w:rPr>
                <w:rFonts w:cs="Arial"/>
                <w:sz w:val="20"/>
                <w:szCs w:val="20"/>
                <w:lang w:val="en-GB"/>
              </w:rPr>
              <w:t>0</w:t>
            </w:r>
            <w:r w:rsidR="00390528">
              <w:rPr>
                <w:rFonts w:cs="Arial"/>
                <w:sz w:val="20"/>
                <w:szCs w:val="20"/>
                <w:lang w:val="en-GB"/>
              </w:rPr>
              <w:t>1026</w:t>
            </w:r>
            <w:r w:rsidR="00FA5FA7" w:rsidRPr="00FA5FA7">
              <w:rPr>
                <w:rFonts w:cs="Arial"/>
                <w:sz w:val="20"/>
                <w:szCs w:val="20"/>
                <w:lang w:val="en-GB"/>
              </w:rPr>
              <w:t>)</w:t>
            </w:r>
          </w:p>
        </w:tc>
        <w:tc>
          <w:tcPr>
            <w:tcW w:w="1418" w:type="dxa"/>
            <w:shd w:val="clear" w:color="auto" w:fill="auto"/>
          </w:tcPr>
          <w:p w14:paraId="083FA0F8" w14:textId="77777777" w:rsidR="00E13088" w:rsidRPr="00DC75EA" w:rsidRDefault="00E13088" w:rsidP="00EE2918">
            <w:pPr>
              <w:pStyle w:val="Marge"/>
              <w:spacing w:beforeLines="60" w:before="144" w:after="60"/>
              <w:jc w:val="left"/>
              <w:rPr>
                <w:rFonts w:cs="Arial"/>
                <w:sz w:val="20"/>
                <w:szCs w:val="20"/>
                <w:lang w:val="en-GB"/>
              </w:rPr>
            </w:pPr>
            <w:r>
              <w:rPr>
                <w:rFonts w:cs="Arial"/>
                <w:sz w:val="20"/>
                <w:szCs w:val="20"/>
                <w:lang w:val="en-GB"/>
              </w:rPr>
              <w:t>Mali</w:t>
            </w:r>
          </w:p>
        </w:tc>
        <w:tc>
          <w:tcPr>
            <w:tcW w:w="1754" w:type="dxa"/>
          </w:tcPr>
          <w:p w14:paraId="555031B9" w14:textId="141AA2C9" w:rsidR="00FF4F17" w:rsidRDefault="00FF4F17" w:rsidP="00EE2918">
            <w:pPr>
              <w:pStyle w:val="Marge"/>
              <w:spacing w:beforeLines="60" w:before="144" w:after="60"/>
              <w:jc w:val="right"/>
              <w:rPr>
                <w:rFonts w:cs="Arial"/>
                <w:snapToGrid/>
                <w:sz w:val="20"/>
                <w:szCs w:val="20"/>
                <w:lang w:val="en-GB" w:eastAsia="fr-FR"/>
              </w:rPr>
            </w:pPr>
            <w:r w:rsidRPr="00FF4F17">
              <w:rPr>
                <w:rFonts w:cs="Arial"/>
                <w:snapToGrid/>
                <w:sz w:val="20"/>
                <w:szCs w:val="20"/>
                <w:lang w:val="en-GB" w:eastAsia="fr-FR"/>
              </w:rPr>
              <w:t>307</w:t>
            </w:r>
            <w:r>
              <w:rPr>
                <w:rFonts w:cs="Arial"/>
                <w:snapToGrid/>
                <w:sz w:val="20"/>
                <w:szCs w:val="20"/>
                <w:lang w:val="en-GB" w:eastAsia="fr-FR"/>
              </w:rPr>
              <w:t>,</w:t>
            </w:r>
            <w:r w:rsidRPr="00FF4F17">
              <w:rPr>
                <w:rFonts w:cs="Arial"/>
                <w:snapToGrid/>
                <w:sz w:val="20"/>
                <w:szCs w:val="20"/>
                <w:lang w:val="en-GB" w:eastAsia="fr-FR"/>
              </w:rPr>
              <w:t>307</w:t>
            </w:r>
          </w:p>
          <w:p w14:paraId="35F1BDE9" w14:textId="77777777" w:rsidR="00E13088" w:rsidRPr="00DC75EA" w:rsidRDefault="00E13088" w:rsidP="00EE2918">
            <w:pPr>
              <w:pStyle w:val="Marge"/>
              <w:spacing w:beforeLines="60" w:before="144" w:after="60"/>
              <w:jc w:val="right"/>
              <w:rPr>
                <w:rFonts w:cs="Arial"/>
                <w:snapToGrid/>
                <w:sz w:val="20"/>
                <w:szCs w:val="20"/>
                <w:lang w:val="en-GB" w:eastAsia="fr-FR"/>
              </w:rPr>
            </w:pPr>
            <w:r>
              <w:rPr>
                <w:rFonts w:cs="Arial"/>
                <w:snapToGrid/>
                <w:sz w:val="20"/>
                <w:szCs w:val="20"/>
                <w:lang w:val="en-GB" w:eastAsia="fr-FR"/>
              </w:rPr>
              <w:t>Emergency Assistance</w:t>
            </w:r>
          </w:p>
        </w:tc>
        <w:tc>
          <w:tcPr>
            <w:tcW w:w="1223" w:type="dxa"/>
            <w:shd w:val="clear" w:color="auto" w:fill="auto"/>
          </w:tcPr>
          <w:p w14:paraId="160F665E" w14:textId="77777777" w:rsidR="00E13088" w:rsidRPr="00DC75EA" w:rsidRDefault="00E13088" w:rsidP="00025A76">
            <w:pPr>
              <w:pStyle w:val="Marge"/>
              <w:spacing w:beforeLines="60" w:before="144" w:after="60"/>
              <w:jc w:val="center"/>
              <w:rPr>
                <w:rFonts w:cs="Arial"/>
                <w:sz w:val="20"/>
                <w:szCs w:val="20"/>
                <w:lang w:val="en-GB"/>
              </w:rPr>
            </w:pPr>
            <w:r w:rsidRPr="0092667B">
              <w:rPr>
                <w:rFonts w:cs="Arial"/>
                <w:sz w:val="20"/>
                <w:szCs w:val="20"/>
                <w:lang w:val="en-GB"/>
              </w:rPr>
              <w:t>12/2013</w:t>
            </w:r>
            <w:r>
              <w:rPr>
                <w:rFonts w:cs="Arial"/>
                <w:sz w:val="20"/>
                <w:szCs w:val="20"/>
                <w:lang w:val="en-GB"/>
              </w:rPr>
              <w:t>-</w:t>
            </w:r>
            <w:r w:rsidRPr="0092667B">
              <w:rPr>
                <w:rFonts w:cs="Arial"/>
                <w:sz w:val="20"/>
                <w:szCs w:val="20"/>
                <w:lang w:val="en-GB"/>
              </w:rPr>
              <w:t>11/2016</w:t>
            </w:r>
          </w:p>
        </w:tc>
        <w:tc>
          <w:tcPr>
            <w:tcW w:w="1949" w:type="dxa"/>
            <w:shd w:val="clear" w:color="auto" w:fill="auto"/>
          </w:tcPr>
          <w:p w14:paraId="67D6EC01" w14:textId="4C5E2ADC" w:rsidR="00E13088" w:rsidRPr="00DC75EA" w:rsidRDefault="00E13088" w:rsidP="00EE2918">
            <w:pPr>
              <w:pStyle w:val="Marge"/>
              <w:spacing w:beforeLines="60" w:before="144" w:after="60"/>
              <w:jc w:val="left"/>
              <w:rPr>
                <w:rFonts w:cs="Arial"/>
                <w:sz w:val="20"/>
                <w:szCs w:val="20"/>
                <w:lang w:val="en-GB"/>
              </w:rPr>
            </w:pPr>
            <w:r>
              <w:rPr>
                <w:rFonts w:cs="Arial"/>
                <w:snapToGrid/>
                <w:sz w:val="20"/>
                <w:szCs w:val="20"/>
                <w:lang w:val="en-GB" w:eastAsia="fr-FR"/>
              </w:rPr>
              <w:t>Progress</w:t>
            </w:r>
            <w:r w:rsidRPr="00DC75EA">
              <w:rPr>
                <w:rFonts w:cs="Arial"/>
                <w:snapToGrid/>
                <w:sz w:val="20"/>
                <w:szCs w:val="20"/>
                <w:lang w:val="en-GB" w:eastAsia="fr-FR"/>
              </w:rPr>
              <w:t xml:space="preserve"> report: </w:t>
            </w:r>
            <w:hyperlink r:id="rId16" w:history="1">
              <w:r w:rsidRPr="00390528">
                <w:rPr>
                  <w:rStyle w:val="Hyperlink"/>
                  <w:rFonts w:cs="Arial"/>
                  <w:snapToGrid/>
                  <w:sz w:val="20"/>
                  <w:szCs w:val="20"/>
                  <w:lang w:val="en-GB" w:eastAsia="fr-FR"/>
                </w:rPr>
                <w:t>French</w:t>
              </w:r>
            </w:hyperlink>
          </w:p>
        </w:tc>
      </w:tr>
    </w:tbl>
    <w:p w14:paraId="25E57BC3" w14:textId="579242D8" w:rsidR="002338FA" w:rsidRPr="00A27032" w:rsidRDefault="005606D0" w:rsidP="00025A76">
      <w:pPr>
        <w:pStyle w:val="Marge"/>
        <w:numPr>
          <w:ilvl w:val="0"/>
          <w:numId w:val="9"/>
        </w:numPr>
        <w:spacing w:before="240" w:after="120"/>
        <w:ind w:left="567" w:hanging="567"/>
        <w:rPr>
          <w:snapToGrid/>
          <w:lang w:val="en-GB" w:eastAsia="fr-FR"/>
        </w:rPr>
      </w:pPr>
      <w:r>
        <w:rPr>
          <w:lang w:val="en-GB"/>
        </w:rPr>
        <w:t>Since</w:t>
      </w:r>
      <w:r w:rsidR="002338FA" w:rsidRPr="00BC620A">
        <w:rPr>
          <w:lang w:val="en-GB"/>
        </w:rPr>
        <w:t xml:space="preserve"> </w:t>
      </w:r>
      <w:r w:rsidR="005E5BEC">
        <w:rPr>
          <w:lang w:val="en-GB"/>
        </w:rPr>
        <w:t xml:space="preserve">certain </w:t>
      </w:r>
      <w:r w:rsidR="002338FA" w:rsidRPr="00BC620A">
        <w:rPr>
          <w:lang w:val="en-GB"/>
        </w:rPr>
        <w:t xml:space="preserve">contracts for these projects were established before the </w:t>
      </w:r>
      <w:r>
        <w:rPr>
          <w:lang w:val="en-GB"/>
        </w:rPr>
        <w:t xml:space="preserve">publication of </w:t>
      </w:r>
      <w:r w:rsidR="00470522">
        <w:rPr>
          <w:lang w:val="en-GB"/>
        </w:rPr>
        <w:t>the</w:t>
      </w:r>
      <w:r w:rsidR="00470522">
        <w:rPr>
          <w:lang w:val="en-GB"/>
        </w:rPr>
        <w:br/>
      </w:r>
      <w:r w:rsidR="002338FA" w:rsidRPr="00BC620A">
        <w:rPr>
          <w:lang w:val="en-GB"/>
        </w:rPr>
        <w:t>I</w:t>
      </w:r>
      <w:r w:rsidR="004307FB">
        <w:rPr>
          <w:lang w:val="en-GB"/>
        </w:rPr>
        <w:t>CH-04-Report Form</w:t>
      </w:r>
      <w:r w:rsidR="00470522">
        <w:rPr>
          <w:lang w:val="en-GB"/>
        </w:rPr>
        <w:t>,</w:t>
      </w:r>
      <w:r w:rsidR="004307FB">
        <w:rPr>
          <w:lang w:val="en-GB"/>
        </w:rPr>
        <w:t xml:space="preserve"> </w:t>
      </w:r>
      <w:r w:rsidR="002338FA" w:rsidRPr="00BC620A">
        <w:rPr>
          <w:lang w:val="en-GB"/>
        </w:rPr>
        <w:t xml:space="preserve">there </w:t>
      </w:r>
      <w:r w:rsidR="005E5BEC">
        <w:rPr>
          <w:lang w:val="en-GB"/>
        </w:rPr>
        <w:t>is</w:t>
      </w:r>
      <w:r w:rsidR="002338FA" w:rsidRPr="00BC620A">
        <w:rPr>
          <w:lang w:val="en-GB"/>
        </w:rPr>
        <w:t xml:space="preserve"> no contractual obligation for the States </w:t>
      </w:r>
      <w:r w:rsidR="00470522" w:rsidRPr="00BC620A">
        <w:rPr>
          <w:lang w:val="en-GB"/>
        </w:rPr>
        <w:t xml:space="preserve">concerned </w:t>
      </w:r>
      <w:r w:rsidR="002338FA" w:rsidRPr="00BC620A">
        <w:rPr>
          <w:lang w:val="en-GB"/>
        </w:rPr>
        <w:t>to provide their reports using that form</w:t>
      </w:r>
      <w:r>
        <w:rPr>
          <w:lang w:val="en-GB"/>
        </w:rPr>
        <w:t>, which was prepared following the request of the Committee at its eigh</w:t>
      </w:r>
      <w:r w:rsidRPr="005606D0">
        <w:rPr>
          <w:lang w:val="en-GB"/>
        </w:rPr>
        <w:t>th</w:t>
      </w:r>
      <w:r>
        <w:rPr>
          <w:lang w:val="en-GB"/>
        </w:rPr>
        <w:t xml:space="preserve"> session (Decision 8.COM 6.c)</w:t>
      </w:r>
      <w:r w:rsidR="002338FA" w:rsidRPr="00BC620A">
        <w:rPr>
          <w:lang w:val="en-GB"/>
        </w:rPr>
        <w:t xml:space="preserve">. </w:t>
      </w:r>
      <w:r w:rsidR="00EE2D4D">
        <w:rPr>
          <w:lang w:val="en-GB"/>
        </w:rPr>
        <w:t>Nevertheless, d</w:t>
      </w:r>
      <w:r w:rsidR="00EE2D4D" w:rsidRPr="00BC620A">
        <w:rPr>
          <w:lang w:val="en-GB"/>
        </w:rPr>
        <w:t xml:space="preserve">uring </w:t>
      </w:r>
      <w:r w:rsidR="002338FA" w:rsidRPr="00BC620A">
        <w:rPr>
          <w:lang w:val="en-GB"/>
        </w:rPr>
        <w:t>this transition</w:t>
      </w:r>
      <w:r w:rsidR="009F276A">
        <w:rPr>
          <w:lang w:val="en-GB"/>
        </w:rPr>
        <w:t>al</w:t>
      </w:r>
      <w:r w:rsidR="002338FA" w:rsidRPr="00BC620A">
        <w:rPr>
          <w:lang w:val="en-GB"/>
        </w:rPr>
        <w:t xml:space="preserve"> period</w:t>
      </w:r>
      <w:r w:rsidR="008122F6">
        <w:rPr>
          <w:lang w:val="en-GB"/>
        </w:rPr>
        <w:t>,</w:t>
      </w:r>
      <w:r w:rsidR="002338FA" w:rsidRPr="00BC620A">
        <w:rPr>
          <w:lang w:val="en-GB"/>
        </w:rPr>
        <w:t xml:space="preserve"> </w:t>
      </w:r>
      <w:r w:rsidR="00EE2D4D">
        <w:rPr>
          <w:lang w:val="en-GB"/>
        </w:rPr>
        <w:t xml:space="preserve">only </w:t>
      </w:r>
      <w:r w:rsidR="002338FA">
        <w:rPr>
          <w:lang w:val="en-GB"/>
        </w:rPr>
        <w:t>one</w:t>
      </w:r>
      <w:r w:rsidR="002338FA" w:rsidRPr="00BC620A">
        <w:rPr>
          <w:lang w:val="en-GB"/>
        </w:rPr>
        <w:t xml:space="preserve"> progress report</w:t>
      </w:r>
      <w:r w:rsidR="002338FA">
        <w:rPr>
          <w:lang w:val="en-GB"/>
        </w:rPr>
        <w:t xml:space="preserve"> </w:t>
      </w:r>
      <w:r w:rsidR="00AE0523">
        <w:rPr>
          <w:lang w:val="en-GB"/>
        </w:rPr>
        <w:t xml:space="preserve">and one final report </w:t>
      </w:r>
      <w:r w:rsidR="002338FA">
        <w:rPr>
          <w:lang w:val="en-GB"/>
        </w:rPr>
        <w:t>w</w:t>
      </w:r>
      <w:r w:rsidR="00AE0523">
        <w:rPr>
          <w:lang w:val="en-GB"/>
        </w:rPr>
        <w:t>ere</w:t>
      </w:r>
      <w:r w:rsidR="002338FA">
        <w:rPr>
          <w:lang w:val="en-GB"/>
        </w:rPr>
        <w:t xml:space="preserve"> provided </w:t>
      </w:r>
      <w:r w:rsidR="008D0667">
        <w:rPr>
          <w:lang w:val="en-GB"/>
        </w:rPr>
        <w:t>without using the said f</w:t>
      </w:r>
      <w:r w:rsidR="002338FA" w:rsidRPr="00BC620A">
        <w:rPr>
          <w:lang w:val="en-GB"/>
        </w:rPr>
        <w:t>orm</w:t>
      </w:r>
      <w:r w:rsidR="002338FA">
        <w:rPr>
          <w:lang w:val="en-GB"/>
        </w:rPr>
        <w:t xml:space="preserve">. </w:t>
      </w:r>
      <w:r w:rsidR="00300655">
        <w:rPr>
          <w:lang w:val="en-GB"/>
        </w:rPr>
        <w:t>All</w:t>
      </w:r>
      <w:r w:rsidR="002338FA">
        <w:rPr>
          <w:lang w:val="en-GB"/>
        </w:rPr>
        <w:t xml:space="preserve"> other progress reports and</w:t>
      </w:r>
      <w:r w:rsidR="00300655">
        <w:rPr>
          <w:lang w:val="en-GB"/>
        </w:rPr>
        <w:t xml:space="preserve"> </w:t>
      </w:r>
      <w:r w:rsidR="00300655" w:rsidRPr="00A27032">
        <w:rPr>
          <w:lang w:val="en-GB"/>
        </w:rPr>
        <w:t xml:space="preserve">final reports were prepared and submitted using the ICH-04-Report </w:t>
      </w:r>
      <w:r w:rsidR="000845F8" w:rsidRPr="00A27032">
        <w:rPr>
          <w:lang w:val="en-GB"/>
        </w:rPr>
        <w:t>Form.</w:t>
      </w:r>
    </w:p>
    <w:p w14:paraId="6FC9A8E0" w14:textId="5491125A" w:rsidR="006C6DCC" w:rsidRPr="00387705" w:rsidRDefault="00387705" w:rsidP="006C6DCC">
      <w:pPr>
        <w:pStyle w:val="Marge"/>
        <w:numPr>
          <w:ilvl w:val="0"/>
          <w:numId w:val="9"/>
        </w:numPr>
        <w:spacing w:before="120" w:after="120"/>
        <w:ind w:left="567" w:hanging="567"/>
        <w:rPr>
          <w:rFonts w:cs="Arial"/>
          <w:szCs w:val="22"/>
          <w:lang w:val="en-GB"/>
        </w:rPr>
      </w:pPr>
      <w:r>
        <w:rPr>
          <w:rFonts w:cs="Arial"/>
          <w:szCs w:val="22"/>
          <w:lang w:val="en-GB"/>
        </w:rPr>
        <w:t>The projects funded through</w:t>
      </w:r>
      <w:r w:rsidR="006C6DCC" w:rsidRPr="00E13088">
        <w:rPr>
          <w:rFonts w:cs="Arial"/>
          <w:szCs w:val="22"/>
          <w:lang w:val="en-GB"/>
        </w:rPr>
        <w:t xml:space="preserve"> the Intangible Cultural Heritage Fund were developed and implemented by beneficiary States.</w:t>
      </w:r>
      <w:r w:rsidR="0055571A">
        <w:rPr>
          <w:rFonts w:cs="Arial"/>
          <w:szCs w:val="22"/>
          <w:lang w:val="en-GB"/>
        </w:rPr>
        <w:t xml:space="preserve"> </w:t>
      </w:r>
      <w:r w:rsidRPr="00387705">
        <w:rPr>
          <w:rFonts w:cs="Arial"/>
          <w:szCs w:val="22"/>
          <w:lang w:val="en-GB"/>
        </w:rPr>
        <w:t>T</w:t>
      </w:r>
      <w:r w:rsidR="006C6DCC" w:rsidRPr="00387705">
        <w:rPr>
          <w:lang w:val="en-GB"/>
        </w:rPr>
        <w:t xml:space="preserve">he approaches and activities </w:t>
      </w:r>
      <w:r w:rsidR="00B16285" w:rsidRPr="00387705">
        <w:rPr>
          <w:lang w:val="en-GB"/>
        </w:rPr>
        <w:t>presented</w:t>
      </w:r>
      <w:r w:rsidR="006C6DCC" w:rsidRPr="00387705">
        <w:rPr>
          <w:lang w:val="en-GB"/>
        </w:rPr>
        <w:t xml:space="preserve"> in the </w:t>
      </w:r>
      <w:r w:rsidR="000845F8" w:rsidRPr="00387705">
        <w:rPr>
          <w:lang w:val="en-GB"/>
        </w:rPr>
        <w:t>six f</w:t>
      </w:r>
      <w:r w:rsidR="006C6DCC" w:rsidRPr="00387705">
        <w:rPr>
          <w:lang w:val="en-GB"/>
        </w:rPr>
        <w:t xml:space="preserve">inal reports and </w:t>
      </w:r>
      <w:r w:rsidR="00E13088" w:rsidRPr="00352A4C">
        <w:rPr>
          <w:lang w:val="en-GB"/>
        </w:rPr>
        <w:t>three</w:t>
      </w:r>
      <w:r w:rsidR="006C6DCC" w:rsidRPr="00352A4C">
        <w:rPr>
          <w:lang w:val="en-GB"/>
        </w:rPr>
        <w:t xml:space="preserve"> progress reports are diverse</w:t>
      </w:r>
      <w:r w:rsidR="00223268" w:rsidRPr="00352A4C">
        <w:rPr>
          <w:lang w:val="en-GB"/>
        </w:rPr>
        <w:t>:</w:t>
      </w:r>
      <w:r w:rsidR="006C6DCC" w:rsidRPr="00352A4C">
        <w:rPr>
          <w:lang w:val="en-GB"/>
        </w:rPr>
        <w:t xml:space="preserve"> </w:t>
      </w:r>
      <w:r w:rsidR="004307FB" w:rsidRPr="00352A4C">
        <w:rPr>
          <w:lang w:val="en-GB"/>
        </w:rPr>
        <w:t>four</w:t>
      </w:r>
      <w:r w:rsidR="006C6DCC" w:rsidRPr="00352A4C">
        <w:rPr>
          <w:lang w:val="en-GB"/>
        </w:rPr>
        <w:t xml:space="preserve"> focus on </w:t>
      </w:r>
      <w:r w:rsidR="00A73D95" w:rsidRPr="00352A4C">
        <w:rPr>
          <w:lang w:val="en-GB"/>
        </w:rPr>
        <w:t>identification and</w:t>
      </w:r>
      <w:r w:rsidR="00E13088" w:rsidRPr="00352A4C">
        <w:rPr>
          <w:lang w:val="en-GB"/>
        </w:rPr>
        <w:t xml:space="preserve"> preparation of inventories</w:t>
      </w:r>
      <w:r w:rsidR="00470522" w:rsidRPr="0045530C">
        <w:rPr>
          <w:lang w:val="en-GB"/>
        </w:rPr>
        <w:t>,</w:t>
      </w:r>
      <w:r w:rsidR="00E13088" w:rsidRPr="0045530C">
        <w:rPr>
          <w:lang w:val="en-GB"/>
        </w:rPr>
        <w:t xml:space="preserve"> and five on</w:t>
      </w:r>
      <w:r w:rsidR="006C6DCC" w:rsidRPr="0045530C">
        <w:rPr>
          <w:lang w:val="en-GB"/>
        </w:rPr>
        <w:t xml:space="preserve"> the safeguarding of particular</w:t>
      </w:r>
      <w:r w:rsidR="004307FB" w:rsidRPr="0045530C">
        <w:rPr>
          <w:lang w:val="en-GB"/>
        </w:rPr>
        <w:t xml:space="preserve"> elements</w:t>
      </w:r>
      <w:r w:rsidR="00E13088" w:rsidRPr="00327454">
        <w:rPr>
          <w:lang w:val="en-GB"/>
        </w:rPr>
        <w:t xml:space="preserve"> or </w:t>
      </w:r>
      <w:r>
        <w:rPr>
          <w:lang w:val="en-GB"/>
        </w:rPr>
        <w:t xml:space="preserve">intangible cultural heritage </w:t>
      </w:r>
      <w:r w:rsidR="00E13088" w:rsidRPr="00387705">
        <w:rPr>
          <w:lang w:val="en-GB"/>
        </w:rPr>
        <w:t>of a given community</w:t>
      </w:r>
      <w:r w:rsidR="006C6DCC" w:rsidRPr="00387705">
        <w:rPr>
          <w:lang w:val="en-GB"/>
        </w:rPr>
        <w:t xml:space="preserve">. </w:t>
      </w:r>
      <w:r>
        <w:rPr>
          <w:lang w:val="en-GB"/>
        </w:rPr>
        <w:t>A</w:t>
      </w:r>
      <w:r w:rsidR="006C6DCC" w:rsidRPr="00387705">
        <w:rPr>
          <w:lang w:val="en-GB"/>
        </w:rPr>
        <w:t>wareness of the importance of intangible cultural heritage was raised</w:t>
      </w:r>
      <w:r>
        <w:rPr>
          <w:lang w:val="en-GB"/>
        </w:rPr>
        <w:t xml:space="preserve"> in all case</w:t>
      </w:r>
      <w:r w:rsidR="008A1961">
        <w:rPr>
          <w:lang w:val="en-GB"/>
        </w:rPr>
        <w:t>s</w:t>
      </w:r>
      <w:r w:rsidR="009466B5" w:rsidRPr="00387705">
        <w:rPr>
          <w:lang w:val="en-GB"/>
        </w:rPr>
        <w:t>. R</w:t>
      </w:r>
      <w:r w:rsidR="006C6DCC" w:rsidRPr="00387705">
        <w:rPr>
          <w:lang w:val="en-GB"/>
        </w:rPr>
        <w:t xml:space="preserve">egional inventories </w:t>
      </w:r>
      <w:r w:rsidR="009466B5" w:rsidRPr="00387705">
        <w:rPr>
          <w:lang w:val="en-GB"/>
        </w:rPr>
        <w:t xml:space="preserve">have been </w:t>
      </w:r>
      <w:r w:rsidR="006C6DCC" w:rsidRPr="00387705">
        <w:rPr>
          <w:lang w:val="en-GB"/>
        </w:rPr>
        <w:t>drawn up</w:t>
      </w:r>
      <w:r w:rsidR="00656DBA" w:rsidRPr="00387705">
        <w:rPr>
          <w:lang w:val="en-GB"/>
        </w:rPr>
        <w:t xml:space="preserve"> </w:t>
      </w:r>
      <w:r w:rsidR="00E13088" w:rsidRPr="00387705">
        <w:rPr>
          <w:lang w:val="en-GB"/>
        </w:rPr>
        <w:t xml:space="preserve">or </w:t>
      </w:r>
      <w:r w:rsidR="00656DBA" w:rsidRPr="00387705">
        <w:rPr>
          <w:lang w:val="en-GB"/>
        </w:rPr>
        <w:t>are being drawn up with a view to safeguarding</w:t>
      </w:r>
      <w:r w:rsidR="007C4BF3" w:rsidRPr="00387705">
        <w:rPr>
          <w:lang w:val="en-GB"/>
        </w:rPr>
        <w:t>,</w:t>
      </w:r>
      <w:r w:rsidR="00656DBA" w:rsidRPr="00387705">
        <w:rPr>
          <w:lang w:val="en-GB"/>
        </w:rPr>
        <w:t xml:space="preserve"> and the</w:t>
      </w:r>
      <w:r w:rsidR="006C6DCC" w:rsidRPr="00387705">
        <w:rPr>
          <w:lang w:val="en-GB"/>
        </w:rPr>
        <w:t xml:space="preserve"> capacities of local stakeholders </w:t>
      </w:r>
      <w:r w:rsidR="007C4BF3" w:rsidRPr="00387705">
        <w:rPr>
          <w:lang w:val="en-GB"/>
        </w:rPr>
        <w:t>have</w:t>
      </w:r>
      <w:r w:rsidR="009466B5" w:rsidRPr="00387705">
        <w:rPr>
          <w:lang w:val="en-GB"/>
        </w:rPr>
        <w:t xml:space="preserve"> been </w:t>
      </w:r>
      <w:r w:rsidR="006C6DCC" w:rsidRPr="00387705">
        <w:rPr>
          <w:lang w:val="en-GB"/>
        </w:rPr>
        <w:t>enhanced.</w:t>
      </w:r>
      <w:r w:rsidR="006C6DCC" w:rsidRPr="00387705">
        <w:rPr>
          <w:rFonts w:cs="Arial"/>
          <w:szCs w:val="22"/>
          <w:lang w:val="en-GB"/>
        </w:rPr>
        <w:t xml:space="preserve"> States achieved results using their own systems, human resources and institutions</w:t>
      </w:r>
      <w:r w:rsidR="009466B5" w:rsidRPr="00387705">
        <w:rPr>
          <w:rFonts w:cs="Arial"/>
          <w:szCs w:val="22"/>
          <w:lang w:val="en-GB"/>
        </w:rPr>
        <w:t xml:space="preserve"> – </w:t>
      </w:r>
      <w:r w:rsidR="006C6DCC" w:rsidRPr="00387705">
        <w:rPr>
          <w:rFonts w:cs="Arial"/>
          <w:szCs w:val="22"/>
          <w:lang w:val="en-GB"/>
        </w:rPr>
        <w:t xml:space="preserve">an approach </w:t>
      </w:r>
      <w:r>
        <w:rPr>
          <w:rFonts w:cs="Arial"/>
          <w:szCs w:val="22"/>
          <w:lang w:val="en-GB"/>
        </w:rPr>
        <w:t>conducive to</w:t>
      </w:r>
      <w:r w:rsidR="006C6DCC" w:rsidRPr="00387705">
        <w:rPr>
          <w:rFonts w:cs="Arial"/>
          <w:szCs w:val="22"/>
          <w:lang w:val="en-GB"/>
        </w:rPr>
        <w:t xml:space="preserve"> ownership </w:t>
      </w:r>
      <w:r>
        <w:rPr>
          <w:rFonts w:cs="Arial"/>
          <w:szCs w:val="22"/>
          <w:lang w:val="en-GB"/>
        </w:rPr>
        <w:t>and sustainability</w:t>
      </w:r>
      <w:r w:rsidR="006C6DCC" w:rsidRPr="00387705">
        <w:rPr>
          <w:rFonts w:cs="Arial"/>
          <w:szCs w:val="22"/>
          <w:lang w:val="en-GB"/>
        </w:rPr>
        <w:t>.</w:t>
      </w:r>
    </w:p>
    <w:p w14:paraId="26608CB1" w14:textId="13796732" w:rsidR="00C670D8" w:rsidRPr="00C670D8" w:rsidRDefault="00C670D8" w:rsidP="00377E5D">
      <w:pPr>
        <w:pStyle w:val="COMPara"/>
        <w:jc w:val="both"/>
      </w:pPr>
      <w:r w:rsidRPr="00C670D8">
        <w:t>During the reporting period</w:t>
      </w:r>
      <w:r w:rsidR="00BB3915">
        <w:t>,</w:t>
      </w:r>
      <w:r w:rsidRPr="00C670D8">
        <w:t xml:space="preserve"> </w:t>
      </w:r>
      <w:r w:rsidR="006D071B">
        <w:t>seven</w:t>
      </w:r>
      <w:r w:rsidR="0017165D" w:rsidRPr="00C670D8">
        <w:t xml:space="preserve"> </w:t>
      </w:r>
      <w:r w:rsidR="00AC4A8F" w:rsidRPr="00C670D8">
        <w:t xml:space="preserve">new </w:t>
      </w:r>
      <w:r w:rsidR="00656DBA">
        <w:t>requests</w:t>
      </w:r>
      <w:r w:rsidR="00AC4A8F" w:rsidRPr="00C670D8">
        <w:t xml:space="preserve"> </w:t>
      </w:r>
      <w:r w:rsidR="00387705">
        <w:t xml:space="preserve">for International Assistance </w:t>
      </w:r>
      <w:r w:rsidR="00AC4A8F" w:rsidRPr="00C670D8">
        <w:t>were approved by the Bureau</w:t>
      </w:r>
      <w:r w:rsidRPr="00C670D8">
        <w:t xml:space="preserve"> of the Committee</w:t>
      </w:r>
      <w:r>
        <w:t xml:space="preserve"> for a</w:t>
      </w:r>
      <w:r w:rsidR="00BB3915">
        <w:t xml:space="preserve"> total </w:t>
      </w:r>
      <w:r w:rsidR="00BA6811">
        <w:t xml:space="preserve">of </w:t>
      </w:r>
      <w:r w:rsidRPr="00C670D8">
        <w:t>US$</w:t>
      </w:r>
      <w:r w:rsidR="00206EC7">
        <w:t>436,</w:t>
      </w:r>
      <w:r w:rsidR="00F62D27">
        <w:t>8</w:t>
      </w:r>
      <w:r w:rsidR="00206EC7">
        <w:t>7</w:t>
      </w:r>
      <w:r w:rsidR="00F62D27">
        <w:t>0</w:t>
      </w:r>
      <w:r w:rsidR="00223268">
        <w:t xml:space="preserve">: </w:t>
      </w:r>
      <w:r w:rsidR="00F62D27">
        <w:t>three</w:t>
      </w:r>
      <w:r w:rsidRPr="0017165D">
        <w:t xml:space="preserve"> in November </w:t>
      </w:r>
      <w:r w:rsidR="00AC4A8F" w:rsidRPr="0017165D">
        <w:t>201</w:t>
      </w:r>
      <w:r w:rsidR="0009789C" w:rsidRPr="0017165D">
        <w:t>4</w:t>
      </w:r>
      <w:r w:rsidR="00AC4A8F" w:rsidRPr="002B3FA8">
        <w:t xml:space="preserve"> and </w:t>
      </w:r>
      <w:r w:rsidR="0017165D" w:rsidRPr="0017165D">
        <w:t>four</w:t>
      </w:r>
      <w:r w:rsidR="00AC4A8F" w:rsidRPr="0017165D">
        <w:t xml:space="preserve"> in June</w:t>
      </w:r>
      <w:r w:rsidRPr="0017165D">
        <w:t xml:space="preserve"> 201</w:t>
      </w:r>
      <w:r w:rsidR="0009789C" w:rsidRPr="0017165D">
        <w:t>5</w:t>
      </w:r>
      <w:r w:rsidR="0017165D">
        <w:t>.</w:t>
      </w:r>
      <w:r w:rsidR="00E13088" w:rsidRPr="002B3FA8">
        <w:t xml:space="preserve"> </w:t>
      </w:r>
      <w:r w:rsidR="00470522" w:rsidRPr="002B3FA8">
        <w:t>Of</w:t>
      </w:r>
      <w:r w:rsidR="00470522">
        <w:t xml:space="preserve"> those, </w:t>
      </w:r>
      <w:r w:rsidR="0017165D">
        <w:t>five</w:t>
      </w:r>
      <w:r w:rsidRPr="00C670D8">
        <w:t xml:space="preserve"> </w:t>
      </w:r>
      <w:r w:rsidR="00470522">
        <w:t xml:space="preserve">were for </w:t>
      </w:r>
      <w:r>
        <w:t>up to US$25</w:t>
      </w:r>
      <w:r w:rsidR="00003FAE">
        <w:t>,</w:t>
      </w:r>
      <w:r>
        <w:t>000</w:t>
      </w:r>
      <w:r w:rsidR="00470522">
        <w:t>,</w:t>
      </w:r>
      <w:r w:rsidR="00AC4A8F" w:rsidRPr="00C670D8">
        <w:t xml:space="preserve"> </w:t>
      </w:r>
      <w:r w:rsidRPr="00C670D8">
        <w:t xml:space="preserve">one </w:t>
      </w:r>
      <w:r w:rsidR="00470522">
        <w:t xml:space="preserve">was for </w:t>
      </w:r>
      <w:r w:rsidRPr="00C670D8">
        <w:t>preparatory assistance for</w:t>
      </w:r>
      <w:r w:rsidR="00AE3680">
        <w:t xml:space="preserve"> elaborating nominations for</w:t>
      </w:r>
      <w:r w:rsidRPr="00C670D8">
        <w:t xml:space="preserve"> inscription on the List of Intangible Cultural Heritage in Need of </w:t>
      </w:r>
      <w:r w:rsidR="00E33F7C">
        <w:t>U</w:t>
      </w:r>
      <w:r w:rsidRPr="00C670D8">
        <w:t>rgent Safeguarding</w:t>
      </w:r>
      <w:r w:rsidR="00470522">
        <w:t>,</w:t>
      </w:r>
      <w:r w:rsidR="00E13088">
        <w:t xml:space="preserve"> and two </w:t>
      </w:r>
      <w:r w:rsidR="00470522">
        <w:t xml:space="preserve">were </w:t>
      </w:r>
      <w:r w:rsidR="00E13088">
        <w:t>emergency assistance requests</w:t>
      </w:r>
      <w:r>
        <w:t>.</w:t>
      </w:r>
      <w:r w:rsidRPr="00C670D8">
        <w:t xml:space="preserve"> </w:t>
      </w:r>
      <w:r w:rsidR="0017165D">
        <w:t xml:space="preserve">The </w:t>
      </w:r>
      <w:r w:rsidR="00377E5D" w:rsidRPr="00352A4C">
        <w:rPr>
          <w:rFonts w:cs="Times New Roman"/>
          <w:szCs w:val="24"/>
          <w:lang w:val="en-US"/>
        </w:rPr>
        <w:t>Africa</w:t>
      </w:r>
      <w:r w:rsidR="0017165D">
        <w:rPr>
          <w:rFonts w:cs="Times New Roman"/>
          <w:szCs w:val="24"/>
          <w:lang w:val="en-US"/>
        </w:rPr>
        <w:t>n continent</w:t>
      </w:r>
      <w:r w:rsidR="00377E5D" w:rsidRPr="00352A4C">
        <w:rPr>
          <w:rFonts w:cs="Times New Roman"/>
          <w:szCs w:val="24"/>
          <w:lang w:val="en-US"/>
        </w:rPr>
        <w:t xml:space="preserve"> </w:t>
      </w:r>
      <w:r w:rsidR="00377E5D" w:rsidRPr="0009789C">
        <w:rPr>
          <w:rFonts w:cs="Times New Roman"/>
          <w:szCs w:val="24"/>
          <w:lang w:val="en-US"/>
        </w:rPr>
        <w:t>represents</w:t>
      </w:r>
      <w:r w:rsidR="00377E5D">
        <w:rPr>
          <w:rFonts w:cs="Times New Roman"/>
          <w:szCs w:val="24"/>
          <w:lang w:val="en-US"/>
        </w:rPr>
        <w:t xml:space="preserve"> US</w:t>
      </w:r>
      <w:r w:rsidR="00377E5D" w:rsidRPr="00F62D27">
        <w:rPr>
          <w:rFonts w:cs="Times New Roman"/>
          <w:szCs w:val="24"/>
          <w:lang w:val="en-US"/>
        </w:rPr>
        <w:t>$</w:t>
      </w:r>
      <w:r w:rsidR="00206EC7">
        <w:rPr>
          <w:rFonts w:cs="Times New Roman"/>
          <w:szCs w:val="24"/>
          <w:lang w:val="en-US"/>
        </w:rPr>
        <w:t>363</w:t>
      </w:r>
      <w:r w:rsidR="00F62D27">
        <w:rPr>
          <w:rFonts w:cs="Times New Roman"/>
          <w:szCs w:val="24"/>
          <w:lang w:val="en-US"/>
        </w:rPr>
        <w:t>,</w:t>
      </w:r>
      <w:r w:rsidR="00206EC7">
        <w:rPr>
          <w:rFonts w:cs="Times New Roman"/>
          <w:szCs w:val="24"/>
          <w:lang w:val="en-US"/>
        </w:rPr>
        <w:t>622</w:t>
      </w:r>
      <w:r w:rsidR="00377E5D">
        <w:rPr>
          <w:rFonts w:cs="Times New Roman"/>
          <w:szCs w:val="24"/>
          <w:lang w:val="en-US"/>
        </w:rPr>
        <w:t xml:space="preserve"> or </w:t>
      </w:r>
      <w:r w:rsidR="00206EC7">
        <w:rPr>
          <w:rFonts w:cs="Times New Roman"/>
          <w:szCs w:val="24"/>
          <w:lang w:val="en-US"/>
        </w:rPr>
        <w:t>83.23</w:t>
      </w:r>
      <w:r w:rsidR="00377E5D" w:rsidRPr="00C670D8">
        <w:rPr>
          <w:rFonts w:cs="Times New Roman"/>
          <w:szCs w:val="24"/>
          <w:lang w:val="en-US"/>
        </w:rPr>
        <w:t xml:space="preserve">% of the amount of assistance granted during the reporting period, </w:t>
      </w:r>
      <w:r w:rsidR="00377E5D" w:rsidRPr="00C06C59">
        <w:rPr>
          <w:rFonts w:cs="Times New Roman"/>
          <w:szCs w:val="24"/>
          <w:lang w:val="en-US"/>
        </w:rPr>
        <w:t>in line</w:t>
      </w:r>
      <w:r w:rsidR="00377E5D" w:rsidRPr="00C670D8">
        <w:rPr>
          <w:rFonts w:cs="Times New Roman"/>
          <w:szCs w:val="24"/>
          <w:lang w:val="en-US"/>
        </w:rPr>
        <w:t xml:space="preserve"> with UNESCO’s </w:t>
      </w:r>
      <w:r w:rsidR="00223268">
        <w:rPr>
          <w:rFonts w:cs="Times New Roman"/>
          <w:szCs w:val="24"/>
          <w:lang w:val="en-US"/>
        </w:rPr>
        <w:t>G</w:t>
      </w:r>
      <w:r w:rsidR="00223268" w:rsidRPr="00C670D8">
        <w:rPr>
          <w:rFonts w:cs="Times New Roman"/>
          <w:szCs w:val="24"/>
          <w:lang w:val="en-US"/>
        </w:rPr>
        <w:t xml:space="preserve">lobal </w:t>
      </w:r>
      <w:r w:rsidR="00223268">
        <w:rPr>
          <w:rFonts w:cs="Times New Roman"/>
          <w:szCs w:val="24"/>
          <w:lang w:val="en-US"/>
        </w:rPr>
        <w:t>P</w:t>
      </w:r>
      <w:r w:rsidR="00377E5D" w:rsidRPr="00C670D8">
        <w:rPr>
          <w:rFonts w:cs="Times New Roman"/>
          <w:szCs w:val="24"/>
          <w:lang w:val="en-US"/>
        </w:rPr>
        <w:t>riority Africa.</w:t>
      </w:r>
      <w:r w:rsidR="00656DBA">
        <w:rPr>
          <w:rFonts w:cs="Times New Roman"/>
          <w:szCs w:val="24"/>
          <w:lang w:val="en-US"/>
        </w:rPr>
        <w:t xml:space="preserve"> </w:t>
      </w:r>
      <w:r w:rsidR="00AC4A8F" w:rsidRPr="00C670D8">
        <w:t xml:space="preserve">Implementation of these projects has started </w:t>
      </w:r>
      <w:r w:rsidR="003B3BE6">
        <w:t>or is ongoing and</w:t>
      </w:r>
      <w:r>
        <w:t xml:space="preserve"> </w:t>
      </w:r>
      <w:r w:rsidR="003B3BE6">
        <w:rPr>
          <w:rFonts w:cs="Times New Roman"/>
          <w:szCs w:val="24"/>
          <w:lang w:val="en-US"/>
        </w:rPr>
        <w:t>t</w:t>
      </w:r>
      <w:r w:rsidRPr="00C670D8">
        <w:rPr>
          <w:rFonts w:cs="Times New Roman"/>
          <w:szCs w:val="24"/>
          <w:lang w:val="en-US"/>
        </w:rPr>
        <w:t>o date, none of those projects have reports due</w:t>
      </w:r>
      <w:r w:rsidR="0074447D">
        <w:rPr>
          <w:rFonts w:cs="Times New Roman"/>
          <w:szCs w:val="24"/>
          <w:lang w:val="en-US"/>
        </w:rPr>
        <w:t>.</w:t>
      </w:r>
    </w:p>
    <w:p w14:paraId="61022AC1" w14:textId="77777777" w:rsidR="00D95C4C" w:rsidRPr="00EA528C" w:rsidRDefault="000B1C8F" w:rsidP="0036285D">
      <w:pPr>
        <w:pStyle w:val="COMPara"/>
        <w:pageBreakBefore/>
      </w:pPr>
      <w:r w:rsidRPr="000B1C8F">
        <w:t xml:space="preserve">The Committee may wish </w:t>
      </w:r>
      <w:r>
        <w:t>to adopt the following decision</w:t>
      </w:r>
      <w:r w:rsidR="00D95C4C" w:rsidRPr="00EA528C">
        <w:t>:</w:t>
      </w:r>
    </w:p>
    <w:p w14:paraId="2B2F20C1" w14:textId="77777777" w:rsidR="00D95C4C" w:rsidRPr="00FD624F" w:rsidRDefault="004A34A0" w:rsidP="00041A66">
      <w:pPr>
        <w:pStyle w:val="COMTitleDecision"/>
        <w:rPr>
          <w:rFonts w:eastAsia="SimSun"/>
        </w:rPr>
      </w:pPr>
      <w:r>
        <w:t xml:space="preserve">DRAFT </w:t>
      </w:r>
      <w:r w:rsidR="00D8250F">
        <w:t>DECISION 10</w:t>
      </w:r>
      <w:r w:rsidR="00EC6F8D">
        <w:t>.COM</w:t>
      </w:r>
      <w:r w:rsidR="00D95C4C" w:rsidRPr="00FD624F">
        <w:t xml:space="preserve"> </w:t>
      </w:r>
      <w:r w:rsidR="00533D29">
        <w:t>6.c</w:t>
      </w:r>
    </w:p>
    <w:p w14:paraId="4A086281" w14:textId="77777777" w:rsidR="00D95C4C" w:rsidRPr="00285BB4" w:rsidRDefault="00285BB4" w:rsidP="00285BB4">
      <w:pPr>
        <w:pStyle w:val="COMPreambulaDecisions"/>
        <w:rPr>
          <w:rFonts w:eastAsia="SimSun"/>
        </w:rPr>
      </w:pPr>
      <w:r w:rsidRPr="00285BB4">
        <w:t>The Committee,</w:t>
      </w:r>
    </w:p>
    <w:p w14:paraId="3EB7D943" w14:textId="77777777" w:rsidR="0057439C" w:rsidRPr="00A73D95" w:rsidRDefault="00D95C4C" w:rsidP="0027466B">
      <w:pPr>
        <w:pStyle w:val="COMParaDecision"/>
        <w:jc w:val="left"/>
      </w:pPr>
      <w:r w:rsidRPr="00345CB4">
        <w:t>Having examined</w:t>
      </w:r>
      <w:r w:rsidRPr="00F32C23">
        <w:rPr>
          <w:u w:val="none"/>
        </w:rPr>
        <w:t xml:space="preserve"> doc</w:t>
      </w:r>
      <w:r w:rsidR="00D8250F">
        <w:rPr>
          <w:u w:val="none"/>
        </w:rPr>
        <w:t>ument ITH/15/10</w:t>
      </w:r>
      <w:r w:rsidR="00EC6F8D" w:rsidRPr="00F32C23">
        <w:rPr>
          <w:u w:val="none"/>
        </w:rPr>
        <w:t>.COM</w:t>
      </w:r>
      <w:r w:rsidR="004A34A0" w:rsidRPr="00F32C23">
        <w:rPr>
          <w:u w:val="none"/>
        </w:rPr>
        <w:t>/</w:t>
      </w:r>
      <w:r w:rsidR="00A73D95">
        <w:rPr>
          <w:u w:val="none"/>
        </w:rPr>
        <w:t>6.c</w:t>
      </w:r>
      <w:r w:rsidRPr="00F32C23">
        <w:rPr>
          <w:u w:val="none"/>
        </w:rPr>
        <w:t>,</w:t>
      </w:r>
    </w:p>
    <w:p w14:paraId="2E16B67C" w14:textId="2E758816" w:rsidR="00A73D95" w:rsidRPr="00BC620A" w:rsidRDefault="00A73D95" w:rsidP="00533D29">
      <w:pPr>
        <w:pStyle w:val="COMParaDecision"/>
      </w:pPr>
      <w:r w:rsidRPr="00BC620A">
        <w:t>Recalling</w:t>
      </w:r>
      <w:r w:rsidRPr="0036285D">
        <w:rPr>
          <w:u w:val="none"/>
        </w:rPr>
        <w:t xml:space="preserve"> </w:t>
      </w:r>
      <w:r w:rsidRPr="00BC620A">
        <w:rPr>
          <w:u w:val="none"/>
        </w:rPr>
        <w:t>Article 24.3 of the Convention</w:t>
      </w:r>
      <w:r w:rsidR="00A27032">
        <w:rPr>
          <w:u w:val="none"/>
        </w:rPr>
        <w:t>,</w:t>
      </w:r>
    </w:p>
    <w:p w14:paraId="3863700A" w14:textId="3378AA94" w:rsidR="00A73D95" w:rsidRPr="00BC620A" w:rsidRDefault="00A73D95" w:rsidP="00533D29">
      <w:pPr>
        <w:pStyle w:val="COMParaDecision"/>
      </w:pPr>
      <w:r w:rsidRPr="00BC620A">
        <w:t>Expresses satisfaction</w:t>
      </w:r>
      <w:r w:rsidRPr="0036285D">
        <w:rPr>
          <w:u w:val="none"/>
        </w:rPr>
        <w:t xml:space="preserve"> </w:t>
      </w:r>
      <w:r w:rsidRPr="00BC620A">
        <w:rPr>
          <w:u w:val="none"/>
        </w:rPr>
        <w:t xml:space="preserve">that developing countries continue to be </w:t>
      </w:r>
      <w:r w:rsidR="00BA6811">
        <w:rPr>
          <w:u w:val="none"/>
        </w:rPr>
        <w:t xml:space="preserve">the </w:t>
      </w:r>
      <w:r w:rsidRPr="00BC620A">
        <w:rPr>
          <w:u w:val="none"/>
        </w:rPr>
        <w:t xml:space="preserve">main beneficiaries of </w:t>
      </w:r>
      <w:r w:rsidR="00C06C59">
        <w:rPr>
          <w:u w:val="none"/>
        </w:rPr>
        <w:t>International A</w:t>
      </w:r>
      <w:r w:rsidRPr="00BC620A">
        <w:rPr>
          <w:u w:val="none"/>
        </w:rPr>
        <w:t>ssistance from the Intangible Cultural Heritage Fund and particularly those in Africa;</w:t>
      </w:r>
    </w:p>
    <w:p w14:paraId="59CE03ED" w14:textId="42898551" w:rsidR="00A73D95" w:rsidRDefault="00A73D95" w:rsidP="00533D29">
      <w:pPr>
        <w:pStyle w:val="COMParaDecision"/>
        <w:rPr>
          <w:u w:val="none"/>
        </w:rPr>
      </w:pPr>
      <w:r w:rsidRPr="00BC620A">
        <w:t>Thanks</w:t>
      </w:r>
      <w:r w:rsidRPr="00BC620A">
        <w:rPr>
          <w:u w:val="none"/>
        </w:rPr>
        <w:t xml:space="preserve"> </w:t>
      </w:r>
      <w:r w:rsidR="000845F8">
        <w:rPr>
          <w:u w:val="none"/>
        </w:rPr>
        <w:t>beneficiary States</w:t>
      </w:r>
      <w:r w:rsidRPr="00BC620A">
        <w:rPr>
          <w:u w:val="none"/>
        </w:rPr>
        <w:t xml:space="preserve"> </w:t>
      </w:r>
      <w:r w:rsidR="00533D29">
        <w:rPr>
          <w:u w:val="none"/>
        </w:rPr>
        <w:t>for submitting</w:t>
      </w:r>
      <w:r w:rsidRPr="00BC620A">
        <w:rPr>
          <w:u w:val="none"/>
        </w:rPr>
        <w:t xml:space="preserve"> </w:t>
      </w:r>
      <w:r w:rsidR="000845F8">
        <w:rPr>
          <w:u w:val="none"/>
        </w:rPr>
        <w:t xml:space="preserve">final </w:t>
      </w:r>
      <w:r w:rsidR="00EC73B0">
        <w:rPr>
          <w:u w:val="none"/>
        </w:rPr>
        <w:t>or</w:t>
      </w:r>
      <w:r w:rsidR="000845F8">
        <w:rPr>
          <w:u w:val="none"/>
        </w:rPr>
        <w:t xml:space="preserve"> </w:t>
      </w:r>
      <w:r>
        <w:rPr>
          <w:u w:val="none"/>
        </w:rPr>
        <w:t>progress</w:t>
      </w:r>
      <w:r w:rsidRPr="00BC620A">
        <w:rPr>
          <w:u w:val="none"/>
        </w:rPr>
        <w:t xml:space="preserve"> reports for projects </w:t>
      </w:r>
      <w:r w:rsidR="00EC73B0">
        <w:rPr>
          <w:u w:val="none"/>
        </w:rPr>
        <w:t>that benefit from</w:t>
      </w:r>
      <w:r w:rsidR="00EC73B0" w:rsidRPr="00BC620A">
        <w:rPr>
          <w:u w:val="none"/>
        </w:rPr>
        <w:t xml:space="preserve"> </w:t>
      </w:r>
      <w:r w:rsidR="00C06C59">
        <w:rPr>
          <w:u w:val="none"/>
        </w:rPr>
        <w:t>International A</w:t>
      </w:r>
      <w:r w:rsidR="00C06C59" w:rsidRPr="00BC620A">
        <w:rPr>
          <w:u w:val="none"/>
        </w:rPr>
        <w:t xml:space="preserve">ssistance </w:t>
      </w:r>
      <w:r w:rsidR="00EC73B0">
        <w:rPr>
          <w:u w:val="none"/>
        </w:rPr>
        <w:t>under</w:t>
      </w:r>
      <w:r w:rsidR="00EC73B0" w:rsidRPr="00BC620A">
        <w:rPr>
          <w:u w:val="none"/>
        </w:rPr>
        <w:t xml:space="preserve"> </w:t>
      </w:r>
      <w:r w:rsidRPr="00BC620A">
        <w:rPr>
          <w:u w:val="none"/>
        </w:rPr>
        <w:t>the Intangible Cultural Heritage Fund;</w:t>
      </w:r>
    </w:p>
    <w:p w14:paraId="4F798233" w14:textId="5D8FC9A0" w:rsidR="00EC73B0" w:rsidRDefault="00B16285" w:rsidP="00533D29">
      <w:pPr>
        <w:pStyle w:val="COMParaDecision"/>
      </w:pPr>
      <w:r>
        <w:t>Appreciates</w:t>
      </w:r>
      <w:r>
        <w:rPr>
          <w:u w:val="none"/>
        </w:rPr>
        <w:t xml:space="preserve"> the </w:t>
      </w:r>
      <w:r w:rsidR="004A2767">
        <w:rPr>
          <w:u w:val="none"/>
        </w:rPr>
        <w:t xml:space="preserve">impact that the </w:t>
      </w:r>
      <w:r w:rsidR="00C06C59">
        <w:rPr>
          <w:u w:val="none"/>
        </w:rPr>
        <w:t>assistance</w:t>
      </w:r>
      <w:r w:rsidR="004A2767">
        <w:rPr>
          <w:u w:val="none"/>
        </w:rPr>
        <w:t xml:space="preserve"> brought to the beneficiary States for safeguarding intangible cultural </w:t>
      </w:r>
      <w:r w:rsidR="004A2767" w:rsidRPr="00F22314">
        <w:rPr>
          <w:u w:val="none"/>
        </w:rPr>
        <w:t xml:space="preserve">heritage </w:t>
      </w:r>
      <w:r w:rsidR="00C06C59" w:rsidRPr="0036285D">
        <w:rPr>
          <w:u w:val="none"/>
        </w:rPr>
        <w:t>present</w:t>
      </w:r>
      <w:r w:rsidR="00C06C59" w:rsidRPr="00F22314">
        <w:rPr>
          <w:u w:val="none"/>
        </w:rPr>
        <w:t xml:space="preserve"> </w:t>
      </w:r>
      <w:r w:rsidR="004A2767" w:rsidRPr="00352A4C">
        <w:rPr>
          <w:u w:val="none"/>
        </w:rPr>
        <w:t>in their</w:t>
      </w:r>
      <w:r w:rsidR="004A2767">
        <w:rPr>
          <w:u w:val="none"/>
        </w:rPr>
        <w:t xml:space="preserve"> territories and </w:t>
      </w:r>
      <w:r w:rsidR="004A2767" w:rsidRPr="00554FEB">
        <w:t>encourages</w:t>
      </w:r>
      <w:r w:rsidR="004A2767">
        <w:rPr>
          <w:u w:val="none"/>
        </w:rPr>
        <w:t xml:space="preserve"> them to continue to ensure the sustainability and enhancement of the results of the projects</w:t>
      </w:r>
      <w:r w:rsidR="00223268">
        <w:rPr>
          <w:u w:val="none"/>
        </w:rPr>
        <w:t>;</w:t>
      </w:r>
    </w:p>
    <w:p w14:paraId="4C125ACB" w14:textId="257C7F1F" w:rsidR="00F6070F" w:rsidRDefault="00F6070F" w:rsidP="00F6070F">
      <w:pPr>
        <w:pStyle w:val="COMParaDecision"/>
      </w:pPr>
      <w:r w:rsidRPr="00F6070F">
        <w:t>Notes with satisfaction</w:t>
      </w:r>
      <w:r w:rsidRPr="00651CB0">
        <w:rPr>
          <w:u w:val="none"/>
        </w:rPr>
        <w:t xml:space="preserve"> the promising initial results of the first emergency international assistance provided through the </w:t>
      </w:r>
      <w:r>
        <w:rPr>
          <w:u w:val="none"/>
        </w:rPr>
        <w:t xml:space="preserve">Intangible </w:t>
      </w:r>
      <w:r w:rsidRPr="00651CB0">
        <w:rPr>
          <w:u w:val="none"/>
        </w:rPr>
        <w:t xml:space="preserve">Cultural Heritage Fund as a contribution to the reconstruction and social cohesion and </w:t>
      </w:r>
      <w:r w:rsidRPr="00651CB0">
        <w:t>encourages</w:t>
      </w:r>
      <w:r w:rsidRPr="00651CB0">
        <w:rPr>
          <w:u w:val="none"/>
        </w:rPr>
        <w:t xml:space="preserve"> Mali to continue its efforts in this direction despite the contextual difficulties;</w:t>
      </w:r>
    </w:p>
    <w:p w14:paraId="0384B5F9" w14:textId="77777777" w:rsidR="00A73D95" w:rsidRPr="00A73D95" w:rsidRDefault="00A73D95" w:rsidP="00533D29">
      <w:pPr>
        <w:pStyle w:val="COMParaDecision"/>
      </w:pPr>
      <w:r w:rsidRPr="00A73D95">
        <w:t>Congratulates</w:t>
      </w:r>
      <w:r w:rsidRPr="00A73D95">
        <w:rPr>
          <w:u w:val="none"/>
        </w:rPr>
        <w:t xml:space="preserve"> Kenya and Uganda</w:t>
      </w:r>
      <w:r>
        <w:rPr>
          <w:u w:val="none"/>
        </w:rPr>
        <w:t xml:space="preserve"> for submitting nominations to the </w:t>
      </w:r>
      <w:r w:rsidRPr="00A73D95">
        <w:rPr>
          <w:u w:val="none"/>
        </w:rPr>
        <w:t xml:space="preserve">List of Intangible Cultural Heritage in Need of </w:t>
      </w:r>
      <w:r w:rsidR="00223268">
        <w:rPr>
          <w:u w:val="none"/>
        </w:rPr>
        <w:t>U</w:t>
      </w:r>
      <w:r w:rsidR="00223268" w:rsidRPr="00A73D95">
        <w:rPr>
          <w:u w:val="none"/>
        </w:rPr>
        <w:t xml:space="preserve">rgent </w:t>
      </w:r>
      <w:r w:rsidRPr="00A73D95">
        <w:rPr>
          <w:u w:val="none"/>
        </w:rPr>
        <w:t>Safeguarding</w:t>
      </w:r>
      <w:r>
        <w:rPr>
          <w:u w:val="none"/>
        </w:rPr>
        <w:t xml:space="preserve"> as a result of the preparatory assistance </w:t>
      </w:r>
      <w:r w:rsidR="00533D29">
        <w:rPr>
          <w:u w:val="none"/>
        </w:rPr>
        <w:t>granted</w:t>
      </w:r>
      <w:r>
        <w:rPr>
          <w:u w:val="none"/>
        </w:rPr>
        <w:t>;</w:t>
      </w:r>
    </w:p>
    <w:p w14:paraId="307B782E" w14:textId="476BD5FC" w:rsidR="00533D29" w:rsidRPr="00533D29" w:rsidRDefault="00533D29" w:rsidP="0036285D">
      <w:pPr>
        <w:pStyle w:val="COMParaDecision"/>
      </w:pPr>
      <w:r>
        <w:t>Requests</w:t>
      </w:r>
      <w:r w:rsidR="00A73D95" w:rsidRPr="00533D29">
        <w:rPr>
          <w:u w:val="none"/>
        </w:rPr>
        <w:t xml:space="preserve"> </w:t>
      </w:r>
      <w:r w:rsidR="00A73D95" w:rsidRPr="00BC620A">
        <w:rPr>
          <w:u w:val="none"/>
        </w:rPr>
        <w:t xml:space="preserve">States Parties to use the ICH-04-Report Form when reporting on the use made of </w:t>
      </w:r>
      <w:r w:rsidR="00F22314">
        <w:rPr>
          <w:u w:val="none"/>
        </w:rPr>
        <w:t xml:space="preserve">the </w:t>
      </w:r>
      <w:r w:rsidR="00A73D95" w:rsidRPr="00BC620A">
        <w:rPr>
          <w:u w:val="none"/>
        </w:rPr>
        <w:t>assistance provided.</w:t>
      </w:r>
    </w:p>
    <w:sectPr w:rsidR="00533D29" w:rsidRPr="00533D29" w:rsidSect="00655736">
      <w:headerReference w:type="even" r:id="rId17"/>
      <w:headerReference w:type="default" r:id="rId18"/>
      <w:headerReference w:type="first" r:id="rId1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5307" w14:textId="77777777" w:rsidR="00A23469" w:rsidRDefault="00A23469" w:rsidP="00655736">
      <w:r>
        <w:separator/>
      </w:r>
    </w:p>
  </w:endnote>
  <w:endnote w:type="continuationSeparator" w:id="0">
    <w:p w14:paraId="27FA13D3" w14:textId="77777777" w:rsidR="00A23469" w:rsidRDefault="00A2346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B8D9" w14:textId="77777777" w:rsidR="00A23469" w:rsidRDefault="00A23469" w:rsidP="00655736">
      <w:r>
        <w:separator/>
      </w:r>
    </w:p>
  </w:footnote>
  <w:footnote w:type="continuationSeparator" w:id="0">
    <w:p w14:paraId="68A15C7E" w14:textId="77777777" w:rsidR="00A23469" w:rsidRDefault="00A23469"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3A449" w14:textId="77777777" w:rsidR="00D95C4C" w:rsidRPr="00C23A97" w:rsidRDefault="00D8250F">
    <w:pPr>
      <w:pStyle w:val="Header"/>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D95C4C" w:rsidRPr="00C23A97">
      <w:rPr>
        <w:rFonts w:ascii="Arial" w:hAnsi="Arial" w:cs="Arial"/>
        <w:sz w:val="20"/>
        <w:szCs w:val="20"/>
        <w:lang w:val="en-GB"/>
      </w:rPr>
      <w:t>/</w:t>
    </w:r>
    <w:r w:rsidR="00D447A7">
      <w:rPr>
        <w:rFonts w:ascii="Arial" w:hAnsi="Arial" w:cs="Arial"/>
        <w:sz w:val="20"/>
        <w:szCs w:val="20"/>
        <w:lang w:val="en-GB"/>
      </w:rPr>
      <w:t>6.c</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1C5379">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035E" w14:textId="77777777" w:rsidR="00D95C4C" w:rsidRPr="0063300C" w:rsidRDefault="00D8250F" w:rsidP="0063300C">
    <w:pPr>
      <w:pStyle w:val="Header"/>
      <w:jc w:val="right"/>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4A34A0" w:rsidRPr="0063300C">
      <w:rPr>
        <w:rFonts w:ascii="Arial" w:hAnsi="Arial" w:cs="Arial"/>
        <w:sz w:val="20"/>
        <w:szCs w:val="20"/>
        <w:lang w:val="en-GB"/>
      </w:rPr>
      <w:t>/</w:t>
    </w:r>
    <w:r w:rsidR="00533D29">
      <w:rPr>
        <w:rFonts w:ascii="Arial" w:hAnsi="Arial" w:cs="Arial"/>
        <w:sz w:val="20"/>
        <w:szCs w:val="20"/>
        <w:lang w:val="en-GB"/>
      </w:rPr>
      <w:t>6.c</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C5379">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5EDAA" w14:textId="77777777" w:rsidR="00D95C4C" w:rsidRPr="00F32C23" w:rsidRDefault="00955877">
    <w:pPr>
      <w:pStyle w:val="Header"/>
      <w:rPr>
        <w:lang w:val="en-GB"/>
      </w:rPr>
    </w:pPr>
    <w:r>
      <w:rPr>
        <w:noProof/>
      </w:rPr>
      <w:drawing>
        <wp:anchor distT="0" distB="0" distL="114300" distR="114300" simplePos="0" relativeHeight="251657728" behindDoc="0" locked="0" layoutInCell="1" allowOverlap="1" wp14:anchorId="7AF0607A" wp14:editId="72B20F0B">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B6B05" w14:textId="77777777" w:rsidR="00D95C4C" w:rsidRPr="00BA6811" w:rsidRDefault="00D8250F" w:rsidP="00655736">
    <w:pPr>
      <w:pStyle w:val="Header"/>
      <w:spacing w:after="520"/>
      <w:jc w:val="right"/>
      <w:rPr>
        <w:rFonts w:ascii="Arial" w:hAnsi="Arial" w:cs="Arial"/>
        <w:b/>
        <w:sz w:val="44"/>
        <w:szCs w:val="44"/>
        <w:lang w:val="pt-BR"/>
      </w:rPr>
    </w:pPr>
    <w:r w:rsidRPr="00BA6811">
      <w:rPr>
        <w:rFonts w:ascii="Arial" w:hAnsi="Arial" w:cs="Arial"/>
        <w:b/>
        <w:sz w:val="44"/>
        <w:szCs w:val="44"/>
        <w:lang w:val="pt-BR"/>
      </w:rPr>
      <w:t>10</w:t>
    </w:r>
    <w:r w:rsidR="00EC6F8D" w:rsidRPr="00BA6811">
      <w:rPr>
        <w:rFonts w:ascii="Arial" w:hAnsi="Arial" w:cs="Arial"/>
        <w:b/>
        <w:sz w:val="44"/>
        <w:szCs w:val="44"/>
        <w:lang w:val="pt-BR"/>
      </w:rPr>
      <w:t xml:space="preserve"> COM</w:t>
    </w:r>
  </w:p>
  <w:p w14:paraId="1A859DF9" w14:textId="77777777" w:rsidR="00D95C4C" w:rsidRPr="00207E01" w:rsidRDefault="00D8250F" w:rsidP="00655736">
    <w:pPr>
      <w:jc w:val="right"/>
      <w:rPr>
        <w:rFonts w:ascii="Arial" w:hAnsi="Arial" w:cs="Arial"/>
        <w:b/>
        <w:sz w:val="22"/>
        <w:szCs w:val="22"/>
        <w:lang w:val="en-GB"/>
      </w:rPr>
    </w:pPr>
    <w:r w:rsidRPr="00207E01">
      <w:rPr>
        <w:rFonts w:ascii="Arial" w:hAnsi="Arial" w:cs="Arial"/>
        <w:b/>
        <w:sz w:val="22"/>
        <w:szCs w:val="22"/>
        <w:lang w:val="en-GB"/>
      </w:rPr>
      <w:t>ITH/15</w:t>
    </w:r>
    <w:r w:rsidR="00D95C4C" w:rsidRPr="00207E01">
      <w:rPr>
        <w:rFonts w:ascii="Arial" w:hAnsi="Arial" w:cs="Arial"/>
        <w:b/>
        <w:sz w:val="22"/>
        <w:szCs w:val="22"/>
        <w:lang w:val="en-GB"/>
      </w:rPr>
      <w:t>/</w:t>
    </w:r>
    <w:r w:rsidRPr="00207E01">
      <w:rPr>
        <w:rFonts w:ascii="Arial" w:hAnsi="Arial" w:cs="Arial"/>
        <w:b/>
        <w:sz w:val="22"/>
        <w:szCs w:val="22"/>
        <w:lang w:val="en-GB"/>
      </w:rPr>
      <w:t>10</w:t>
    </w:r>
    <w:r w:rsidR="00D95C4C" w:rsidRPr="00207E01">
      <w:rPr>
        <w:rFonts w:ascii="Arial" w:hAnsi="Arial" w:cs="Arial"/>
        <w:b/>
        <w:sz w:val="22"/>
        <w:szCs w:val="22"/>
        <w:lang w:val="en-GB"/>
      </w:rPr>
      <w:t>.</w:t>
    </w:r>
    <w:r w:rsidR="00EC6F8D" w:rsidRPr="00207E01">
      <w:rPr>
        <w:rFonts w:ascii="Arial" w:hAnsi="Arial" w:cs="Arial"/>
        <w:b/>
        <w:sz w:val="22"/>
        <w:szCs w:val="22"/>
        <w:lang w:val="en-GB"/>
      </w:rPr>
      <w:t>COM</w:t>
    </w:r>
    <w:r w:rsidR="00D95C4C" w:rsidRPr="00207E01">
      <w:rPr>
        <w:rFonts w:ascii="Arial" w:hAnsi="Arial" w:cs="Arial"/>
        <w:b/>
        <w:sz w:val="22"/>
        <w:szCs w:val="22"/>
        <w:lang w:val="en-GB"/>
      </w:rPr>
      <w:t>/</w:t>
    </w:r>
    <w:r w:rsidR="00A23469" w:rsidRPr="00207E01">
      <w:rPr>
        <w:rFonts w:ascii="Arial" w:hAnsi="Arial" w:cs="Arial"/>
        <w:b/>
        <w:sz w:val="22"/>
        <w:szCs w:val="22"/>
        <w:lang w:val="en-GB"/>
      </w:rPr>
      <w:t>6.c</w:t>
    </w:r>
  </w:p>
  <w:p w14:paraId="130A1660" w14:textId="5123CFF9" w:rsidR="00D95C4C" w:rsidRPr="00207E01" w:rsidRDefault="00D95C4C" w:rsidP="00655736">
    <w:pPr>
      <w:jc w:val="right"/>
      <w:rPr>
        <w:rFonts w:ascii="Arial" w:hAnsi="Arial" w:cs="Arial"/>
        <w:b/>
        <w:sz w:val="22"/>
        <w:szCs w:val="22"/>
        <w:lang w:val="en-GB"/>
      </w:rPr>
    </w:pPr>
    <w:r w:rsidRPr="00207E01">
      <w:rPr>
        <w:rFonts w:ascii="Arial" w:hAnsi="Arial" w:cs="Arial"/>
        <w:b/>
        <w:sz w:val="22"/>
        <w:szCs w:val="22"/>
        <w:lang w:val="en-GB"/>
      </w:rPr>
      <w:t xml:space="preserve">Paris, </w:t>
    </w:r>
    <w:r w:rsidR="00D55FC7">
      <w:rPr>
        <w:rFonts w:ascii="Arial" w:hAnsi="Arial" w:cs="Arial"/>
        <w:b/>
        <w:sz w:val="22"/>
        <w:szCs w:val="22"/>
        <w:lang w:val="en-GB"/>
      </w:rPr>
      <w:t>2</w:t>
    </w:r>
    <w:r w:rsidR="00240C13">
      <w:rPr>
        <w:rFonts w:ascii="Arial" w:hAnsi="Arial" w:cs="Arial"/>
        <w:b/>
        <w:sz w:val="22"/>
        <w:szCs w:val="22"/>
        <w:lang w:val="en-GB"/>
      </w:rPr>
      <w:t xml:space="preserve"> </w:t>
    </w:r>
    <w:r w:rsidR="00D55FC7">
      <w:rPr>
        <w:rFonts w:ascii="Arial" w:hAnsi="Arial" w:cs="Arial"/>
        <w:b/>
        <w:sz w:val="22"/>
        <w:szCs w:val="22"/>
        <w:lang w:val="en-GB"/>
      </w:rPr>
      <w:t>November</w:t>
    </w:r>
    <w:r w:rsidRPr="00207E01">
      <w:rPr>
        <w:rFonts w:ascii="Arial" w:hAnsi="Arial" w:cs="Arial"/>
        <w:b/>
        <w:sz w:val="22"/>
        <w:szCs w:val="22"/>
        <w:lang w:val="en-GB"/>
      </w:rPr>
      <w:t xml:space="preserve"> </w:t>
    </w:r>
    <w:r w:rsidR="00D8250F" w:rsidRPr="00207E01">
      <w:rPr>
        <w:rFonts w:ascii="Arial" w:hAnsi="Arial" w:cs="Arial"/>
        <w:b/>
        <w:sz w:val="22"/>
        <w:szCs w:val="22"/>
        <w:lang w:val="en-GB"/>
      </w:rPr>
      <w:t>2015</w:t>
    </w:r>
  </w:p>
  <w:p w14:paraId="05092E34" w14:textId="6A217D2E" w:rsidR="00D95C4C" w:rsidRPr="00651CB0" w:rsidRDefault="00D95C4C" w:rsidP="000048ED">
    <w:pPr>
      <w:jc w:val="right"/>
      <w:rPr>
        <w:rFonts w:ascii="Arial" w:hAnsi="Arial" w:cs="Arial"/>
        <w:b/>
        <w:sz w:val="22"/>
        <w:szCs w:val="22"/>
        <w:lang w:val="en-GB"/>
      </w:rPr>
    </w:pPr>
    <w:r w:rsidRPr="00651CB0">
      <w:rPr>
        <w:rFonts w:ascii="Arial" w:hAnsi="Arial" w:cs="Arial"/>
        <w:b/>
        <w:sz w:val="22"/>
        <w:szCs w:val="22"/>
        <w:lang w:val="en-GB"/>
      </w:rPr>
      <w:t xml:space="preserve">Original: </w:t>
    </w:r>
    <w:r w:rsidR="00651CB0" w:rsidRPr="00651CB0">
      <w:rPr>
        <w:rFonts w:ascii="Arial" w:hAnsi="Arial" w:cs="Arial"/>
        <w:b/>
        <w:sz w:val="22"/>
        <w:szCs w:val="22"/>
        <w:lang w:val="en-GB"/>
      </w:rPr>
      <w:t>English</w:t>
    </w:r>
  </w:p>
  <w:p w14:paraId="4C3E45C0" w14:textId="77777777" w:rsidR="00D95C4C" w:rsidRPr="00F32C23" w:rsidRDefault="00D95C4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469"/>
    <w:rsid w:val="000005F0"/>
    <w:rsid w:val="00003FAE"/>
    <w:rsid w:val="000048ED"/>
    <w:rsid w:val="00025A76"/>
    <w:rsid w:val="00032EAE"/>
    <w:rsid w:val="00041A66"/>
    <w:rsid w:val="0005176E"/>
    <w:rsid w:val="000765F7"/>
    <w:rsid w:val="00077AB7"/>
    <w:rsid w:val="00081CD8"/>
    <w:rsid w:val="000845F8"/>
    <w:rsid w:val="0009789C"/>
    <w:rsid w:val="000A5684"/>
    <w:rsid w:val="000A7F0E"/>
    <w:rsid w:val="000B1C8F"/>
    <w:rsid w:val="000C0D61"/>
    <w:rsid w:val="000F3A3F"/>
    <w:rsid w:val="00102557"/>
    <w:rsid w:val="00102E31"/>
    <w:rsid w:val="001144DC"/>
    <w:rsid w:val="00152D35"/>
    <w:rsid w:val="00164D56"/>
    <w:rsid w:val="00167B10"/>
    <w:rsid w:val="0017165D"/>
    <w:rsid w:val="0017402F"/>
    <w:rsid w:val="00182E0A"/>
    <w:rsid w:val="00196C1B"/>
    <w:rsid w:val="001B0F73"/>
    <w:rsid w:val="001C2DB7"/>
    <w:rsid w:val="001C3F04"/>
    <w:rsid w:val="001C5379"/>
    <w:rsid w:val="001D5C04"/>
    <w:rsid w:val="001E71D0"/>
    <w:rsid w:val="001F735E"/>
    <w:rsid w:val="00206CC4"/>
    <w:rsid w:val="00206EC7"/>
    <w:rsid w:val="00207E01"/>
    <w:rsid w:val="00222A2D"/>
    <w:rsid w:val="00223029"/>
    <w:rsid w:val="00223268"/>
    <w:rsid w:val="002338FA"/>
    <w:rsid w:val="00234745"/>
    <w:rsid w:val="002407AF"/>
    <w:rsid w:val="00240C13"/>
    <w:rsid w:val="002565B3"/>
    <w:rsid w:val="0027466B"/>
    <w:rsid w:val="002838A5"/>
    <w:rsid w:val="00285BB4"/>
    <w:rsid w:val="002A5DFE"/>
    <w:rsid w:val="002B3FA8"/>
    <w:rsid w:val="002C09E3"/>
    <w:rsid w:val="002F20C1"/>
    <w:rsid w:val="00300655"/>
    <w:rsid w:val="00321AB3"/>
    <w:rsid w:val="00327454"/>
    <w:rsid w:val="00331E27"/>
    <w:rsid w:val="00344B58"/>
    <w:rsid w:val="00345CB4"/>
    <w:rsid w:val="00352A4C"/>
    <w:rsid w:val="0036285D"/>
    <w:rsid w:val="00362B46"/>
    <w:rsid w:val="00375D42"/>
    <w:rsid w:val="00377E5D"/>
    <w:rsid w:val="00381F80"/>
    <w:rsid w:val="003876BC"/>
    <w:rsid w:val="00387705"/>
    <w:rsid w:val="00390528"/>
    <w:rsid w:val="003B3BE6"/>
    <w:rsid w:val="003D069C"/>
    <w:rsid w:val="003D4100"/>
    <w:rsid w:val="003D4D3E"/>
    <w:rsid w:val="003D7646"/>
    <w:rsid w:val="003F113A"/>
    <w:rsid w:val="003F3E63"/>
    <w:rsid w:val="00407480"/>
    <w:rsid w:val="00414643"/>
    <w:rsid w:val="0042275F"/>
    <w:rsid w:val="004307FB"/>
    <w:rsid w:val="004421E5"/>
    <w:rsid w:val="00452284"/>
    <w:rsid w:val="0045530C"/>
    <w:rsid w:val="00457C8E"/>
    <w:rsid w:val="00470522"/>
    <w:rsid w:val="004856CA"/>
    <w:rsid w:val="00487E67"/>
    <w:rsid w:val="0049705E"/>
    <w:rsid w:val="00497C8A"/>
    <w:rsid w:val="004A2767"/>
    <w:rsid w:val="004A34A0"/>
    <w:rsid w:val="005008A8"/>
    <w:rsid w:val="00500CDF"/>
    <w:rsid w:val="00510534"/>
    <w:rsid w:val="00526B7B"/>
    <w:rsid w:val="005308CE"/>
    <w:rsid w:val="00533D29"/>
    <w:rsid w:val="005362C7"/>
    <w:rsid w:val="00536351"/>
    <w:rsid w:val="00554FEB"/>
    <w:rsid w:val="0055571A"/>
    <w:rsid w:val="005606D0"/>
    <w:rsid w:val="0057439C"/>
    <w:rsid w:val="005748DC"/>
    <w:rsid w:val="005B0127"/>
    <w:rsid w:val="005B7A35"/>
    <w:rsid w:val="005C4B73"/>
    <w:rsid w:val="005D0518"/>
    <w:rsid w:val="005E1D2B"/>
    <w:rsid w:val="005E5BEC"/>
    <w:rsid w:val="005E7074"/>
    <w:rsid w:val="005F2BAF"/>
    <w:rsid w:val="00600D93"/>
    <w:rsid w:val="00624484"/>
    <w:rsid w:val="0063300C"/>
    <w:rsid w:val="00651CB0"/>
    <w:rsid w:val="00655736"/>
    <w:rsid w:val="00656DBA"/>
    <w:rsid w:val="00663B8D"/>
    <w:rsid w:val="00691E62"/>
    <w:rsid w:val="00696C8D"/>
    <w:rsid w:val="006A2AC2"/>
    <w:rsid w:val="006A3617"/>
    <w:rsid w:val="006B6CF7"/>
    <w:rsid w:val="006C6DCC"/>
    <w:rsid w:val="006D071B"/>
    <w:rsid w:val="006D7E86"/>
    <w:rsid w:val="006E46E4"/>
    <w:rsid w:val="006E4B40"/>
    <w:rsid w:val="00717DA5"/>
    <w:rsid w:val="0074447D"/>
    <w:rsid w:val="00744484"/>
    <w:rsid w:val="00747566"/>
    <w:rsid w:val="00773188"/>
    <w:rsid w:val="00783782"/>
    <w:rsid w:val="00784B8C"/>
    <w:rsid w:val="007879E1"/>
    <w:rsid w:val="007A243F"/>
    <w:rsid w:val="007A4C7A"/>
    <w:rsid w:val="007C4BF3"/>
    <w:rsid w:val="008122F6"/>
    <w:rsid w:val="00823A11"/>
    <w:rsid w:val="00827BAF"/>
    <w:rsid w:val="008365FA"/>
    <w:rsid w:val="0085405E"/>
    <w:rsid w:val="0085414A"/>
    <w:rsid w:val="0086269D"/>
    <w:rsid w:val="0086543A"/>
    <w:rsid w:val="00867B92"/>
    <w:rsid w:val="008724E5"/>
    <w:rsid w:val="00884A9D"/>
    <w:rsid w:val="0088512B"/>
    <w:rsid w:val="008A1961"/>
    <w:rsid w:val="008A2B2D"/>
    <w:rsid w:val="008A4E1E"/>
    <w:rsid w:val="008C296C"/>
    <w:rsid w:val="008D0667"/>
    <w:rsid w:val="008D4305"/>
    <w:rsid w:val="008E1A85"/>
    <w:rsid w:val="009163A7"/>
    <w:rsid w:val="0092667B"/>
    <w:rsid w:val="00930DA8"/>
    <w:rsid w:val="00941567"/>
    <w:rsid w:val="009455BA"/>
    <w:rsid w:val="009466B5"/>
    <w:rsid w:val="00946D0B"/>
    <w:rsid w:val="00955877"/>
    <w:rsid w:val="009A18CD"/>
    <w:rsid w:val="009A2F55"/>
    <w:rsid w:val="009B39E4"/>
    <w:rsid w:val="009B5A63"/>
    <w:rsid w:val="009D5428"/>
    <w:rsid w:val="009F276A"/>
    <w:rsid w:val="00A12558"/>
    <w:rsid w:val="00A13903"/>
    <w:rsid w:val="00A23469"/>
    <w:rsid w:val="00A27032"/>
    <w:rsid w:val="00A34ED5"/>
    <w:rsid w:val="00A45DBF"/>
    <w:rsid w:val="00A62CFF"/>
    <w:rsid w:val="00A73D95"/>
    <w:rsid w:val="00A755A2"/>
    <w:rsid w:val="00A75DC3"/>
    <w:rsid w:val="00AA6660"/>
    <w:rsid w:val="00AB2C36"/>
    <w:rsid w:val="00AB6DDE"/>
    <w:rsid w:val="00AB70B6"/>
    <w:rsid w:val="00AC4A8F"/>
    <w:rsid w:val="00AD1A86"/>
    <w:rsid w:val="00AE0523"/>
    <w:rsid w:val="00AE103E"/>
    <w:rsid w:val="00AE3680"/>
    <w:rsid w:val="00AF0A07"/>
    <w:rsid w:val="00AF4AEC"/>
    <w:rsid w:val="00AF625E"/>
    <w:rsid w:val="00B10920"/>
    <w:rsid w:val="00B16285"/>
    <w:rsid w:val="00B9257B"/>
    <w:rsid w:val="00BA6811"/>
    <w:rsid w:val="00BB04AF"/>
    <w:rsid w:val="00BB3915"/>
    <w:rsid w:val="00BC122C"/>
    <w:rsid w:val="00BD30ED"/>
    <w:rsid w:val="00BD52C9"/>
    <w:rsid w:val="00BE6354"/>
    <w:rsid w:val="00C06C59"/>
    <w:rsid w:val="00C138D1"/>
    <w:rsid w:val="00C23A97"/>
    <w:rsid w:val="00C43401"/>
    <w:rsid w:val="00C64855"/>
    <w:rsid w:val="00C670D8"/>
    <w:rsid w:val="00C70EA7"/>
    <w:rsid w:val="00C7516E"/>
    <w:rsid w:val="00C75770"/>
    <w:rsid w:val="00C831FB"/>
    <w:rsid w:val="00CA56BB"/>
    <w:rsid w:val="00CC4A35"/>
    <w:rsid w:val="00D00B2B"/>
    <w:rsid w:val="00D211E5"/>
    <w:rsid w:val="00D24877"/>
    <w:rsid w:val="00D315C2"/>
    <w:rsid w:val="00D447A7"/>
    <w:rsid w:val="00D55FC7"/>
    <w:rsid w:val="00D73CAB"/>
    <w:rsid w:val="00D7640E"/>
    <w:rsid w:val="00D8250F"/>
    <w:rsid w:val="00D916FC"/>
    <w:rsid w:val="00D95C4C"/>
    <w:rsid w:val="00DA36ED"/>
    <w:rsid w:val="00DB493F"/>
    <w:rsid w:val="00DC600C"/>
    <w:rsid w:val="00DE0007"/>
    <w:rsid w:val="00DE34F1"/>
    <w:rsid w:val="00DE6160"/>
    <w:rsid w:val="00DF4942"/>
    <w:rsid w:val="00E13088"/>
    <w:rsid w:val="00E2213D"/>
    <w:rsid w:val="00E225D9"/>
    <w:rsid w:val="00E33F7C"/>
    <w:rsid w:val="00E627B1"/>
    <w:rsid w:val="00E70169"/>
    <w:rsid w:val="00E9376C"/>
    <w:rsid w:val="00EA335E"/>
    <w:rsid w:val="00EA528C"/>
    <w:rsid w:val="00EA580C"/>
    <w:rsid w:val="00EC6F8D"/>
    <w:rsid w:val="00EC73B0"/>
    <w:rsid w:val="00EE2918"/>
    <w:rsid w:val="00EE2D4D"/>
    <w:rsid w:val="00EE6806"/>
    <w:rsid w:val="00EF34E2"/>
    <w:rsid w:val="00F05FEE"/>
    <w:rsid w:val="00F06A09"/>
    <w:rsid w:val="00F22314"/>
    <w:rsid w:val="00F30DC6"/>
    <w:rsid w:val="00F32C23"/>
    <w:rsid w:val="00F51B71"/>
    <w:rsid w:val="00F53DE9"/>
    <w:rsid w:val="00F576CB"/>
    <w:rsid w:val="00F6070F"/>
    <w:rsid w:val="00F62D27"/>
    <w:rsid w:val="00F7035D"/>
    <w:rsid w:val="00F71A02"/>
    <w:rsid w:val="00FA0D63"/>
    <w:rsid w:val="00FA5FA7"/>
    <w:rsid w:val="00FD1226"/>
    <w:rsid w:val="00FF4830"/>
    <w:rsid w:val="00FF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0198934"/>
  <w15:docId w15:val="{CD72F154-C51F-4FA6-A100-F1B4055C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C43401"/>
    <w:rPr>
      <w:sz w:val="16"/>
      <w:szCs w:val="16"/>
    </w:rPr>
  </w:style>
  <w:style w:type="paragraph" w:styleId="CommentText">
    <w:name w:val="annotation text"/>
    <w:basedOn w:val="Normal"/>
    <w:link w:val="CommentTextChar"/>
    <w:uiPriority w:val="99"/>
    <w:semiHidden/>
    <w:unhideWhenUsed/>
    <w:rsid w:val="00C43401"/>
    <w:rPr>
      <w:sz w:val="20"/>
      <w:szCs w:val="20"/>
    </w:rPr>
  </w:style>
  <w:style w:type="character" w:customStyle="1" w:styleId="CommentTextChar">
    <w:name w:val="Comment Text Char"/>
    <w:basedOn w:val="DefaultParagraphFont"/>
    <w:link w:val="CommentText"/>
    <w:uiPriority w:val="99"/>
    <w:semiHidden/>
    <w:rsid w:val="00C434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43401"/>
    <w:rPr>
      <w:b/>
      <w:bCs/>
    </w:rPr>
  </w:style>
  <w:style w:type="character" w:customStyle="1" w:styleId="CommentSubjectChar">
    <w:name w:val="Comment Subject Char"/>
    <w:basedOn w:val="CommentTextChar"/>
    <w:link w:val="CommentSubject"/>
    <w:uiPriority w:val="99"/>
    <w:semiHidden/>
    <w:rsid w:val="00C43401"/>
    <w:rPr>
      <w:rFonts w:ascii="Times New Roman" w:eastAsia="Times New Roman" w:hAnsi="Times New Roman"/>
      <w:b/>
      <w:bCs/>
    </w:rPr>
  </w:style>
  <w:style w:type="character" w:styleId="Hyperlink">
    <w:name w:val="Hyperlink"/>
    <w:uiPriority w:val="99"/>
    <w:unhideWhenUsed/>
    <w:rsid w:val="0092667B"/>
    <w:rPr>
      <w:color w:val="0563C1"/>
      <w:u w:val="single"/>
    </w:rPr>
  </w:style>
  <w:style w:type="paragraph" w:styleId="Revision">
    <w:name w:val="Revision"/>
    <w:hidden/>
    <w:uiPriority w:val="99"/>
    <w:semiHidden/>
    <w:rsid w:val="009A2F5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A5F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doc/download.php?versionID=38605" TargetMode="External"/><Relationship Id="rId13" Type="http://schemas.openxmlformats.org/officeDocument/2006/relationships/hyperlink" Target="http://www.unesco.org/culture/ich/doc/download.php?versionID=386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esco.org/culture/ich/doc/download.php?versionID=368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sco.org/culture/ich/doc/download.php?versionID=386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download.php?versionID=38619" TargetMode="External"/><Relationship Id="rId5" Type="http://schemas.openxmlformats.org/officeDocument/2006/relationships/webSettings" Target="webSettings.xml"/><Relationship Id="rId15" Type="http://schemas.openxmlformats.org/officeDocument/2006/relationships/hyperlink" Target="http://www.unesco.org/culture/ich/doc/download.php?versionID=37431" TargetMode="External"/><Relationship Id="rId10" Type="http://schemas.openxmlformats.org/officeDocument/2006/relationships/hyperlink" Target="http://www.unesco.org/culture/ich/doc/download.php?versionID=3860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nesco.org/culture/ich/doc/download.php?versionID=38610" TargetMode="External"/><Relationship Id="rId14" Type="http://schemas.openxmlformats.org/officeDocument/2006/relationships/hyperlink" Target="http://www.unesco.org/culture/ich/doc/download.php?versionID=373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FF8B-075A-4B23-8620-2E07142F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87</TotalTime>
  <Pages>4</Pages>
  <Words>1329</Words>
  <Characters>7310</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c_duvelle</cp:lastModifiedBy>
  <cp:revision>10</cp:revision>
  <cp:lastPrinted>2015-10-09T18:19:00Z</cp:lastPrinted>
  <dcterms:created xsi:type="dcterms:W3CDTF">2015-10-26T08:16:00Z</dcterms:created>
  <dcterms:modified xsi:type="dcterms:W3CDTF">2015-11-02T10:33:00Z</dcterms:modified>
</cp:coreProperties>
</file>