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E9F9C" w14:textId="77777777" w:rsidR="00EC6F8D" w:rsidRPr="00681D05" w:rsidRDefault="00EC6F8D" w:rsidP="00EC6F8D">
      <w:pPr>
        <w:spacing w:before="1440"/>
        <w:jc w:val="center"/>
        <w:rPr>
          <w:rFonts w:ascii="Arial" w:hAnsi="Arial" w:cs="Arial"/>
          <w:b/>
          <w:sz w:val="22"/>
          <w:szCs w:val="22"/>
          <w:lang w:val="en-GB"/>
        </w:rPr>
      </w:pPr>
      <w:r w:rsidRPr="00681D05">
        <w:rPr>
          <w:rFonts w:ascii="Arial" w:hAnsi="Arial" w:cs="Arial"/>
          <w:b/>
          <w:sz w:val="22"/>
          <w:szCs w:val="22"/>
          <w:lang w:val="en-GB"/>
        </w:rPr>
        <w:t>CONVENTION FOR THE SAFEGUARDING OF THE</w:t>
      </w:r>
      <w:r w:rsidRPr="00681D05">
        <w:rPr>
          <w:rFonts w:ascii="Arial" w:hAnsi="Arial" w:cs="Arial"/>
          <w:b/>
          <w:sz w:val="22"/>
          <w:szCs w:val="22"/>
          <w:lang w:val="en-GB"/>
        </w:rPr>
        <w:br/>
        <w:t>INTANGIBLE CULTURAL HERITAGE</w:t>
      </w:r>
    </w:p>
    <w:p w14:paraId="66FE169C" w14:textId="77777777" w:rsidR="00EC6F8D" w:rsidRPr="00681D05" w:rsidRDefault="00EC6F8D" w:rsidP="00EC6F8D">
      <w:pPr>
        <w:spacing w:before="1200"/>
        <w:jc w:val="center"/>
        <w:rPr>
          <w:rFonts w:ascii="Arial" w:hAnsi="Arial" w:cs="Arial"/>
          <w:b/>
          <w:sz w:val="22"/>
          <w:szCs w:val="22"/>
          <w:lang w:val="en-GB"/>
        </w:rPr>
      </w:pPr>
      <w:r w:rsidRPr="00681D05">
        <w:rPr>
          <w:rFonts w:ascii="Arial" w:hAnsi="Arial" w:cs="Arial"/>
          <w:b/>
          <w:sz w:val="22"/>
          <w:szCs w:val="22"/>
          <w:lang w:val="en-GB"/>
        </w:rPr>
        <w:t>INTERGOVERNMENTAL COMMITTEE FOR THE</w:t>
      </w:r>
      <w:r w:rsidRPr="00681D05">
        <w:rPr>
          <w:rFonts w:ascii="Arial" w:hAnsi="Arial" w:cs="Arial"/>
          <w:b/>
          <w:sz w:val="22"/>
          <w:szCs w:val="22"/>
          <w:lang w:val="en-GB"/>
        </w:rPr>
        <w:br/>
        <w:t>SAFEGUARDING OF THE INTANGIBLE CULTURAL HERITAGE</w:t>
      </w:r>
    </w:p>
    <w:p w14:paraId="3CB65117" w14:textId="77777777" w:rsidR="00EC6F8D" w:rsidRPr="00681D05" w:rsidRDefault="00D8250F" w:rsidP="00EC6F8D">
      <w:pPr>
        <w:spacing w:before="840"/>
        <w:jc w:val="center"/>
        <w:rPr>
          <w:rFonts w:ascii="Arial" w:hAnsi="Arial" w:cs="Arial"/>
          <w:b/>
          <w:sz w:val="22"/>
          <w:szCs w:val="22"/>
          <w:lang w:val="en-GB"/>
        </w:rPr>
      </w:pPr>
      <w:r w:rsidRPr="00681D05">
        <w:rPr>
          <w:rFonts w:ascii="Arial" w:hAnsi="Arial" w:cs="Arial"/>
          <w:b/>
          <w:sz w:val="22"/>
          <w:szCs w:val="22"/>
          <w:lang w:val="en-GB"/>
        </w:rPr>
        <w:t>Tenth</w:t>
      </w:r>
      <w:r w:rsidR="00EC6F8D" w:rsidRPr="00681D05">
        <w:rPr>
          <w:rFonts w:ascii="Arial" w:hAnsi="Arial" w:cs="Arial"/>
          <w:b/>
          <w:sz w:val="22"/>
          <w:szCs w:val="22"/>
          <w:lang w:val="en-GB"/>
        </w:rPr>
        <w:t xml:space="preserve"> session</w:t>
      </w:r>
    </w:p>
    <w:p w14:paraId="3951A0D8" w14:textId="77777777" w:rsidR="009D5428" w:rsidRPr="00681D05" w:rsidRDefault="00487E67" w:rsidP="005E7074">
      <w:pPr>
        <w:jc w:val="center"/>
        <w:rPr>
          <w:rFonts w:ascii="Arial" w:hAnsi="Arial" w:cs="Arial"/>
          <w:b/>
          <w:sz w:val="22"/>
          <w:szCs w:val="22"/>
          <w:lang w:val="en-GB"/>
        </w:rPr>
      </w:pPr>
      <w:r w:rsidRPr="00681D05">
        <w:rPr>
          <w:rFonts w:ascii="Arial" w:hAnsi="Arial" w:cs="Arial"/>
          <w:b/>
          <w:sz w:val="22"/>
          <w:szCs w:val="22"/>
          <w:lang w:val="en-GB"/>
        </w:rPr>
        <w:t>Windhoek</w:t>
      </w:r>
      <w:r w:rsidR="00EA580C" w:rsidRPr="00681D05">
        <w:rPr>
          <w:rFonts w:ascii="Arial" w:hAnsi="Arial" w:cs="Arial"/>
          <w:b/>
          <w:sz w:val="22"/>
          <w:szCs w:val="22"/>
          <w:lang w:val="en-GB"/>
        </w:rPr>
        <w:t>,</w:t>
      </w:r>
      <w:r w:rsidR="00D8250F" w:rsidRPr="00681D05">
        <w:rPr>
          <w:rFonts w:ascii="Arial" w:hAnsi="Arial" w:cs="Arial"/>
          <w:b/>
          <w:sz w:val="22"/>
          <w:szCs w:val="22"/>
          <w:lang w:val="en-GB"/>
        </w:rPr>
        <w:t xml:space="preserve"> Namibia</w:t>
      </w:r>
    </w:p>
    <w:p w14:paraId="0B944EDF" w14:textId="77777777" w:rsidR="00EC6F8D" w:rsidRPr="00681D05" w:rsidRDefault="00D8250F" w:rsidP="00EC6F8D">
      <w:pPr>
        <w:jc w:val="center"/>
        <w:rPr>
          <w:rFonts w:ascii="Arial" w:hAnsi="Arial" w:cs="Arial"/>
          <w:b/>
          <w:sz w:val="22"/>
          <w:szCs w:val="22"/>
          <w:lang w:val="en-GB"/>
        </w:rPr>
      </w:pPr>
      <w:r w:rsidRPr="00681D05">
        <w:rPr>
          <w:rFonts w:ascii="Arial" w:hAnsi="Arial" w:cs="Arial"/>
          <w:b/>
          <w:sz w:val="22"/>
          <w:szCs w:val="22"/>
          <w:lang w:val="en-GB"/>
        </w:rPr>
        <w:t>30 November</w:t>
      </w:r>
      <w:r w:rsidR="00EC6F8D" w:rsidRPr="00681D05">
        <w:rPr>
          <w:rFonts w:ascii="Arial" w:hAnsi="Arial" w:cs="Arial"/>
          <w:b/>
          <w:sz w:val="22"/>
          <w:szCs w:val="22"/>
          <w:lang w:val="en-GB"/>
        </w:rPr>
        <w:t xml:space="preserve"> to </w:t>
      </w:r>
      <w:r w:rsidRPr="00681D05">
        <w:rPr>
          <w:rFonts w:ascii="Arial" w:hAnsi="Arial" w:cs="Arial"/>
          <w:b/>
          <w:sz w:val="22"/>
          <w:szCs w:val="22"/>
          <w:lang w:val="en-GB"/>
        </w:rPr>
        <w:t>4 December 2015</w:t>
      </w:r>
    </w:p>
    <w:p w14:paraId="53A270AA" w14:textId="77777777" w:rsidR="00EC6F8D" w:rsidRPr="00681D05" w:rsidRDefault="00EC6F8D" w:rsidP="00EC6F8D">
      <w:pPr>
        <w:pStyle w:val="Sansinterligne2"/>
        <w:spacing w:before="1200"/>
        <w:jc w:val="center"/>
        <w:rPr>
          <w:rFonts w:ascii="Arial" w:hAnsi="Arial" w:cs="Arial"/>
          <w:b/>
          <w:sz w:val="22"/>
          <w:szCs w:val="22"/>
          <w:lang w:val="en-GB"/>
        </w:rPr>
      </w:pPr>
      <w:r w:rsidRPr="00681D05">
        <w:rPr>
          <w:rFonts w:ascii="Arial" w:hAnsi="Arial" w:cs="Arial"/>
          <w:b/>
          <w:sz w:val="22"/>
          <w:szCs w:val="22"/>
          <w:u w:val="single"/>
          <w:lang w:val="en-GB"/>
        </w:rPr>
        <w:t xml:space="preserve">Item </w:t>
      </w:r>
      <w:r w:rsidR="00DE3C6D" w:rsidRPr="00681D05">
        <w:rPr>
          <w:rFonts w:ascii="Arial" w:hAnsi="Arial" w:cs="Arial"/>
          <w:b/>
          <w:sz w:val="22"/>
          <w:szCs w:val="22"/>
          <w:u w:val="single"/>
          <w:lang w:val="en-GB"/>
        </w:rPr>
        <w:t>6.b</w:t>
      </w:r>
      <w:r w:rsidRPr="00681D05">
        <w:rPr>
          <w:rFonts w:ascii="Arial" w:hAnsi="Arial" w:cs="Arial"/>
          <w:b/>
          <w:sz w:val="22"/>
          <w:szCs w:val="22"/>
          <w:u w:val="single"/>
          <w:lang w:val="en-GB"/>
        </w:rPr>
        <w:t xml:space="preserve"> of the Provisional Agenda</w:t>
      </w:r>
      <w:r w:rsidRPr="00681D05">
        <w:rPr>
          <w:rFonts w:ascii="Arial" w:hAnsi="Arial" w:cs="Arial"/>
          <w:b/>
          <w:sz w:val="22"/>
          <w:szCs w:val="22"/>
          <w:lang w:val="en-GB"/>
        </w:rPr>
        <w:t>:</w:t>
      </w:r>
    </w:p>
    <w:p w14:paraId="19C917AE" w14:textId="77777777" w:rsidR="00EC6F8D" w:rsidRPr="00681D05" w:rsidRDefault="00DE3C6D" w:rsidP="00EC6F8D">
      <w:pPr>
        <w:pStyle w:val="Sansinterligne2"/>
        <w:spacing w:after="1200"/>
        <w:jc w:val="center"/>
        <w:rPr>
          <w:rFonts w:ascii="Arial" w:hAnsi="Arial" w:cs="Arial"/>
          <w:b/>
          <w:sz w:val="22"/>
          <w:szCs w:val="22"/>
          <w:lang w:val="en-GB"/>
        </w:rPr>
      </w:pPr>
      <w:r w:rsidRPr="00681D05">
        <w:rPr>
          <w:rFonts w:ascii="Arial" w:hAnsi="Arial" w:cs="Arial"/>
          <w:b/>
          <w:sz w:val="22"/>
          <w:szCs w:val="22"/>
          <w:lang w:val="en-GB"/>
        </w:rPr>
        <w:t>Examination of the reports of States Parties on the current status of elements</w:t>
      </w:r>
      <w:r w:rsidR="00877CE2" w:rsidRPr="00681D05">
        <w:rPr>
          <w:rFonts w:ascii="Arial" w:hAnsi="Arial" w:cs="Arial"/>
          <w:b/>
          <w:sz w:val="22"/>
          <w:szCs w:val="22"/>
          <w:lang w:val="en-GB"/>
        </w:rPr>
        <w:br/>
      </w:r>
      <w:r w:rsidRPr="00681D05">
        <w:rPr>
          <w:rFonts w:ascii="Arial" w:hAnsi="Arial" w:cs="Arial"/>
          <w:b/>
          <w:sz w:val="22"/>
          <w:szCs w:val="22"/>
          <w:lang w:val="en-GB"/>
        </w:rPr>
        <w:t>inscribed on the List of Intangible Cultural Heritage in Need of Urgent Safeguarding</w:t>
      </w:r>
    </w:p>
    <w:tbl>
      <w:tblPr>
        <w:tblW w:w="7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2"/>
      </w:tblGrid>
      <w:tr w:rsidR="00EC6F8D" w:rsidRPr="00681D05" w14:paraId="7124B0A6" w14:textId="77777777" w:rsidTr="00877CE2">
        <w:trPr>
          <w:jc w:val="center"/>
        </w:trPr>
        <w:tc>
          <w:tcPr>
            <w:tcW w:w="7632" w:type="dxa"/>
            <w:vAlign w:val="center"/>
          </w:tcPr>
          <w:p w14:paraId="529E3398" w14:textId="77777777" w:rsidR="00EC6F8D" w:rsidRPr="00681D05" w:rsidRDefault="00EC6F8D" w:rsidP="00CA56BB">
            <w:pPr>
              <w:pStyle w:val="Sansinterligne1"/>
              <w:spacing w:before="200" w:after="200"/>
              <w:jc w:val="center"/>
              <w:rPr>
                <w:rFonts w:ascii="Arial" w:hAnsi="Arial" w:cs="Arial"/>
                <w:b/>
                <w:sz w:val="22"/>
                <w:szCs w:val="22"/>
                <w:lang w:val="en-GB"/>
              </w:rPr>
            </w:pPr>
            <w:r w:rsidRPr="00681D05">
              <w:rPr>
                <w:rFonts w:ascii="Arial" w:hAnsi="Arial" w:cs="Arial"/>
                <w:b/>
                <w:sz w:val="22"/>
                <w:szCs w:val="22"/>
                <w:lang w:val="en-GB"/>
              </w:rPr>
              <w:t>Summary</w:t>
            </w:r>
          </w:p>
          <w:p w14:paraId="78E8CBED" w14:textId="65A24F35" w:rsidR="00EC6F8D" w:rsidRPr="00681D05" w:rsidRDefault="00877CE2" w:rsidP="00877CE2">
            <w:pPr>
              <w:pStyle w:val="Sansinterligne1"/>
              <w:jc w:val="both"/>
              <w:rPr>
                <w:rFonts w:ascii="Arial" w:hAnsi="Arial" w:cs="Arial"/>
                <w:bCs/>
                <w:sz w:val="22"/>
                <w:szCs w:val="22"/>
                <w:lang w:val="en-GB"/>
              </w:rPr>
            </w:pPr>
            <w:r w:rsidRPr="00681D05">
              <w:rPr>
                <w:rFonts w:ascii="Arial" w:hAnsi="Arial" w:cs="Arial"/>
                <w:sz w:val="22"/>
                <w:szCs w:val="22"/>
                <w:lang w:val="en-GB"/>
              </w:rPr>
              <w:t>Paragraph 160 of the Operational Directives stipulates that ‘Each State Party shall submit to the Committee reports on the status of elements of intangible cultural heritage present in its territory that have been inscribed on the List of Intangible Cultural Heritage in Need of Urgent Safeguarding’. This document covers reporting o</w:t>
            </w:r>
            <w:r w:rsidR="00185524" w:rsidRPr="00681D05">
              <w:rPr>
                <w:rFonts w:ascii="Arial" w:hAnsi="Arial" w:cs="Arial"/>
                <w:sz w:val="22"/>
                <w:szCs w:val="22"/>
                <w:lang w:val="en-GB"/>
              </w:rPr>
              <w:t>n one element inscribed in 2010</w:t>
            </w:r>
            <w:r w:rsidR="00971FFB">
              <w:rPr>
                <w:rFonts w:ascii="Arial" w:hAnsi="Arial" w:cs="Arial"/>
                <w:sz w:val="22"/>
                <w:szCs w:val="22"/>
                <w:lang w:val="en-GB"/>
              </w:rPr>
              <w:t>,</w:t>
            </w:r>
            <w:r w:rsidR="00185524" w:rsidRPr="00681D05">
              <w:rPr>
                <w:rFonts w:ascii="Arial" w:hAnsi="Arial" w:cs="Arial"/>
                <w:sz w:val="22"/>
                <w:szCs w:val="22"/>
                <w:lang w:val="en-GB"/>
              </w:rPr>
              <w:t xml:space="preserve"> as well as two extraordinary reports for elements inscribed in 2013</w:t>
            </w:r>
            <w:r w:rsidRPr="00681D05">
              <w:rPr>
                <w:rFonts w:ascii="Arial" w:hAnsi="Arial" w:cs="Arial"/>
                <w:sz w:val="22"/>
                <w:szCs w:val="22"/>
                <w:lang w:val="en-GB"/>
              </w:rPr>
              <w:t xml:space="preserve">. The </w:t>
            </w:r>
            <w:r w:rsidR="00185524" w:rsidRPr="00681D05">
              <w:rPr>
                <w:rFonts w:ascii="Arial" w:hAnsi="Arial" w:cs="Arial"/>
                <w:sz w:val="22"/>
                <w:szCs w:val="22"/>
                <w:lang w:val="en-GB"/>
              </w:rPr>
              <w:t xml:space="preserve">three </w:t>
            </w:r>
            <w:r w:rsidRPr="00681D05">
              <w:rPr>
                <w:rFonts w:ascii="Arial" w:hAnsi="Arial" w:cs="Arial"/>
                <w:sz w:val="22"/>
                <w:szCs w:val="22"/>
                <w:lang w:val="en-GB"/>
              </w:rPr>
              <w:t>reports submitted by the States Parties are available online</w:t>
            </w:r>
            <w:r w:rsidR="008C3A42">
              <w:rPr>
                <w:rFonts w:ascii="Arial" w:hAnsi="Arial" w:cs="Arial"/>
                <w:sz w:val="22"/>
                <w:szCs w:val="22"/>
                <w:lang w:val="en-GB"/>
              </w:rPr>
              <w:t>.</w:t>
            </w:r>
            <w:r w:rsidR="008C3A42">
              <w:rPr>
                <w:rFonts w:ascii="Arial" w:eastAsia="SimSun" w:hAnsi="Arial" w:cs="Arial"/>
                <w:sz w:val="22"/>
                <w:szCs w:val="22"/>
                <w:lang w:val="en-GB"/>
              </w:rPr>
              <w:t xml:space="preserve"> </w:t>
            </w:r>
            <w:r w:rsidRPr="00681D05">
              <w:rPr>
                <w:rFonts w:ascii="Arial" w:hAnsi="Arial" w:cs="Arial"/>
                <w:sz w:val="22"/>
                <w:szCs w:val="22"/>
                <w:lang w:val="en-GB"/>
              </w:rPr>
              <w:t>The present document includes a set of assessments of the reports and draft decisions for the C</w:t>
            </w:r>
            <w:r w:rsidR="006817FC" w:rsidRPr="00681D05">
              <w:rPr>
                <w:rFonts w:ascii="Arial" w:hAnsi="Arial" w:cs="Arial"/>
                <w:sz w:val="22"/>
                <w:szCs w:val="22"/>
                <w:lang w:val="en-GB"/>
              </w:rPr>
              <w:t>ommittee’s consideration</w:t>
            </w:r>
            <w:r w:rsidRPr="00681D05">
              <w:rPr>
                <w:rFonts w:ascii="Arial" w:hAnsi="Arial" w:cs="Arial"/>
                <w:sz w:val="22"/>
                <w:szCs w:val="22"/>
                <w:lang w:val="en-GB"/>
              </w:rPr>
              <w:t>.</w:t>
            </w:r>
          </w:p>
          <w:p w14:paraId="15E44480" w14:textId="77777777" w:rsidR="00EC6F8D" w:rsidRPr="00681D05" w:rsidRDefault="00EC6F8D" w:rsidP="00375264">
            <w:pPr>
              <w:pStyle w:val="Sansinterligne2"/>
              <w:spacing w:before="200" w:after="200"/>
              <w:jc w:val="both"/>
              <w:rPr>
                <w:rFonts w:ascii="Arial" w:hAnsi="Arial" w:cs="Arial"/>
                <w:b/>
                <w:sz w:val="22"/>
                <w:szCs w:val="22"/>
                <w:lang w:val="en-GB"/>
              </w:rPr>
            </w:pPr>
            <w:r w:rsidRPr="00681D05">
              <w:rPr>
                <w:rFonts w:ascii="Arial" w:hAnsi="Arial" w:cs="Arial"/>
                <w:b/>
                <w:sz w:val="22"/>
                <w:szCs w:val="22"/>
                <w:lang w:val="en-GB"/>
              </w:rPr>
              <w:t>Decision</w:t>
            </w:r>
            <w:r w:rsidR="008C3A42">
              <w:rPr>
                <w:rFonts w:ascii="Arial" w:hAnsi="Arial" w:cs="Arial"/>
                <w:b/>
                <w:sz w:val="22"/>
                <w:szCs w:val="22"/>
                <w:lang w:val="en-GB"/>
              </w:rPr>
              <w:t>s</w:t>
            </w:r>
            <w:r w:rsidRPr="00681D05">
              <w:rPr>
                <w:rFonts w:ascii="Arial" w:hAnsi="Arial" w:cs="Arial"/>
                <w:b/>
                <w:sz w:val="22"/>
                <w:szCs w:val="22"/>
                <w:lang w:val="en-GB"/>
              </w:rPr>
              <w:t xml:space="preserve"> required: </w:t>
            </w:r>
            <w:r w:rsidRPr="00681D05">
              <w:rPr>
                <w:rFonts w:ascii="Arial" w:hAnsi="Arial" w:cs="Arial"/>
                <w:bCs/>
                <w:sz w:val="22"/>
                <w:szCs w:val="22"/>
                <w:lang w:val="en-GB"/>
              </w:rPr>
              <w:t>paragraph</w:t>
            </w:r>
            <w:r w:rsidR="00877CE2" w:rsidRPr="00681D05">
              <w:rPr>
                <w:rFonts w:ascii="Arial" w:hAnsi="Arial" w:cs="Arial"/>
                <w:bCs/>
                <w:sz w:val="22"/>
                <w:szCs w:val="22"/>
                <w:lang w:val="en-GB"/>
              </w:rPr>
              <w:t>s</w:t>
            </w:r>
            <w:r w:rsidRPr="00681D05">
              <w:rPr>
                <w:rFonts w:ascii="Arial" w:hAnsi="Arial" w:cs="Arial"/>
                <w:bCs/>
                <w:sz w:val="22"/>
                <w:szCs w:val="22"/>
                <w:lang w:val="en-GB"/>
              </w:rPr>
              <w:t xml:space="preserve"> </w:t>
            </w:r>
            <w:r w:rsidR="00482679" w:rsidRPr="00712E75">
              <w:rPr>
                <w:rFonts w:ascii="Arial" w:hAnsi="Arial" w:cs="Arial"/>
                <w:bCs/>
                <w:sz w:val="22"/>
                <w:szCs w:val="22"/>
                <w:lang w:val="en-GB"/>
              </w:rPr>
              <w:t>9</w:t>
            </w:r>
            <w:r w:rsidR="007F5F9A" w:rsidRPr="00712E75">
              <w:rPr>
                <w:rFonts w:ascii="Arial" w:hAnsi="Arial" w:cs="Arial"/>
                <w:bCs/>
                <w:sz w:val="22"/>
                <w:szCs w:val="22"/>
                <w:lang w:val="en-GB"/>
              </w:rPr>
              <w:t xml:space="preserve">, </w:t>
            </w:r>
            <w:r w:rsidR="00375264" w:rsidRPr="00712E75">
              <w:rPr>
                <w:rFonts w:ascii="Arial" w:hAnsi="Arial" w:cs="Arial"/>
                <w:bCs/>
                <w:sz w:val="22"/>
                <w:szCs w:val="22"/>
                <w:lang w:val="en-GB"/>
              </w:rPr>
              <w:t>15</w:t>
            </w:r>
            <w:r w:rsidR="00691933" w:rsidRPr="00712E75">
              <w:rPr>
                <w:rFonts w:ascii="Arial" w:hAnsi="Arial" w:cs="Arial"/>
                <w:bCs/>
                <w:sz w:val="22"/>
                <w:szCs w:val="22"/>
                <w:lang w:val="en-GB"/>
              </w:rPr>
              <w:t xml:space="preserve">, </w:t>
            </w:r>
            <w:r w:rsidR="00375264" w:rsidRPr="00712E75">
              <w:rPr>
                <w:rFonts w:ascii="Arial" w:hAnsi="Arial" w:cs="Arial"/>
                <w:bCs/>
                <w:sz w:val="22"/>
                <w:szCs w:val="22"/>
                <w:lang w:val="en-GB"/>
              </w:rPr>
              <w:t>20 and 25</w:t>
            </w:r>
          </w:p>
        </w:tc>
      </w:tr>
    </w:tbl>
    <w:p w14:paraId="4FB92163" w14:textId="21AD560B" w:rsidR="00877CE2" w:rsidRPr="00681D05" w:rsidRDefault="00655736" w:rsidP="005277C7">
      <w:pPr>
        <w:pStyle w:val="Marge"/>
        <w:numPr>
          <w:ilvl w:val="0"/>
          <w:numId w:val="9"/>
        </w:numPr>
        <w:spacing w:after="120"/>
        <w:ind w:left="567" w:hanging="567"/>
        <w:rPr>
          <w:rFonts w:cs="Arial"/>
          <w:szCs w:val="22"/>
          <w:lang w:val="en-GB"/>
        </w:rPr>
      </w:pPr>
      <w:r w:rsidRPr="00681D05">
        <w:rPr>
          <w:lang w:val="en-GB"/>
        </w:rPr>
        <w:br w:type="page"/>
      </w:r>
      <w:r w:rsidR="00877CE2" w:rsidRPr="00681D05">
        <w:rPr>
          <w:rFonts w:cs="Arial"/>
          <w:szCs w:val="22"/>
          <w:lang w:val="en-GB"/>
        </w:rPr>
        <w:lastRenderedPageBreak/>
        <w:t xml:space="preserve">Article 7(f) of the Convention provides that the Committee’s duties shall include to ‘examine, in </w:t>
      </w:r>
      <w:r w:rsidR="00877CE2" w:rsidRPr="005277C7">
        <w:rPr>
          <w:rFonts w:cs="Arial"/>
          <w:szCs w:val="22"/>
          <w:lang w:val="en-GB"/>
        </w:rPr>
        <w:t>accordance with Article 29, the reports submitted by States Parties, and to summarize them for the</w:t>
      </w:r>
      <w:r w:rsidR="00877CE2" w:rsidRPr="00681D05">
        <w:rPr>
          <w:rFonts w:cs="Arial"/>
          <w:szCs w:val="22"/>
          <w:lang w:val="en-GB"/>
        </w:rPr>
        <w:t xml:space="preserve"> General Assembly’. Based in part on those reports, the Committee then submits its report to the General Assembly (Article 30).</w:t>
      </w:r>
    </w:p>
    <w:p w14:paraId="0C42C16A" w14:textId="77777777" w:rsidR="00877CE2" w:rsidRPr="00681D05" w:rsidRDefault="00BC0D5D" w:rsidP="00877CE2">
      <w:pPr>
        <w:pStyle w:val="Marge"/>
        <w:numPr>
          <w:ilvl w:val="0"/>
          <w:numId w:val="9"/>
        </w:numPr>
        <w:spacing w:after="120"/>
        <w:ind w:left="567" w:hanging="567"/>
        <w:rPr>
          <w:rFonts w:cs="Arial"/>
          <w:szCs w:val="22"/>
          <w:lang w:val="en-GB"/>
        </w:rPr>
      </w:pPr>
      <w:r>
        <w:rPr>
          <w:rFonts w:cs="Arial"/>
          <w:szCs w:val="22"/>
          <w:lang w:val="en-GB"/>
        </w:rPr>
        <w:t xml:space="preserve">According to </w:t>
      </w:r>
      <w:r w:rsidR="00AE5E1F">
        <w:rPr>
          <w:rFonts w:cs="Arial"/>
          <w:szCs w:val="22"/>
          <w:lang w:val="en-GB"/>
        </w:rPr>
        <w:t>p</w:t>
      </w:r>
      <w:r w:rsidR="00877CE2" w:rsidRPr="00681D05">
        <w:rPr>
          <w:rFonts w:cs="Arial"/>
          <w:szCs w:val="22"/>
          <w:lang w:val="en-GB"/>
        </w:rPr>
        <w:t>aragraphs 160 to 164 of the Operational Directives</w:t>
      </w:r>
      <w:r w:rsidR="00971FFB">
        <w:rPr>
          <w:rFonts w:cs="Arial"/>
          <w:szCs w:val="22"/>
          <w:lang w:val="en-GB"/>
        </w:rPr>
        <w:t>,</w:t>
      </w:r>
      <w:r w:rsidR="00877CE2" w:rsidRPr="00681D05">
        <w:rPr>
          <w:rFonts w:cs="Arial"/>
          <w:szCs w:val="22"/>
          <w:lang w:val="en-GB"/>
        </w:rPr>
        <w:t xml:space="preserve"> each State Party to the Convention shall submit to the Committee reports on the status of elements of intangible cultural heritage present in its territory that have been inscribed on the List of Intangible Cultural Heritage in Need of Urgent Safeguarding, and paragraphs 165 to 167 describe the receipt and processing of reports. Such reports are submitted four years after inscription and every fourth year thereafter.</w:t>
      </w:r>
    </w:p>
    <w:p w14:paraId="7802A8F1" w14:textId="77777777" w:rsidR="001E6A31" w:rsidRPr="00681D05" w:rsidRDefault="00877CE2" w:rsidP="00877CE2">
      <w:pPr>
        <w:pStyle w:val="Marge"/>
        <w:numPr>
          <w:ilvl w:val="0"/>
          <w:numId w:val="9"/>
        </w:numPr>
        <w:spacing w:after="120"/>
        <w:ind w:left="567" w:hanging="567"/>
        <w:rPr>
          <w:rFonts w:cs="Arial"/>
          <w:szCs w:val="22"/>
          <w:lang w:val="en-GB"/>
        </w:rPr>
      </w:pPr>
      <w:r w:rsidRPr="00681D05">
        <w:rPr>
          <w:rFonts w:cs="Arial"/>
          <w:szCs w:val="22"/>
          <w:lang w:val="en-GB"/>
        </w:rPr>
        <w:t xml:space="preserve">The present document concerns the </w:t>
      </w:r>
      <w:r w:rsidR="001E6A31" w:rsidRPr="00681D05">
        <w:rPr>
          <w:rFonts w:cs="Arial"/>
          <w:szCs w:val="22"/>
          <w:lang w:val="en-GB"/>
        </w:rPr>
        <w:t>second</w:t>
      </w:r>
      <w:r w:rsidRPr="00681D05">
        <w:rPr>
          <w:rFonts w:cs="Arial"/>
          <w:szCs w:val="22"/>
          <w:lang w:val="en-GB"/>
        </w:rPr>
        <w:t xml:space="preserve"> cycle of ordinary reporting</w:t>
      </w:r>
      <w:r w:rsidR="001E6A31" w:rsidRPr="00681D05">
        <w:rPr>
          <w:rFonts w:cs="Arial"/>
          <w:szCs w:val="22"/>
          <w:lang w:val="en-GB"/>
        </w:rPr>
        <w:t>,</w:t>
      </w:r>
      <w:r w:rsidRPr="00681D05">
        <w:rPr>
          <w:rFonts w:cs="Arial"/>
          <w:szCs w:val="22"/>
          <w:lang w:val="en-GB"/>
        </w:rPr>
        <w:t xml:space="preserve"> </w:t>
      </w:r>
      <w:r w:rsidR="001E6A31" w:rsidRPr="00681D05">
        <w:rPr>
          <w:rFonts w:cs="Arial"/>
          <w:szCs w:val="22"/>
          <w:lang w:val="en-GB"/>
        </w:rPr>
        <w:t>covering</w:t>
      </w:r>
      <w:r w:rsidRPr="00681D05">
        <w:rPr>
          <w:rFonts w:cs="Arial"/>
          <w:szCs w:val="22"/>
          <w:lang w:val="en-GB"/>
        </w:rPr>
        <w:t xml:space="preserve"> the elements inscribed in 20</w:t>
      </w:r>
      <w:r w:rsidR="001E6A31" w:rsidRPr="00681D05">
        <w:rPr>
          <w:rFonts w:cs="Arial"/>
          <w:szCs w:val="22"/>
          <w:lang w:val="en-GB"/>
        </w:rPr>
        <w:t>10</w:t>
      </w:r>
      <w:r w:rsidRPr="00681D05">
        <w:rPr>
          <w:rFonts w:cs="Arial"/>
          <w:szCs w:val="22"/>
          <w:lang w:val="en-GB"/>
        </w:rPr>
        <w:t xml:space="preserve"> for the period from the date of inscription during the </w:t>
      </w:r>
      <w:r w:rsidR="001E6A31" w:rsidRPr="00681D05">
        <w:rPr>
          <w:rFonts w:cs="Arial"/>
          <w:szCs w:val="22"/>
          <w:lang w:val="en-GB"/>
        </w:rPr>
        <w:t>fif</w:t>
      </w:r>
      <w:r w:rsidRPr="00681D05">
        <w:rPr>
          <w:rFonts w:cs="Arial"/>
          <w:szCs w:val="22"/>
          <w:lang w:val="en-GB"/>
        </w:rPr>
        <w:t xml:space="preserve">th session of the Committee </w:t>
      </w:r>
      <w:r w:rsidR="00971FFB">
        <w:rPr>
          <w:rFonts w:cs="Arial"/>
          <w:szCs w:val="22"/>
          <w:lang w:val="en-GB"/>
        </w:rPr>
        <w:t>un</w:t>
      </w:r>
      <w:r w:rsidR="001E6A31" w:rsidRPr="00681D05">
        <w:rPr>
          <w:rFonts w:cs="Arial"/>
          <w:szCs w:val="22"/>
          <w:lang w:val="en-GB"/>
        </w:rPr>
        <w:t xml:space="preserve">til December 2014, as well as </w:t>
      </w:r>
      <w:r w:rsidR="009B378B" w:rsidRPr="00681D05">
        <w:rPr>
          <w:rFonts w:cs="Arial"/>
          <w:szCs w:val="22"/>
          <w:lang w:val="en-GB"/>
        </w:rPr>
        <w:t xml:space="preserve">two </w:t>
      </w:r>
      <w:r w:rsidR="001E6A31" w:rsidRPr="00681D05">
        <w:rPr>
          <w:rFonts w:cs="Arial"/>
          <w:szCs w:val="22"/>
          <w:lang w:val="en-GB"/>
        </w:rPr>
        <w:t>extraordinary reports</w:t>
      </w:r>
      <w:r w:rsidR="00BC0D5D">
        <w:rPr>
          <w:rFonts w:cs="Arial"/>
          <w:szCs w:val="22"/>
          <w:lang w:val="en-GB"/>
        </w:rPr>
        <w:t xml:space="preserve"> (see</w:t>
      </w:r>
      <w:r w:rsidR="00AE5E1F">
        <w:rPr>
          <w:rFonts w:cs="Arial"/>
          <w:szCs w:val="22"/>
          <w:lang w:val="en-GB"/>
        </w:rPr>
        <w:t xml:space="preserve"> </w:t>
      </w:r>
      <w:r w:rsidR="00BC0D5D">
        <w:rPr>
          <w:rFonts w:cs="Arial"/>
          <w:szCs w:val="22"/>
          <w:lang w:val="en-GB"/>
        </w:rPr>
        <w:t>paragraph</w:t>
      </w:r>
      <w:r w:rsidR="00542F75">
        <w:rPr>
          <w:rFonts w:cs="Arial"/>
          <w:szCs w:val="22"/>
          <w:lang w:val="en-GB"/>
        </w:rPr>
        <w:t>s</w:t>
      </w:r>
      <w:r w:rsidR="00BC0D5D">
        <w:rPr>
          <w:rFonts w:cs="Arial"/>
          <w:szCs w:val="22"/>
          <w:lang w:val="en-GB"/>
        </w:rPr>
        <w:t xml:space="preserve"> </w:t>
      </w:r>
      <w:r w:rsidR="00542F75">
        <w:rPr>
          <w:rFonts w:cs="Arial"/>
          <w:szCs w:val="22"/>
          <w:lang w:val="en-GB"/>
        </w:rPr>
        <w:t xml:space="preserve">6 and </w:t>
      </w:r>
      <w:r w:rsidR="00BC0D5D">
        <w:rPr>
          <w:rFonts w:cs="Arial"/>
          <w:szCs w:val="22"/>
          <w:lang w:val="en-GB"/>
        </w:rPr>
        <w:t>7 of this document)</w:t>
      </w:r>
      <w:r w:rsidR="009B378B" w:rsidRPr="00681D05">
        <w:rPr>
          <w:rFonts w:cs="Arial"/>
          <w:szCs w:val="22"/>
          <w:lang w:val="en-GB"/>
        </w:rPr>
        <w:t>.</w:t>
      </w:r>
    </w:p>
    <w:p w14:paraId="1918108D" w14:textId="48F3CD8F" w:rsidR="00BD5C45" w:rsidRPr="00C51CB6" w:rsidRDefault="00877CE2" w:rsidP="005C2E3E">
      <w:pPr>
        <w:pStyle w:val="Marge"/>
        <w:numPr>
          <w:ilvl w:val="0"/>
          <w:numId w:val="9"/>
        </w:numPr>
        <w:spacing w:after="120"/>
        <w:ind w:left="567" w:hanging="567"/>
        <w:rPr>
          <w:lang w:val="en-US"/>
        </w:rPr>
      </w:pPr>
      <w:r w:rsidRPr="00C51CB6">
        <w:rPr>
          <w:lang w:val="en-US"/>
        </w:rPr>
        <w:t xml:space="preserve">Out of the </w:t>
      </w:r>
      <w:r w:rsidR="009B378B" w:rsidRPr="00C51CB6">
        <w:rPr>
          <w:lang w:val="en-US"/>
        </w:rPr>
        <w:t xml:space="preserve">four ordinary </w:t>
      </w:r>
      <w:r w:rsidRPr="00C51CB6">
        <w:rPr>
          <w:lang w:val="en-US"/>
        </w:rPr>
        <w:t>reports expected</w:t>
      </w:r>
      <w:r w:rsidR="00BD5C45" w:rsidRPr="00C51CB6">
        <w:rPr>
          <w:lang w:val="en-US"/>
        </w:rPr>
        <w:t xml:space="preserve"> for the present cycle</w:t>
      </w:r>
      <w:r w:rsidRPr="00C51CB6">
        <w:rPr>
          <w:lang w:val="en-US"/>
        </w:rPr>
        <w:t xml:space="preserve">, only </w:t>
      </w:r>
      <w:r w:rsidR="009B378B" w:rsidRPr="00C51CB6">
        <w:rPr>
          <w:lang w:val="en-US"/>
        </w:rPr>
        <w:t xml:space="preserve">one </w:t>
      </w:r>
      <w:r w:rsidRPr="00C51CB6">
        <w:rPr>
          <w:lang w:val="en-US"/>
        </w:rPr>
        <w:t>w</w:t>
      </w:r>
      <w:r w:rsidR="009B378B" w:rsidRPr="00C51CB6">
        <w:rPr>
          <w:lang w:val="en-US"/>
        </w:rPr>
        <w:t>as</w:t>
      </w:r>
      <w:r w:rsidRPr="00C51CB6">
        <w:rPr>
          <w:lang w:val="en-US"/>
        </w:rPr>
        <w:t xml:space="preserve"> submitted on time. </w:t>
      </w:r>
      <w:bookmarkStart w:id="0" w:name="Reports_to_examine"/>
      <w:r w:rsidRPr="00C51CB6">
        <w:rPr>
          <w:lang w:val="en-US"/>
        </w:rPr>
        <w:t xml:space="preserve">The Committee will therefore examine the </w:t>
      </w:r>
      <w:r w:rsidR="009B378B" w:rsidRPr="00C51CB6">
        <w:rPr>
          <w:lang w:val="en-US"/>
        </w:rPr>
        <w:t>ordinary report submitted by Croatia</w:t>
      </w:r>
      <w:r w:rsidRPr="00C51CB6">
        <w:rPr>
          <w:lang w:val="en-US"/>
        </w:rPr>
        <w:t xml:space="preserve"> o</w:t>
      </w:r>
      <w:r w:rsidR="009B378B" w:rsidRPr="00C51CB6">
        <w:rPr>
          <w:lang w:val="en-US"/>
        </w:rPr>
        <w:t>n the status o</w:t>
      </w:r>
      <w:r w:rsidRPr="00C51CB6">
        <w:rPr>
          <w:lang w:val="en-US"/>
        </w:rPr>
        <w:t xml:space="preserve">f the </w:t>
      </w:r>
      <w:r w:rsidR="009B378B" w:rsidRPr="00C51CB6">
        <w:rPr>
          <w:lang w:val="en-US"/>
        </w:rPr>
        <w:t>‘</w:t>
      </w:r>
      <w:proofErr w:type="spellStart"/>
      <w:r w:rsidR="009B378B" w:rsidRPr="00C51CB6">
        <w:rPr>
          <w:lang w:val="en-US"/>
        </w:rPr>
        <w:t>Ojkanje</w:t>
      </w:r>
      <w:proofErr w:type="spellEnd"/>
      <w:r w:rsidR="009B378B" w:rsidRPr="00C51CB6">
        <w:rPr>
          <w:lang w:val="en-US"/>
        </w:rPr>
        <w:t xml:space="preserve"> </w:t>
      </w:r>
      <w:bookmarkEnd w:id="0"/>
      <w:r w:rsidR="00971FFB" w:rsidRPr="00C51CB6">
        <w:rPr>
          <w:lang w:val="en-US"/>
        </w:rPr>
        <w:t xml:space="preserve">singing’ </w:t>
      </w:r>
      <w:r w:rsidR="00A36606" w:rsidRPr="00C51CB6">
        <w:rPr>
          <w:lang w:val="en-US"/>
        </w:rPr>
        <w:t>(file number</w:t>
      </w:r>
      <w:r w:rsidR="00AE5E1F" w:rsidRPr="00C51CB6">
        <w:rPr>
          <w:lang w:val="en-US"/>
        </w:rPr>
        <w:t xml:space="preserve"> </w:t>
      </w:r>
      <w:hyperlink r:id="rId9" w:history="1">
        <w:r w:rsidR="00AE5E1F" w:rsidRPr="00C51CB6">
          <w:rPr>
            <w:rStyle w:val="Hyperlink"/>
            <w:lang w:val="en-US"/>
          </w:rPr>
          <w:t>00320</w:t>
        </w:r>
      </w:hyperlink>
      <w:r w:rsidR="00A36606" w:rsidRPr="00C51CB6">
        <w:rPr>
          <w:lang w:val="en-US"/>
        </w:rPr>
        <w:t xml:space="preserve">) </w:t>
      </w:r>
      <w:r w:rsidR="009B378B" w:rsidRPr="00C51CB6">
        <w:rPr>
          <w:lang w:val="en-US"/>
        </w:rPr>
        <w:t xml:space="preserve">inscribed in 2010 on the Urgent Safeguarding List. </w:t>
      </w:r>
      <w:r w:rsidR="00BD5C45" w:rsidRPr="00C51CB6">
        <w:rPr>
          <w:lang w:val="en-US"/>
        </w:rPr>
        <w:t xml:space="preserve">Reports for the </w:t>
      </w:r>
      <w:r w:rsidR="006817FC" w:rsidRPr="00C51CB6">
        <w:rPr>
          <w:lang w:val="en-US"/>
        </w:rPr>
        <w:t>other</w:t>
      </w:r>
      <w:r w:rsidR="00BD5C45" w:rsidRPr="00C51CB6">
        <w:rPr>
          <w:lang w:val="en-US"/>
        </w:rPr>
        <w:t xml:space="preserve"> three elements inscribed in 2010 were not submitted</w:t>
      </w:r>
      <w:r w:rsidR="00BC0D5D" w:rsidRPr="00C51CB6">
        <w:rPr>
          <w:lang w:val="en-US"/>
        </w:rPr>
        <w:t xml:space="preserve">, despite numerous reminders </w:t>
      </w:r>
      <w:r w:rsidR="00141D21" w:rsidRPr="00C51CB6">
        <w:rPr>
          <w:lang w:val="en-US"/>
        </w:rPr>
        <w:t>issued</w:t>
      </w:r>
      <w:r w:rsidR="00BC0D5D" w:rsidRPr="00C51CB6">
        <w:rPr>
          <w:lang w:val="en-US"/>
        </w:rPr>
        <w:t xml:space="preserve"> by the Secretariat</w:t>
      </w:r>
      <w:r w:rsidR="00BD5C45" w:rsidRPr="00C51CB6">
        <w:rPr>
          <w:lang w:val="en-US"/>
        </w:rPr>
        <w:t xml:space="preserve">; </w:t>
      </w:r>
      <w:r w:rsidR="008C3A42" w:rsidRPr="00C51CB6">
        <w:rPr>
          <w:lang w:val="en-US"/>
        </w:rPr>
        <w:t xml:space="preserve">in addition, </w:t>
      </w:r>
      <w:r w:rsidR="00BD5C45" w:rsidRPr="00C51CB6">
        <w:rPr>
          <w:lang w:val="en-US"/>
        </w:rPr>
        <w:t xml:space="preserve">reports on four elements inscribed in 2009 and expected last year have not yet been submitted by the concerned </w:t>
      </w:r>
      <w:r w:rsidR="006817FC" w:rsidRPr="00C51CB6">
        <w:rPr>
          <w:lang w:val="en-US"/>
        </w:rPr>
        <w:t>States Parties. Therefore, the</w:t>
      </w:r>
      <w:r w:rsidR="00BD5C45" w:rsidRPr="00C51CB6">
        <w:rPr>
          <w:lang w:val="en-US"/>
        </w:rPr>
        <w:t xml:space="preserve"> </w:t>
      </w:r>
      <w:r w:rsidR="006817FC" w:rsidRPr="00C51CB6">
        <w:rPr>
          <w:lang w:val="en-US"/>
        </w:rPr>
        <w:t xml:space="preserve">reports on the </w:t>
      </w:r>
      <w:r w:rsidR="00BD5C45" w:rsidRPr="00C51CB6">
        <w:rPr>
          <w:lang w:val="en-US"/>
        </w:rPr>
        <w:t xml:space="preserve">status </w:t>
      </w:r>
      <w:r w:rsidR="006817FC" w:rsidRPr="00C51CB6">
        <w:rPr>
          <w:lang w:val="en-US"/>
        </w:rPr>
        <w:t xml:space="preserve">of the following seven elements </w:t>
      </w:r>
      <w:r w:rsidR="00BD5C45" w:rsidRPr="00C51CB6">
        <w:rPr>
          <w:lang w:val="en-US"/>
        </w:rPr>
        <w:t>cannot be examined by the Committee during the present session:</w:t>
      </w:r>
    </w:p>
    <w:tbl>
      <w:tblPr>
        <w:tblW w:w="4680"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1252"/>
        <w:gridCol w:w="5968"/>
        <w:gridCol w:w="1035"/>
        <w:gridCol w:w="873"/>
      </w:tblGrid>
      <w:tr w:rsidR="00BD5C45" w:rsidRPr="00681D05" w14:paraId="7592AE28" w14:textId="77777777" w:rsidTr="006A6678">
        <w:trPr>
          <w:cantSplit/>
          <w:tblHeader/>
        </w:trPr>
        <w:tc>
          <w:tcPr>
            <w:tcW w:w="686" w:type="pct"/>
            <w:shd w:val="clear" w:color="auto" w:fill="BFBFBF"/>
            <w:vAlign w:val="center"/>
            <w:hideMark/>
          </w:tcPr>
          <w:p w14:paraId="4B3FB362" w14:textId="77777777" w:rsidR="00BD5C45" w:rsidRPr="00681D05" w:rsidRDefault="00BD5C45"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Submitting State</w:t>
            </w:r>
          </w:p>
        </w:tc>
        <w:tc>
          <w:tcPr>
            <w:tcW w:w="3269" w:type="pct"/>
            <w:shd w:val="clear" w:color="auto" w:fill="BFBFBF"/>
            <w:vAlign w:val="center"/>
            <w:hideMark/>
          </w:tcPr>
          <w:p w14:paraId="65D19F59" w14:textId="77777777" w:rsidR="00BD5C45" w:rsidRPr="00681D05" w:rsidRDefault="00BD5C45"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Element</w:t>
            </w:r>
          </w:p>
        </w:tc>
        <w:tc>
          <w:tcPr>
            <w:tcW w:w="567" w:type="pct"/>
            <w:shd w:val="clear" w:color="auto" w:fill="BFBFBF"/>
          </w:tcPr>
          <w:p w14:paraId="35DB16FD" w14:textId="77777777" w:rsidR="00BD5C45" w:rsidRPr="00681D05" w:rsidRDefault="00BD5C45" w:rsidP="006A6678">
            <w:pPr>
              <w:spacing w:before="120" w:after="120"/>
              <w:jc w:val="center"/>
              <w:rPr>
                <w:rFonts w:ascii="Arial" w:hAnsi="Arial" w:cs="Arial"/>
                <w:b/>
                <w:bCs/>
                <w:color w:val="000000"/>
                <w:sz w:val="18"/>
                <w:szCs w:val="18"/>
                <w:lang w:val="en-GB" w:eastAsia="en-GB"/>
              </w:rPr>
            </w:pPr>
            <w:r w:rsidRPr="00681D05">
              <w:rPr>
                <w:rFonts w:ascii="Arial" w:hAnsi="Arial" w:cs="Arial"/>
                <w:b/>
                <w:bCs/>
                <w:color w:val="000000"/>
                <w:sz w:val="18"/>
                <w:szCs w:val="18"/>
                <w:lang w:val="en-GB" w:eastAsia="en-GB"/>
              </w:rPr>
              <w:t xml:space="preserve">Year of inscription </w:t>
            </w:r>
          </w:p>
        </w:tc>
        <w:tc>
          <w:tcPr>
            <w:tcW w:w="478" w:type="pct"/>
            <w:shd w:val="clear" w:color="auto" w:fill="BFBFBF"/>
            <w:vAlign w:val="center"/>
            <w:hideMark/>
          </w:tcPr>
          <w:p w14:paraId="310DB2D7" w14:textId="77777777" w:rsidR="00BD5C45" w:rsidRPr="00681D05" w:rsidRDefault="00BD5C45"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File No.</w:t>
            </w:r>
          </w:p>
        </w:tc>
      </w:tr>
      <w:tr w:rsidR="00BD5C45" w:rsidRPr="00681D05" w14:paraId="25CE35AB" w14:textId="77777777" w:rsidTr="00CA281B">
        <w:trPr>
          <w:cantSplit/>
        </w:trPr>
        <w:tc>
          <w:tcPr>
            <w:tcW w:w="686" w:type="pct"/>
          </w:tcPr>
          <w:p w14:paraId="17301C62"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China</w:t>
            </w:r>
          </w:p>
        </w:tc>
        <w:tc>
          <w:tcPr>
            <w:tcW w:w="3269" w:type="pct"/>
          </w:tcPr>
          <w:p w14:paraId="2BBDAC27"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Traditional Li textile techniques: spinning, dyeing, weaving and embroidering</w:t>
            </w:r>
          </w:p>
        </w:tc>
        <w:tc>
          <w:tcPr>
            <w:tcW w:w="567" w:type="pct"/>
          </w:tcPr>
          <w:p w14:paraId="268211C3"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2009</w:t>
            </w:r>
          </w:p>
        </w:tc>
        <w:tc>
          <w:tcPr>
            <w:tcW w:w="478" w:type="pct"/>
          </w:tcPr>
          <w:p w14:paraId="66F02527" w14:textId="77777777" w:rsidR="00BD5C45" w:rsidRPr="00681D05" w:rsidRDefault="00173282" w:rsidP="00CA281B">
            <w:pPr>
              <w:spacing w:before="120" w:after="120"/>
              <w:jc w:val="center"/>
              <w:rPr>
                <w:rFonts w:ascii="Arial" w:hAnsi="Arial" w:cs="Arial"/>
                <w:color w:val="000000"/>
                <w:sz w:val="20"/>
                <w:szCs w:val="20"/>
                <w:lang w:val="en-GB"/>
              </w:rPr>
            </w:pPr>
            <w:hyperlink r:id="rId10" w:history="1">
              <w:r w:rsidR="00BD5C45" w:rsidRPr="00681D05">
                <w:rPr>
                  <w:rStyle w:val="Hyperlink"/>
                  <w:rFonts w:ascii="Arial" w:hAnsi="Arial" w:cs="Arial"/>
                  <w:sz w:val="20"/>
                  <w:szCs w:val="20"/>
                  <w:lang w:val="en-GB"/>
                </w:rPr>
                <w:t>00</w:t>
              </w:r>
              <w:bookmarkStart w:id="1" w:name="_GoBack"/>
              <w:bookmarkEnd w:id="1"/>
              <w:r w:rsidR="00BD5C45" w:rsidRPr="00681D05">
                <w:rPr>
                  <w:rStyle w:val="Hyperlink"/>
                  <w:rFonts w:ascii="Arial" w:hAnsi="Arial" w:cs="Arial"/>
                  <w:sz w:val="20"/>
                  <w:szCs w:val="20"/>
                  <w:lang w:val="en-GB"/>
                </w:rPr>
                <w:t>302</w:t>
              </w:r>
            </w:hyperlink>
          </w:p>
        </w:tc>
      </w:tr>
      <w:tr w:rsidR="00BD5C45" w:rsidRPr="00681D05" w14:paraId="5447BD57" w14:textId="77777777" w:rsidTr="00CA281B">
        <w:trPr>
          <w:cantSplit/>
        </w:trPr>
        <w:tc>
          <w:tcPr>
            <w:tcW w:w="686" w:type="pct"/>
          </w:tcPr>
          <w:p w14:paraId="72ED9532"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China</w:t>
            </w:r>
          </w:p>
        </w:tc>
        <w:tc>
          <w:tcPr>
            <w:tcW w:w="3269" w:type="pct"/>
          </w:tcPr>
          <w:p w14:paraId="1F818239"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Traditional design and practices for building Chinese wooden arch bridges</w:t>
            </w:r>
          </w:p>
        </w:tc>
        <w:tc>
          <w:tcPr>
            <w:tcW w:w="567" w:type="pct"/>
          </w:tcPr>
          <w:p w14:paraId="466D7D47"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2009</w:t>
            </w:r>
          </w:p>
        </w:tc>
        <w:tc>
          <w:tcPr>
            <w:tcW w:w="478" w:type="pct"/>
          </w:tcPr>
          <w:p w14:paraId="716BEBF3" w14:textId="77777777" w:rsidR="00BD5C45" w:rsidRPr="00681D05" w:rsidRDefault="00173282" w:rsidP="00CA281B">
            <w:pPr>
              <w:spacing w:before="120" w:after="120"/>
              <w:jc w:val="center"/>
              <w:rPr>
                <w:rFonts w:ascii="Arial" w:hAnsi="Arial" w:cs="Arial"/>
                <w:color w:val="000000"/>
                <w:sz w:val="20"/>
                <w:szCs w:val="20"/>
                <w:lang w:val="en-GB"/>
              </w:rPr>
            </w:pPr>
            <w:hyperlink r:id="rId11" w:history="1">
              <w:r w:rsidR="00BD5C45" w:rsidRPr="00681D05">
                <w:rPr>
                  <w:rStyle w:val="Hyperlink"/>
                  <w:rFonts w:ascii="Arial" w:hAnsi="Arial" w:cs="Arial"/>
                  <w:sz w:val="20"/>
                  <w:szCs w:val="20"/>
                  <w:lang w:val="en-GB"/>
                </w:rPr>
                <w:t>00303</w:t>
              </w:r>
            </w:hyperlink>
          </w:p>
        </w:tc>
      </w:tr>
      <w:tr w:rsidR="00BD5C45" w:rsidRPr="00681D05" w14:paraId="7E4F3045" w14:textId="77777777" w:rsidTr="00CA281B">
        <w:trPr>
          <w:cantSplit/>
        </w:trPr>
        <w:tc>
          <w:tcPr>
            <w:tcW w:w="686" w:type="pct"/>
          </w:tcPr>
          <w:p w14:paraId="5F379A61"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China</w:t>
            </w:r>
          </w:p>
        </w:tc>
        <w:tc>
          <w:tcPr>
            <w:tcW w:w="3269" w:type="pct"/>
          </w:tcPr>
          <w:p w14:paraId="732A6B07" w14:textId="77777777" w:rsidR="00BD5C45" w:rsidRPr="00681D05" w:rsidRDefault="00BD5C45" w:rsidP="00E453F9">
            <w:pPr>
              <w:spacing w:before="120" w:after="120"/>
              <w:rPr>
                <w:rFonts w:ascii="Arial" w:hAnsi="Arial" w:cs="Arial"/>
                <w:color w:val="000000"/>
                <w:sz w:val="20"/>
                <w:szCs w:val="20"/>
                <w:lang w:val="en-GB"/>
              </w:rPr>
            </w:pPr>
            <w:proofErr w:type="spellStart"/>
            <w:r w:rsidRPr="00681D05">
              <w:rPr>
                <w:rFonts w:ascii="Arial" w:hAnsi="Arial" w:cs="Arial"/>
                <w:color w:val="000000"/>
                <w:sz w:val="20"/>
                <w:szCs w:val="20"/>
                <w:lang w:val="en-GB"/>
              </w:rPr>
              <w:t>Qiang</w:t>
            </w:r>
            <w:proofErr w:type="spellEnd"/>
            <w:r w:rsidRPr="00681D05">
              <w:rPr>
                <w:rFonts w:ascii="Arial" w:hAnsi="Arial" w:cs="Arial"/>
                <w:color w:val="000000"/>
                <w:sz w:val="20"/>
                <w:szCs w:val="20"/>
                <w:lang w:val="en-GB"/>
              </w:rPr>
              <w:t xml:space="preserve"> New Year festival</w:t>
            </w:r>
          </w:p>
        </w:tc>
        <w:tc>
          <w:tcPr>
            <w:tcW w:w="567" w:type="pct"/>
          </w:tcPr>
          <w:p w14:paraId="3D58EC0C"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2009</w:t>
            </w:r>
          </w:p>
        </w:tc>
        <w:tc>
          <w:tcPr>
            <w:tcW w:w="478" w:type="pct"/>
          </w:tcPr>
          <w:p w14:paraId="17644F9E" w14:textId="77777777" w:rsidR="00BD5C45" w:rsidRPr="00681D05" w:rsidRDefault="00173282" w:rsidP="00CA281B">
            <w:pPr>
              <w:spacing w:before="120" w:after="120"/>
              <w:jc w:val="center"/>
              <w:rPr>
                <w:rFonts w:ascii="Arial" w:hAnsi="Arial" w:cs="Arial"/>
                <w:color w:val="000000"/>
                <w:sz w:val="20"/>
                <w:szCs w:val="20"/>
                <w:lang w:val="en-GB"/>
              </w:rPr>
            </w:pPr>
            <w:hyperlink r:id="rId12" w:history="1">
              <w:r w:rsidR="00BD5C45" w:rsidRPr="00681D05">
                <w:rPr>
                  <w:rStyle w:val="Hyperlink"/>
                  <w:rFonts w:ascii="Arial" w:hAnsi="Arial" w:cs="Arial"/>
                  <w:sz w:val="20"/>
                  <w:szCs w:val="20"/>
                  <w:lang w:val="en-GB"/>
                </w:rPr>
                <w:t>00305</w:t>
              </w:r>
            </w:hyperlink>
          </w:p>
        </w:tc>
      </w:tr>
      <w:tr w:rsidR="00BD5C45" w:rsidRPr="00681D05" w14:paraId="741B391F" w14:textId="77777777" w:rsidTr="00CA281B">
        <w:trPr>
          <w:cantSplit/>
        </w:trPr>
        <w:tc>
          <w:tcPr>
            <w:tcW w:w="686" w:type="pct"/>
          </w:tcPr>
          <w:p w14:paraId="3EFBB908"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France</w:t>
            </w:r>
          </w:p>
        </w:tc>
        <w:tc>
          <w:tcPr>
            <w:tcW w:w="3269" w:type="pct"/>
          </w:tcPr>
          <w:p w14:paraId="59F64C62"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 xml:space="preserve">Cantu in </w:t>
            </w:r>
            <w:proofErr w:type="spellStart"/>
            <w:r w:rsidRPr="00681D05">
              <w:rPr>
                <w:rFonts w:ascii="Arial" w:hAnsi="Arial" w:cs="Arial"/>
                <w:color w:val="000000"/>
                <w:sz w:val="20"/>
                <w:szCs w:val="20"/>
                <w:lang w:val="en-GB"/>
              </w:rPr>
              <w:t>paghjella</w:t>
            </w:r>
            <w:proofErr w:type="spellEnd"/>
            <w:r w:rsidRPr="00681D05">
              <w:rPr>
                <w:rFonts w:ascii="Arial" w:hAnsi="Arial" w:cs="Arial"/>
                <w:color w:val="000000"/>
                <w:sz w:val="20"/>
                <w:szCs w:val="20"/>
                <w:lang w:val="en-GB"/>
              </w:rPr>
              <w:t>, a secular and liturgical oral tradition of Corsica</w:t>
            </w:r>
          </w:p>
        </w:tc>
        <w:tc>
          <w:tcPr>
            <w:tcW w:w="567" w:type="pct"/>
          </w:tcPr>
          <w:p w14:paraId="58DD3BB1"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2009</w:t>
            </w:r>
          </w:p>
        </w:tc>
        <w:tc>
          <w:tcPr>
            <w:tcW w:w="478" w:type="pct"/>
          </w:tcPr>
          <w:p w14:paraId="3A47EB50" w14:textId="77777777" w:rsidR="00BD5C45" w:rsidRPr="00681D05" w:rsidRDefault="00173282" w:rsidP="00CA281B">
            <w:pPr>
              <w:spacing w:before="120" w:after="120"/>
              <w:jc w:val="center"/>
              <w:rPr>
                <w:rFonts w:ascii="Arial" w:hAnsi="Arial" w:cs="Arial"/>
                <w:color w:val="000000"/>
                <w:sz w:val="20"/>
                <w:szCs w:val="20"/>
                <w:lang w:val="en-GB"/>
              </w:rPr>
            </w:pPr>
            <w:hyperlink r:id="rId13" w:history="1">
              <w:r w:rsidR="00BD5C45" w:rsidRPr="00681D05">
                <w:rPr>
                  <w:rStyle w:val="Hyperlink"/>
                  <w:rFonts w:ascii="Arial" w:hAnsi="Arial" w:cs="Arial"/>
                  <w:sz w:val="20"/>
                  <w:szCs w:val="20"/>
                  <w:lang w:val="en-GB"/>
                </w:rPr>
                <w:t>00315</w:t>
              </w:r>
            </w:hyperlink>
          </w:p>
        </w:tc>
      </w:tr>
      <w:tr w:rsidR="00BD5C45" w:rsidRPr="00681D05" w14:paraId="4C9E0D0A" w14:textId="77777777" w:rsidTr="00CA281B">
        <w:trPr>
          <w:cantSplit/>
        </w:trPr>
        <w:tc>
          <w:tcPr>
            <w:tcW w:w="686" w:type="pct"/>
          </w:tcPr>
          <w:p w14:paraId="536B4B07"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China</w:t>
            </w:r>
          </w:p>
        </w:tc>
        <w:tc>
          <w:tcPr>
            <w:tcW w:w="3269" w:type="pct"/>
          </w:tcPr>
          <w:p w14:paraId="562A339E" w14:textId="77777777" w:rsidR="00BD5C45" w:rsidRPr="00681D05" w:rsidRDefault="00BD5C45" w:rsidP="00E453F9">
            <w:pPr>
              <w:spacing w:before="120" w:after="120"/>
              <w:rPr>
                <w:rFonts w:ascii="Arial" w:hAnsi="Arial" w:cs="Arial"/>
                <w:color w:val="000000"/>
                <w:sz w:val="20"/>
                <w:szCs w:val="20"/>
                <w:lang w:val="en-GB"/>
              </w:rPr>
            </w:pPr>
            <w:proofErr w:type="spellStart"/>
            <w:r w:rsidRPr="00681D05">
              <w:rPr>
                <w:rFonts w:ascii="Arial" w:hAnsi="Arial" w:cs="Arial"/>
                <w:color w:val="000000"/>
                <w:sz w:val="20"/>
                <w:szCs w:val="20"/>
                <w:lang w:val="en-GB"/>
              </w:rPr>
              <w:t>Meshrep</w:t>
            </w:r>
            <w:proofErr w:type="spellEnd"/>
          </w:p>
        </w:tc>
        <w:tc>
          <w:tcPr>
            <w:tcW w:w="567" w:type="pct"/>
          </w:tcPr>
          <w:p w14:paraId="2C0B19B4"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2010</w:t>
            </w:r>
          </w:p>
        </w:tc>
        <w:tc>
          <w:tcPr>
            <w:tcW w:w="478" w:type="pct"/>
          </w:tcPr>
          <w:p w14:paraId="40E5D80C" w14:textId="77777777" w:rsidR="00BD5C45" w:rsidRPr="00681D05" w:rsidRDefault="00173282" w:rsidP="00CA281B">
            <w:pPr>
              <w:spacing w:before="120" w:after="120"/>
              <w:jc w:val="center"/>
              <w:rPr>
                <w:rFonts w:ascii="Arial" w:hAnsi="Arial" w:cs="Arial"/>
                <w:color w:val="000000"/>
                <w:sz w:val="20"/>
                <w:szCs w:val="20"/>
                <w:lang w:val="en-GB"/>
              </w:rPr>
            </w:pPr>
            <w:hyperlink r:id="rId14" w:history="1">
              <w:r w:rsidR="00BD5C45" w:rsidRPr="00681D05">
                <w:rPr>
                  <w:rStyle w:val="Hyperlink"/>
                  <w:rFonts w:ascii="Arial" w:hAnsi="Arial" w:cs="Arial"/>
                  <w:sz w:val="20"/>
                  <w:szCs w:val="20"/>
                  <w:lang w:val="en-GB"/>
                </w:rPr>
                <w:t>00304</w:t>
              </w:r>
            </w:hyperlink>
          </w:p>
        </w:tc>
      </w:tr>
      <w:tr w:rsidR="00BD5C45" w:rsidRPr="00681D05" w14:paraId="201B84A6" w14:textId="77777777" w:rsidTr="00CA281B">
        <w:trPr>
          <w:cantSplit/>
        </w:trPr>
        <w:tc>
          <w:tcPr>
            <w:tcW w:w="686" w:type="pct"/>
          </w:tcPr>
          <w:p w14:paraId="666719D0"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China</w:t>
            </w:r>
          </w:p>
        </w:tc>
        <w:tc>
          <w:tcPr>
            <w:tcW w:w="3269" w:type="pct"/>
          </w:tcPr>
          <w:p w14:paraId="1C5630F5"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Watertight-bulkhead technology of Chinese junks</w:t>
            </w:r>
          </w:p>
        </w:tc>
        <w:tc>
          <w:tcPr>
            <w:tcW w:w="567" w:type="pct"/>
          </w:tcPr>
          <w:p w14:paraId="31A0EC2A"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2010</w:t>
            </w:r>
          </w:p>
        </w:tc>
        <w:tc>
          <w:tcPr>
            <w:tcW w:w="478" w:type="pct"/>
          </w:tcPr>
          <w:p w14:paraId="0590D3D7" w14:textId="77777777" w:rsidR="00BD5C45" w:rsidRPr="00681D05" w:rsidRDefault="00173282" w:rsidP="00CA281B">
            <w:pPr>
              <w:spacing w:before="120" w:after="120"/>
              <w:jc w:val="center"/>
              <w:rPr>
                <w:rFonts w:ascii="Arial" w:hAnsi="Arial" w:cs="Arial"/>
                <w:color w:val="000000"/>
                <w:sz w:val="20"/>
                <w:szCs w:val="20"/>
                <w:lang w:val="en-GB"/>
              </w:rPr>
            </w:pPr>
            <w:hyperlink r:id="rId15" w:history="1">
              <w:r w:rsidR="00BD5C45" w:rsidRPr="00681D05">
                <w:rPr>
                  <w:rStyle w:val="Hyperlink"/>
                  <w:rFonts w:ascii="Arial" w:hAnsi="Arial" w:cs="Arial"/>
                  <w:sz w:val="20"/>
                  <w:szCs w:val="20"/>
                  <w:lang w:val="en-GB"/>
                </w:rPr>
                <w:t>00321</w:t>
              </w:r>
            </w:hyperlink>
          </w:p>
        </w:tc>
      </w:tr>
      <w:tr w:rsidR="00BD5C45" w:rsidRPr="00681D05" w14:paraId="32817859" w14:textId="77777777" w:rsidTr="00CA281B">
        <w:trPr>
          <w:cantSplit/>
        </w:trPr>
        <w:tc>
          <w:tcPr>
            <w:tcW w:w="686" w:type="pct"/>
          </w:tcPr>
          <w:p w14:paraId="5ABC87DB"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China</w:t>
            </w:r>
          </w:p>
        </w:tc>
        <w:tc>
          <w:tcPr>
            <w:tcW w:w="3269" w:type="pct"/>
          </w:tcPr>
          <w:p w14:paraId="0DB4B534" w14:textId="77777777" w:rsidR="00BD5C45" w:rsidRPr="00681D05" w:rsidRDefault="00BD5C45" w:rsidP="00E453F9">
            <w:pPr>
              <w:spacing w:before="120" w:after="120"/>
              <w:rPr>
                <w:rFonts w:ascii="Arial" w:hAnsi="Arial" w:cs="Arial"/>
                <w:color w:val="000000"/>
                <w:sz w:val="20"/>
                <w:szCs w:val="20"/>
                <w:lang w:val="en-GB"/>
              </w:rPr>
            </w:pPr>
            <w:r w:rsidRPr="00681D05">
              <w:rPr>
                <w:rFonts w:ascii="Arial" w:hAnsi="Arial" w:cs="Arial"/>
                <w:color w:val="000000"/>
                <w:sz w:val="20"/>
                <w:szCs w:val="20"/>
                <w:lang w:val="en-GB"/>
              </w:rPr>
              <w:t>Wooden movable-type printing of China</w:t>
            </w:r>
          </w:p>
        </w:tc>
        <w:tc>
          <w:tcPr>
            <w:tcW w:w="567" w:type="pct"/>
          </w:tcPr>
          <w:p w14:paraId="68983ACB" w14:textId="77777777" w:rsidR="00BD5C45" w:rsidRPr="00681D05" w:rsidRDefault="00BD5C45" w:rsidP="00CA281B">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2010</w:t>
            </w:r>
          </w:p>
        </w:tc>
        <w:tc>
          <w:tcPr>
            <w:tcW w:w="478" w:type="pct"/>
          </w:tcPr>
          <w:p w14:paraId="331472B6" w14:textId="77777777" w:rsidR="00BD5C45" w:rsidRPr="00681D05" w:rsidRDefault="00173282" w:rsidP="00CA281B">
            <w:pPr>
              <w:spacing w:before="120" w:after="120"/>
              <w:jc w:val="center"/>
              <w:rPr>
                <w:rFonts w:ascii="Arial" w:hAnsi="Arial" w:cs="Arial"/>
                <w:color w:val="000000"/>
                <w:sz w:val="20"/>
                <w:szCs w:val="20"/>
                <w:lang w:val="en-GB"/>
              </w:rPr>
            </w:pPr>
            <w:hyperlink r:id="rId16" w:history="1">
              <w:r w:rsidR="00BD5C45" w:rsidRPr="00681D05">
                <w:rPr>
                  <w:rStyle w:val="Hyperlink"/>
                  <w:rFonts w:ascii="Arial" w:hAnsi="Arial" w:cs="Arial"/>
                  <w:sz w:val="20"/>
                  <w:szCs w:val="20"/>
                  <w:lang w:val="en-GB"/>
                </w:rPr>
                <w:t>00322</w:t>
              </w:r>
            </w:hyperlink>
          </w:p>
        </w:tc>
      </w:tr>
    </w:tbl>
    <w:p w14:paraId="2BF2CC12" w14:textId="5C0011AE" w:rsidR="00832823" w:rsidRPr="00832823" w:rsidRDefault="00832823" w:rsidP="00063682">
      <w:pPr>
        <w:pStyle w:val="Marge"/>
        <w:numPr>
          <w:ilvl w:val="0"/>
          <w:numId w:val="9"/>
        </w:numPr>
        <w:tabs>
          <w:tab w:val="clear" w:pos="567"/>
        </w:tabs>
        <w:autoSpaceDE w:val="0"/>
        <w:autoSpaceDN w:val="0"/>
        <w:adjustRightInd w:val="0"/>
        <w:spacing w:before="120" w:after="120"/>
        <w:ind w:left="567" w:hanging="567"/>
        <w:rPr>
          <w:rFonts w:cs="Arial"/>
          <w:szCs w:val="22"/>
          <w:lang w:val="en-GB"/>
        </w:rPr>
      </w:pPr>
      <w:r>
        <w:rPr>
          <w:rFonts w:cs="Arial"/>
          <w:szCs w:val="22"/>
          <w:lang w:val="en-GB"/>
        </w:rPr>
        <w:t xml:space="preserve">The delay in the submission of these reports </w:t>
      </w:r>
      <w:r w:rsidR="00063682">
        <w:rPr>
          <w:rFonts w:cs="Arial"/>
          <w:szCs w:val="22"/>
          <w:lang w:val="en-GB"/>
        </w:rPr>
        <w:t>impede</w:t>
      </w:r>
      <w:r w:rsidR="00971FFB">
        <w:rPr>
          <w:rFonts w:cs="Arial"/>
          <w:szCs w:val="22"/>
          <w:lang w:val="en-GB"/>
        </w:rPr>
        <w:t>s</w:t>
      </w:r>
      <w:r w:rsidR="00063682">
        <w:rPr>
          <w:rFonts w:cs="Arial"/>
          <w:szCs w:val="22"/>
          <w:lang w:val="en-GB"/>
        </w:rPr>
        <w:t xml:space="preserve"> </w:t>
      </w:r>
      <w:r>
        <w:rPr>
          <w:rFonts w:cs="Arial"/>
          <w:szCs w:val="22"/>
          <w:lang w:val="en-GB"/>
        </w:rPr>
        <w:t xml:space="preserve">the Committee to effectively assess </w:t>
      </w:r>
      <w:r w:rsidR="00063682">
        <w:rPr>
          <w:rFonts w:cs="Arial"/>
          <w:szCs w:val="22"/>
          <w:lang w:val="en-GB"/>
        </w:rPr>
        <w:t xml:space="preserve">the current status and viability of these elements already inscribed on the </w:t>
      </w:r>
      <w:r w:rsidR="00063682" w:rsidRPr="00681D05">
        <w:rPr>
          <w:rFonts w:cs="Arial"/>
          <w:szCs w:val="22"/>
          <w:lang w:val="en-GB"/>
        </w:rPr>
        <w:t>List of Intangible Cultural Heritage in Need of Urgent Safeguarding</w:t>
      </w:r>
      <w:r w:rsidR="00063682">
        <w:rPr>
          <w:rFonts w:cs="Arial"/>
          <w:szCs w:val="22"/>
          <w:lang w:val="en-GB"/>
        </w:rPr>
        <w:t xml:space="preserve">. </w:t>
      </w:r>
      <w:r w:rsidR="00BC0D5D">
        <w:rPr>
          <w:rFonts w:cs="Arial"/>
          <w:szCs w:val="22"/>
          <w:lang w:val="en-GB"/>
        </w:rPr>
        <w:t>In other words, t</w:t>
      </w:r>
      <w:r w:rsidR="00063682">
        <w:rPr>
          <w:rFonts w:cs="Arial"/>
          <w:szCs w:val="22"/>
          <w:lang w:val="en-GB"/>
        </w:rPr>
        <w:t xml:space="preserve">he Committee is not </w:t>
      </w:r>
      <w:r w:rsidR="00BC0D5D">
        <w:rPr>
          <w:rFonts w:cs="Arial"/>
          <w:szCs w:val="22"/>
          <w:lang w:val="en-GB"/>
        </w:rPr>
        <w:t xml:space="preserve">in the position </w:t>
      </w:r>
      <w:r w:rsidR="00063682">
        <w:rPr>
          <w:rFonts w:cs="Arial"/>
          <w:szCs w:val="22"/>
          <w:lang w:val="en-GB"/>
        </w:rPr>
        <w:t>to examine those reports and to carry out one of the functions attributed to it by Article 7</w:t>
      </w:r>
      <w:r w:rsidR="00BC0D5D">
        <w:rPr>
          <w:rFonts w:cs="Arial"/>
          <w:szCs w:val="22"/>
          <w:lang w:val="en-GB"/>
        </w:rPr>
        <w:t>(f)</w:t>
      </w:r>
      <w:r w:rsidR="00063682">
        <w:rPr>
          <w:rFonts w:cs="Arial"/>
          <w:szCs w:val="22"/>
          <w:lang w:val="en-GB"/>
        </w:rPr>
        <w:t xml:space="preserve"> of the Convention. It may </w:t>
      </w:r>
      <w:r w:rsidRPr="00B5709F">
        <w:rPr>
          <w:rStyle w:val="hps"/>
          <w:rFonts w:cs="Arial"/>
          <w:szCs w:val="22"/>
          <w:lang w:val="en-GB"/>
        </w:rPr>
        <w:t>therefore wish</w:t>
      </w:r>
      <w:r w:rsidRPr="00B5709F">
        <w:rPr>
          <w:rFonts w:cs="Arial"/>
          <w:szCs w:val="22"/>
          <w:lang w:val="en-GB"/>
        </w:rPr>
        <w:t xml:space="preserve"> </w:t>
      </w:r>
      <w:r w:rsidR="008C3A42" w:rsidRPr="00887836">
        <w:rPr>
          <w:rFonts w:cs="Arial"/>
          <w:szCs w:val="22"/>
          <w:lang w:val="en-GB"/>
        </w:rPr>
        <w:t xml:space="preserve">to discuss </w:t>
      </w:r>
      <w:r w:rsidR="008C3A42">
        <w:rPr>
          <w:rFonts w:cs="Arial"/>
          <w:szCs w:val="22"/>
          <w:lang w:val="en-GB"/>
        </w:rPr>
        <w:t xml:space="preserve">the possibility of abstaining from examining new nominations from States Parties </w:t>
      </w:r>
      <w:r w:rsidR="008C3A42" w:rsidRPr="00887836">
        <w:rPr>
          <w:rFonts w:cs="Arial"/>
          <w:szCs w:val="22"/>
          <w:lang w:val="en-GB"/>
        </w:rPr>
        <w:t>until they fulfil the</w:t>
      </w:r>
      <w:r w:rsidR="008C3A42">
        <w:rPr>
          <w:rFonts w:cs="Arial"/>
          <w:szCs w:val="22"/>
          <w:lang w:val="en-GB"/>
        </w:rPr>
        <w:t>ir</w:t>
      </w:r>
      <w:r w:rsidR="008C3A42" w:rsidRPr="00887836">
        <w:rPr>
          <w:rFonts w:cs="Arial"/>
          <w:szCs w:val="22"/>
          <w:lang w:val="en-GB"/>
        </w:rPr>
        <w:t xml:space="preserve"> obligation to submit </w:t>
      </w:r>
      <w:r w:rsidR="008C3A42">
        <w:rPr>
          <w:rFonts w:cs="Arial"/>
          <w:szCs w:val="22"/>
          <w:lang w:val="en-GB"/>
        </w:rPr>
        <w:t>their</w:t>
      </w:r>
      <w:r w:rsidR="008C3A42" w:rsidRPr="00887836">
        <w:rPr>
          <w:rFonts w:cs="Arial"/>
          <w:szCs w:val="22"/>
          <w:lang w:val="en-GB"/>
        </w:rPr>
        <w:t xml:space="preserve"> periodic report, be it on the status of an element inscribed on the Urgent Safeguarding List or on the implementation of the Convention</w:t>
      </w:r>
      <w:r w:rsidR="008C3A42">
        <w:rPr>
          <w:rFonts w:cs="Arial"/>
          <w:szCs w:val="22"/>
          <w:lang w:val="en-GB"/>
        </w:rPr>
        <w:t>.</w:t>
      </w:r>
    </w:p>
    <w:p w14:paraId="1C8B8AEF" w14:textId="77777777" w:rsidR="00A36606" w:rsidRPr="00681D05" w:rsidRDefault="00A36606" w:rsidP="00063682">
      <w:pPr>
        <w:pStyle w:val="Marge"/>
        <w:numPr>
          <w:ilvl w:val="0"/>
          <w:numId w:val="9"/>
        </w:numPr>
        <w:spacing w:after="120"/>
        <w:ind w:left="567" w:hanging="567"/>
        <w:rPr>
          <w:rFonts w:cs="Arial"/>
          <w:szCs w:val="22"/>
          <w:lang w:val="en-GB"/>
        </w:rPr>
      </w:pPr>
      <w:r w:rsidRPr="00681D05">
        <w:rPr>
          <w:rFonts w:cs="Arial"/>
          <w:szCs w:val="22"/>
          <w:lang w:val="en-GB"/>
        </w:rPr>
        <w:t xml:space="preserve">As mentioned above, such reports are normally submitted four years after inscription and every fourth year thereafter. </w:t>
      </w:r>
      <w:r w:rsidR="00542F75">
        <w:rPr>
          <w:rFonts w:cs="Arial"/>
          <w:szCs w:val="22"/>
          <w:lang w:val="en-GB"/>
        </w:rPr>
        <w:t>At the same time</w:t>
      </w:r>
      <w:r w:rsidRPr="00681D05">
        <w:rPr>
          <w:rFonts w:cs="Arial"/>
          <w:szCs w:val="22"/>
          <w:lang w:val="en-GB"/>
        </w:rPr>
        <w:t xml:space="preserve">, paragraph 161 </w:t>
      </w:r>
      <w:r w:rsidR="00542F75">
        <w:rPr>
          <w:rFonts w:cs="Arial"/>
          <w:szCs w:val="22"/>
          <w:lang w:val="en-GB"/>
        </w:rPr>
        <w:t>stipulates</w:t>
      </w:r>
      <w:r w:rsidR="00542F75" w:rsidRPr="00681D05">
        <w:rPr>
          <w:rFonts w:cs="Arial"/>
          <w:szCs w:val="22"/>
          <w:lang w:val="en-GB"/>
        </w:rPr>
        <w:t xml:space="preserve"> </w:t>
      </w:r>
      <w:r w:rsidRPr="00681D05">
        <w:rPr>
          <w:rFonts w:cs="Arial"/>
          <w:szCs w:val="22"/>
          <w:lang w:val="en-GB"/>
        </w:rPr>
        <w:t xml:space="preserve">that, ‘At the </w:t>
      </w:r>
      <w:proofErr w:type="gramStart"/>
      <w:r w:rsidRPr="00681D05">
        <w:rPr>
          <w:rFonts w:cs="Arial"/>
          <w:szCs w:val="22"/>
          <w:lang w:val="en-GB"/>
        </w:rPr>
        <w:t>time</w:t>
      </w:r>
      <w:proofErr w:type="gramEnd"/>
      <w:r w:rsidRPr="00681D05">
        <w:rPr>
          <w:rFonts w:cs="Arial"/>
          <w:szCs w:val="22"/>
          <w:lang w:val="en-GB"/>
        </w:rPr>
        <w:t xml:space="preserve"> of inscription the Committee may on a case-by-case basis establish a specific timetable for reporting that will take precedence over the normal four-year cycle.’</w:t>
      </w:r>
    </w:p>
    <w:p w14:paraId="305DB5BD" w14:textId="382908D1" w:rsidR="00877CE2" w:rsidRPr="00681D05" w:rsidRDefault="00A36606" w:rsidP="00832823">
      <w:pPr>
        <w:pStyle w:val="Marge"/>
        <w:numPr>
          <w:ilvl w:val="0"/>
          <w:numId w:val="9"/>
        </w:numPr>
        <w:spacing w:after="120"/>
        <w:ind w:left="567" w:hanging="567"/>
        <w:rPr>
          <w:lang w:val="en-GB"/>
        </w:rPr>
      </w:pPr>
      <w:r w:rsidRPr="00681D05">
        <w:rPr>
          <w:lang w:val="en-GB"/>
        </w:rPr>
        <w:lastRenderedPageBreak/>
        <w:t>A</w:t>
      </w:r>
      <w:r w:rsidRPr="00681D05">
        <w:rPr>
          <w:bCs/>
          <w:lang w:val="en-GB"/>
        </w:rPr>
        <w:t>t its eight</w:t>
      </w:r>
      <w:r w:rsidR="003E6F09" w:rsidRPr="00681D05">
        <w:rPr>
          <w:bCs/>
          <w:lang w:val="en-GB"/>
        </w:rPr>
        <w:t>h</w:t>
      </w:r>
      <w:r w:rsidRPr="00681D05">
        <w:rPr>
          <w:bCs/>
          <w:lang w:val="en-GB"/>
        </w:rPr>
        <w:t xml:space="preserve"> session</w:t>
      </w:r>
      <w:r w:rsidR="003E6F09" w:rsidRPr="00681D05">
        <w:rPr>
          <w:bCs/>
          <w:lang w:val="en-GB"/>
        </w:rPr>
        <w:t xml:space="preserve"> in 2013</w:t>
      </w:r>
      <w:r w:rsidRPr="00681D05">
        <w:rPr>
          <w:bCs/>
          <w:lang w:val="en-GB"/>
        </w:rPr>
        <w:t xml:space="preserve">, </w:t>
      </w:r>
      <w:r w:rsidRPr="00681D05">
        <w:rPr>
          <w:lang w:val="en-GB"/>
        </w:rPr>
        <w:t xml:space="preserve">the </w:t>
      </w:r>
      <w:r w:rsidRPr="00681D05">
        <w:rPr>
          <w:rFonts w:cs="Arial"/>
          <w:szCs w:val="22"/>
          <w:lang w:val="en-GB"/>
        </w:rPr>
        <w:t>Committee</w:t>
      </w:r>
      <w:r w:rsidRPr="00681D05">
        <w:rPr>
          <w:lang w:val="en-GB"/>
        </w:rPr>
        <w:t>, exercising paragraph 161 when inscribing two elements on the Urgent Safeguarding List, invited the concerned submitting States ‘to submit a report on the implementation of the safeguarding measures […] for examination by the Committee at its tenth session’.</w:t>
      </w:r>
      <w:r w:rsidR="007808ED" w:rsidRPr="00681D05">
        <w:rPr>
          <w:lang w:val="en-GB"/>
        </w:rPr>
        <w:t xml:space="preserve"> The elements in question are the </w:t>
      </w:r>
      <w:r w:rsidR="007808ED" w:rsidRPr="00BA2CD7">
        <w:rPr>
          <w:lang w:val="en-GB"/>
        </w:rPr>
        <w:t>‘</w:t>
      </w:r>
      <w:proofErr w:type="spellStart"/>
      <w:r w:rsidR="007808ED" w:rsidRPr="0004175D">
        <w:rPr>
          <w:lang w:val="en-GB"/>
        </w:rPr>
        <w:t>Paach</w:t>
      </w:r>
      <w:proofErr w:type="spellEnd"/>
      <w:r w:rsidR="007808ED" w:rsidRPr="0004175D">
        <w:rPr>
          <w:lang w:val="en-GB"/>
        </w:rPr>
        <w:t xml:space="preserve"> ceremony</w:t>
      </w:r>
      <w:r w:rsidR="007808ED" w:rsidRPr="00BA2CD7">
        <w:rPr>
          <w:lang w:val="en-GB"/>
        </w:rPr>
        <w:t>’</w:t>
      </w:r>
      <w:r w:rsidR="003E7655">
        <w:rPr>
          <w:lang w:val="en-GB"/>
        </w:rPr>
        <w:t xml:space="preserve"> </w:t>
      </w:r>
      <w:r w:rsidR="007808ED" w:rsidRPr="00681D05">
        <w:rPr>
          <w:lang w:val="en-GB"/>
        </w:rPr>
        <w:t xml:space="preserve">(file number </w:t>
      </w:r>
      <w:hyperlink r:id="rId17" w:history="1">
        <w:r w:rsidR="007808ED" w:rsidRPr="00681D05">
          <w:rPr>
            <w:rStyle w:val="Hyperlink"/>
            <w:lang w:val="en-GB"/>
          </w:rPr>
          <w:t>00863</w:t>
        </w:r>
      </w:hyperlink>
      <w:r w:rsidR="007808ED" w:rsidRPr="00681D05">
        <w:rPr>
          <w:lang w:val="en-GB"/>
        </w:rPr>
        <w:t xml:space="preserve"> – Decision 8.COM 7.a.5) </w:t>
      </w:r>
      <w:r w:rsidR="005277C7">
        <w:rPr>
          <w:lang w:val="en-GB"/>
        </w:rPr>
        <w:t>nominated</w:t>
      </w:r>
      <w:r w:rsidR="005277C7" w:rsidRPr="00681D05">
        <w:rPr>
          <w:lang w:val="en-GB"/>
        </w:rPr>
        <w:t xml:space="preserve"> </w:t>
      </w:r>
      <w:r w:rsidR="007808ED" w:rsidRPr="00681D05">
        <w:rPr>
          <w:lang w:val="en-GB"/>
        </w:rPr>
        <w:t xml:space="preserve">by Guatemala, and </w:t>
      </w:r>
      <w:r w:rsidR="007808ED" w:rsidRPr="00BA2CD7">
        <w:rPr>
          <w:lang w:val="en-GB"/>
        </w:rPr>
        <w:t>‘</w:t>
      </w:r>
      <w:proofErr w:type="spellStart"/>
      <w:r w:rsidR="007808ED" w:rsidRPr="0004175D">
        <w:rPr>
          <w:lang w:val="en-GB"/>
        </w:rPr>
        <w:t>Empaako</w:t>
      </w:r>
      <w:proofErr w:type="spellEnd"/>
      <w:r w:rsidR="007808ED" w:rsidRPr="0004175D">
        <w:rPr>
          <w:lang w:val="en-GB"/>
        </w:rPr>
        <w:t xml:space="preserve"> tradition of the </w:t>
      </w:r>
      <w:proofErr w:type="spellStart"/>
      <w:r w:rsidR="007808ED" w:rsidRPr="0004175D">
        <w:rPr>
          <w:lang w:val="en-GB"/>
        </w:rPr>
        <w:t>Batooro</w:t>
      </w:r>
      <w:proofErr w:type="spellEnd"/>
      <w:r w:rsidR="007808ED" w:rsidRPr="0004175D">
        <w:rPr>
          <w:lang w:val="en-GB"/>
        </w:rPr>
        <w:t xml:space="preserve">, </w:t>
      </w:r>
      <w:proofErr w:type="spellStart"/>
      <w:r w:rsidR="007808ED" w:rsidRPr="0004175D">
        <w:rPr>
          <w:lang w:val="en-GB"/>
        </w:rPr>
        <w:t>Banyoro</w:t>
      </w:r>
      <w:proofErr w:type="spellEnd"/>
      <w:r w:rsidR="007808ED" w:rsidRPr="0004175D">
        <w:rPr>
          <w:lang w:val="en-GB"/>
        </w:rPr>
        <w:t xml:space="preserve">, </w:t>
      </w:r>
      <w:proofErr w:type="spellStart"/>
      <w:r w:rsidR="007808ED" w:rsidRPr="0004175D">
        <w:rPr>
          <w:lang w:val="en-GB"/>
        </w:rPr>
        <w:t>Batuku</w:t>
      </w:r>
      <w:proofErr w:type="spellEnd"/>
      <w:r w:rsidR="007808ED" w:rsidRPr="0004175D">
        <w:rPr>
          <w:lang w:val="en-GB"/>
        </w:rPr>
        <w:t xml:space="preserve">, </w:t>
      </w:r>
      <w:proofErr w:type="spellStart"/>
      <w:r w:rsidR="007808ED" w:rsidRPr="0004175D">
        <w:rPr>
          <w:lang w:val="en-GB"/>
        </w:rPr>
        <w:t>Batagwenda</w:t>
      </w:r>
      <w:proofErr w:type="spellEnd"/>
      <w:r w:rsidR="007808ED" w:rsidRPr="0004175D">
        <w:rPr>
          <w:lang w:val="en-GB"/>
        </w:rPr>
        <w:t xml:space="preserve"> and </w:t>
      </w:r>
      <w:proofErr w:type="spellStart"/>
      <w:r w:rsidR="007808ED" w:rsidRPr="0004175D">
        <w:rPr>
          <w:lang w:val="en-GB"/>
        </w:rPr>
        <w:t>Banyabindi</w:t>
      </w:r>
      <w:proofErr w:type="spellEnd"/>
      <w:r w:rsidR="007808ED" w:rsidRPr="0004175D">
        <w:rPr>
          <w:lang w:val="en-GB"/>
        </w:rPr>
        <w:t xml:space="preserve"> of western Uganda</w:t>
      </w:r>
      <w:r w:rsidR="007808ED" w:rsidRPr="00BA2CD7">
        <w:rPr>
          <w:lang w:val="en-GB"/>
        </w:rPr>
        <w:t>’</w:t>
      </w:r>
      <w:r w:rsidR="003E7655">
        <w:rPr>
          <w:lang w:val="en-GB"/>
        </w:rPr>
        <w:t xml:space="preserve"> </w:t>
      </w:r>
      <w:r w:rsidR="007808ED" w:rsidRPr="00681D05">
        <w:rPr>
          <w:lang w:val="en-GB"/>
        </w:rPr>
        <w:t xml:space="preserve">(file number </w:t>
      </w:r>
      <w:hyperlink r:id="rId18" w:history="1">
        <w:r w:rsidR="007808ED" w:rsidRPr="00681D05">
          <w:rPr>
            <w:rStyle w:val="Hyperlink"/>
            <w:lang w:val="en-GB"/>
          </w:rPr>
          <w:t>00904</w:t>
        </w:r>
      </w:hyperlink>
      <w:r w:rsidR="007808ED" w:rsidRPr="00681D05">
        <w:rPr>
          <w:lang w:val="en-GB"/>
        </w:rPr>
        <w:t xml:space="preserve"> – Decision 8.COM 7.a.12) </w:t>
      </w:r>
      <w:r w:rsidR="005277C7">
        <w:rPr>
          <w:lang w:val="en-GB"/>
        </w:rPr>
        <w:t>nominated</w:t>
      </w:r>
      <w:r w:rsidR="005277C7" w:rsidRPr="00681D05">
        <w:rPr>
          <w:lang w:val="en-GB"/>
        </w:rPr>
        <w:t xml:space="preserve"> </w:t>
      </w:r>
      <w:r w:rsidR="007808ED" w:rsidRPr="00681D05">
        <w:rPr>
          <w:lang w:val="en-GB"/>
        </w:rPr>
        <w:t>by Uganda.</w:t>
      </w:r>
    </w:p>
    <w:p w14:paraId="1611CF02" w14:textId="5320240E" w:rsidR="007808ED" w:rsidRPr="00681D05" w:rsidRDefault="007808ED" w:rsidP="007F5F9A">
      <w:pPr>
        <w:pStyle w:val="Marge"/>
        <w:numPr>
          <w:ilvl w:val="0"/>
          <w:numId w:val="9"/>
        </w:numPr>
        <w:spacing w:after="120"/>
        <w:ind w:left="567" w:hanging="567"/>
        <w:rPr>
          <w:lang w:val="en-GB"/>
        </w:rPr>
      </w:pPr>
      <w:r w:rsidRPr="00681D05">
        <w:rPr>
          <w:bCs/>
          <w:lang w:val="en-GB"/>
        </w:rPr>
        <w:t>After receipt of the three reports</w:t>
      </w:r>
      <w:r w:rsidRPr="00681D05">
        <w:rPr>
          <w:lang w:val="en-GB"/>
        </w:rPr>
        <w:t>, the Secretariat informed</w:t>
      </w:r>
      <w:r w:rsidRPr="00681D05">
        <w:rPr>
          <w:bCs/>
          <w:lang w:val="en-GB"/>
        </w:rPr>
        <w:t xml:space="preserve"> the States Parties concerned</w:t>
      </w:r>
      <w:r w:rsidRPr="00681D05">
        <w:rPr>
          <w:lang w:val="en-GB"/>
        </w:rPr>
        <w:t xml:space="preserve"> about missing information and advised them how to complete their reports. The</w:t>
      </w:r>
      <w:r w:rsidR="00210DCC" w:rsidRPr="00681D05">
        <w:rPr>
          <w:lang w:val="en-GB"/>
        </w:rPr>
        <w:t xml:space="preserve"> reports</w:t>
      </w:r>
      <w:r w:rsidRPr="00681D05">
        <w:rPr>
          <w:lang w:val="en-GB"/>
        </w:rPr>
        <w:t xml:space="preserve"> are available at: </w:t>
      </w:r>
      <w:hyperlink r:id="rId19" w:history="1">
        <w:r w:rsidRPr="00681D05">
          <w:rPr>
            <w:rStyle w:val="Hyperlink"/>
            <w:rFonts w:eastAsia="SimSun"/>
            <w:lang w:val="en-GB"/>
          </w:rPr>
          <w:t>http://www.unesco.org/culture/ich/en/10.COM/USL reports</w:t>
        </w:r>
      </w:hyperlink>
      <w:r w:rsidRPr="00681D05">
        <w:rPr>
          <w:rFonts w:eastAsia="SimSun"/>
          <w:lang w:val="en-GB"/>
        </w:rPr>
        <w:t xml:space="preserve">. </w:t>
      </w:r>
      <w:r w:rsidRPr="00681D05">
        <w:rPr>
          <w:lang w:val="en-GB"/>
        </w:rPr>
        <w:t xml:space="preserve">The present document </w:t>
      </w:r>
      <w:r w:rsidR="005277C7">
        <w:rPr>
          <w:lang w:val="en-GB"/>
        </w:rPr>
        <w:t>includes an</w:t>
      </w:r>
      <w:r w:rsidR="005277C7" w:rsidRPr="00681D05">
        <w:rPr>
          <w:lang w:val="en-GB"/>
        </w:rPr>
        <w:t xml:space="preserve"> overview of the reports received </w:t>
      </w:r>
      <w:r w:rsidR="005277C7">
        <w:rPr>
          <w:lang w:val="en-GB"/>
        </w:rPr>
        <w:t xml:space="preserve">and </w:t>
      </w:r>
      <w:r w:rsidRPr="00681D05">
        <w:rPr>
          <w:lang w:val="en-GB"/>
        </w:rPr>
        <w:t xml:space="preserve">a set of draft decisions for the Committee’s consideration, </w:t>
      </w:r>
      <w:r w:rsidR="00BA2CD7">
        <w:rPr>
          <w:lang w:val="en-GB"/>
        </w:rPr>
        <w:t xml:space="preserve">with </w:t>
      </w:r>
      <w:r w:rsidRPr="00681D05">
        <w:rPr>
          <w:lang w:val="en-GB"/>
        </w:rPr>
        <w:t>one for each report</w:t>
      </w:r>
      <w:r w:rsidR="00210DCC" w:rsidRPr="00681D05">
        <w:rPr>
          <w:lang w:val="en-GB"/>
        </w:rPr>
        <w:t xml:space="preserve"> as follows:</w:t>
      </w:r>
      <w:bookmarkStart w:id="2" w:name="Drafts_decisions"/>
      <w:bookmarkEnd w:id="2"/>
    </w:p>
    <w:tbl>
      <w:tblPr>
        <w:tblW w:w="4579"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1409"/>
        <w:gridCol w:w="1408"/>
        <w:gridCol w:w="5123"/>
        <w:gridCol w:w="991"/>
      </w:tblGrid>
      <w:tr w:rsidR="00877CE2" w:rsidRPr="00681D05" w14:paraId="48CA7595" w14:textId="77777777" w:rsidTr="006A6678">
        <w:trPr>
          <w:cantSplit/>
          <w:tblHeader/>
        </w:trPr>
        <w:tc>
          <w:tcPr>
            <w:tcW w:w="789" w:type="pct"/>
            <w:tcBorders>
              <w:top w:val="single" w:sz="4" w:space="0" w:color="auto"/>
              <w:left w:val="single" w:sz="4" w:space="0" w:color="auto"/>
              <w:bottom w:val="single" w:sz="4" w:space="0" w:color="auto"/>
              <w:right w:val="nil"/>
            </w:tcBorders>
            <w:shd w:val="clear" w:color="auto" w:fill="BFBFBF"/>
            <w:vAlign w:val="center"/>
            <w:hideMark/>
          </w:tcPr>
          <w:p w14:paraId="443F2DCF" w14:textId="77777777" w:rsidR="00877CE2" w:rsidRPr="00681D05" w:rsidRDefault="00877CE2"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Draft Decision</w:t>
            </w:r>
          </w:p>
        </w:tc>
        <w:tc>
          <w:tcPr>
            <w:tcW w:w="788" w:type="pct"/>
            <w:tcBorders>
              <w:top w:val="single" w:sz="4" w:space="0" w:color="auto"/>
              <w:left w:val="nil"/>
              <w:bottom w:val="single" w:sz="4" w:space="0" w:color="auto"/>
              <w:right w:val="nil"/>
            </w:tcBorders>
            <w:shd w:val="clear" w:color="auto" w:fill="BFBFBF"/>
            <w:vAlign w:val="center"/>
            <w:hideMark/>
          </w:tcPr>
          <w:p w14:paraId="46CD2CE0" w14:textId="77777777" w:rsidR="00877CE2" w:rsidRPr="00681D05" w:rsidRDefault="00877CE2"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Submitting State</w:t>
            </w:r>
          </w:p>
        </w:tc>
        <w:tc>
          <w:tcPr>
            <w:tcW w:w="2868" w:type="pct"/>
            <w:tcBorders>
              <w:top w:val="single" w:sz="4" w:space="0" w:color="auto"/>
              <w:left w:val="nil"/>
              <w:bottom w:val="single" w:sz="4" w:space="0" w:color="auto"/>
              <w:right w:val="nil"/>
            </w:tcBorders>
            <w:shd w:val="clear" w:color="auto" w:fill="BFBFBF"/>
            <w:vAlign w:val="center"/>
            <w:hideMark/>
          </w:tcPr>
          <w:p w14:paraId="483F5C93" w14:textId="77777777" w:rsidR="00877CE2" w:rsidRPr="00681D05" w:rsidRDefault="00877CE2"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Element</w:t>
            </w:r>
          </w:p>
        </w:tc>
        <w:tc>
          <w:tcPr>
            <w:tcW w:w="555" w:type="pct"/>
            <w:tcBorders>
              <w:top w:val="single" w:sz="4" w:space="0" w:color="auto"/>
              <w:left w:val="nil"/>
              <w:bottom w:val="single" w:sz="4" w:space="0" w:color="auto"/>
              <w:right w:val="single" w:sz="4" w:space="0" w:color="auto"/>
            </w:tcBorders>
            <w:shd w:val="clear" w:color="auto" w:fill="BFBFBF"/>
            <w:vAlign w:val="center"/>
            <w:hideMark/>
          </w:tcPr>
          <w:p w14:paraId="41CF4D04" w14:textId="77777777" w:rsidR="00877CE2" w:rsidRPr="00681D05" w:rsidRDefault="00877CE2" w:rsidP="006A6678">
            <w:pPr>
              <w:spacing w:before="120" w:after="120"/>
              <w:jc w:val="center"/>
              <w:rPr>
                <w:rFonts w:ascii="Arial" w:hAnsi="Arial" w:cs="Arial"/>
                <w:color w:val="000000"/>
                <w:sz w:val="18"/>
                <w:szCs w:val="18"/>
                <w:lang w:val="en-GB"/>
              </w:rPr>
            </w:pPr>
            <w:r w:rsidRPr="00681D05">
              <w:rPr>
                <w:rFonts w:ascii="Arial" w:hAnsi="Arial" w:cs="Arial"/>
                <w:b/>
                <w:bCs/>
                <w:color w:val="000000"/>
                <w:sz w:val="18"/>
                <w:szCs w:val="18"/>
                <w:lang w:val="en-GB" w:eastAsia="en-GB"/>
              </w:rPr>
              <w:t>File No.</w:t>
            </w:r>
          </w:p>
        </w:tc>
      </w:tr>
      <w:tr w:rsidR="00877CE2" w:rsidRPr="00681D05" w14:paraId="1FCBB2D7" w14:textId="77777777" w:rsidTr="00712E75">
        <w:trPr>
          <w:cantSplit/>
        </w:trPr>
        <w:tc>
          <w:tcPr>
            <w:tcW w:w="789" w:type="pct"/>
            <w:tcBorders>
              <w:top w:val="single" w:sz="4" w:space="0" w:color="auto"/>
              <w:left w:val="single" w:sz="4" w:space="0" w:color="auto"/>
              <w:bottom w:val="single" w:sz="4" w:space="0" w:color="auto"/>
              <w:right w:val="nil"/>
            </w:tcBorders>
          </w:tcPr>
          <w:p w14:paraId="1A0DBAE2" w14:textId="6D9553F8" w:rsidR="00877CE2" w:rsidRPr="0000240B" w:rsidRDefault="00173282" w:rsidP="009F121E">
            <w:pPr>
              <w:spacing w:before="120" w:after="120"/>
              <w:rPr>
                <w:rFonts w:ascii="Arial" w:hAnsi="Arial" w:cs="Arial"/>
                <w:bCs/>
                <w:color w:val="000000"/>
                <w:sz w:val="20"/>
                <w:szCs w:val="20"/>
                <w:lang w:val="en-GB" w:eastAsia="en-GB"/>
              </w:rPr>
            </w:pPr>
            <w:hyperlink w:anchor="Dec10COM_6b1" w:history="1">
              <w:r w:rsidR="00210DCC" w:rsidRPr="0000240B">
                <w:rPr>
                  <w:rStyle w:val="Hyperlink"/>
                  <w:rFonts w:ascii="Arial" w:hAnsi="Arial" w:cs="Arial"/>
                  <w:bCs/>
                  <w:sz w:val="20"/>
                  <w:szCs w:val="20"/>
                  <w:lang w:val="en-GB" w:eastAsia="en-GB"/>
                </w:rPr>
                <w:t>10.COM 6.b.1</w:t>
              </w:r>
            </w:hyperlink>
          </w:p>
        </w:tc>
        <w:tc>
          <w:tcPr>
            <w:tcW w:w="788" w:type="pct"/>
            <w:tcBorders>
              <w:top w:val="single" w:sz="4" w:space="0" w:color="auto"/>
              <w:left w:val="nil"/>
              <w:bottom w:val="single" w:sz="4" w:space="0" w:color="auto"/>
              <w:right w:val="nil"/>
            </w:tcBorders>
          </w:tcPr>
          <w:p w14:paraId="1BC73D35" w14:textId="77777777" w:rsidR="00877CE2" w:rsidRPr="00681D05" w:rsidRDefault="00210DCC" w:rsidP="00712E75">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Croatia</w:t>
            </w:r>
          </w:p>
        </w:tc>
        <w:tc>
          <w:tcPr>
            <w:tcW w:w="2868" w:type="pct"/>
            <w:tcBorders>
              <w:top w:val="single" w:sz="4" w:space="0" w:color="auto"/>
              <w:left w:val="nil"/>
              <w:bottom w:val="single" w:sz="4" w:space="0" w:color="auto"/>
              <w:right w:val="nil"/>
            </w:tcBorders>
          </w:tcPr>
          <w:p w14:paraId="4583CA35" w14:textId="77777777" w:rsidR="00877CE2" w:rsidRPr="00681D05" w:rsidRDefault="00210DCC" w:rsidP="009F121E">
            <w:pPr>
              <w:spacing w:before="120" w:after="120"/>
              <w:rPr>
                <w:rFonts w:ascii="Arial" w:hAnsi="Arial" w:cs="Arial"/>
                <w:color w:val="000000"/>
                <w:sz w:val="20"/>
                <w:szCs w:val="20"/>
                <w:lang w:val="en-GB"/>
              </w:rPr>
            </w:pPr>
            <w:proofErr w:type="spellStart"/>
            <w:r w:rsidRPr="00681D05">
              <w:rPr>
                <w:rFonts w:ascii="Arial" w:hAnsi="Arial" w:cs="Arial"/>
                <w:color w:val="000000"/>
                <w:sz w:val="20"/>
                <w:szCs w:val="20"/>
                <w:lang w:val="en-GB"/>
              </w:rPr>
              <w:t>Ojkanje</w:t>
            </w:r>
            <w:proofErr w:type="spellEnd"/>
            <w:r w:rsidRPr="00681D05">
              <w:rPr>
                <w:rFonts w:ascii="Arial" w:hAnsi="Arial" w:cs="Arial"/>
                <w:color w:val="000000"/>
                <w:sz w:val="20"/>
                <w:szCs w:val="20"/>
                <w:lang w:val="en-GB"/>
              </w:rPr>
              <w:t xml:space="preserve"> singing</w:t>
            </w:r>
          </w:p>
        </w:tc>
        <w:tc>
          <w:tcPr>
            <w:tcW w:w="555" w:type="pct"/>
            <w:tcBorders>
              <w:top w:val="single" w:sz="4" w:space="0" w:color="auto"/>
              <w:left w:val="nil"/>
              <w:bottom w:val="single" w:sz="4" w:space="0" w:color="auto"/>
              <w:right w:val="single" w:sz="4" w:space="0" w:color="auto"/>
            </w:tcBorders>
          </w:tcPr>
          <w:p w14:paraId="6BF136AE" w14:textId="77777777" w:rsidR="00877CE2" w:rsidRPr="00681D05" w:rsidRDefault="00173282" w:rsidP="00712E75">
            <w:pPr>
              <w:spacing w:before="120" w:after="120"/>
              <w:jc w:val="center"/>
              <w:rPr>
                <w:rFonts w:ascii="Arial" w:hAnsi="Arial" w:cs="Arial"/>
                <w:color w:val="000000"/>
                <w:sz w:val="20"/>
                <w:szCs w:val="20"/>
                <w:lang w:val="en-GB"/>
              </w:rPr>
            </w:pPr>
            <w:hyperlink r:id="rId20" w:history="1">
              <w:r w:rsidR="00210DCC" w:rsidRPr="00681D05">
                <w:rPr>
                  <w:rStyle w:val="Hyperlink"/>
                  <w:rFonts w:ascii="Arial" w:hAnsi="Arial" w:cs="Arial"/>
                  <w:sz w:val="20"/>
                  <w:szCs w:val="20"/>
                  <w:lang w:val="en-GB"/>
                </w:rPr>
                <w:t>00320</w:t>
              </w:r>
            </w:hyperlink>
          </w:p>
        </w:tc>
      </w:tr>
      <w:tr w:rsidR="00877CE2" w:rsidRPr="00681D05" w14:paraId="501DB219" w14:textId="77777777" w:rsidTr="00712E75">
        <w:trPr>
          <w:cantSplit/>
        </w:trPr>
        <w:tc>
          <w:tcPr>
            <w:tcW w:w="789" w:type="pct"/>
            <w:tcBorders>
              <w:top w:val="single" w:sz="4" w:space="0" w:color="auto"/>
              <w:left w:val="single" w:sz="4" w:space="0" w:color="auto"/>
              <w:bottom w:val="single" w:sz="4" w:space="0" w:color="auto"/>
              <w:right w:val="nil"/>
            </w:tcBorders>
          </w:tcPr>
          <w:p w14:paraId="64989EDF" w14:textId="4447871E" w:rsidR="00877CE2" w:rsidRPr="0000240B" w:rsidRDefault="00173282" w:rsidP="009F121E">
            <w:pPr>
              <w:spacing w:before="120" w:after="120"/>
              <w:rPr>
                <w:rFonts w:ascii="Arial" w:hAnsi="Arial" w:cs="Arial"/>
                <w:bCs/>
                <w:color w:val="000000"/>
                <w:sz w:val="20"/>
                <w:szCs w:val="20"/>
                <w:lang w:val="en-GB" w:eastAsia="en-GB"/>
              </w:rPr>
            </w:pPr>
            <w:hyperlink w:anchor="Dec10COM_6b2" w:history="1">
              <w:r w:rsidR="00210DCC" w:rsidRPr="0000240B">
                <w:rPr>
                  <w:rStyle w:val="Hyperlink"/>
                  <w:rFonts w:ascii="Arial" w:hAnsi="Arial" w:cs="Arial"/>
                  <w:bCs/>
                  <w:sz w:val="20"/>
                  <w:szCs w:val="20"/>
                  <w:lang w:val="en-GB" w:eastAsia="en-GB"/>
                </w:rPr>
                <w:t>10.COM 6.b.2</w:t>
              </w:r>
            </w:hyperlink>
          </w:p>
        </w:tc>
        <w:tc>
          <w:tcPr>
            <w:tcW w:w="788" w:type="pct"/>
            <w:tcBorders>
              <w:top w:val="single" w:sz="4" w:space="0" w:color="auto"/>
              <w:left w:val="nil"/>
              <w:bottom w:val="single" w:sz="4" w:space="0" w:color="auto"/>
              <w:right w:val="nil"/>
            </w:tcBorders>
          </w:tcPr>
          <w:p w14:paraId="4E13B6C4" w14:textId="77777777" w:rsidR="00877CE2" w:rsidRPr="00681D05" w:rsidRDefault="00210DCC" w:rsidP="00712E75">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Guatemala</w:t>
            </w:r>
          </w:p>
        </w:tc>
        <w:tc>
          <w:tcPr>
            <w:tcW w:w="2868" w:type="pct"/>
            <w:tcBorders>
              <w:top w:val="single" w:sz="4" w:space="0" w:color="auto"/>
              <w:left w:val="nil"/>
              <w:bottom w:val="single" w:sz="4" w:space="0" w:color="auto"/>
              <w:right w:val="nil"/>
            </w:tcBorders>
          </w:tcPr>
          <w:p w14:paraId="65574A4D" w14:textId="77777777" w:rsidR="00877CE2" w:rsidRPr="00681D05" w:rsidRDefault="00210DCC" w:rsidP="009F121E">
            <w:pPr>
              <w:spacing w:before="120" w:after="120"/>
              <w:rPr>
                <w:rFonts w:ascii="Arial" w:hAnsi="Arial" w:cs="Arial"/>
                <w:color w:val="000000"/>
                <w:sz w:val="20"/>
                <w:szCs w:val="20"/>
                <w:lang w:val="en-GB"/>
              </w:rPr>
            </w:pPr>
            <w:proofErr w:type="spellStart"/>
            <w:r w:rsidRPr="00681D05">
              <w:rPr>
                <w:rFonts w:ascii="Arial" w:hAnsi="Arial" w:cs="Arial"/>
                <w:color w:val="000000"/>
                <w:sz w:val="20"/>
                <w:szCs w:val="20"/>
                <w:lang w:val="en-GB"/>
              </w:rPr>
              <w:t>Paach</w:t>
            </w:r>
            <w:proofErr w:type="spellEnd"/>
            <w:r w:rsidRPr="00681D05">
              <w:rPr>
                <w:rFonts w:ascii="Arial" w:hAnsi="Arial" w:cs="Arial"/>
                <w:color w:val="000000"/>
                <w:sz w:val="20"/>
                <w:szCs w:val="20"/>
                <w:lang w:val="en-GB"/>
              </w:rPr>
              <w:t xml:space="preserve"> ceremony</w:t>
            </w:r>
          </w:p>
        </w:tc>
        <w:tc>
          <w:tcPr>
            <w:tcW w:w="555" w:type="pct"/>
            <w:tcBorders>
              <w:top w:val="single" w:sz="4" w:space="0" w:color="auto"/>
              <w:left w:val="nil"/>
              <w:bottom w:val="single" w:sz="4" w:space="0" w:color="auto"/>
              <w:right w:val="single" w:sz="4" w:space="0" w:color="auto"/>
            </w:tcBorders>
          </w:tcPr>
          <w:p w14:paraId="60CA68A7" w14:textId="77777777" w:rsidR="00877CE2" w:rsidRPr="00681D05" w:rsidRDefault="00173282" w:rsidP="00712E75">
            <w:pPr>
              <w:spacing w:before="120" w:after="120"/>
              <w:jc w:val="center"/>
              <w:rPr>
                <w:rFonts w:ascii="Arial" w:hAnsi="Arial" w:cs="Arial"/>
                <w:color w:val="000000"/>
                <w:sz w:val="20"/>
                <w:szCs w:val="20"/>
                <w:lang w:val="en-GB"/>
              </w:rPr>
            </w:pPr>
            <w:hyperlink r:id="rId21" w:history="1">
              <w:r w:rsidR="00210DCC" w:rsidRPr="00681D05">
                <w:rPr>
                  <w:rStyle w:val="Hyperlink"/>
                  <w:rFonts w:ascii="Arial" w:hAnsi="Arial" w:cs="Arial"/>
                  <w:sz w:val="20"/>
                  <w:szCs w:val="20"/>
                  <w:lang w:val="en-GB"/>
                </w:rPr>
                <w:t>00863</w:t>
              </w:r>
            </w:hyperlink>
          </w:p>
        </w:tc>
      </w:tr>
      <w:tr w:rsidR="00877CE2" w:rsidRPr="00681D05" w14:paraId="0E0DE162" w14:textId="77777777" w:rsidTr="00712E75">
        <w:trPr>
          <w:cantSplit/>
        </w:trPr>
        <w:tc>
          <w:tcPr>
            <w:tcW w:w="789" w:type="pct"/>
            <w:tcBorders>
              <w:top w:val="single" w:sz="4" w:space="0" w:color="auto"/>
              <w:left w:val="single" w:sz="4" w:space="0" w:color="auto"/>
              <w:bottom w:val="single" w:sz="4" w:space="0" w:color="auto"/>
              <w:right w:val="nil"/>
            </w:tcBorders>
          </w:tcPr>
          <w:p w14:paraId="1E464459" w14:textId="032C1F0D" w:rsidR="00877CE2" w:rsidRPr="0000240B" w:rsidRDefault="00173282" w:rsidP="009F121E">
            <w:pPr>
              <w:spacing w:before="120" w:after="120"/>
              <w:rPr>
                <w:rFonts w:ascii="Arial" w:hAnsi="Arial" w:cs="Arial"/>
                <w:bCs/>
                <w:color w:val="000000"/>
                <w:sz w:val="20"/>
                <w:szCs w:val="20"/>
                <w:lang w:val="en-GB" w:eastAsia="en-GB"/>
              </w:rPr>
            </w:pPr>
            <w:hyperlink w:anchor="Dec10COM_6b3" w:history="1">
              <w:r w:rsidR="00210DCC" w:rsidRPr="0000240B">
                <w:rPr>
                  <w:rStyle w:val="Hyperlink"/>
                  <w:rFonts w:ascii="Arial" w:hAnsi="Arial" w:cs="Arial"/>
                  <w:bCs/>
                  <w:sz w:val="20"/>
                  <w:szCs w:val="20"/>
                  <w:lang w:val="en-GB" w:eastAsia="en-GB"/>
                </w:rPr>
                <w:t>10.COM 6.b.3</w:t>
              </w:r>
            </w:hyperlink>
          </w:p>
        </w:tc>
        <w:tc>
          <w:tcPr>
            <w:tcW w:w="788" w:type="pct"/>
            <w:tcBorders>
              <w:top w:val="single" w:sz="4" w:space="0" w:color="auto"/>
              <w:left w:val="nil"/>
              <w:bottom w:val="single" w:sz="4" w:space="0" w:color="auto"/>
              <w:right w:val="nil"/>
            </w:tcBorders>
          </w:tcPr>
          <w:p w14:paraId="08B8C6F4" w14:textId="77777777" w:rsidR="00877CE2" w:rsidRPr="00681D05" w:rsidRDefault="00210DCC" w:rsidP="00712E75">
            <w:pPr>
              <w:spacing w:before="120" w:after="120"/>
              <w:jc w:val="center"/>
              <w:rPr>
                <w:rFonts w:ascii="Arial" w:hAnsi="Arial" w:cs="Arial"/>
                <w:color w:val="000000"/>
                <w:sz w:val="20"/>
                <w:szCs w:val="20"/>
                <w:lang w:val="en-GB"/>
              </w:rPr>
            </w:pPr>
            <w:r w:rsidRPr="00681D05">
              <w:rPr>
                <w:rFonts w:ascii="Arial" w:hAnsi="Arial" w:cs="Arial"/>
                <w:color w:val="000000"/>
                <w:sz w:val="20"/>
                <w:szCs w:val="20"/>
                <w:lang w:val="en-GB"/>
              </w:rPr>
              <w:t>Uganda</w:t>
            </w:r>
          </w:p>
        </w:tc>
        <w:tc>
          <w:tcPr>
            <w:tcW w:w="2868" w:type="pct"/>
            <w:tcBorders>
              <w:top w:val="single" w:sz="4" w:space="0" w:color="auto"/>
              <w:left w:val="nil"/>
              <w:bottom w:val="single" w:sz="4" w:space="0" w:color="auto"/>
              <w:right w:val="nil"/>
            </w:tcBorders>
          </w:tcPr>
          <w:p w14:paraId="33B53018" w14:textId="77777777" w:rsidR="00877CE2" w:rsidRPr="00681D05" w:rsidRDefault="00210DCC" w:rsidP="009F121E">
            <w:pPr>
              <w:spacing w:before="120" w:after="120"/>
              <w:rPr>
                <w:rFonts w:ascii="Arial" w:hAnsi="Arial" w:cs="Arial"/>
                <w:color w:val="000000"/>
                <w:sz w:val="20"/>
                <w:szCs w:val="20"/>
                <w:lang w:val="en-GB"/>
              </w:rPr>
            </w:pPr>
            <w:proofErr w:type="spellStart"/>
            <w:r w:rsidRPr="00681D05">
              <w:rPr>
                <w:rFonts w:ascii="Arial" w:hAnsi="Arial" w:cs="Arial"/>
                <w:color w:val="000000"/>
                <w:sz w:val="20"/>
                <w:szCs w:val="20"/>
                <w:lang w:val="en-GB"/>
              </w:rPr>
              <w:t>Empaako</w:t>
            </w:r>
            <w:proofErr w:type="spellEnd"/>
            <w:r w:rsidRPr="00681D05">
              <w:rPr>
                <w:rFonts w:ascii="Arial" w:hAnsi="Arial" w:cs="Arial"/>
                <w:color w:val="000000"/>
                <w:sz w:val="20"/>
                <w:szCs w:val="20"/>
                <w:lang w:val="en-GB"/>
              </w:rPr>
              <w:t xml:space="preserve"> tradition of the </w:t>
            </w:r>
            <w:proofErr w:type="spellStart"/>
            <w:r w:rsidRPr="00681D05">
              <w:rPr>
                <w:rFonts w:ascii="Arial" w:hAnsi="Arial" w:cs="Arial"/>
                <w:color w:val="000000"/>
                <w:sz w:val="20"/>
                <w:szCs w:val="20"/>
                <w:lang w:val="en-GB"/>
              </w:rPr>
              <w:t>Batooro</w:t>
            </w:r>
            <w:proofErr w:type="spellEnd"/>
            <w:r w:rsidRPr="00681D05">
              <w:rPr>
                <w:rFonts w:ascii="Arial" w:hAnsi="Arial" w:cs="Arial"/>
                <w:color w:val="000000"/>
                <w:sz w:val="20"/>
                <w:szCs w:val="20"/>
                <w:lang w:val="en-GB"/>
              </w:rPr>
              <w:t xml:space="preserve">, </w:t>
            </w:r>
            <w:proofErr w:type="spellStart"/>
            <w:r w:rsidRPr="00681D05">
              <w:rPr>
                <w:rFonts w:ascii="Arial" w:hAnsi="Arial" w:cs="Arial"/>
                <w:color w:val="000000"/>
                <w:sz w:val="20"/>
                <w:szCs w:val="20"/>
                <w:lang w:val="en-GB"/>
              </w:rPr>
              <w:t>Banyoro</w:t>
            </w:r>
            <w:proofErr w:type="spellEnd"/>
            <w:r w:rsidRPr="00681D05">
              <w:rPr>
                <w:rFonts w:ascii="Arial" w:hAnsi="Arial" w:cs="Arial"/>
                <w:color w:val="000000"/>
                <w:sz w:val="20"/>
                <w:szCs w:val="20"/>
                <w:lang w:val="en-GB"/>
              </w:rPr>
              <w:t xml:space="preserve">, </w:t>
            </w:r>
            <w:proofErr w:type="spellStart"/>
            <w:r w:rsidRPr="00681D05">
              <w:rPr>
                <w:rFonts w:ascii="Arial" w:hAnsi="Arial" w:cs="Arial"/>
                <w:color w:val="000000"/>
                <w:sz w:val="20"/>
                <w:szCs w:val="20"/>
                <w:lang w:val="en-GB"/>
              </w:rPr>
              <w:t>Batuku</w:t>
            </w:r>
            <w:proofErr w:type="spellEnd"/>
            <w:r w:rsidRPr="00681D05">
              <w:rPr>
                <w:rFonts w:ascii="Arial" w:hAnsi="Arial" w:cs="Arial"/>
                <w:color w:val="000000"/>
                <w:sz w:val="20"/>
                <w:szCs w:val="20"/>
                <w:lang w:val="en-GB"/>
              </w:rPr>
              <w:t xml:space="preserve">, </w:t>
            </w:r>
            <w:proofErr w:type="spellStart"/>
            <w:r w:rsidRPr="00681D05">
              <w:rPr>
                <w:rFonts w:ascii="Arial" w:hAnsi="Arial" w:cs="Arial"/>
                <w:color w:val="000000"/>
                <w:sz w:val="20"/>
                <w:szCs w:val="20"/>
                <w:lang w:val="en-GB"/>
              </w:rPr>
              <w:t>Batagwenda</w:t>
            </w:r>
            <w:proofErr w:type="spellEnd"/>
            <w:r w:rsidRPr="00681D05">
              <w:rPr>
                <w:rFonts w:ascii="Arial" w:hAnsi="Arial" w:cs="Arial"/>
                <w:color w:val="000000"/>
                <w:sz w:val="20"/>
                <w:szCs w:val="20"/>
                <w:lang w:val="en-GB"/>
              </w:rPr>
              <w:t xml:space="preserve"> and </w:t>
            </w:r>
            <w:proofErr w:type="spellStart"/>
            <w:r w:rsidRPr="00681D05">
              <w:rPr>
                <w:rFonts w:ascii="Arial" w:hAnsi="Arial" w:cs="Arial"/>
                <w:color w:val="000000"/>
                <w:sz w:val="20"/>
                <w:szCs w:val="20"/>
                <w:lang w:val="en-GB"/>
              </w:rPr>
              <w:t>Banyabindi</w:t>
            </w:r>
            <w:proofErr w:type="spellEnd"/>
            <w:r w:rsidRPr="00681D05">
              <w:rPr>
                <w:rFonts w:ascii="Arial" w:hAnsi="Arial" w:cs="Arial"/>
                <w:color w:val="000000"/>
                <w:sz w:val="20"/>
                <w:szCs w:val="20"/>
                <w:lang w:val="en-GB"/>
              </w:rPr>
              <w:t xml:space="preserve"> of western Uganda</w:t>
            </w:r>
          </w:p>
        </w:tc>
        <w:tc>
          <w:tcPr>
            <w:tcW w:w="555" w:type="pct"/>
            <w:tcBorders>
              <w:top w:val="single" w:sz="4" w:space="0" w:color="auto"/>
              <w:left w:val="nil"/>
              <w:bottom w:val="single" w:sz="4" w:space="0" w:color="auto"/>
              <w:right w:val="single" w:sz="4" w:space="0" w:color="auto"/>
            </w:tcBorders>
          </w:tcPr>
          <w:p w14:paraId="4902DE10" w14:textId="77777777" w:rsidR="00877CE2" w:rsidRPr="00681D05" w:rsidRDefault="00173282" w:rsidP="00712E75">
            <w:pPr>
              <w:spacing w:before="120" w:after="120"/>
              <w:jc w:val="center"/>
              <w:rPr>
                <w:rFonts w:ascii="Arial" w:hAnsi="Arial" w:cs="Arial"/>
                <w:color w:val="000000"/>
                <w:sz w:val="20"/>
                <w:szCs w:val="20"/>
                <w:lang w:val="en-GB"/>
              </w:rPr>
            </w:pPr>
            <w:hyperlink r:id="rId22" w:history="1">
              <w:r w:rsidR="00210DCC" w:rsidRPr="00681D05">
                <w:rPr>
                  <w:rStyle w:val="Hyperlink"/>
                  <w:rFonts w:ascii="Arial" w:hAnsi="Arial" w:cs="Arial"/>
                  <w:sz w:val="20"/>
                  <w:szCs w:val="20"/>
                  <w:lang w:val="en-GB"/>
                </w:rPr>
                <w:t>00904</w:t>
              </w:r>
            </w:hyperlink>
          </w:p>
        </w:tc>
      </w:tr>
    </w:tbl>
    <w:p w14:paraId="2E35943B" w14:textId="77777777" w:rsidR="00877CE2" w:rsidRPr="00681D05" w:rsidRDefault="00877CE2" w:rsidP="00C51CB6">
      <w:pPr>
        <w:pStyle w:val="Marge"/>
        <w:keepNext/>
        <w:numPr>
          <w:ilvl w:val="0"/>
          <w:numId w:val="9"/>
        </w:numPr>
        <w:tabs>
          <w:tab w:val="clear" w:pos="567"/>
        </w:tabs>
        <w:autoSpaceDE w:val="0"/>
        <w:autoSpaceDN w:val="0"/>
        <w:adjustRightInd w:val="0"/>
        <w:spacing w:before="240" w:after="120"/>
        <w:ind w:left="567" w:hanging="567"/>
        <w:rPr>
          <w:rFonts w:cs="Arial"/>
          <w:szCs w:val="22"/>
          <w:lang w:val="en-GB"/>
        </w:rPr>
      </w:pPr>
      <w:r w:rsidRPr="00681D05">
        <w:rPr>
          <w:rFonts w:cs="Arial"/>
          <w:szCs w:val="22"/>
          <w:lang w:val="en-GB"/>
        </w:rPr>
        <w:t>The Committee may wish to adopt the following decision:</w:t>
      </w:r>
    </w:p>
    <w:p w14:paraId="5884544E" w14:textId="77777777" w:rsidR="00877CE2" w:rsidRPr="00681D05" w:rsidRDefault="00877CE2" w:rsidP="00877CE2">
      <w:pPr>
        <w:pStyle w:val="COMTitleDecision"/>
        <w:rPr>
          <w:rFonts w:eastAsia="SimSun"/>
        </w:rPr>
      </w:pPr>
      <w:r w:rsidRPr="00681D05">
        <w:t xml:space="preserve">DRAFT DECISION </w:t>
      </w:r>
      <w:r w:rsidR="00210DCC" w:rsidRPr="00681D05">
        <w:t>10.COM 6</w:t>
      </w:r>
      <w:r w:rsidRPr="00681D05">
        <w:t>.b</w:t>
      </w:r>
    </w:p>
    <w:p w14:paraId="67A30901" w14:textId="77777777" w:rsidR="00877CE2" w:rsidRPr="00681D05" w:rsidRDefault="00877CE2" w:rsidP="00877CE2">
      <w:pPr>
        <w:pStyle w:val="COMPreambulaDecisions"/>
        <w:rPr>
          <w:rFonts w:eastAsia="SimSun"/>
        </w:rPr>
      </w:pPr>
      <w:r w:rsidRPr="00681D05">
        <w:t>The Committee,</w:t>
      </w:r>
    </w:p>
    <w:p w14:paraId="749D4EF1" w14:textId="77777777" w:rsidR="00877CE2" w:rsidRPr="00681D05" w:rsidRDefault="00877CE2" w:rsidP="00877CE2">
      <w:pPr>
        <w:pStyle w:val="COMParaDecision"/>
      </w:pPr>
      <w:r w:rsidRPr="00681D05">
        <w:t>Having examined</w:t>
      </w:r>
      <w:r w:rsidR="00210DCC" w:rsidRPr="00681D05">
        <w:rPr>
          <w:u w:val="none"/>
        </w:rPr>
        <w:t xml:space="preserve"> document ITH/15</w:t>
      </w:r>
      <w:r w:rsidRPr="00681D05">
        <w:rPr>
          <w:u w:val="none"/>
        </w:rPr>
        <w:t>/</w:t>
      </w:r>
      <w:r w:rsidR="00210DCC" w:rsidRPr="00681D05">
        <w:rPr>
          <w:u w:val="none"/>
        </w:rPr>
        <w:t>10.COM/6</w:t>
      </w:r>
      <w:r w:rsidRPr="00681D05">
        <w:rPr>
          <w:u w:val="none"/>
        </w:rPr>
        <w:t>.b,</w:t>
      </w:r>
    </w:p>
    <w:p w14:paraId="51EA5CC0" w14:textId="77777777" w:rsidR="00877CE2" w:rsidRPr="00681D05" w:rsidRDefault="00877CE2" w:rsidP="00877CE2">
      <w:pPr>
        <w:numPr>
          <w:ilvl w:val="0"/>
          <w:numId w:val="10"/>
        </w:numPr>
        <w:autoSpaceDE w:val="0"/>
        <w:autoSpaceDN w:val="0"/>
        <w:adjustRightInd w:val="0"/>
        <w:spacing w:before="120" w:after="120"/>
        <w:ind w:left="1134" w:hanging="567"/>
        <w:jc w:val="both"/>
        <w:rPr>
          <w:rFonts w:ascii="Arial" w:hAnsi="Arial" w:cs="Arial"/>
          <w:sz w:val="22"/>
          <w:szCs w:val="22"/>
          <w:lang w:val="en-GB"/>
        </w:rPr>
      </w:pPr>
      <w:r w:rsidRPr="00681D05">
        <w:rPr>
          <w:rFonts w:ascii="Arial" w:hAnsi="Arial" w:cs="Arial"/>
          <w:sz w:val="22"/>
          <w:szCs w:val="22"/>
          <w:u w:val="single"/>
          <w:lang w:val="en-GB"/>
        </w:rPr>
        <w:t>Recalling</w:t>
      </w:r>
      <w:r w:rsidRPr="00681D05">
        <w:rPr>
          <w:rFonts w:ascii="Arial" w:hAnsi="Arial" w:cs="Arial"/>
          <w:sz w:val="22"/>
          <w:szCs w:val="22"/>
          <w:lang w:val="en-GB"/>
        </w:rPr>
        <w:t xml:space="preserve"> Articles 7, 29 and 30 of the Convention concerning reports by the States Parties, and Chapter V of the Operational Directives,</w:t>
      </w:r>
    </w:p>
    <w:p w14:paraId="26F50C7D" w14:textId="77777777" w:rsidR="00877CE2" w:rsidRPr="00CC6AF2" w:rsidRDefault="00877CE2" w:rsidP="00877CE2">
      <w:pPr>
        <w:pStyle w:val="COMParaDecision"/>
        <w:rPr>
          <w:u w:val="none"/>
        </w:rPr>
      </w:pPr>
      <w:r w:rsidRPr="00681D05">
        <w:t>Thanks</w:t>
      </w:r>
      <w:r w:rsidRPr="00681D05">
        <w:rPr>
          <w:u w:val="none"/>
        </w:rPr>
        <w:t xml:space="preserve"> the </w:t>
      </w:r>
      <w:r w:rsidR="00CC6AF2">
        <w:rPr>
          <w:u w:val="none"/>
        </w:rPr>
        <w:t>State Party</w:t>
      </w:r>
      <w:r w:rsidRPr="00681D05">
        <w:rPr>
          <w:u w:val="none"/>
        </w:rPr>
        <w:t xml:space="preserve"> that submitted </w:t>
      </w:r>
      <w:r w:rsidR="00CC6AF2">
        <w:rPr>
          <w:u w:val="none"/>
        </w:rPr>
        <w:t>its ordinary report</w:t>
      </w:r>
      <w:r w:rsidRPr="00681D05">
        <w:rPr>
          <w:u w:val="none"/>
        </w:rPr>
        <w:t xml:space="preserve"> on time</w:t>
      </w:r>
      <w:r w:rsidRPr="00681D05">
        <w:rPr>
          <w:bCs/>
          <w:u w:val="none"/>
        </w:rPr>
        <w:t xml:space="preserve"> and </w:t>
      </w:r>
      <w:r w:rsidRPr="00681D05">
        <w:rPr>
          <w:bCs/>
        </w:rPr>
        <w:t>invites</w:t>
      </w:r>
      <w:r w:rsidRPr="00681D05">
        <w:rPr>
          <w:bCs/>
          <w:u w:val="none"/>
        </w:rPr>
        <w:t xml:space="preserve"> </w:t>
      </w:r>
      <w:r w:rsidRPr="00681D05">
        <w:rPr>
          <w:rFonts w:eastAsia="Times New Roman"/>
          <w:bCs/>
          <w:u w:val="none"/>
        </w:rPr>
        <w:t>the States Parties that have not yet submitted the</w:t>
      </w:r>
      <w:r w:rsidR="00CC6AF2">
        <w:rPr>
          <w:rFonts w:eastAsia="Times New Roman"/>
          <w:bCs/>
          <w:u w:val="none"/>
        </w:rPr>
        <w:t>ir</w:t>
      </w:r>
      <w:r w:rsidRPr="00681D05">
        <w:rPr>
          <w:rFonts w:eastAsia="Times New Roman"/>
          <w:bCs/>
          <w:u w:val="none"/>
        </w:rPr>
        <w:t xml:space="preserve"> expected reports to duly submit them at the earliest opportunity</w:t>
      </w:r>
      <w:r w:rsidR="00CC6AF2">
        <w:rPr>
          <w:rFonts w:eastAsia="Times New Roman"/>
          <w:bCs/>
          <w:u w:val="none"/>
        </w:rPr>
        <w:t>, and in any case no later than 15 December 2015</w:t>
      </w:r>
      <w:r w:rsidRPr="00681D05">
        <w:rPr>
          <w:bCs/>
          <w:u w:val="none"/>
        </w:rPr>
        <w:t xml:space="preserve"> in order for the Committee to examine them at its </w:t>
      </w:r>
      <w:r w:rsidR="00210DCC" w:rsidRPr="00681D05">
        <w:rPr>
          <w:bCs/>
          <w:u w:val="none"/>
        </w:rPr>
        <w:t>eleventh session in 2016</w:t>
      </w:r>
      <w:r w:rsidRPr="00681D05">
        <w:rPr>
          <w:bCs/>
          <w:u w:val="none"/>
        </w:rPr>
        <w:t>;</w:t>
      </w:r>
    </w:p>
    <w:p w14:paraId="21ECEFFA" w14:textId="77777777" w:rsidR="00CC6AF2" w:rsidRPr="00681D05" w:rsidRDefault="00CC6AF2" w:rsidP="00877CE2">
      <w:pPr>
        <w:pStyle w:val="COMParaDecision"/>
        <w:rPr>
          <w:u w:val="none"/>
        </w:rPr>
      </w:pPr>
      <w:r>
        <w:t>Commends</w:t>
      </w:r>
      <w:r>
        <w:rPr>
          <w:u w:val="none"/>
        </w:rPr>
        <w:t xml:space="preserve"> the two States Parties that have submitted their extraordinary reports as requested at the time of inscription during its eighth session and </w:t>
      </w:r>
      <w:r w:rsidRPr="00CC6AF2">
        <w:t>acknowledges</w:t>
      </w:r>
      <w:r>
        <w:rPr>
          <w:u w:val="none"/>
        </w:rPr>
        <w:t xml:space="preserve"> that they have provided adequate responses to the specific concerns raised in the respective decisions;</w:t>
      </w:r>
    </w:p>
    <w:p w14:paraId="19BF181F" w14:textId="77777777" w:rsidR="00877CE2" w:rsidRPr="00CC6AF2" w:rsidRDefault="00877CE2" w:rsidP="00877CE2">
      <w:pPr>
        <w:pStyle w:val="Marge"/>
        <w:numPr>
          <w:ilvl w:val="0"/>
          <w:numId w:val="10"/>
        </w:numPr>
        <w:tabs>
          <w:tab w:val="clear" w:pos="567"/>
        </w:tabs>
        <w:autoSpaceDE w:val="0"/>
        <w:autoSpaceDN w:val="0"/>
        <w:adjustRightInd w:val="0"/>
        <w:spacing w:before="120" w:after="120"/>
        <w:ind w:left="1134" w:hanging="567"/>
        <w:rPr>
          <w:rFonts w:cs="Arial"/>
          <w:szCs w:val="22"/>
          <w:lang w:val="en-GB"/>
        </w:rPr>
      </w:pPr>
      <w:r w:rsidRPr="00CC6AF2">
        <w:rPr>
          <w:rFonts w:cs="Arial"/>
          <w:szCs w:val="22"/>
          <w:u w:val="single"/>
          <w:lang w:val="en-GB"/>
        </w:rPr>
        <w:t>Takes note</w:t>
      </w:r>
      <w:r w:rsidRPr="00CC6AF2">
        <w:rPr>
          <w:rFonts w:cs="Arial"/>
          <w:szCs w:val="22"/>
          <w:lang w:val="en-GB"/>
        </w:rPr>
        <w:t xml:space="preserve"> of the </w:t>
      </w:r>
      <w:r w:rsidR="00CC6AF2">
        <w:rPr>
          <w:rFonts w:cs="Arial"/>
          <w:szCs w:val="22"/>
          <w:lang w:val="en-GB"/>
        </w:rPr>
        <w:t xml:space="preserve">progress made </w:t>
      </w:r>
      <w:r w:rsidRPr="00CC6AF2">
        <w:rPr>
          <w:rFonts w:cs="Arial"/>
          <w:szCs w:val="22"/>
          <w:lang w:val="en-GB"/>
        </w:rPr>
        <w:t xml:space="preserve">by </w:t>
      </w:r>
      <w:r w:rsidR="00CC6AF2">
        <w:rPr>
          <w:rFonts w:cs="Arial"/>
          <w:szCs w:val="22"/>
          <w:lang w:val="en-GB"/>
        </w:rPr>
        <w:t xml:space="preserve">all </w:t>
      </w:r>
      <w:r w:rsidRPr="00CC6AF2">
        <w:rPr>
          <w:rFonts w:cs="Arial"/>
          <w:szCs w:val="22"/>
          <w:lang w:val="en-GB"/>
        </w:rPr>
        <w:t xml:space="preserve">the </w:t>
      </w:r>
      <w:r w:rsidR="00CC6AF2">
        <w:rPr>
          <w:rFonts w:cs="Arial"/>
          <w:szCs w:val="22"/>
          <w:lang w:val="en-GB"/>
        </w:rPr>
        <w:t xml:space="preserve">reporting </w:t>
      </w:r>
      <w:r w:rsidRPr="00CC6AF2">
        <w:rPr>
          <w:rFonts w:cs="Arial"/>
          <w:szCs w:val="22"/>
          <w:lang w:val="en-GB"/>
        </w:rPr>
        <w:t xml:space="preserve">States to </w:t>
      </w:r>
      <w:r w:rsidR="00CC6AF2">
        <w:rPr>
          <w:rFonts w:cs="Arial"/>
          <w:szCs w:val="22"/>
          <w:lang w:val="en-GB"/>
        </w:rPr>
        <w:t xml:space="preserve">effectively </w:t>
      </w:r>
      <w:r w:rsidRPr="00CC6AF2">
        <w:rPr>
          <w:rFonts w:cs="Arial"/>
          <w:szCs w:val="22"/>
          <w:lang w:val="en-GB"/>
        </w:rPr>
        <w:t xml:space="preserve">implement the safeguarding plans </w:t>
      </w:r>
      <w:r w:rsidR="00986156">
        <w:rPr>
          <w:rFonts w:cs="Arial"/>
          <w:szCs w:val="22"/>
          <w:lang w:val="en-GB"/>
        </w:rPr>
        <w:t xml:space="preserve">included </w:t>
      </w:r>
      <w:r w:rsidRPr="00CC6AF2">
        <w:rPr>
          <w:rFonts w:cs="Arial"/>
          <w:szCs w:val="22"/>
          <w:lang w:val="en-GB"/>
        </w:rPr>
        <w:t>in the nomination files</w:t>
      </w:r>
      <w:r w:rsidR="00986156">
        <w:rPr>
          <w:rFonts w:cs="Arial"/>
          <w:szCs w:val="22"/>
          <w:lang w:val="en-GB"/>
        </w:rPr>
        <w:t xml:space="preserve"> and/or</w:t>
      </w:r>
      <w:r w:rsidRPr="00CC6AF2">
        <w:rPr>
          <w:rFonts w:cs="Arial"/>
          <w:szCs w:val="22"/>
          <w:lang w:val="en-GB"/>
        </w:rPr>
        <w:t xml:space="preserve"> adopted after inscription on the List of Intangible Cultural Heritage in Need of Urgent Safeguarding, and </w:t>
      </w:r>
      <w:r w:rsidRPr="00CC6AF2">
        <w:rPr>
          <w:rFonts w:cs="Arial"/>
          <w:szCs w:val="22"/>
          <w:u w:val="single"/>
          <w:lang w:val="en-GB"/>
        </w:rPr>
        <w:t>invites</w:t>
      </w:r>
      <w:r w:rsidRPr="00CC6AF2">
        <w:rPr>
          <w:rFonts w:cs="Arial"/>
          <w:szCs w:val="22"/>
          <w:lang w:val="en-GB"/>
        </w:rPr>
        <w:t xml:space="preserve"> them to </w:t>
      </w:r>
      <w:r w:rsidR="00986156">
        <w:rPr>
          <w:rFonts w:cs="Arial"/>
          <w:szCs w:val="22"/>
          <w:lang w:val="en-GB"/>
        </w:rPr>
        <w:t xml:space="preserve">pursue their efforts and to fully involve the communities concerned </w:t>
      </w:r>
      <w:r w:rsidRPr="00CC6AF2">
        <w:rPr>
          <w:rFonts w:cs="Arial"/>
          <w:szCs w:val="22"/>
          <w:lang w:val="en-GB"/>
        </w:rPr>
        <w:t>in the safeguarding of these elements;</w:t>
      </w:r>
    </w:p>
    <w:p w14:paraId="530D2FFB" w14:textId="77777777" w:rsidR="00877CE2" w:rsidRPr="00681D05" w:rsidRDefault="00877CE2" w:rsidP="00877CE2">
      <w:pPr>
        <w:pStyle w:val="COMParaDecision"/>
      </w:pPr>
      <w:r w:rsidRPr="00681D05">
        <w:t>Decides</w:t>
      </w:r>
      <w:r w:rsidRPr="00681D05">
        <w:rPr>
          <w:u w:val="none"/>
        </w:rPr>
        <w:t xml:space="preserve"> to submit to the General Assembly a summary of the reports of States Parties on the current status of elements inscribed on the List of Intangible Cultural Heritage in Need of Urgent Safeguarding examined in the current session.</w:t>
      </w:r>
    </w:p>
    <w:p w14:paraId="3BF69E67" w14:textId="77777777" w:rsidR="007D4E27" w:rsidRPr="00681D05" w:rsidRDefault="007D4E27" w:rsidP="00C51CB6">
      <w:pPr>
        <w:pStyle w:val="COMTitleDecision"/>
        <w:pageBreakBefore/>
        <w:spacing w:before="480"/>
        <w:jc w:val="left"/>
      </w:pPr>
      <w:r w:rsidRPr="00681D05">
        <w:rPr>
          <w:bCs/>
        </w:rPr>
        <w:lastRenderedPageBreak/>
        <w:t>Croatia:</w:t>
      </w:r>
      <w:r w:rsidRPr="00681D05">
        <w:t xml:space="preserve"> ‘</w:t>
      </w:r>
      <w:proofErr w:type="spellStart"/>
      <w:r w:rsidRPr="00681D05">
        <w:t>Ojkanje</w:t>
      </w:r>
      <w:proofErr w:type="spellEnd"/>
      <w:r w:rsidRPr="00681D05">
        <w:t xml:space="preserve"> singing’ </w:t>
      </w:r>
      <w:r w:rsidRPr="00681D05">
        <w:rPr>
          <w:b w:val="0"/>
          <w:bCs/>
          <w:i/>
          <w:iCs/>
        </w:rPr>
        <w:t xml:space="preserve">(consult the </w:t>
      </w:r>
      <w:hyperlink r:id="rId23" w:history="1">
        <w:r w:rsidRPr="00681D05">
          <w:rPr>
            <w:rStyle w:val="Hyperlink"/>
            <w:b w:val="0"/>
            <w:bCs/>
            <w:i/>
            <w:iCs/>
          </w:rPr>
          <w:t>report</w:t>
        </w:r>
      </w:hyperlink>
      <w:r w:rsidRPr="00681D05">
        <w:rPr>
          <w:b w:val="0"/>
          <w:bCs/>
          <w:i/>
          <w:iCs/>
        </w:rPr>
        <w:t>)</w:t>
      </w:r>
    </w:p>
    <w:p w14:paraId="7F27B6AC" w14:textId="77777777" w:rsidR="007F5F9A" w:rsidRPr="00681D05" w:rsidRDefault="007F5F9A" w:rsidP="00375264">
      <w:pPr>
        <w:pStyle w:val="Marge"/>
        <w:numPr>
          <w:ilvl w:val="0"/>
          <w:numId w:val="9"/>
        </w:numPr>
        <w:tabs>
          <w:tab w:val="clear" w:pos="567"/>
        </w:tabs>
        <w:autoSpaceDE w:val="0"/>
        <w:autoSpaceDN w:val="0"/>
        <w:adjustRightInd w:val="0"/>
        <w:spacing w:after="120"/>
        <w:ind w:left="567" w:hanging="567"/>
        <w:rPr>
          <w:rFonts w:cs="Arial"/>
          <w:bCs/>
          <w:szCs w:val="22"/>
          <w:lang w:val="en-GB"/>
        </w:rPr>
      </w:pPr>
      <w:proofErr w:type="spellStart"/>
      <w:r w:rsidRPr="00681D05">
        <w:rPr>
          <w:rFonts w:cs="Arial"/>
          <w:lang w:val="en-GB"/>
        </w:rPr>
        <w:t>Ojkanje</w:t>
      </w:r>
      <w:proofErr w:type="spellEnd"/>
      <w:r w:rsidRPr="00681D05">
        <w:rPr>
          <w:rFonts w:cs="Arial"/>
          <w:lang w:val="en-GB"/>
        </w:rPr>
        <w:t xml:space="preserve"> singing is a </w:t>
      </w:r>
      <w:r w:rsidRPr="00375264">
        <w:rPr>
          <w:rFonts w:cs="Arial"/>
          <w:szCs w:val="22"/>
          <w:lang w:val="en-GB"/>
        </w:rPr>
        <w:t>type</w:t>
      </w:r>
      <w:r w:rsidRPr="00681D05">
        <w:rPr>
          <w:rFonts w:cs="Arial"/>
          <w:lang w:val="en-GB"/>
        </w:rPr>
        <w:t xml:space="preserve"> of traditional vocal music performed by at least two singers and characterized by a distinctive voice-shaking technique achieved ‘from the throat’. Practiced in the Dinaric region of the Dalmatian hinterland, this free beat singing style </w:t>
      </w:r>
      <w:r w:rsidR="0004175D">
        <w:rPr>
          <w:rFonts w:cs="Arial"/>
          <w:lang w:val="en-GB"/>
        </w:rPr>
        <w:t xml:space="preserve">is a popular practice </w:t>
      </w:r>
      <w:r w:rsidRPr="00681D05">
        <w:rPr>
          <w:rFonts w:cs="Arial"/>
          <w:lang w:val="en-GB"/>
        </w:rPr>
        <w:t xml:space="preserve">in the local community and individual tradition bearers are respected members of their communities. </w:t>
      </w:r>
      <w:proofErr w:type="spellStart"/>
      <w:r w:rsidRPr="00681D05">
        <w:rPr>
          <w:rFonts w:cs="Arial"/>
          <w:lang w:val="en-GB"/>
        </w:rPr>
        <w:t>Ojkanje</w:t>
      </w:r>
      <w:proofErr w:type="spellEnd"/>
      <w:r w:rsidRPr="00681D05">
        <w:rPr>
          <w:rFonts w:cs="Arial"/>
          <w:lang w:val="en-GB"/>
        </w:rPr>
        <w:t xml:space="preserve"> owes its survival to organized groups of local tradition bearers who continue to transmit the skills and knowledge, representing their villages at various festivals in Croatia. This musical idiom remains an important factor in shaping the cultural ide</w:t>
      </w:r>
      <w:r w:rsidR="006033F4" w:rsidRPr="00681D05">
        <w:rPr>
          <w:rFonts w:cs="Arial"/>
          <w:lang w:val="en-GB"/>
        </w:rPr>
        <w:t>ntity of the local communities.</w:t>
      </w:r>
    </w:p>
    <w:p w14:paraId="3197DBD9" w14:textId="03BEF3BD" w:rsidR="007F5F9A" w:rsidRPr="00681D05" w:rsidRDefault="007F5F9A" w:rsidP="00375264">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681D05">
        <w:rPr>
          <w:rFonts w:cs="Arial"/>
          <w:b/>
          <w:bCs/>
          <w:szCs w:val="22"/>
          <w:lang w:val="en-GB"/>
        </w:rPr>
        <w:t xml:space="preserve">Effectiveness of </w:t>
      </w:r>
      <w:r w:rsidR="00681D05">
        <w:rPr>
          <w:rFonts w:cs="Arial"/>
          <w:b/>
          <w:bCs/>
          <w:szCs w:val="22"/>
          <w:lang w:val="en-GB"/>
        </w:rPr>
        <w:t xml:space="preserve">the </w:t>
      </w:r>
      <w:r w:rsidRPr="00681D05">
        <w:rPr>
          <w:rFonts w:cs="Arial"/>
          <w:b/>
          <w:bCs/>
          <w:szCs w:val="22"/>
          <w:lang w:val="en-GB"/>
        </w:rPr>
        <w:t xml:space="preserve">safeguarding </w:t>
      </w:r>
      <w:r w:rsidR="00681D05">
        <w:rPr>
          <w:rFonts w:cs="Arial"/>
          <w:b/>
          <w:bCs/>
          <w:szCs w:val="22"/>
          <w:lang w:val="en-GB"/>
        </w:rPr>
        <w:t>plan</w:t>
      </w:r>
      <w:r w:rsidRPr="00681D05">
        <w:rPr>
          <w:rFonts w:cs="Arial"/>
          <w:bCs/>
          <w:szCs w:val="22"/>
          <w:lang w:val="en-GB"/>
        </w:rPr>
        <w:t xml:space="preserve">. Under the </w:t>
      </w:r>
      <w:r w:rsidRPr="00681D05">
        <w:rPr>
          <w:rFonts w:cs="Arial"/>
          <w:lang w:val="en-GB"/>
        </w:rPr>
        <w:t>responsibility</w:t>
      </w:r>
      <w:r w:rsidRPr="00681D05">
        <w:rPr>
          <w:rFonts w:cs="Arial"/>
          <w:bCs/>
          <w:szCs w:val="22"/>
          <w:lang w:val="en-GB"/>
        </w:rPr>
        <w:t xml:space="preserve"> of the Ministry of Culture and with the active participation of cultural associations and bearers, the following safeguarding </w:t>
      </w:r>
      <w:r w:rsidRPr="00681D05">
        <w:rPr>
          <w:rFonts w:cs="Arial"/>
          <w:lang w:val="en-GB"/>
        </w:rPr>
        <w:t xml:space="preserve">measures </w:t>
      </w:r>
      <w:r w:rsidR="00897FF6">
        <w:rPr>
          <w:rFonts w:cs="Arial"/>
          <w:lang w:val="en-GB"/>
        </w:rPr>
        <w:t xml:space="preserve">that </w:t>
      </w:r>
      <w:r w:rsidRPr="00681D05">
        <w:rPr>
          <w:rFonts w:cs="Arial"/>
          <w:lang w:val="en-GB"/>
        </w:rPr>
        <w:t>aim to revitalis</w:t>
      </w:r>
      <w:r w:rsidR="00897FF6">
        <w:rPr>
          <w:rFonts w:cs="Arial"/>
          <w:lang w:val="en-GB"/>
        </w:rPr>
        <w:t>e</w:t>
      </w:r>
      <w:r w:rsidRPr="00681D05">
        <w:rPr>
          <w:rFonts w:cs="Arial"/>
          <w:lang w:val="en-GB"/>
        </w:rPr>
        <w:t xml:space="preserve"> and safeguard </w:t>
      </w:r>
      <w:proofErr w:type="spellStart"/>
      <w:r w:rsidRPr="00681D05">
        <w:rPr>
          <w:rFonts w:cs="Arial"/>
          <w:lang w:val="en-GB"/>
        </w:rPr>
        <w:t>Ojkanje</w:t>
      </w:r>
      <w:proofErr w:type="spellEnd"/>
      <w:r w:rsidRPr="00681D05">
        <w:rPr>
          <w:rFonts w:cs="Arial"/>
          <w:lang w:val="en-GB"/>
        </w:rPr>
        <w:t xml:space="preserve"> singing have been implemented: (</w:t>
      </w:r>
      <w:proofErr w:type="spellStart"/>
      <w:r w:rsidRPr="00681D05">
        <w:rPr>
          <w:rFonts w:cs="Arial"/>
          <w:lang w:val="en-GB"/>
        </w:rPr>
        <w:t>i</w:t>
      </w:r>
      <w:proofErr w:type="spellEnd"/>
      <w:r w:rsidRPr="00681D05">
        <w:rPr>
          <w:rFonts w:cs="Arial"/>
          <w:lang w:val="en-GB"/>
        </w:rPr>
        <w:t xml:space="preserve">) research and documentation of the element in close collaboration between practitioners and other stakeholders; (ii) identification of and support to tradition bearers for the transmission of their knowledge to young people; (iii) enhancement of oral transmission methods with audio and video recordings; (iv) promotion of </w:t>
      </w:r>
      <w:proofErr w:type="spellStart"/>
      <w:r w:rsidRPr="00681D05">
        <w:rPr>
          <w:rFonts w:cs="Arial"/>
          <w:lang w:val="en-GB"/>
        </w:rPr>
        <w:t>Ojkanje</w:t>
      </w:r>
      <w:proofErr w:type="spellEnd"/>
      <w:r w:rsidRPr="00681D05">
        <w:rPr>
          <w:rFonts w:cs="Arial"/>
          <w:lang w:val="en-GB"/>
        </w:rPr>
        <w:t xml:space="preserve"> singing through new regional and local festivals, exhibitions, public meetings, interactive media and public performances by organized music and dance and informal groups; (v) support to </w:t>
      </w:r>
      <w:proofErr w:type="spellStart"/>
      <w:r w:rsidRPr="00681D05">
        <w:rPr>
          <w:rFonts w:cs="Arial"/>
          <w:lang w:val="en-GB"/>
        </w:rPr>
        <w:t>Ojkanje</w:t>
      </w:r>
      <w:proofErr w:type="spellEnd"/>
      <w:r w:rsidRPr="00681D05">
        <w:rPr>
          <w:rFonts w:cs="Arial"/>
          <w:lang w:val="en-GB"/>
        </w:rPr>
        <w:t xml:space="preserve"> singing through state- and local government-led development and cultural programmes; (vi)</w:t>
      </w:r>
      <w:r w:rsidR="005277C7">
        <w:rPr>
          <w:rFonts w:cs="Arial"/>
          <w:lang w:val="en-GB"/>
        </w:rPr>
        <w:t> </w:t>
      </w:r>
      <w:r w:rsidRPr="00681D05">
        <w:rPr>
          <w:rFonts w:cs="Arial"/>
          <w:lang w:val="en-GB"/>
        </w:rPr>
        <w:t xml:space="preserve">teaching of </w:t>
      </w:r>
      <w:proofErr w:type="spellStart"/>
      <w:r w:rsidRPr="00681D05">
        <w:rPr>
          <w:rFonts w:cs="Arial"/>
          <w:lang w:val="en-GB"/>
        </w:rPr>
        <w:t>Ojkanje</w:t>
      </w:r>
      <w:proofErr w:type="spellEnd"/>
      <w:r w:rsidRPr="00681D05">
        <w:rPr>
          <w:rFonts w:cs="Arial"/>
          <w:lang w:val="en-GB"/>
        </w:rPr>
        <w:t xml:space="preserve"> singing as an extra-curricular subject in a primary school; (vii) and the preparation of a television documentary on the element. Some local tourism offices have also organized festivals and performances by traditional singers, e</w:t>
      </w:r>
      <w:r w:rsidR="00640688" w:rsidRPr="00681D05">
        <w:rPr>
          <w:rFonts w:cs="Arial"/>
          <w:lang w:val="en-GB"/>
        </w:rPr>
        <w:t>specially for foreign tourists.</w:t>
      </w:r>
    </w:p>
    <w:p w14:paraId="29D9D4F2" w14:textId="77777777" w:rsidR="007F5F9A" w:rsidRPr="00681D05" w:rsidRDefault="00640688" w:rsidP="00375264">
      <w:pPr>
        <w:pStyle w:val="COMPara"/>
        <w:ind w:left="567" w:hanging="567"/>
        <w:jc w:val="both"/>
      </w:pPr>
      <w:r w:rsidRPr="00681D05">
        <w:t>T</w:t>
      </w:r>
      <w:r w:rsidR="007F5F9A" w:rsidRPr="00681D05">
        <w:t xml:space="preserve">he report </w:t>
      </w:r>
      <w:r w:rsidR="00EE33C9">
        <w:t>shows</w:t>
      </w:r>
      <w:r w:rsidR="007F5F9A" w:rsidRPr="00681D05">
        <w:t xml:space="preserve"> some evidence of a reinvigoration of informal transmission from elders to youth and through organized dance groups in Dalmatian villages. According to the report submitted by the State Party, implementation of the safeguarding measures have led to greater recognition and respect </w:t>
      </w:r>
      <w:r w:rsidR="00A341BE">
        <w:t>from</w:t>
      </w:r>
      <w:r w:rsidRPr="00681D05">
        <w:t xml:space="preserve"> </w:t>
      </w:r>
      <w:r w:rsidR="007F5F9A" w:rsidRPr="00681D05">
        <w:t xml:space="preserve">local communities for </w:t>
      </w:r>
      <w:r w:rsidR="00A341BE">
        <w:t xml:space="preserve">the practice of </w:t>
      </w:r>
      <w:proofErr w:type="spellStart"/>
      <w:r w:rsidR="007F5F9A" w:rsidRPr="00681D05">
        <w:t>Ojkanje</w:t>
      </w:r>
      <w:proofErr w:type="spellEnd"/>
      <w:r w:rsidR="007F5F9A" w:rsidRPr="00681D05">
        <w:t xml:space="preserve"> singing and </w:t>
      </w:r>
      <w:r w:rsidR="00A341BE">
        <w:t xml:space="preserve">its </w:t>
      </w:r>
      <w:r w:rsidR="007F5F9A" w:rsidRPr="00681D05">
        <w:t>surviving bearers</w:t>
      </w:r>
      <w:r w:rsidR="00A341BE">
        <w:t xml:space="preserve">, </w:t>
      </w:r>
      <w:r w:rsidR="007F5F9A" w:rsidRPr="00681D05">
        <w:t xml:space="preserve">whose performances </w:t>
      </w:r>
      <w:r w:rsidR="00A341BE">
        <w:t>act</w:t>
      </w:r>
      <w:r w:rsidR="007F5F9A" w:rsidRPr="00681D05">
        <w:t xml:space="preserve"> as teaching </w:t>
      </w:r>
      <w:r w:rsidR="00A341BE">
        <w:t xml:space="preserve">models for </w:t>
      </w:r>
      <w:r w:rsidR="007F5F9A" w:rsidRPr="00681D05">
        <w:t>young people</w:t>
      </w:r>
      <w:r w:rsidR="00A341BE">
        <w:t xml:space="preserve">; </w:t>
      </w:r>
      <w:r w:rsidR="007F5F9A" w:rsidRPr="00681D05">
        <w:t>provision of several different forms of transmission</w:t>
      </w:r>
      <w:r w:rsidR="00A341BE">
        <w:t>;</w:t>
      </w:r>
      <w:r w:rsidR="007F5F9A" w:rsidRPr="00681D05">
        <w:t xml:space="preserve"> and increas</w:t>
      </w:r>
      <w:r w:rsidR="00A341BE">
        <w:t>ed</w:t>
      </w:r>
      <w:r w:rsidR="007F5F9A" w:rsidRPr="00681D05">
        <w:t xml:space="preserve"> involvement of all recorded bearers and cultural associations in knowledge</w:t>
      </w:r>
      <w:r w:rsidR="00A341BE">
        <w:t xml:space="preserve"> transmission</w:t>
      </w:r>
      <w:r w:rsidR="007F5F9A" w:rsidRPr="00681D05">
        <w:t xml:space="preserve">. </w:t>
      </w:r>
      <w:r w:rsidR="00EE33C9">
        <w:t>T</w:t>
      </w:r>
      <w:r w:rsidR="007F5F9A" w:rsidRPr="00681D05">
        <w:t xml:space="preserve">he report </w:t>
      </w:r>
      <w:r w:rsidR="00EE33C9">
        <w:t>notes</w:t>
      </w:r>
      <w:r w:rsidR="00EE33C9" w:rsidRPr="00681D05">
        <w:t xml:space="preserve"> </w:t>
      </w:r>
      <w:r w:rsidR="007F5F9A" w:rsidRPr="00681D05">
        <w:t xml:space="preserve">a significant increase of interest among young people in learning </w:t>
      </w:r>
      <w:proofErr w:type="spellStart"/>
      <w:r w:rsidR="007F5F9A" w:rsidRPr="00681D05">
        <w:t>Ojkanje</w:t>
      </w:r>
      <w:proofErr w:type="spellEnd"/>
      <w:r w:rsidR="007F5F9A" w:rsidRPr="00681D05">
        <w:t xml:space="preserve"> singing and safeguarding the tradition</w:t>
      </w:r>
      <w:r w:rsidR="00EE33C9">
        <w:t>. Quality and range of d</w:t>
      </w:r>
      <w:r w:rsidR="007F5F9A" w:rsidRPr="00681D05">
        <w:t xml:space="preserve">ocumentation, particularly with audio and video recordings of </w:t>
      </w:r>
      <w:r w:rsidR="0061480B">
        <w:t>the practice,</w:t>
      </w:r>
      <w:r w:rsidR="00EE33C9">
        <w:t xml:space="preserve"> has also improved</w:t>
      </w:r>
      <w:r w:rsidR="007F5F9A" w:rsidRPr="00681D05">
        <w:t xml:space="preserve">. </w:t>
      </w:r>
      <w:r w:rsidR="00EE33C9" w:rsidRPr="00681D05">
        <w:t xml:space="preserve">Furthermore, </w:t>
      </w:r>
      <w:r w:rsidR="007F5F9A" w:rsidRPr="00681D05">
        <w:t xml:space="preserve">a </w:t>
      </w:r>
      <w:r w:rsidR="00EE33C9">
        <w:t xml:space="preserve">substantial </w:t>
      </w:r>
      <w:r w:rsidR="007F5F9A" w:rsidRPr="00681D05">
        <w:t xml:space="preserve">increase in the allocation of public funds has been observed at the local level to subsidise </w:t>
      </w:r>
      <w:r w:rsidRPr="00681D05">
        <w:t xml:space="preserve">safeguarding </w:t>
      </w:r>
      <w:r w:rsidR="007F5F9A" w:rsidRPr="00681D05">
        <w:t xml:space="preserve">activities. </w:t>
      </w:r>
      <w:r w:rsidRPr="00681D05">
        <w:t xml:space="preserve">It should </w:t>
      </w:r>
      <w:r w:rsidR="007F5F9A" w:rsidRPr="00681D05">
        <w:t xml:space="preserve">be noted that, in addition to state funding, promotional events and performances also receive funds from local and regional self-government units, donations, </w:t>
      </w:r>
      <w:proofErr w:type="gramStart"/>
      <w:r w:rsidR="007F5F9A" w:rsidRPr="00681D05">
        <w:t>sponsorship</w:t>
      </w:r>
      <w:proofErr w:type="gramEnd"/>
      <w:r w:rsidR="007F5F9A" w:rsidRPr="00681D05">
        <w:t xml:space="preserve"> and tourism associations.</w:t>
      </w:r>
    </w:p>
    <w:p w14:paraId="24CB1BD6" w14:textId="77777777" w:rsidR="00691933" w:rsidRPr="00681D05" w:rsidRDefault="007F5F9A" w:rsidP="00375264">
      <w:pPr>
        <w:pStyle w:val="COMPara"/>
        <w:ind w:left="567" w:hanging="567"/>
        <w:jc w:val="both"/>
        <w:rPr>
          <w:bCs/>
        </w:rPr>
      </w:pPr>
      <w:r w:rsidRPr="00681D05">
        <w:rPr>
          <w:b/>
          <w:bCs/>
        </w:rPr>
        <w:t>Community participation</w:t>
      </w:r>
      <w:r w:rsidRPr="00681D05">
        <w:rPr>
          <w:bCs/>
        </w:rPr>
        <w:t>. Bearers, associations and local music and dance groups are central to ensuring the continued practice and transmission of this element</w:t>
      </w:r>
      <w:r w:rsidR="0061480B">
        <w:rPr>
          <w:bCs/>
        </w:rPr>
        <w:t xml:space="preserve">. </w:t>
      </w:r>
      <w:r w:rsidR="00A14D17">
        <w:rPr>
          <w:bCs/>
        </w:rPr>
        <w:t>I</w:t>
      </w:r>
      <w:r w:rsidRPr="00681D05">
        <w:rPr>
          <w:bCs/>
        </w:rPr>
        <w:t xml:space="preserve">ndividual tradition bearers are celebrated in their communities and active in transmitting the element. </w:t>
      </w:r>
      <w:r w:rsidR="0061480B">
        <w:rPr>
          <w:bCs/>
        </w:rPr>
        <w:t xml:space="preserve">The </w:t>
      </w:r>
      <w:r w:rsidRPr="00681D05">
        <w:rPr>
          <w:bCs/>
        </w:rPr>
        <w:t>key to sustaining this tradition</w:t>
      </w:r>
      <w:r w:rsidR="005957C0">
        <w:rPr>
          <w:bCs/>
        </w:rPr>
        <w:t xml:space="preserve"> </w:t>
      </w:r>
      <w:r w:rsidR="0061480B">
        <w:rPr>
          <w:bCs/>
        </w:rPr>
        <w:t>are t</w:t>
      </w:r>
      <w:r w:rsidR="0061480B" w:rsidRPr="00681D05">
        <w:rPr>
          <w:bCs/>
        </w:rPr>
        <w:t xml:space="preserve">he activities of the cultural associations which present traditional </w:t>
      </w:r>
      <w:proofErr w:type="spellStart"/>
      <w:r w:rsidR="0061480B" w:rsidRPr="00681D05">
        <w:t>Ojkanje</w:t>
      </w:r>
      <w:proofErr w:type="spellEnd"/>
      <w:r w:rsidR="0061480B" w:rsidRPr="00681D05">
        <w:rPr>
          <w:bCs/>
        </w:rPr>
        <w:t xml:space="preserve"> singing</w:t>
      </w:r>
      <w:r w:rsidR="0061480B">
        <w:rPr>
          <w:bCs/>
        </w:rPr>
        <w:t xml:space="preserve">, who </w:t>
      </w:r>
      <w:r w:rsidR="0061480B" w:rsidRPr="00681D05">
        <w:rPr>
          <w:bCs/>
        </w:rPr>
        <w:t xml:space="preserve">are </w:t>
      </w:r>
      <w:r w:rsidR="005957C0">
        <w:rPr>
          <w:bCs/>
        </w:rPr>
        <w:t>supported by</w:t>
      </w:r>
      <w:r w:rsidR="0061480B">
        <w:rPr>
          <w:bCs/>
        </w:rPr>
        <w:t xml:space="preserve"> </w:t>
      </w:r>
      <w:r w:rsidR="005957C0">
        <w:rPr>
          <w:bCs/>
        </w:rPr>
        <w:t>the attribution of adequate financial resources</w:t>
      </w:r>
      <w:r w:rsidRPr="00681D05">
        <w:rPr>
          <w:bCs/>
        </w:rPr>
        <w:t>. The</w:t>
      </w:r>
      <w:r w:rsidR="006A6678">
        <w:rPr>
          <w:bCs/>
        </w:rPr>
        <w:t xml:space="preserve">se associations </w:t>
      </w:r>
      <w:r w:rsidRPr="00681D05">
        <w:rPr>
          <w:bCs/>
        </w:rPr>
        <w:t xml:space="preserve">provide </w:t>
      </w:r>
      <w:r w:rsidR="0061480B">
        <w:rPr>
          <w:bCs/>
        </w:rPr>
        <w:t xml:space="preserve">learning </w:t>
      </w:r>
      <w:r w:rsidRPr="00681D05">
        <w:rPr>
          <w:bCs/>
        </w:rPr>
        <w:t xml:space="preserve">opportunities from older, more experienced singers and through various media (audio and video recordings). The enthusiasm of the tradition bearers is a very important factor in safeguarding </w:t>
      </w:r>
      <w:proofErr w:type="spellStart"/>
      <w:r w:rsidRPr="00681D05">
        <w:rPr>
          <w:bCs/>
        </w:rPr>
        <w:t>Ojkanje</w:t>
      </w:r>
      <w:proofErr w:type="spellEnd"/>
      <w:r w:rsidRPr="00681D05">
        <w:rPr>
          <w:bCs/>
        </w:rPr>
        <w:t xml:space="preserve"> singing and it is reported that they often use their personal resources to finance activities.</w:t>
      </w:r>
      <w:r w:rsidRPr="00681D05">
        <w:t xml:space="preserve"> </w:t>
      </w:r>
      <w:r w:rsidRPr="00681D05">
        <w:rPr>
          <w:bCs/>
        </w:rPr>
        <w:t xml:space="preserve">Although the present report was compiled by the Conservation Department of the Ministry of Culture in five </w:t>
      </w:r>
      <w:r w:rsidR="006A6678">
        <w:rPr>
          <w:bCs/>
        </w:rPr>
        <w:t xml:space="preserve">of the </w:t>
      </w:r>
      <w:r w:rsidRPr="00681D05">
        <w:rPr>
          <w:bCs/>
        </w:rPr>
        <w:t xml:space="preserve">cities, it was prepared with the full support of local communities, administrations and competent institutions. All known bearers (mostly </w:t>
      </w:r>
      <w:r w:rsidR="005957C0">
        <w:rPr>
          <w:bCs/>
        </w:rPr>
        <w:t xml:space="preserve">through </w:t>
      </w:r>
      <w:r w:rsidRPr="00681D05">
        <w:rPr>
          <w:bCs/>
        </w:rPr>
        <w:t>cultural clubs) helped to compile the data and suppl</w:t>
      </w:r>
      <w:r w:rsidR="006A6678">
        <w:rPr>
          <w:bCs/>
        </w:rPr>
        <w:t>y</w:t>
      </w:r>
      <w:r w:rsidRPr="00681D05">
        <w:rPr>
          <w:bCs/>
        </w:rPr>
        <w:t xml:space="preserve"> details by email to the aforement</w:t>
      </w:r>
      <w:r w:rsidR="004D07AD" w:rsidRPr="00681D05">
        <w:rPr>
          <w:bCs/>
        </w:rPr>
        <w:t xml:space="preserve">ioned </w:t>
      </w:r>
      <w:r w:rsidR="006A6678">
        <w:rPr>
          <w:bCs/>
        </w:rPr>
        <w:t>D</w:t>
      </w:r>
      <w:r w:rsidR="004D07AD" w:rsidRPr="00681D05">
        <w:rPr>
          <w:bCs/>
        </w:rPr>
        <w:t>epartment.</w:t>
      </w:r>
    </w:p>
    <w:p w14:paraId="1EF7A501" w14:textId="77777777" w:rsidR="007F5F9A" w:rsidRPr="00681D05" w:rsidRDefault="007F5F9A" w:rsidP="00375264">
      <w:pPr>
        <w:pStyle w:val="COMPara"/>
        <w:ind w:left="567" w:hanging="567"/>
        <w:jc w:val="both"/>
        <w:rPr>
          <w:bCs/>
        </w:rPr>
      </w:pPr>
      <w:r w:rsidRPr="00681D05">
        <w:rPr>
          <w:b/>
          <w:bCs/>
        </w:rPr>
        <w:t>Viability and current risks</w:t>
      </w:r>
      <w:r w:rsidRPr="00681D05">
        <w:rPr>
          <w:bCs/>
        </w:rPr>
        <w:t xml:space="preserve">. In the past, </w:t>
      </w:r>
      <w:proofErr w:type="spellStart"/>
      <w:r w:rsidRPr="00681D05">
        <w:rPr>
          <w:bCs/>
        </w:rPr>
        <w:t>Ojkanje</w:t>
      </w:r>
      <w:proofErr w:type="spellEnd"/>
      <w:r w:rsidRPr="00681D05">
        <w:rPr>
          <w:bCs/>
        </w:rPr>
        <w:t xml:space="preserve"> singing was solely learnt through intergenerational oral transmission and constituted a vehicle for communication, narration </w:t>
      </w:r>
      <w:r w:rsidRPr="00681D05">
        <w:rPr>
          <w:bCs/>
        </w:rPr>
        <w:lastRenderedPageBreak/>
        <w:t xml:space="preserve">and transmission of oral history and culture. Nowadays, tradition bearers are mainly elderly and the homogenized lifestyle prevailing in rural regions acts as an impediment to young people learning this form of singing. Furthermore, </w:t>
      </w:r>
      <w:r w:rsidR="006A6678">
        <w:rPr>
          <w:bCs/>
        </w:rPr>
        <w:t xml:space="preserve">former </w:t>
      </w:r>
      <w:r w:rsidRPr="00681D05">
        <w:rPr>
          <w:bCs/>
        </w:rPr>
        <w:t xml:space="preserve">functions </w:t>
      </w:r>
      <w:r w:rsidR="006A6678">
        <w:rPr>
          <w:bCs/>
        </w:rPr>
        <w:t xml:space="preserve">of </w:t>
      </w:r>
      <w:r w:rsidRPr="00681D05">
        <w:rPr>
          <w:bCs/>
        </w:rPr>
        <w:t xml:space="preserve">this type of singing have been transformed, with presentation and performance becoming the main </w:t>
      </w:r>
      <w:r w:rsidR="006A6678">
        <w:rPr>
          <w:bCs/>
        </w:rPr>
        <w:t>focus. F</w:t>
      </w:r>
      <w:r w:rsidRPr="00681D05">
        <w:rPr>
          <w:bCs/>
        </w:rPr>
        <w:t xml:space="preserve">ormal or semi-formal performances </w:t>
      </w:r>
      <w:r w:rsidR="006A6678">
        <w:rPr>
          <w:bCs/>
        </w:rPr>
        <w:t xml:space="preserve">have </w:t>
      </w:r>
      <w:r w:rsidRPr="00681D05">
        <w:rPr>
          <w:bCs/>
        </w:rPr>
        <w:t>mostly replac</w:t>
      </w:r>
      <w:r w:rsidR="006A6678">
        <w:rPr>
          <w:bCs/>
        </w:rPr>
        <w:t>ed</w:t>
      </w:r>
      <w:r w:rsidRPr="00681D05">
        <w:rPr>
          <w:bCs/>
        </w:rPr>
        <w:t xml:space="preserve"> the traditional improvised genre. As stated in the report, associations and communities continue to </w:t>
      </w:r>
      <w:r w:rsidR="006A6678">
        <w:rPr>
          <w:bCs/>
        </w:rPr>
        <w:t xml:space="preserve">safeguard </w:t>
      </w:r>
      <w:r w:rsidRPr="00681D05">
        <w:rPr>
          <w:bCs/>
        </w:rPr>
        <w:t>th</w:t>
      </w:r>
      <w:r w:rsidR="006A6678">
        <w:rPr>
          <w:bCs/>
        </w:rPr>
        <w:t>e</w:t>
      </w:r>
      <w:r w:rsidRPr="00681D05">
        <w:rPr>
          <w:bCs/>
        </w:rPr>
        <w:t xml:space="preserve"> </w:t>
      </w:r>
      <w:r w:rsidR="006A6678">
        <w:rPr>
          <w:bCs/>
        </w:rPr>
        <w:t xml:space="preserve">practice of </w:t>
      </w:r>
      <w:proofErr w:type="spellStart"/>
      <w:r w:rsidR="006A6678" w:rsidRPr="00681D05">
        <w:rPr>
          <w:bCs/>
        </w:rPr>
        <w:t>Ojkanje</w:t>
      </w:r>
      <w:proofErr w:type="spellEnd"/>
      <w:r w:rsidR="006A6678" w:rsidRPr="00681D05">
        <w:rPr>
          <w:bCs/>
        </w:rPr>
        <w:t xml:space="preserve"> singing</w:t>
      </w:r>
      <w:r w:rsidR="006A6678" w:rsidRPr="00681D05" w:rsidDel="006A6678">
        <w:rPr>
          <w:bCs/>
        </w:rPr>
        <w:t xml:space="preserve"> </w:t>
      </w:r>
      <w:r w:rsidRPr="00681D05">
        <w:rPr>
          <w:bCs/>
        </w:rPr>
        <w:t>by adapting it to modern lifestyle</w:t>
      </w:r>
      <w:r w:rsidR="006A6678">
        <w:rPr>
          <w:bCs/>
        </w:rPr>
        <w:t>s</w:t>
      </w:r>
      <w:r w:rsidRPr="00681D05">
        <w:rPr>
          <w:bCs/>
        </w:rPr>
        <w:t xml:space="preserve"> and providing organised ways of transmission. </w:t>
      </w:r>
      <w:r w:rsidR="00604F07">
        <w:rPr>
          <w:bCs/>
        </w:rPr>
        <w:t>However, i</w:t>
      </w:r>
      <w:r w:rsidRPr="00681D05">
        <w:rPr>
          <w:bCs/>
        </w:rPr>
        <w:t xml:space="preserve">ncreasing loss of </w:t>
      </w:r>
      <w:r w:rsidR="006A6678">
        <w:rPr>
          <w:bCs/>
        </w:rPr>
        <w:t xml:space="preserve">the </w:t>
      </w:r>
      <w:r w:rsidR="004D07AD" w:rsidRPr="00681D05">
        <w:rPr>
          <w:bCs/>
        </w:rPr>
        <w:t xml:space="preserve">social </w:t>
      </w:r>
      <w:r w:rsidRPr="00681D05">
        <w:rPr>
          <w:bCs/>
        </w:rPr>
        <w:t xml:space="preserve">function of the element </w:t>
      </w:r>
      <w:r w:rsidR="00604F07">
        <w:rPr>
          <w:bCs/>
        </w:rPr>
        <w:t xml:space="preserve">where </w:t>
      </w:r>
      <w:proofErr w:type="spellStart"/>
      <w:r w:rsidRPr="00681D05">
        <w:rPr>
          <w:bCs/>
        </w:rPr>
        <w:t>Ojkanje</w:t>
      </w:r>
      <w:proofErr w:type="spellEnd"/>
      <w:r w:rsidRPr="00681D05">
        <w:rPr>
          <w:bCs/>
        </w:rPr>
        <w:t xml:space="preserve"> </w:t>
      </w:r>
      <w:r w:rsidR="00604F07">
        <w:rPr>
          <w:bCs/>
        </w:rPr>
        <w:t xml:space="preserve">used to be </w:t>
      </w:r>
      <w:r w:rsidRPr="00681D05">
        <w:rPr>
          <w:bCs/>
        </w:rPr>
        <w:t>sung</w:t>
      </w:r>
      <w:r w:rsidR="00604F07">
        <w:rPr>
          <w:bCs/>
        </w:rPr>
        <w:t xml:space="preserve"> in many contexts regarding </w:t>
      </w:r>
      <w:r w:rsidR="00604F07" w:rsidRPr="00681D05">
        <w:rPr>
          <w:bCs/>
        </w:rPr>
        <w:t xml:space="preserve">family and community </w:t>
      </w:r>
      <w:proofErr w:type="gramStart"/>
      <w:r w:rsidR="00604F07" w:rsidRPr="00681D05">
        <w:rPr>
          <w:bCs/>
        </w:rPr>
        <w:t>life</w:t>
      </w:r>
      <w:r w:rsidR="00604F07">
        <w:rPr>
          <w:bCs/>
        </w:rPr>
        <w:t>,</w:t>
      </w:r>
      <w:proofErr w:type="gramEnd"/>
      <w:r w:rsidR="00604F07" w:rsidRPr="00681D05">
        <w:rPr>
          <w:bCs/>
        </w:rPr>
        <w:t xml:space="preserve"> continues to hinder transmission </w:t>
      </w:r>
      <w:r w:rsidR="00604F07">
        <w:rPr>
          <w:bCs/>
        </w:rPr>
        <w:t xml:space="preserve">of the practice </w:t>
      </w:r>
      <w:r w:rsidR="00604F07" w:rsidRPr="00681D05">
        <w:rPr>
          <w:bCs/>
        </w:rPr>
        <w:t>to new generations</w:t>
      </w:r>
      <w:r w:rsidRPr="00681D05">
        <w:rPr>
          <w:bCs/>
        </w:rPr>
        <w:t>.</w:t>
      </w:r>
    </w:p>
    <w:p w14:paraId="1D81DD0D" w14:textId="77777777" w:rsidR="007D4E27" w:rsidRPr="00681D05" w:rsidRDefault="007D4E27" w:rsidP="00375264">
      <w:pPr>
        <w:pStyle w:val="COMPara"/>
        <w:ind w:left="567" w:hanging="567"/>
        <w:jc w:val="both"/>
      </w:pPr>
      <w:r w:rsidRPr="00681D05">
        <w:t>The Committee may wish to adopt the following decision:</w:t>
      </w:r>
    </w:p>
    <w:p w14:paraId="1A09EC5B" w14:textId="6D3F3F93" w:rsidR="007D4E27" w:rsidRPr="00681D05" w:rsidRDefault="007F5F9A" w:rsidP="005F632D">
      <w:pPr>
        <w:pStyle w:val="Heading4"/>
        <w:numPr>
          <w:ilvl w:val="0"/>
          <w:numId w:val="0"/>
        </w:numPr>
        <w:spacing w:before="240"/>
        <w:ind w:left="567"/>
        <w:rPr>
          <w:rFonts w:eastAsia="SimSun"/>
        </w:rPr>
      </w:pPr>
      <w:bookmarkStart w:id="3" w:name="Dec10COM_6b1"/>
      <w:bookmarkEnd w:id="3"/>
      <w:r w:rsidRPr="00681D05">
        <w:t>DRAFT DECISION 10.COM 6.b.1</w:t>
      </w:r>
      <w:r w:rsidR="0000240B">
        <w:t xml:space="preserve"> </w:t>
      </w:r>
      <w:r w:rsidR="0000240B">
        <w:rPr>
          <w:noProof/>
          <w:snapToGrid/>
          <w:lang w:val="fr-FR" w:eastAsia="fr-FR"/>
        </w:rPr>
        <w:drawing>
          <wp:inline distT="0" distB="0" distL="0" distR="0" wp14:anchorId="3146B1F4" wp14:editId="2E76E5BC">
            <wp:extent cx="103505" cy="103505"/>
            <wp:effectExtent l="0" t="0" r="0" b="0"/>
            <wp:docPr id="2" name="Picture 2" descr="Return to to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09BD0E1E" w14:textId="77777777" w:rsidR="007D4E27" w:rsidRPr="00681D05" w:rsidRDefault="007D4E27" w:rsidP="007D4E27">
      <w:pPr>
        <w:pStyle w:val="Para"/>
        <w:keepNext/>
        <w:numPr>
          <w:ilvl w:val="0"/>
          <w:numId w:val="0"/>
        </w:numPr>
        <w:tabs>
          <w:tab w:val="left" w:pos="1134"/>
        </w:tabs>
        <w:spacing w:line="240" w:lineRule="auto"/>
        <w:ind w:left="567"/>
        <w:rPr>
          <w:rFonts w:cs="Arial"/>
          <w:sz w:val="22"/>
          <w:szCs w:val="22"/>
          <w:lang w:val="en-GB"/>
        </w:rPr>
      </w:pPr>
      <w:r w:rsidRPr="00681D05">
        <w:rPr>
          <w:rFonts w:cs="Arial"/>
          <w:sz w:val="22"/>
          <w:szCs w:val="22"/>
          <w:lang w:val="en-GB"/>
        </w:rPr>
        <w:t>The Committee,</w:t>
      </w:r>
    </w:p>
    <w:p w14:paraId="34D34B13" w14:textId="77777777" w:rsidR="007D4E27" w:rsidRPr="00681D05" w:rsidRDefault="007D4E27" w:rsidP="007D4E27">
      <w:pPr>
        <w:pStyle w:val="Para"/>
        <w:numPr>
          <w:ilvl w:val="0"/>
          <w:numId w:val="15"/>
        </w:numPr>
        <w:tabs>
          <w:tab w:val="left" w:pos="1134"/>
        </w:tabs>
        <w:spacing w:line="240" w:lineRule="auto"/>
        <w:ind w:left="567" w:firstLine="0"/>
        <w:rPr>
          <w:rFonts w:cs="Arial"/>
          <w:sz w:val="22"/>
          <w:szCs w:val="22"/>
          <w:lang w:val="en-GB"/>
        </w:rPr>
      </w:pPr>
      <w:r w:rsidRPr="00681D05">
        <w:rPr>
          <w:rFonts w:cs="Arial"/>
          <w:sz w:val="22"/>
          <w:szCs w:val="22"/>
          <w:u w:val="single"/>
          <w:lang w:val="en-GB"/>
        </w:rPr>
        <w:t>Having examined</w:t>
      </w:r>
      <w:r w:rsidRPr="00681D05">
        <w:rPr>
          <w:rFonts w:cs="Arial"/>
          <w:sz w:val="22"/>
          <w:szCs w:val="22"/>
          <w:lang w:val="en-GB"/>
        </w:rPr>
        <w:t xml:space="preserve"> document </w:t>
      </w:r>
      <w:r w:rsidR="005F632D" w:rsidRPr="00681D05">
        <w:rPr>
          <w:rFonts w:cs="Arial"/>
          <w:sz w:val="22"/>
          <w:szCs w:val="22"/>
          <w:lang w:val="en-GB"/>
        </w:rPr>
        <w:t>ITH/15/10.COM/6.b,</w:t>
      </w:r>
    </w:p>
    <w:p w14:paraId="28F3D7E5" w14:textId="77777777" w:rsidR="005F632D" w:rsidRPr="00681D05" w:rsidRDefault="005F632D" w:rsidP="005F632D">
      <w:pPr>
        <w:pStyle w:val="Para"/>
        <w:numPr>
          <w:ilvl w:val="0"/>
          <w:numId w:val="15"/>
        </w:numPr>
        <w:tabs>
          <w:tab w:val="left" w:pos="1134"/>
        </w:tabs>
        <w:spacing w:line="240" w:lineRule="auto"/>
        <w:ind w:left="567" w:firstLine="0"/>
        <w:rPr>
          <w:rFonts w:cs="Arial"/>
          <w:sz w:val="22"/>
          <w:szCs w:val="22"/>
          <w:lang w:val="en-GB"/>
        </w:rPr>
      </w:pPr>
      <w:r w:rsidRPr="00681D05">
        <w:rPr>
          <w:rFonts w:cs="Arial"/>
          <w:sz w:val="22"/>
          <w:szCs w:val="22"/>
          <w:u w:val="single"/>
          <w:lang w:val="en-GB"/>
        </w:rPr>
        <w:t>Recalling</w:t>
      </w:r>
      <w:r w:rsidRPr="00681D05">
        <w:rPr>
          <w:rFonts w:cs="Arial"/>
          <w:sz w:val="22"/>
          <w:szCs w:val="22"/>
          <w:lang w:val="en-GB"/>
        </w:rPr>
        <w:t xml:space="preserve"> Chapter V of the Operational Directives and its Decision 5.COM 5.4,</w:t>
      </w:r>
    </w:p>
    <w:p w14:paraId="2DAE2450"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7F6D6D">
        <w:rPr>
          <w:rFonts w:cs="Arial"/>
          <w:sz w:val="22"/>
          <w:szCs w:val="22"/>
          <w:u w:val="single"/>
          <w:lang w:val="en-GB"/>
        </w:rPr>
        <w:t>Expresses</w:t>
      </w:r>
      <w:r w:rsidRPr="00CA281B">
        <w:rPr>
          <w:rFonts w:cs="Arial"/>
          <w:sz w:val="22"/>
          <w:szCs w:val="22"/>
          <w:u w:val="single"/>
          <w:lang w:val="en-GB"/>
        </w:rPr>
        <w:t xml:space="preserve"> its thanks</w:t>
      </w:r>
      <w:r w:rsidRPr="00681D05">
        <w:rPr>
          <w:rFonts w:cs="Arial"/>
          <w:sz w:val="22"/>
          <w:szCs w:val="22"/>
          <w:lang w:val="en-GB"/>
        </w:rPr>
        <w:t xml:space="preserve"> to Croatia for submitting its report on the status of </w:t>
      </w:r>
      <w:r w:rsidR="00454B8E" w:rsidRPr="00681D05">
        <w:rPr>
          <w:rFonts w:cs="Arial"/>
          <w:sz w:val="22"/>
          <w:szCs w:val="22"/>
          <w:lang w:val="en-GB"/>
        </w:rPr>
        <w:t xml:space="preserve">the element </w:t>
      </w:r>
      <w:r w:rsidRPr="00681D05">
        <w:rPr>
          <w:rFonts w:cs="Arial"/>
          <w:sz w:val="22"/>
          <w:szCs w:val="22"/>
          <w:lang w:val="en-GB"/>
        </w:rPr>
        <w:t>‘</w:t>
      </w:r>
      <w:proofErr w:type="spellStart"/>
      <w:r w:rsidRPr="00681D05">
        <w:rPr>
          <w:rFonts w:cs="Arial"/>
          <w:sz w:val="22"/>
          <w:szCs w:val="22"/>
          <w:lang w:val="en-GB"/>
        </w:rPr>
        <w:t>Ojkanje</w:t>
      </w:r>
      <w:proofErr w:type="spellEnd"/>
      <w:r w:rsidRPr="00681D05">
        <w:rPr>
          <w:rFonts w:cs="Arial"/>
          <w:sz w:val="22"/>
          <w:szCs w:val="22"/>
          <w:lang w:val="en-GB"/>
        </w:rPr>
        <w:t xml:space="preserve"> singing’, inscribed in 2010 on the List of Intangible Cultural Heritage in Need of Urgent Safeguarding;</w:t>
      </w:r>
    </w:p>
    <w:p w14:paraId="0CB3ECC7"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Takes note</w:t>
      </w:r>
      <w:r w:rsidRPr="00681D05">
        <w:rPr>
          <w:rFonts w:cs="Arial"/>
          <w:sz w:val="22"/>
          <w:szCs w:val="22"/>
          <w:lang w:val="en-GB"/>
        </w:rPr>
        <w:t xml:space="preserve"> of the continued efforts undertaken by the State Party to revitalize and safeguard the element, in particular through encouraging traditional modes of oral transmission</w:t>
      </w:r>
      <w:r w:rsidR="00604F07">
        <w:rPr>
          <w:rFonts w:cs="Arial"/>
          <w:sz w:val="22"/>
          <w:szCs w:val="22"/>
          <w:lang w:val="en-GB"/>
        </w:rPr>
        <w:t>,</w:t>
      </w:r>
      <w:r w:rsidRPr="00681D05">
        <w:rPr>
          <w:rFonts w:cs="Arial"/>
          <w:sz w:val="22"/>
          <w:szCs w:val="22"/>
          <w:lang w:val="en-GB"/>
        </w:rPr>
        <w:t xml:space="preserve"> as well as newer approaches taken by cultural associations and through the promotion of the element in festivals, performances and other events in the context of community life;</w:t>
      </w:r>
    </w:p>
    <w:p w14:paraId="6D8F4E5B"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Invites</w:t>
      </w:r>
      <w:r w:rsidRPr="00681D05">
        <w:rPr>
          <w:rFonts w:cs="Arial"/>
          <w:sz w:val="22"/>
          <w:szCs w:val="22"/>
          <w:lang w:val="en-GB"/>
        </w:rPr>
        <w:t xml:space="preserve"> the State Party to ensure the long-term viability and sustainability of the element, in particular through providing sufficient state funding for this purpose, and appropriate repartition of available funds between the various safeguarding activities and beneficiaries;</w:t>
      </w:r>
    </w:p>
    <w:p w14:paraId="2DBDDE83"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Encourages</w:t>
      </w:r>
      <w:r w:rsidRPr="00681D05">
        <w:rPr>
          <w:rFonts w:cs="Arial"/>
          <w:sz w:val="22"/>
          <w:szCs w:val="22"/>
          <w:lang w:val="en-GB"/>
        </w:rPr>
        <w:t xml:space="preserve"> the State Party to </w:t>
      </w:r>
      <w:r w:rsidR="00DB6BB7">
        <w:rPr>
          <w:rFonts w:cs="Arial"/>
          <w:sz w:val="22"/>
          <w:szCs w:val="22"/>
          <w:lang w:val="en-GB"/>
        </w:rPr>
        <w:t>assess</w:t>
      </w:r>
      <w:r w:rsidRPr="00681D05">
        <w:rPr>
          <w:rFonts w:cs="Arial"/>
          <w:sz w:val="22"/>
          <w:szCs w:val="22"/>
          <w:lang w:val="en-GB"/>
        </w:rPr>
        <w:t xml:space="preserve"> the role of tourism entities in promoting the element and performances of </w:t>
      </w:r>
      <w:proofErr w:type="spellStart"/>
      <w:r w:rsidRPr="00681D05">
        <w:rPr>
          <w:rFonts w:cs="Arial"/>
          <w:sz w:val="22"/>
          <w:szCs w:val="22"/>
          <w:lang w:val="en-GB"/>
        </w:rPr>
        <w:t>Ojkanje</w:t>
      </w:r>
      <w:proofErr w:type="spellEnd"/>
      <w:r w:rsidRPr="00681D05">
        <w:rPr>
          <w:rFonts w:cs="Arial"/>
          <w:sz w:val="22"/>
          <w:szCs w:val="22"/>
          <w:lang w:val="en-GB"/>
        </w:rPr>
        <w:t xml:space="preserve"> singing in order to avoid commodification or denaturation of the element;</w:t>
      </w:r>
    </w:p>
    <w:p w14:paraId="680E1F54"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Reiterates</w:t>
      </w:r>
      <w:r w:rsidRPr="00681D05">
        <w:rPr>
          <w:rFonts w:cs="Arial"/>
          <w:sz w:val="22"/>
          <w:szCs w:val="22"/>
          <w:lang w:val="en-GB"/>
        </w:rPr>
        <w:t xml:space="preserve"> its encouragement to other States and communities with similar forms of singing to collaborate actively in the opportunities for international exchange that are proposed by the State Party;</w:t>
      </w:r>
    </w:p>
    <w:p w14:paraId="00D4CE42" w14:textId="77777777" w:rsidR="007D4E27"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Requests</w:t>
      </w:r>
      <w:r w:rsidRPr="00681D05">
        <w:rPr>
          <w:rFonts w:cs="Arial"/>
          <w:sz w:val="22"/>
          <w:szCs w:val="22"/>
          <w:lang w:val="en-GB"/>
        </w:rPr>
        <w:t xml:space="preserve"> the Secretariat to inform the State Party twelve mon</w:t>
      </w:r>
      <w:r w:rsidR="00C7682C" w:rsidRPr="00681D05">
        <w:rPr>
          <w:rFonts w:cs="Arial"/>
          <w:sz w:val="22"/>
          <w:szCs w:val="22"/>
          <w:lang w:val="en-GB"/>
        </w:rPr>
        <w:t>ths prior to the deadline of 15 </w:t>
      </w:r>
      <w:r w:rsidRPr="00681D05">
        <w:rPr>
          <w:rFonts w:cs="Arial"/>
          <w:sz w:val="22"/>
          <w:szCs w:val="22"/>
          <w:lang w:val="en-GB"/>
        </w:rPr>
        <w:t>December 2018 for the submission of its next report on the status of this element.</w:t>
      </w:r>
    </w:p>
    <w:p w14:paraId="7EF96D4D" w14:textId="77777777" w:rsidR="00877CE2" w:rsidRPr="00681D05" w:rsidRDefault="007D4E27" w:rsidP="00C51CB6">
      <w:pPr>
        <w:pStyle w:val="COMTitleDecision"/>
        <w:pageBreakBefore/>
        <w:spacing w:before="480"/>
        <w:jc w:val="left"/>
      </w:pPr>
      <w:r w:rsidRPr="00681D05">
        <w:rPr>
          <w:bCs/>
        </w:rPr>
        <w:lastRenderedPageBreak/>
        <w:t>Guatemala</w:t>
      </w:r>
      <w:r w:rsidR="00877CE2" w:rsidRPr="00681D05">
        <w:rPr>
          <w:bCs/>
        </w:rPr>
        <w:t>: ‘</w:t>
      </w:r>
      <w:proofErr w:type="spellStart"/>
      <w:r w:rsidRPr="00681D05">
        <w:rPr>
          <w:bCs/>
        </w:rPr>
        <w:t>Paach</w:t>
      </w:r>
      <w:proofErr w:type="spellEnd"/>
      <w:r w:rsidRPr="00681D05">
        <w:rPr>
          <w:bCs/>
        </w:rPr>
        <w:t xml:space="preserve"> ceremony</w:t>
      </w:r>
      <w:r w:rsidR="00877CE2" w:rsidRPr="00681D05">
        <w:rPr>
          <w:bCs/>
        </w:rPr>
        <w:t>’</w:t>
      </w:r>
      <w:r w:rsidR="00877CE2" w:rsidRPr="00681D05">
        <w:t xml:space="preserve"> </w:t>
      </w:r>
      <w:r w:rsidR="00877CE2" w:rsidRPr="00681D05">
        <w:rPr>
          <w:b w:val="0"/>
          <w:bCs/>
          <w:i/>
          <w:iCs/>
        </w:rPr>
        <w:t xml:space="preserve">(consult the </w:t>
      </w:r>
      <w:hyperlink r:id="rId27" w:history="1">
        <w:r w:rsidR="00877CE2" w:rsidRPr="00681D05">
          <w:rPr>
            <w:rStyle w:val="Hyperlink"/>
            <w:b w:val="0"/>
            <w:bCs/>
            <w:i/>
            <w:iCs/>
          </w:rPr>
          <w:t>report</w:t>
        </w:r>
      </w:hyperlink>
      <w:r w:rsidR="00877CE2" w:rsidRPr="00681D05">
        <w:rPr>
          <w:b w:val="0"/>
          <w:bCs/>
          <w:i/>
          <w:iCs/>
        </w:rPr>
        <w:t>)</w:t>
      </w:r>
    </w:p>
    <w:p w14:paraId="41E30D13" w14:textId="45485F5F" w:rsidR="005F632D" w:rsidRPr="00681D05" w:rsidRDefault="005F632D" w:rsidP="00375264">
      <w:pPr>
        <w:pStyle w:val="COMPara"/>
        <w:ind w:left="567" w:hanging="567"/>
        <w:jc w:val="both"/>
      </w:pPr>
      <w:proofErr w:type="spellStart"/>
      <w:r w:rsidRPr="00681D05">
        <w:t>Paach</w:t>
      </w:r>
      <w:proofErr w:type="spellEnd"/>
      <w:r w:rsidRPr="00681D05">
        <w:t xml:space="preserve"> </w:t>
      </w:r>
      <w:r w:rsidR="00DB6BB7">
        <w:t>c</w:t>
      </w:r>
      <w:r w:rsidRPr="00681D05">
        <w:t xml:space="preserve">eremony is a corn-veneration ritual celebrated by the Maya-Mam people to thank </w:t>
      </w:r>
      <w:r w:rsidR="008B1740">
        <w:t>Mother N</w:t>
      </w:r>
      <w:r w:rsidR="00604F07">
        <w:t xml:space="preserve">ature </w:t>
      </w:r>
      <w:r w:rsidRPr="00681D05">
        <w:t>for good harvests</w:t>
      </w:r>
      <w:r w:rsidR="008B1740">
        <w:t>,</w:t>
      </w:r>
      <w:r w:rsidRPr="00681D05">
        <w:t xml:space="preserve"> highlight</w:t>
      </w:r>
      <w:r w:rsidR="008B1740">
        <w:t>ing</w:t>
      </w:r>
      <w:r w:rsidRPr="00681D05">
        <w:t xml:space="preserve"> the close connection between humans and nature </w:t>
      </w:r>
      <w:r w:rsidR="008B1740">
        <w:t xml:space="preserve">with </w:t>
      </w:r>
      <w:r w:rsidRPr="00681D05">
        <w:t xml:space="preserve">prayers in the Mam language. It is based on </w:t>
      </w:r>
      <w:r w:rsidR="00E42B50">
        <w:t xml:space="preserve">the sacred book </w:t>
      </w:r>
      <w:proofErr w:type="spellStart"/>
      <w:r w:rsidRPr="00DB6BB7">
        <w:rPr>
          <w:i/>
        </w:rPr>
        <w:t>Popol</w:t>
      </w:r>
      <w:proofErr w:type="spellEnd"/>
      <w:r w:rsidRPr="00DB6BB7">
        <w:rPr>
          <w:i/>
        </w:rPr>
        <w:t xml:space="preserve"> </w:t>
      </w:r>
      <w:proofErr w:type="spellStart"/>
      <w:r w:rsidRPr="00DB6BB7">
        <w:rPr>
          <w:i/>
        </w:rPr>
        <w:t>Vuh</w:t>
      </w:r>
      <w:proofErr w:type="spellEnd"/>
      <w:r w:rsidR="008B1740" w:rsidRPr="00DB6BB7">
        <w:rPr>
          <w:i/>
        </w:rPr>
        <w:t>,</w:t>
      </w:r>
      <w:r w:rsidRPr="00681D05">
        <w:t xml:space="preserve"> </w:t>
      </w:r>
      <w:r w:rsidR="00753A9F">
        <w:t>which</w:t>
      </w:r>
      <w:r w:rsidRPr="00681D05">
        <w:t xml:space="preserve"> according to Mayan philosophy, stresses the importance of corn in the creation of the first human beings. All age and gender groups participate, with their own specific roles in the ceremony. </w:t>
      </w:r>
      <w:r w:rsidRPr="00681D05">
        <w:rPr>
          <w:bCs/>
        </w:rPr>
        <w:t>T</w:t>
      </w:r>
      <w:r w:rsidR="008B1740">
        <w:rPr>
          <w:bCs/>
        </w:rPr>
        <w:t>he ceremony combines t</w:t>
      </w:r>
      <w:r w:rsidRPr="00681D05">
        <w:t>wo key elements</w:t>
      </w:r>
      <w:r w:rsidR="008B1740">
        <w:t xml:space="preserve"> – </w:t>
      </w:r>
      <w:r w:rsidRPr="00681D05">
        <w:t xml:space="preserve">the </w:t>
      </w:r>
      <w:proofErr w:type="spellStart"/>
      <w:r w:rsidRPr="00681D05">
        <w:t>Pregón</w:t>
      </w:r>
      <w:proofErr w:type="spellEnd"/>
      <w:r w:rsidRPr="00681D05">
        <w:t xml:space="preserve"> and the </w:t>
      </w:r>
      <w:r w:rsidR="008B1740">
        <w:t>D</w:t>
      </w:r>
      <w:r w:rsidRPr="00681D05">
        <w:t xml:space="preserve">ance of the </w:t>
      </w:r>
      <w:proofErr w:type="spellStart"/>
      <w:r w:rsidR="008B1740">
        <w:t>P</w:t>
      </w:r>
      <w:r w:rsidRPr="00681D05">
        <w:t>achitas</w:t>
      </w:r>
      <w:proofErr w:type="spellEnd"/>
      <w:r w:rsidRPr="00681D05">
        <w:t xml:space="preserve">. While the latter is still transmitted, the </w:t>
      </w:r>
      <w:proofErr w:type="spellStart"/>
      <w:r w:rsidRPr="00681D05">
        <w:t>Pregón</w:t>
      </w:r>
      <w:proofErr w:type="spellEnd"/>
      <w:r w:rsidRPr="00681D05">
        <w:t xml:space="preserve"> is </w:t>
      </w:r>
      <w:r w:rsidR="008B1740">
        <w:t xml:space="preserve">only </w:t>
      </w:r>
      <w:r w:rsidRPr="00681D05">
        <w:t xml:space="preserve">maintained by members of the group </w:t>
      </w:r>
      <w:r w:rsidR="00EA1C42" w:rsidRPr="00681D05">
        <w:t>M</w:t>
      </w:r>
      <w:r w:rsidRPr="00681D05">
        <w:t xml:space="preserve">other </w:t>
      </w:r>
      <w:r w:rsidR="00EA1C42" w:rsidRPr="00681D05">
        <w:t>C</w:t>
      </w:r>
      <w:r w:rsidRPr="00681D05">
        <w:t>orn Pro</w:t>
      </w:r>
      <w:r w:rsidR="008B1740">
        <w:t xml:space="preserve"> and has not been </w:t>
      </w:r>
      <w:r w:rsidRPr="00681D05">
        <w:t>transmit</w:t>
      </w:r>
      <w:r w:rsidR="00EA1C42" w:rsidRPr="00681D05">
        <w:t>t</w:t>
      </w:r>
      <w:r w:rsidR="008B1740">
        <w:t>ed</w:t>
      </w:r>
      <w:r w:rsidRPr="00681D05">
        <w:t xml:space="preserve"> to their children</w:t>
      </w:r>
      <w:r w:rsidR="008B1740">
        <w:t xml:space="preserve"> due to </w:t>
      </w:r>
      <w:r w:rsidRPr="00681D05">
        <w:t>the</w:t>
      </w:r>
      <w:r w:rsidR="008B1740">
        <w:t xml:space="preserve"> </w:t>
      </w:r>
      <w:r w:rsidRPr="00681D05">
        <w:t xml:space="preserve">age </w:t>
      </w:r>
      <w:r w:rsidR="008B1740">
        <w:t xml:space="preserve">of the members </w:t>
      </w:r>
      <w:r w:rsidRPr="00681D05">
        <w:t xml:space="preserve">and the young generation </w:t>
      </w:r>
      <w:r w:rsidR="008B1740">
        <w:t xml:space="preserve">lacking proficiency </w:t>
      </w:r>
      <w:r w:rsidRPr="00681D05">
        <w:t>in the Mam language. Following the</w:t>
      </w:r>
      <w:r w:rsidR="008B1740">
        <w:t xml:space="preserve"> </w:t>
      </w:r>
      <w:r w:rsidRPr="00681D05">
        <w:t xml:space="preserve">inscription </w:t>
      </w:r>
      <w:r w:rsidR="008B1740">
        <w:t xml:space="preserve">of the element </w:t>
      </w:r>
      <w:r w:rsidRPr="00681D05">
        <w:t xml:space="preserve">on the Urgent Safeguarding List in 2013, the State Party submitted an </w:t>
      </w:r>
      <w:r w:rsidR="008B1740">
        <w:t>I</w:t>
      </w:r>
      <w:r w:rsidRPr="00681D05">
        <w:t xml:space="preserve">nternational </w:t>
      </w:r>
      <w:r w:rsidR="008B1740">
        <w:t>A</w:t>
      </w:r>
      <w:r w:rsidRPr="00681D05">
        <w:t xml:space="preserve">ssistance </w:t>
      </w:r>
      <w:r w:rsidR="008B1740">
        <w:t xml:space="preserve">request </w:t>
      </w:r>
      <w:r w:rsidR="00EA1C42" w:rsidRPr="00681D05">
        <w:t xml:space="preserve">of less than </w:t>
      </w:r>
      <w:r w:rsidR="005277C7" w:rsidRPr="00681D05">
        <w:t>USD</w:t>
      </w:r>
      <w:r w:rsidR="00EA1C42" w:rsidRPr="00681D05">
        <w:t>25</w:t>
      </w:r>
      <w:proofErr w:type="gramStart"/>
      <w:r w:rsidR="00EA1C42" w:rsidRPr="00681D05">
        <w:t>,000</w:t>
      </w:r>
      <w:proofErr w:type="gramEnd"/>
      <w:r w:rsidRPr="00681D05">
        <w:t xml:space="preserve"> to support educational safeguarding measures, which has benefitted from technical assistance and is still being reviewed by the submitting State. </w:t>
      </w:r>
      <w:r w:rsidRPr="00681D05">
        <w:rPr>
          <w:bCs/>
        </w:rPr>
        <w:t>At the time of inscription in 2013, the Committee requested a</w:t>
      </w:r>
      <w:r w:rsidR="00681D05" w:rsidRPr="00681D05">
        <w:rPr>
          <w:bCs/>
        </w:rPr>
        <w:t>n extraordinary</w:t>
      </w:r>
      <w:r w:rsidRPr="00681D05">
        <w:rPr>
          <w:bCs/>
        </w:rPr>
        <w:t xml:space="preserve"> report </w:t>
      </w:r>
      <w:r w:rsidR="00681D05" w:rsidRPr="00681D05">
        <w:rPr>
          <w:bCs/>
        </w:rPr>
        <w:t xml:space="preserve">to be examined </w:t>
      </w:r>
      <w:r w:rsidRPr="00681D05">
        <w:rPr>
          <w:bCs/>
        </w:rPr>
        <w:t>at its tenth session.</w:t>
      </w:r>
    </w:p>
    <w:p w14:paraId="3E7958B6" w14:textId="77777777" w:rsidR="005F632D" w:rsidRPr="00681D05" w:rsidRDefault="005F632D" w:rsidP="00375264">
      <w:pPr>
        <w:pStyle w:val="COMPara"/>
        <w:ind w:left="567" w:hanging="567"/>
        <w:jc w:val="both"/>
      </w:pPr>
      <w:r w:rsidRPr="00681D05">
        <w:rPr>
          <w:rFonts w:eastAsia="SimSun"/>
          <w:b/>
          <w:kern w:val="1"/>
          <w:lang w:eastAsia="ar-SA"/>
        </w:rPr>
        <w:t>E</w:t>
      </w:r>
      <w:r w:rsidRPr="00681D05">
        <w:rPr>
          <w:b/>
        </w:rPr>
        <w:t xml:space="preserve">ffectiveness of </w:t>
      </w:r>
      <w:r w:rsidR="00681D05">
        <w:rPr>
          <w:b/>
        </w:rPr>
        <w:t xml:space="preserve">the </w:t>
      </w:r>
      <w:r w:rsidRPr="00681D05">
        <w:rPr>
          <w:b/>
        </w:rPr>
        <w:t xml:space="preserve">safeguarding </w:t>
      </w:r>
      <w:r w:rsidR="00681D05">
        <w:rPr>
          <w:b/>
        </w:rPr>
        <w:t>plan</w:t>
      </w:r>
      <w:r w:rsidRPr="00681D05">
        <w:t>.</w:t>
      </w:r>
      <w:r w:rsidRPr="00681D05">
        <w:rPr>
          <w:bCs/>
        </w:rPr>
        <w:t xml:space="preserve"> </w:t>
      </w:r>
      <w:r w:rsidRPr="00681D05">
        <w:rPr>
          <w:rFonts w:eastAsiaTheme="minorHAnsi"/>
        </w:rPr>
        <w:t xml:space="preserve">It </w:t>
      </w:r>
      <w:r w:rsidR="00C173C7">
        <w:rPr>
          <w:rFonts w:eastAsiaTheme="minorHAnsi"/>
        </w:rPr>
        <w:t>has been</w:t>
      </w:r>
      <w:r w:rsidRPr="00681D05">
        <w:rPr>
          <w:rFonts w:eastAsiaTheme="minorHAnsi"/>
        </w:rPr>
        <w:t xml:space="preserve"> reported that</w:t>
      </w:r>
      <w:r w:rsidRPr="00681D05">
        <w:t xml:space="preserve"> </w:t>
      </w:r>
      <w:r w:rsidRPr="00681D05">
        <w:rPr>
          <w:rFonts w:eastAsiaTheme="minorHAnsi"/>
        </w:rPr>
        <w:t xml:space="preserve">most of the planned activities yielded the expected results with the exception of identifying new members for the element, due to an approach that </w:t>
      </w:r>
      <w:r w:rsidR="002039BC">
        <w:rPr>
          <w:rFonts w:eastAsiaTheme="minorHAnsi"/>
        </w:rPr>
        <w:t xml:space="preserve">is not highly compatible </w:t>
      </w:r>
      <w:r w:rsidRPr="00681D05">
        <w:rPr>
          <w:rFonts w:eastAsiaTheme="minorHAnsi"/>
        </w:rPr>
        <w:t xml:space="preserve">with the Maya-Mam </w:t>
      </w:r>
      <w:r w:rsidR="00C173C7">
        <w:rPr>
          <w:rFonts w:eastAsiaTheme="minorHAnsi"/>
        </w:rPr>
        <w:t>method</w:t>
      </w:r>
      <w:r w:rsidRPr="00681D05">
        <w:rPr>
          <w:rFonts w:eastAsiaTheme="minorHAnsi"/>
        </w:rPr>
        <w:t xml:space="preserve"> of knowledge</w:t>
      </w:r>
      <w:r w:rsidR="00C173C7">
        <w:rPr>
          <w:rFonts w:eastAsiaTheme="minorHAnsi"/>
        </w:rPr>
        <w:t xml:space="preserve"> transmission</w:t>
      </w:r>
      <w:r w:rsidRPr="00681D05">
        <w:rPr>
          <w:rFonts w:eastAsiaTheme="minorHAnsi"/>
        </w:rPr>
        <w:t>.</w:t>
      </w:r>
      <w:r w:rsidRPr="00681D05">
        <w:t xml:space="preserve"> It seems that measures c</w:t>
      </w:r>
      <w:r w:rsidR="00C173C7">
        <w:t>onducted</w:t>
      </w:r>
      <w:r w:rsidRPr="00681D05">
        <w:t xml:space="preserve"> so far have encouraged greater participation </w:t>
      </w:r>
      <w:r w:rsidR="00C173C7">
        <w:t>of</w:t>
      </w:r>
      <w:r w:rsidRPr="00681D05">
        <w:t xml:space="preserve"> </w:t>
      </w:r>
      <w:r w:rsidR="00C173C7">
        <w:t>representatives</w:t>
      </w:r>
      <w:r w:rsidRPr="00681D05">
        <w:t xml:space="preserve"> from </w:t>
      </w:r>
      <w:r w:rsidR="002039BC">
        <w:t xml:space="preserve">bearer groups </w:t>
      </w:r>
      <w:r w:rsidR="00E82378">
        <w:t xml:space="preserve">in addition to </w:t>
      </w:r>
      <w:r w:rsidR="00EA1C42" w:rsidRPr="00681D05">
        <w:t xml:space="preserve">Mother Corn Pro to </w:t>
      </w:r>
      <w:r w:rsidR="00E82378">
        <w:t xml:space="preserve">work together to </w:t>
      </w:r>
      <w:r w:rsidR="00EA1C42" w:rsidRPr="00681D05">
        <w:t>safeguard the ceremony</w:t>
      </w:r>
      <w:r w:rsidRPr="00681D05">
        <w:t xml:space="preserve">. A major </w:t>
      </w:r>
      <w:r w:rsidRPr="00681D05">
        <w:rPr>
          <w:bCs/>
        </w:rPr>
        <w:t>activit</w:t>
      </w:r>
      <w:r w:rsidR="00005650">
        <w:rPr>
          <w:bCs/>
        </w:rPr>
        <w:t>y</w:t>
      </w:r>
      <w:r w:rsidRPr="00681D05">
        <w:t xml:space="preserve"> undertaken </w:t>
      </w:r>
      <w:r w:rsidR="002039BC">
        <w:t>was</w:t>
      </w:r>
      <w:r w:rsidRPr="00681D05">
        <w:t xml:space="preserve"> the inventorying of the element</w:t>
      </w:r>
      <w:r w:rsidR="00E82378">
        <w:t xml:space="preserve"> </w:t>
      </w:r>
      <w:r w:rsidRPr="00681D05">
        <w:t xml:space="preserve">in 2014, </w:t>
      </w:r>
      <w:r w:rsidR="002039BC">
        <w:t xml:space="preserve">which </w:t>
      </w:r>
      <w:r w:rsidRPr="00681D05">
        <w:t>includ</w:t>
      </w:r>
      <w:r w:rsidR="002039BC">
        <w:t>ed</w:t>
      </w:r>
      <w:r w:rsidRPr="00681D05">
        <w:t xml:space="preserve"> information on safeguarding measures implemented by the Maya-Mam people. Unfo</w:t>
      </w:r>
      <w:r w:rsidR="002039BC">
        <w:t>r</w:t>
      </w:r>
      <w:r w:rsidRPr="00681D05">
        <w:t>tunately, regard</w:t>
      </w:r>
      <w:r w:rsidR="00E82378">
        <w:t>ing</w:t>
      </w:r>
      <w:r w:rsidRPr="00681D05">
        <w:t xml:space="preserve"> transmission-related actions, parents </w:t>
      </w:r>
      <w:r w:rsidR="002039BC">
        <w:t xml:space="preserve">tended to </w:t>
      </w:r>
      <w:r w:rsidRPr="00681D05">
        <w:t>view</w:t>
      </w:r>
      <w:r w:rsidR="002039BC">
        <w:t xml:space="preserve"> them</w:t>
      </w:r>
      <w:r w:rsidRPr="00681D05">
        <w:t xml:space="preserve"> as </w:t>
      </w:r>
      <w:r w:rsidR="002039BC">
        <w:t xml:space="preserve">requiring </w:t>
      </w:r>
      <w:r w:rsidRPr="00681D05">
        <w:t>provi</w:t>
      </w:r>
      <w:r w:rsidR="002039BC">
        <w:t>ding</w:t>
      </w:r>
      <w:r w:rsidRPr="00681D05">
        <w:t xml:space="preserve"> financial support to their children</w:t>
      </w:r>
      <w:r w:rsidR="00E82378">
        <w:t xml:space="preserve">. Therefore, </w:t>
      </w:r>
      <w:r w:rsidRPr="00681D05">
        <w:t xml:space="preserve">a new work strategy needs to be developed. Another challenge identified </w:t>
      </w:r>
      <w:r w:rsidR="00005650">
        <w:t>w</w:t>
      </w:r>
      <w:r w:rsidRPr="00681D05">
        <w:t>as conflict over decision-making within Mother Corn Pro</w:t>
      </w:r>
      <w:r w:rsidR="00005650">
        <w:t>,</w:t>
      </w:r>
      <w:r w:rsidRPr="00681D05">
        <w:t xml:space="preserve"> which is being addressed through mediation by the Ministry of Culture and Sports. </w:t>
      </w:r>
      <w:r w:rsidRPr="00681D05">
        <w:rPr>
          <w:rFonts w:eastAsiaTheme="minorHAnsi"/>
        </w:rPr>
        <w:t xml:space="preserve">It </w:t>
      </w:r>
      <w:r w:rsidR="00005650">
        <w:rPr>
          <w:rFonts w:eastAsiaTheme="minorHAnsi"/>
        </w:rPr>
        <w:t>ha</w:t>
      </w:r>
      <w:r w:rsidRPr="00681D05">
        <w:rPr>
          <w:rFonts w:eastAsiaTheme="minorHAnsi"/>
        </w:rPr>
        <w:t xml:space="preserve">s also </w:t>
      </w:r>
      <w:r w:rsidR="00005650">
        <w:rPr>
          <w:rFonts w:eastAsiaTheme="minorHAnsi"/>
        </w:rPr>
        <w:t xml:space="preserve">been </w:t>
      </w:r>
      <w:r w:rsidRPr="00681D05">
        <w:rPr>
          <w:rFonts w:eastAsiaTheme="minorHAnsi"/>
        </w:rPr>
        <w:t xml:space="preserve">noted that </w:t>
      </w:r>
      <w:r w:rsidR="00095A51">
        <w:rPr>
          <w:rFonts w:eastAsiaTheme="minorHAnsi"/>
        </w:rPr>
        <w:t xml:space="preserve">pressure to </w:t>
      </w:r>
      <w:r w:rsidRPr="00681D05">
        <w:rPr>
          <w:rFonts w:eastAsiaTheme="minorHAnsi"/>
        </w:rPr>
        <w:t xml:space="preserve">seek </w:t>
      </w:r>
      <w:r w:rsidR="00095A51">
        <w:rPr>
          <w:rFonts w:eastAsiaTheme="minorHAnsi"/>
        </w:rPr>
        <w:t>external</w:t>
      </w:r>
      <w:r w:rsidRPr="00681D05">
        <w:rPr>
          <w:rFonts w:eastAsiaTheme="minorHAnsi"/>
        </w:rPr>
        <w:t xml:space="preserve"> funding can result in </w:t>
      </w:r>
      <w:r w:rsidR="00095A51">
        <w:rPr>
          <w:rFonts w:eastAsiaTheme="minorHAnsi"/>
        </w:rPr>
        <w:t>irregularities in safeguarding procedures</w:t>
      </w:r>
      <w:r w:rsidRPr="00681D05">
        <w:rPr>
          <w:rFonts w:eastAsiaTheme="minorHAnsi"/>
        </w:rPr>
        <w:t xml:space="preserve">, such as </w:t>
      </w:r>
      <w:r w:rsidR="00095A51">
        <w:rPr>
          <w:rFonts w:eastAsiaTheme="minorHAnsi"/>
        </w:rPr>
        <w:t xml:space="preserve">conducting </w:t>
      </w:r>
      <w:r w:rsidRPr="00681D05">
        <w:rPr>
          <w:rFonts w:eastAsiaTheme="minorHAnsi"/>
        </w:rPr>
        <w:t>a pilot project us</w:t>
      </w:r>
      <w:r w:rsidR="00005650">
        <w:rPr>
          <w:rFonts w:eastAsiaTheme="minorHAnsi"/>
        </w:rPr>
        <w:t>ing</w:t>
      </w:r>
      <w:r w:rsidRPr="00681D05">
        <w:rPr>
          <w:rFonts w:eastAsiaTheme="minorHAnsi"/>
        </w:rPr>
        <w:t xml:space="preserve"> a ritual to promote tree-planting be</w:t>
      </w:r>
      <w:r w:rsidR="00095A51">
        <w:rPr>
          <w:rFonts w:eastAsiaTheme="minorHAnsi"/>
        </w:rPr>
        <w:t xml:space="preserve">fore </w:t>
      </w:r>
      <w:r w:rsidR="00EA1C42" w:rsidRPr="00681D05">
        <w:rPr>
          <w:rFonts w:eastAsiaTheme="minorHAnsi"/>
        </w:rPr>
        <w:t xml:space="preserve">the </w:t>
      </w:r>
      <w:r w:rsidR="00005650">
        <w:rPr>
          <w:rFonts w:eastAsiaTheme="minorHAnsi"/>
        </w:rPr>
        <w:t>ritual has been</w:t>
      </w:r>
      <w:r w:rsidR="00095A51">
        <w:rPr>
          <w:rFonts w:eastAsiaTheme="minorHAnsi"/>
        </w:rPr>
        <w:t xml:space="preserve"> </w:t>
      </w:r>
      <w:r w:rsidRPr="00681D05">
        <w:rPr>
          <w:rFonts w:eastAsiaTheme="minorHAnsi"/>
        </w:rPr>
        <w:t>document</w:t>
      </w:r>
      <w:r w:rsidR="00095A51">
        <w:rPr>
          <w:rFonts w:eastAsiaTheme="minorHAnsi"/>
        </w:rPr>
        <w:t>ed</w:t>
      </w:r>
      <w:r w:rsidRPr="00681D05">
        <w:rPr>
          <w:rFonts w:eastAsiaTheme="minorHAnsi"/>
        </w:rPr>
        <w:t xml:space="preserve">. </w:t>
      </w:r>
      <w:r w:rsidR="00005650">
        <w:rPr>
          <w:rFonts w:eastAsiaTheme="minorHAnsi"/>
        </w:rPr>
        <w:t xml:space="preserve">Implementation of community-funded projects tended to suffer, in particular due to </w:t>
      </w:r>
      <w:r w:rsidRPr="00681D05">
        <w:rPr>
          <w:rFonts w:eastAsiaTheme="minorHAnsi"/>
        </w:rPr>
        <w:t xml:space="preserve">financial and human resources </w:t>
      </w:r>
      <w:r w:rsidR="00005650">
        <w:rPr>
          <w:rFonts w:eastAsiaTheme="minorHAnsi"/>
        </w:rPr>
        <w:t xml:space="preserve">being </w:t>
      </w:r>
      <w:r w:rsidRPr="00681D05">
        <w:rPr>
          <w:rFonts w:eastAsiaTheme="minorHAnsi"/>
        </w:rPr>
        <w:t xml:space="preserve">available </w:t>
      </w:r>
      <w:r w:rsidR="002039BC">
        <w:rPr>
          <w:rFonts w:eastAsiaTheme="minorHAnsi"/>
        </w:rPr>
        <w:t xml:space="preserve">on a </w:t>
      </w:r>
      <w:r w:rsidRPr="00681D05">
        <w:rPr>
          <w:rFonts w:eastAsiaTheme="minorHAnsi"/>
        </w:rPr>
        <w:t>sporadic</w:t>
      </w:r>
      <w:r w:rsidR="002039BC">
        <w:rPr>
          <w:rFonts w:eastAsiaTheme="minorHAnsi"/>
        </w:rPr>
        <w:t xml:space="preserve"> basis</w:t>
      </w:r>
      <w:r w:rsidR="00005650">
        <w:rPr>
          <w:rFonts w:eastAsiaTheme="minorHAnsi"/>
        </w:rPr>
        <w:t>.</w:t>
      </w:r>
    </w:p>
    <w:p w14:paraId="504D0A8B" w14:textId="77777777" w:rsidR="005F632D" w:rsidRPr="00681D05" w:rsidRDefault="005F632D" w:rsidP="00375264">
      <w:pPr>
        <w:pStyle w:val="COMPara"/>
        <w:ind w:left="567" w:hanging="567"/>
        <w:jc w:val="both"/>
        <w:rPr>
          <w:rFonts w:eastAsia="SimSun"/>
          <w:bCs/>
          <w:kern w:val="1"/>
          <w:u w:val="single"/>
          <w:lang w:eastAsia="ar-SA"/>
        </w:rPr>
      </w:pPr>
      <w:r w:rsidRPr="00681D05">
        <w:rPr>
          <w:b/>
        </w:rPr>
        <w:t>Community participation</w:t>
      </w:r>
      <w:r w:rsidRPr="00681D05">
        <w:t>.</w:t>
      </w:r>
      <w:r w:rsidRPr="00681D05">
        <w:rPr>
          <w:bCs/>
        </w:rPr>
        <w:t xml:space="preserve"> </w:t>
      </w:r>
      <w:r w:rsidR="00005650">
        <w:t>A</w:t>
      </w:r>
      <w:r w:rsidRPr="00681D05">
        <w:t xml:space="preserve">ctions developed have led to the bearers creating ‘work tables’ which give them a leadership role in implementing them. Children, youth, adults and elderly people who </w:t>
      </w:r>
      <w:r w:rsidR="00CC4852">
        <w:t>participate in the D</w:t>
      </w:r>
      <w:r w:rsidRPr="00681D05">
        <w:t xml:space="preserve">ance </w:t>
      </w:r>
      <w:r w:rsidR="00CC4852">
        <w:t xml:space="preserve">of </w:t>
      </w:r>
      <w:r w:rsidRPr="00681D05">
        <w:t xml:space="preserve">the </w:t>
      </w:r>
      <w:proofErr w:type="spellStart"/>
      <w:r w:rsidR="00892216" w:rsidRPr="003E01FB">
        <w:rPr>
          <w:iCs/>
        </w:rPr>
        <w:t>P</w:t>
      </w:r>
      <w:r w:rsidRPr="003E01FB">
        <w:rPr>
          <w:iCs/>
        </w:rPr>
        <w:t>achitas</w:t>
      </w:r>
      <w:proofErr w:type="spellEnd"/>
      <w:r w:rsidRPr="00681D05">
        <w:t xml:space="preserve"> </w:t>
      </w:r>
      <w:r w:rsidR="00CC4852">
        <w:t xml:space="preserve">were involved </w:t>
      </w:r>
      <w:r w:rsidRPr="00681D05">
        <w:t>in the development of the inventory</w:t>
      </w:r>
      <w:r w:rsidR="00892216">
        <w:t>. B</w:t>
      </w:r>
      <w:r w:rsidRPr="00681D05">
        <w:t xml:space="preserve">earer groups and local cultural organizations helped to formulate the documentation. </w:t>
      </w:r>
      <w:r w:rsidR="007C6806" w:rsidRPr="00681D05">
        <w:t xml:space="preserve">Thanks to </w:t>
      </w:r>
      <w:r w:rsidRPr="00681D05">
        <w:t>an open tender,</w:t>
      </w:r>
      <w:r w:rsidR="00A11104">
        <w:t xml:space="preserve"> </w:t>
      </w:r>
      <w:r w:rsidRPr="00681D05">
        <w:t xml:space="preserve">active participation of the communities </w:t>
      </w:r>
      <w:r w:rsidR="00A11104">
        <w:t>has been</w:t>
      </w:r>
      <w:r w:rsidRPr="00681D05">
        <w:t xml:space="preserve"> ensured and the principle of considering bearers as </w:t>
      </w:r>
      <w:r w:rsidR="00A11104">
        <w:t xml:space="preserve">the </w:t>
      </w:r>
      <w:r w:rsidRPr="00681D05">
        <w:t xml:space="preserve">leaders </w:t>
      </w:r>
      <w:r w:rsidR="007C6806" w:rsidRPr="00681D05">
        <w:t xml:space="preserve">of </w:t>
      </w:r>
      <w:r w:rsidRPr="00681D05">
        <w:t xml:space="preserve">all </w:t>
      </w:r>
      <w:r w:rsidR="00892216">
        <w:t>associated</w:t>
      </w:r>
      <w:r w:rsidRPr="00681D05">
        <w:t xml:space="preserve"> actions</w:t>
      </w:r>
      <w:r w:rsidR="00A11104">
        <w:t>,</w:t>
      </w:r>
      <w:r w:rsidRPr="00681D05">
        <w:t xml:space="preserve"> applied. During October and December 2014</w:t>
      </w:r>
      <w:r w:rsidR="00892216">
        <w:t>,</w:t>
      </w:r>
      <w:r w:rsidRPr="00681D05">
        <w:t xml:space="preserve"> a cycle of meetings was held to review progress and the commitments by the different institutions. Community members </w:t>
      </w:r>
      <w:r w:rsidR="00892216">
        <w:t xml:space="preserve">had </w:t>
      </w:r>
      <w:r w:rsidRPr="00681D05">
        <w:t>contribu</w:t>
      </w:r>
      <w:r w:rsidR="00892216">
        <w:t>ted</w:t>
      </w:r>
      <w:r w:rsidRPr="00681D05">
        <w:t xml:space="preserve"> strongly with supporting documents. While </w:t>
      </w:r>
      <w:r w:rsidRPr="00681D05">
        <w:rPr>
          <w:rFonts w:eastAsiaTheme="minorHAnsi"/>
        </w:rPr>
        <w:t xml:space="preserve">it is important to note that </w:t>
      </w:r>
      <w:r w:rsidRPr="00681D05">
        <w:t>funding for the first year of work has come from contributions by bearers and their communities, it may be</w:t>
      </w:r>
      <w:r w:rsidR="00892216">
        <w:t xml:space="preserve"> </w:t>
      </w:r>
      <w:r w:rsidRPr="00681D05">
        <w:t xml:space="preserve">necessary to establish a permanent fund for safeguarding activities by the Municipal Government of San Pedro </w:t>
      </w:r>
      <w:proofErr w:type="spellStart"/>
      <w:r w:rsidRPr="00681D05">
        <w:t>Sacatepequez</w:t>
      </w:r>
      <w:proofErr w:type="spellEnd"/>
      <w:r w:rsidR="007C6806" w:rsidRPr="00681D05">
        <w:t>,</w:t>
      </w:r>
      <w:r w:rsidRPr="00681D05">
        <w:t xml:space="preserve"> San Marcos.</w:t>
      </w:r>
    </w:p>
    <w:p w14:paraId="369A5AD3" w14:textId="77777777" w:rsidR="005F632D" w:rsidRPr="00681D05" w:rsidRDefault="005F632D" w:rsidP="00375264">
      <w:pPr>
        <w:pStyle w:val="COMPara"/>
        <w:ind w:left="567" w:hanging="567"/>
        <w:jc w:val="both"/>
        <w:rPr>
          <w:rFonts w:eastAsia="SimSun"/>
          <w:bCs/>
          <w:kern w:val="1"/>
          <w:u w:val="single"/>
          <w:lang w:eastAsia="ar-SA"/>
        </w:rPr>
      </w:pPr>
      <w:r w:rsidRPr="00681D05">
        <w:rPr>
          <w:b/>
        </w:rPr>
        <w:t>Viability and current risks</w:t>
      </w:r>
      <w:r w:rsidRPr="00681D05">
        <w:t>.</w:t>
      </w:r>
      <w:r w:rsidRPr="00681D05">
        <w:rPr>
          <w:bCs/>
        </w:rPr>
        <w:t xml:space="preserve"> </w:t>
      </w:r>
      <w:r w:rsidRPr="00681D05">
        <w:t>Although not explicitly</w:t>
      </w:r>
      <w:r w:rsidR="00892216">
        <w:t xml:space="preserve"> stated</w:t>
      </w:r>
      <w:r w:rsidRPr="00681D05">
        <w:t>,</w:t>
      </w:r>
      <w:r w:rsidR="007D2124">
        <w:t xml:space="preserve"> </w:t>
      </w:r>
      <w:r w:rsidRPr="00681D05">
        <w:t xml:space="preserve">national inscription </w:t>
      </w:r>
      <w:r w:rsidR="00892216">
        <w:t xml:space="preserve">of the element </w:t>
      </w:r>
      <w:r w:rsidRPr="00681D05">
        <w:t xml:space="preserve">and </w:t>
      </w:r>
      <w:r w:rsidR="00892216">
        <w:t xml:space="preserve">its </w:t>
      </w:r>
      <w:r w:rsidRPr="00681D05">
        <w:t>inscription on the Urgent Safeguarding List a</w:t>
      </w:r>
      <w:r w:rsidR="007D2124">
        <w:t xml:space="preserve">ppear to be </w:t>
      </w:r>
      <w:r w:rsidRPr="00681D05">
        <w:t xml:space="preserve">part of </w:t>
      </w:r>
      <w:r w:rsidR="00892216">
        <w:t xml:space="preserve">efforts to </w:t>
      </w:r>
      <w:r w:rsidRPr="00681D05">
        <w:t>increas</w:t>
      </w:r>
      <w:r w:rsidR="00892216">
        <w:t>e</w:t>
      </w:r>
      <w:r w:rsidRPr="00681D05">
        <w:t xml:space="preserve"> visibility and awareness. Nevertheless, </w:t>
      </w:r>
      <w:r w:rsidR="007C6806" w:rsidRPr="00681D05">
        <w:t xml:space="preserve">it </w:t>
      </w:r>
      <w:r w:rsidR="00892216">
        <w:t>has been</w:t>
      </w:r>
      <w:r w:rsidR="007C6806" w:rsidRPr="00681D05">
        <w:t xml:space="preserve"> reported that </w:t>
      </w:r>
      <w:r w:rsidRPr="00681D05">
        <w:t>the main threat to the element re</w:t>
      </w:r>
      <w:r w:rsidR="00892216">
        <w:t>mains to be</w:t>
      </w:r>
      <w:r w:rsidRPr="00681D05">
        <w:t xml:space="preserve"> the weakness </w:t>
      </w:r>
      <w:r w:rsidR="00892216">
        <w:t xml:space="preserve">in the </w:t>
      </w:r>
      <w:r w:rsidRPr="00681D05">
        <w:t xml:space="preserve">mode of transmission </w:t>
      </w:r>
      <w:r w:rsidR="00892216">
        <w:t>using</w:t>
      </w:r>
      <w:r w:rsidRPr="00681D05">
        <w:t xml:space="preserve"> the Mam language. Conditions for </w:t>
      </w:r>
      <w:r w:rsidR="00892216">
        <w:t xml:space="preserve">survival of the element </w:t>
      </w:r>
      <w:r w:rsidRPr="00681D05">
        <w:t xml:space="preserve">are </w:t>
      </w:r>
      <w:r w:rsidR="007D2124">
        <w:t>also un</w:t>
      </w:r>
      <w:r w:rsidRPr="00681D05">
        <w:t xml:space="preserve">favourable </w:t>
      </w:r>
      <w:r w:rsidR="007D2124">
        <w:t>due to</w:t>
      </w:r>
      <w:r w:rsidRPr="00681D05">
        <w:t xml:space="preserve"> </w:t>
      </w:r>
      <w:r w:rsidR="007D2124">
        <w:t>insubstantial tie</w:t>
      </w:r>
      <w:r w:rsidRPr="00681D05">
        <w:t xml:space="preserve">s with the Ministry of Education. Moreover, over 36 years of internal armed </w:t>
      </w:r>
      <w:r w:rsidR="007C6806" w:rsidRPr="00681D05">
        <w:t xml:space="preserve">conflict </w:t>
      </w:r>
      <w:r w:rsidRPr="00681D05">
        <w:t xml:space="preserve">has </w:t>
      </w:r>
      <w:r w:rsidR="007D2124">
        <w:t xml:space="preserve">not only </w:t>
      </w:r>
      <w:r w:rsidRPr="00681D05">
        <w:t xml:space="preserve">inhibited </w:t>
      </w:r>
      <w:r w:rsidR="007D2124">
        <w:t>bearer</w:t>
      </w:r>
      <w:r w:rsidRPr="00681D05">
        <w:t xml:space="preserve"> freedom of expression</w:t>
      </w:r>
      <w:r w:rsidR="00AB3E5A">
        <w:t>, with some</w:t>
      </w:r>
      <w:r w:rsidRPr="00681D05">
        <w:t xml:space="preserve"> </w:t>
      </w:r>
      <w:r w:rsidR="00AB3E5A">
        <w:t xml:space="preserve">having to </w:t>
      </w:r>
      <w:r w:rsidRPr="00681D05">
        <w:t>practis</w:t>
      </w:r>
      <w:r w:rsidR="00AB3E5A">
        <w:t>e</w:t>
      </w:r>
      <w:r w:rsidRPr="00681D05">
        <w:t xml:space="preserve"> th</w:t>
      </w:r>
      <w:r w:rsidR="00AB3E5A">
        <w:t xml:space="preserve">e </w:t>
      </w:r>
      <w:r w:rsidRPr="00681D05">
        <w:t>ceremony secretly</w:t>
      </w:r>
      <w:r w:rsidR="00AB3E5A">
        <w:t xml:space="preserve"> but also</w:t>
      </w:r>
      <w:r w:rsidR="00AB3E5A" w:rsidRPr="00681D05">
        <w:t xml:space="preserve"> led to</w:t>
      </w:r>
      <w:r w:rsidR="00AB3E5A">
        <w:t xml:space="preserve"> </w:t>
      </w:r>
      <w:r w:rsidR="00AB3E5A" w:rsidRPr="00681D05">
        <w:t>migration</w:t>
      </w:r>
      <w:r w:rsidR="00AB3E5A">
        <w:t xml:space="preserve"> which has added to safeguarding challenges of the element</w:t>
      </w:r>
      <w:r w:rsidR="00AB3E5A" w:rsidRPr="00681D05">
        <w:t xml:space="preserve">. </w:t>
      </w:r>
      <w:r w:rsidRPr="00681D05">
        <w:t xml:space="preserve">Another threat is </w:t>
      </w:r>
      <w:r w:rsidR="00AB3E5A">
        <w:t>competition</w:t>
      </w:r>
      <w:r w:rsidRPr="00681D05">
        <w:t xml:space="preserve"> between local cultural organizations </w:t>
      </w:r>
      <w:r w:rsidR="00AB3E5A">
        <w:t>which</w:t>
      </w:r>
      <w:r w:rsidRPr="00681D05">
        <w:t xml:space="preserve"> </w:t>
      </w:r>
      <w:r w:rsidR="00454B8E" w:rsidRPr="00681D05">
        <w:t>want to</w:t>
      </w:r>
      <w:r w:rsidR="00AB3E5A">
        <w:t xml:space="preserve"> adopt the</w:t>
      </w:r>
      <w:r w:rsidRPr="00681D05">
        <w:t xml:space="preserve"> leading role </w:t>
      </w:r>
      <w:r w:rsidR="00AB3E5A">
        <w:t xml:space="preserve">in safeguarding </w:t>
      </w:r>
      <w:r w:rsidRPr="00681D05">
        <w:t>without prior consultation</w:t>
      </w:r>
      <w:r w:rsidR="00AB3E5A">
        <w:t xml:space="preserve"> with the bearers. At the same time, </w:t>
      </w:r>
      <w:r w:rsidRPr="00681D05">
        <w:t xml:space="preserve">the </w:t>
      </w:r>
      <w:r w:rsidRPr="00681D05">
        <w:lastRenderedPageBreak/>
        <w:t xml:space="preserve">Ministry of Culture and the Municipality of San Pedro </w:t>
      </w:r>
      <w:r w:rsidR="00454B8E" w:rsidRPr="00681D05">
        <w:t>struggle to maintain</w:t>
      </w:r>
      <w:r w:rsidRPr="00681D05">
        <w:t xml:space="preserve"> the principle of active participation </w:t>
      </w:r>
      <w:r w:rsidR="00454B8E" w:rsidRPr="00681D05">
        <w:t xml:space="preserve">of the bearers </w:t>
      </w:r>
      <w:r w:rsidRPr="00681D05">
        <w:t>in the decision-making</w:t>
      </w:r>
      <w:r w:rsidR="00AB3E5A">
        <w:t>.</w:t>
      </w:r>
      <w:r w:rsidRPr="00681D05">
        <w:t xml:space="preserve"> </w:t>
      </w:r>
      <w:r w:rsidR="00AB3E5A">
        <w:t>A</w:t>
      </w:r>
      <w:r w:rsidR="00454B8E" w:rsidRPr="00681D05">
        <w:t xml:space="preserve">ll </w:t>
      </w:r>
      <w:r w:rsidR="00AB3E5A">
        <w:t>of the above is a g</w:t>
      </w:r>
      <w:r w:rsidRPr="00681D05">
        <w:t>enerat</w:t>
      </w:r>
      <w:r w:rsidR="00AB3E5A">
        <w:t>or of</w:t>
      </w:r>
      <w:r w:rsidRPr="00681D05">
        <w:t xml:space="preserve"> social conflict. </w:t>
      </w:r>
      <w:r w:rsidR="00AB3E5A">
        <w:t>In addition, d</w:t>
      </w:r>
      <w:r w:rsidRPr="00681D05">
        <w:t>evelopmen</w:t>
      </w:r>
      <w:r w:rsidR="00AB3E5A">
        <w:t>t</w:t>
      </w:r>
      <w:r w:rsidRPr="00681D05">
        <w:t xml:space="preserve"> projects</w:t>
      </w:r>
      <w:r w:rsidR="00AB3E5A">
        <w:t>, which</w:t>
      </w:r>
      <w:r w:rsidRPr="00681D05">
        <w:t xml:space="preserve"> </w:t>
      </w:r>
      <w:r w:rsidR="00AB3E5A">
        <w:t xml:space="preserve">can </w:t>
      </w:r>
      <w:r w:rsidRPr="00681D05">
        <w:t xml:space="preserve">threaten plant genetic material important to Mayan communities and </w:t>
      </w:r>
      <w:r w:rsidR="00AB3E5A">
        <w:t xml:space="preserve">disputes over the </w:t>
      </w:r>
      <w:r w:rsidRPr="00681D05">
        <w:t>grantin</w:t>
      </w:r>
      <w:r w:rsidR="00454B8E" w:rsidRPr="00681D05">
        <w:t xml:space="preserve">g of patents </w:t>
      </w:r>
      <w:r w:rsidR="00AB3E5A">
        <w:t>for</w:t>
      </w:r>
      <w:r w:rsidR="00454B8E" w:rsidRPr="00681D05">
        <w:t xml:space="preserve"> such material</w:t>
      </w:r>
      <w:r w:rsidR="00AB3E5A">
        <w:t>, present further challenges</w:t>
      </w:r>
      <w:r w:rsidRPr="00681D05">
        <w:t>.</w:t>
      </w:r>
    </w:p>
    <w:p w14:paraId="5A9B32CF" w14:textId="77777777" w:rsidR="00877CE2" w:rsidRPr="00681D05" w:rsidRDefault="00877CE2" w:rsidP="00375264">
      <w:pPr>
        <w:pStyle w:val="COMPara"/>
        <w:ind w:left="567" w:hanging="567"/>
        <w:jc w:val="both"/>
      </w:pPr>
      <w:r w:rsidRPr="00681D05">
        <w:t>The Committee may wish to adopt the following decision:</w:t>
      </w:r>
    </w:p>
    <w:p w14:paraId="0EF90718" w14:textId="0B1C9D29" w:rsidR="00877CE2" w:rsidRPr="00681D05" w:rsidRDefault="00210DCC" w:rsidP="005F632D">
      <w:pPr>
        <w:pStyle w:val="Heading4"/>
        <w:numPr>
          <w:ilvl w:val="0"/>
          <w:numId w:val="0"/>
        </w:numPr>
        <w:spacing w:before="240"/>
        <w:ind w:left="567"/>
        <w:rPr>
          <w:rFonts w:eastAsia="SimSun"/>
        </w:rPr>
      </w:pPr>
      <w:bookmarkStart w:id="4" w:name="_DRAFT_DECISION_9.COM"/>
      <w:bookmarkStart w:id="5" w:name="Dec10COM_6b2"/>
      <w:bookmarkEnd w:id="4"/>
      <w:bookmarkEnd w:id="5"/>
      <w:r w:rsidRPr="00681D05">
        <w:t>DRAFT DECISION 10.COM 6</w:t>
      </w:r>
      <w:r w:rsidR="007D4E27" w:rsidRPr="00681D05">
        <w:t>.b.2</w:t>
      </w:r>
      <w:r w:rsidR="0000240B">
        <w:t xml:space="preserve"> </w:t>
      </w:r>
      <w:r w:rsidR="0000240B">
        <w:rPr>
          <w:noProof/>
          <w:snapToGrid/>
          <w:lang w:val="fr-FR" w:eastAsia="fr-FR"/>
        </w:rPr>
        <w:drawing>
          <wp:inline distT="0" distB="0" distL="0" distR="0" wp14:anchorId="63C5D96D" wp14:editId="383318E5">
            <wp:extent cx="103505" cy="103505"/>
            <wp:effectExtent l="0" t="0" r="0" b="0"/>
            <wp:docPr id="3" name="Picture 3" descr="Return to to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0291D9AC" w14:textId="77777777" w:rsidR="00877CE2" w:rsidRPr="00681D05" w:rsidRDefault="00877CE2" w:rsidP="00877CE2">
      <w:pPr>
        <w:pStyle w:val="Para"/>
        <w:keepNext/>
        <w:numPr>
          <w:ilvl w:val="0"/>
          <w:numId w:val="0"/>
        </w:numPr>
        <w:tabs>
          <w:tab w:val="left" w:pos="1134"/>
        </w:tabs>
        <w:spacing w:line="240" w:lineRule="auto"/>
        <w:ind w:left="567"/>
        <w:rPr>
          <w:rFonts w:cs="Arial"/>
          <w:sz w:val="22"/>
          <w:szCs w:val="22"/>
          <w:lang w:val="en-GB"/>
        </w:rPr>
      </w:pPr>
      <w:r w:rsidRPr="00681D05">
        <w:rPr>
          <w:rFonts w:cs="Arial"/>
          <w:sz w:val="22"/>
          <w:szCs w:val="22"/>
          <w:lang w:val="en-GB"/>
        </w:rPr>
        <w:t>The Committee,</w:t>
      </w:r>
    </w:p>
    <w:p w14:paraId="30584692" w14:textId="77777777" w:rsidR="005F632D" w:rsidRPr="00681D05" w:rsidRDefault="00877CE2" w:rsidP="005F632D">
      <w:pPr>
        <w:pStyle w:val="Para"/>
        <w:numPr>
          <w:ilvl w:val="0"/>
          <w:numId w:val="30"/>
        </w:numPr>
        <w:tabs>
          <w:tab w:val="left" w:pos="1134"/>
        </w:tabs>
        <w:spacing w:line="240" w:lineRule="auto"/>
        <w:ind w:left="1134" w:hanging="567"/>
        <w:rPr>
          <w:rFonts w:cs="Arial"/>
          <w:sz w:val="22"/>
          <w:szCs w:val="22"/>
          <w:lang w:val="en-GB"/>
        </w:rPr>
      </w:pPr>
      <w:r w:rsidRPr="00681D05">
        <w:rPr>
          <w:rFonts w:cs="Arial"/>
          <w:sz w:val="22"/>
          <w:szCs w:val="22"/>
          <w:u w:val="single"/>
          <w:lang w:val="en-GB"/>
        </w:rPr>
        <w:t>Having examined</w:t>
      </w:r>
      <w:r w:rsidRPr="00681D05">
        <w:rPr>
          <w:rFonts w:cs="Arial"/>
          <w:sz w:val="22"/>
          <w:szCs w:val="22"/>
          <w:lang w:val="en-GB"/>
        </w:rPr>
        <w:t xml:space="preserve"> document </w:t>
      </w:r>
      <w:r w:rsidR="005F632D" w:rsidRPr="00681D05">
        <w:rPr>
          <w:rFonts w:cs="Arial"/>
          <w:sz w:val="22"/>
          <w:szCs w:val="22"/>
          <w:lang w:val="en-GB"/>
        </w:rPr>
        <w:t>ITH/15/10.COM/6.b,</w:t>
      </w:r>
    </w:p>
    <w:p w14:paraId="45981387"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Recalling</w:t>
      </w:r>
      <w:r w:rsidRPr="00681D05">
        <w:rPr>
          <w:rFonts w:cs="Arial"/>
          <w:sz w:val="22"/>
          <w:szCs w:val="22"/>
          <w:lang w:val="en-GB"/>
        </w:rPr>
        <w:t xml:space="preserve"> Chapter V of the Operational Directives and its Decision 8.COM 7.a.5,</w:t>
      </w:r>
    </w:p>
    <w:p w14:paraId="7631ED45"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Expresses its thanks</w:t>
      </w:r>
      <w:r w:rsidRPr="00681D05">
        <w:rPr>
          <w:rFonts w:cs="Arial"/>
          <w:sz w:val="22"/>
          <w:szCs w:val="22"/>
          <w:lang w:val="en-GB"/>
        </w:rPr>
        <w:t xml:space="preserve"> to Guatemala for submitting its report on the </w:t>
      </w:r>
      <w:r w:rsidRPr="00681D05">
        <w:rPr>
          <w:rFonts w:cs="Arial"/>
          <w:bCs/>
          <w:sz w:val="22"/>
          <w:szCs w:val="22"/>
          <w:lang w:val="en-GB"/>
        </w:rPr>
        <w:t>status of the element ‘</w:t>
      </w:r>
      <w:proofErr w:type="spellStart"/>
      <w:r w:rsidRPr="00681D05">
        <w:rPr>
          <w:rFonts w:cs="Arial"/>
          <w:bCs/>
          <w:sz w:val="22"/>
          <w:szCs w:val="22"/>
          <w:lang w:val="en-GB"/>
        </w:rPr>
        <w:t>Paach</w:t>
      </w:r>
      <w:proofErr w:type="spellEnd"/>
      <w:r w:rsidRPr="00681D05">
        <w:rPr>
          <w:rFonts w:cs="Arial"/>
          <w:bCs/>
          <w:sz w:val="22"/>
          <w:szCs w:val="22"/>
          <w:lang w:val="en-GB"/>
        </w:rPr>
        <w:t xml:space="preserve"> </w:t>
      </w:r>
      <w:r w:rsidR="003E01FB">
        <w:rPr>
          <w:rFonts w:cs="Arial"/>
          <w:bCs/>
          <w:sz w:val="22"/>
          <w:szCs w:val="22"/>
          <w:lang w:val="en-GB"/>
        </w:rPr>
        <w:t>c</w:t>
      </w:r>
      <w:r w:rsidRPr="00681D05">
        <w:rPr>
          <w:rFonts w:cs="Arial"/>
          <w:bCs/>
          <w:sz w:val="22"/>
          <w:szCs w:val="22"/>
          <w:lang w:val="en-GB"/>
        </w:rPr>
        <w:t>eremony’, inscribed in 2013 on the List of Intangible Cultural Heritage in Need of Urgent Safeguarding;</w:t>
      </w:r>
    </w:p>
    <w:p w14:paraId="746857FD"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Takes note</w:t>
      </w:r>
      <w:r w:rsidRPr="00681D05">
        <w:rPr>
          <w:rFonts w:cs="Arial"/>
          <w:sz w:val="22"/>
          <w:szCs w:val="22"/>
          <w:lang w:val="en-GB"/>
        </w:rPr>
        <w:t xml:space="preserve"> of the continued efforts by </w:t>
      </w:r>
      <w:r w:rsidR="00454B8E" w:rsidRPr="00681D05">
        <w:rPr>
          <w:rFonts w:cs="Arial"/>
          <w:sz w:val="22"/>
          <w:szCs w:val="22"/>
          <w:lang w:val="en-GB"/>
        </w:rPr>
        <w:t>the State Party</w:t>
      </w:r>
      <w:r w:rsidRPr="00681D05">
        <w:rPr>
          <w:rFonts w:cs="Arial"/>
          <w:sz w:val="22"/>
          <w:szCs w:val="22"/>
          <w:lang w:val="en-GB"/>
        </w:rPr>
        <w:t xml:space="preserve"> to safeguard the element and, in particular, </w:t>
      </w:r>
      <w:r w:rsidR="00454B8E" w:rsidRPr="00681D05">
        <w:rPr>
          <w:rFonts w:cs="Arial"/>
          <w:sz w:val="22"/>
          <w:szCs w:val="22"/>
          <w:lang w:val="en-GB"/>
        </w:rPr>
        <w:t xml:space="preserve">its </w:t>
      </w:r>
      <w:r w:rsidRPr="00681D05">
        <w:rPr>
          <w:rFonts w:cs="Arial"/>
          <w:sz w:val="22"/>
          <w:szCs w:val="22"/>
          <w:lang w:val="en-GB"/>
        </w:rPr>
        <w:t>attempts to involve bearers, communities and cultural associations in inventorying and other safeguarding activities</w:t>
      </w:r>
      <w:r w:rsidR="00454B8E" w:rsidRPr="00681D05">
        <w:rPr>
          <w:rFonts w:cs="Arial"/>
          <w:sz w:val="22"/>
          <w:szCs w:val="22"/>
          <w:lang w:val="en-GB"/>
        </w:rPr>
        <w:t>,</w:t>
      </w:r>
      <w:r w:rsidRPr="00681D05">
        <w:rPr>
          <w:rFonts w:cs="Arial"/>
          <w:sz w:val="22"/>
          <w:szCs w:val="22"/>
          <w:lang w:val="en-GB"/>
        </w:rPr>
        <w:t xml:space="preserve"> and to encourage new recruits to the element;</w:t>
      </w:r>
    </w:p>
    <w:p w14:paraId="620482B7"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Encourages</w:t>
      </w:r>
      <w:r w:rsidRPr="00681D05">
        <w:rPr>
          <w:rFonts w:cs="Arial"/>
          <w:sz w:val="22"/>
          <w:szCs w:val="22"/>
          <w:lang w:val="en-GB"/>
        </w:rPr>
        <w:t xml:space="preserve"> the State Party to pursue its efforts to ensure that bearers are included in the decision-making process and that local promotional activities for the element are not dominated by an external cultural organisation;</w:t>
      </w:r>
    </w:p>
    <w:p w14:paraId="62177F6B" w14:textId="09BAA0BF"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Invites</w:t>
      </w:r>
      <w:r w:rsidRPr="00681D05">
        <w:rPr>
          <w:rFonts w:cs="Arial"/>
          <w:sz w:val="22"/>
          <w:szCs w:val="22"/>
          <w:lang w:val="en-GB"/>
        </w:rPr>
        <w:t xml:space="preserve"> the State Party to develop new strategies for supporting modes of transmission that are better suited to the Maya-Mam people, including </w:t>
      </w:r>
      <w:r w:rsidR="00A57AA1">
        <w:rPr>
          <w:rFonts w:cs="Arial"/>
          <w:sz w:val="22"/>
          <w:szCs w:val="22"/>
          <w:lang w:val="en-GB"/>
        </w:rPr>
        <w:t>information, training and sensitisation</w:t>
      </w:r>
      <w:r w:rsidR="00221672">
        <w:rPr>
          <w:rFonts w:cs="Arial"/>
          <w:sz w:val="22"/>
          <w:szCs w:val="22"/>
          <w:lang w:val="en-GB"/>
        </w:rPr>
        <w:t xml:space="preserve"> </w:t>
      </w:r>
      <w:r w:rsidR="007F6D6D">
        <w:rPr>
          <w:rFonts w:cs="Arial"/>
          <w:sz w:val="22"/>
          <w:szCs w:val="22"/>
          <w:lang w:val="en-GB"/>
        </w:rPr>
        <w:t xml:space="preserve">of the bearers </w:t>
      </w:r>
      <w:r w:rsidR="00221672">
        <w:rPr>
          <w:rFonts w:cs="Arial"/>
          <w:sz w:val="22"/>
          <w:szCs w:val="22"/>
          <w:lang w:val="en-GB"/>
        </w:rPr>
        <w:t xml:space="preserve">to obtain their free, prior and informed </w:t>
      </w:r>
      <w:r w:rsidRPr="00681D05">
        <w:rPr>
          <w:rFonts w:cs="Arial"/>
          <w:sz w:val="22"/>
          <w:szCs w:val="22"/>
          <w:lang w:val="en-GB"/>
        </w:rPr>
        <w:t>consent</w:t>
      </w:r>
      <w:r w:rsidRPr="00681D05">
        <w:rPr>
          <w:rFonts w:cs="Arial"/>
          <w:kern w:val="1"/>
          <w:sz w:val="22"/>
          <w:szCs w:val="22"/>
          <w:lang w:val="en-GB"/>
        </w:rPr>
        <w:t>;</w:t>
      </w:r>
    </w:p>
    <w:p w14:paraId="3A801D03" w14:textId="50A61F89" w:rsidR="005F632D" w:rsidRPr="00681D05" w:rsidRDefault="00454B8E"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Further</w:t>
      </w:r>
      <w:r w:rsidR="005F632D" w:rsidRPr="00681D05">
        <w:rPr>
          <w:rFonts w:cs="Arial"/>
          <w:sz w:val="22"/>
          <w:szCs w:val="22"/>
          <w:u w:val="single"/>
          <w:lang w:val="en-GB"/>
        </w:rPr>
        <w:t xml:space="preserve"> invites</w:t>
      </w:r>
      <w:r w:rsidR="005F632D" w:rsidRPr="00681D05">
        <w:rPr>
          <w:rFonts w:cs="Arial"/>
          <w:sz w:val="22"/>
          <w:szCs w:val="22"/>
          <w:lang w:val="en-GB"/>
        </w:rPr>
        <w:t xml:space="preserve"> the State Party to </w:t>
      </w:r>
      <w:r w:rsidR="00221672">
        <w:rPr>
          <w:rFonts w:cs="Arial"/>
          <w:sz w:val="22"/>
          <w:szCs w:val="22"/>
          <w:lang w:val="en-GB"/>
        </w:rPr>
        <w:t xml:space="preserve">provide </w:t>
      </w:r>
      <w:r w:rsidR="005F632D" w:rsidRPr="00681D05">
        <w:rPr>
          <w:rFonts w:cs="Arial"/>
          <w:sz w:val="22"/>
          <w:szCs w:val="22"/>
          <w:lang w:val="en-GB"/>
        </w:rPr>
        <w:t xml:space="preserve">funding </w:t>
      </w:r>
      <w:r w:rsidR="002260B1">
        <w:rPr>
          <w:rFonts w:cs="Arial"/>
          <w:sz w:val="22"/>
          <w:szCs w:val="22"/>
          <w:lang w:val="en-GB"/>
        </w:rPr>
        <w:t xml:space="preserve">for priority measures in </w:t>
      </w:r>
      <w:r w:rsidR="004F1B22" w:rsidRPr="00681D05">
        <w:rPr>
          <w:rFonts w:cs="Arial"/>
          <w:sz w:val="22"/>
          <w:szCs w:val="22"/>
          <w:lang w:val="en-GB"/>
        </w:rPr>
        <w:t>the</w:t>
      </w:r>
      <w:r w:rsidR="005F632D" w:rsidRPr="00681D05">
        <w:rPr>
          <w:rFonts w:cs="Arial"/>
          <w:sz w:val="22"/>
          <w:szCs w:val="22"/>
          <w:lang w:val="en-GB"/>
        </w:rPr>
        <w:t xml:space="preserve"> safeguarding </w:t>
      </w:r>
      <w:r w:rsidR="004F1B22" w:rsidRPr="00681D05">
        <w:rPr>
          <w:rFonts w:cs="Arial"/>
          <w:sz w:val="22"/>
          <w:szCs w:val="22"/>
          <w:lang w:val="en-GB"/>
        </w:rPr>
        <w:t xml:space="preserve">plan </w:t>
      </w:r>
      <w:r w:rsidR="001630E8">
        <w:rPr>
          <w:rFonts w:cs="Arial"/>
          <w:sz w:val="22"/>
          <w:szCs w:val="22"/>
          <w:lang w:val="en-GB"/>
        </w:rPr>
        <w:t xml:space="preserve">such as </w:t>
      </w:r>
      <w:r w:rsidR="005F632D" w:rsidRPr="00681D05">
        <w:rPr>
          <w:rFonts w:cs="Arial"/>
          <w:sz w:val="22"/>
          <w:szCs w:val="22"/>
          <w:lang w:val="en-GB"/>
        </w:rPr>
        <w:t>documentation and recording and</w:t>
      </w:r>
      <w:r w:rsidR="001630E8">
        <w:rPr>
          <w:rFonts w:cs="Arial"/>
          <w:sz w:val="22"/>
          <w:szCs w:val="22"/>
          <w:lang w:val="en-GB"/>
        </w:rPr>
        <w:t xml:space="preserve"> </w:t>
      </w:r>
      <w:r w:rsidR="002260B1">
        <w:rPr>
          <w:rFonts w:cs="Arial"/>
          <w:sz w:val="22"/>
          <w:szCs w:val="22"/>
          <w:lang w:val="en-GB"/>
        </w:rPr>
        <w:t xml:space="preserve">to make sure that </w:t>
      </w:r>
      <w:r w:rsidR="001630E8">
        <w:rPr>
          <w:rFonts w:cs="Arial"/>
          <w:sz w:val="22"/>
          <w:szCs w:val="22"/>
          <w:lang w:val="en-GB"/>
        </w:rPr>
        <w:t xml:space="preserve">those </w:t>
      </w:r>
      <w:r w:rsidR="002260B1">
        <w:rPr>
          <w:rFonts w:cs="Arial"/>
          <w:sz w:val="22"/>
          <w:szCs w:val="22"/>
          <w:lang w:val="en-GB"/>
        </w:rPr>
        <w:t xml:space="preserve">activities </w:t>
      </w:r>
      <w:r w:rsidR="001630E8">
        <w:rPr>
          <w:rFonts w:cs="Arial"/>
          <w:sz w:val="22"/>
          <w:szCs w:val="22"/>
          <w:lang w:val="en-GB"/>
        </w:rPr>
        <w:t xml:space="preserve">that are </w:t>
      </w:r>
      <w:r w:rsidR="005F632D" w:rsidRPr="00681D05">
        <w:rPr>
          <w:rFonts w:cs="Arial"/>
          <w:sz w:val="22"/>
          <w:szCs w:val="22"/>
          <w:lang w:val="en-GB"/>
        </w:rPr>
        <w:t>community-funded</w:t>
      </w:r>
      <w:r w:rsidR="001630E8">
        <w:rPr>
          <w:rFonts w:cs="Arial"/>
          <w:sz w:val="22"/>
          <w:szCs w:val="22"/>
          <w:lang w:val="en-GB"/>
        </w:rPr>
        <w:t xml:space="preserve"> </w:t>
      </w:r>
      <w:r w:rsidR="00221672">
        <w:rPr>
          <w:rFonts w:cs="Arial"/>
          <w:sz w:val="22"/>
          <w:szCs w:val="22"/>
          <w:lang w:val="en-GB"/>
        </w:rPr>
        <w:t>be carried out efficiently</w:t>
      </w:r>
      <w:r w:rsidR="005F632D" w:rsidRPr="00681D05">
        <w:rPr>
          <w:rFonts w:cs="Arial"/>
          <w:sz w:val="22"/>
          <w:szCs w:val="22"/>
          <w:lang w:val="en-GB"/>
        </w:rPr>
        <w:t>;</w:t>
      </w:r>
    </w:p>
    <w:p w14:paraId="5FE5E091"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 xml:space="preserve">Further </w:t>
      </w:r>
      <w:r w:rsidR="00454B8E" w:rsidRPr="00681D05">
        <w:rPr>
          <w:rFonts w:cs="Arial"/>
          <w:sz w:val="22"/>
          <w:szCs w:val="22"/>
          <w:u w:val="single"/>
          <w:lang w:val="en-GB"/>
        </w:rPr>
        <w:t>encourages</w:t>
      </w:r>
      <w:r w:rsidRPr="00681D05">
        <w:rPr>
          <w:rFonts w:cs="Arial"/>
          <w:sz w:val="22"/>
          <w:szCs w:val="22"/>
          <w:lang w:val="en-GB"/>
        </w:rPr>
        <w:t xml:space="preserve"> the State Party to consider establishing a permanent fund for safeguarding activities by </w:t>
      </w:r>
      <w:r w:rsidR="003E01FB">
        <w:rPr>
          <w:rFonts w:cs="Arial"/>
          <w:sz w:val="22"/>
          <w:szCs w:val="22"/>
          <w:lang w:val="en-GB"/>
        </w:rPr>
        <w:t>local authorities</w:t>
      </w:r>
      <w:r w:rsidRPr="00681D05">
        <w:rPr>
          <w:rFonts w:cs="Arial"/>
          <w:sz w:val="22"/>
          <w:szCs w:val="22"/>
          <w:lang w:val="en-GB"/>
        </w:rPr>
        <w:t>;</w:t>
      </w:r>
    </w:p>
    <w:p w14:paraId="10E50AC6" w14:textId="77777777" w:rsidR="005F632D" w:rsidRPr="00681D05" w:rsidRDefault="005F632D" w:rsidP="005F632D">
      <w:pPr>
        <w:pStyle w:val="Para"/>
        <w:numPr>
          <w:ilvl w:val="0"/>
          <w:numId w:val="15"/>
        </w:numPr>
        <w:tabs>
          <w:tab w:val="left" w:pos="1134"/>
        </w:tabs>
        <w:spacing w:line="240" w:lineRule="auto"/>
        <w:ind w:left="1134" w:hanging="567"/>
        <w:rPr>
          <w:rFonts w:cs="Arial"/>
          <w:sz w:val="22"/>
          <w:szCs w:val="22"/>
          <w:u w:val="single"/>
          <w:lang w:val="en-GB"/>
        </w:rPr>
      </w:pPr>
      <w:r w:rsidRPr="00681D05">
        <w:rPr>
          <w:rFonts w:cs="Arial"/>
          <w:sz w:val="22"/>
          <w:szCs w:val="22"/>
          <w:u w:val="single"/>
          <w:lang w:val="en-GB"/>
        </w:rPr>
        <w:t>Decides</w:t>
      </w:r>
      <w:r w:rsidR="001630E8">
        <w:rPr>
          <w:rFonts w:cs="Arial"/>
          <w:sz w:val="22"/>
          <w:szCs w:val="22"/>
          <w:lang w:val="en-GB"/>
        </w:rPr>
        <w:t xml:space="preserve"> </w:t>
      </w:r>
      <w:r w:rsidRPr="00681D05">
        <w:rPr>
          <w:rFonts w:cs="Arial"/>
          <w:sz w:val="22"/>
          <w:szCs w:val="22"/>
          <w:lang w:val="en-GB"/>
        </w:rPr>
        <w:t>that its next report will follow the normal four-year cycle, in conformity with Paragraph 161 of the Operational Directives, and will therefore b</w:t>
      </w:r>
      <w:r w:rsidR="004F1B22" w:rsidRPr="00681D05">
        <w:rPr>
          <w:rFonts w:cs="Arial"/>
          <w:sz w:val="22"/>
          <w:szCs w:val="22"/>
          <w:lang w:val="en-GB"/>
        </w:rPr>
        <w:t>e expected on 15 December 2017;</w:t>
      </w:r>
    </w:p>
    <w:p w14:paraId="3DDAF737" w14:textId="77777777" w:rsidR="00877CE2" w:rsidRPr="00681D05" w:rsidRDefault="005F632D" w:rsidP="005F632D">
      <w:pPr>
        <w:pStyle w:val="Para"/>
        <w:numPr>
          <w:ilvl w:val="0"/>
          <w:numId w:val="15"/>
        </w:numPr>
        <w:tabs>
          <w:tab w:val="left" w:pos="1134"/>
        </w:tabs>
        <w:spacing w:line="240" w:lineRule="auto"/>
        <w:ind w:left="1134" w:hanging="567"/>
        <w:rPr>
          <w:rFonts w:cs="Arial"/>
          <w:sz w:val="22"/>
          <w:szCs w:val="22"/>
          <w:lang w:val="en-GB"/>
        </w:rPr>
      </w:pPr>
      <w:r w:rsidRPr="00681D05">
        <w:rPr>
          <w:rFonts w:cs="Arial"/>
          <w:sz w:val="22"/>
          <w:szCs w:val="22"/>
          <w:u w:val="single"/>
          <w:lang w:val="en-GB"/>
        </w:rPr>
        <w:t>Requests</w:t>
      </w:r>
      <w:r w:rsidRPr="00681D05">
        <w:rPr>
          <w:rFonts w:cs="Arial"/>
          <w:sz w:val="22"/>
          <w:szCs w:val="22"/>
          <w:lang w:val="en-GB"/>
        </w:rPr>
        <w:t xml:space="preserve"> the Secretariat to inform the State Party twelve months prior to </w:t>
      </w:r>
      <w:r w:rsidR="004F1B22" w:rsidRPr="00681D05">
        <w:rPr>
          <w:rFonts w:cs="Arial"/>
          <w:sz w:val="22"/>
          <w:szCs w:val="22"/>
          <w:lang w:val="en-GB"/>
        </w:rPr>
        <w:t>the deadline of 15 December 2017</w:t>
      </w:r>
      <w:r w:rsidRPr="00681D05">
        <w:rPr>
          <w:rFonts w:cs="Arial"/>
          <w:sz w:val="22"/>
          <w:szCs w:val="22"/>
          <w:lang w:val="en-GB"/>
        </w:rPr>
        <w:t xml:space="preserve"> for the submission of its next report on the status of this element.</w:t>
      </w:r>
    </w:p>
    <w:p w14:paraId="144AD60B" w14:textId="77777777" w:rsidR="007D4E27" w:rsidRPr="00681D05" w:rsidRDefault="007D4E27" w:rsidP="00C51CB6">
      <w:pPr>
        <w:pStyle w:val="COMTitleDecision"/>
        <w:pageBreakBefore/>
        <w:spacing w:before="480"/>
        <w:jc w:val="left"/>
      </w:pPr>
      <w:r w:rsidRPr="00681D05">
        <w:rPr>
          <w:bCs/>
        </w:rPr>
        <w:lastRenderedPageBreak/>
        <w:t>Uganda:</w:t>
      </w:r>
      <w:r w:rsidRPr="00681D05">
        <w:t xml:space="preserve"> ‘</w:t>
      </w:r>
      <w:proofErr w:type="spellStart"/>
      <w:r w:rsidRPr="00681D05">
        <w:t>Empaako</w:t>
      </w:r>
      <w:proofErr w:type="spellEnd"/>
      <w:r w:rsidRPr="00681D05">
        <w:t xml:space="preserve"> tradition of the </w:t>
      </w:r>
      <w:proofErr w:type="spellStart"/>
      <w:r w:rsidRPr="00681D05">
        <w:t>Batooro</w:t>
      </w:r>
      <w:proofErr w:type="spellEnd"/>
      <w:r w:rsidRPr="00681D05">
        <w:t xml:space="preserve">, </w:t>
      </w:r>
      <w:proofErr w:type="spellStart"/>
      <w:r w:rsidRPr="00681D05">
        <w:t>Banyoro</w:t>
      </w:r>
      <w:proofErr w:type="spellEnd"/>
      <w:r w:rsidRPr="00681D05">
        <w:t xml:space="preserve">, </w:t>
      </w:r>
      <w:proofErr w:type="spellStart"/>
      <w:r w:rsidRPr="00681D05">
        <w:t>Batuku</w:t>
      </w:r>
      <w:proofErr w:type="spellEnd"/>
      <w:r w:rsidRPr="00681D05">
        <w:t xml:space="preserve">, </w:t>
      </w:r>
      <w:proofErr w:type="spellStart"/>
      <w:r w:rsidRPr="00681D05">
        <w:t>Batagwenda</w:t>
      </w:r>
      <w:proofErr w:type="spellEnd"/>
      <w:r w:rsidRPr="00681D05">
        <w:t xml:space="preserve"> and </w:t>
      </w:r>
      <w:proofErr w:type="spellStart"/>
      <w:r w:rsidRPr="00681D05">
        <w:t>Banyabindi</w:t>
      </w:r>
      <w:proofErr w:type="spellEnd"/>
      <w:r w:rsidRPr="00681D05">
        <w:t xml:space="preserve"> of western Uganda’ </w:t>
      </w:r>
      <w:r w:rsidRPr="00681D05">
        <w:rPr>
          <w:b w:val="0"/>
          <w:bCs/>
          <w:i/>
          <w:iCs/>
        </w:rPr>
        <w:t xml:space="preserve">(consult the </w:t>
      </w:r>
      <w:hyperlink r:id="rId28" w:history="1">
        <w:r w:rsidRPr="00681D05">
          <w:rPr>
            <w:rStyle w:val="Hyperlink"/>
            <w:b w:val="0"/>
            <w:bCs/>
            <w:i/>
            <w:iCs/>
          </w:rPr>
          <w:t>report</w:t>
        </w:r>
      </w:hyperlink>
      <w:r w:rsidRPr="00681D05">
        <w:rPr>
          <w:b w:val="0"/>
          <w:bCs/>
          <w:i/>
          <w:iCs/>
        </w:rPr>
        <w:t>)</w:t>
      </w:r>
    </w:p>
    <w:p w14:paraId="16022E67" w14:textId="77777777" w:rsidR="004406DA" w:rsidRPr="00681D05" w:rsidRDefault="004406DA" w:rsidP="00375264">
      <w:pPr>
        <w:pStyle w:val="COMPara"/>
        <w:ind w:left="567" w:hanging="567"/>
        <w:jc w:val="both"/>
      </w:pPr>
      <w:proofErr w:type="spellStart"/>
      <w:r w:rsidRPr="00681D05">
        <w:t>Empaako</w:t>
      </w:r>
      <w:proofErr w:type="spellEnd"/>
      <w:r w:rsidRPr="00681D05">
        <w:t xml:space="preserve"> tradition is a naming system practised by </w:t>
      </w:r>
      <w:proofErr w:type="spellStart"/>
      <w:r w:rsidR="00681D05" w:rsidRPr="00681D05">
        <w:t>Batooro</w:t>
      </w:r>
      <w:proofErr w:type="spellEnd"/>
      <w:r w:rsidR="00681D05" w:rsidRPr="00681D05">
        <w:t xml:space="preserve">, </w:t>
      </w:r>
      <w:proofErr w:type="spellStart"/>
      <w:r w:rsidR="00681D05" w:rsidRPr="00681D05">
        <w:t>Banyoro</w:t>
      </w:r>
      <w:proofErr w:type="spellEnd"/>
      <w:r w:rsidR="00681D05" w:rsidRPr="00681D05">
        <w:t xml:space="preserve">, </w:t>
      </w:r>
      <w:proofErr w:type="spellStart"/>
      <w:r w:rsidR="00681D05" w:rsidRPr="00681D05">
        <w:t>Batuku</w:t>
      </w:r>
      <w:proofErr w:type="spellEnd"/>
      <w:r w:rsidR="00681D05" w:rsidRPr="00681D05">
        <w:t xml:space="preserve">, </w:t>
      </w:r>
      <w:proofErr w:type="spellStart"/>
      <w:r w:rsidR="00681D05" w:rsidRPr="00681D05">
        <w:t>Batagwenda</w:t>
      </w:r>
      <w:proofErr w:type="spellEnd"/>
      <w:r w:rsidR="00681D05" w:rsidRPr="00681D05">
        <w:t xml:space="preserve"> and </w:t>
      </w:r>
      <w:proofErr w:type="spellStart"/>
      <w:r w:rsidR="00681D05" w:rsidRPr="00681D05">
        <w:t>Banyabindi</w:t>
      </w:r>
      <w:proofErr w:type="spellEnd"/>
      <w:r w:rsidR="00681D05" w:rsidRPr="00681D05">
        <w:t xml:space="preserve"> communities of western Uganda</w:t>
      </w:r>
      <w:r w:rsidRPr="00681D05">
        <w:t xml:space="preserve">, whereby children are given one of twelve names shared across the communities in addition to their given and family names. Addressing a person by her or his </w:t>
      </w:r>
      <w:proofErr w:type="spellStart"/>
      <w:r w:rsidRPr="00681D05">
        <w:t>Empaako</w:t>
      </w:r>
      <w:proofErr w:type="spellEnd"/>
      <w:r w:rsidRPr="00681D05">
        <w:t xml:space="preserve"> name is a positive affirmation of social ties. It can be used as a greeting or a declaration of affection, respect, honour or love. The practice is associated with rituals and ceremonies</w:t>
      </w:r>
      <w:r w:rsidR="003E7655">
        <w:t xml:space="preserve"> </w:t>
      </w:r>
      <w:r w:rsidR="003E7655">
        <w:rPr>
          <w:lang w:val="en-US"/>
        </w:rPr>
        <w:t>w</w:t>
      </w:r>
      <w:r w:rsidR="003E7655" w:rsidRPr="00B253CF">
        <w:rPr>
          <w:lang w:val="en-US"/>
        </w:rPr>
        <w:t>hose meaning reinforces identity and belief systems</w:t>
      </w:r>
      <w:r w:rsidRPr="00681D05">
        <w:t xml:space="preserve">. </w:t>
      </w:r>
      <w:r w:rsidR="00681D05" w:rsidRPr="00681D05">
        <w:rPr>
          <w:bCs/>
        </w:rPr>
        <w:t xml:space="preserve">At the time of </w:t>
      </w:r>
      <w:r w:rsidR="00681D05">
        <w:rPr>
          <w:bCs/>
        </w:rPr>
        <w:t xml:space="preserve">its </w:t>
      </w:r>
      <w:r w:rsidR="00681D05" w:rsidRPr="00681D05">
        <w:rPr>
          <w:bCs/>
        </w:rPr>
        <w:t xml:space="preserve">inscription </w:t>
      </w:r>
      <w:r w:rsidR="00681D05">
        <w:rPr>
          <w:bCs/>
        </w:rPr>
        <w:t xml:space="preserve">on the Urgent Safeguarding List </w:t>
      </w:r>
      <w:r w:rsidR="00681D05" w:rsidRPr="00681D05">
        <w:rPr>
          <w:bCs/>
        </w:rPr>
        <w:t>in 2013, the Committee requested an extraordinary report to be examined at its tenth session.</w:t>
      </w:r>
    </w:p>
    <w:p w14:paraId="6CBAE70E" w14:textId="77777777" w:rsidR="004406DA" w:rsidRPr="00681D05" w:rsidRDefault="004406DA" w:rsidP="00375264">
      <w:pPr>
        <w:pStyle w:val="COMPara"/>
        <w:ind w:left="567" w:hanging="567"/>
        <w:jc w:val="both"/>
      </w:pPr>
      <w:r w:rsidRPr="00681D05">
        <w:rPr>
          <w:b/>
        </w:rPr>
        <w:t xml:space="preserve">Effectiveness of </w:t>
      </w:r>
      <w:r w:rsidR="00681D05">
        <w:rPr>
          <w:b/>
        </w:rPr>
        <w:t xml:space="preserve">the </w:t>
      </w:r>
      <w:r w:rsidRPr="00681D05">
        <w:rPr>
          <w:b/>
        </w:rPr>
        <w:t xml:space="preserve">safeguarding </w:t>
      </w:r>
      <w:r w:rsidR="00681D05">
        <w:rPr>
          <w:b/>
        </w:rPr>
        <w:t>plan</w:t>
      </w:r>
      <w:r w:rsidRPr="00681D05">
        <w:t>.</w:t>
      </w:r>
      <w:r w:rsidRPr="00681D05">
        <w:rPr>
          <w:bCs/>
        </w:rPr>
        <w:t xml:space="preserve"> </w:t>
      </w:r>
      <w:r w:rsidRPr="00681D05">
        <w:t xml:space="preserve">The main objectives </w:t>
      </w:r>
      <w:r w:rsidR="00681D05">
        <w:t xml:space="preserve">for </w:t>
      </w:r>
      <w:r w:rsidRPr="00681D05">
        <w:t xml:space="preserve">safeguarding </w:t>
      </w:r>
      <w:r w:rsidR="00681D05">
        <w:t>the element</w:t>
      </w:r>
      <w:r w:rsidRPr="00681D05">
        <w:t xml:space="preserve"> were to review </w:t>
      </w:r>
      <w:r w:rsidR="00AB2DDC">
        <w:t>the</w:t>
      </w:r>
      <w:r w:rsidR="00681D05">
        <w:t xml:space="preserve"> </w:t>
      </w:r>
      <w:r w:rsidRPr="00681D05">
        <w:t xml:space="preserve">safeguarding plan, increase accessibility of information and knowledge about the element, and enhance the capacity </w:t>
      </w:r>
      <w:r w:rsidR="004663E1">
        <w:t>o</w:t>
      </w:r>
      <w:r w:rsidRPr="00681D05">
        <w:t>f bearers to transmit knowledge</w:t>
      </w:r>
      <w:r w:rsidR="004663E1">
        <w:t xml:space="preserve"> and skills</w:t>
      </w:r>
      <w:r w:rsidRPr="00681D05">
        <w:t xml:space="preserve">. The main results of the activities undertaken include a participatory review of the existing safeguarding plan; a safeguarding programme and mechanisms established for effective community and stakeholder participation; </w:t>
      </w:r>
      <w:r w:rsidR="004663E1">
        <w:t>I</w:t>
      </w:r>
      <w:r w:rsidRPr="00681D05">
        <w:t xml:space="preserve">nternational </w:t>
      </w:r>
      <w:r w:rsidR="004663E1">
        <w:t>A</w:t>
      </w:r>
      <w:r w:rsidRPr="00681D05">
        <w:t xml:space="preserve">ssistance requests elaborated and submitted to UNESCO; the implementation of a three-month pilot </w:t>
      </w:r>
      <w:proofErr w:type="spellStart"/>
      <w:r w:rsidRPr="00681D05">
        <w:t>Empaako</w:t>
      </w:r>
      <w:proofErr w:type="spellEnd"/>
      <w:r w:rsidRPr="00681D05">
        <w:t xml:space="preserve"> heritage conservation project by </w:t>
      </w:r>
      <w:proofErr w:type="spellStart"/>
      <w:r w:rsidRPr="00681D05">
        <w:t>Banyoro</w:t>
      </w:r>
      <w:proofErr w:type="spellEnd"/>
      <w:r w:rsidRPr="00681D05">
        <w:t xml:space="preserve"> communities and a fundraising strategy. The safeguarding activities also contributed to </w:t>
      </w:r>
      <w:r w:rsidR="004663E1">
        <w:t xml:space="preserve">an </w:t>
      </w:r>
      <w:r w:rsidRPr="00681D05">
        <w:t xml:space="preserve">increase </w:t>
      </w:r>
      <w:r w:rsidR="004663E1">
        <w:t xml:space="preserve">in </w:t>
      </w:r>
      <w:r w:rsidRPr="00681D05">
        <w:t>the mobilisation of stakeholders</w:t>
      </w:r>
      <w:r w:rsidR="004663E1">
        <w:t>,</w:t>
      </w:r>
      <w:r w:rsidRPr="00681D05">
        <w:t xml:space="preserve"> leaders of rituals</w:t>
      </w:r>
      <w:r w:rsidR="004663E1">
        <w:t xml:space="preserve"> and </w:t>
      </w:r>
      <w:r w:rsidRPr="00681D05">
        <w:t xml:space="preserve">44 clans </w:t>
      </w:r>
      <w:r w:rsidR="00170BBE">
        <w:t xml:space="preserve">from the five communities, </w:t>
      </w:r>
      <w:r w:rsidRPr="00681D05">
        <w:t>to revitalise the element.</w:t>
      </w:r>
      <w:r w:rsidR="00C07955">
        <w:rPr>
          <w:rFonts w:eastAsiaTheme="minorHAnsi"/>
        </w:rPr>
        <w:t xml:space="preserve"> </w:t>
      </w:r>
      <w:r w:rsidRPr="00681D05">
        <w:rPr>
          <w:rFonts w:eastAsiaTheme="minorHAnsi"/>
        </w:rPr>
        <w:t xml:space="preserve">Public events, press conferences, festivals, workshops, a brochure and activities involving public leaders </w:t>
      </w:r>
      <w:r w:rsidR="004663E1">
        <w:rPr>
          <w:rFonts w:eastAsiaTheme="minorHAnsi"/>
        </w:rPr>
        <w:t>were</w:t>
      </w:r>
      <w:r w:rsidR="00C07955">
        <w:rPr>
          <w:rFonts w:eastAsiaTheme="minorHAnsi"/>
        </w:rPr>
        <w:t xml:space="preserve"> reported to be </w:t>
      </w:r>
      <w:r w:rsidRPr="00681D05">
        <w:rPr>
          <w:rFonts w:eastAsiaTheme="minorHAnsi"/>
        </w:rPr>
        <w:t>very effective in raising awareness of the element and intangible cultural heritage</w:t>
      </w:r>
      <w:r w:rsidR="004663E1">
        <w:rPr>
          <w:rFonts w:eastAsiaTheme="minorHAnsi"/>
        </w:rPr>
        <w:t xml:space="preserve"> in general for the specific communities and the Ugandan population</w:t>
      </w:r>
      <w:r w:rsidRPr="00681D05">
        <w:rPr>
          <w:rFonts w:eastAsiaTheme="minorHAnsi"/>
        </w:rPr>
        <w:t xml:space="preserve">. </w:t>
      </w:r>
      <w:r w:rsidR="004663E1">
        <w:rPr>
          <w:rFonts w:eastAsiaTheme="minorHAnsi"/>
        </w:rPr>
        <w:t>A</w:t>
      </w:r>
      <w:r w:rsidRPr="00681D05">
        <w:rPr>
          <w:rFonts w:eastAsiaTheme="minorHAnsi"/>
        </w:rPr>
        <w:t xml:space="preserve"> monthly </w:t>
      </w:r>
      <w:r w:rsidR="004663E1">
        <w:rPr>
          <w:rFonts w:eastAsiaTheme="minorHAnsi"/>
        </w:rPr>
        <w:t>f</w:t>
      </w:r>
      <w:r w:rsidRPr="00681D05">
        <w:rPr>
          <w:rFonts w:eastAsiaTheme="minorHAnsi"/>
        </w:rPr>
        <w:t>orum</w:t>
      </w:r>
      <w:r w:rsidR="004663E1">
        <w:rPr>
          <w:rFonts w:eastAsiaTheme="minorHAnsi"/>
        </w:rPr>
        <w:t xml:space="preserve"> for</w:t>
      </w:r>
      <w:r w:rsidR="004663E1" w:rsidRPr="00681D05">
        <w:rPr>
          <w:rFonts w:eastAsiaTheme="minorHAnsi"/>
        </w:rPr>
        <w:t xml:space="preserve"> representative</w:t>
      </w:r>
      <w:r w:rsidR="004663E1">
        <w:rPr>
          <w:rFonts w:eastAsiaTheme="minorHAnsi"/>
        </w:rPr>
        <w:t>s of the clans</w:t>
      </w:r>
      <w:r w:rsidRPr="00681D05">
        <w:rPr>
          <w:rFonts w:eastAsiaTheme="minorHAnsi"/>
        </w:rPr>
        <w:t xml:space="preserve">, established during the nomination </w:t>
      </w:r>
      <w:r w:rsidR="00C07955">
        <w:rPr>
          <w:rFonts w:eastAsiaTheme="minorHAnsi"/>
        </w:rPr>
        <w:t>process</w:t>
      </w:r>
      <w:r w:rsidRPr="00681D05">
        <w:rPr>
          <w:rFonts w:eastAsiaTheme="minorHAnsi"/>
        </w:rPr>
        <w:t xml:space="preserve">, has </w:t>
      </w:r>
      <w:r w:rsidR="004663E1">
        <w:rPr>
          <w:rFonts w:eastAsiaTheme="minorHAnsi"/>
        </w:rPr>
        <w:t xml:space="preserve">since </w:t>
      </w:r>
      <w:r w:rsidRPr="00681D05">
        <w:rPr>
          <w:rFonts w:eastAsiaTheme="minorHAnsi"/>
        </w:rPr>
        <w:t xml:space="preserve">been strengthened and </w:t>
      </w:r>
      <w:r w:rsidR="004663E1">
        <w:rPr>
          <w:rFonts w:eastAsiaTheme="minorHAnsi"/>
        </w:rPr>
        <w:t xml:space="preserve">is </w:t>
      </w:r>
      <w:r w:rsidRPr="00681D05">
        <w:rPr>
          <w:rFonts w:eastAsiaTheme="minorHAnsi"/>
        </w:rPr>
        <w:t xml:space="preserve">very effective in disseminating information and knowledge </w:t>
      </w:r>
      <w:r w:rsidR="004663E1">
        <w:rPr>
          <w:rFonts w:eastAsiaTheme="minorHAnsi"/>
        </w:rPr>
        <w:t>at</w:t>
      </w:r>
      <w:r w:rsidRPr="00681D05">
        <w:rPr>
          <w:rFonts w:eastAsiaTheme="minorHAnsi"/>
        </w:rPr>
        <w:t xml:space="preserve"> the grassroots level. It </w:t>
      </w:r>
      <w:r w:rsidR="004663E1">
        <w:rPr>
          <w:rFonts w:eastAsiaTheme="minorHAnsi"/>
        </w:rPr>
        <w:t xml:space="preserve">has also </w:t>
      </w:r>
      <w:r w:rsidRPr="00681D05">
        <w:rPr>
          <w:rFonts w:eastAsiaTheme="minorHAnsi"/>
        </w:rPr>
        <w:t xml:space="preserve">contributed </w:t>
      </w:r>
      <w:r w:rsidR="004663E1">
        <w:rPr>
          <w:rFonts w:eastAsiaTheme="minorHAnsi"/>
        </w:rPr>
        <w:t>with the</w:t>
      </w:r>
      <w:r w:rsidRPr="00681D05">
        <w:rPr>
          <w:rFonts w:eastAsiaTheme="minorHAnsi"/>
        </w:rPr>
        <w:t xml:space="preserve"> involve</w:t>
      </w:r>
      <w:r w:rsidR="004663E1">
        <w:rPr>
          <w:rFonts w:eastAsiaTheme="minorHAnsi"/>
        </w:rPr>
        <w:t>ment</w:t>
      </w:r>
      <w:r w:rsidRPr="00681D05">
        <w:rPr>
          <w:rFonts w:eastAsiaTheme="minorHAnsi"/>
        </w:rPr>
        <w:t xml:space="preserve"> </w:t>
      </w:r>
      <w:r w:rsidR="004663E1">
        <w:rPr>
          <w:rFonts w:eastAsiaTheme="minorHAnsi"/>
        </w:rPr>
        <w:t xml:space="preserve">of </w:t>
      </w:r>
      <w:r w:rsidRPr="00681D05">
        <w:rPr>
          <w:rFonts w:eastAsiaTheme="minorHAnsi"/>
        </w:rPr>
        <w:t xml:space="preserve">performers and artists for dissemination of safeguarding </w:t>
      </w:r>
      <w:r w:rsidR="00C07955">
        <w:rPr>
          <w:rFonts w:eastAsiaTheme="minorHAnsi"/>
        </w:rPr>
        <w:t>objectives</w:t>
      </w:r>
      <w:r w:rsidR="004663E1">
        <w:rPr>
          <w:rFonts w:eastAsiaTheme="minorHAnsi"/>
        </w:rPr>
        <w:t xml:space="preserve">. For example, regarding </w:t>
      </w:r>
      <w:r w:rsidRPr="00681D05">
        <w:t xml:space="preserve">the raising of a monument in the main town of </w:t>
      </w:r>
      <w:proofErr w:type="spellStart"/>
      <w:r w:rsidRPr="00681D05">
        <w:t>Empaako</w:t>
      </w:r>
      <w:proofErr w:type="spellEnd"/>
      <w:r w:rsidRPr="00681D05">
        <w:t xml:space="preserve"> land</w:t>
      </w:r>
      <w:r w:rsidR="00C07955">
        <w:rPr>
          <w:rFonts w:eastAsiaTheme="minorHAnsi"/>
        </w:rPr>
        <w:t>.</w:t>
      </w:r>
    </w:p>
    <w:p w14:paraId="593EE26B" w14:textId="77777777" w:rsidR="00C07955" w:rsidRPr="00A61D3D" w:rsidRDefault="004406DA" w:rsidP="00375264">
      <w:pPr>
        <w:pStyle w:val="COMPara"/>
        <w:ind w:left="567" w:hanging="567"/>
        <w:jc w:val="both"/>
        <w:rPr>
          <w:rFonts w:eastAsiaTheme="minorHAnsi"/>
        </w:rPr>
      </w:pPr>
      <w:r w:rsidRPr="00A61D3D">
        <w:rPr>
          <w:b/>
        </w:rPr>
        <w:t>Community participation</w:t>
      </w:r>
      <w:r w:rsidRPr="00A61D3D">
        <w:t>.</w:t>
      </w:r>
      <w:r w:rsidRPr="00A61D3D">
        <w:rPr>
          <w:bCs/>
        </w:rPr>
        <w:t xml:space="preserve"> </w:t>
      </w:r>
      <w:r w:rsidR="00170BBE">
        <w:rPr>
          <w:rFonts w:eastAsiaTheme="minorHAnsi"/>
        </w:rPr>
        <w:t>Many</w:t>
      </w:r>
      <w:r w:rsidRPr="00A61D3D">
        <w:rPr>
          <w:rFonts w:eastAsiaTheme="minorHAnsi"/>
        </w:rPr>
        <w:t xml:space="preserve"> safeguarding initiatives have been planned, financed and undertaken by the </w:t>
      </w:r>
      <w:r w:rsidRPr="00A61D3D">
        <w:t>communities</w:t>
      </w:r>
      <w:r w:rsidRPr="00A61D3D">
        <w:rPr>
          <w:rFonts w:eastAsiaTheme="minorHAnsi"/>
        </w:rPr>
        <w:t xml:space="preserve">, </w:t>
      </w:r>
      <w:r w:rsidR="00170BBE">
        <w:rPr>
          <w:rFonts w:eastAsiaTheme="minorHAnsi"/>
        </w:rPr>
        <w:t xml:space="preserve">as well as individuals and </w:t>
      </w:r>
      <w:r w:rsidRPr="00A61D3D">
        <w:rPr>
          <w:rFonts w:eastAsiaTheme="minorHAnsi"/>
        </w:rPr>
        <w:t>groups</w:t>
      </w:r>
      <w:r w:rsidR="004663E1">
        <w:rPr>
          <w:rFonts w:eastAsiaTheme="minorHAnsi"/>
        </w:rPr>
        <w:t>.</w:t>
      </w:r>
      <w:r w:rsidR="00170BBE">
        <w:rPr>
          <w:rFonts w:eastAsiaTheme="minorHAnsi"/>
        </w:rPr>
        <w:t xml:space="preserve"> Members of the f</w:t>
      </w:r>
      <w:r w:rsidR="00A61D3D" w:rsidRPr="00A61D3D">
        <w:rPr>
          <w:rFonts w:eastAsiaTheme="minorHAnsi"/>
        </w:rPr>
        <w:t>orum</w:t>
      </w:r>
      <w:r w:rsidRPr="00A61D3D">
        <w:rPr>
          <w:rFonts w:eastAsiaTheme="minorHAnsi"/>
        </w:rPr>
        <w:t xml:space="preserve"> and cultural institutions</w:t>
      </w:r>
      <w:r w:rsidR="00170BBE">
        <w:rPr>
          <w:rFonts w:eastAsiaTheme="minorHAnsi"/>
        </w:rPr>
        <w:t xml:space="preserve"> within the five communities,</w:t>
      </w:r>
      <w:r w:rsidRPr="00A61D3D">
        <w:rPr>
          <w:rFonts w:eastAsiaTheme="minorHAnsi"/>
        </w:rPr>
        <w:t xml:space="preserve"> such as chiefdoms, kingdoms and voluntary community associations</w:t>
      </w:r>
      <w:r w:rsidR="00170BBE">
        <w:rPr>
          <w:rFonts w:eastAsiaTheme="minorHAnsi"/>
        </w:rPr>
        <w:t>, are responsible for managing these initiatives.</w:t>
      </w:r>
      <w:r w:rsidRPr="00A61D3D">
        <w:rPr>
          <w:rFonts w:eastAsiaTheme="minorHAnsi"/>
        </w:rPr>
        <w:t xml:space="preserve"> </w:t>
      </w:r>
      <w:r w:rsidR="00A61D3D">
        <w:rPr>
          <w:rFonts w:eastAsiaTheme="minorHAnsi"/>
        </w:rPr>
        <w:t>During the reporting exercise, l</w:t>
      </w:r>
      <w:r w:rsidR="00C07955" w:rsidRPr="00A61D3D">
        <w:rPr>
          <w:rFonts w:eastAsiaTheme="minorHAnsi"/>
        </w:rPr>
        <w:t>eaders from the</w:t>
      </w:r>
      <w:r w:rsidR="00170BBE">
        <w:rPr>
          <w:rFonts w:eastAsiaTheme="minorHAnsi"/>
        </w:rPr>
        <w:t>se</w:t>
      </w:r>
      <w:r w:rsidR="00C07955" w:rsidRPr="00A61D3D">
        <w:rPr>
          <w:rFonts w:eastAsiaTheme="minorHAnsi"/>
        </w:rPr>
        <w:t xml:space="preserve"> institutions provided</w:t>
      </w:r>
      <w:r w:rsidR="00A61D3D">
        <w:rPr>
          <w:rFonts w:eastAsiaTheme="minorHAnsi"/>
        </w:rPr>
        <w:t xml:space="preserve"> information on </w:t>
      </w:r>
      <w:r w:rsidR="00170BBE">
        <w:rPr>
          <w:rFonts w:eastAsiaTheme="minorHAnsi"/>
        </w:rPr>
        <w:t xml:space="preserve">views of </w:t>
      </w:r>
      <w:r w:rsidR="00A61D3D">
        <w:rPr>
          <w:rFonts w:eastAsiaTheme="minorHAnsi"/>
        </w:rPr>
        <w:t>the communities</w:t>
      </w:r>
      <w:r w:rsidR="00170BBE">
        <w:rPr>
          <w:rFonts w:eastAsiaTheme="minorHAnsi"/>
        </w:rPr>
        <w:t xml:space="preserve"> regarding </w:t>
      </w:r>
      <w:r w:rsidR="00A61D3D">
        <w:rPr>
          <w:rFonts w:eastAsiaTheme="minorHAnsi"/>
        </w:rPr>
        <w:t xml:space="preserve">what </w:t>
      </w:r>
      <w:r w:rsidR="00C07955" w:rsidRPr="00A61D3D">
        <w:rPr>
          <w:rFonts w:eastAsiaTheme="minorHAnsi"/>
        </w:rPr>
        <w:t>achieve</w:t>
      </w:r>
      <w:r w:rsidR="00170BBE">
        <w:rPr>
          <w:rFonts w:eastAsiaTheme="minorHAnsi"/>
        </w:rPr>
        <w:t>ments</w:t>
      </w:r>
      <w:r w:rsidR="00C07955" w:rsidRPr="00A61D3D">
        <w:rPr>
          <w:rFonts w:eastAsiaTheme="minorHAnsi"/>
        </w:rPr>
        <w:t xml:space="preserve"> and challenges. The </w:t>
      </w:r>
      <w:r w:rsidR="00A61D3D">
        <w:rPr>
          <w:rFonts w:eastAsiaTheme="minorHAnsi"/>
        </w:rPr>
        <w:t>r</w:t>
      </w:r>
      <w:r w:rsidR="00C07955" w:rsidRPr="00A61D3D">
        <w:rPr>
          <w:rFonts w:eastAsiaTheme="minorHAnsi"/>
        </w:rPr>
        <w:t xml:space="preserve">eport was also sent to the communities for their comments and discussed at two monthly </w:t>
      </w:r>
      <w:r w:rsidR="00170BBE">
        <w:rPr>
          <w:rFonts w:eastAsiaTheme="minorHAnsi"/>
        </w:rPr>
        <w:t>f</w:t>
      </w:r>
      <w:r w:rsidR="00C07955" w:rsidRPr="00A61D3D">
        <w:rPr>
          <w:rFonts w:eastAsiaTheme="minorHAnsi"/>
        </w:rPr>
        <w:t xml:space="preserve">orum </w:t>
      </w:r>
      <w:r w:rsidR="00A61D3D">
        <w:rPr>
          <w:rFonts w:eastAsiaTheme="minorHAnsi"/>
        </w:rPr>
        <w:t>sessions</w:t>
      </w:r>
      <w:r w:rsidR="00C07955" w:rsidRPr="00A61D3D">
        <w:rPr>
          <w:rFonts w:eastAsiaTheme="minorHAnsi"/>
        </w:rPr>
        <w:t>.</w:t>
      </w:r>
    </w:p>
    <w:p w14:paraId="5C811715" w14:textId="3A4221D3" w:rsidR="004406DA" w:rsidRPr="00681D05" w:rsidRDefault="004406DA" w:rsidP="00375264">
      <w:pPr>
        <w:pStyle w:val="COMPara"/>
        <w:ind w:left="567" w:hanging="567"/>
        <w:jc w:val="both"/>
        <w:rPr>
          <w:rFonts w:eastAsiaTheme="minorHAnsi"/>
        </w:rPr>
      </w:pPr>
      <w:r w:rsidRPr="00681D05">
        <w:rPr>
          <w:b/>
        </w:rPr>
        <w:t>Viability and current risks</w:t>
      </w:r>
      <w:r w:rsidRPr="00681D05">
        <w:t>.</w:t>
      </w:r>
      <w:r w:rsidRPr="00681D05">
        <w:rPr>
          <w:rFonts w:eastAsiaTheme="minorHAnsi"/>
        </w:rPr>
        <w:t xml:space="preserve"> The element is facing loss of meaning</w:t>
      </w:r>
      <w:r w:rsidR="008A6BA4">
        <w:rPr>
          <w:rFonts w:eastAsiaTheme="minorHAnsi"/>
        </w:rPr>
        <w:t>,</w:t>
      </w:r>
      <w:r w:rsidRPr="00681D05">
        <w:rPr>
          <w:rFonts w:eastAsiaTheme="minorHAnsi"/>
        </w:rPr>
        <w:t xml:space="preserve"> social value</w:t>
      </w:r>
      <w:r w:rsidR="008A6BA4">
        <w:rPr>
          <w:rFonts w:eastAsiaTheme="minorHAnsi"/>
        </w:rPr>
        <w:t xml:space="preserve"> and </w:t>
      </w:r>
      <w:r w:rsidR="008A6BA4" w:rsidRPr="00681D05">
        <w:rPr>
          <w:rFonts w:eastAsiaTheme="minorHAnsi"/>
        </w:rPr>
        <w:t>knowledge among bearers</w:t>
      </w:r>
      <w:r w:rsidRPr="00681D05">
        <w:rPr>
          <w:rFonts w:eastAsiaTheme="minorHAnsi"/>
        </w:rPr>
        <w:t xml:space="preserve">. </w:t>
      </w:r>
      <w:proofErr w:type="gramStart"/>
      <w:r w:rsidR="008A6BA4">
        <w:rPr>
          <w:rFonts w:eastAsiaTheme="minorHAnsi"/>
        </w:rPr>
        <w:t>A d</w:t>
      </w:r>
      <w:r w:rsidRPr="00681D05">
        <w:rPr>
          <w:rFonts w:eastAsiaTheme="minorHAnsi"/>
        </w:rPr>
        <w:t>ecline in observance of the naming ceremonies</w:t>
      </w:r>
      <w:r w:rsidR="008A6BA4">
        <w:rPr>
          <w:rFonts w:eastAsiaTheme="minorHAnsi"/>
        </w:rPr>
        <w:t>,</w:t>
      </w:r>
      <w:r w:rsidRPr="00681D05">
        <w:rPr>
          <w:rFonts w:eastAsiaTheme="minorHAnsi"/>
        </w:rPr>
        <w:t xml:space="preserve"> </w:t>
      </w:r>
      <w:r w:rsidR="00A61D3D">
        <w:rPr>
          <w:rFonts w:eastAsiaTheme="minorHAnsi"/>
        </w:rPr>
        <w:t xml:space="preserve">as well as </w:t>
      </w:r>
      <w:r w:rsidR="008B269D">
        <w:rPr>
          <w:rFonts w:eastAsiaTheme="minorHAnsi"/>
        </w:rPr>
        <w:t xml:space="preserve">the </w:t>
      </w:r>
      <w:r w:rsidRPr="00681D05">
        <w:rPr>
          <w:rFonts w:eastAsiaTheme="minorHAnsi"/>
        </w:rPr>
        <w:t xml:space="preserve">number of </w:t>
      </w:r>
      <w:r w:rsidR="008A6BA4">
        <w:rPr>
          <w:rFonts w:eastAsiaTheme="minorHAnsi"/>
        </w:rPr>
        <w:t>bearers</w:t>
      </w:r>
      <w:r w:rsidRPr="00681D05">
        <w:rPr>
          <w:rFonts w:eastAsiaTheme="minorHAnsi"/>
        </w:rPr>
        <w:t xml:space="preserve"> </w:t>
      </w:r>
      <w:r w:rsidR="00A61D3D">
        <w:rPr>
          <w:rFonts w:eastAsiaTheme="minorHAnsi"/>
        </w:rPr>
        <w:t>are</w:t>
      </w:r>
      <w:proofErr w:type="gramEnd"/>
      <w:r w:rsidR="00A61D3D">
        <w:rPr>
          <w:rFonts w:eastAsiaTheme="minorHAnsi"/>
        </w:rPr>
        <w:t xml:space="preserve"> among the main threats to viability of the element</w:t>
      </w:r>
      <w:r w:rsidRPr="00681D05">
        <w:rPr>
          <w:rFonts w:eastAsiaTheme="minorHAnsi"/>
        </w:rPr>
        <w:t xml:space="preserve">. Moreover, those who still give </w:t>
      </w:r>
      <w:r w:rsidR="008A6BA4">
        <w:rPr>
          <w:rFonts w:eastAsiaTheme="minorHAnsi"/>
        </w:rPr>
        <w:t xml:space="preserve">their children an </w:t>
      </w:r>
      <w:proofErr w:type="spellStart"/>
      <w:r w:rsidRPr="00681D05">
        <w:rPr>
          <w:rFonts w:eastAsiaTheme="minorHAnsi"/>
        </w:rPr>
        <w:t>Empaako</w:t>
      </w:r>
      <w:proofErr w:type="spellEnd"/>
      <w:r w:rsidRPr="00681D05">
        <w:rPr>
          <w:rFonts w:eastAsiaTheme="minorHAnsi"/>
        </w:rPr>
        <w:t xml:space="preserve"> </w:t>
      </w:r>
      <w:r w:rsidR="00A61D3D">
        <w:rPr>
          <w:rFonts w:eastAsiaTheme="minorHAnsi"/>
        </w:rPr>
        <w:t xml:space="preserve">name often </w:t>
      </w:r>
      <w:r w:rsidRPr="00681D05">
        <w:rPr>
          <w:rFonts w:eastAsiaTheme="minorHAnsi"/>
        </w:rPr>
        <w:t xml:space="preserve">abandon the associated rituals. In addition, </w:t>
      </w:r>
      <w:r w:rsidR="00EE0955">
        <w:rPr>
          <w:rFonts w:eastAsiaTheme="minorHAnsi"/>
        </w:rPr>
        <w:t xml:space="preserve">it </w:t>
      </w:r>
      <w:r w:rsidR="008A6BA4">
        <w:rPr>
          <w:rFonts w:eastAsiaTheme="minorHAnsi"/>
        </w:rPr>
        <w:t>has been</w:t>
      </w:r>
      <w:r w:rsidR="00EE0955">
        <w:rPr>
          <w:rFonts w:eastAsiaTheme="minorHAnsi"/>
        </w:rPr>
        <w:t xml:space="preserve"> reported that </w:t>
      </w:r>
      <w:r w:rsidR="008A6BA4">
        <w:rPr>
          <w:rFonts w:eastAsiaTheme="minorHAnsi"/>
        </w:rPr>
        <w:t xml:space="preserve">there have been </w:t>
      </w:r>
      <w:r w:rsidRPr="00681D05">
        <w:rPr>
          <w:rFonts w:eastAsiaTheme="minorHAnsi"/>
        </w:rPr>
        <w:t>attack</w:t>
      </w:r>
      <w:r w:rsidR="008A6BA4">
        <w:rPr>
          <w:rFonts w:eastAsiaTheme="minorHAnsi"/>
        </w:rPr>
        <w:t>s</w:t>
      </w:r>
      <w:r w:rsidRPr="00681D05">
        <w:rPr>
          <w:rFonts w:eastAsiaTheme="minorHAnsi"/>
        </w:rPr>
        <w:t xml:space="preserve"> on the practice from some religious groups mainly because of lack of knowledge about its meaning. In parallel, the language of </w:t>
      </w:r>
      <w:r w:rsidR="008A6BA4">
        <w:rPr>
          <w:rFonts w:eastAsiaTheme="minorHAnsi"/>
        </w:rPr>
        <w:t xml:space="preserve">the </w:t>
      </w:r>
      <w:proofErr w:type="spellStart"/>
      <w:r w:rsidRPr="00681D05">
        <w:rPr>
          <w:rFonts w:eastAsiaTheme="minorHAnsi"/>
        </w:rPr>
        <w:t>Empaako</w:t>
      </w:r>
      <w:proofErr w:type="spellEnd"/>
      <w:r w:rsidRPr="00681D05">
        <w:rPr>
          <w:rFonts w:eastAsiaTheme="minorHAnsi"/>
        </w:rPr>
        <w:t xml:space="preserve"> tradition</w:t>
      </w:r>
      <w:r w:rsidR="005E2530">
        <w:rPr>
          <w:rFonts w:eastAsiaTheme="minorHAnsi"/>
        </w:rPr>
        <w:t>,</w:t>
      </w:r>
      <w:r w:rsidRPr="00681D05">
        <w:rPr>
          <w:rFonts w:eastAsiaTheme="minorHAnsi"/>
        </w:rPr>
        <w:t xml:space="preserve"> </w:t>
      </w:r>
      <w:proofErr w:type="spellStart"/>
      <w:r w:rsidRPr="00681D05">
        <w:rPr>
          <w:rFonts w:eastAsiaTheme="minorHAnsi"/>
        </w:rPr>
        <w:t>Runyoro-Rutooro</w:t>
      </w:r>
      <w:proofErr w:type="spellEnd"/>
      <w:r w:rsidR="005E2530">
        <w:rPr>
          <w:rFonts w:eastAsiaTheme="minorHAnsi"/>
        </w:rPr>
        <w:t>,</w:t>
      </w:r>
      <w:r w:rsidRPr="00681D05">
        <w:rPr>
          <w:rFonts w:eastAsiaTheme="minorHAnsi"/>
        </w:rPr>
        <w:t xml:space="preserve"> is declining in usage even among traditional </w:t>
      </w:r>
      <w:r w:rsidR="008A6BA4">
        <w:rPr>
          <w:rFonts w:eastAsiaTheme="minorHAnsi"/>
        </w:rPr>
        <w:t xml:space="preserve">bearer </w:t>
      </w:r>
      <w:r w:rsidRPr="00681D05">
        <w:rPr>
          <w:rFonts w:eastAsiaTheme="minorHAnsi"/>
        </w:rPr>
        <w:t>communities in favour of other more dominant languages.</w:t>
      </w:r>
    </w:p>
    <w:p w14:paraId="5F5F7644" w14:textId="77777777" w:rsidR="007D4E27" w:rsidRPr="00681D05" w:rsidRDefault="007D4E27" w:rsidP="00375264">
      <w:pPr>
        <w:pStyle w:val="COMPara"/>
        <w:ind w:left="567" w:hanging="567"/>
        <w:jc w:val="both"/>
      </w:pPr>
      <w:r w:rsidRPr="00681D05">
        <w:t>The Committee may wish to adopt the following decision:</w:t>
      </w:r>
    </w:p>
    <w:p w14:paraId="6C48EF49" w14:textId="38D0A4F7" w:rsidR="007D4E27" w:rsidRPr="00681D05" w:rsidRDefault="007D4E27" w:rsidP="00C51CB6">
      <w:pPr>
        <w:pStyle w:val="Heading4"/>
        <w:pageBreakBefore/>
        <w:numPr>
          <w:ilvl w:val="0"/>
          <w:numId w:val="0"/>
        </w:numPr>
        <w:spacing w:before="240"/>
        <w:ind w:left="567"/>
        <w:rPr>
          <w:rFonts w:eastAsia="SimSun"/>
        </w:rPr>
      </w:pPr>
      <w:bookmarkStart w:id="6" w:name="Dec10COM_6b3"/>
      <w:bookmarkEnd w:id="6"/>
      <w:r w:rsidRPr="00681D05">
        <w:lastRenderedPageBreak/>
        <w:t>DRAFT DECISION 10.COM 6.b.3</w:t>
      </w:r>
      <w:r w:rsidR="0000240B">
        <w:t xml:space="preserve"> </w:t>
      </w:r>
      <w:r w:rsidR="0000240B">
        <w:rPr>
          <w:noProof/>
          <w:snapToGrid/>
          <w:lang w:val="fr-FR" w:eastAsia="fr-FR"/>
        </w:rPr>
        <w:drawing>
          <wp:inline distT="0" distB="0" distL="0" distR="0" wp14:anchorId="37555925" wp14:editId="6049A9DF">
            <wp:extent cx="103505" cy="103505"/>
            <wp:effectExtent l="0" t="0" r="0" b="0"/>
            <wp:docPr id="4" name="Picture 4" descr="Return to to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4510A287" w14:textId="77777777" w:rsidR="007D4E27" w:rsidRPr="00681D05" w:rsidRDefault="007D4E27" w:rsidP="007D4E27">
      <w:pPr>
        <w:pStyle w:val="Para"/>
        <w:keepNext/>
        <w:numPr>
          <w:ilvl w:val="0"/>
          <w:numId w:val="0"/>
        </w:numPr>
        <w:tabs>
          <w:tab w:val="left" w:pos="1134"/>
        </w:tabs>
        <w:spacing w:line="240" w:lineRule="auto"/>
        <w:ind w:left="567"/>
        <w:rPr>
          <w:rFonts w:cs="Arial"/>
          <w:sz w:val="22"/>
          <w:szCs w:val="22"/>
          <w:lang w:val="en-GB"/>
        </w:rPr>
      </w:pPr>
      <w:r w:rsidRPr="00681D05">
        <w:rPr>
          <w:rFonts w:cs="Arial"/>
          <w:sz w:val="22"/>
          <w:szCs w:val="22"/>
          <w:lang w:val="en-GB"/>
        </w:rPr>
        <w:t>The Committee,</w:t>
      </w:r>
    </w:p>
    <w:p w14:paraId="2A37FB2C" w14:textId="77777777" w:rsidR="004406DA" w:rsidRPr="00681D05" w:rsidRDefault="007D4E27" w:rsidP="004406DA">
      <w:pPr>
        <w:pStyle w:val="Para"/>
        <w:numPr>
          <w:ilvl w:val="0"/>
          <w:numId w:val="19"/>
        </w:numPr>
        <w:tabs>
          <w:tab w:val="left" w:pos="1134"/>
        </w:tabs>
        <w:ind w:left="1134" w:hanging="567"/>
        <w:rPr>
          <w:rFonts w:cs="Arial"/>
          <w:sz w:val="22"/>
          <w:szCs w:val="22"/>
          <w:lang w:val="en-GB"/>
        </w:rPr>
      </w:pPr>
      <w:r w:rsidRPr="00681D05">
        <w:rPr>
          <w:rFonts w:cs="Arial"/>
          <w:sz w:val="22"/>
          <w:szCs w:val="22"/>
          <w:u w:val="single"/>
          <w:lang w:val="en-GB"/>
        </w:rPr>
        <w:t>Having examined</w:t>
      </w:r>
      <w:r w:rsidRPr="00681D05">
        <w:rPr>
          <w:rFonts w:cs="Arial"/>
          <w:sz w:val="22"/>
          <w:szCs w:val="22"/>
          <w:lang w:val="en-GB"/>
        </w:rPr>
        <w:t xml:space="preserve"> document </w:t>
      </w:r>
      <w:r w:rsidR="00E11B18" w:rsidRPr="00681D05">
        <w:rPr>
          <w:rFonts w:cs="Arial"/>
          <w:sz w:val="22"/>
          <w:szCs w:val="22"/>
          <w:lang w:val="en-GB"/>
        </w:rPr>
        <w:t>ITH/15/10.COM/6.b,</w:t>
      </w:r>
    </w:p>
    <w:p w14:paraId="40AB9090" w14:textId="77777777" w:rsidR="004406DA" w:rsidRPr="00681D05" w:rsidRDefault="004406DA" w:rsidP="004406DA">
      <w:pPr>
        <w:pStyle w:val="Para"/>
        <w:numPr>
          <w:ilvl w:val="0"/>
          <w:numId w:val="19"/>
        </w:numPr>
        <w:tabs>
          <w:tab w:val="left" w:pos="1134"/>
        </w:tabs>
        <w:spacing w:line="240" w:lineRule="auto"/>
        <w:ind w:left="1134" w:hanging="567"/>
        <w:rPr>
          <w:rFonts w:cs="Arial"/>
          <w:sz w:val="22"/>
          <w:szCs w:val="22"/>
          <w:lang w:val="en-GB"/>
        </w:rPr>
      </w:pPr>
      <w:r w:rsidRPr="00681D05">
        <w:rPr>
          <w:rFonts w:cs="Arial"/>
          <w:sz w:val="22"/>
          <w:szCs w:val="22"/>
          <w:u w:val="single"/>
          <w:lang w:val="en-GB"/>
        </w:rPr>
        <w:t>Recalling</w:t>
      </w:r>
      <w:r w:rsidRPr="00681D05">
        <w:rPr>
          <w:rFonts w:cs="Arial"/>
          <w:sz w:val="22"/>
          <w:szCs w:val="22"/>
          <w:lang w:val="en-GB"/>
        </w:rPr>
        <w:t xml:space="preserve"> Chapter V of the Operational Directives and its Decision 8.COM </w:t>
      </w:r>
      <w:r w:rsidR="00E11B18" w:rsidRPr="00681D05">
        <w:rPr>
          <w:rFonts w:cs="Arial"/>
          <w:sz w:val="22"/>
          <w:szCs w:val="22"/>
          <w:lang w:val="en-GB"/>
        </w:rPr>
        <w:t>7.a.12,</w:t>
      </w:r>
    </w:p>
    <w:p w14:paraId="10D5CC64" w14:textId="77777777" w:rsidR="004406DA" w:rsidRPr="00681D05" w:rsidRDefault="004406DA" w:rsidP="004406DA">
      <w:pPr>
        <w:pStyle w:val="Para"/>
        <w:numPr>
          <w:ilvl w:val="0"/>
          <w:numId w:val="19"/>
        </w:numPr>
        <w:tabs>
          <w:tab w:val="left" w:pos="1134"/>
        </w:tabs>
        <w:spacing w:line="240" w:lineRule="auto"/>
        <w:ind w:left="1134" w:hanging="567"/>
        <w:rPr>
          <w:rFonts w:cs="Arial"/>
          <w:sz w:val="22"/>
          <w:szCs w:val="22"/>
          <w:lang w:val="en-GB"/>
        </w:rPr>
      </w:pPr>
      <w:r w:rsidRPr="009E3761">
        <w:rPr>
          <w:rFonts w:cs="Arial"/>
          <w:sz w:val="22"/>
          <w:szCs w:val="22"/>
          <w:u w:val="single"/>
          <w:lang w:val="en-GB"/>
        </w:rPr>
        <w:t>Expresses its thanks</w:t>
      </w:r>
      <w:r w:rsidRPr="00681D05">
        <w:rPr>
          <w:rFonts w:cs="Arial"/>
          <w:sz w:val="22"/>
          <w:szCs w:val="22"/>
          <w:lang w:val="en-GB"/>
        </w:rPr>
        <w:t xml:space="preserve"> to Uganda for submitting its report on the </w:t>
      </w:r>
      <w:r w:rsidRPr="00681D05">
        <w:rPr>
          <w:rFonts w:cs="Arial"/>
          <w:bCs/>
          <w:sz w:val="22"/>
          <w:szCs w:val="22"/>
          <w:lang w:val="en-GB"/>
        </w:rPr>
        <w:t xml:space="preserve">status of the </w:t>
      </w:r>
      <w:r w:rsidRPr="00681D05">
        <w:rPr>
          <w:rFonts w:cs="Arial"/>
          <w:sz w:val="22"/>
          <w:szCs w:val="22"/>
          <w:lang w:val="en-GB"/>
        </w:rPr>
        <w:t>element ‘</w:t>
      </w:r>
      <w:proofErr w:type="spellStart"/>
      <w:r w:rsidRPr="00681D05">
        <w:rPr>
          <w:rFonts w:cs="Arial"/>
          <w:sz w:val="22"/>
          <w:szCs w:val="22"/>
          <w:lang w:val="en-GB"/>
        </w:rPr>
        <w:t>Empaako</w:t>
      </w:r>
      <w:proofErr w:type="spellEnd"/>
      <w:r w:rsidRPr="00681D05">
        <w:rPr>
          <w:rFonts w:cs="Arial"/>
          <w:sz w:val="22"/>
          <w:szCs w:val="22"/>
          <w:lang w:val="en-GB"/>
        </w:rPr>
        <w:t xml:space="preserve"> tradition of the </w:t>
      </w:r>
      <w:proofErr w:type="spellStart"/>
      <w:r w:rsidRPr="00681D05">
        <w:rPr>
          <w:rFonts w:cs="Arial"/>
          <w:sz w:val="22"/>
          <w:szCs w:val="22"/>
          <w:lang w:val="en-GB"/>
        </w:rPr>
        <w:t>Batooro</w:t>
      </w:r>
      <w:proofErr w:type="spellEnd"/>
      <w:r w:rsidRPr="00681D05">
        <w:rPr>
          <w:rFonts w:cs="Arial"/>
          <w:sz w:val="22"/>
          <w:szCs w:val="22"/>
          <w:lang w:val="en-GB"/>
        </w:rPr>
        <w:t xml:space="preserve">, </w:t>
      </w:r>
      <w:proofErr w:type="spellStart"/>
      <w:r w:rsidRPr="00681D05">
        <w:rPr>
          <w:rFonts w:cs="Arial"/>
          <w:sz w:val="22"/>
          <w:szCs w:val="22"/>
          <w:lang w:val="en-GB"/>
        </w:rPr>
        <w:t>Banyoro</w:t>
      </w:r>
      <w:proofErr w:type="spellEnd"/>
      <w:r w:rsidRPr="00681D05">
        <w:rPr>
          <w:rFonts w:cs="Arial"/>
          <w:sz w:val="22"/>
          <w:szCs w:val="22"/>
          <w:lang w:val="en-GB"/>
        </w:rPr>
        <w:t xml:space="preserve">, </w:t>
      </w:r>
      <w:proofErr w:type="spellStart"/>
      <w:r w:rsidRPr="00681D05">
        <w:rPr>
          <w:rFonts w:cs="Arial"/>
          <w:sz w:val="22"/>
          <w:szCs w:val="22"/>
          <w:lang w:val="en-GB"/>
        </w:rPr>
        <w:t>Batuku</w:t>
      </w:r>
      <w:proofErr w:type="spellEnd"/>
      <w:r w:rsidRPr="00681D05">
        <w:rPr>
          <w:rFonts w:cs="Arial"/>
          <w:sz w:val="22"/>
          <w:szCs w:val="22"/>
          <w:lang w:val="en-GB"/>
        </w:rPr>
        <w:t xml:space="preserve">, </w:t>
      </w:r>
      <w:proofErr w:type="spellStart"/>
      <w:r w:rsidRPr="00681D05">
        <w:rPr>
          <w:rFonts w:cs="Arial"/>
          <w:sz w:val="22"/>
          <w:szCs w:val="22"/>
          <w:lang w:val="en-GB"/>
        </w:rPr>
        <w:t>Batagwenda</w:t>
      </w:r>
      <w:proofErr w:type="spellEnd"/>
      <w:r w:rsidRPr="00681D05">
        <w:rPr>
          <w:rFonts w:cs="Arial"/>
          <w:sz w:val="22"/>
          <w:szCs w:val="22"/>
          <w:lang w:val="en-GB"/>
        </w:rPr>
        <w:t xml:space="preserve"> and </w:t>
      </w:r>
      <w:proofErr w:type="spellStart"/>
      <w:r w:rsidRPr="00681D05">
        <w:rPr>
          <w:rFonts w:cs="Arial"/>
          <w:sz w:val="22"/>
          <w:szCs w:val="22"/>
          <w:lang w:val="en-GB"/>
        </w:rPr>
        <w:t>Banyabindi</w:t>
      </w:r>
      <w:proofErr w:type="spellEnd"/>
      <w:r w:rsidRPr="00681D05">
        <w:rPr>
          <w:rFonts w:cs="Arial"/>
          <w:sz w:val="22"/>
          <w:szCs w:val="22"/>
          <w:lang w:val="en-GB"/>
        </w:rPr>
        <w:t xml:space="preserve"> of western Uganda’, inscribed</w:t>
      </w:r>
      <w:r w:rsidRPr="00681D05">
        <w:rPr>
          <w:rFonts w:cs="Arial"/>
          <w:bCs/>
          <w:sz w:val="22"/>
          <w:szCs w:val="22"/>
          <w:lang w:val="en-GB"/>
        </w:rPr>
        <w:t xml:space="preserve"> in 2013 on the List of Intangible Cultural Heritage in Need of Urgent Safeguarding;</w:t>
      </w:r>
    </w:p>
    <w:p w14:paraId="750ED744" w14:textId="77777777" w:rsidR="004406DA" w:rsidRPr="00681D05" w:rsidRDefault="004406DA" w:rsidP="004406DA">
      <w:pPr>
        <w:pStyle w:val="Para"/>
        <w:numPr>
          <w:ilvl w:val="0"/>
          <w:numId w:val="19"/>
        </w:numPr>
        <w:tabs>
          <w:tab w:val="left" w:pos="1134"/>
        </w:tabs>
        <w:spacing w:line="240" w:lineRule="auto"/>
        <w:ind w:left="1134" w:hanging="567"/>
        <w:rPr>
          <w:rFonts w:cs="Arial"/>
          <w:sz w:val="22"/>
          <w:szCs w:val="22"/>
          <w:lang w:val="en-GB"/>
        </w:rPr>
      </w:pPr>
      <w:r w:rsidRPr="00681D05">
        <w:rPr>
          <w:rFonts w:cs="Arial"/>
          <w:sz w:val="22"/>
          <w:szCs w:val="22"/>
          <w:u w:val="single"/>
          <w:lang w:val="en-GB"/>
        </w:rPr>
        <w:t>Takes note</w:t>
      </w:r>
      <w:r w:rsidRPr="00681D05">
        <w:rPr>
          <w:rFonts w:cs="Arial"/>
          <w:sz w:val="22"/>
          <w:szCs w:val="22"/>
          <w:lang w:val="en-GB"/>
        </w:rPr>
        <w:t xml:space="preserve"> of the continued efforts undertaken by Uganda to safeguard the element and, in particular, </w:t>
      </w:r>
      <w:r w:rsidR="00A308B9">
        <w:rPr>
          <w:rFonts w:cs="Arial"/>
          <w:sz w:val="22"/>
          <w:szCs w:val="22"/>
          <w:lang w:val="en-GB"/>
        </w:rPr>
        <w:t>its</w:t>
      </w:r>
      <w:r w:rsidRPr="00681D05">
        <w:rPr>
          <w:rFonts w:cs="Arial"/>
          <w:sz w:val="22"/>
          <w:szCs w:val="22"/>
          <w:lang w:val="en-GB"/>
        </w:rPr>
        <w:t xml:space="preserve"> proactive approach towards the participatory design of the safeguarding </w:t>
      </w:r>
      <w:r w:rsidR="00A61D3D">
        <w:rPr>
          <w:rFonts w:cs="Arial"/>
          <w:sz w:val="22"/>
          <w:szCs w:val="22"/>
          <w:lang w:val="en-GB"/>
        </w:rPr>
        <w:t>plan</w:t>
      </w:r>
      <w:r w:rsidRPr="00681D05">
        <w:rPr>
          <w:rFonts w:cs="Arial"/>
          <w:sz w:val="22"/>
          <w:szCs w:val="22"/>
          <w:lang w:val="en-GB"/>
        </w:rPr>
        <w:t xml:space="preserve"> and me</w:t>
      </w:r>
      <w:r w:rsidR="00A61D3D">
        <w:rPr>
          <w:rFonts w:cs="Arial"/>
          <w:sz w:val="22"/>
          <w:szCs w:val="22"/>
          <w:lang w:val="en-GB"/>
        </w:rPr>
        <w:t>chanisms for effective participation of the communities</w:t>
      </w:r>
      <w:r w:rsidRPr="00681D05">
        <w:rPr>
          <w:rFonts w:cs="Arial"/>
          <w:sz w:val="22"/>
          <w:szCs w:val="22"/>
          <w:lang w:val="en-GB"/>
        </w:rPr>
        <w:t xml:space="preserve"> and stakeholder</w:t>
      </w:r>
      <w:r w:rsidR="00A61D3D">
        <w:rPr>
          <w:rFonts w:cs="Arial"/>
          <w:sz w:val="22"/>
          <w:szCs w:val="22"/>
          <w:lang w:val="en-GB"/>
        </w:rPr>
        <w:t>s</w:t>
      </w:r>
      <w:r w:rsidRPr="00681D05">
        <w:rPr>
          <w:rFonts w:cs="Arial"/>
          <w:sz w:val="22"/>
          <w:szCs w:val="22"/>
          <w:lang w:val="en-GB"/>
        </w:rPr>
        <w:t xml:space="preserve"> </w:t>
      </w:r>
      <w:r w:rsidR="00A61D3D">
        <w:rPr>
          <w:rFonts w:cs="Arial"/>
          <w:sz w:val="22"/>
          <w:szCs w:val="22"/>
          <w:lang w:val="en-GB"/>
        </w:rPr>
        <w:t xml:space="preserve">concerned </w:t>
      </w:r>
      <w:r w:rsidR="00624AF2" w:rsidRPr="00681D05">
        <w:rPr>
          <w:rFonts w:cs="Arial"/>
          <w:sz w:val="22"/>
          <w:szCs w:val="22"/>
          <w:lang w:val="en-GB"/>
        </w:rPr>
        <w:t>in their implementation;</w:t>
      </w:r>
    </w:p>
    <w:p w14:paraId="55653BB8" w14:textId="77777777" w:rsidR="004406DA" w:rsidRPr="00681D05" w:rsidRDefault="004406DA" w:rsidP="004406DA">
      <w:pPr>
        <w:pStyle w:val="Para"/>
        <w:numPr>
          <w:ilvl w:val="0"/>
          <w:numId w:val="19"/>
        </w:numPr>
        <w:tabs>
          <w:tab w:val="left" w:pos="1134"/>
        </w:tabs>
        <w:spacing w:line="240" w:lineRule="auto"/>
        <w:ind w:left="1134" w:hanging="567"/>
        <w:rPr>
          <w:rFonts w:cs="Arial"/>
          <w:sz w:val="22"/>
          <w:szCs w:val="22"/>
          <w:lang w:val="en-GB"/>
        </w:rPr>
      </w:pPr>
      <w:r w:rsidRPr="00681D05">
        <w:rPr>
          <w:rFonts w:cs="Arial"/>
          <w:sz w:val="22"/>
          <w:szCs w:val="22"/>
          <w:u w:val="single"/>
          <w:lang w:val="en-GB"/>
        </w:rPr>
        <w:t>Invites</w:t>
      </w:r>
      <w:r w:rsidRPr="00681D05">
        <w:rPr>
          <w:rFonts w:cs="Arial"/>
          <w:sz w:val="22"/>
          <w:szCs w:val="22"/>
          <w:lang w:val="en-GB"/>
        </w:rPr>
        <w:t xml:space="preserve"> the State Party to continue develop</w:t>
      </w:r>
      <w:r w:rsidR="00A308B9">
        <w:rPr>
          <w:rFonts w:cs="Arial"/>
          <w:sz w:val="22"/>
          <w:szCs w:val="22"/>
          <w:lang w:val="en-GB"/>
        </w:rPr>
        <w:t>ing</w:t>
      </w:r>
      <w:r w:rsidRPr="00681D05">
        <w:rPr>
          <w:rFonts w:cs="Arial"/>
          <w:sz w:val="22"/>
          <w:szCs w:val="22"/>
          <w:lang w:val="en-GB"/>
        </w:rPr>
        <w:t xml:space="preserve"> its fund-raising strategy to ensure that reliance on </w:t>
      </w:r>
      <w:r w:rsidR="00A308B9">
        <w:rPr>
          <w:rFonts w:cs="Arial"/>
          <w:sz w:val="22"/>
          <w:szCs w:val="22"/>
          <w:lang w:val="en-GB"/>
        </w:rPr>
        <w:t xml:space="preserve">external </w:t>
      </w:r>
      <w:r w:rsidRPr="00681D05">
        <w:rPr>
          <w:rFonts w:cs="Arial"/>
          <w:sz w:val="22"/>
          <w:szCs w:val="22"/>
          <w:lang w:val="en-GB"/>
        </w:rPr>
        <w:t>donors does not drive safeguarding priorities</w:t>
      </w:r>
      <w:r w:rsidR="00A61D3D">
        <w:rPr>
          <w:rFonts w:cs="Arial"/>
          <w:sz w:val="22"/>
          <w:szCs w:val="22"/>
          <w:lang w:val="en-GB"/>
        </w:rPr>
        <w:t>,</w:t>
      </w:r>
      <w:r w:rsidRPr="00681D05">
        <w:rPr>
          <w:rFonts w:cs="Arial"/>
          <w:sz w:val="22"/>
          <w:szCs w:val="22"/>
          <w:lang w:val="en-GB"/>
        </w:rPr>
        <w:t xml:space="preserve"> </w:t>
      </w:r>
      <w:r w:rsidR="00A61D3D">
        <w:rPr>
          <w:rFonts w:cs="Arial"/>
          <w:sz w:val="22"/>
          <w:szCs w:val="22"/>
          <w:lang w:val="en-GB"/>
        </w:rPr>
        <w:t xml:space="preserve">and that </w:t>
      </w:r>
      <w:r w:rsidRPr="00681D05">
        <w:rPr>
          <w:rFonts w:cs="Arial"/>
          <w:sz w:val="22"/>
          <w:szCs w:val="22"/>
          <w:lang w:val="en-GB"/>
        </w:rPr>
        <w:t xml:space="preserve">community-funded projects have a reliable source of funding </w:t>
      </w:r>
      <w:r w:rsidR="00A308B9">
        <w:rPr>
          <w:rFonts w:cs="Arial"/>
          <w:sz w:val="22"/>
          <w:szCs w:val="22"/>
          <w:lang w:val="en-GB"/>
        </w:rPr>
        <w:t xml:space="preserve">and </w:t>
      </w:r>
      <w:r w:rsidR="00A61D3D">
        <w:rPr>
          <w:rFonts w:cs="Arial"/>
          <w:sz w:val="22"/>
          <w:szCs w:val="22"/>
          <w:lang w:val="en-GB"/>
        </w:rPr>
        <w:t>human resources</w:t>
      </w:r>
      <w:r w:rsidRPr="00681D05">
        <w:rPr>
          <w:rFonts w:cs="Arial"/>
          <w:sz w:val="22"/>
          <w:szCs w:val="22"/>
          <w:lang w:val="en-GB"/>
        </w:rPr>
        <w:t xml:space="preserve"> for </w:t>
      </w:r>
      <w:r w:rsidR="00A61D3D">
        <w:rPr>
          <w:rFonts w:cs="Arial"/>
          <w:sz w:val="22"/>
          <w:szCs w:val="22"/>
          <w:lang w:val="en-GB"/>
        </w:rPr>
        <w:t>continuous</w:t>
      </w:r>
      <w:r w:rsidR="00624AF2" w:rsidRPr="00681D05">
        <w:rPr>
          <w:rFonts w:cs="Arial"/>
          <w:sz w:val="22"/>
          <w:szCs w:val="22"/>
          <w:lang w:val="en-GB"/>
        </w:rPr>
        <w:t xml:space="preserve"> implementation;</w:t>
      </w:r>
    </w:p>
    <w:p w14:paraId="27B0F0F7" w14:textId="77777777" w:rsidR="004406DA" w:rsidRPr="00681D05" w:rsidRDefault="004406DA" w:rsidP="004406DA">
      <w:pPr>
        <w:pStyle w:val="Para"/>
        <w:numPr>
          <w:ilvl w:val="0"/>
          <w:numId w:val="19"/>
        </w:numPr>
        <w:tabs>
          <w:tab w:val="left" w:pos="1134"/>
        </w:tabs>
        <w:spacing w:line="240" w:lineRule="auto"/>
        <w:ind w:left="1134" w:hanging="567"/>
        <w:rPr>
          <w:rFonts w:cs="Arial"/>
          <w:sz w:val="22"/>
          <w:szCs w:val="22"/>
          <w:lang w:val="en-GB"/>
        </w:rPr>
      </w:pPr>
      <w:r w:rsidRPr="00681D05">
        <w:rPr>
          <w:rFonts w:cs="Arial"/>
          <w:sz w:val="22"/>
          <w:szCs w:val="22"/>
          <w:u w:val="single"/>
          <w:lang w:val="en-GB"/>
        </w:rPr>
        <w:t>Encourages</w:t>
      </w:r>
      <w:r w:rsidRPr="00681D05">
        <w:rPr>
          <w:rFonts w:cs="Arial"/>
          <w:sz w:val="22"/>
          <w:szCs w:val="22"/>
          <w:lang w:val="en-GB"/>
        </w:rPr>
        <w:t xml:space="preserve"> the State Party to continue to address the loss of knowledge among bearers of the rituals and ceremonies, and the decline in observance of the practice by addressing external factors affecting this</w:t>
      </w:r>
      <w:r w:rsidR="00EE0955">
        <w:rPr>
          <w:rFonts w:cs="Arial"/>
          <w:sz w:val="22"/>
          <w:szCs w:val="22"/>
          <w:lang w:val="en-GB"/>
        </w:rPr>
        <w:t xml:space="preserve"> element</w:t>
      </w:r>
      <w:r w:rsidRPr="00681D05">
        <w:rPr>
          <w:rFonts w:cs="Arial"/>
          <w:sz w:val="22"/>
          <w:szCs w:val="22"/>
          <w:lang w:val="en-GB"/>
        </w:rPr>
        <w:t>, such as the declin</w:t>
      </w:r>
      <w:r w:rsidR="006E0666">
        <w:rPr>
          <w:rFonts w:cs="Arial"/>
          <w:sz w:val="22"/>
          <w:szCs w:val="22"/>
          <w:lang w:val="en-GB"/>
        </w:rPr>
        <w:t>ing</w:t>
      </w:r>
      <w:r w:rsidRPr="00681D05">
        <w:rPr>
          <w:rFonts w:cs="Arial"/>
          <w:sz w:val="22"/>
          <w:szCs w:val="22"/>
          <w:lang w:val="en-GB"/>
        </w:rPr>
        <w:t xml:space="preserve"> use o</w:t>
      </w:r>
      <w:r w:rsidR="00624AF2" w:rsidRPr="00681D05">
        <w:rPr>
          <w:rFonts w:cs="Arial"/>
          <w:sz w:val="22"/>
          <w:szCs w:val="22"/>
          <w:lang w:val="en-GB"/>
        </w:rPr>
        <w:t xml:space="preserve">f the </w:t>
      </w:r>
      <w:proofErr w:type="spellStart"/>
      <w:r w:rsidR="00624AF2" w:rsidRPr="00681D05">
        <w:rPr>
          <w:rFonts w:cs="Arial"/>
          <w:sz w:val="22"/>
          <w:szCs w:val="22"/>
          <w:lang w:val="en-GB"/>
        </w:rPr>
        <w:t>Runyoro-Rutooro</w:t>
      </w:r>
      <w:proofErr w:type="spellEnd"/>
      <w:r w:rsidR="00624AF2" w:rsidRPr="00681D05">
        <w:rPr>
          <w:rFonts w:cs="Arial"/>
          <w:sz w:val="22"/>
          <w:szCs w:val="22"/>
          <w:lang w:val="en-GB"/>
        </w:rPr>
        <w:t xml:space="preserve"> language;</w:t>
      </w:r>
    </w:p>
    <w:p w14:paraId="4A18F584" w14:textId="77777777" w:rsidR="004406DA" w:rsidRPr="00681D05" w:rsidRDefault="004406DA" w:rsidP="004406DA">
      <w:pPr>
        <w:pStyle w:val="Para"/>
        <w:numPr>
          <w:ilvl w:val="0"/>
          <w:numId w:val="19"/>
        </w:numPr>
        <w:tabs>
          <w:tab w:val="left" w:pos="1134"/>
        </w:tabs>
        <w:spacing w:line="240" w:lineRule="auto"/>
        <w:ind w:left="1134" w:hanging="567"/>
        <w:rPr>
          <w:rFonts w:cs="Arial"/>
          <w:sz w:val="22"/>
          <w:szCs w:val="22"/>
          <w:u w:val="single"/>
          <w:lang w:val="en-GB"/>
        </w:rPr>
      </w:pPr>
      <w:r w:rsidRPr="00681D05">
        <w:rPr>
          <w:rFonts w:cs="Arial"/>
          <w:sz w:val="22"/>
          <w:szCs w:val="22"/>
          <w:u w:val="single"/>
          <w:lang w:val="en-GB"/>
        </w:rPr>
        <w:t>Decides</w:t>
      </w:r>
      <w:r w:rsidR="006E0666">
        <w:rPr>
          <w:rFonts w:cs="Arial"/>
          <w:sz w:val="22"/>
          <w:szCs w:val="22"/>
          <w:lang w:val="en-GB"/>
        </w:rPr>
        <w:t xml:space="preserve"> </w:t>
      </w:r>
      <w:r w:rsidRPr="00681D05">
        <w:rPr>
          <w:rFonts w:cs="Arial"/>
          <w:sz w:val="22"/>
          <w:szCs w:val="22"/>
          <w:lang w:val="en-GB"/>
        </w:rPr>
        <w:t>that its next report will follow the normal four-year cycle, in conformity with Paragraph 161 of the Operational Directives, and will therefore</w:t>
      </w:r>
      <w:r w:rsidR="00624AF2" w:rsidRPr="00681D05">
        <w:rPr>
          <w:rFonts w:cs="Arial"/>
          <w:sz w:val="22"/>
          <w:szCs w:val="22"/>
          <w:lang w:val="en-GB"/>
        </w:rPr>
        <w:t xml:space="preserve"> be expected on 15 December 2017</w:t>
      </w:r>
      <w:r w:rsidR="00C7682C" w:rsidRPr="00681D05">
        <w:rPr>
          <w:rFonts w:cs="Arial"/>
          <w:sz w:val="22"/>
          <w:szCs w:val="22"/>
          <w:lang w:val="en-GB"/>
        </w:rPr>
        <w:t>;</w:t>
      </w:r>
    </w:p>
    <w:p w14:paraId="3A8FB53A" w14:textId="77777777" w:rsidR="00D8250F" w:rsidRPr="00681D05" w:rsidRDefault="004406DA" w:rsidP="004406DA">
      <w:pPr>
        <w:pStyle w:val="Para"/>
        <w:numPr>
          <w:ilvl w:val="0"/>
          <w:numId w:val="19"/>
        </w:numPr>
        <w:tabs>
          <w:tab w:val="left" w:pos="1134"/>
        </w:tabs>
        <w:spacing w:line="240" w:lineRule="auto"/>
        <w:ind w:left="1134" w:hanging="567"/>
        <w:rPr>
          <w:rFonts w:cs="Arial"/>
          <w:sz w:val="22"/>
          <w:szCs w:val="22"/>
          <w:lang w:val="en-GB"/>
        </w:rPr>
      </w:pPr>
      <w:r w:rsidRPr="00681D05">
        <w:rPr>
          <w:rFonts w:cs="Arial"/>
          <w:sz w:val="22"/>
          <w:szCs w:val="22"/>
          <w:u w:val="single"/>
          <w:lang w:val="en-GB"/>
        </w:rPr>
        <w:t>Requests</w:t>
      </w:r>
      <w:r w:rsidRPr="00681D05">
        <w:rPr>
          <w:rFonts w:cs="Arial"/>
          <w:sz w:val="22"/>
          <w:szCs w:val="22"/>
          <w:lang w:val="en-GB"/>
        </w:rPr>
        <w:t xml:space="preserve"> the Secretariat to inform the State Party twelve months prior to the deadline </w:t>
      </w:r>
      <w:r w:rsidR="00C7682C" w:rsidRPr="00681D05">
        <w:rPr>
          <w:rFonts w:cs="Arial"/>
          <w:sz w:val="22"/>
          <w:szCs w:val="22"/>
          <w:lang w:val="en-GB"/>
        </w:rPr>
        <w:t>of 15 December 201</w:t>
      </w:r>
      <w:r w:rsidR="00624AF2" w:rsidRPr="00681D05">
        <w:rPr>
          <w:rFonts w:cs="Arial"/>
          <w:sz w:val="22"/>
          <w:szCs w:val="22"/>
          <w:lang w:val="en-GB"/>
        </w:rPr>
        <w:t>7</w:t>
      </w:r>
      <w:r w:rsidR="00C7682C" w:rsidRPr="00681D05">
        <w:rPr>
          <w:rFonts w:cs="Arial"/>
          <w:sz w:val="22"/>
          <w:szCs w:val="22"/>
          <w:lang w:val="en-GB"/>
        </w:rPr>
        <w:t xml:space="preserve"> </w:t>
      </w:r>
      <w:r w:rsidRPr="00681D05">
        <w:rPr>
          <w:rFonts w:cs="Arial"/>
          <w:sz w:val="22"/>
          <w:szCs w:val="22"/>
          <w:lang w:val="en-GB"/>
        </w:rPr>
        <w:t xml:space="preserve">for the submission of </w:t>
      </w:r>
      <w:r w:rsidR="00C7682C" w:rsidRPr="00681D05">
        <w:rPr>
          <w:rFonts w:cs="Arial"/>
          <w:sz w:val="22"/>
          <w:szCs w:val="22"/>
          <w:lang w:val="en-GB"/>
        </w:rPr>
        <w:t xml:space="preserve">its next report </w:t>
      </w:r>
      <w:r w:rsidRPr="00681D05">
        <w:rPr>
          <w:rFonts w:cs="Arial"/>
          <w:sz w:val="22"/>
          <w:szCs w:val="22"/>
          <w:lang w:val="en-GB"/>
        </w:rPr>
        <w:t>on the status of th</w:t>
      </w:r>
      <w:r w:rsidR="006E0666">
        <w:rPr>
          <w:rFonts w:cs="Arial"/>
          <w:sz w:val="22"/>
          <w:szCs w:val="22"/>
          <w:lang w:val="en-GB"/>
        </w:rPr>
        <w:t>e</w:t>
      </w:r>
      <w:r w:rsidRPr="00681D05">
        <w:rPr>
          <w:rFonts w:cs="Arial"/>
          <w:sz w:val="22"/>
          <w:szCs w:val="22"/>
          <w:lang w:val="en-GB"/>
        </w:rPr>
        <w:t xml:space="preserve"> element.</w:t>
      </w:r>
    </w:p>
    <w:sectPr w:rsidR="00D8250F" w:rsidRPr="00681D05" w:rsidSect="00655736">
      <w:headerReference w:type="even" r:id="rId29"/>
      <w:headerReference w:type="default" r:id="rId30"/>
      <w:headerReference w:type="first" r:id="rId3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ECA72" w14:textId="77777777" w:rsidR="00A308B9" w:rsidRDefault="00A308B9" w:rsidP="00655736">
      <w:r>
        <w:separator/>
      </w:r>
    </w:p>
  </w:endnote>
  <w:endnote w:type="continuationSeparator" w:id="0">
    <w:p w14:paraId="2CC41424" w14:textId="77777777" w:rsidR="00A308B9" w:rsidRDefault="00A308B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3B9E3" w14:textId="77777777" w:rsidR="00A308B9" w:rsidRDefault="00A308B9" w:rsidP="00655736">
      <w:r>
        <w:separator/>
      </w:r>
    </w:p>
  </w:footnote>
  <w:footnote w:type="continuationSeparator" w:id="0">
    <w:p w14:paraId="4CC428B1" w14:textId="77777777" w:rsidR="00A308B9" w:rsidRDefault="00A308B9"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16224" w14:textId="77777777" w:rsidR="00A308B9" w:rsidRPr="00C23A97" w:rsidRDefault="00A308B9">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6.b</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173282">
      <w:rPr>
        <w:rStyle w:val="PageNumber"/>
        <w:rFonts w:ascii="Arial" w:hAnsi="Arial" w:cs="Arial"/>
        <w:noProof/>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D2F62" w14:textId="77777777" w:rsidR="00A308B9" w:rsidRPr="0063300C" w:rsidRDefault="00A308B9"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6.b</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173282">
      <w:rPr>
        <w:rStyle w:val="PageNumber"/>
        <w:rFonts w:ascii="Arial" w:hAnsi="Arial" w:cs="Arial"/>
        <w:noProof/>
        <w:sz w:val="20"/>
        <w:szCs w:val="20"/>
        <w:lang w:val="en-GB"/>
      </w:rPr>
      <w:t>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7A3B" w14:textId="77777777" w:rsidR="00A308B9" w:rsidRPr="00F32C23" w:rsidRDefault="00A308B9">
    <w:pPr>
      <w:pStyle w:val="Header"/>
      <w:rPr>
        <w:lang w:val="en-GB"/>
      </w:rPr>
    </w:pPr>
    <w:r>
      <w:rPr>
        <w:noProof/>
      </w:rPr>
      <w:drawing>
        <wp:anchor distT="0" distB="0" distL="114300" distR="114300" simplePos="0" relativeHeight="251657728" behindDoc="0" locked="0" layoutInCell="1" allowOverlap="1" wp14:anchorId="4D62B4C2" wp14:editId="5EBD55DC">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9F509" w14:textId="77777777" w:rsidR="00A308B9" w:rsidRPr="00F30DC6" w:rsidRDefault="00A308B9" w:rsidP="00655736">
    <w:pPr>
      <w:pStyle w:val="Header"/>
      <w:spacing w:after="520"/>
      <w:jc w:val="right"/>
      <w:rPr>
        <w:rFonts w:ascii="Arial" w:hAnsi="Arial" w:cs="Arial"/>
        <w:b/>
        <w:sz w:val="44"/>
        <w:szCs w:val="44"/>
        <w:lang w:val="en-GB"/>
      </w:rPr>
    </w:pPr>
    <w:r>
      <w:rPr>
        <w:rFonts w:ascii="Arial" w:hAnsi="Arial" w:cs="Arial"/>
        <w:b/>
        <w:sz w:val="44"/>
        <w:szCs w:val="44"/>
        <w:lang w:val="en-GB"/>
      </w:rPr>
      <w:t>10</w:t>
    </w:r>
    <w:r w:rsidRPr="00F30DC6">
      <w:rPr>
        <w:rFonts w:ascii="Arial" w:hAnsi="Arial" w:cs="Arial"/>
        <w:b/>
        <w:sz w:val="44"/>
        <w:szCs w:val="44"/>
        <w:lang w:val="en-GB"/>
      </w:rPr>
      <w:t xml:space="preserve"> COM</w:t>
    </w:r>
  </w:p>
  <w:p w14:paraId="1B4A3EAD" w14:textId="77777777" w:rsidR="00A308B9" w:rsidRPr="009D5428" w:rsidRDefault="00A308B9" w:rsidP="00655736">
    <w:pPr>
      <w:jc w:val="right"/>
      <w:rPr>
        <w:rFonts w:ascii="Arial" w:hAnsi="Arial" w:cs="Arial"/>
        <w:b/>
        <w:sz w:val="22"/>
        <w:szCs w:val="22"/>
        <w:lang w:val="en-GB"/>
      </w:rPr>
    </w:pPr>
    <w:r>
      <w:rPr>
        <w:rFonts w:ascii="Arial" w:hAnsi="Arial" w:cs="Arial"/>
        <w:b/>
        <w:sz w:val="22"/>
        <w:szCs w:val="22"/>
        <w:lang w:val="en-GB"/>
      </w:rPr>
      <w:t>ITH/15</w:t>
    </w:r>
    <w:r w:rsidRPr="009D5428">
      <w:rPr>
        <w:rFonts w:ascii="Arial" w:hAnsi="Arial" w:cs="Arial"/>
        <w:b/>
        <w:sz w:val="22"/>
        <w:szCs w:val="22"/>
        <w:lang w:val="en-GB"/>
      </w:rPr>
      <w:t>/</w:t>
    </w:r>
    <w:r>
      <w:rPr>
        <w:rFonts w:ascii="Arial" w:hAnsi="Arial" w:cs="Arial"/>
        <w:b/>
        <w:sz w:val="22"/>
        <w:szCs w:val="22"/>
        <w:lang w:val="en-GB"/>
      </w:rPr>
      <w:t>10</w:t>
    </w:r>
    <w:r w:rsidRPr="009D5428">
      <w:rPr>
        <w:rFonts w:ascii="Arial" w:hAnsi="Arial" w:cs="Arial"/>
        <w:b/>
        <w:sz w:val="22"/>
        <w:szCs w:val="22"/>
        <w:lang w:val="en-GB"/>
      </w:rPr>
      <w:t>.COM/</w:t>
    </w:r>
    <w:r>
      <w:rPr>
        <w:rFonts w:ascii="Arial" w:hAnsi="Arial" w:cs="Arial"/>
        <w:b/>
        <w:sz w:val="22"/>
        <w:szCs w:val="22"/>
        <w:lang w:val="en-GB"/>
      </w:rPr>
      <w:t>6.b</w:t>
    </w:r>
  </w:p>
  <w:p w14:paraId="0A53359D" w14:textId="08FF97ED" w:rsidR="00A308B9" w:rsidRPr="00F32C23" w:rsidRDefault="00A308B9" w:rsidP="00655736">
    <w:pPr>
      <w:jc w:val="right"/>
      <w:rPr>
        <w:rFonts w:ascii="Arial" w:hAnsi="Arial" w:cs="Arial"/>
        <w:b/>
        <w:sz w:val="22"/>
        <w:szCs w:val="22"/>
        <w:lang w:val="en-GB"/>
      </w:rPr>
    </w:pPr>
    <w:r w:rsidRPr="009D5428">
      <w:rPr>
        <w:rFonts w:ascii="Arial" w:hAnsi="Arial" w:cs="Arial"/>
        <w:b/>
        <w:sz w:val="22"/>
        <w:szCs w:val="22"/>
        <w:lang w:val="en-GB"/>
      </w:rPr>
      <w:t xml:space="preserve">Paris, </w:t>
    </w:r>
    <w:r w:rsidR="00173282">
      <w:rPr>
        <w:rFonts w:ascii="Arial" w:hAnsi="Arial" w:cs="Arial"/>
        <w:b/>
        <w:sz w:val="22"/>
        <w:szCs w:val="22"/>
        <w:lang w:val="en-GB"/>
      </w:rPr>
      <w:t>26 October</w:t>
    </w:r>
    <w:r w:rsidRPr="00F32C23">
      <w:rPr>
        <w:rFonts w:ascii="Arial" w:hAnsi="Arial" w:cs="Arial"/>
        <w:b/>
        <w:sz w:val="22"/>
        <w:szCs w:val="22"/>
        <w:lang w:val="en-GB"/>
      </w:rPr>
      <w:t xml:space="preserve"> </w:t>
    </w:r>
    <w:r>
      <w:rPr>
        <w:rFonts w:ascii="Arial" w:hAnsi="Arial" w:cs="Arial"/>
        <w:b/>
        <w:sz w:val="22"/>
        <w:szCs w:val="22"/>
        <w:lang w:val="en-GB"/>
      </w:rPr>
      <w:t>2015</w:t>
    </w:r>
  </w:p>
  <w:p w14:paraId="353C7571" w14:textId="77777777" w:rsidR="00A308B9" w:rsidRPr="00F32C23" w:rsidRDefault="00A308B9"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6B724CBC" w14:textId="77777777" w:rsidR="00A308B9" w:rsidRPr="00F32C23" w:rsidRDefault="00A308B9">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5F07BFE"/>
    <w:multiLevelType w:val="hybridMultilevel"/>
    <w:tmpl w:val="12BAD288"/>
    <w:lvl w:ilvl="0" w:tplc="38825072">
      <w:start w:val="1"/>
      <w:numFmt w:val="decimal"/>
      <w:pStyle w:val="COMPara"/>
      <w:lvlText w:val="%1."/>
      <w:lvlJc w:val="left"/>
      <w:pPr>
        <w:ind w:left="720" w:hanging="360"/>
      </w:pPr>
      <w:rPr>
        <w:rFonts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CE7015"/>
    <w:multiLevelType w:val="hybridMultilevel"/>
    <w:tmpl w:val="2CB8E03C"/>
    <w:lvl w:ilvl="0" w:tplc="F438B4EC">
      <w:start w:val="1"/>
      <w:numFmt w:val="decimal"/>
      <w:pStyle w:val="Para"/>
      <w:lvlText w:val="%1."/>
      <w:lvlJc w:val="left"/>
      <w:pPr>
        <w:ind w:left="502" w:hanging="360"/>
      </w:pPr>
      <w:rPr>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44FF280D"/>
    <w:multiLevelType w:val="hybridMultilevel"/>
    <w:tmpl w:val="681EC4D0"/>
    <w:lvl w:ilvl="0" w:tplc="2E84F4F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nsid w:val="5ED01A0A"/>
    <w:multiLevelType w:val="hybridMultilevel"/>
    <w:tmpl w:val="460478BC"/>
    <w:lvl w:ilvl="0" w:tplc="C81ED8EA">
      <w:start w:val="1"/>
      <w:numFmt w:val="upperLetter"/>
      <w:lvlText w:val="%1."/>
      <w:lvlJc w:val="left"/>
      <w:pPr>
        <w:ind w:left="930" w:hanging="570"/>
      </w:pPr>
      <w:rPr>
        <w:rFonts w:hint="default"/>
      </w:rPr>
    </w:lvl>
    <w:lvl w:ilvl="1" w:tplc="D9D41BE4">
      <w:start w:val="1"/>
      <w:numFmt w:val="decimal"/>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4"/>
  </w:num>
  <w:num w:numId="5">
    <w:abstractNumId w:val="13"/>
  </w:num>
  <w:num w:numId="6">
    <w:abstractNumId w:val="0"/>
  </w:num>
  <w:num w:numId="7">
    <w:abstractNumId w:val="2"/>
  </w:num>
  <w:num w:numId="8">
    <w:abstractNumId w:val="9"/>
  </w:num>
  <w:num w:numId="9">
    <w:abstractNumId w:val="3"/>
  </w:num>
  <w:num w:numId="10">
    <w:abstractNumId w:val="5"/>
  </w:num>
  <w:num w:numId="11">
    <w:abstractNumId w:val="8"/>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lvlOverride w:ilvl="0">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num>
  <w:num w:numId="19">
    <w:abstractNumId w:val="7"/>
    <w:lvlOverride w:ilvl="0">
      <w:startOverride w:val="1"/>
    </w:lvlOverride>
  </w:num>
  <w:num w:numId="20">
    <w:abstractNumId w:val="3"/>
  </w:num>
  <w:num w:numId="21">
    <w:abstractNumId w:val="1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num>
  <w:num w:numId="31">
    <w:abstractNumId w:val="3"/>
    <w:lvlOverride w:ilvl="0">
      <w:startOverride w:val="1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_duvelle">
    <w15:presenceInfo w15:providerId="None" w15:userId="c_duv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2D"/>
    <w:rsid w:val="0000240B"/>
    <w:rsid w:val="000048ED"/>
    <w:rsid w:val="00005650"/>
    <w:rsid w:val="0002354B"/>
    <w:rsid w:val="000362AE"/>
    <w:rsid w:val="0004175D"/>
    <w:rsid w:val="00041A66"/>
    <w:rsid w:val="0005176E"/>
    <w:rsid w:val="00056035"/>
    <w:rsid w:val="00063682"/>
    <w:rsid w:val="00073474"/>
    <w:rsid w:val="000765F7"/>
    <w:rsid w:val="00077AB7"/>
    <w:rsid w:val="00081CD8"/>
    <w:rsid w:val="00095A51"/>
    <w:rsid w:val="000A7F0E"/>
    <w:rsid w:val="000B1C8F"/>
    <w:rsid w:val="000C0D61"/>
    <w:rsid w:val="000F2BBD"/>
    <w:rsid w:val="000F3A3F"/>
    <w:rsid w:val="000F74C8"/>
    <w:rsid w:val="00102557"/>
    <w:rsid w:val="0010626B"/>
    <w:rsid w:val="00141D21"/>
    <w:rsid w:val="001433C6"/>
    <w:rsid w:val="00144876"/>
    <w:rsid w:val="001630E8"/>
    <w:rsid w:val="00164D56"/>
    <w:rsid w:val="00167B10"/>
    <w:rsid w:val="00170BBE"/>
    <w:rsid w:val="00173282"/>
    <w:rsid w:val="0017402F"/>
    <w:rsid w:val="00185524"/>
    <w:rsid w:val="00196C1B"/>
    <w:rsid w:val="001B0F73"/>
    <w:rsid w:val="001C10F3"/>
    <w:rsid w:val="001C2DB7"/>
    <w:rsid w:val="001D5C04"/>
    <w:rsid w:val="001E424E"/>
    <w:rsid w:val="001E6A31"/>
    <w:rsid w:val="002039BC"/>
    <w:rsid w:val="00210DCC"/>
    <w:rsid w:val="00221672"/>
    <w:rsid w:val="00222A2D"/>
    <w:rsid w:val="00223029"/>
    <w:rsid w:val="002260B1"/>
    <w:rsid w:val="00234745"/>
    <w:rsid w:val="002407AF"/>
    <w:rsid w:val="00273B6A"/>
    <w:rsid w:val="0027466B"/>
    <w:rsid w:val="002838A5"/>
    <w:rsid w:val="00285BB4"/>
    <w:rsid w:val="002C09E3"/>
    <w:rsid w:val="002C0AA2"/>
    <w:rsid w:val="002F348A"/>
    <w:rsid w:val="0030350A"/>
    <w:rsid w:val="00344B58"/>
    <w:rsid w:val="00345CB4"/>
    <w:rsid w:val="00375264"/>
    <w:rsid w:val="00375D42"/>
    <w:rsid w:val="003B19EB"/>
    <w:rsid w:val="003C3D79"/>
    <w:rsid w:val="003D069C"/>
    <w:rsid w:val="003D7646"/>
    <w:rsid w:val="003E01FB"/>
    <w:rsid w:val="003E6F09"/>
    <w:rsid w:val="003E7655"/>
    <w:rsid w:val="003F113A"/>
    <w:rsid w:val="003F3E63"/>
    <w:rsid w:val="00407480"/>
    <w:rsid w:val="00414643"/>
    <w:rsid w:val="00422E10"/>
    <w:rsid w:val="004343A8"/>
    <w:rsid w:val="004406DA"/>
    <w:rsid w:val="004421E5"/>
    <w:rsid w:val="00452284"/>
    <w:rsid w:val="00454B8E"/>
    <w:rsid w:val="00457C8E"/>
    <w:rsid w:val="004663E1"/>
    <w:rsid w:val="00482679"/>
    <w:rsid w:val="004856CA"/>
    <w:rsid w:val="00487E67"/>
    <w:rsid w:val="0049705E"/>
    <w:rsid w:val="004A34A0"/>
    <w:rsid w:val="004D07AD"/>
    <w:rsid w:val="004F1B22"/>
    <w:rsid w:val="005008A8"/>
    <w:rsid w:val="00517C66"/>
    <w:rsid w:val="005204FE"/>
    <w:rsid w:val="00526B7B"/>
    <w:rsid w:val="005277C7"/>
    <w:rsid w:val="005308CE"/>
    <w:rsid w:val="00542F75"/>
    <w:rsid w:val="00554F13"/>
    <w:rsid w:val="0057439C"/>
    <w:rsid w:val="005947B1"/>
    <w:rsid w:val="005957C0"/>
    <w:rsid w:val="005B0127"/>
    <w:rsid w:val="005B7A35"/>
    <w:rsid w:val="005C2E3E"/>
    <w:rsid w:val="005C4B73"/>
    <w:rsid w:val="005E1D2B"/>
    <w:rsid w:val="005E2530"/>
    <w:rsid w:val="005E7074"/>
    <w:rsid w:val="005F2BAF"/>
    <w:rsid w:val="005F632D"/>
    <w:rsid w:val="00600D93"/>
    <w:rsid w:val="006033F4"/>
    <w:rsid w:val="00604F07"/>
    <w:rsid w:val="0061480B"/>
    <w:rsid w:val="00624AF2"/>
    <w:rsid w:val="0063081C"/>
    <w:rsid w:val="0063300C"/>
    <w:rsid w:val="00640688"/>
    <w:rsid w:val="00655736"/>
    <w:rsid w:val="00663B8D"/>
    <w:rsid w:val="006817FC"/>
    <w:rsid w:val="00681D05"/>
    <w:rsid w:val="00691933"/>
    <w:rsid w:val="00696C8D"/>
    <w:rsid w:val="006A2AC2"/>
    <w:rsid w:val="006A3617"/>
    <w:rsid w:val="006A6678"/>
    <w:rsid w:val="006E0666"/>
    <w:rsid w:val="006E46E4"/>
    <w:rsid w:val="00710AB0"/>
    <w:rsid w:val="00712E75"/>
    <w:rsid w:val="00717DA5"/>
    <w:rsid w:val="00744484"/>
    <w:rsid w:val="00747566"/>
    <w:rsid w:val="00753A9F"/>
    <w:rsid w:val="00773188"/>
    <w:rsid w:val="007808ED"/>
    <w:rsid w:val="00783782"/>
    <w:rsid w:val="00784B8C"/>
    <w:rsid w:val="007879E1"/>
    <w:rsid w:val="007A68CB"/>
    <w:rsid w:val="007C6806"/>
    <w:rsid w:val="007D2124"/>
    <w:rsid w:val="007D4E27"/>
    <w:rsid w:val="007E328E"/>
    <w:rsid w:val="007F5F9A"/>
    <w:rsid w:val="007F6D6D"/>
    <w:rsid w:val="00823A11"/>
    <w:rsid w:val="00832823"/>
    <w:rsid w:val="00835B45"/>
    <w:rsid w:val="00853C46"/>
    <w:rsid w:val="0085405E"/>
    <w:rsid w:val="0085414A"/>
    <w:rsid w:val="0086269D"/>
    <w:rsid w:val="0086543A"/>
    <w:rsid w:val="008724E5"/>
    <w:rsid w:val="00877CE2"/>
    <w:rsid w:val="00884A9D"/>
    <w:rsid w:val="0088512B"/>
    <w:rsid w:val="00892216"/>
    <w:rsid w:val="00897FF6"/>
    <w:rsid w:val="008A2B2D"/>
    <w:rsid w:val="008A4E1E"/>
    <w:rsid w:val="008A6BA4"/>
    <w:rsid w:val="008B1740"/>
    <w:rsid w:val="008B269D"/>
    <w:rsid w:val="008C296C"/>
    <w:rsid w:val="008C3A42"/>
    <w:rsid w:val="008D4305"/>
    <w:rsid w:val="008D7F2D"/>
    <w:rsid w:val="008E1A85"/>
    <w:rsid w:val="009163A7"/>
    <w:rsid w:val="009229BA"/>
    <w:rsid w:val="00946D0B"/>
    <w:rsid w:val="00953E01"/>
    <w:rsid w:val="00955877"/>
    <w:rsid w:val="00971FFB"/>
    <w:rsid w:val="00986156"/>
    <w:rsid w:val="009A18CD"/>
    <w:rsid w:val="009B378B"/>
    <w:rsid w:val="009D5428"/>
    <w:rsid w:val="009E3761"/>
    <w:rsid w:val="009F121E"/>
    <w:rsid w:val="00A11104"/>
    <w:rsid w:val="00A12558"/>
    <w:rsid w:val="00A13903"/>
    <w:rsid w:val="00A14D17"/>
    <w:rsid w:val="00A308B9"/>
    <w:rsid w:val="00A341BE"/>
    <w:rsid w:val="00A34ED5"/>
    <w:rsid w:val="00A36606"/>
    <w:rsid w:val="00A45DBF"/>
    <w:rsid w:val="00A54F72"/>
    <w:rsid w:val="00A57AA1"/>
    <w:rsid w:val="00A61D3D"/>
    <w:rsid w:val="00A755A2"/>
    <w:rsid w:val="00A96FFF"/>
    <w:rsid w:val="00AA6660"/>
    <w:rsid w:val="00AB2C36"/>
    <w:rsid w:val="00AB2DDC"/>
    <w:rsid w:val="00AB3E5A"/>
    <w:rsid w:val="00AB6DDE"/>
    <w:rsid w:val="00AB70B6"/>
    <w:rsid w:val="00AC608F"/>
    <w:rsid w:val="00AD1A86"/>
    <w:rsid w:val="00AE103E"/>
    <w:rsid w:val="00AE5E1F"/>
    <w:rsid w:val="00AF0A07"/>
    <w:rsid w:val="00AF4AEC"/>
    <w:rsid w:val="00AF625E"/>
    <w:rsid w:val="00B2221D"/>
    <w:rsid w:val="00B253CF"/>
    <w:rsid w:val="00B87D16"/>
    <w:rsid w:val="00BA2CD7"/>
    <w:rsid w:val="00BB04AF"/>
    <w:rsid w:val="00BB1C2E"/>
    <w:rsid w:val="00BC0D5D"/>
    <w:rsid w:val="00BD1711"/>
    <w:rsid w:val="00BD52C9"/>
    <w:rsid w:val="00BD5C45"/>
    <w:rsid w:val="00BE6354"/>
    <w:rsid w:val="00C07955"/>
    <w:rsid w:val="00C138D1"/>
    <w:rsid w:val="00C173C7"/>
    <w:rsid w:val="00C23A97"/>
    <w:rsid w:val="00C27139"/>
    <w:rsid w:val="00C51CB6"/>
    <w:rsid w:val="00C64855"/>
    <w:rsid w:val="00C70EA7"/>
    <w:rsid w:val="00C7516E"/>
    <w:rsid w:val="00C75770"/>
    <w:rsid w:val="00C7682C"/>
    <w:rsid w:val="00CA281B"/>
    <w:rsid w:val="00CA56BB"/>
    <w:rsid w:val="00CC4852"/>
    <w:rsid w:val="00CC6AF2"/>
    <w:rsid w:val="00CF64B5"/>
    <w:rsid w:val="00D00B2B"/>
    <w:rsid w:val="00D24877"/>
    <w:rsid w:val="00D40083"/>
    <w:rsid w:val="00D8250F"/>
    <w:rsid w:val="00D829C7"/>
    <w:rsid w:val="00D95C4C"/>
    <w:rsid w:val="00DA36ED"/>
    <w:rsid w:val="00DB0996"/>
    <w:rsid w:val="00DB6BB7"/>
    <w:rsid w:val="00DE34F1"/>
    <w:rsid w:val="00DE3C6D"/>
    <w:rsid w:val="00DE6160"/>
    <w:rsid w:val="00DF4942"/>
    <w:rsid w:val="00E11B18"/>
    <w:rsid w:val="00E42B50"/>
    <w:rsid w:val="00E453F9"/>
    <w:rsid w:val="00E627B1"/>
    <w:rsid w:val="00E70169"/>
    <w:rsid w:val="00E82378"/>
    <w:rsid w:val="00E82C1C"/>
    <w:rsid w:val="00E9376C"/>
    <w:rsid w:val="00EA1C42"/>
    <w:rsid w:val="00EA335E"/>
    <w:rsid w:val="00EA528C"/>
    <w:rsid w:val="00EA580C"/>
    <w:rsid w:val="00EC6F8D"/>
    <w:rsid w:val="00EE0955"/>
    <w:rsid w:val="00EE33C9"/>
    <w:rsid w:val="00EE5E63"/>
    <w:rsid w:val="00EE6177"/>
    <w:rsid w:val="00EF34E2"/>
    <w:rsid w:val="00F019DD"/>
    <w:rsid w:val="00F019E9"/>
    <w:rsid w:val="00F30DC6"/>
    <w:rsid w:val="00F32C23"/>
    <w:rsid w:val="00F53DE9"/>
    <w:rsid w:val="00F576CB"/>
    <w:rsid w:val="00F7035D"/>
    <w:rsid w:val="00F71A02"/>
    <w:rsid w:val="00FA0D63"/>
    <w:rsid w:val="00FD1226"/>
    <w:rsid w:val="00FE5FBC"/>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E8E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877CE2"/>
    <w:rPr>
      <w:color w:val="0000FF"/>
      <w:u w:val="single"/>
    </w:rPr>
  </w:style>
  <w:style w:type="character" w:customStyle="1" w:styleId="ParaChar">
    <w:name w:val="Para Char"/>
    <w:link w:val="Para"/>
    <w:locked/>
    <w:rsid w:val="00877CE2"/>
    <w:rPr>
      <w:rFonts w:ascii="Arial" w:hAnsi="Arial"/>
    </w:rPr>
  </w:style>
  <w:style w:type="paragraph" w:customStyle="1" w:styleId="Para">
    <w:name w:val="Para"/>
    <w:basedOn w:val="Normal"/>
    <w:link w:val="ParaChar"/>
    <w:qFormat/>
    <w:rsid w:val="00877CE2"/>
    <w:pPr>
      <w:numPr>
        <w:numId w:val="13"/>
      </w:numPr>
      <w:spacing w:after="120" w:line="240" w:lineRule="exact"/>
      <w:jc w:val="both"/>
    </w:pPr>
    <w:rPr>
      <w:rFonts w:ascii="Arial" w:eastAsia="SimSun" w:hAnsi="Arial"/>
      <w:sz w:val="20"/>
      <w:szCs w:val="20"/>
    </w:rPr>
  </w:style>
  <w:style w:type="paragraph" w:customStyle="1" w:styleId="NoSpacing1">
    <w:name w:val="No Spacing1"/>
    <w:uiPriority w:val="99"/>
    <w:qFormat/>
    <w:rsid w:val="00877CE2"/>
    <w:rPr>
      <w:sz w:val="22"/>
      <w:szCs w:val="22"/>
      <w:lang w:eastAsia="zh-CN"/>
    </w:rPr>
  </w:style>
  <w:style w:type="character" w:customStyle="1" w:styleId="hps">
    <w:name w:val="hps"/>
    <w:rsid w:val="00877CE2"/>
  </w:style>
  <w:style w:type="paragraph" w:customStyle="1" w:styleId="U1">
    <w:name w:val="U.1"/>
    <w:basedOn w:val="Normal"/>
    <w:qFormat/>
    <w:rsid w:val="00877CE2"/>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character" w:styleId="FollowedHyperlink">
    <w:name w:val="FollowedHyperlink"/>
    <w:basedOn w:val="DefaultParagraphFont"/>
    <w:uiPriority w:val="99"/>
    <w:semiHidden/>
    <w:unhideWhenUsed/>
    <w:rsid w:val="007808ED"/>
    <w:rPr>
      <w:color w:val="800080" w:themeColor="followedHyperlink"/>
      <w:u w:val="single"/>
    </w:rPr>
  </w:style>
  <w:style w:type="paragraph" w:styleId="ListParagraph">
    <w:name w:val="List Paragraph"/>
    <w:basedOn w:val="Normal"/>
    <w:uiPriority w:val="34"/>
    <w:qFormat/>
    <w:rsid w:val="004406DA"/>
    <w:pPr>
      <w:widowControl w:val="0"/>
      <w:suppressAutoHyphens/>
      <w:spacing w:line="100" w:lineRule="atLeast"/>
      <w:ind w:left="720"/>
    </w:pPr>
    <w:rPr>
      <w:rFonts w:eastAsia="SimSun" w:cs="Tahoma"/>
      <w:kern w:val="1"/>
      <w:lang w:val="en-GB" w:eastAsia="ar-SA"/>
    </w:rPr>
  </w:style>
  <w:style w:type="character" w:styleId="CommentReference">
    <w:name w:val="annotation reference"/>
    <w:basedOn w:val="DefaultParagraphFont"/>
    <w:uiPriority w:val="99"/>
    <w:semiHidden/>
    <w:unhideWhenUsed/>
    <w:rsid w:val="003E6F09"/>
    <w:rPr>
      <w:sz w:val="16"/>
      <w:szCs w:val="16"/>
    </w:rPr>
  </w:style>
  <w:style w:type="paragraph" w:styleId="CommentText">
    <w:name w:val="annotation text"/>
    <w:basedOn w:val="Normal"/>
    <w:link w:val="CommentTextChar"/>
    <w:uiPriority w:val="99"/>
    <w:semiHidden/>
    <w:unhideWhenUsed/>
    <w:rsid w:val="003E6F09"/>
    <w:rPr>
      <w:sz w:val="20"/>
      <w:szCs w:val="20"/>
    </w:rPr>
  </w:style>
  <w:style w:type="character" w:customStyle="1" w:styleId="CommentTextChar">
    <w:name w:val="Comment Text Char"/>
    <w:basedOn w:val="DefaultParagraphFont"/>
    <w:link w:val="CommentText"/>
    <w:uiPriority w:val="99"/>
    <w:semiHidden/>
    <w:rsid w:val="003E6F0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E6F09"/>
    <w:rPr>
      <w:b/>
      <w:bCs/>
    </w:rPr>
  </w:style>
  <w:style w:type="character" w:customStyle="1" w:styleId="CommentSubjectChar">
    <w:name w:val="Comment Subject Char"/>
    <w:basedOn w:val="CommentTextChar"/>
    <w:link w:val="CommentSubject"/>
    <w:uiPriority w:val="99"/>
    <w:semiHidden/>
    <w:rsid w:val="003E6F09"/>
    <w:rPr>
      <w:rFonts w:ascii="Times New Roman" w:eastAsia="Times New Roman" w:hAnsi="Times New Roman"/>
      <w:b/>
      <w:bCs/>
    </w:rPr>
  </w:style>
  <w:style w:type="paragraph" w:styleId="Revision">
    <w:name w:val="Revision"/>
    <w:hidden/>
    <w:uiPriority w:val="99"/>
    <w:semiHidden/>
    <w:rsid w:val="00BA2CD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877CE2"/>
    <w:rPr>
      <w:color w:val="0000FF"/>
      <w:u w:val="single"/>
    </w:rPr>
  </w:style>
  <w:style w:type="character" w:customStyle="1" w:styleId="ParaChar">
    <w:name w:val="Para Char"/>
    <w:link w:val="Para"/>
    <w:locked/>
    <w:rsid w:val="00877CE2"/>
    <w:rPr>
      <w:rFonts w:ascii="Arial" w:hAnsi="Arial"/>
    </w:rPr>
  </w:style>
  <w:style w:type="paragraph" w:customStyle="1" w:styleId="Para">
    <w:name w:val="Para"/>
    <w:basedOn w:val="Normal"/>
    <w:link w:val="ParaChar"/>
    <w:qFormat/>
    <w:rsid w:val="00877CE2"/>
    <w:pPr>
      <w:numPr>
        <w:numId w:val="13"/>
      </w:numPr>
      <w:spacing w:after="120" w:line="240" w:lineRule="exact"/>
      <w:jc w:val="both"/>
    </w:pPr>
    <w:rPr>
      <w:rFonts w:ascii="Arial" w:eastAsia="SimSun" w:hAnsi="Arial"/>
      <w:sz w:val="20"/>
      <w:szCs w:val="20"/>
    </w:rPr>
  </w:style>
  <w:style w:type="paragraph" w:customStyle="1" w:styleId="NoSpacing1">
    <w:name w:val="No Spacing1"/>
    <w:uiPriority w:val="99"/>
    <w:qFormat/>
    <w:rsid w:val="00877CE2"/>
    <w:rPr>
      <w:sz w:val="22"/>
      <w:szCs w:val="22"/>
      <w:lang w:eastAsia="zh-CN"/>
    </w:rPr>
  </w:style>
  <w:style w:type="character" w:customStyle="1" w:styleId="hps">
    <w:name w:val="hps"/>
    <w:rsid w:val="00877CE2"/>
  </w:style>
  <w:style w:type="paragraph" w:customStyle="1" w:styleId="U1">
    <w:name w:val="U.1"/>
    <w:basedOn w:val="Normal"/>
    <w:qFormat/>
    <w:rsid w:val="00877CE2"/>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character" w:styleId="FollowedHyperlink">
    <w:name w:val="FollowedHyperlink"/>
    <w:basedOn w:val="DefaultParagraphFont"/>
    <w:uiPriority w:val="99"/>
    <w:semiHidden/>
    <w:unhideWhenUsed/>
    <w:rsid w:val="007808ED"/>
    <w:rPr>
      <w:color w:val="800080" w:themeColor="followedHyperlink"/>
      <w:u w:val="single"/>
    </w:rPr>
  </w:style>
  <w:style w:type="paragraph" w:styleId="ListParagraph">
    <w:name w:val="List Paragraph"/>
    <w:basedOn w:val="Normal"/>
    <w:uiPriority w:val="34"/>
    <w:qFormat/>
    <w:rsid w:val="004406DA"/>
    <w:pPr>
      <w:widowControl w:val="0"/>
      <w:suppressAutoHyphens/>
      <w:spacing w:line="100" w:lineRule="atLeast"/>
      <w:ind w:left="720"/>
    </w:pPr>
    <w:rPr>
      <w:rFonts w:eastAsia="SimSun" w:cs="Tahoma"/>
      <w:kern w:val="1"/>
      <w:lang w:val="en-GB" w:eastAsia="ar-SA"/>
    </w:rPr>
  </w:style>
  <w:style w:type="character" w:styleId="CommentReference">
    <w:name w:val="annotation reference"/>
    <w:basedOn w:val="DefaultParagraphFont"/>
    <w:uiPriority w:val="99"/>
    <w:semiHidden/>
    <w:unhideWhenUsed/>
    <w:rsid w:val="003E6F09"/>
    <w:rPr>
      <w:sz w:val="16"/>
      <w:szCs w:val="16"/>
    </w:rPr>
  </w:style>
  <w:style w:type="paragraph" w:styleId="CommentText">
    <w:name w:val="annotation text"/>
    <w:basedOn w:val="Normal"/>
    <w:link w:val="CommentTextChar"/>
    <w:uiPriority w:val="99"/>
    <w:semiHidden/>
    <w:unhideWhenUsed/>
    <w:rsid w:val="003E6F09"/>
    <w:rPr>
      <w:sz w:val="20"/>
      <w:szCs w:val="20"/>
    </w:rPr>
  </w:style>
  <w:style w:type="character" w:customStyle="1" w:styleId="CommentTextChar">
    <w:name w:val="Comment Text Char"/>
    <w:basedOn w:val="DefaultParagraphFont"/>
    <w:link w:val="CommentText"/>
    <w:uiPriority w:val="99"/>
    <w:semiHidden/>
    <w:rsid w:val="003E6F0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E6F09"/>
    <w:rPr>
      <w:b/>
      <w:bCs/>
    </w:rPr>
  </w:style>
  <w:style w:type="character" w:customStyle="1" w:styleId="CommentSubjectChar">
    <w:name w:val="Comment Subject Char"/>
    <w:basedOn w:val="CommentTextChar"/>
    <w:link w:val="CommentSubject"/>
    <w:uiPriority w:val="99"/>
    <w:semiHidden/>
    <w:rsid w:val="003E6F09"/>
    <w:rPr>
      <w:rFonts w:ascii="Times New Roman" w:eastAsia="Times New Roman" w:hAnsi="Times New Roman"/>
      <w:b/>
      <w:bCs/>
    </w:rPr>
  </w:style>
  <w:style w:type="paragraph" w:styleId="Revision">
    <w:name w:val="Revision"/>
    <w:hidden/>
    <w:uiPriority w:val="99"/>
    <w:semiHidden/>
    <w:rsid w:val="00BA2C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index.php?lg=en&amp;pg=00011&amp;USL=00315" TargetMode="External"/><Relationship Id="rId18" Type="http://schemas.openxmlformats.org/officeDocument/2006/relationships/hyperlink" Target="http://www.unesco.org/culture/ich/index.php?lg=en&amp;pg=00011&amp;USL=00904"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unesco.org/culture/ich/index.php?lg=en&amp;pg=00011&amp;USL=0086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nesco.org/culture/ich/index.php?lg=en&amp;pg=00011&amp;USL=00305" TargetMode="External"/><Relationship Id="rId17" Type="http://schemas.openxmlformats.org/officeDocument/2006/relationships/hyperlink" Target="http://www.unesco.org/culture/ich/index.php?lg=en&amp;pg=00011&amp;USL=00863" TargetMode="External"/><Relationship Id="rId25" Type="http://schemas.openxmlformats.org/officeDocument/2006/relationships/hyperlink" Target="http://www.unesco.org/culture/ich/index.php?lg=en&amp;pg=00407#to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sco.org/culture/ich/index.php?lg=en&amp;pg=00011&amp;USL=00322" TargetMode="External"/><Relationship Id="rId20" Type="http://schemas.openxmlformats.org/officeDocument/2006/relationships/hyperlink" Target="http://www.unesco.org/culture/ich/index.php?lg=en&amp;pg=00011&amp;USL=003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index.php?lg=en&amp;pg=00011&amp;USL=00303" TargetMode="External"/><Relationship Id="rId24" Type="http://schemas.openxmlformats.org/officeDocument/2006/relationships/hyperlink" Target="#Drafts_decisions"/><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index.php?lg=en&amp;pg=00011&amp;USL=00321" TargetMode="External"/><Relationship Id="rId23" Type="http://schemas.openxmlformats.org/officeDocument/2006/relationships/hyperlink" Target="http://www.unesco.org/culture/ich/doc/download.php?versionID=36127" TargetMode="External"/><Relationship Id="rId28" Type="http://schemas.openxmlformats.org/officeDocument/2006/relationships/hyperlink" Target="http://www.unesco.org/culture/ich/doc/download.php?versionID=36152" TargetMode="External"/><Relationship Id="rId10" Type="http://schemas.openxmlformats.org/officeDocument/2006/relationships/hyperlink" Target="http://www.unesco.org/culture/ich/index.php?lg=en&amp;pg=00011&amp;USL=00302" TargetMode="External"/><Relationship Id="rId19" Type="http://schemas.openxmlformats.org/officeDocument/2006/relationships/hyperlink" Target="http://www.unesco.org/culture/ich/index.php?lg=en&amp;pg=00769&amp;key=918"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unesco.org/culture/ich/index.php?lg=en&amp;pg=00011&amp;USL=00320" TargetMode="External"/><Relationship Id="rId14" Type="http://schemas.openxmlformats.org/officeDocument/2006/relationships/hyperlink" Target="http://www.unesco.org/culture/ich/index.php?lg=en&amp;pg=00011&amp;USL=00304" TargetMode="External"/><Relationship Id="rId22" Type="http://schemas.openxmlformats.org/officeDocument/2006/relationships/hyperlink" Target="http://www.unesco.org/culture/ich/index.php?lg=en&amp;pg=00011&amp;USL=00904" TargetMode="External"/><Relationship Id="rId27" Type="http://schemas.openxmlformats.org/officeDocument/2006/relationships/hyperlink" Target="http://www.unesco.org/culture/ich/doc/download.php?versionID=36329" TargetMode="External"/><Relationship Id="rId30" Type="http://schemas.openxmlformats.org/officeDocument/2006/relationships/header" Target="header2.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E3FC-F7FD-4710-BA83-EF0BA902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9</TotalTime>
  <Pages>9</Pages>
  <Words>4297</Words>
  <Characters>23639</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CLT/CEH/ITH-G.Scepi</dc:creator>
  <cp:lastModifiedBy>Elena Constantinou</cp:lastModifiedBy>
  <cp:revision>5</cp:revision>
  <cp:lastPrinted>2011-08-06T10:22:00Z</cp:lastPrinted>
  <dcterms:created xsi:type="dcterms:W3CDTF">2015-10-21T15:16:00Z</dcterms:created>
  <dcterms:modified xsi:type="dcterms:W3CDTF">2015-10-26T09:43:00Z</dcterms:modified>
</cp:coreProperties>
</file>