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C22" w:rsidRPr="00293C60" w:rsidRDefault="00D70C22" w:rsidP="00D70C22">
      <w:pPr>
        <w:spacing w:before="1440"/>
        <w:jc w:val="center"/>
        <w:rPr>
          <w:rFonts w:ascii="Arial" w:hAnsi="Arial" w:cs="Arial"/>
          <w:b/>
          <w:sz w:val="22"/>
          <w:szCs w:val="22"/>
        </w:rPr>
      </w:pPr>
      <w:r>
        <w:rPr>
          <w:rFonts w:ascii="Arial" w:hAnsi="Arial"/>
          <w:b/>
          <w:sz w:val="22"/>
        </w:rPr>
        <w:t>CONVENTION POUR LA SAUVEGARDE DU</w:t>
      </w:r>
      <w:r w:rsidR="00B17E75" w:rsidRPr="00A61C6E">
        <w:rPr>
          <w:rFonts w:ascii="Arial" w:hAnsi="Arial" w:cs="Arial"/>
          <w:b/>
          <w:sz w:val="22"/>
          <w:szCs w:val="22"/>
        </w:rPr>
        <w:br/>
      </w:r>
      <w:r>
        <w:rPr>
          <w:rFonts w:ascii="Arial" w:hAnsi="Arial"/>
          <w:b/>
          <w:sz w:val="22"/>
        </w:rPr>
        <w:t>PATRIMOINE CULTUREL IMMATÉRIEL</w:t>
      </w:r>
    </w:p>
    <w:p w:rsidR="00D70C22" w:rsidRPr="00293C60" w:rsidRDefault="00D70C22" w:rsidP="00D70C22">
      <w:pPr>
        <w:spacing w:before="1200"/>
        <w:jc w:val="center"/>
        <w:rPr>
          <w:rFonts w:ascii="Arial" w:hAnsi="Arial" w:cs="Arial"/>
          <w:b/>
          <w:sz w:val="22"/>
          <w:szCs w:val="22"/>
        </w:rPr>
      </w:pPr>
      <w:r>
        <w:rPr>
          <w:rFonts w:ascii="Arial" w:hAnsi="Arial"/>
          <w:b/>
          <w:sz w:val="22"/>
        </w:rPr>
        <w:t>COMITÉ INTERGOUVERNEMENTAL DE SAUVEGARDE</w:t>
      </w:r>
      <w:r w:rsidR="00B17E75" w:rsidRPr="00A61C6E">
        <w:rPr>
          <w:rFonts w:ascii="Arial" w:hAnsi="Arial" w:cs="Arial"/>
          <w:b/>
          <w:sz w:val="22"/>
          <w:szCs w:val="22"/>
        </w:rPr>
        <w:br/>
      </w:r>
      <w:r>
        <w:rPr>
          <w:rFonts w:ascii="Arial" w:hAnsi="Arial"/>
          <w:b/>
          <w:sz w:val="22"/>
        </w:rPr>
        <w:t>DU PATRIMOINE CULTUREL IMMATÉRIEL</w:t>
      </w:r>
    </w:p>
    <w:p w:rsidR="00D70C22" w:rsidRPr="00293C60" w:rsidRDefault="00D70C22" w:rsidP="00D70C22">
      <w:pPr>
        <w:spacing w:before="840"/>
        <w:jc w:val="center"/>
        <w:rPr>
          <w:rFonts w:ascii="Arial" w:hAnsi="Arial" w:cs="Arial"/>
          <w:b/>
          <w:sz w:val="22"/>
          <w:szCs w:val="22"/>
        </w:rPr>
      </w:pPr>
      <w:r>
        <w:rPr>
          <w:rFonts w:ascii="Arial" w:hAnsi="Arial"/>
          <w:b/>
          <w:sz w:val="22"/>
        </w:rPr>
        <w:t>Dixième session</w:t>
      </w:r>
    </w:p>
    <w:p w:rsidR="00D70C22" w:rsidRDefault="00D70C22" w:rsidP="00D70C22">
      <w:pPr>
        <w:jc w:val="center"/>
        <w:rPr>
          <w:rFonts w:ascii="Arial" w:hAnsi="Arial" w:cs="Arial"/>
          <w:b/>
          <w:sz w:val="22"/>
          <w:szCs w:val="22"/>
        </w:rPr>
      </w:pPr>
      <w:r>
        <w:rPr>
          <w:rFonts w:ascii="Arial" w:hAnsi="Arial"/>
          <w:b/>
          <w:sz w:val="22"/>
        </w:rPr>
        <w:t>Windhoek, Namibie</w:t>
      </w:r>
    </w:p>
    <w:p w:rsidR="00D70C22" w:rsidRPr="00293C60" w:rsidRDefault="00D70C22" w:rsidP="00D70C22">
      <w:pPr>
        <w:jc w:val="center"/>
        <w:rPr>
          <w:rFonts w:ascii="Arial" w:hAnsi="Arial" w:cs="Arial"/>
          <w:b/>
          <w:sz w:val="22"/>
          <w:szCs w:val="22"/>
        </w:rPr>
      </w:pPr>
      <w:r>
        <w:rPr>
          <w:rFonts w:ascii="Arial" w:hAnsi="Arial"/>
          <w:b/>
          <w:sz w:val="22"/>
        </w:rPr>
        <w:t>30 novembre – 4 décembre 2015</w:t>
      </w:r>
    </w:p>
    <w:p w:rsidR="00D70C22" w:rsidRPr="00293C60" w:rsidRDefault="00D70C22" w:rsidP="00D70C22">
      <w:pPr>
        <w:pStyle w:val="Sansinterligne2"/>
        <w:spacing w:before="1200"/>
        <w:jc w:val="center"/>
        <w:rPr>
          <w:rFonts w:ascii="Arial" w:hAnsi="Arial" w:cs="Arial"/>
          <w:b/>
          <w:sz w:val="22"/>
          <w:szCs w:val="22"/>
        </w:rPr>
      </w:pPr>
      <w:r>
        <w:rPr>
          <w:rFonts w:ascii="Arial" w:hAnsi="Arial"/>
          <w:b/>
          <w:sz w:val="22"/>
          <w:u w:val="single"/>
        </w:rPr>
        <w:t>Point 15.c de l</w:t>
      </w:r>
      <w:r w:rsidR="00E26E2A">
        <w:rPr>
          <w:rFonts w:ascii="Arial" w:hAnsi="Arial"/>
          <w:b/>
          <w:sz w:val="22"/>
          <w:u w:val="single"/>
        </w:rPr>
        <w:t>’</w:t>
      </w:r>
      <w:r>
        <w:rPr>
          <w:rFonts w:ascii="Arial" w:hAnsi="Arial"/>
          <w:b/>
          <w:sz w:val="22"/>
          <w:u w:val="single"/>
        </w:rPr>
        <w:t xml:space="preserve">ordre du jour </w:t>
      </w:r>
      <w:r w:rsidRPr="00A34D3E">
        <w:rPr>
          <w:rFonts w:ascii="Arial" w:hAnsi="Arial"/>
          <w:b/>
          <w:sz w:val="22"/>
          <w:u w:val="single"/>
        </w:rPr>
        <w:t>provisoire</w:t>
      </w:r>
      <w:r w:rsidRPr="00FD5402">
        <w:rPr>
          <w:u w:val="single"/>
        </w:rPr>
        <w:t> </w:t>
      </w:r>
      <w:r w:rsidRPr="008215A5">
        <w:rPr>
          <w:b/>
          <w:u w:val="single"/>
        </w:rPr>
        <w:t>:</w:t>
      </w:r>
    </w:p>
    <w:p w:rsidR="00D70C22" w:rsidRPr="00293C60" w:rsidRDefault="00D70C22" w:rsidP="00D70C22">
      <w:pPr>
        <w:pStyle w:val="Sansinterligne2"/>
        <w:spacing w:after="1200"/>
        <w:jc w:val="center"/>
        <w:rPr>
          <w:rFonts w:ascii="Arial" w:hAnsi="Arial" w:cs="Arial"/>
          <w:b/>
          <w:sz w:val="22"/>
          <w:szCs w:val="22"/>
        </w:rPr>
      </w:pPr>
      <w:r>
        <w:rPr>
          <w:rFonts w:ascii="Arial" w:hAnsi="Arial"/>
          <w:b/>
          <w:sz w:val="22"/>
        </w:rPr>
        <w:t xml:space="preserve">Suivi </w:t>
      </w:r>
      <w:r w:rsidR="00C53B5E">
        <w:rPr>
          <w:rFonts w:ascii="Arial" w:hAnsi="Arial"/>
          <w:b/>
          <w:sz w:val="22"/>
        </w:rPr>
        <w:t xml:space="preserve">données aux </w:t>
      </w:r>
      <w:r>
        <w:rPr>
          <w:rFonts w:ascii="Arial" w:hAnsi="Arial"/>
          <w:b/>
          <w:sz w:val="22"/>
        </w:rPr>
        <w:t>audits et évaluations</w:t>
      </w:r>
    </w:p>
    <w:tbl>
      <w:tblPr>
        <w:tblW w:w="6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2"/>
      </w:tblGrid>
      <w:tr w:rsidR="00D70C22" w:rsidRPr="009F3BD5" w:rsidTr="00FD5402">
        <w:trPr>
          <w:trHeight w:val="835"/>
          <w:jc w:val="center"/>
        </w:trPr>
        <w:tc>
          <w:tcPr>
            <w:tcW w:w="6522" w:type="dxa"/>
            <w:vAlign w:val="center"/>
          </w:tcPr>
          <w:p w:rsidR="00D70C22" w:rsidRDefault="00D70C22" w:rsidP="008215A5">
            <w:pPr>
              <w:pStyle w:val="Sansinterligne1"/>
              <w:spacing w:before="200" w:after="200"/>
              <w:jc w:val="center"/>
              <w:rPr>
                <w:rFonts w:ascii="Arial" w:hAnsi="Arial" w:cs="Arial"/>
                <w:b/>
                <w:sz w:val="22"/>
                <w:szCs w:val="22"/>
              </w:rPr>
            </w:pPr>
            <w:r>
              <w:rPr>
                <w:rFonts w:ascii="Arial" w:hAnsi="Arial"/>
                <w:b/>
                <w:sz w:val="22"/>
              </w:rPr>
              <w:t>Résumé</w:t>
            </w:r>
          </w:p>
          <w:p w:rsidR="00D70C22" w:rsidRPr="001A1744" w:rsidRDefault="00D70C22" w:rsidP="0060296F">
            <w:pPr>
              <w:pStyle w:val="Default"/>
              <w:spacing w:afterLines="120" w:after="288"/>
              <w:jc w:val="both"/>
              <w:rPr>
                <w:sz w:val="22"/>
                <w:szCs w:val="22"/>
              </w:rPr>
            </w:pPr>
            <w:r>
              <w:rPr>
                <w:sz w:val="22"/>
              </w:rPr>
              <w:t>Le service d</w:t>
            </w:r>
            <w:r w:rsidR="00E26E2A">
              <w:rPr>
                <w:sz w:val="22"/>
              </w:rPr>
              <w:t>’</w:t>
            </w:r>
            <w:r>
              <w:rPr>
                <w:sz w:val="22"/>
              </w:rPr>
              <w:t>évaluation et d</w:t>
            </w:r>
            <w:r w:rsidR="00E26E2A">
              <w:rPr>
                <w:sz w:val="22"/>
              </w:rPr>
              <w:t>’</w:t>
            </w:r>
            <w:r>
              <w:rPr>
                <w:sz w:val="22"/>
              </w:rPr>
              <w:t>audit (IOS) de l</w:t>
            </w:r>
            <w:r w:rsidR="00E26E2A">
              <w:rPr>
                <w:sz w:val="22"/>
              </w:rPr>
              <w:t>’</w:t>
            </w:r>
            <w:r>
              <w:rPr>
                <w:sz w:val="22"/>
              </w:rPr>
              <w:t>UNESCO a réalisé en 2013 l</w:t>
            </w:r>
            <w:r w:rsidR="00E26E2A">
              <w:rPr>
                <w:sz w:val="22"/>
              </w:rPr>
              <w:t>’</w:t>
            </w:r>
            <w:r>
              <w:rPr>
                <w:sz w:val="22"/>
              </w:rPr>
              <w:t>évaluation du travail normatif de l</w:t>
            </w:r>
            <w:r w:rsidR="00E26E2A">
              <w:rPr>
                <w:sz w:val="22"/>
              </w:rPr>
              <w:t>’</w:t>
            </w:r>
            <w:r>
              <w:rPr>
                <w:sz w:val="22"/>
              </w:rPr>
              <w:t xml:space="preserve">UNESCO </w:t>
            </w:r>
            <w:r w:rsidR="00617454">
              <w:rPr>
                <w:sz w:val="22"/>
              </w:rPr>
              <w:t>du</w:t>
            </w:r>
            <w:r>
              <w:rPr>
                <w:sz w:val="22"/>
              </w:rPr>
              <w:t xml:space="preserve"> </w:t>
            </w:r>
            <w:r w:rsidR="00617454">
              <w:rPr>
                <w:sz w:val="22"/>
              </w:rPr>
              <w:t>S</w:t>
            </w:r>
            <w:r>
              <w:rPr>
                <w:sz w:val="22"/>
              </w:rPr>
              <w:t xml:space="preserve">ecteur de la culture, dont la PARTIE I traite de la </w:t>
            </w:r>
            <w:r w:rsidR="00617454">
              <w:rPr>
                <w:sz w:val="22"/>
              </w:rPr>
              <w:t xml:space="preserve">Convention de 2003 </w:t>
            </w:r>
            <w:r>
              <w:rPr>
                <w:sz w:val="22"/>
              </w:rPr>
              <w:t>pour la sauvegarde du patrimoine culturel immatériel. L</w:t>
            </w:r>
            <w:r w:rsidR="00E26E2A">
              <w:rPr>
                <w:sz w:val="22"/>
              </w:rPr>
              <w:t>’</w:t>
            </w:r>
            <w:r>
              <w:rPr>
                <w:sz w:val="22"/>
              </w:rPr>
              <w:t>évaluation a été complétée par un audit des méthodes de travail des six conventions culturelles.</w:t>
            </w:r>
          </w:p>
          <w:p w:rsidR="00D70C22" w:rsidRPr="006C139D" w:rsidRDefault="00D70C22" w:rsidP="0060296F">
            <w:pPr>
              <w:pStyle w:val="Default"/>
              <w:spacing w:afterLines="120" w:after="288"/>
              <w:jc w:val="both"/>
              <w:rPr>
                <w:sz w:val="22"/>
                <w:szCs w:val="22"/>
              </w:rPr>
            </w:pPr>
            <w:r>
              <w:rPr>
                <w:sz w:val="22"/>
              </w:rPr>
              <w:t>Ce document présente le statut de la mise en œuvre de 24 recommandations de l</w:t>
            </w:r>
            <w:r w:rsidR="00E26E2A">
              <w:rPr>
                <w:sz w:val="22"/>
              </w:rPr>
              <w:t>’</w:t>
            </w:r>
            <w:r>
              <w:rPr>
                <w:sz w:val="22"/>
              </w:rPr>
              <w:t>évaluation (Partie A), le suivi de</w:t>
            </w:r>
            <w:r w:rsidR="00617454">
              <w:rPr>
                <w:sz w:val="22"/>
              </w:rPr>
              <w:t>s</w:t>
            </w:r>
            <w:r>
              <w:rPr>
                <w:sz w:val="22"/>
              </w:rPr>
              <w:t xml:space="preserve"> 4 recommandations du rapport d</w:t>
            </w:r>
            <w:r w:rsidR="00E26E2A">
              <w:rPr>
                <w:sz w:val="22"/>
              </w:rPr>
              <w:t>’</w:t>
            </w:r>
            <w:r>
              <w:rPr>
                <w:sz w:val="22"/>
              </w:rPr>
              <w:t>audit des méthodes de travail des six conventions culturelles (Partie B) et un projet de décision à examiner par le Comité (Partie C).</w:t>
            </w:r>
          </w:p>
          <w:p w:rsidR="00D70C22" w:rsidRPr="00293C60" w:rsidRDefault="00D70C22" w:rsidP="0060296F">
            <w:pPr>
              <w:pStyle w:val="Sansinterligne2"/>
              <w:spacing w:afterLines="120" w:after="288"/>
              <w:jc w:val="both"/>
              <w:rPr>
                <w:rFonts w:ascii="Arial" w:hAnsi="Arial" w:cs="Arial"/>
                <w:b/>
                <w:sz w:val="22"/>
                <w:szCs w:val="22"/>
              </w:rPr>
            </w:pPr>
            <w:r>
              <w:rPr>
                <w:rFonts w:ascii="Arial" w:hAnsi="Arial"/>
                <w:b/>
                <w:sz w:val="22"/>
              </w:rPr>
              <w:t xml:space="preserve">Décision requise : </w:t>
            </w:r>
            <w:r>
              <w:rPr>
                <w:rFonts w:ascii="Arial" w:hAnsi="Arial"/>
                <w:sz w:val="22"/>
              </w:rPr>
              <w:t xml:space="preserve">paragraphe </w:t>
            </w:r>
            <w:r w:rsidR="001E3D6D">
              <w:rPr>
                <w:rFonts w:ascii="Arial" w:hAnsi="Arial"/>
                <w:sz w:val="22"/>
              </w:rPr>
              <w:t>9</w:t>
            </w:r>
          </w:p>
        </w:tc>
      </w:tr>
    </w:tbl>
    <w:p w:rsidR="00D70C22" w:rsidRDefault="00D70C22" w:rsidP="00D70C22">
      <w:pPr>
        <w:pStyle w:val="COMPara"/>
        <w:ind w:left="567" w:hanging="567"/>
        <w:jc w:val="both"/>
        <w:sectPr w:rsidR="00D70C22" w:rsidSect="0060296F">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134" w:header="397" w:footer="284" w:gutter="0"/>
          <w:cols w:space="708"/>
          <w:titlePg/>
          <w:docGrid w:linePitch="360"/>
        </w:sectPr>
      </w:pPr>
    </w:p>
    <w:p w:rsidR="00D70C22" w:rsidRDefault="00D70C22" w:rsidP="00E40F44">
      <w:pPr>
        <w:numPr>
          <w:ilvl w:val="0"/>
          <w:numId w:val="14"/>
        </w:numPr>
        <w:spacing w:before="360" w:after="120"/>
        <w:ind w:left="567" w:hanging="567"/>
        <w:rPr>
          <w:rFonts w:ascii="Arial" w:eastAsia="SimSun" w:hAnsi="Arial" w:cs="Arial"/>
          <w:b/>
          <w:sz w:val="22"/>
          <w:szCs w:val="22"/>
        </w:rPr>
      </w:pPr>
      <w:r>
        <w:rPr>
          <w:rFonts w:ascii="Arial" w:hAnsi="Arial"/>
          <w:b/>
          <w:sz w:val="22"/>
        </w:rPr>
        <w:lastRenderedPageBreak/>
        <w:t>Le rapport d</w:t>
      </w:r>
      <w:r w:rsidR="00E26E2A">
        <w:rPr>
          <w:rFonts w:ascii="Arial" w:hAnsi="Arial"/>
          <w:b/>
          <w:sz w:val="22"/>
        </w:rPr>
        <w:t>’</w:t>
      </w:r>
      <w:r>
        <w:rPr>
          <w:rFonts w:ascii="Arial" w:hAnsi="Arial"/>
          <w:b/>
          <w:sz w:val="22"/>
        </w:rPr>
        <w:t>avancement sur les vingt-quatre recommandations de l</w:t>
      </w:r>
      <w:r w:rsidR="00E26E2A">
        <w:rPr>
          <w:rFonts w:ascii="Arial" w:hAnsi="Arial"/>
          <w:b/>
          <w:sz w:val="22"/>
        </w:rPr>
        <w:t>’</w:t>
      </w:r>
      <w:r>
        <w:rPr>
          <w:rFonts w:ascii="Arial" w:hAnsi="Arial"/>
          <w:b/>
          <w:sz w:val="22"/>
        </w:rPr>
        <w:t>évaluation du travail normatif de l</w:t>
      </w:r>
      <w:r w:rsidR="00E26E2A">
        <w:rPr>
          <w:rFonts w:ascii="Arial" w:hAnsi="Arial"/>
          <w:b/>
          <w:sz w:val="22"/>
        </w:rPr>
        <w:t>’</w:t>
      </w:r>
      <w:r>
        <w:rPr>
          <w:rFonts w:ascii="Arial" w:hAnsi="Arial"/>
          <w:b/>
          <w:sz w:val="22"/>
        </w:rPr>
        <w:t xml:space="preserve">UNESCO </w:t>
      </w:r>
      <w:r w:rsidR="0060296F">
        <w:rPr>
          <w:rFonts w:ascii="Arial" w:hAnsi="Arial"/>
          <w:b/>
          <w:sz w:val="22"/>
        </w:rPr>
        <w:t>du</w:t>
      </w:r>
      <w:r>
        <w:rPr>
          <w:rFonts w:ascii="Arial" w:hAnsi="Arial"/>
          <w:b/>
          <w:sz w:val="22"/>
        </w:rPr>
        <w:t xml:space="preserve"> </w:t>
      </w:r>
      <w:r w:rsidR="0060296F">
        <w:rPr>
          <w:rFonts w:ascii="Arial" w:hAnsi="Arial"/>
          <w:b/>
          <w:sz w:val="22"/>
        </w:rPr>
        <w:t xml:space="preserve">Secteur </w:t>
      </w:r>
      <w:r>
        <w:rPr>
          <w:rFonts w:ascii="Arial" w:hAnsi="Arial"/>
          <w:b/>
          <w:sz w:val="22"/>
        </w:rPr>
        <w:t>de la culture concernant la Convention pour la sauvegarde du patrimoine culturel immatériel.</w:t>
      </w:r>
    </w:p>
    <w:p w:rsidR="00D70C22" w:rsidRDefault="00D70C22" w:rsidP="00E40F44">
      <w:pPr>
        <w:pStyle w:val="COMPara"/>
        <w:numPr>
          <w:ilvl w:val="0"/>
          <w:numId w:val="15"/>
        </w:numPr>
        <w:ind w:left="567" w:hanging="567"/>
        <w:jc w:val="both"/>
        <w:rPr>
          <w:rFonts w:eastAsia="SimSun"/>
          <w:snapToGrid/>
        </w:rPr>
      </w:pPr>
      <w:r>
        <w:t>Conformément à son plan biennal pour 2012-2013, le service d</w:t>
      </w:r>
      <w:r w:rsidR="00E26E2A">
        <w:t>’</w:t>
      </w:r>
      <w:r>
        <w:t>évaluation et d</w:t>
      </w:r>
      <w:r w:rsidR="00E26E2A">
        <w:t>’</w:t>
      </w:r>
      <w:r>
        <w:t xml:space="preserve">audit (IOS) de </w:t>
      </w:r>
      <w:r w:rsidR="00B4043E">
        <w:t xml:space="preserve">l’UNESCO </w:t>
      </w:r>
      <w:r>
        <w:t>a réalisé en 2013 l</w:t>
      </w:r>
      <w:r w:rsidR="00E26E2A">
        <w:t>’</w:t>
      </w:r>
      <w:r>
        <w:t xml:space="preserve">évaluation du travail normatif </w:t>
      </w:r>
      <w:r w:rsidR="00B4043E">
        <w:t xml:space="preserve">de l’UNSECO dans le domaine </w:t>
      </w:r>
      <w:r>
        <w:t xml:space="preserve">de la culture dont la Partie I concerne la Convention </w:t>
      </w:r>
      <w:r w:rsidR="0060296F">
        <w:t xml:space="preserve">de 2003 </w:t>
      </w:r>
      <w:r>
        <w:t>pour la sauvegarde du patrimoine culturel immatériel (</w:t>
      </w:r>
      <w:hyperlink r:id="rId15">
        <w:r>
          <w:rPr>
            <w:rStyle w:val="Hyperlink"/>
            <w:snapToGrid/>
          </w:rPr>
          <w:t>document IOS/EVS/PI/129 REV.</w:t>
        </w:r>
      </w:hyperlink>
      <w:r>
        <w:t xml:space="preserve">). </w:t>
      </w:r>
      <w:r w:rsidR="00961906">
        <w:t>L</w:t>
      </w:r>
      <w:r w:rsidR="00E26E2A">
        <w:t>’</w:t>
      </w:r>
      <w:r w:rsidR="00961906">
        <w:t xml:space="preserve">objectif </w:t>
      </w:r>
      <w:r>
        <w:t>de l</w:t>
      </w:r>
      <w:r w:rsidR="00E26E2A">
        <w:t>’</w:t>
      </w:r>
      <w:r>
        <w:t xml:space="preserve">évaluation  était de produire des résultats et des recommandations concernant </w:t>
      </w:r>
      <w:r w:rsidR="00B4043E">
        <w:t>l</w:t>
      </w:r>
      <w:r>
        <w:t xml:space="preserve">a pertinence et </w:t>
      </w:r>
      <w:r w:rsidR="00B4043E">
        <w:t>l’</w:t>
      </w:r>
      <w:r>
        <w:t>efficacité</w:t>
      </w:r>
      <w:r w:rsidR="00B4043E">
        <w:t xml:space="preserve"> duc </w:t>
      </w:r>
      <w:proofErr w:type="spellStart"/>
      <w:r w:rsidR="00B4043E">
        <w:t>adre</w:t>
      </w:r>
      <w:proofErr w:type="spellEnd"/>
      <w:r w:rsidR="00B4043E">
        <w:t xml:space="preserve"> normatif, </w:t>
      </w:r>
      <w:r>
        <w:t>en mettant l</w:t>
      </w:r>
      <w:r w:rsidR="00E26E2A">
        <w:t>’</w:t>
      </w:r>
      <w:r>
        <w:t>accent sur son impact sur la législation, les politiques et les stratégies des États parties aux conventions</w:t>
      </w:r>
      <w:r w:rsidR="0060296F">
        <w:t xml:space="preserve"> culturelles de </w:t>
      </w:r>
      <w:r w:rsidR="00B4043E">
        <w:t>l’UNESCO</w:t>
      </w:r>
      <w:r>
        <w:t>.</w:t>
      </w:r>
    </w:p>
    <w:p w:rsidR="00D70C22" w:rsidRPr="00735EB2" w:rsidRDefault="00D70C22" w:rsidP="00E40F44">
      <w:pPr>
        <w:pStyle w:val="COMPara"/>
        <w:numPr>
          <w:ilvl w:val="0"/>
          <w:numId w:val="15"/>
        </w:numPr>
        <w:ind w:left="567" w:hanging="567"/>
        <w:jc w:val="both"/>
        <w:rPr>
          <w:rFonts w:eastAsia="SimSun"/>
          <w:snapToGrid/>
        </w:rPr>
      </w:pPr>
      <w:r>
        <w:t>Des conclusions préliminaires ont été présentées au Conseil exécutif lors de sa 192</w:t>
      </w:r>
      <w:r>
        <w:rPr>
          <w:vertAlign w:val="superscript"/>
        </w:rPr>
        <w:t>e</w:t>
      </w:r>
      <w:r>
        <w:t xml:space="preserve"> session en 2013 (</w:t>
      </w:r>
      <w:hyperlink r:id="rId16">
        <w:r>
          <w:rPr>
            <w:rStyle w:val="Hyperlink"/>
            <w:snapToGrid/>
          </w:rPr>
          <w:t>document 192 EX/5 Part II</w:t>
        </w:r>
      </w:hyperlink>
      <w:r>
        <w:t>) et l</w:t>
      </w:r>
      <w:r w:rsidR="00E26E2A">
        <w:t>’</w:t>
      </w:r>
      <w:r>
        <w:t>évaluation complète a été présentée au Conseil exécutif, lors de sa 194</w:t>
      </w:r>
      <w:r>
        <w:rPr>
          <w:vertAlign w:val="superscript"/>
        </w:rPr>
        <w:t>e</w:t>
      </w:r>
      <w:r>
        <w:t xml:space="preserve"> session en 2014, dans le rapport annuel de l</w:t>
      </w:r>
      <w:r w:rsidR="00E26E2A">
        <w:t>’</w:t>
      </w:r>
      <w:r>
        <w:t>IOS (</w:t>
      </w:r>
      <w:hyperlink r:id="rId17">
        <w:r>
          <w:rPr>
            <w:rStyle w:val="Hyperlink"/>
            <w:snapToGrid/>
          </w:rPr>
          <w:t>document</w:t>
        </w:r>
        <w:r w:rsidR="00F31760">
          <w:rPr>
            <w:rStyle w:val="Hyperlink"/>
            <w:snapToGrid/>
          </w:rPr>
          <w:t> </w:t>
        </w:r>
        <w:r>
          <w:rPr>
            <w:rStyle w:val="Hyperlink"/>
            <w:snapToGrid/>
          </w:rPr>
          <w:t>194</w:t>
        </w:r>
        <w:r w:rsidR="00F31760">
          <w:rPr>
            <w:rStyle w:val="Hyperlink"/>
            <w:snapToGrid/>
          </w:rPr>
          <w:t> </w:t>
        </w:r>
        <w:r>
          <w:rPr>
            <w:rStyle w:val="Hyperlink"/>
            <w:snapToGrid/>
          </w:rPr>
          <w:t>EX/22</w:t>
        </w:r>
      </w:hyperlink>
      <w:r>
        <w:t>). L</w:t>
      </w:r>
      <w:r w:rsidR="00E26E2A">
        <w:t>’</w:t>
      </w:r>
      <w:r>
        <w:t xml:space="preserve">annexe III du document 194 EX/22 </w:t>
      </w:r>
      <w:proofErr w:type="gramStart"/>
      <w:r>
        <w:t>comprend</w:t>
      </w:r>
      <w:proofErr w:type="gramEnd"/>
      <w:r>
        <w:t xml:space="preserve"> les conclusions </w:t>
      </w:r>
      <w:r w:rsidR="0060296F">
        <w:t xml:space="preserve">préliminaires </w:t>
      </w:r>
      <w:r>
        <w:t xml:space="preserve">transversales relatives au travail normatif du </w:t>
      </w:r>
      <w:r w:rsidR="0060296F">
        <w:t xml:space="preserve">Secteur </w:t>
      </w:r>
      <w:r>
        <w:t>de la culture.</w:t>
      </w:r>
    </w:p>
    <w:p w:rsidR="00D70C22" w:rsidRPr="00756AD0" w:rsidRDefault="00D70C22" w:rsidP="00E40F44">
      <w:pPr>
        <w:pStyle w:val="COMPara"/>
        <w:numPr>
          <w:ilvl w:val="0"/>
          <w:numId w:val="15"/>
        </w:numPr>
        <w:ind w:left="567" w:hanging="567"/>
        <w:jc w:val="both"/>
        <w:rPr>
          <w:rFonts w:eastAsia="SimSun"/>
          <w:snapToGrid/>
        </w:rPr>
      </w:pPr>
      <w:r>
        <w:t>En outre, l</w:t>
      </w:r>
      <w:r w:rsidR="00E26E2A">
        <w:t>’</w:t>
      </w:r>
      <w:r>
        <w:t>évaluation a été présentée au Comité lors de sa huitième session en 2013 (</w:t>
      </w:r>
      <w:hyperlink r:id="rId18">
        <w:r>
          <w:rPr>
            <w:rStyle w:val="Hyperlink"/>
            <w:snapToGrid/>
          </w:rPr>
          <w:t>document ITH/13/8.COM/5.c</w:t>
        </w:r>
      </w:hyperlink>
      <w:r>
        <w:t>). Au cours de cette session, le Comité a examiné ces recommandations d</w:t>
      </w:r>
      <w:r w:rsidR="00E26E2A">
        <w:t>’</w:t>
      </w:r>
      <w:r>
        <w:t xml:space="preserve">évaluation et a adopté la Décision 8.COM  5.c.1. </w:t>
      </w:r>
    </w:p>
    <w:p w:rsidR="00E40F44" w:rsidRDefault="00D70C22" w:rsidP="00E40F44">
      <w:pPr>
        <w:pStyle w:val="COMPara"/>
        <w:numPr>
          <w:ilvl w:val="0"/>
          <w:numId w:val="15"/>
        </w:numPr>
        <w:ind w:left="567" w:hanging="567"/>
        <w:jc w:val="both"/>
      </w:pPr>
      <w:r>
        <w:t>Le tableau ci-dessous résume les actions planifiées avec date butoir et le statut des actions menées pour chacune des vingt-quatre recommandations de l</w:t>
      </w:r>
      <w:r w:rsidR="00E26E2A">
        <w:t>’</w:t>
      </w:r>
      <w:r>
        <w:t>évaluation.</w:t>
      </w:r>
    </w:p>
    <w:p w:rsidR="00B4043E" w:rsidRDefault="00B4043E" w:rsidP="00E40F44">
      <w:pPr>
        <w:pStyle w:val="COMPara"/>
        <w:numPr>
          <w:ilvl w:val="0"/>
          <w:numId w:val="15"/>
        </w:numPr>
        <w:ind w:left="567" w:hanging="567"/>
        <w:jc w:val="both"/>
        <w:sectPr w:rsidR="00B4043E" w:rsidSect="00994D09">
          <w:headerReference w:type="first" r:id="rId19"/>
          <w:pgSz w:w="11906" w:h="16838" w:code="9"/>
          <w:pgMar w:top="1418" w:right="1134" w:bottom="1134" w:left="1134" w:header="397" w:footer="284" w:gutter="0"/>
          <w:cols w:space="708"/>
          <w:titlePg/>
          <w:docGrid w:linePitch="360"/>
        </w:sectPr>
      </w:pPr>
    </w:p>
    <w:tbl>
      <w:tblPr>
        <w:tblW w:w="14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0"/>
        <w:gridCol w:w="27"/>
        <w:gridCol w:w="1959"/>
        <w:gridCol w:w="27"/>
        <w:gridCol w:w="7655"/>
      </w:tblGrid>
      <w:tr w:rsidR="00D70C22" w:rsidRPr="00A76B7D" w:rsidTr="0060296F">
        <w:tc>
          <w:tcPr>
            <w:tcW w:w="14358" w:type="dxa"/>
            <w:gridSpan w:val="5"/>
            <w:tcBorders>
              <w:top w:val="single" w:sz="4" w:space="0" w:color="auto"/>
              <w:left w:val="single" w:sz="4" w:space="0" w:color="auto"/>
              <w:bottom w:val="single" w:sz="4" w:space="0" w:color="auto"/>
              <w:right w:val="single" w:sz="4" w:space="0" w:color="auto"/>
            </w:tcBorders>
            <w:shd w:val="clear" w:color="auto" w:fill="E6E6E6"/>
            <w:noWrap/>
            <w:tcMar>
              <w:top w:w="40" w:type="dxa"/>
              <w:left w:w="40" w:type="dxa"/>
              <w:bottom w:w="40" w:type="dxa"/>
              <w:right w:w="40" w:type="dxa"/>
            </w:tcMar>
          </w:tcPr>
          <w:p w:rsidR="00D70C22" w:rsidRPr="00A76B7D" w:rsidRDefault="00D70C22" w:rsidP="008215A5">
            <w:pPr>
              <w:keepNext/>
              <w:keepLines/>
              <w:tabs>
                <w:tab w:val="left" w:pos="2640"/>
              </w:tabs>
              <w:spacing w:before="120" w:after="120"/>
              <w:ind w:left="113" w:right="113"/>
              <w:jc w:val="both"/>
              <w:rPr>
                <w:rFonts w:ascii="Arial" w:hAnsi="Arial" w:cs="Arial"/>
                <w:b/>
                <w:sz w:val="22"/>
                <w:szCs w:val="22"/>
              </w:rPr>
            </w:pPr>
            <w:r>
              <w:rPr>
                <w:rFonts w:ascii="Arial" w:hAnsi="Arial"/>
                <w:b/>
                <w:sz w:val="22"/>
              </w:rPr>
              <w:lastRenderedPageBreak/>
              <w:t xml:space="preserve">Recommandation 1 : </w:t>
            </w:r>
            <w:r w:rsidR="00961906" w:rsidRPr="00961906">
              <w:rPr>
                <w:rFonts w:ascii="Arial" w:hAnsi="Arial"/>
                <w:b/>
                <w:sz w:val="22"/>
              </w:rPr>
              <w:t>Réviser tous les documents et formulaires concernés (y compris les Directives opérationnelles, les formats de rapports périodiques et les dossiers de candidature) afin d</w:t>
            </w:r>
            <w:r w:rsidR="00E26E2A">
              <w:rPr>
                <w:rFonts w:ascii="Arial" w:hAnsi="Arial"/>
                <w:b/>
                <w:sz w:val="22"/>
              </w:rPr>
              <w:t>’</w:t>
            </w:r>
            <w:r w:rsidR="00961906" w:rsidRPr="00961906">
              <w:rPr>
                <w:rFonts w:ascii="Arial" w:hAnsi="Arial"/>
                <w:b/>
                <w:sz w:val="22"/>
              </w:rPr>
              <w:t>y inclure des conseils et des questions spécifiques au genre.</w:t>
            </w:r>
          </w:p>
        </w:tc>
      </w:tr>
      <w:tr w:rsidR="00D70C22" w:rsidRPr="00A76B7D" w:rsidTr="0060296F">
        <w:tc>
          <w:tcPr>
            <w:tcW w:w="14358" w:type="dxa"/>
            <w:gridSpan w:val="5"/>
            <w:tcBorders>
              <w:top w:val="single" w:sz="4" w:space="0" w:color="auto"/>
              <w:left w:val="single" w:sz="4" w:space="0" w:color="auto"/>
              <w:bottom w:val="single" w:sz="4" w:space="0" w:color="auto"/>
              <w:right w:val="single" w:sz="4" w:space="0" w:color="auto"/>
            </w:tcBorders>
            <w:shd w:val="clear" w:color="auto" w:fill="E6E6E6"/>
            <w:noWrap/>
            <w:tcMar>
              <w:top w:w="40" w:type="dxa"/>
              <w:left w:w="40" w:type="dxa"/>
              <w:bottom w:w="40" w:type="dxa"/>
              <w:right w:w="40" w:type="dxa"/>
            </w:tcMar>
          </w:tcPr>
          <w:p w:rsidR="00D70C22" w:rsidRPr="00A76B7D" w:rsidRDefault="00D70C22" w:rsidP="008215A5">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Réponse de la direction : </w:t>
            </w:r>
            <w:r>
              <w:rPr>
                <w:rFonts w:ascii="Arial" w:hAnsi="Arial"/>
                <w:sz w:val="22"/>
              </w:rPr>
              <w:t>Le</w:t>
            </w:r>
            <w:r w:rsidR="00961906">
              <w:rPr>
                <w:rFonts w:ascii="Arial" w:hAnsi="Arial"/>
                <w:sz w:val="22"/>
              </w:rPr>
              <w:t>s</w:t>
            </w:r>
            <w:r>
              <w:rPr>
                <w:rFonts w:ascii="Arial" w:hAnsi="Arial"/>
                <w:sz w:val="22"/>
              </w:rPr>
              <w:t xml:space="preserve"> </w:t>
            </w:r>
            <w:r w:rsidR="00961906">
              <w:rPr>
                <w:rFonts w:ascii="Arial" w:hAnsi="Arial"/>
                <w:sz w:val="22"/>
              </w:rPr>
              <w:t xml:space="preserve">formulaires </w:t>
            </w:r>
            <w:r>
              <w:rPr>
                <w:rFonts w:ascii="Arial" w:hAnsi="Arial"/>
                <w:sz w:val="22"/>
              </w:rPr>
              <w:t>de</w:t>
            </w:r>
            <w:r w:rsidR="00961906">
              <w:rPr>
                <w:rFonts w:ascii="Arial" w:hAnsi="Arial"/>
                <w:sz w:val="22"/>
              </w:rPr>
              <w:t>s</w:t>
            </w:r>
            <w:r>
              <w:rPr>
                <w:rFonts w:ascii="Arial" w:hAnsi="Arial"/>
                <w:sz w:val="22"/>
              </w:rPr>
              <w:t xml:space="preserve"> rapport</w:t>
            </w:r>
            <w:r w:rsidR="00961906">
              <w:rPr>
                <w:rFonts w:ascii="Arial" w:hAnsi="Arial"/>
                <w:sz w:val="22"/>
              </w:rPr>
              <w:t>s</w:t>
            </w:r>
            <w:r>
              <w:rPr>
                <w:rFonts w:ascii="Arial" w:hAnsi="Arial"/>
                <w:sz w:val="22"/>
              </w:rPr>
              <w:t xml:space="preserve"> </w:t>
            </w:r>
            <w:r w:rsidR="00961906">
              <w:rPr>
                <w:rFonts w:ascii="Arial" w:hAnsi="Arial"/>
                <w:sz w:val="22"/>
              </w:rPr>
              <w:t>ont</w:t>
            </w:r>
            <w:r>
              <w:rPr>
                <w:rFonts w:ascii="Arial" w:hAnsi="Arial"/>
                <w:sz w:val="22"/>
              </w:rPr>
              <w:t xml:space="preserve"> été modifié</w:t>
            </w:r>
            <w:r w:rsidR="00961906">
              <w:rPr>
                <w:rFonts w:ascii="Arial" w:hAnsi="Arial"/>
                <w:sz w:val="22"/>
              </w:rPr>
              <w:t>s</w:t>
            </w:r>
            <w:r>
              <w:rPr>
                <w:rFonts w:ascii="Arial" w:hAnsi="Arial"/>
                <w:sz w:val="22"/>
              </w:rPr>
              <w:t xml:space="preserve"> en conséquence, et un nouveau paragraphe à inclure dans les Directives </w:t>
            </w:r>
            <w:r w:rsidR="00961906">
              <w:rPr>
                <w:rFonts w:ascii="Arial" w:hAnsi="Arial"/>
                <w:sz w:val="22"/>
              </w:rPr>
              <w:t xml:space="preserve">opérationnelles </w:t>
            </w:r>
            <w:r>
              <w:rPr>
                <w:rFonts w:ascii="Arial" w:hAnsi="Arial"/>
                <w:sz w:val="22"/>
              </w:rPr>
              <w:t xml:space="preserve">a été soumis au Comité lors de sa neuvième session (décembre 2014) pour discussion et lors de sa dixième session (décembre 2015) pour approbation. Les </w:t>
            </w:r>
            <w:r w:rsidR="00961906">
              <w:rPr>
                <w:rFonts w:ascii="Arial" w:hAnsi="Arial"/>
                <w:sz w:val="22"/>
              </w:rPr>
              <w:t xml:space="preserve">Directives </w:t>
            </w:r>
            <w:r>
              <w:rPr>
                <w:rFonts w:ascii="Arial" w:hAnsi="Arial"/>
                <w:sz w:val="22"/>
              </w:rPr>
              <w:t>opérationnelles révisées pourraient être adoptées par l</w:t>
            </w:r>
            <w:r w:rsidR="00E26E2A">
              <w:rPr>
                <w:rFonts w:ascii="Arial" w:hAnsi="Arial"/>
                <w:sz w:val="22"/>
              </w:rPr>
              <w:t>’</w:t>
            </w:r>
            <w:r>
              <w:rPr>
                <w:rFonts w:ascii="Arial" w:hAnsi="Arial"/>
                <w:sz w:val="22"/>
              </w:rPr>
              <w:t>Assemblée générale en juin 2016.</w:t>
            </w:r>
          </w:p>
        </w:tc>
      </w:tr>
      <w:tr w:rsidR="00D70C22" w:rsidRPr="00A76B7D" w:rsidTr="0060296F">
        <w:tc>
          <w:tcPr>
            <w:tcW w:w="4690" w:type="dxa"/>
            <w:tcBorders>
              <w:bottom w:val="single" w:sz="4" w:space="0" w:color="auto"/>
            </w:tcBorders>
            <w:shd w:val="clear" w:color="auto" w:fill="auto"/>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shd w:val="clear" w:color="auto" w:fill="auto"/>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82" w:type="dxa"/>
            <w:gridSpan w:val="2"/>
            <w:tcBorders>
              <w:bottom w:val="single" w:sz="4" w:space="0" w:color="auto"/>
            </w:tcBorders>
            <w:shd w:val="clear" w:color="auto" w:fill="auto"/>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690" w:type="dxa"/>
            <w:tcBorders>
              <w:bottom w:val="single" w:sz="4" w:space="0" w:color="auto"/>
            </w:tcBorders>
            <w:shd w:val="clear" w:color="auto" w:fill="auto"/>
            <w:noWrap/>
            <w:tcMar>
              <w:top w:w="40" w:type="dxa"/>
              <w:left w:w="40" w:type="dxa"/>
              <w:bottom w:w="40" w:type="dxa"/>
              <w:right w:w="40" w:type="dxa"/>
            </w:tcMar>
          </w:tcPr>
          <w:p w:rsidR="00D70C22" w:rsidRPr="00A76B7D" w:rsidRDefault="00D70C22" w:rsidP="008215A5">
            <w:pPr>
              <w:spacing w:before="120" w:after="120"/>
              <w:ind w:left="113"/>
              <w:rPr>
                <w:rFonts w:ascii="Arial" w:hAnsi="Arial" w:cs="Arial"/>
                <w:sz w:val="22"/>
                <w:szCs w:val="22"/>
              </w:rPr>
            </w:pPr>
            <w:r>
              <w:rPr>
                <w:rFonts w:ascii="Arial" w:hAnsi="Arial"/>
                <w:sz w:val="22"/>
              </w:rPr>
              <w:t>Réviser les formulaires de candidature ICH-01 (Liste de sauvegarde urgente) et ICH-02 (Liste représentative)</w:t>
            </w:r>
            <w:r w:rsidR="00063291">
              <w:rPr>
                <w:rFonts w:ascii="Arial" w:hAnsi="Arial"/>
                <w:sz w:val="22"/>
              </w:rPr>
              <w:t>.</w:t>
            </w:r>
          </w:p>
        </w:tc>
        <w:tc>
          <w:tcPr>
            <w:tcW w:w="1986" w:type="dxa"/>
            <w:gridSpan w:val="2"/>
            <w:tcBorders>
              <w:bottom w:val="single" w:sz="4" w:space="0" w:color="auto"/>
            </w:tcBorders>
            <w:shd w:val="clear" w:color="auto" w:fill="auto"/>
            <w:noWrap/>
            <w:tcMar>
              <w:top w:w="40" w:type="dxa"/>
              <w:left w:w="40" w:type="dxa"/>
              <w:bottom w:w="40" w:type="dxa"/>
              <w:right w:w="40" w:type="dxa"/>
            </w:tcMar>
          </w:tcPr>
          <w:p w:rsidR="00D70C22" w:rsidRPr="00A76B7D" w:rsidRDefault="00772AF9" w:rsidP="008215A5">
            <w:pPr>
              <w:spacing w:before="120" w:after="120"/>
              <w:ind w:left="57"/>
              <w:rPr>
                <w:rFonts w:ascii="Arial" w:hAnsi="Arial" w:cs="Arial"/>
                <w:sz w:val="22"/>
                <w:szCs w:val="22"/>
              </w:rPr>
            </w:pPr>
            <w:r>
              <w:rPr>
                <w:rFonts w:ascii="Arial" w:hAnsi="Arial"/>
                <w:sz w:val="22"/>
              </w:rPr>
              <w:t>n</w:t>
            </w:r>
            <w:r w:rsidR="00D70C22">
              <w:rPr>
                <w:rFonts w:ascii="Arial" w:hAnsi="Arial"/>
                <w:sz w:val="22"/>
              </w:rPr>
              <w:t>ovembre 2014</w:t>
            </w:r>
          </w:p>
        </w:tc>
        <w:tc>
          <w:tcPr>
            <w:tcW w:w="7682" w:type="dxa"/>
            <w:gridSpan w:val="2"/>
            <w:tcBorders>
              <w:bottom w:val="single" w:sz="4" w:space="0" w:color="auto"/>
            </w:tcBorders>
            <w:shd w:val="clear" w:color="auto" w:fill="auto"/>
            <w:noWrap/>
            <w:tcMar>
              <w:top w:w="40" w:type="dxa"/>
              <w:left w:w="40" w:type="dxa"/>
              <w:bottom w:w="40" w:type="dxa"/>
              <w:right w:w="40" w:type="dxa"/>
            </w:tcMar>
          </w:tcPr>
          <w:p w:rsidR="00D70C22" w:rsidRPr="008215A5" w:rsidRDefault="00D70C22" w:rsidP="008215A5">
            <w:pPr>
              <w:pStyle w:val="ListParagraph"/>
              <w:numPr>
                <w:ilvl w:val="0"/>
                <w:numId w:val="19"/>
              </w:numPr>
              <w:spacing w:before="120" w:after="120"/>
              <w:ind w:left="473"/>
              <w:rPr>
                <w:rFonts w:ascii="Arial" w:hAnsi="Arial" w:cs="Arial"/>
                <w:b/>
                <w:sz w:val="22"/>
                <w:szCs w:val="22"/>
                <w:u w:val="single"/>
              </w:rPr>
            </w:pPr>
            <w:r w:rsidRPr="008215A5">
              <w:rPr>
                <w:rFonts w:ascii="Arial" w:hAnsi="Arial"/>
                <w:sz w:val="22"/>
              </w:rPr>
              <w:t>L</w:t>
            </w:r>
            <w:r w:rsidR="00E26E2A" w:rsidRPr="008215A5">
              <w:rPr>
                <w:rFonts w:ascii="Arial" w:hAnsi="Arial"/>
                <w:sz w:val="22"/>
              </w:rPr>
              <w:t>’</w:t>
            </w:r>
            <w:r w:rsidRPr="008215A5">
              <w:rPr>
                <w:rFonts w:ascii="Arial" w:hAnsi="Arial"/>
                <w:sz w:val="22"/>
              </w:rPr>
              <w:t xml:space="preserve">orientation </w:t>
            </w:r>
            <w:r w:rsidR="00AE3162" w:rsidRPr="008215A5">
              <w:rPr>
                <w:rFonts w:ascii="Arial" w:hAnsi="Arial"/>
                <w:sz w:val="22"/>
              </w:rPr>
              <w:t xml:space="preserve">spécifique au genre </w:t>
            </w:r>
            <w:r w:rsidRPr="008215A5">
              <w:rPr>
                <w:rFonts w:ascii="Arial" w:hAnsi="Arial"/>
                <w:sz w:val="22"/>
              </w:rPr>
              <w:t>a été intégrée en octobre 2015 dans les formulaires de candidature ICH</w:t>
            </w:r>
            <w:r>
              <w:noBreakHyphen/>
            </w:r>
            <w:r w:rsidRPr="008215A5">
              <w:rPr>
                <w:rFonts w:ascii="Arial" w:hAnsi="Arial"/>
                <w:sz w:val="22"/>
              </w:rPr>
              <w:t>01 et ICH-02 pour le cycle 2017</w:t>
            </w:r>
            <w:r w:rsidRPr="008215A5">
              <w:rPr>
                <w:rFonts w:ascii="Arial" w:hAnsi="Arial" w:cs="Arial"/>
                <w:sz w:val="22"/>
                <w:szCs w:val="22"/>
              </w:rPr>
              <w:br/>
            </w:r>
            <w:r w:rsidR="00A34D3E" w:rsidRPr="008215A5">
              <w:rPr>
                <w:rFonts w:ascii="Arial" w:hAnsi="Arial"/>
                <w:sz w:val="22"/>
              </w:rPr>
              <w:t>(</w:t>
            </w:r>
            <w:r w:rsidR="00A34D3E" w:rsidRPr="008215A5">
              <w:rPr>
                <w:rFonts w:ascii="Arial" w:hAnsi="Arial"/>
                <w:b/>
                <w:sz w:val="22"/>
              </w:rPr>
              <w:t>action terminée</w:t>
            </w:r>
            <w:r w:rsidR="00A34D3E" w:rsidRPr="008215A5">
              <w:rPr>
                <w:rFonts w:ascii="Arial" w:hAnsi="Arial"/>
                <w:sz w:val="22"/>
              </w:rPr>
              <w:t>).</w:t>
            </w:r>
          </w:p>
        </w:tc>
      </w:tr>
      <w:tr w:rsidR="00D70C22" w:rsidRPr="00A76B7D" w:rsidTr="0060296F">
        <w:tc>
          <w:tcPr>
            <w:tcW w:w="4690" w:type="dxa"/>
            <w:shd w:val="clear" w:color="auto" w:fill="auto"/>
            <w:noWrap/>
            <w:tcMar>
              <w:top w:w="40" w:type="dxa"/>
              <w:left w:w="40" w:type="dxa"/>
              <w:bottom w:w="40" w:type="dxa"/>
              <w:right w:w="40" w:type="dxa"/>
            </w:tcMar>
          </w:tcPr>
          <w:p w:rsidR="00D70C22" w:rsidRPr="00A76B7D" w:rsidRDefault="00D70C22" w:rsidP="008215A5">
            <w:pPr>
              <w:spacing w:before="120" w:after="120"/>
              <w:ind w:left="113"/>
              <w:rPr>
                <w:rFonts w:ascii="Arial" w:hAnsi="Arial" w:cs="Arial"/>
                <w:sz w:val="22"/>
                <w:szCs w:val="22"/>
              </w:rPr>
            </w:pPr>
            <w:r>
              <w:rPr>
                <w:rFonts w:ascii="Arial" w:hAnsi="Arial"/>
                <w:sz w:val="22"/>
              </w:rPr>
              <w:t>Réviser le formulaire ICH-10 sur le rapport périodique (rapports des États parties sur la mise en œuvre de la Convention)</w:t>
            </w:r>
            <w:r w:rsidR="00063291">
              <w:rPr>
                <w:rFonts w:ascii="Arial" w:hAnsi="Arial"/>
                <w:sz w:val="22"/>
              </w:rPr>
              <w:t>.</w:t>
            </w:r>
            <w:r>
              <w:rPr>
                <w:rFonts w:ascii="Arial" w:hAnsi="Arial"/>
                <w:sz w:val="22"/>
              </w:rPr>
              <w:t xml:space="preserve"> </w:t>
            </w:r>
          </w:p>
        </w:tc>
        <w:tc>
          <w:tcPr>
            <w:tcW w:w="1986" w:type="dxa"/>
            <w:gridSpan w:val="2"/>
            <w:shd w:val="clear" w:color="auto" w:fill="auto"/>
            <w:noWrap/>
            <w:tcMar>
              <w:top w:w="40" w:type="dxa"/>
              <w:left w:w="40" w:type="dxa"/>
              <w:bottom w:w="40" w:type="dxa"/>
              <w:right w:w="40" w:type="dxa"/>
            </w:tcMar>
          </w:tcPr>
          <w:p w:rsidR="00D70C22" w:rsidRPr="00A76B7D" w:rsidRDefault="00772AF9" w:rsidP="008215A5">
            <w:pPr>
              <w:spacing w:before="120" w:after="120"/>
              <w:ind w:left="57"/>
              <w:rPr>
                <w:rFonts w:ascii="Arial" w:hAnsi="Arial" w:cs="Arial"/>
                <w:sz w:val="22"/>
                <w:szCs w:val="22"/>
              </w:rPr>
            </w:pPr>
            <w:r>
              <w:rPr>
                <w:rFonts w:ascii="Arial" w:hAnsi="Arial"/>
                <w:sz w:val="22"/>
              </w:rPr>
              <w:t>n</w:t>
            </w:r>
            <w:r w:rsidR="00D70C22">
              <w:rPr>
                <w:rFonts w:ascii="Arial" w:hAnsi="Arial"/>
                <w:sz w:val="22"/>
              </w:rPr>
              <w:t>ovembre 2014</w:t>
            </w:r>
          </w:p>
        </w:tc>
        <w:tc>
          <w:tcPr>
            <w:tcW w:w="7682" w:type="dxa"/>
            <w:gridSpan w:val="2"/>
            <w:shd w:val="clear" w:color="auto" w:fill="auto"/>
            <w:noWrap/>
            <w:tcMar>
              <w:top w:w="40" w:type="dxa"/>
              <w:left w:w="40" w:type="dxa"/>
              <w:bottom w:w="40" w:type="dxa"/>
              <w:right w:w="40" w:type="dxa"/>
            </w:tcMar>
          </w:tcPr>
          <w:p w:rsidR="00D70C22" w:rsidRPr="008215A5" w:rsidRDefault="00D70C22" w:rsidP="008215A5">
            <w:pPr>
              <w:pStyle w:val="ListParagraph"/>
              <w:numPr>
                <w:ilvl w:val="0"/>
                <w:numId w:val="19"/>
              </w:numPr>
              <w:spacing w:before="120" w:after="120"/>
              <w:ind w:left="473"/>
              <w:rPr>
                <w:rFonts w:ascii="Arial" w:hAnsi="Arial" w:cs="Arial"/>
                <w:sz w:val="22"/>
                <w:szCs w:val="22"/>
              </w:rPr>
            </w:pPr>
            <w:r w:rsidRPr="008215A5">
              <w:rPr>
                <w:rFonts w:ascii="Arial" w:hAnsi="Arial"/>
                <w:sz w:val="22"/>
              </w:rPr>
              <w:t xml:space="preserve">Formulaire ICH-10 révisé en décembre 2014 </w:t>
            </w:r>
            <w:r w:rsidR="00F31760" w:rsidRPr="008215A5">
              <w:rPr>
                <w:rFonts w:ascii="Arial" w:hAnsi="Arial"/>
                <w:sz w:val="22"/>
              </w:rPr>
              <w:t>(</w:t>
            </w:r>
            <w:r w:rsidR="00F31760" w:rsidRPr="008215A5">
              <w:rPr>
                <w:rFonts w:ascii="Arial" w:hAnsi="Arial"/>
                <w:b/>
                <w:sz w:val="22"/>
              </w:rPr>
              <w:t>action terminée</w:t>
            </w:r>
            <w:r w:rsidR="00F31760" w:rsidRPr="008215A5">
              <w:rPr>
                <w:rFonts w:ascii="Arial" w:hAnsi="Arial"/>
                <w:sz w:val="22"/>
              </w:rPr>
              <w:t>).</w:t>
            </w:r>
          </w:p>
        </w:tc>
      </w:tr>
      <w:tr w:rsidR="00D70C22" w:rsidRPr="00A76B7D" w:rsidTr="0060296F">
        <w:tc>
          <w:tcPr>
            <w:tcW w:w="4690" w:type="dxa"/>
            <w:shd w:val="clear" w:color="auto" w:fill="auto"/>
            <w:noWrap/>
            <w:tcMar>
              <w:top w:w="40" w:type="dxa"/>
              <w:left w:w="40" w:type="dxa"/>
              <w:bottom w:w="40" w:type="dxa"/>
              <w:right w:w="40" w:type="dxa"/>
            </w:tcMar>
          </w:tcPr>
          <w:p w:rsidR="00D70C22" w:rsidRPr="00A76B7D" w:rsidRDefault="00D70C22" w:rsidP="008215A5">
            <w:pPr>
              <w:spacing w:before="120" w:after="120"/>
              <w:ind w:left="113"/>
              <w:rPr>
                <w:rFonts w:ascii="Arial" w:hAnsi="Arial" w:cs="Arial"/>
                <w:sz w:val="22"/>
                <w:szCs w:val="22"/>
              </w:rPr>
            </w:pPr>
            <w:r>
              <w:rPr>
                <w:rFonts w:ascii="Arial" w:hAnsi="Arial"/>
                <w:sz w:val="22"/>
              </w:rPr>
              <w:t>Inclure un paragraphe concernant le genre dans le projet de</w:t>
            </w:r>
            <w:r w:rsidR="00AE3162">
              <w:rPr>
                <w:rFonts w:ascii="Arial" w:hAnsi="Arial"/>
                <w:sz w:val="22"/>
              </w:rPr>
              <w:t>s</w:t>
            </w:r>
            <w:r>
              <w:rPr>
                <w:rFonts w:ascii="Arial" w:hAnsi="Arial"/>
                <w:sz w:val="22"/>
              </w:rPr>
              <w:t xml:space="preserve"> </w:t>
            </w:r>
            <w:r w:rsidR="00AE3162">
              <w:rPr>
                <w:rFonts w:ascii="Arial" w:hAnsi="Arial"/>
                <w:sz w:val="22"/>
              </w:rPr>
              <w:t xml:space="preserve">Directives </w:t>
            </w:r>
            <w:r>
              <w:rPr>
                <w:rFonts w:ascii="Arial" w:hAnsi="Arial"/>
                <w:sz w:val="22"/>
              </w:rPr>
              <w:t>opérationnelles sur le développement durable.</w:t>
            </w:r>
          </w:p>
        </w:tc>
        <w:tc>
          <w:tcPr>
            <w:tcW w:w="1986" w:type="dxa"/>
            <w:gridSpan w:val="2"/>
            <w:shd w:val="clear" w:color="auto" w:fill="auto"/>
            <w:noWrap/>
            <w:tcMar>
              <w:top w:w="40" w:type="dxa"/>
              <w:left w:w="40" w:type="dxa"/>
              <w:bottom w:w="40" w:type="dxa"/>
              <w:right w:w="40" w:type="dxa"/>
            </w:tcMar>
          </w:tcPr>
          <w:p w:rsidR="00D70C22" w:rsidRPr="00A76B7D" w:rsidRDefault="00772AF9" w:rsidP="008215A5">
            <w:pPr>
              <w:spacing w:before="120" w:after="120"/>
              <w:ind w:left="57"/>
              <w:rPr>
                <w:rFonts w:ascii="Arial" w:hAnsi="Arial" w:cs="Arial"/>
                <w:sz w:val="22"/>
                <w:szCs w:val="22"/>
              </w:rPr>
            </w:pPr>
            <w:r>
              <w:rPr>
                <w:rFonts w:ascii="Arial" w:hAnsi="Arial"/>
                <w:sz w:val="22"/>
              </w:rPr>
              <w:t>j</w:t>
            </w:r>
            <w:r w:rsidR="00D70C22">
              <w:rPr>
                <w:rFonts w:ascii="Arial" w:hAnsi="Arial"/>
                <w:sz w:val="22"/>
              </w:rPr>
              <w:t>uin 2016</w:t>
            </w:r>
          </w:p>
        </w:tc>
        <w:tc>
          <w:tcPr>
            <w:tcW w:w="7682" w:type="dxa"/>
            <w:gridSpan w:val="2"/>
            <w:shd w:val="clear" w:color="auto" w:fill="auto"/>
            <w:noWrap/>
            <w:tcMar>
              <w:top w:w="40" w:type="dxa"/>
              <w:left w:w="40" w:type="dxa"/>
              <w:bottom w:w="40" w:type="dxa"/>
              <w:right w:w="40" w:type="dxa"/>
            </w:tcMar>
          </w:tcPr>
          <w:p w:rsidR="00D70C22" w:rsidRPr="008215A5" w:rsidRDefault="00D70C22" w:rsidP="008215A5">
            <w:pPr>
              <w:pStyle w:val="ListParagraph"/>
              <w:numPr>
                <w:ilvl w:val="0"/>
                <w:numId w:val="19"/>
              </w:numPr>
              <w:spacing w:before="120" w:after="120"/>
              <w:ind w:left="473"/>
              <w:rPr>
                <w:rFonts w:ascii="Arial" w:hAnsi="Arial" w:cs="Arial"/>
                <w:sz w:val="22"/>
                <w:szCs w:val="22"/>
              </w:rPr>
            </w:pPr>
            <w:r w:rsidRPr="008215A5">
              <w:rPr>
                <w:rFonts w:ascii="Arial" w:hAnsi="Arial"/>
                <w:sz w:val="22"/>
              </w:rPr>
              <w:t xml:space="preserve">La neuvième session du Comité a discuté </w:t>
            </w:r>
            <w:r w:rsidR="00AE3162" w:rsidRPr="008215A5">
              <w:rPr>
                <w:rFonts w:ascii="Arial" w:hAnsi="Arial"/>
                <w:sz w:val="22"/>
              </w:rPr>
              <w:t>l</w:t>
            </w:r>
            <w:r w:rsidR="00E26E2A" w:rsidRPr="008215A5">
              <w:rPr>
                <w:rFonts w:ascii="Arial" w:hAnsi="Arial"/>
                <w:sz w:val="22"/>
              </w:rPr>
              <w:t>’</w:t>
            </w:r>
            <w:r w:rsidR="00AE3162" w:rsidRPr="008215A5">
              <w:rPr>
                <w:rFonts w:ascii="Arial" w:hAnsi="Arial"/>
                <w:sz w:val="22"/>
              </w:rPr>
              <w:t>amendement</w:t>
            </w:r>
            <w:r w:rsidRPr="008215A5">
              <w:rPr>
                <w:rFonts w:ascii="Arial" w:hAnsi="Arial"/>
                <w:sz w:val="22"/>
              </w:rPr>
              <w:t xml:space="preserve"> des </w:t>
            </w:r>
            <w:r w:rsidR="00AE3162" w:rsidRPr="008215A5">
              <w:rPr>
                <w:rFonts w:ascii="Arial" w:hAnsi="Arial"/>
                <w:sz w:val="22"/>
              </w:rPr>
              <w:t xml:space="preserve">Directives </w:t>
            </w:r>
            <w:r w:rsidRPr="008215A5">
              <w:rPr>
                <w:rFonts w:ascii="Arial" w:hAnsi="Arial"/>
                <w:sz w:val="22"/>
              </w:rPr>
              <w:t>opérationnelles dans le but d</w:t>
            </w:r>
            <w:r w:rsidR="00E26E2A" w:rsidRPr="008215A5">
              <w:rPr>
                <w:rFonts w:ascii="Arial" w:hAnsi="Arial"/>
                <w:sz w:val="22"/>
              </w:rPr>
              <w:t>’</w:t>
            </w:r>
            <w:r w:rsidRPr="008215A5">
              <w:rPr>
                <w:rFonts w:ascii="Arial" w:hAnsi="Arial"/>
                <w:sz w:val="22"/>
              </w:rPr>
              <w:t>inclure « l</w:t>
            </w:r>
            <w:r w:rsidR="00E26E2A" w:rsidRPr="008215A5">
              <w:rPr>
                <w:rFonts w:ascii="Arial" w:hAnsi="Arial"/>
                <w:sz w:val="22"/>
              </w:rPr>
              <w:t>’</w:t>
            </w:r>
            <w:r w:rsidRPr="008215A5">
              <w:rPr>
                <w:rFonts w:ascii="Arial" w:hAnsi="Arial"/>
                <w:sz w:val="22"/>
              </w:rPr>
              <w:t xml:space="preserve">égalité des </w:t>
            </w:r>
            <w:r w:rsidR="00AE3162" w:rsidRPr="008215A5">
              <w:rPr>
                <w:rFonts w:ascii="Arial" w:hAnsi="Arial"/>
                <w:sz w:val="22"/>
              </w:rPr>
              <w:t>genres </w:t>
            </w:r>
            <w:r w:rsidRPr="008215A5">
              <w:rPr>
                <w:rFonts w:ascii="Arial" w:hAnsi="Arial"/>
                <w:sz w:val="22"/>
              </w:rPr>
              <w:t>» dans la section concernant « La sauvegarde du patrimoine culturel immatériel et le développement durable au niveau national ».</w:t>
            </w:r>
          </w:p>
          <w:p w:rsidR="00D70C22" w:rsidRPr="008215A5" w:rsidRDefault="00D70C22" w:rsidP="008215A5">
            <w:pPr>
              <w:pStyle w:val="ListParagraph"/>
              <w:numPr>
                <w:ilvl w:val="0"/>
                <w:numId w:val="19"/>
              </w:numPr>
              <w:spacing w:before="120" w:after="120"/>
              <w:ind w:left="473"/>
              <w:rPr>
                <w:rFonts w:ascii="Arial" w:hAnsi="Arial" w:cs="Arial"/>
                <w:b/>
                <w:sz w:val="22"/>
                <w:szCs w:val="22"/>
                <w:u w:val="single"/>
              </w:rPr>
            </w:pPr>
            <w:r w:rsidRPr="008215A5">
              <w:rPr>
                <w:rFonts w:ascii="Arial" w:hAnsi="Arial"/>
                <w:sz w:val="22"/>
              </w:rPr>
              <w:t xml:space="preserve">Cet </w:t>
            </w:r>
            <w:r w:rsidR="00AE3162" w:rsidRPr="008215A5">
              <w:rPr>
                <w:rFonts w:ascii="Arial" w:hAnsi="Arial"/>
                <w:sz w:val="22"/>
              </w:rPr>
              <w:t xml:space="preserve">amendement </w:t>
            </w:r>
            <w:r w:rsidRPr="008215A5">
              <w:rPr>
                <w:rFonts w:ascii="Arial" w:hAnsi="Arial"/>
                <w:sz w:val="22"/>
              </w:rPr>
              <w:t>devra être discuté lors de la dixième sessio</w:t>
            </w:r>
            <w:r w:rsidR="001E3D6D" w:rsidRPr="008215A5">
              <w:rPr>
                <w:rFonts w:ascii="Arial" w:hAnsi="Arial"/>
                <w:sz w:val="22"/>
              </w:rPr>
              <w:t>n </w:t>
            </w:r>
            <w:r w:rsidRPr="008215A5">
              <w:rPr>
                <w:rFonts w:ascii="Arial" w:hAnsi="Arial"/>
                <w:sz w:val="22"/>
              </w:rPr>
              <w:t>(</w:t>
            </w:r>
            <w:hyperlink r:id="rId20" w:history="1">
              <w:r w:rsidR="001E3D6D" w:rsidRPr="004A0099">
                <w:rPr>
                  <w:rStyle w:val="Hyperlink"/>
                  <w:rFonts w:ascii="Arial" w:hAnsi="Arial"/>
                  <w:sz w:val="22"/>
                </w:rPr>
                <w:t>document </w:t>
              </w:r>
              <w:r w:rsidRPr="004A0099">
                <w:rPr>
                  <w:rStyle w:val="Hyperlink"/>
                  <w:rFonts w:ascii="Arial" w:hAnsi="Arial"/>
                  <w:sz w:val="22"/>
                </w:rPr>
                <w:t>ITH/15/10.COM/14.a</w:t>
              </w:r>
            </w:hyperlink>
            <w:r w:rsidRPr="008215A5">
              <w:rPr>
                <w:rFonts w:ascii="Arial" w:hAnsi="Arial"/>
                <w:sz w:val="22"/>
              </w:rPr>
              <w:t xml:space="preserve">) ; </w:t>
            </w:r>
            <w:r w:rsidR="00FD5402" w:rsidRPr="008215A5">
              <w:rPr>
                <w:rFonts w:ascii="Arial" w:hAnsi="Arial"/>
                <w:sz w:val="22"/>
              </w:rPr>
              <w:t>s’il</w:t>
            </w:r>
            <w:r w:rsidR="00AE3162" w:rsidRPr="008215A5">
              <w:rPr>
                <w:rFonts w:ascii="Arial" w:hAnsi="Arial"/>
                <w:sz w:val="22"/>
              </w:rPr>
              <w:t xml:space="preserve"> </w:t>
            </w:r>
            <w:r w:rsidRPr="008215A5">
              <w:rPr>
                <w:rFonts w:ascii="Arial" w:hAnsi="Arial"/>
                <w:sz w:val="22"/>
              </w:rPr>
              <w:t>est approuvé, le Comité recommandera à l</w:t>
            </w:r>
            <w:r w:rsidR="00E26E2A" w:rsidRPr="008215A5">
              <w:rPr>
                <w:rFonts w:ascii="Arial" w:hAnsi="Arial"/>
                <w:sz w:val="22"/>
              </w:rPr>
              <w:t>’</w:t>
            </w:r>
            <w:r w:rsidRPr="008215A5">
              <w:rPr>
                <w:rFonts w:ascii="Arial" w:hAnsi="Arial"/>
                <w:sz w:val="22"/>
              </w:rPr>
              <w:t>Assemblée générale de l</w:t>
            </w:r>
            <w:r w:rsidR="00E26E2A" w:rsidRPr="008215A5">
              <w:rPr>
                <w:rFonts w:ascii="Arial" w:hAnsi="Arial"/>
                <w:sz w:val="22"/>
              </w:rPr>
              <w:t>’</w:t>
            </w:r>
            <w:r w:rsidRPr="008215A5">
              <w:rPr>
                <w:rFonts w:ascii="Arial" w:hAnsi="Arial"/>
                <w:sz w:val="22"/>
              </w:rPr>
              <w:t>adopter en juin 2016.</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lastRenderedPageBreak/>
              <w:t xml:space="preserve">Recommandation 2 : </w:t>
            </w:r>
            <w:r w:rsidR="00AE3162" w:rsidRPr="00AE3162">
              <w:rPr>
                <w:rFonts w:ascii="Arial" w:hAnsi="Arial"/>
                <w:b/>
                <w:sz w:val="22"/>
              </w:rPr>
              <w:t>Promouvoir une plus grande implication des ONG et des communautés dans le développement de politiques, de législations et de plans de sauvegarde et de développement durable.</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Cette recommandation est tout à fait conforme à la Convention et aux </w:t>
            </w:r>
            <w:r w:rsidR="00AC026D">
              <w:rPr>
                <w:rFonts w:ascii="Arial" w:hAnsi="Arial"/>
                <w:sz w:val="22"/>
              </w:rPr>
              <w:t xml:space="preserve">Directives </w:t>
            </w:r>
            <w:r>
              <w:rPr>
                <w:rFonts w:ascii="Arial" w:hAnsi="Arial"/>
                <w:sz w:val="22"/>
              </w:rPr>
              <w:t>opérationnelles. Bien que la mise en œuvre de cette recommandation soit sous la responsabilité directe des États Parties, le Secrétariat utilise toutes les occasions, et notamment dans le programme de renforcement des capacités et le soutien de matériel, pour rappeler l</w:t>
            </w:r>
            <w:r w:rsidR="00E26E2A">
              <w:rPr>
                <w:rFonts w:ascii="Arial" w:hAnsi="Arial"/>
                <w:sz w:val="22"/>
              </w:rPr>
              <w:t>’</w:t>
            </w:r>
            <w:r>
              <w:rPr>
                <w:rFonts w:ascii="Arial" w:hAnsi="Arial"/>
                <w:sz w:val="22"/>
              </w:rPr>
              <w:t>importance d</w:t>
            </w:r>
            <w:r w:rsidR="00E26E2A">
              <w:rPr>
                <w:rFonts w:ascii="Arial" w:hAnsi="Arial"/>
                <w:sz w:val="22"/>
              </w:rPr>
              <w:t>’</w:t>
            </w:r>
            <w:r>
              <w:rPr>
                <w:rFonts w:ascii="Arial" w:hAnsi="Arial"/>
                <w:sz w:val="22"/>
              </w:rPr>
              <w:t xml:space="preserve">une telle </w:t>
            </w:r>
            <w:r w:rsidR="00AC026D">
              <w:rPr>
                <w:rFonts w:ascii="Arial" w:hAnsi="Arial"/>
                <w:sz w:val="22"/>
              </w:rPr>
              <w:t xml:space="preserve">implication </w:t>
            </w:r>
            <w:r>
              <w:rPr>
                <w:rFonts w:ascii="Arial" w:hAnsi="Arial"/>
                <w:sz w:val="22"/>
              </w:rPr>
              <w:t>aux États.</w:t>
            </w:r>
          </w:p>
        </w:tc>
      </w:tr>
      <w:tr w:rsidR="00D70C22" w:rsidRPr="00A76B7D" w:rsidTr="0060296F">
        <w:tc>
          <w:tcPr>
            <w:tcW w:w="4690"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82"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690" w:type="dxa"/>
            <w:noWrap/>
            <w:tcMar>
              <w:top w:w="40" w:type="dxa"/>
              <w:left w:w="40" w:type="dxa"/>
              <w:bottom w:w="40" w:type="dxa"/>
              <w:right w:w="40" w:type="dxa"/>
            </w:tcMar>
          </w:tcPr>
          <w:p w:rsidR="00D70C22" w:rsidRPr="00A76B7D" w:rsidRDefault="00D70C22" w:rsidP="008215A5">
            <w:pPr>
              <w:pStyle w:val="Default"/>
              <w:spacing w:before="120" w:after="120"/>
              <w:ind w:left="113" w:right="57"/>
              <w:rPr>
                <w:sz w:val="22"/>
                <w:szCs w:val="22"/>
              </w:rPr>
            </w:pPr>
            <w:r>
              <w:rPr>
                <w:sz w:val="22"/>
              </w:rPr>
              <w:t>Intégrer et/ou renforcer ces aspects dans le matériel de renforcement de capacités et les ateliers de formation des formateurs.</w:t>
            </w:r>
          </w:p>
        </w:tc>
        <w:tc>
          <w:tcPr>
            <w:tcW w:w="1986" w:type="dxa"/>
            <w:gridSpan w:val="2"/>
            <w:noWrap/>
            <w:tcMar>
              <w:top w:w="40" w:type="dxa"/>
              <w:left w:w="40" w:type="dxa"/>
              <w:bottom w:w="40" w:type="dxa"/>
              <w:right w:w="40" w:type="dxa"/>
            </w:tcMar>
          </w:tcPr>
          <w:p w:rsidR="00D70C22" w:rsidRPr="00A76B7D" w:rsidRDefault="00772AF9" w:rsidP="008215A5">
            <w:pPr>
              <w:spacing w:before="120" w:after="120"/>
              <w:ind w:left="57"/>
              <w:rPr>
                <w:rFonts w:ascii="Arial" w:hAnsi="Arial" w:cs="Arial"/>
                <w:sz w:val="22"/>
                <w:szCs w:val="22"/>
              </w:rPr>
            </w:pPr>
            <w:r>
              <w:rPr>
                <w:rFonts w:ascii="Arial" w:hAnsi="Arial"/>
                <w:sz w:val="22"/>
              </w:rPr>
              <w:t>d</w:t>
            </w:r>
            <w:r w:rsidR="00D70C22">
              <w:rPr>
                <w:rFonts w:ascii="Arial" w:hAnsi="Arial"/>
                <w:sz w:val="22"/>
              </w:rPr>
              <w:t>écembre 2015</w:t>
            </w:r>
          </w:p>
        </w:tc>
        <w:tc>
          <w:tcPr>
            <w:tcW w:w="7682" w:type="dxa"/>
            <w:gridSpan w:val="2"/>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 xml:space="preserve">Le rôle des </w:t>
            </w:r>
            <w:r w:rsidR="00FD5402" w:rsidRPr="00FD5402">
              <w:rPr>
                <w:rFonts w:ascii="Arial" w:hAnsi="Arial"/>
                <w:sz w:val="22"/>
              </w:rPr>
              <w:t>organisations non gouvernementales</w:t>
            </w:r>
            <w:r>
              <w:rPr>
                <w:rFonts w:ascii="Arial" w:hAnsi="Arial"/>
                <w:sz w:val="22"/>
              </w:rPr>
              <w:t xml:space="preserve"> et l</w:t>
            </w:r>
            <w:r w:rsidR="00E26E2A">
              <w:rPr>
                <w:rFonts w:ascii="Arial" w:hAnsi="Arial"/>
                <w:sz w:val="22"/>
              </w:rPr>
              <w:t>’</w:t>
            </w:r>
            <w:r>
              <w:rPr>
                <w:rFonts w:ascii="Arial" w:hAnsi="Arial"/>
                <w:sz w:val="22"/>
              </w:rPr>
              <w:t xml:space="preserve">implication des communautés faisaient partie de la formation des experts </w:t>
            </w:r>
            <w:r w:rsidR="00AC026D">
              <w:rPr>
                <w:rFonts w:ascii="Arial" w:hAnsi="Arial"/>
                <w:sz w:val="22"/>
              </w:rPr>
              <w:t xml:space="preserve">facilitateurs </w:t>
            </w:r>
            <w:r>
              <w:rPr>
                <w:rFonts w:ascii="Arial" w:hAnsi="Arial"/>
                <w:sz w:val="22"/>
              </w:rPr>
              <w:t>pour l</w:t>
            </w:r>
            <w:r w:rsidR="00E26E2A">
              <w:rPr>
                <w:rFonts w:ascii="Arial" w:hAnsi="Arial"/>
                <w:sz w:val="22"/>
              </w:rPr>
              <w:t>’</w:t>
            </w:r>
            <w:r>
              <w:rPr>
                <w:rFonts w:ascii="Arial" w:hAnsi="Arial"/>
                <w:sz w:val="22"/>
              </w:rPr>
              <w:t>Asie du Pacifique (janvier 2015) et l</w:t>
            </w:r>
            <w:r w:rsidR="00E26E2A">
              <w:rPr>
                <w:rFonts w:ascii="Arial" w:hAnsi="Arial"/>
                <w:sz w:val="22"/>
              </w:rPr>
              <w:t>’</w:t>
            </w:r>
            <w:r>
              <w:rPr>
                <w:rFonts w:ascii="Arial" w:hAnsi="Arial"/>
                <w:sz w:val="22"/>
              </w:rPr>
              <w:t>Afrique (septembre 2015).</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Une note d</w:t>
            </w:r>
            <w:r w:rsidR="00E26E2A">
              <w:rPr>
                <w:rFonts w:ascii="Arial" w:hAnsi="Arial"/>
                <w:sz w:val="22"/>
              </w:rPr>
              <w:t>’</w:t>
            </w:r>
            <w:r>
              <w:rPr>
                <w:rFonts w:ascii="Arial" w:hAnsi="Arial"/>
                <w:sz w:val="22"/>
              </w:rPr>
              <w:t>orientation de l</w:t>
            </w:r>
            <w:r w:rsidR="00E26E2A">
              <w:rPr>
                <w:rFonts w:ascii="Arial" w:hAnsi="Arial"/>
                <w:sz w:val="22"/>
              </w:rPr>
              <w:t>’</w:t>
            </w:r>
            <w:r>
              <w:rPr>
                <w:rFonts w:ascii="Arial" w:hAnsi="Arial"/>
                <w:sz w:val="22"/>
              </w:rPr>
              <w:t>UNESCO concernant la fourniture de services consultatifs pour l</w:t>
            </w:r>
            <w:r w:rsidR="00E26E2A">
              <w:rPr>
                <w:rFonts w:ascii="Arial" w:hAnsi="Arial"/>
                <w:sz w:val="22"/>
              </w:rPr>
              <w:t>’</w:t>
            </w:r>
            <w:r>
              <w:rPr>
                <w:rFonts w:ascii="Arial" w:hAnsi="Arial"/>
                <w:sz w:val="22"/>
              </w:rPr>
              <w:t xml:space="preserve">élaboration de politiques dans le domaine du patrimoine culturel immatériel, disponible depuis juin 2015, </w:t>
            </w:r>
            <w:r w:rsidR="00AC026D">
              <w:rPr>
                <w:rFonts w:ascii="Arial" w:hAnsi="Arial"/>
                <w:sz w:val="22"/>
              </w:rPr>
              <w:t>souligne</w:t>
            </w:r>
            <w:r>
              <w:rPr>
                <w:rFonts w:ascii="Arial" w:hAnsi="Arial"/>
                <w:sz w:val="22"/>
              </w:rPr>
              <w:t xml:space="preserve"> le rôle des ONG et l</w:t>
            </w:r>
            <w:r w:rsidR="00E26E2A">
              <w:rPr>
                <w:rFonts w:ascii="Arial" w:hAnsi="Arial"/>
                <w:sz w:val="22"/>
              </w:rPr>
              <w:t>’</w:t>
            </w:r>
            <w:r>
              <w:rPr>
                <w:rFonts w:ascii="Arial" w:hAnsi="Arial"/>
                <w:sz w:val="22"/>
              </w:rPr>
              <w:t>implication des communautés.</w:t>
            </w:r>
          </w:p>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 xml:space="preserve">Une unité indépendante </w:t>
            </w:r>
            <w:r w:rsidR="0029136B">
              <w:rPr>
                <w:rFonts w:ascii="Arial" w:hAnsi="Arial"/>
                <w:sz w:val="22"/>
              </w:rPr>
              <w:t xml:space="preserve">du matériel </w:t>
            </w:r>
            <w:r>
              <w:rPr>
                <w:rFonts w:ascii="Arial" w:hAnsi="Arial"/>
                <w:sz w:val="22"/>
              </w:rPr>
              <w:t>de formation sur l</w:t>
            </w:r>
            <w:r w:rsidR="00E26E2A">
              <w:rPr>
                <w:rFonts w:ascii="Arial" w:hAnsi="Arial"/>
                <w:sz w:val="22"/>
              </w:rPr>
              <w:t>’</w:t>
            </w:r>
            <w:r>
              <w:rPr>
                <w:rFonts w:ascii="Arial" w:hAnsi="Arial"/>
                <w:sz w:val="22"/>
              </w:rPr>
              <w:t>élaboration des politiques et de la législation sera disponible en anglais en novembre 2015, intégrant l</w:t>
            </w:r>
            <w:r w:rsidR="00E26E2A">
              <w:rPr>
                <w:rFonts w:ascii="Arial" w:hAnsi="Arial"/>
                <w:sz w:val="22"/>
              </w:rPr>
              <w:t>’</w:t>
            </w:r>
            <w:r>
              <w:rPr>
                <w:rFonts w:ascii="Arial" w:hAnsi="Arial"/>
                <w:sz w:val="22"/>
              </w:rPr>
              <w:t>importance des ONG et l</w:t>
            </w:r>
            <w:r w:rsidR="00E26E2A">
              <w:rPr>
                <w:rFonts w:ascii="Arial" w:hAnsi="Arial"/>
                <w:sz w:val="22"/>
              </w:rPr>
              <w:t>’</w:t>
            </w:r>
            <w:r>
              <w:rPr>
                <w:rFonts w:ascii="Arial" w:hAnsi="Arial"/>
                <w:sz w:val="22"/>
              </w:rPr>
              <w:t>implication des communautés.</w:t>
            </w:r>
          </w:p>
        </w:tc>
      </w:tr>
      <w:tr w:rsidR="00D70C22" w:rsidRPr="00A76B7D" w:rsidTr="0060296F">
        <w:tc>
          <w:tcPr>
            <w:tcW w:w="4690" w:type="dxa"/>
            <w:noWrap/>
            <w:tcMar>
              <w:top w:w="40" w:type="dxa"/>
              <w:left w:w="40" w:type="dxa"/>
              <w:bottom w:w="40" w:type="dxa"/>
              <w:right w:w="40" w:type="dxa"/>
            </w:tcMar>
          </w:tcPr>
          <w:p w:rsidR="00D70C22" w:rsidRPr="00A76B7D" w:rsidRDefault="00D70C22" w:rsidP="008215A5">
            <w:pPr>
              <w:pStyle w:val="Default"/>
              <w:spacing w:before="120" w:after="120"/>
              <w:ind w:left="113" w:right="57"/>
              <w:rPr>
                <w:sz w:val="22"/>
                <w:szCs w:val="22"/>
              </w:rPr>
            </w:pPr>
            <w:r>
              <w:rPr>
                <w:sz w:val="22"/>
              </w:rPr>
              <w:t>Intégrer ses aspects dans un aide-mémoire pour l</w:t>
            </w:r>
            <w:r w:rsidR="00E26E2A">
              <w:rPr>
                <w:sz w:val="22"/>
              </w:rPr>
              <w:t>’</w:t>
            </w:r>
            <w:r>
              <w:rPr>
                <w:sz w:val="22"/>
              </w:rPr>
              <w:t xml:space="preserve">élaboration </w:t>
            </w:r>
            <w:r w:rsidR="002B5854">
              <w:rPr>
                <w:sz w:val="22"/>
              </w:rPr>
              <w:t>des dossiers</w:t>
            </w:r>
            <w:r>
              <w:rPr>
                <w:sz w:val="22"/>
              </w:rPr>
              <w:t xml:space="preserve"> de candidature et pour les rapports périodiques.</w:t>
            </w:r>
          </w:p>
        </w:tc>
        <w:tc>
          <w:tcPr>
            <w:tcW w:w="1986" w:type="dxa"/>
            <w:gridSpan w:val="2"/>
            <w:noWrap/>
            <w:tcMar>
              <w:top w:w="40" w:type="dxa"/>
              <w:left w:w="40" w:type="dxa"/>
              <w:bottom w:w="40" w:type="dxa"/>
              <w:right w:w="40" w:type="dxa"/>
            </w:tcMar>
          </w:tcPr>
          <w:p w:rsidR="00D70C22" w:rsidRPr="00A76B7D" w:rsidRDefault="00772AF9" w:rsidP="008215A5">
            <w:pPr>
              <w:pStyle w:val="Default"/>
              <w:spacing w:before="120" w:after="120"/>
              <w:ind w:left="57"/>
              <w:rPr>
                <w:sz w:val="22"/>
                <w:szCs w:val="22"/>
              </w:rPr>
            </w:pPr>
            <w:r>
              <w:rPr>
                <w:sz w:val="22"/>
              </w:rPr>
              <w:t>o</w:t>
            </w:r>
            <w:r w:rsidR="00D70C22">
              <w:rPr>
                <w:sz w:val="22"/>
              </w:rPr>
              <w:t xml:space="preserve">ctobre 2015 </w:t>
            </w:r>
          </w:p>
        </w:tc>
        <w:tc>
          <w:tcPr>
            <w:tcW w:w="7682" w:type="dxa"/>
            <w:gridSpan w:val="2"/>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sz w:val="22"/>
                <w:szCs w:val="22"/>
              </w:rPr>
            </w:pPr>
            <w:r>
              <w:rPr>
                <w:rFonts w:ascii="Arial" w:hAnsi="Arial"/>
                <w:sz w:val="22"/>
              </w:rPr>
              <w:t>La version de février 2015 de l</w:t>
            </w:r>
            <w:r w:rsidR="00E26E2A">
              <w:rPr>
                <w:rFonts w:ascii="Arial" w:hAnsi="Arial"/>
                <w:sz w:val="22"/>
              </w:rPr>
              <w:t>’</w:t>
            </w:r>
            <w:r>
              <w:rPr>
                <w:rFonts w:ascii="Arial" w:hAnsi="Arial"/>
                <w:sz w:val="22"/>
              </w:rPr>
              <w:t>aide-mémoire mentionne à plusieurs reprises l</w:t>
            </w:r>
            <w:r w:rsidR="00E26E2A">
              <w:rPr>
                <w:rFonts w:ascii="Arial" w:hAnsi="Arial"/>
                <w:sz w:val="22"/>
              </w:rPr>
              <w:t>’</w:t>
            </w:r>
            <w:r>
              <w:rPr>
                <w:rFonts w:ascii="Arial" w:hAnsi="Arial"/>
                <w:sz w:val="22"/>
              </w:rPr>
              <w:t>importance des ONG et de l</w:t>
            </w:r>
            <w:r w:rsidR="00E26E2A">
              <w:rPr>
                <w:rFonts w:ascii="Arial" w:hAnsi="Arial"/>
                <w:sz w:val="22"/>
              </w:rPr>
              <w:t>’</w:t>
            </w:r>
            <w:r>
              <w:rPr>
                <w:rFonts w:ascii="Arial" w:hAnsi="Arial"/>
                <w:sz w:val="22"/>
              </w:rPr>
              <w:t>implication des communautés.</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La nouvelle version de l</w:t>
            </w:r>
            <w:r w:rsidR="00E26E2A">
              <w:rPr>
                <w:rFonts w:ascii="Arial" w:hAnsi="Arial"/>
                <w:sz w:val="22"/>
              </w:rPr>
              <w:t>’</w:t>
            </w:r>
            <w:r>
              <w:rPr>
                <w:rFonts w:ascii="Arial" w:hAnsi="Arial"/>
                <w:sz w:val="22"/>
              </w:rPr>
              <w:t>aide-mémoire sur les candidatures et les rapports périodiques devrait inclure une section réservée aux ONG et à la participation des communautés.</w:t>
            </w:r>
            <w:bookmarkStart w:id="0" w:name="_GoBack"/>
            <w:bookmarkEnd w:id="0"/>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3 : </w:t>
            </w:r>
            <w:r w:rsidR="003C46FE" w:rsidRPr="003C46FE">
              <w:rPr>
                <w:rFonts w:ascii="Arial" w:hAnsi="Arial"/>
                <w:b/>
                <w:sz w:val="22"/>
              </w:rPr>
              <w:t>Renforcer la coopération avec les experts du développement durable pour intégrer le PCI à la législation non culturelle, au développement de politiques et à tout autre travail lié au PCI et au développement durable</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Bien que </w:t>
            </w:r>
            <w:r w:rsidR="003C46FE">
              <w:rPr>
                <w:rFonts w:ascii="Arial" w:hAnsi="Arial"/>
                <w:sz w:val="22"/>
              </w:rPr>
              <w:t xml:space="preserve">la mise en œuvre </w:t>
            </w:r>
            <w:r>
              <w:rPr>
                <w:rFonts w:ascii="Arial" w:hAnsi="Arial"/>
                <w:sz w:val="22"/>
              </w:rPr>
              <w:t xml:space="preserve">de cette recommandation soit sous la responsabilité directe des États Parties, le Secrétariat intègre ces </w:t>
            </w:r>
            <w:r w:rsidR="003C46FE">
              <w:rPr>
                <w:rFonts w:ascii="Arial" w:hAnsi="Arial"/>
                <w:sz w:val="22"/>
              </w:rPr>
              <w:t>aspects</w:t>
            </w:r>
            <w:r>
              <w:rPr>
                <w:rFonts w:ascii="Arial" w:hAnsi="Arial"/>
                <w:sz w:val="22"/>
              </w:rPr>
              <w:t xml:space="preserve"> et/ou les renforce dans son système de renforcement des capacités (programme et formation des formateurs), et lors de l</w:t>
            </w:r>
            <w:r w:rsidR="00E26E2A">
              <w:rPr>
                <w:rFonts w:ascii="Arial" w:hAnsi="Arial"/>
                <w:sz w:val="22"/>
              </w:rPr>
              <w:t>’</w:t>
            </w:r>
            <w:r>
              <w:rPr>
                <w:rFonts w:ascii="Arial" w:hAnsi="Arial"/>
                <w:sz w:val="22"/>
              </w:rPr>
              <w:t xml:space="preserve">élaboration de nouvelles </w:t>
            </w:r>
            <w:r w:rsidR="003C46FE">
              <w:rPr>
                <w:rFonts w:ascii="Arial" w:hAnsi="Arial"/>
                <w:sz w:val="22"/>
              </w:rPr>
              <w:t xml:space="preserve">Directives </w:t>
            </w:r>
            <w:r>
              <w:rPr>
                <w:rFonts w:ascii="Arial" w:hAnsi="Arial"/>
                <w:sz w:val="22"/>
              </w:rPr>
              <w:t>opérationnelles sur le patrimoine culturel immatériel et le développement durable.</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Pr>
                <w:sz w:val="22"/>
                <w:szCs w:val="22"/>
              </w:rPr>
            </w:pPr>
            <w:r>
              <w:rPr>
                <w:sz w:val="22"/>
              </w:rPr>
              <w:t>Intégrer et/ou renforcer ces aspects dans le matériel de renforcement de capacités et les ateliers de formation des formateurs.</w:t>
            </w:r>
          </w:p>
        </w:tc>
        <w:tc>
          <w:tcPr>
            <w:tcW w:w="1986" w:type="dxa"/>
            <w:gridSpan w:val="2"/>
            <w:shd w:val="clear" w:color="auto" w:fill="auto"/>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En ce qui concerne l</w:t>
            </w:r>
            <w:r w:rsidR="00E26E2A">
              <w:rPr>
                <w:rFonts w:ascii="Arial" w:hAnsi="Arial"/>
                <w:sz w:val="22"/>
              </w:rPr>
              <w:t>’</w:t>
            </w:r>
            <w:r>
              <w:rPr>
                <w:rFonts w:ascii="Arial" w:hAnsi="Arial"/>
                <w:sz w:val="22"/>
              </w:rPr>
              <w:t>intégration du patrimoine culturel immatériel aux législations non culturelles et aux politiques, une coopération plus étroite avec les experts du développement durable a permis :</w:t>
            </w:r>
          </w:p>
          <w:p w:rsidR="00D70C22" w:rsidRPr="00A76B7D" w:rsidRDefault="00D70C22" w:rsidP="008215A5">
            <w:pPr>
              <w:pStyle w:val="ListParagraph"/>
              <w:numPr>
                <w:ilvl w:val="0"/>
                <w:numId w:val="17"/>
              </w:numPr>
              <w:spacing w:before="120" w:after="120"/>
              <w:ind w:left="810"/>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élaboration d</w:t>
            </w:r>
            <w:r w:rsidR="00E26E2A">
              <w:rPr>
                <w:rFonts w:ascii="Arial" w:hAnsi="Arial"/>
                <w:sz w:val="22"/>
              </w:rPr>
              <w:t>’</w:t>
            </w:r>
            <w:r>
              <w:rPr>
                <w:rFonts w:ascii="Arial" w:hAnsi="Arial"/>
                <w:sz w:val="22"/>
              </w:rPr>
              <w:t>un nouveau format pour le soutien politique et législatif dans le programme de renforcement des capacités ;</w:t>
            </w:r>
          </w:p>
          <w:p w:rsidR="00D70C22" w:rsidRPr="00A76B7D" w:rsidRDefault="00D70C22" w:rsidP="008215A5">
            <w:pPr>
              <w:pStyle w:val="ListParagraph"/>
              <w:numPr>
                <w:ilvl w:val="0"/>
                <w:numId w:val="17"/>
              </w:numPr>
              <w:spacing w:before="120" w:after="120"/>
              <w:ind w:left="810"/>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élaboration d</w:t>
            </w:r>
            <w:r w:rsidR="00E26E2A">
              <w:rPr>
                <w:rFonts w:ascii="Arial" w:hAnsi="Arial"/>
                <w:sz w:val="22"/>
              </w:rPr>
              <w:t>’</w:t>
            </w:r>
            <w:r>
              <w:rPr>
                <w:rFonts w:ascii="Arial" w:hAnsi="Arial"/>
                <w:sz w:val="22"/>
              </w:rPr>
              <w:t>une unité (Unité 8) consacrée au patrimoine culturel immatériel et au développement durable dans le matériel de renforcement des capacités ;</w:t>
            </w:r>
          </w:p>
          <w:p w:rsidR="00D70C22" w:rsidRPr="00A76B7D" w:rsidRDefault="00D70C22" w:rsidP="008215A5">
            <w:pPr>
              <w:pStyle w:val="ListParagraph"/>
              <w:numPr>
                <w:ilvl w:val="0"/>
                <w:numId w:val="17"/>
              </w:numPr>
              <w:spacing w:before="120" w:after="120"/>
              <w:ind w:left="810"/>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élaboration d</w:t>
            </w:r>
            <w:r w:rsidR="00E26E2A">
              <w:rPr>
                <w:rFonts w:ascii="Arial" w:hAnsi="Arial"/>
                <w:sz w:val="22"/>
              </w:rPr>
              <w:t>’</w:t>
            </w:r>
            <w:r>
              <w:rPr>
                <w:rFonts w:ascii="Arial" w:hAnsi="Arial"/>
                <w:sz w:val="22"/>
              </w:rPr>
              <w:t>une note d</w:t>
            </w:r>
            <w:r w:rsidR="00E26E2A">
              <w:rPr>
                <w:rFonts w:ascii="Arial" w:hAnsi="Arial"/>
                <w:sz w:val="22"/>
              </w:rPr>
              <w:t>’</w:t>
            </w:r>
            <w:r>
              <w:rPr>
                <w:rFonts w:ascii="Arial" w:hAnsi="Arial"/>
                <w:sz w:val="22"/>
              </w:rPr>
              <w:t>orientation de l</w:t>
            </w:r>
            <w:r w:rsidR="00E26E2A">
              <w:rPr>
                <w:rFonts w:ascii="Arial" w:hAnsi="Arial"/>
                <w:sz w:val="22"/>
              </w:rPr>
              <w:t>’</w:t>
            </w:r>
            <w:r>
              <w:rPr>
                <w:rFonts w:ascii="Arial" w:hAnsi="Arial"/>
                <w:sz w:val="22"/>
              </w:rPr>
              <w:t>UNESCO sur la prestation de services consultatifs pour l</w:t>
            </w:r>
            <w:r w:rsidR="00E26E2A">
              <w:rPr>
                <w:rFonts w:ascii="Arial" w:hAnsi="Arial"/>
                <w:sz w:val="22"/>
              </w:rPr>
              <w:t>’</w:t>
            </w:r>
            <w:r>
              <w:rPr>
                <w:rFonts w:ascii="Arial" w:hAnsi="Arial"/>
                <w:sz w:val="22"/>
              </w:rPr>
              <w:t>élaboration des politiques</w:t>
            </w:r>
            <w:r w:rsidR="003C46FE">
              <w:rPr>
                <w:rFonts w:ascii="Arial" w:hAnsi="Arial"/>
                <w:sz w:val="22"/>
              </w:rPr>
              <w:t>.</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 xml:space="preserve">atelier régional pour les experts </w:t>
            </w:r>
            <w:r w:rsidR="003C46FE">
              <w:rPr>
                <w:rFonts w:ascii="Arial" w:hAnsi="Arial"/>
                <w:sz w:val="22"/>
              </w:rPr>
              <w:t xml:space="preserve">facilitateurs </w:t>
            </w:r>
            <w:r>
              <w:rPr>
                <w:rFonts w:ascii="Arial" w:hAnsi="Arial"/>
                <w:sz w:val="22"/>
              </w:rPr>
              <w:t>d</w:t>
            </w:r>
            <w:r w:rsidR="00E26E2A">
              <w:rPr>
                <w:rFonts w:ascii="Arial" w:hAnsi="Arial"/>
                <w:sz w:val="22"/>
              </w:rPr>
              <w:t>’</w:t>
            </w:r>
            <w:r>
              <w:rPr>
                <w:rFonts w:ascii="Arial" w:hAnsi="Arial"/>
                <w:sz w:val="22"/>
              </w:rPr>
              <w:t>Afrique (Constantine, Algérie, septembre 2015) s</w:t>
            </w:r>
            <w:r w:rsidR="00E26E2A">
              <w:rPr>
                <w:rFonts w:ascii="Arial" w:hAnsi="Arial"/>
                <w:sz w:val="22"/>
              </w:rPr>
              <w:t>’</w:t>
            </w:r>
            <w:r>
              <w:rPr>
                <w:rFonts w:ascii="Arial" w:hAnsi="Arial"/>
                <w:sz w:val="22"/>
              </w:rPr>
              <w:t>est centré sur le soutien à l</w:t>
            </w:r>
            <w:r w:rsidR="00E26E2A">
              <w:rPr>
                <w:rFonts w:ascii="Arial" w:hAnsi="Arial"/>
                <w:sz w:val="22"/>
              </w:rPr>
              <w:t>’</w:t>
            </w:r>
            <w:r>
              <w:rPr>
                <w:rFonts w:ascii="Arial" w:hAnsi="Arial"/>
                <w:sz w:val="22"/>
              </w:rPr>
              <w:t xml:space="preserve">élaboration de politiques dans le domaine du patrimoine culturel immatériel </w:t>
            </w:r>
            <w:r w:rsidR="003C46FE">
              <w:rPr>
                <w:rFonts w:ascii="Arial" w:hAnsi="Arial"/>
                <w:sz w:val="22"/>
              </w:rPr>
              <w:t xml:space="preserve">en Afrique </w:t>
            </w:r>
            <w:r>
              <w:rPr>
                <w:rFonts w:ascii="Arial" w:hAnsi="Arial"/>
                <w:sz w:val="22"/>
              </w:rPr>
              <w:t>et à également traité des difficultés à intégrer la politique du patrimoine culturel immatériel aux législations et politiques non</w:t>
            </w:r>
            <w:r>
              <w:noBreakHyphen/>
            </w:r>
            <w:r>
              <w:rPr>
                <w:rFonts w:ascii="Arial" w:hAnsi="Arial"/>
                <w:sz w:val="22"/>
              </w:rPr>
              <w:t>culturelles.</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Pr>
                <w:rFonts w:ascii="Arial" w:hAnsi="Arial" w:cs="Arial"/>
                <w:sz w:val="22"/>
                <w:szCs w:val="22"/>
              </w:rPr>
            </w:pPr>
            <w:r>
              <w:rPr>
                <w:rFonts w:ascii="Arial" w:hAnsi="Arial"/>
                <w:sz w:val="22"/>
              </w:rPr>
              <w:t xml:space="preserve">Développer de nouvelles </w:t>
            </w:r>
            <w:r w:rsidR="00495066">
              <w:rPr>
                <w:rFonts w:ascii="Arial" w:hAnsi="Arial"/>
                <w:sz w:val="22"/>
              </w:rPr>
              <w:t xml:space="preserve">Directives </w:t>
            </w:r>
            <w:r>
              <w:rPr>
                <w:rFonts w:ascii="Arial" w:hAnsi="Arial"/>
                <w:sz w:val="22"/>
              </w:rPr>
              <w:t>opérationnelles pour la sauvegarde du patrimoine culturel immatériel et le développement durable.</w:t>
            </w:r>
          </w:p>
        </w:tc>
        <w:tc>
          <w:tcPr>
            <w:tcW w:w="1986" w:type="dxa"/>
            <w:gridSpan w:val="2"/>
            <w:noWrap/>
            <w:tcMar>
              <w:top w:w="40" w:type="dxa"/>
              <w:left w:w="40" w:type="dxa"/>
              <w:bottom w:w="40" w:type="dxa"/>
              <w:right w:w="40" w:type="dxa"/>
            </w:tcMar>
          </w:tcPr>
          <w:p w:rsidR="00D70C22" w:rsidRPr="00A76B7D" w:rsidRDefault="00772AF9" w:rsidP="008215A5">
            <w:pPr>
              <w:spacing w:before="120" w:after="120"/>
              <w:ind w:left="57"/>
              <w:rPr>
                <w:rFonts w:ascii="Arial" w:hAnsi="Arial" w:cs="Arial"/>
                <w:sz w:val="22"/>
                <w:szCs w:val="22"/>
              </w:rPr>
            </w:pPr>
            <w:r>
              <w:rPr>
                <w:rFonts w:ascii="Arial" w:hAnsi="Arial"/>
                <w:sz w:val="22"/>
              </w:rPr>
              <w:t>j</w:t>
            </w:r>
            <w:r w:rsidR="00D70C22">
              <w:rPr>
                <w:rFonts w:ascii="Arial" w:hAnsi="Arial"/>
                <w:sz w:val="22"/>
              </w:rPr>
              <w:t>uin 2016</w:t>
            </w:r>
          </w:p>
        </w:tc>
        <w:tc>
          <w:tcPr>
            <w:tcW w:w="7655" w:type="dxa"/>
            <w:noWrap/>
            <w:tcMar>
              <w:top w:w="40" w:type="dxa"/>
              <w:left w:w="40" w:type="dxa"/>
              <w:bottom w:w="40" w:type="dxa"/>
              <w:right w:w="40" w:type="dxa"/>
            </w:tcMar>
          </w:tcPr>
          <w:p w:rsidR="00C14008" w:rsidRPr="00FD5402"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Des experts du développement ont participé à l</w:t>
            </w:r>
            <w:r w:rsidR="00E26E2A">
              <w:rPr>
                <w:rFonts w:ascii="Arial" w:hAnsi="Arial"/>
                <w:sz w:val="22"/>
              </w:rPr>
              <w:t>’</w:t>
            </w:r>
            <w:r>
              <w:rPr>
                <w:rFonts w:ascii="Arial" w:hAnsi="Arial"/>
                <w:sz w:val="22"/>
              </w:rPr>
              <w:t>élaboration du projet d</w:t>
            </w:r>
            <w:r w:rsidR="00E26E2A">
              <w:rPr>
                <w:rFonts w:ascii="Arial" w:hAnsi="Arial"/>
                <w:sz w:val="22"/>
              </w:rPr>
              <w:t>’</w:t>
            </w:r>
            <w:r>
              <w:rPr>
                <w:rFonts w:ascii="Arial" w:hAnsi="Arial"/>
                <w:sz w:val="22"/>
              </w:rPr>
              <w:t xml:space="preserve">amendement des </w:t>
            </w:r>
            <w:r w:rsidR="00495066">
              <w:rPr>
                <w:rFonts w:ascii="Arial" w:hAnsi="Arial"/>
                <w:sz w:val="22"/>
              </w:rPr>
              <w:t xml:space="preserve">Directives </w:t>
            </w:r>
            <w:r>
              <w:rPr>
                <w:rFonts w:ascii="Arial" w:hAnsi="Arial"/>
                <w:sz w:val="22"/>
              </w:rPr>
              <w:t>opérationnelles du patrimoine culturel immatériel et du développement durable</w:t>
            </w:r>
            <w:r w:rsidR="00495066">
              <w:rPr>
                <w:rFonts w:ascii="Arial" w:hAnsi="Arial"/>
                <w:sz w:val="22"/>
              </w:rPr>
              <w:t> ;</w:t>
            </w:r>
            <w:r>
              <w:rPr>
                <w:rFonts w:ascii="Arial" w:hAnsi="Arial"/>
                <w:sz w:val="22"/>
              </w:rPr>
              <w:t xml:space="preserve"> Cet amendement a été présenté lors de la neuvième session du Comité afin d</w:t>
            </w:r>
            <w:r w:rsidR="00E26E2A">
              <w:rPr>
                <w:rFonts w:ascii="Arial" w:hAnsi="Arial"/>
                <w:sz w:val="22"/>
              </w:rPr>
              <w:t>’</w:t>
            </w:r>
            <w:r>
              <w:rPr>
                <w:rFonts w:ascii="Arial" w:hAnsi="Arial"/>
                <w:sz w:val="22"/>
              </w:rPr>
              <w:t>être débattu et a été approuvé lors de la dixième session</w:t>
            </w:r>
            <w:r w:rsidR="00495066">
              <w:rPr>
                <w:rFonts w:ascii="Arial" w:hAnsi="Arial"/>
                <w:sz w:val="22"/>
              </w:rPr>
              <w:t xml:space="preserve"> </w:t>
            </w:r>
            <w:r w:rsidRPr="00FD5402">
              <w:rPr>
                <w:rFonts w:ascii="Arial" w:hAnsi="Arial"/>
                <w:sz w:val="22"/>
              </w:rPr>
              <w:t xml:space="preserve">(ITH/15/10.COM/14.a) ; </w:t>
            </w:r>
          </w:p>
          <w:p w:rsidR="00D70C22" w:rsidRPr="00FD5402" w:rsidRDefault="00C14008"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S</w:t>
            </w:r>
            <w:r w:rsidR="00E26E2A">
              <w:rPr>
                <w:rFonts w:ascii="Arial" w:hAnsi="Arial"/>
                <w:sz w:val="22"/>
              </w:rPr>
              <w:t>’</w:t>
            </w:r>
            <w:r w:rsidR="00D70C22" w:rsidRPr="00FD5402">
              <w:rPr>
                <w:rFonts w:ascii="Arial" w:hAnsi="Arial"/>
                <w:sz w:val="22"/>
              </w:rPr>
              <w:t>il est adopté, le Comité devra aussi recommander à l</w:t>
            </w:r>
            <w:r w:rsidR="00E26E2A">
              <w:rPr>
                <w:rFonts w:ascii="Arial" w:hAnsi="Arial"/>
                <w:sz w:val="22"/>
              </w:rPr>
              <w:t>’</w:t>
            </w:r>
            <w:r w:rsidR="00D70C22" w:rsidRPr="00FD5402">
              <w:rPr>
                <w:rFonts w:ascii="Arial" w:hAnsi="Arial"/>
                <w:sz w:val="22"/>
              </w:rPr>
              <w:t>Assemblée générale de l</w:t>
            </w:r>
            <w:r w:rsidR="00E26E2A">
              <w:rPr>
                <w:rFonts w:ascii="Arial" w:hAnsi="Arial"/>
                <w:sz w:val="22"/>
              </w:rPr>
              <w:t>’</w:t>
            </w:r>
            <w:r w:rsidR="00D70C22" w:rsidRPr="00FD5402">
              <w:rPr>
                <w:rFonts w:ascii="Arial" w:hAnsi="Arial"/>
                <w:sz w:val="22"/>
              </w:rPr>
              <w:t>adopter en juin 2016.</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8215A5" w:rsidRDefault="00D70C22" w:rsidP="008215A5">
            <w:pPr>
              <w:pageBreakBefore/>
              <w:tabs>
                <w:tab w:val="left" w:pos="2640"/>
              </w:tabs>
              <w:ind w:left="113" w:right="113"/>
              <w:jc w:val="both"/>
              <w:rPr>
                <w:rFonts w:ascii="Arial" w:hAnsi="Arial" w:cs="Arial"/>
                <w:b/>
                <w:spacing w:val="-1"/>
                <w:sz w:val="22"/>
                <w:szCs w:val="22"/>
              </w:rPr>
            </w:pPr>
            <w:r w:rsidRPr="008215A5">
              <w:rPr>
                <w:rFonts w:ascii="Arial" w:hAnsi="Arial"/>
                <w:b/>
                <w:spacing w:val="-1"/>
                <w:sz w:val="22"/>
              </w:rPr>
              <w:t xml:space="preserve">Recommandation 4 : </w:t>
            </w:r>
            <w:r w:rsidR="002904A8" w:rsidRPr="008215A5">
              <w:rPr>
                <w:rFonts w:ascii="Arial" w:hAnsi="Arial"/>
                <w:b/>
                <w:spacing w:val="-1"/>
                <w:sz w:val="22"/>
              </w:rPr>
              <w:t>Soutenir les États parties dans le développement de législations et de politiques dans le cadre du programme de renforcement des capacités en cours de la Convention de 2003 et concevoir des formats de renforcement des capacités appropriés allant dans ce sens.</w:t>
            </w:r>
          </w:p>
        </w:tc>
      </w:tr>
      <w:tr w:rsidR="00D70C22" w:rsidRPr="00A76B7D" w:rsidTr="0060296F">
        <w:tc>
          <w:tcPr>
            <w:tcW w:w="14358" w:type="dxa"/>
            <w:gridSpan w:val="5"/>
            <w:noWrap/>
            <w:tcMar>
              <w:top w:w="40" w:type="dxa"/>
              <w:left w:w="40" w:type="dxa"/>
              <w:bottom w:w="40" w:type="dxa"/>
              <w:right w:w="40" w:type="dxa"/>
            </w:tcMar>
          </w:tcPr>
          <w:p w:rsidR="00D70C22" w:rsidRPr="008215A5" w:rsidRDefault="00D70C22" w:rsidP="008215A5">
            <w:pPr>
              <w:ind w:left="113" w:right="113"/>
              <w:jc w:val="both"/>
              <w:rPr>
                <w:rFonts w:ascii="Arial" w:hAnsi="Arial" w:cs="Arial"/>
                <w:spacing w:val="-1"/>
                <w:sz w:val="22"/>
                <w:szCs w:val="22"/>
              </w:rPr>
            </w:pPr>
            <w:r w:rsidRPr="008215A5">
              <w:rPr>
                <w:rFonts w:ascii="Arial" w:hAnsi="Arial"/>
                <w:b/>
                <w:spacing w:val="-1"/>
                <w:sz w:val="22"/>
              </w:rPr>
              <w:t>Réponse de la direction :</w:t>
            </w:r>
            <w:r w:rsidRPr="008215A5">
              <w:rPr>
                <w:rFonts w:ascii="Arial" w:hAnsi="Arial"/>
                <w:spacing w:val="-1"/>
                <w:sz w:val="22"/>
              </w:rPr>
              <w:t xml:space="preserve"> Le Secrétariat renforce ses services consultatifs sur les politiques et la législation dans toutes les activités de renforcement des capacités actuelles et futures. Un nouveau matériel de formation doit être développé</w:t>
            </w:r>
            <w:r w:rsidR="005402DA" w:rsidRPr="008215A5">
              <w:rPr>
                <w:rFonts w:ascii="Arial" w:hAnsi="Arial"/>
                <w:spacing w:val="-1"/>
                <w:sz w:val="22"/>
              </w:rPr>
              <w:t>,</w:t>
            </w:r>
            <w:r w:rsidRPr="008215A5">
              <w:rPr>
                <w:rFonts w:ascii="Arial" w:hAnsi="Arial"/>
                <w:spacing w:val="-1"/>
                <w:sz w:val="22"/>
              </w:rPr>
              <w:t xml:space="preserve"> </w:t>
            </w:r>
            <w:r w:rsidR="005402DA" w:rsidRPr="008215A5">
              <w:rPr>
                <w:rFonts w:ascii="Arial" w:hAnsi="Arial"/>
                <w:spacing w:val="-1"/>
                <w:sz w:val="22"/>
              </w:rPr>
              <w:t>d</w:t>
            </w:r>
            <w:r w:rsidRPr="008215A5">
              <w:rPr>
                <w:rFonts w:ascii="Arial" w:hAnsi="Arial"/>
                <w:spacing w:val="-1"/>
                <w:sz w:val="22"/>
              </w:rPr>
              <w:t xml:space="preserve">es formateurs de formateurs </w:t>
            </w:r>
            <w:r w:rsidR="005402DA" w:rsidRPr="008215A5">
              <w:rPr>
                <w:rFonts w:ascii="Arial" w:hAnsi="Arial"/>
                <w:spacing w:val="-1"/>
                <w:sz w:val="22"/>
              </w:rPr>
              <w:t xml:space="preserve">doivent être </w:t>
            </w:r>
            <w:r w:rsidRPr="008215A5">
              <w:rPr>
                <w:rFonts w:ascii="Arial" w:hAnsi="Arial"/>
                <w:spacing w:val="-1"/>
                <w:sz w:val="22"/>
              </w:rPr>
              <w:t>orientés dans ce sens.</w:t>
            </w:r>
          </w:p>
        </w:tc>
      </w:tr>
      <w:tr w:rsidR="00D70C22" w:rsidRPr="00A76B7D" w:rsidTr="0060296F">
        <w:trPr>
          <w:trHeight w:val="508"/>
        </w:trPr>
        <w:tc>
          <w:tcPr>
            <w:tcW w:w="4717" w:type="dxa"/>
            <w:gridSpan w:val="2"/>
            <w:noWrap/>
            <w:tcMar>
              <w:top w:w="40" w:type="dxa"/>
              <w:left w:w="40" w:type="dxa"/>
              <w:bottom w:w="40" w:type="dxa"/>
              <w:right w:w="40" w:type="dxa"/>
            </w:tcMar>
          </w:tcPr>
          <w:p w:rsidR="00D70C22" w:rsidRPr="008215A5" w:rsidRDefault="00D70C22" w:rsidP="004A0099">
            <w:pPr>
              <w:jc w:val="center"/>
              <w:rPr>
                <w:rFonts w:ascii="Arial" w:hAnsi="Arial" w:cs="Arial"/>
                <w:b/>
                <w:spacing w:val="-1"/>
                <w:sz w:val="22"/>
                <w:szCs w:val="22"/>
              </w:rPr>
            </w:pPr>
            <w:r w:rsidRPr="008215A5">
              <w:rPr>
                <w:rFonts w:ascii="Arial" w:hAnsi="Arial"/>
                <w:b/>
                <w:spacing w:val="-1"/>
                <w:sz w:val="22"/>
              </w:rPr>
              <w:t>Actions planifiées</w:t>
            </w:r>
          </w:p>
        </w:tc>
        <w:tc>
          <w:tcPr>
            <w:tcW w:w="1986" w:type="dxa"/>
            <w:gridSpan w:val="2"/>
            <w:noWrap/>
            <w:tcMar>
              <w:top w:w="40" w:type="dxa"/>
              <w:left w:w="40" w:type="dxa"/>
              <w:bottom w:w="40" w:type="dxa"/>
              <w:right w:w="40" w:type="dxa"/>
            </w:tcMar>
          </w:tcPr>
          <w:p w:rsidR="00D70C22" w:rsidRPr="008215A5" w:rsidRDefault="00D70C22">
            <w:pPr>
              <w:jc w:val="center"/>
              <w:rPr>
                <w:rFonts w:ascii="Arial" w:hAnsi="Arial" w:cs="Arial"/>
                <w:b/>
                <w:spacing w:val="-1"/>
                <w:sz w:val="22"/>
                <w:szCs w:val="22"/>
              </w:rPr>
            </w:pPr>
            <w:r w:rsidRPr="008215A5">
              <w:rPr>
                <w:rFonts w:ascii="Arial" w:hAnsi="Arial"/>
                <w:b/>
                <w:spacing w:val="-1"/>
                <w:sz w:val="22"/>
              </w:rPr>
              <w:t>Date prévue de mise en œuvre</w:t>
            </w:r>
          </w:p>
        </w:tc>
        <w:tc>
          <w:tcPr>
            <w:tcW w:w="7655" w:type="dxa"/>
            <w:noWrap/>
            <w:tcMar>
              <w:top w:w="40" w:type="dxa"/>
              <w:left w:w="40" w:type="dxa"/>
              <w:bottom w:w="40" w:type="dxa"/>
              <w:right w:w="40" w:type="dxa"/>
            </w:tcMar>
          </w:tcPr>
          <w:p w:rsidR="00D70C22" w:rsidRPr="008215A5" w:rsidRDefault="00D70C22">
            <w:pPr>
              <w:jc w:val="center"/>
              <w:rPr>
                <w:rFonts w:ascii="Arial" w:hAnsi="Arial" w:cs="Arial"/>
                <w:b/>
                <w:spacing w:val="-1"/>
                <w:sz w:val="22"/>
                <w:szCs w:val="22"/>
              </w:rPr>
            </w:pPr>
            <w:r w:rsidRPr="008215A5">
              <w:rPr>
                <w:rFonts w:ascii="Arial" w:hAnsi="Arial"/>
                <w:b/>
                <w:spacing w:val="-1"/>
                <w:sz w:val="22"/>
              </w:rPr>
              <w:t>Statut</w:t>
            </w:r>
          </w:p>
        </w:tc>
      </w:tr>
      <w:tr w:rsidR="00D70C22" w:rsidRPr="00A76B7D" w:rsidTr="0060296F">
        <w:tc>
          <w:tcPr>
            <w:tcW w:w="4717" w:type="dxa"/>
            <w:gridSpan w:val="2"/>
            <w:noWrap/>
            <w:tcMar>
              <w:top w:w="40" w:type="dxa"/>
              <w:left w:w="40" w:type="dxa"/>
              <w:bottom w:w="40" w:type="dxa"/>
              <w:right w:w="40" w:type="dxa"/>
            </w:tcMar>
          </w:tcPr>
          <w:p w:rsidR="00D70C22" w:rsidRPr="008215A5" w:rsidRDefault="00D70C22" w:rsidP="008215A5">
            <w:pPr>
              <w:ind w:left="113" w:right="57"/>
              <w:rPr>
                <w:spacing w:val="-1"/>
                <w:sz w:val="22"/>
                <w:szCs w:val="22"/>
              </w:rPr>
            </w:pPr>
            <w:r w:rsidRPr="008215A5">
              <w:rPr>
                <w:rFonts w:ascii="Arial" w:hAnsi="Arial"/>
                <w:spacing w:val="-1"/>
                <w:sz w:val="22"/>
              </w:rPr>
              <w:t>Concevoir et utiliser un nouveau programme</w:t>
            </w:r>
            <w:r w:rsidR="00063291" w:rsidRPr="008215A5">
              <w:rPr>
                <w:rFonts w:ascii="Arial" w:hAnsi="Arial"/>
                <w:spacing w:val="-1"/>
                <w:sz w:val="22"/>
              </w:rPr>
              <w:t>.</w:t>
            </w:r>
          </w:p>
        </w:tc>
        <w:tc>
          <w:tcPr>
            <w:tcW w:w="1986" w:type="dxa"/>
            <w:gridSpan w:val="2"/>
            <w:noWrap/>
            <w:tcMar>
              <w:top w:w="40" w:type="dxa"/>
              <w:left w:w="40" w:type="dxa"/>
              <w:bottom w:w="40" w:type="dxa"/>
              <w:right w:w="40" w:type="dxa"/>
            </w:tcMar>
          </w:tcPr>
          <w:p w:rsidR="00D70C22" w:rsidRPr="008215A5" w:rsidRDefault="00772AF9" w:rsidP="008215A5">
            <w:pPr>
              <w:ind w:left="57"/>
              <w:rPr>
                <w:rFonts w:ascii="Arial" w:hAnsi="Arial" w:cs="Arial"/>
                <w:spacing w:val="-1"/>
                <w:sz w:val="22"/>
                <w:szCs w:val="22"/>
              </w:rPr>
            </w:pPr>
            <w:r>
              <w:rPr>
                <w:rFonts w:ascii="Arial" w:hAnsi="Arial"/>
                <w:spacing w:val="-1"/>
                <w:sz w:val="22"/>
              </w:rPr>
              <w:t>d</w:t>
            </w:r>
            <w:r w:rsidR="00D70C22" w:rsidRPr="008215A5">
              <w:rPr>
                <w:rFonts w:ascii="Arial" w:hAnsi="Arial"/>
                <w:spacing w:val="-1"/>
                <w:sz w:val="22"/>
              </w:rPr>
              <w:t>écembre 2015</w:t>
            </w:r>
          </w:p>
        </w:tc>
        <w:tc>
          <w:tcPr>
            <w:tcW w:w="7655" w:type="dxa"/>
            <w:noWrap/>
            <w:tcMar>
              <w:top w:w="40" w:type="dxa"/>
              <w:left w:w="40" w:type="dxa"/>
              <w:bottom w:w="40" w:type="dxa"/>
              <w:right w:w="40" w:type="dxa"/>
            </w:tcMar>
          </w:tcPr>
          <w:p w:rsidR="00D70C22" w:rsidRPr="008215A5" w:rsidRDefault="00D70C22" w:rsidP="008215A5">
            <w:pPr>
              <w:pStyle w:val="ListParagraph"/>
              <w:numPr>
                <w:ilvl w:val="0"/>
                <w:numId w:val="16"/>
              </w:numPr>
              <w:ind w:left="470" w:hanging="357"/>
              <w:rPr>
                <w:rFonts w:ascii="Arial" w:hAnsi="Arial" w:cs="Arial"/>
                <w:spacing w:val="-1"/>
                <w:sz w:val="22"/>
                <w:szCs w:val="22"/>
              </w:rPr>
            </w:pPr>
            <w:r w:rsidRPr="008215A5">
              <w:rPr>
                <w:rFonts w:ascii="Arial" w:hAnsi="Arial"/>
                <w:spacing w:val="-1"/>
                <w:sz w:val="22"/>
              </w:rPr>
              <w:t>Un atelier sur l</w:t>
            </w:r>
            <w:r w:rsidR="00E26E2A" w:rsidRPr="008215A5">
              <w:rPr>
                <w:rFonts w:ascii="Arial" w:hAnsi="Arial"/>
                <w:spacing w:val="-1"/>
                <w:sz w:val="22"/>
              </w:rPr>
              <w:t>’</w:t>
            </w:r>
            <w:r w:rsidRPr="008215A5">
              <w:rPr>
                <w:rFonts w:ascii="Arial" w:hAnsi="Arial"/>
                <w:spacing w:val="-1"/>
                <w:sz w:val="22"/>
              </w:rPr>
              <w:t>élaboration d</w:t>
            </w:r>
            <w:r w:rsidR="00E26E2A" w:rsidRPr="008215A5">
              <w:rPr>
                <w:rFonts w:ascii="Arial" w:hAnsi="Arial"/>
                <w:spacing w:val="-1"/>
                <w:sz w:val="22"/>
              </w:rPr>
              <w:t>’</w:t>
            </w:r>
            <w:r w:rsidRPr="008215A5">
              <w:rPr>
                <w:rFonts w:ascii="Arial" w:hAnsi="Arial"/>
                <w:spacing w:val="-1"/>
                <w:sz w:val="22"/>
              </w:rPr>
              <w:t>un nouveau format pour le conseil en matière de politiques dans le programme de renforcement des capacités de la Convention s</w:t>
            </w:r>
            <w:r w:rsidR="00E26E2A" w:rsidRPr="008215A5">
              <w:rPr>
                <w:rFonts w:ascii="Arial" w:hAnsi="Arial"/>
                <w:spacing w:val="-1"/>
                <w:sz w:val="22"/>
              </w:rPr>
              <w:t>’</w:t>
            </w:r>
            <w:r w:rsidRPr="008215A5">
              <w:rPr>
                <w:rFonts w:ascii="Arial" w:hAnsi="Arial"/>
                <w:spacing w:val="-1"/>
                <w:sz w:val="22"/>
              </w:rPr>
              <w:t>est déroulé en juin 2014 au siège de l</w:t>
            </w:r>
            <w:r w:rsidR="00E26E2A" w:rsidRPr="008215A5">
              <w:rPr>
                <w:rFonts w:ascii="Arial" w:hAnsi="Arial"/>
                <w:spacing w:val="-1"/>
                <w:sz w:val="22"/>
              </w:rPr>
              <w:t>’</w:t>
            </w:r>
            <w:r w:rsidRPr="008215A5">
              <w:rPr>
                <w:rFonts w:ascii="Arial" w:hAnsi="Arial"/>
                <w:spacing w:val="-1"/>
                <w:sz w:val="22"/>
              </w:rPr>
              <w:t>UNESCO.</w:t>
            </w:r>
          </w:p>
          <w:p w:rsidR="00D70C22" w:rsidRPr="008215A5" w:rsidRDefault="00D70C22" w:rsidP="008215A5">
            <w:pPr>
              <w:pStyle w:val="ListParagraph"/>
              <w:numPr>
                <w:ilvl w:val="0"/>
                <w:numId w:val="16"/>
              </w:numPr>
              <w:ind w:left="470" w:hanging="357"/>
              <w:rPr>
                <w:rFonts w:ascii="Arial" w:hAnsi="Arial" w:cs="Arial"/>
                <w:spacing w:val="-1"/>
                <w:sz w:val="22"/>
                <w:szCs w:val="22"/>
              </w:rPr>
            </w:pPr>
            <w:r w:rsidRPr="008215A5">
              <w:rPr>
                <w:rFonts w:ascii="Arial" w:hAnsi="Arial"/>
                <w:spacing w:val="-1"/>
                <w:sz w:val="22"/>
              </w:rPr>
              <w:t>Trois documents ont été rédigés sur les enjeux et les expériences du développement de politiques et législations relatifs au domaine du patrimoine culturel immatériel.</w:t>
            </w:r>
          </w:p>
          <w:p w:rsidR="00D70C22" w:rsidRPr="008215A5" w:rsidRDefault="00D70C22" w:rsidP="008215A5">
            <w:pPr>
              <w:pStyle w:val="ListParagraph"/>
              <w:numPr>
                <w:ilvl w:val="0"/>
                <w:numId w:val="16"/>
              </w:numPr>
              <w:ind w:left="470" w:hanging="357"/>
              <w:rPr>
                <w:rFonts w:ascii="Arial" w:hAnsi="Arial" w:cs="Arial"/>
                <w:spacing w:val="-1"/>
                <w:sz w:val="22"/>
                <w:szCs w:val="22"/>
              </w:rPr>
            </w:pPr>
            <w:r w:rsidRPr="008215A5">
              <w:rPr>
                <w:rFonts w:ascii="Arial" w:hAnsi="Arial"/>
                <w:spacing w:val="-1"/>
                <w:sz w:val="22"/>
              </w:rPr>
              <w:t>Une note d</w:t>
            </w:r>
            <w:r w:rsidR="00E26E2A" w:rsidRPr="008215A5">
              <w:rPr>
                <w:rFonts w:ascii="Arial" w:hAnsi="Arial"/>
                <w:spacing w:val="-1"/>
                <w:sz w:val="22"/>
              </w:rPr>
              <w:t>’</w:t>
            </w:r>
            <w:r w:rsidRPr="008215A5">
              <w:rPr>
                <w:rFonts w:ascii="Arial" w:hAnsi="Arial"/>
                <w:spacing w:val="-1"/>
                <w:sz w:val="22"/>
              </w:rPr>
              <w:t>orientation de l</w:t>
            </w:r>
            <w:r w:rsidR="00E26E2A" w:rsidRPr="008215A5">
              <w:rPr>
                <w:rFonts w:ascii="Arial" w:hAnsi="Arial"/>
                <w:spacing w:val="-1"/>
                <w:sz w:val="22"/>
              </w:rPr>
              <w:t>’</w:t>
            </w:r>
            <w:r w:rsidRPr="008215A5">
              <w:rPr>
                <w:rFonts w:ascii="Arial" w:hAnsi="Arial"/>
                <w:spacing w:val="-1"/>
                <w:sz w:val="22"/>
              </w:rPr>
              <w:t>UNESCO concernant la fourniture de services consultatifs pour l</w:t>
            </w:r>
            <w:r w:rsidR="00E26E2A" w:rsidRPr="008215A5">
              <w:rPr>
                <w:rFonts w:ascii="Arial" w:hAnsi="Arial"/>
                <w:spacing w:val="-1"/>
                <w:sz w:val="22"/>
              </w:rPr>
              <w:t>’</w:t>
            </w:r>
            <w:r w:rsidRPr="008215A5">
              <w:rPr>
                <w:rFonts w:ascii="Arial" w:hAnsi="Arial"/>
                <w:spacing w:val="-1"/>
                <w:sz w:val="22"/>
              </w:rPr>
              <w:t>élaboration de politiques relatives au patrimoine culturel immatériel a été rédigée et publiée en juin 2015 en anglais et en français.</w:t>
            </w:r>
          </w:p>
          <w:p w:rsidR="00D70C22" w:rsidRPr="008215A5" w:rsidRDefault="00D70C22" w:rsidP="008215A5">
            <w:pPr>
              <w:pStyle w:val="ListParagraph"/>
              <w:numPr>
                <w:ilvl w:val="0"/>
                <w:numId w:val="16"/>
              </w:numPr>
              <w:ind w:left="470" w:hanging="357"/>
              <w:rPr>
                <w:rFonts w:ascii="Arial" w:hAnsi="Arial" w:cs="Arial"/>
                <w:spacing w:val="-1"/>
                <w:sz w:val="22"/>
                <w:szCs w:val="22"/>
              </w:rPr>
            </w:pPr>
            <w:r w:rsidRPr="008215A5">
              <w:rPr>
                <w:rFonts w:ascii="Arial" w:hAnsi="Arial"/>
                <w:spacing w:val="-1"/>
                <w:sz w:val="22"/>
              </w:rPr>
              <w:t>De nouveaux supports de formation pour les ateliers sur l</w:t>
            </w:r>
            <w:r w:rsidR="00E26E2A" w:rsidRPr="008215A5">
              <w:rPr>
                <w:rFonts w:ascii="Arial" w:hAnsi="Arial"/>
                <w:spacing w:val="-1"/>
                <w:sz w:val="22"/>
              </w:rPr>
              <w:t>’</w:t>
            </w:r>
            <w:r w:rsidRPr="008215A5">
              <w:rPr>
                <w:rFonts w:ascii="Arial" w:hAnsi="Arial"/>
                <w:spacing w:val="-1"/>
                <w:sz w:val="22"/>
              </w:rPr>
              <w:t>élaboration de politiques créés avec des partenaires nationaux sont en cours de préparation.</w:t>
            </w:r>
          </w:p>
        </w:tc>
      </w:tr>
      <w:tr w:rsidR="00D70C22" w:rsidRPr="00A76B7D" w:rsidTr="0060296F">
        <w:tc>
          <w:tcPr>
            <w:tcW w:w="4717" w:type="dxa"/>
            <w:gridSpan w:val="2"/>
            <w:noWrap/>
            <w:tcMar>
              <w:top w:w="40" w:type="dxa"/>
              <w:left w:w="40" w:type="dxa"/>
              <w:bottom w:w="40" w:type="dxa"/>
              <w:right w:w="40" w:type="dxa"/>
            </w:tcMar>
          </w:tcPr>
          <w:p w:rsidR="00D70C22" w:rsidRPr="008215A5" w:rsidRDefault="00D70C22" w:rsidP="008215A5">
            <w:pPr>
              <w:pStyle w:val="Default"/>
              <w:ind w:left="113" w:right="57"/>
              <w:rPr>
                <w:spacing w:val="-1"/>
                <w:sz w:val="22"/>
                <w:szCs w:val="22"/>
              </w:rPr>
            </w:pPr>
            <w:r w:rsidRPr="008215A5">
              <w:rPr>
                <w:spacing w:val="-1"/>
                <w:sz w:val="22"/>
              </w:rPr>
              <w:t>Former les formateurs</w:t>
            </w:r>
            <w:r w:rsidR="00063291" w:rsidRPr="008215A5">
              <w:rPr>
                <w:spacing w:val="-1"/>
                <w:sz w:val="22"/>
              </w:rPr>
              <w:t>.</w:t>
            </w:r>
          </w:p>
        </w:tc>
        <w:tc>
          <w:tcPr>
            <w:tcW w:w="1986" w:type="dxa"/>
            <w:gridSpan w:val="2"/>
            <w:noWrap/>
            <w:tcMar>
              <w:top w:w="40" w:type="dxa"/>
              <w:left w:w="40" w:type="dxa"/>
              <w:bottom w:w="40" w:type="dxa"/>
              <w:right w:w="40" w:type="dxa"/>
            </w:tcMar>
          </w:tcPr>
          <w:p w:rsidR="00D70C22" w:rsidRPr="008215A5" w:rsidRDefault="00D70C22" w:rsidP="008215A5">
            <w:pPr>
              <w:ind w:left="57"/>
              <w:rPr>
                <w:rFonts w:ascii="Arial" w:hAnsi="Arial" w:cs="Arial"/>
                <w:spacing w:val="-1"/>
                <w:sz w:val="22"/>
                <w:szCs w:val="22"/>
              </w:rPr>
            </w:pPr>
            <w:r w:rsidRPr="008215A5">
              <w:rPr>
                <w:rFonts w:ascii="Arial" w:hAnsi="Arial"/>
                <w:spacing w:val="-1"/>
                <w:sz w:val="22"/>
              </w:rPr>
              <w:t>en cours</w:t>
            </w:r>
          </w:p>
        </w:tc>
        <w:tc>
          <w:tcPr>
            <w:tcW w:w="7655" w:type="dxa"/>
            <w:noWrap/>
            <w:tcMar>
              <w:top w:w="40" w:type="dxa"/>
              <w:left w:w="40" w:type="dxa"/>
              <w:bottom w:w="40" w:type="dxa"/>
              <w:right w:w="40" w:type="dxa"/>
            </w:tcMar>
          </w:tcPr>
          <w:p w:rsidR="00D70C22" w:rsidRPr="008215A5" w:rsidRDefault="00D70C22" w:rsidP="008215A5">
            <w:pPr>
              <w:pStyle w:val="ListParagraph"/>
              <w:numPr>
                <w:ilvl w:val="0"/>
                <w:numId w:val="16"/>
              </w:numPr>
              <w:ind w:left="470" w:hanging="357"/>
              <w:rPr>
                <w:rFonts w:ascii="Arial" w:hAnsi="Arial" w:cs="Arial"/>
                <w:spacing w:val="-1"/>
                <w:sz w:val="22"/>
                <w:szCs w:val="22"/>
              </w:rPr>
            </w:pPr>
            <w:r w:rsidRPr="008215A5">
              <w:rPr>
                <w:rFonts w:ascii="Arial" w:hAnsi="Arial"/>
                <w:spacing w:val="-1"/>
                <w:sz w:val="22"/>
              </w:rPr>
              <w:t xml:space="preserve">Cette question a été traitée lors de la formation des experts </w:t>
            </w:r>
            <w:r w:rsidR="005402DA" w:rsidRPr="008215A5">
              <w:rPr>
                <w:rFonts w:ascii="Arial" w:hAnsi="Arial"/>
                <w:spacing w:val="-1"/>
                <w:sz w:val="22"/>
              </w:rPr>
              <w:t xml:space="preserve">facilitateurs </w:t>
            </w:r>
            <w:r w:rsidRPr="008215A5">
              <w:rPr>
                <w:rFonts w:ascii="Arial" w:hAnsi="Arial"/>
                <w:spacing w:val="-1"/>
                <w:sz w:val="22"/>
              </w:rPr>
              <w:t>des États arabes (mai 2014) ; Europe et Asie centrale (septembre 2014) ; Asie et Pacifique (janvier 2015).</w:t>
            </w:r>
          </w:p>
          <w:p w:rsidR="00D70C22" w:rsidRPr="008215A5" w:rsidRDefault="00D70C22" w:rsidP="008215A5">
            <w:pPr>
              <w:pStyle w:val="ListParagraph"/>
              <w:numPr>
                <w:ilvl w:val="0"/>
                <w:numId w:val="16"/>
              </w:numPr>
              <w:ind w:left="470" w:hanging="357"/>
              <w:rPr>
                <w:rFonts w:ascii="Arial" w:hAnsi="Arial" w:cs="Arial"/>
                <w:spacing w:val="-1"/>
                <w:sz w:val="22"/>
                <w:szCs w:val="22"/>
              </w:rPr>
            </w:pPr>
            <w:r w:rsidRPr="008215A5">
              <w:rPr>
                <w:rFonts w:ascii="Arial" w:hAnsi="Arial"/>
                <w:spacing w:val="-1"/>
                <w:sz w:val="22"/>
              </w:rPr>
              <w:t xml:space="preserve">Un atelier de formation pour les experts </w:t>
            </w:r>
            <w:r w:rsidR="005402DA" w:rsidRPr="008215A5">
              <w:rPr>
                <w:rFonts w:ascii="Arial" w:hAnsi="Arial"/>
                <w:spacing w:val="-1"/>
                <w:sz w:val="22"/>
              </w:rPr>
              <w:t xml:space="preserve">facilitateurs </w:t>
            </w:r>
            <w:r w:rsidRPr="008215A5">
              <w:rPr>
                <w:rFonts w:ascii="Arial" w:hAnsi="Arial"/>
                <w:spacing w:val="-1"/>
                <w:sz w:val="22"/>
              </w:rPr>
              <w:t>en Afrique intitulé « Soutenir le développement de politiques dans le domaine du patrimoine culturel immatériel en Afrique » s</w:t>
            </w:r>
            <w:r w:rsidR="00E26E2A" w:rsidRPr="008215A5">
              <w:rPr>
                <w:rFonts w:ascii="Arial" w:hAnsi="Arial"/>
                <w:spacing w:val="-1"/>
                <w:sz w:val="22"/>
              </w:rPr>
              <w:t>’</w:t>
            </w:r>
            <w:r w:rsidRPr="008215A5">
              <w:rPr>
                <w:rFonts w:ascii="Arial" w:hAnsi="Arial"/>
                <w:spacing w:val="-1"/>
                <w:sz w:val="22"/>
              </w:rPr>
              <w:t>est déroulé en septembre 2015.</w:t>
            </w:r>
          </w:p>
        </w:tc>
      </w:tr>
      <w:tr w:rsidR="00D70C22" w:rsidRPr="00A76B7D" w:rsidTr="0060296F">
        <w:tc>
          <w:tcPr>
            <w:tcW w:w="4717" w:type="dxa"/>
            <w:gridSpan w:val="2"/>
            <w:noWrap/>
            <w:tcMar>
              <w:top w:w="40" w:type="dxa"/>
              <w:left w:w="40" w:type="dxa"/>
              <w:bottom w:w="40" w:type="dxa"/>
              <w:right w:w="40" w:type="dxa"/>
            </w:tcMar>
          </w:tcPr>
          <w:p w:rsidR="00D70C22" w:rsidRPr="008215A5" w:rsidRDefault="005402DA" w:rsidP="008215A5">
            <w:pPr>
              <w:pStyle w:val="Default"/>
              <w:ind w:left="113" w:right="57"/>
              <w:rPr>
                <w:spacing w:val="-1"/>
                <w:sz w:val="22"/>
                <w:szCs w:val="22"/>
              </w:rPr>
            </w:pPr>
            <w:r w:rsidRPr="008215A5">
              <w:rPr>
                <w:spacing w:val="-1"/>
                <w:sz w:val="22"/>
              </w:rPr>
              <w:t>Intégrer</w:t>
            </w:r>
            <w:r w:rsidR="00D70C22" w:rsidRPr="008215A5">
              <w:rPr>
                <w:spacing w:val="-1"/>
                <w:sz w:val="22"/>
              </w:rPr>
              <w:t xml:space="preserve"> de nouveaux formateurs spécialisés dans le développement de politique dans le réseau de formateurs.</w:t>
            </w:r>
          </w:p>
        </w:tc>
        <w:tc>
          <w:tcPr>
            <w:tcW w:w="1986" w:type="dxa"/>
            <w:gridSpan w:val="2"/>
            <w:noWrap/>
            <w:tcMar>
              <w:top w:w="40" w:type="dxa"/>
              <w:left w:w="40" w:type="dxa"/>
              <w:bottom w:w="40" w:type="dxa"/>
              <w:right w:w="40" w:type="dxa"/>
            </w:tcMar>
          </w:tcPr>
          <w:p w:rsidR="00D70C22" w:rsidRPr="008215A5" w:rsidRDefault="00D70C22" w:rsidP="008215A5">
            <w:pPr>
              <w:ind w:left="57"/>
              <w:rPr>
                <w:rFonts w:ascii="Arial" w:hAnsi="Arial" w:cs="Arial"/>
                <w:spacing w:val="-1"/>
                <w:sz w:val="22"/>
                <w:szCs w:val="22"/>
              </w:rPr>
            </w:pPr>
            <w:r w:rsidRPr="008215A5">
              <w:rPr>
                <w:rFonts w:ascii="Arial" w:hAnsi="Arial"/>
                <w:spacing w:val="-1"/>
                <w:sz w:val="22"/>
              </w:rPr>
              <w:t>en cours</w:t>
            </w:r>
          </w:p>
        </w:tc>
        <w:tc>
          <w:tcPr>
            <w:tcW w:w="7655" w:type="dxa"/>
            <w:noWrap/>
            <w:tcMar>
              <w:top w:w="40" w:type="dxa"/>
              <w:left w:w="40" w:type="dxa"/>
              <w:bottom w:w="40" w:type="dxa"/>
              <w:right w:w="40" w:type="dxa"/>
            </w:tcMar>
          </w:tcPr>
          <w:p w:rsidR="00D70C22" w:rsidRPr="008215A5" w:rsidRDefault="00D70C22" w:rsidP="008215A5">
            <w:pPr>
              <w:pStyle w:val="ListParagraph"/>
              <w:numPr>
                <w:ilvl w:val="0"/>
                <w:numId w:val="16"/>
              </w:numPr>
              <w:ind w:left="470" w:hanging="357"/>
              <w:rPr>
                <w:rFonts w:ascii="Arial" w:hAnsi="Arial" w:cs="Arial"/>
                <w:spacing w:val="-1"/>
                <w:sz w:val="22"/>
                <w:szCs w:val="22"/>
              </w:rPr>
            </w:pPr>
            <w:r w:rsidRPr="008215A5">
              <w:rPr>
                <w:rFonts w:ascii="Arial" w:hAnsi="Arial"/>
                <w:spacing w:val="-1"/>
                <w:sz w:val="22"/>
              </w:rPr>
              <w:t xml:space="preserve">Quatre nouveaux formateurs spécialisés dans le développement de politiques culturelles ont intégré le réseau </w:t>
            </w:r>
            <w:r w:rsidR="005402DA" w:rsidRPr="008215A5">
              <w:rPr>
                <w:rFonts w:ascii="Arial" w:hAnsi="Arial"/>
                <w:spacing w:val="-1"/>
                <w:sz w:val="22"/>
              </w:rPr>
              <w:t>d</w:t>
            </w:r>
            <w:r w:rsidR="00E26E2A" w:rsidRPr="008215A5">
              <w:rPr>
                <w:rFonts w:ascii="Arial" w:hAnsi="Arial"/>
                <w:spacing w:val="-1"/>
                <w:sz w:val="22"/>
              </w:rPr>
              <w:t>’</w:t>
            </w:r>
            <w:r w:rsidRPr="008215A5">
              <w:rPr>
                <w:rFonts w:ascii="Arial" w:hAnsi="Arial"/>
                <w:spacing w:val="-1"/>
                <w:sz w:val="22"/>
              </w:rPr>
              <w:t xml:space="preserve">experts </w:t>
            </w:r>
            <w:r w:rsidR="005402DA" w:rsidRPr="008215A5">
              <w:rPr>
                <w:rFonts w:ascii="Arial" w:hAnsi="Arial"/>
                <w:spacing w:val="-1"/>
                <w:sz w:val="22"/>
              </w:rPr>
              <w:t xml:space="preserve">facilitateurs </w:t>
            </w:r>
            <w:r w:rsidRPr="008215A5">
              <w:rPr>
                <w:rFonts w:ascii="Arial" w:hAnsi="Arial"/>
                <w:spacing w:val="-1"/>
                <w:sz w:val="22"/>
              </w:rPr>
              <w:t>de la Convention.</w:t>
            </w:r>
          </w:p>
          <w:p w:rsidR="00D70C22" w:rsidRPr="008215A5" w:rsidRDefault="00D70C22" w:rsidP="008215A5">
            <w:pPr>
              <w:pStyle w:val="ListParagraph"/>
              <w:numPr>
                <w:ilvl w:val="0"/>
                <w:numId w:val="16"/>
              </w:numPr>
              <w:ind w:left="470" w:hanging="357"/>
              <w:rPr>
                <w:rFonts w:ascii="Arial" w:hAnsi="Arial" w:cs="Arial"/>
                <w:spacing w:val="-1"/>
                <w:sz w:val="22"/>
                <w:szCs w:val="22"/>
              </w:rPr>
            </w:pPr>
            <w:r w:rsidRPr="008215A5">
              <w:rPr>
                <w:rFonts w:ascii="Arial" w:hAnsi="Arial"/>
                <w:spacing w:val="-1"/>
                <w:sz w:val="22"/>
              </w:rPr>
              <w:t>Des formateurs spécialisés en politique culturelle participeront au projet de renforcement des capacités sur plusieurs années qui aura lieu en Asie-Pacifique.</w:t>
            </w:r>
          </w:p>
          <w:p w:rsidR="00D70C22" w:rsidRPr="008215A5" w:rsidRDefault="00D70C22" w:rsidP="008215A5">
            <w:pPr>
              <w:pStyle w:val="ListParagraph"/>
              <w:numPr>
                <w:ilvl w:val="0"/>
                <w:numId w:val="16"/>
              </w:numPr>
              <w:ind w:left="470" w:hanging="357"/>
              <w:rPr>
                <w:rFonts w:ascii="Arial" w:hAnsi="Arial" w:cs="Arial"/>
                <w:spacing w:val="-1"/>
                <w:sz w:val="22"/>
                <w:szCs w:val="22"/>
              </w:rPr>
            </w:pPr>
            <w:r w:rsidRPr="008215A5">
              <w:rPr>
                <w:rFonts w:ascii="Arial" w:hAnsi="Arial"/>
                <w:spacing w:val="-1"/>
                <w:sz w:val="22"/>
              </w:rPr>
              <w:t>Les formateurs participeront aux futures activités de soutien des politiques du programme de renforcement des capacités.</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5 : </w:t>
            </w:r>
            <w:r w:rsidR="00520C2F" w:rsidRPr="00520C2F">
              <w:rPr>
                <w:rFonts w:ascii="Arial" w:hAnsi="Arial"/>
                <w:b/>
                <w:sz w:val="22"/>
              </w:rPr>
              <w:t>Coopérer avec les experts du développement durable au moment où il s</w:t>
            </w:r>
            <w:r w:rsidR="00E26E2A">
              <w:rPr>
                <w:rFonts w:ascii="Arial" w:hAnsi="Arial"/>
                <w:b/>
                <w:sz w:val="22"/>
              </w:rPr>
              <w:t>’</w:t>
            </w:r>
            <w:r w:rsidR="00520C2F" w:rsidRPr="00520C2F">
              <w:rPr>
                <w:rFonts w:ascii="Arial" w:hAnsi="Arial"/>
                <w:b/>
                <w:sz w:val="22"/>
              </w:rPr>
              <w:t>agit de soutenir les États parties à intégrer le PCI dans une législation et une politique non-culturelle, et pour d</w:t>
            </w:r>
            <w:r w:rsidR="00E26E2A">
              <w:rPr>
                <w:rFonts w:ascii="Arial" w:hAnsi="Arial"/>
                <w:b/>
                <w:sz w:val="22"/>
              </w:rPr>
              <w:t>’</w:t>
            </w:r>
            <w:r w:rsidR="00520C2F" w:rsidRPr="00520C2F">
              <w:rPr>
                <w:rFonts w:ascii="Arial" w:hAnsi="Arial"/>
                <w:b/>
                <w:sz w:val="22"/>
              </w:rPr>
              <w:t>autres travaux liés au PCI et au développement durable</w:t>
            </w:r>
            <w:r>
              <w:rPr>
                <w:rFonts w:ascii="Arial" w:hAnsi="Arial"/>
                <w:b/>
                <w:sz w:val="22"/>
              </w:rPr>
              <w:t>.</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Des experts du développement durable sont en train d</w:t>
            </w:r>
            <w:r w:rsidR="00E26E2A">
              <w:rPr>
                <w:rFonts w:ascii="Arial" w:hAnsi="Arial"/>
                <w:sz w:val="22"/>
              </w:rPr>
              <w:t>’</w:t>
            </w:r>
            <w:r>
              <w:rPr>
                <w:rFonts w:ascii="Arial" w:hAnsi="Arial"/>
                <w:sz w:val="22"/>
              </w:rPr>
              <w:t>intégrer le réseau de formateurs sur le patrimoine culturel immatériel de l</w:t>
            </w:r>
            <w:r w:rsidR="00E26E2A">
              <w:rPr>
                <w:rFonts w:ascii="Arial" w:hAnsi="Arial"/>
                <w:sz w:val="22"/>
              </w:rPr>
              <w:t>’</w:t>
            </w:r>
            <w:r>
              <w:rPr>
                <w:rFonts w:ascii="Arial" w:hAnsi="Arial"/>
                <w:sz w:val="22"/>
              </w:rPr>
              <w:t>UNESCO, en vue d</w:t>
            </w:r>
            <w:r w:rsidR="00E26E2A">
              <w:rPr>
                <w:rFonts w:ascii="Arial" w:hAnsi="Arial"/>
                <w:sz w:val="22"/>
              </w:rPr>
              <w:t>’</w:t>
            </w:r>
            <w:r>
              <w:rPr>
                <w:rFonts w:ascii="Arial" w:hAnsi="Arial"/>
                <w:sz w:val="22"/>
              </w:rPr>
              <w:t>aider les experts/formateurs qui seraient moins familiarisés avec le sujet du développement au sens large.</w:t>
            </w:r>
          </w:p>
        </w:tc>
      </w:tr>
      <w:tr w:rsidR="00D70C22" w:rsidRPr="00A76B7D" w:rsidTr="0060296F">
        <w:trPr>
          <w:trHeight w:val="508"/>
        </w:trPr>
        <w:tc>
          <w:tcPr>
            <w:tcW w:w="4717" w:type="dxa"/>
            <w:gridSpan w:val="2"/>
            <w:noWrap/>
            <w:tcMar>
              <w:top w:w="40" w:type="dxa"/>
              <w:left w:w="40" w:type="dxa"/>
              <w:bottom w:w="40" w:type="dxa"/>
              <w:right w:w="40" w:type="dxa"/>
            </w:tcMar>
          </w:tcPr>
          <w:p w:rsidR="00D70C22" w:rsidRPr="00A76B7D" w:rsidRDefault="00D70C22" w:rsidP="008215A5">
            <w:pPr>
              <w:spacing w:before="40" w:after="4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40" w:after="4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40" w:after="4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40" w:after="40"/>
              <w:ind w:left="113" w:right="57"/>
              <w:rPr>
                <w:rFonts w:eastAsia="Times New Roman"/>
                <w:color w:val="auto"/>
                <w:sz w:val="22"/>
                <w:szCs w:val="22"/>
              </w:rPr>
            </w:pPr>
            <w:r>
              <w:rPr>
                <w:color w:val="auto"/>
                <w:sz w:val="22"/>
              </w:rPr>
              <w:t>Publier et diffuser la brochure « Patrimoine Culturel Immatériel et Développement Durable » (kit d</w:t>
            </w:r>
            <w:r w:rsidR="00E26E2A">
              <w:rPr>
                <w:color w:val="auto"/>
                <w:sz w:val="22"/>
              </w:rPr>
              <w:t>’</w:t>
            </w:r>
            <w:r>
              <w:rPr>
                <w:color w:val="auto"/>
                <w:sz w:val="22"/>
              </w:rPr>
              <w:t>info ITH)</w:t>
            </w:r>
            <w:r w:rsidR="00063291">
              <w:rPr>
                <w:color w:val="auto"/>
                <w:sz w:val="22"/>
              </w:rPr>
              <w:t>.</w:t>
            </w:r>
          </w:p>
        </w:tc>
        <w:tc>
          <w:tcPr>
            <w:tcW w:w="1986" w:type="dxa"/>
            <w:gridSpan w:val="2"/>
            <w:noWrap/>
            <w:tcMar>
              <w:top w:w="40" w:type="dxa"/>
              <w:left w:w="40" w:type="dxa"/>
              <w:bottom w:w="40" w:type="dxa"/>
              <w:right w:w="40" w:type="dxa"/>
            </w:tcMar>
          </w:tcPr>
          <w:p w:rsidR="00D70C22" w:rsidRPr="00A76B7D" w:rsidRDefault="00772AF9" w:rsidP="008215A5">
            <w:pPr>
              <w:spacing w:before="40" w:after="40"/>
              <w:ind w:left="57"/>
              <w:rPr>
                <w:rFonts w:ascii="Arial" w:hAnsi="Arial" w:cs="Arial"/>
                <w:sz w:val="22"/>
                <w:szCs w:val="22"/>
              </w:rPr>
            </w:pPr>
            <w:r>
              <w:rPr>
                <w:rFonts w:ascii="Arial" w:hAnsi="Arial"/>
                <w:sz w:val="22"/>
              </w:rPr>
              <w:t>o</w:t>
            </w:r>
            <w:r w:rsidR="00D70C22">
              <w:rPr>
                <w:rFonts w:ascii="Arial" w:hAnsi="Arial"/>
                <w:sz w:val="22"/>
              </w:rPr>
              <w:t>ctobre 2015</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40" w:after="40"/>
              <w:ind w:left="470" w:hanging="357"/>
              <w:rPr>
                <w:rFonts w:ascii="Arial" w:hAnsi="Arial" w:cs="Arial"/>
                <w:sz w:val="22"/>
                <w:szCs w:val="22"/>
              </w:rPr>
            </w:pPr>
            <w:r>
              <w:rPr>
                <w:rFonts w:ascii="Arial" w:hAnsi="Arial"/>
                <w:sz w:val="22"/>
              </w:rPr>
              <w:t>Une brochure</w:t>
            </w:r>
            <w:r w:rsidR="00520C2F">
              <w:rPr>
                <w:rFonts w:ascii="Arial" w:hAnsi="Arial"/>
                <w:sz w:val="22"/>
              </w:rPr>
              <w:t xml:space="preserve"> a été</w:t>
            </w:r>
            <w:r>
              <w:rPr>
                <w:rFonts w:ascii="Arial" w:hAnsi="Arial"/>
                <w:sz w:val="22"/>
              </w:rPr>
              <w:t xml:space="preserve"> publiée en octobre 2015</w:t>
            </w:r>
            <w:r w:rsidR="00520C2F">
              <w:rPr>
                <w:rFonts w:ascii="Arial" w:hAnsi="Arial"/>
                <w:sz w:val="22"/>
              </w:rPr>
              <w:t xml:space="preserve"> et</w:t>
            </w:r>
            <w:r>
              <w:rPr>
                <w:rFonts w:ascii="Arial" w:hAnsi="Arial"/>
                <w:sz w:val="22"/>
              </w:rPr>
              <w:t xml:space="preserve"> sera utilisée par les </w:t>
            </w:r>
            <w:r w:rsidR="00437B87">
              <w:rPr>
                <w:rFonts w:ascii="Arial" w:hAnsi="Arial"/>
                <w:sz w:val="22"/>
              </w:rPr>
              <w:t xml:space="preserve">Bureaux </w:t>
            </w:r>
            <w:r>
              <w:rPr>
                <w:rFonts w:ascii="Arial" w:hAnsi="Arial"/>
                <w:sz w:val="22"/>
              </w:rPr>
              <w:t>hors siège de L</w:t>
            </w:r>
            <w:r w:rsidR="00E26E2A">
              <w:rPr>
                <w:rFonts w:ascii="Arial" w:hAnsi="Arial"/>
                <w:sz w:val="22"/>
              </w:rPr>
              <w:t>’</w:t>
            </w:r>
            <w:r>
              <w:rPr>
                <w:rFonts w:ascii="Arial" w:hAnsi="Arial"/>
                <w:sz w:val="22"/>
              </w:rPr>
              <w:t>UNESCO et sera diffusée lors de la dixième session du Comité.</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40" w:after="40"/>
              <w:ind w:left="113" w:right="57"/>
              <w:rPr>
                <w:rFonts w:eastAsia="Times New Roman"/>
                <w:color w:val="auto"/>
                <w:sz w:val="22"/>
                <w:szCs w:val="22"/>
              </w:rPr>
            </w:pPr>
            <w:r>
              <w:rPr>
                <w:color w:val="auto"/>
                <w:sz w:val="22"/>
              </w:rPr>
              <w:t>Réviser le modèle du rapport final pour la formation afin d</w:t>
            </w:r>
            <w:r w:rsidR="00E26E2A">
              <w:rPr>
                <w:color w:val="auto"/>
                <w:sz w:val="22"/>
              </w:rPr>
              <w:t>’</w:t>
            </w:r>
            <w:r>
              <w:rPr>
                <w:color w:val="auto"/>
                <w:sz w:val="22"/>
              </w:rPr>
              <w:t>y inclure une question relative à la participation des experts en développement durable</w:t>
            </w:r>
            <w:r w:rsidR="00063291">
              <w:rPr>
                <w:color w:val="auto"/>
                <w:sz w:val="22"/>
              </w:rPr>
              <w:t>.</w:t>
            </w:r>
            <w:r>
              <w:rPr>
                <w:color w:val="auto"/>
                <w:sz w:val="22"/>
              </w:rPr>
              <w:t xml:space="preserve"> </w:t>
            </w:r>
          </w:p>
        </w:tc>
        <w:tc>
          <w:tcPr>
            <w:tcW w:w="1986" w:type="dxa"/>
            <w:gridSpan w:val="2"/>
            <w:noWrap/>
            <w:tcMar>
              <w:top w:w="40" w:type="dxa"/>
              <w:left w:w="40" w:type="dxa"/>
              <w:bottom w:w="40" w:type="dxa"/>
              <w:right w:w="40" w:type="dxa"/>
            </w:tcMar>
          </w:tcPr>
          <w:p w:rsidR="00D70C22" w:rsidRPr="00A76B7D" w:rsidRDefault="00772AF9" w:rsidP="008215A5">
            <w:pPr>
              <w:spacing w:before="40" w:after="40"/>
              <w:ind w:left="57"/>
              <w:rPr>
                <w:rFonts w:ascii="Arial" w:hAnsi="Arial" w:cs="Arial"/>
                <w:sz w:val="22"/>
                <w:szCs w:val="22"/>
              </w:rPr>
            </w:pPr>
            <w:r>
              <w:rPr>
                <w:rFonts w:ascii="Arial" w:hAnsi="Arial"/>
                <w:sz w:val="22"/>
              </w:rPr>
              <w:t>d</w:t>
            </w:r>
            <w:r w:rsidR="00D70C22">
              <w:rPr>
                <w:rFonts w:ascii="Arial" w:hAnsi="Arial"/>
                <w:sz w:val="22"/>
              </w:rPr>
              <w:t>écembre 2015</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40" w:after="40"/>
              <w:ind w:left="470" w:hanging="357"/>
              <w:rPr>
                <w:rFonts w:ascii="Arial" w:hAnsi="Arial" w:cs="Arial"/>
                <w:sz w:val="22"/>
                <w:szCs w:val="22"/>
              </w:rPr>
            </w:pPr>
            <w:r>
              <w:rPr>
                <w:rFonts w:ascii="Arial" w:hAnsi="Arial"/>
                <w:sz w:val="22"/>
              </w:rPr>
              <w:t>Révision à terminer d</w:t>
            </w:r>
            <w:r w:rsidR="00E26E2A">
              <w:rPr>
                <w:rFonts w:ascii="Arial" w:hAnsi="Arial"/>
                <w:sz w:val="22"/>
              </w:rPr>
              <w:t>’</w:t>
            </w:r>
            <w:r>
              <w:rPr>
                <w:rFonts w:ascii="Arial" w:hAnsi="Arial"/>
                <w:sz w:val="22"/>
              </w:rPr>
              <w:t>ici la fin du mois de décembre 2015</w:t>
            </w:r>
            <w:r w:rsidR="00437B87">
              <w:rPr>
                <w:rFonts w:ascii="Arial" w:hAnsi="Arial"/>
                <w:sz w:val="22"/>
              </w:rPr>
              <w: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40" w:after="40"/>
              <w:ind w:left="113" w:right="57"/>
              <w:rPr>
                <w:rFonts w:eastAsia="Times New Roman"/>
                <w:color w:val="auto"/>
                <w:sz w:val="22"/>
                <w:szCs w:val="22"/>
              </w:rPr>
            </w:pPr>
            <w:r>
              <w:rPr>
                <w:color w:val="auto"/>
                <w:sz w:val="22"/>
              </w:rPr>
              <w:t xml:space="preserve">Élaborer le guide destiné aux </w:t>
            </w:r>
            <w:r w:rsidR="00437B87">
              <w:rPr>
                <w:color w:val="auto"/>
                <w:sz w:val="22"/>
              </w:rPr>
              <w:t xml:space="preserve">Bureaux </w:t>
            </w:r>
            <w:r>
              <w:rPr>
                <w:color w:val="auto"/>
                <w:sz w:val="22"/>
              </w:rPr>
              <w:t>hors siège.</w:t>
            </w:r>
          </w:p>
        </w:tc>
        <w:tc>
          <w:tcPr>
            <w:tcW w:w="1986" w:type="dxa"/>
            <w:gridSpan w:val="2"/>
            <w:noWrap/>
            <w:tcMar>
              <w:top w:w="40" w:type="dxa"/>
              <w:left w:w="40" w:type="dxa"/>
              <w:bottom w:w="40" w:type="dxa"/>
              <w:right w:w="40" w:type="dxa"/>
            </w:tcMar>
          </w:tcPr>
          <w:p w:rsidR="00D70C22" w:rsidRPr="00A76B7D" w:rsidRDefault="00772AF9" w:rsidP="008215A5">
            <w:pPr>
              <w:spacing w:before="40" w:after="40"/>
              <w:ind w:left="57"/>
              <w:rPr>
                <w:rFonts w:ascii="Arial" w:hAnsi="Arial" w:cs="Arial"/>
                <w:sz w:val="22"/>
                <w:szCs w:val="22"/>
              </w:rPr>
            </w:pPr>
            <w:r>
              <w:rPr>
                <w:rFonts w:ascii="Arial" w:hAnsi="Arial"/>
                <w:sz w:val="22"/>
              </w:rPr>
              <w:t>d</w:t>
            </w:r>
            <w:r w:rsidR="00D70C22">
              <w:rPr>
                <w:rFonts w:ascii="Arial" w:hAnsi="Arial"/>
                <w:sz w:val="22"/>
              </w:rPr>
              <w:t>écembre 2015</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40" w:after="40"/>
              <w:ind w:left="470" w:hanging="357"/>
              <w:rPr>
                <w:rFonts w:ascii="Arial" w:hAnsi="Arial" w:cs="Arial"/>
                <w:sz w:val="22"/>
                <w:szCs w:val="22"/>
              </w:rPr>
            </w:pPr>
            <w:r>
              <w:rPr>
                <w:rFonts w:ascii="Arial" w:hAnsi="Arial"/>
                <w:sz w:val="22"/>
              </w:rPr>
              <w:t xml:space="preserve">La </w:t>
            </w:r>
            <w:r w:rsidR="00437B87">
              <w:rPr>
                <w:rFonts w:ascii="Arial" w:hAnsi="Arial"/>
                <w:sz w:val="22"/>
              </w:rPr>
              <w:t xml:space="preserve">Section </w:t>
            </w:r>
            <w:r>
              <w:rPr>
                <w:rFonts w:ascii="Arial" w:hAnsi="Arial"/>
                <w:sz w:val="22"/>
              </w:rPr>
              <w:t xml:space="preserve">du patrimoine culturel immatériel, après avoir consulté ses </w:t>
            </w:r>
            <w:r w:rsidR="00437B87">
              <w:rPr>
                <w:rFonts w:ascii="Arial" w:hAnsi="Arial"/>
                <w:sz w:val="22"/>
              </w:rPr>
              <w:t xml:space="preserve">Bureaux </w:t>
            </w:r>
            <w:r>
              <w:rPr>
                <w:rFonts w:ascii="Arial" w:hAnsi="Arial"/>
                <w:sz w:val="22"/>
              </w:rPr>
              <w:t>hors-sièges, a rédigé une note d</w:t>
            </w:r>
            <w:r w:rsidR="00E26E2A">
              <w:rPr>
                <w:rFonts w:ascii="Arial" w:hAnsi="Arial"/>
                <w:sz w:val="22"/>
              </w:rPr>
              <w:t>’</w:t>
            </w:r>
            <w:r>
              <w:rPr>
                <w:rFonts w:ascii="Arial" w:hAnsi="Arial"/>
                <w:sz w:val="22"/>
              </w:rPr>
              <w:t>orientation qui leur sera diffusée.</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tabs>
                <w:tab w:val="left" w:pos="2640"/>
              </w:tabs>
              <w:spacing w:before="40" w:after="40"/>
              <w:ind w:left="113" w:right="113"/>
              <w:jc w:val="both"/>
              <w:rPr>
                <w:rFonts w:ascii="Arial" w:hAnsi="Arial" w:cs="Arial"/>
                <w:b/>
                <w:sz w:val="22"/>
                <w:szCs w:val="22"/>
              </w:rPr>
            </w:pPr>
            <w:r>
              <w:rPr>
                <w:rFonts w:ascii="Arial" w:hAnsi="Arial"/>
                <w:b/>
                <w:sz w:val="22"/>
              </w:rPr>
              <w:t xml:space="preserve">Recommandation 6 : </w:t>
            </w:r>
            <w:r w:rsidR="00C243DA" w:rsidRPr="00C243DA">
              <w:rPr>
                <w:rFonts w:ascii="Arial" w:hAnsi="Arial"/>
                <w:b/>
                <w:sz w:val="22"/>
              </w:rPr>
              <w:t>Établir avec la pleine participation des bureaux hors siège de l</w:t>
            </w:r>
            <w:r w:rsidR="00E26E2A">
              <w:rPr>
                <w:rFonts w:ascii="Arial" w:hAnsi="Arial"/>
                <w:b/>
                <w:sz w:val="22"/>
              </w:rPr>
              <w:t>’</w:t>
            </w:r>
            <w:r w:rsidR="00C243DA" w:rsidRPr="00C243DA">
              <w:rPr>
                <w:rFonts w:ascii="Arial" w:hAnsi="Arial"/>
                <w:b/>
                <w:sz w:val="22"/>
              </w:rPr>
              <w:t>UNESCO et en coopération avec les Commissions nationales de l</w:t>
            </w:r>
            <w:r w:rsidR="00E26E2A">
              <w:rPr>
                <w:rFonts w:ascii="Arial" w:hAnsi="Arial"/>
                <w:b/>
                <w:sz w:val="22"/>
              </w:rPr>
              <w:t>’</w:t>
            </w:r>
            <w:r w:rsidR="00C243DA" w:rsidRPr="00C243DA">
              <w:rPr>
                <w:rFonts w:ascii="Arial" w:hAnsi="Arial"/>
                <w:b/>
                <w:sz w:val="22"/>
              </w:rPr>
              <w:t>UNESCO, un mécanisme de suivi pour les activités de renforcement des capacités afin de rassembler des données sur leur efficacité.</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40" w:after="4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Des consultations ont été réalisées en vue de mettre en place ce mécanisme de suivi. Ce mécanisme devrait être élaboré dans le cadre d</w:t>
            </w:r>
            <w:r w:rsidR="00E26E2A">
              <w:rPr>
                <w:rFonts w:ascii="Arial" w:hAnsi="Arial"/>
                <w:sz w:val="22"/>
              </w:rPr>
              <w:t>’</w:t>
            </w:r>
            <w:r>
              <w:rPr>
                <w:rFonts w:ascii="Arial" w:hAnsi="Arial"/>
                <w:sz w:val="22"/>
              </w:rPr>
              <w:t>un projet pilote dans une région sélectionnée d</w:t>
            </w:r>
            <w:r w:rsidR="00E26E2A">
              <w:rPr>
                <w:rFonts w:ascii="Arial" w:hAnsi="Arial"/>
                <w:sz w:val="22"/>
              </w:rPr>
              <w:t>’</w:t>
            </w:r>
            <w:r>
              <w:rPr>
                <w:rFonts w:ascii="Arial" w:hAnsi="Arial"/>
                <w:sz w:val="22"/>
              </w:rPr>
              <w:t>ici la fin de l</w:t>
            </w:r>
            <w:r w:rsidR="00E26E2A">
              <w:rPr>
                <w:rFonts w:ascii="Arial" w:hAnsi="Arial"/>
                <w:sz w:val="22"/>
              </w:rPr>
              <w:t>’</w:t>
            </w:r>
            <w:r>
              <w:rPr>
                <w:rFonts w:ascii="Arial" w:hAnsi="Arial"/>
                <w:sz w:val="22"/>
              </w:rPr>
              <w:t>année.</w:t>
            </w:r>
          </w:p>
        </w:tc>
      </w:tr>
      <w:tr w:rsidR="00D70C22" w:rsidRPr="00A76B7D" w:rsidTr="0060296F">
        <w:tc>
          <w:tcPr>
            <w:tcW w:w="4717"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40" w:after="4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40" w:after="4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rsidR="00D70C22" w:rsidRPr="00A76B7D" w:rsidRDefault="00D70C22" w:rsidP="008215A5">
            <w:pPr>
              <w:spacing w:before="40" w:after="4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shd w:val="clear" w:color="auto" w:fill="FFFFFF" w:themeFill="background1"/>
            <w:noWrap/>
            <w:tcMar>
              <w:top w:w="40" w:type="dxa"/>
              <w:left w:w="40" w:type="dxa"/>
              <w:bottom w:w="40" w:type="dxa"/>
              <w:right w:w="40" w:type="dxa"/>
            </w:tcMar>
          </w:tcPr>
          <w:p w:rsidR="00D70C22" w:rsidRPr="00A76B7D" w:rsidRDefault="00D70C22" w:rsidP="008215A5">
            <w:pPr>
              <w:pStyle w:val="Default"/>
              <w:spacing w:before="40" w:after="40"/>
              <w:ind w:left="113"/>
              <w:rPr>
                <w:sz w:val="22"/>
                <w:szCs w:val="22"/>
              </w:rPr>
            </w:pPr>
            <w:r>
              <w:rPr>
                <w:sz w:val="22"/>
              </w:rPr>
              <w:t>Définir la méthodologie et le plan de travail pour s</w:t>
            </w:r>
            <w:r w:rsidR="00E26E2A">
              <w:rPr>
                <w:sz w:val="22"/>
              </w:rPr>
              <w:t>’</w:t>
            </w:r>
            <w:r>
              <w:rPr>
                <w:sz w:val="22"/>
              </w:rPr>
              <w:t>aligner sur la théorie de changement globale.</w:t>
            </w:r>
          </w:p>
        </w:tc>
        <w:tc>
          <w:tcPr>
            <w:tcW w:w="1986" w:type="dxa"/>
            <w:gridSpan w:val="2"/>
            <w:shd w:val="clear" w:color="auto" w:fill="FFFFFF" w:themeFill="background1"/>
            <w:noWrap/>
            <w:tcMar>
              <w:top w:w="40" w:type="dxa"/>
              <w:left w:w="40" w:type="dxa"/>
              <w:bottom w:w="40" w:type="dxa"/>
              <w:right w:w="40" w:type="dxa"/>
            </w:tcMar>
          </w:tcPr>
          <w:p w:rsidR="00D70C22" w:rsidRPr="00A76B7D" w:rsidRDefault="00772AF9" w:rsidP="008215A5">
            <w:pPr>
              <w:spacing w:before="40" w:after="40"/>
              <w:ind w:left="57"/>
              <w:rPr>
                <w:rFonts w:ascii="Arial" w:hAnsi="Arial" w:cs="Arial"/>
                <w:sz w:val="22"/>
                <w:szCs w:val="22"/>
              </w:rPr>
            </w:pPr>
            <w:r>
              <w:rPr>
                <w:rFonts w:ascii="Arial" w:hAnsi="Arial"/>
                <w:sz w:val="22"/>
              </w:rPr>
              <w:t>j</w:t>
            </w:r>
            <w:r w:rsidR="00D70C22">
              <w:rPr>
                <w:rFonts w:ascii="Arial" w:hAnsi="Arial"/>
                <w:sz w:val="22"/>
              </w:rPr>
              <w:t>uin 2015</w:t>
            </w:r>
          </w:p>
        </w:tc>
        <w:tc>
          <w:tcPr>
            <w:tcW w:w="7655" w:type="dxa"/>
            <w:shd w:val="clear" w:color="auto" w:fill="FFFFFF" w:themeFill="background1"/>
            <w:noWrap/>
            <w:tcMar>
              <w:top w:w="40" w:type="dxa"/>
              <w:left w:w="40" w:type="dxa"/>
              <w:bottom w:w="40" w:type="dxa"/>
              <w:right w:w="40" w:type="dxa"/>
            </w:tcMar>
          </w:tcPr>
          <w:p w:rsidR="00D70C22" w:rsidRPr="00A76B7D" w:rsidRDefault="00D70C22" w:rsidP="008215A5">
            <w:pPr>
              <w:pStyle w:val="ListParagraph"/>
              <w:numPr>
                <w:ilvl w:val="0"/>
                <w:numId w:val="16"/>
              </w:numPr>
              <w:spacing w:before="40" w:after="40"/>
              <w:ind w:left="470" w:hanging="357"/>
              <w:rPr>
                <w:rFonts w:ascii="Arial" w:hAnsi="Arial" w:cs="Arial"/>
                <w:sz w:val="22"/>
                <w:szCs w:val="22"/>
              </w:rPr>
            </w:pPr>
            <w:r>
              <w:rPr>
                <w:rFonts w:ascii="Arial" w:hAnsi="Arial"/>
                <w:sz w:val="22"/>
              </w:rPr>
              <w:t>La Section patrimoine culturel immatériel a consulté l</w:t>
            </w:r>
            <w:r w:rsidR="00E26E2A">
              <w:rPr>
                <w:rFonts w:ascii="Arial" w:hAnsi="Arial"/>
                <w:sz w:val="22"/>
              </w:rPr>
              <w:t>’</w:t>
            </w:r>
            <w:r>
              <w:rPr>
                <w:rFonts w:ascii="Arial" w:hAnsi="Arial"/>
                <w:sz w:val="22"/>
              </w:rPr>
              <w:t>IOS, des experts</w:t>
            </w:r>
            <w:r w:rsidR="008273F6">
              <w:rPr>
                <w:rFonts w:ascii="Arial" w:hAnsi="Arial"/>
                <w:sz w:val="22"/>
              </w:rPr>
              <w:t xml:space="preserve"> facilitateurs</w:t>
            </w:r>
            <w:r>
              <w:rPr>
                <w:rFonts w:ascii="Arial" w:hAnsi="Arial"/>
                <w:sz w:val="22"/>
              </w:rPr>
              <w:t>, a sélectionné des partenaires nationaux et les Bureaux hors siège de l</w:t>
            </w:r>
            <w:r w:rsidR="00E26E2A">
              <w:rPr>
                <w:rFonts w:ascii="Arial" w:hAnsi="Arial"/>
                <w:sz w:val="22"/>
              </w:rPr>
              <w:t>’</w:t>
            </w:r>
            <w:r>
              <w:rPr>
                <w:rFonts w:ascii="Arial" w:hAnsi="Arial"/>
                <w:sz w:val="22"/>
              </w:rPr>
              <w:t>UNESCO, qui ont fourni des informations sur la méthodologie ; l</w:t>
            </w:r>
            <w:r w:rsidR="00E26E2A">
              <w:rPr>
                <w:rFonts w:ascii="Arial" w:hAnsi="Arial"/>
                <w:sz w:val="22"/>
              </w:rPr>
              <w:t>’</w:t>
            </w:r>
            <w:r>
              <w:rPr>
                <w:rFonts w:ascii="Arial" w:hAnsi="Arial"/>
                <w:sz w:val="22"/>
              </w:rPr>
              <w:t xml:space="preserve">évolution du travail est définie avec une estimation budgétaire </w:t>
            </w:r>
            <w:r w:rsidR="00F31760" w:rsidRPr="00464203">
              <w:rPr>
                <w:rFonts w:ascii="Arial" w:hAnsi="Arial"/>
                <w:sz w:val="22"/>
              </w:rPr>
              <w:t>(</w:t>
            </w:r>
            <w:r w:rsidR="00F31760" w:rsidRPr="00464203">
              <w:rPr>
                <w:rFonts w:ascii="Arial" w:hAnsi="Arial"/>
                <w:b/>
                <w:sz w:val="22"/>
              </w:rPr>
              <w:t>action terminée</w:t>
            </w:r>
            <w:r w:rsidR="00F31760" w:rsidRPr="00464203">
              <w:rPr>
                <w:rFonts w:ascii="Arial" w:hAnsi="Arial"/>
                <w:sz w:val="22"/>
              </w:rPr>
              <w: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40" w:after="40"/>
              <w:ind w:left="113"/>
              <w:rPr>
                <w:rFonts w:ascii="Arial" w:hAnsi="Arial" w:cs="Arial"/>
                <w:sz w:val="22"/>
                <w:szCs w:val="22"/>
              </w:rPr>
            </w:pPr>
            <w:r>
              <w:rPr>
                <w:rFonts w:ascii="Arial" w:hAnsi="Arial"/>
                <w:sz w:val="22"/>
              </w:rPr>
              <w:t>Mettre en œuvre un mécanisme.</w:t>
            </w:r>
          </w:p>
        </w:tc>
        <w:tc>
          <w:tcPr>
            <w:tcW w:w="1986" w:type="dxa"/>
            <w:gridSpan w:val="2"/>
            <w:noWrap/>
            <w:tcMar>
              <w:top w:w="40" w:type="dxa"/>
              <w:left w:w="40" w:type="dxa"/>
              <w:bottom w:w="40" w:type="dxa"/>
              <w:right w:w="40" w:type="dxa"/>
            </w:tcMar>
          </w:tcPr>
          <w:p w:rsidR="00D70C22" w:rsidRPr="00A76B7D" w:rsidRDefault="00D70C22" w:rsidP="008215A5">
            <w:pPr>
              <w:spacing w:before="40" w:after="40"/>
              <w:ind w:left="57"/>
              <w:rPr>
                <w:rFonts w:ascii="Arial" w:hAnsi="Arial" w:cs="Arial"/>
                <w:sz w:val="22"/>
                <w:szCs w:val="22"/>
              </w:rPr>
            </w:pPr>
            <w:r>
              <w:rPr>
                <w:rFonts w:ascii="Arial" w:hAnsi="Arial"/>
                <w:sz w:val="22"/>
              </w:rPr>
              <w:t>2016</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40" w:after="40"/>
              <w:ind w:left="470" w:hanging="357"/>
              <w:rPr>
                <w:rFonts w:ascii="Arial" w:hAnsi="Arial" w:cs="Arial"/>
                <w:sz w:val="22"/>
                <w:szCs w:val="22"/>
              </w:rPr>
            </w:pPr>
            <w:r>
              <w:rPr>
                <w:rFonts w:ascii="Arial" w:hAnsi="Arial"/>
                <w:sz w:val="22"/>
              </w:rPr>
              <w:t>Le mécanisme sera mis en œuvre en 2016.</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7 : </w:t>
            </w:r>
            <w:r w:rsidR="00497B01" w:rsidRPr="00497B01">
              <w:rPr>
                <w:rFonts w:ascii="Arial" w:hAnsi="Arial"/>
                <w:b/>
                <w:sz w:val="22"/>
              </w:rPr>
              <w:t>Revoir (et adapter si nécessaire) le contenu et le format de la stratégie de renforcement des capacités afin de s</w:t>
            </w:r>
            <w:r w:rsidR="00E26E2A">
              <w:rPr>
                <w:rFonts w:ascii="Arial" w:hAnsi="Arial"/>
                <w:b/>
                <w:sz w:val="22"/>
              </w:rPr>
              <w:t>’</w:t>
            </w:r>
            <w:r w:rsidR="00497B01" w:rsidRPr="00497B01">
              <w:rPr>
                <w:rFonts w:ascii="Arial" w:hAnsi="Arial"/>
                <w:b/>
                <w:sz w:val="22"/>
              </w:rPr>
              <w:t>assurer qu</w:t>
            </w:r>
            <w:r w:rsidR="00E26E2A">
              <w:rPr>
                <w:rFonts w:ascii="Arial" w:hAnsi="Arial"/>
                <w:b/>
                <w:sz w:val="22"/>
              </w:rPr>
              <w:t>’</w:t>
            </w:r>
            <w:r w:rsidR="00497B01" w:rsidRPr="00497B01">
              <w:rPr>
                <w:rFonts w:ascii="Arial" w:hAnsi="Arial"/>
                <w:b/>
                <w:sz w:val="22"/>
              </w:rPr>
              <w:t>il répond aux grands défis de la mise en œuvre au niveau national.</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Des réunions d</w:t>
            </w:r>
            <w:r w:rsidR="00E26E2A">
              <w:rPr>
                <w:rFonts w:ascii="Arial" w:hAnsi="Arial"/>
                <w:sz w:val="22"/>
              </w:rPr>
              <w:t>’</w:t>
            </w:r>
            <w:r>
              <w:rPr>
                <w:rFonts w:ascii="Arial" w:hAnsi="Arial"/>
                <w:sz w:val="22"/>
              </w:rPr>
              <w:t>examen se déroulent de façon régulière afin d</w:t>
            </w:r>
            <w:r w:rsidR="00E26E2A">
              <w:rPr>
                <w:rFonts w:ascii="Arial" w:hAnsi="Arial"/>
                <w:sz w:val="22"/>
              </w:rPr>
              <w:t>’</w:t>
            </w:r>
            <w:r>
              <w:rPr>
                <w:rFonts w:ascii="Arial" w:hAnsi="Arial"/>
                <w:sz w:val="22"/>
              </w:rPr>
              <w:t>évaluer le contenu et le format de la stratégie de renforcement des capacités, et notamment pour l</w:t>
            </w:r>
            <w:r w:rsidR="00E26E2A">
              <w:rPr>
                <w:rFonts w:ascii="Arial" w:hAnsi="Arial"/>
                <w:sz w:val="22"/>
              </w:rPr>
              <w:t>’</w:t>
            </w:r>
            <w:r>
              <w:rPr>
                <w:rFonts w:ascii="Arial" w:hAnsi="Arial"/>
                <w:sz w:val="22"/>
              </w:rPr>
              <w:t>adapter à l</w:t>
            </w:r>
            <w:r w:rsidR="00E26E2A">
              <w:rPr>
                <w:rFonts w:ascii="Arial" w:hAnsi="Arial"/>
                <w:sz w:val="22"/>
              </w:rPr>
              <w:t>’</w:t>
            </w:r>
            <w:r>
              <w:rPr>
                <w:rFonts w:ascii="Arial" w:hAnsi="Arial"/>
                <w:sz w:val="22"/>
              </w:rPr>
              <w:t>évolution des besoins au niveau national.</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ight="57"/>
              <w:rPr>
                <w:sz w:val="22"/>
                <w:szCs w:val="22"/>
              </w:rPr>
            </w:pPr>
            <w:r>
              <w:rPr>
                <w:sz w:val="22"/>
              </w:rPr>
              <w:t>Les adaptations initiales reflétées dans le cadre logique mis à jour basé sur l</w:t>
            </w:r>
            <w:r w:rsidR="00E26E2A">
              <w:rPr>
                <w:sz w:val="22"/>
              </w:rPr>
              <w:t>’</w:t>
            </w:r>
            <w:r>
              <w:rPr>
                <w:sz w:val="22"/>
              </w:rPr>
              <w:t>évaluation IOS.</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Les projets évolutifs et finaux de modèles de projets de renforcement des capacités ont été révisés à l</w:t>
            </w:r>
            <w:r w:rsidR="00E26E2A">
              <w:rPr>
                <w:rFonts w:ascii="Arial" w:hAnsi="Arial"/>
                <w:sz w:val="22"/>
              </w:rPr>
              <w:t>’</w:t>
            </w:r>
            <w:r>
              <w:rPr>
                <w:rFonts w:ascii="Arial" w:hAnsi="Arial"/>
                <w:sz w:val="22"/>
              </w:rPr>
              <w:t>aide d</w:t>
            </w:r>
            <w:r w:rsidR="00E26E2A">
              <w:rPr>
                <w:rFonts w:ascii="Arial" w:hAnsi="Arial"/>
                <w:sz w:val="22"/>
              </w:rPr>
              <w:t>’</w:t>
            </w:r>
            <w:r>
              <w:rPr>
                <w:rFonts w:ascii="Arial" w:hAnsi="Arial"/>
                <w:sz w:val="22"/>
              </w:rPr>
              <w:t>un cadre logique actualisé afin d</w:t>
            </w:r>
            <w:r w:rsidR="00E26E2A">
              <w:rPr>
                <w:rFonts w:ascii="Arial" w:hAnsi="Arial"/>
                <w:sz w:val="22"/>
              </w:rPr>
              <w:t>’</w:t>
            </w:r>
            <w:r>
              <w:rPr>
                <w:rFonts w:ascii="Arial" w:hAnsi="Arial"/>
                <w:sz w:val="22"/>
              </w:rPr>
              <w:t>y inclure les informations sur les principales difficultés de mise en œuvre au niveau national.</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ight="57"/>
              <w:rPr>
                <w:sz w:val="22"/>
                <w:szCs w:val="22"/>
              </w:rPr>
            </w:pPr>
            <w:r>
              <w:rPr>
                <w:sz w:val="22"/>
              </w:rPr>
              <w:t>Les réunions d</w:t>
            </w:r>
            <w:r w:rsidR="00E26E2A">
              <w:rPr>
                <w:sz w:val="22"/>
              </w:rPr>
              <w:t>’</w:t>
            </w:r>
            <w:r>
              <w:rPr>
                <w:sz w:val="22"/>
              </w:rPr>
              <w:t>examen et d</w:t>
            </w:r>
            <w:r w:rsidR="00E26E2A">
              <w:rPr>
                <w:sz w:val="22"/>
              </w:rPr>
              <w:t>’</w:t>
            </w:r>
            <w:r>
              <w:rPr>
                <w:sz w:val="22"/>
              </w:rPr>
              <w:t xml:space="preserve">actualisation des compétences avec des </w:t>
            </w:r>
            <w:r w:rsidR="005D6289">
              <w:rPr>
                <w:sz w:val="22"/>
              </w:rPr>
              <w:t xml:space="preserve">facilitateurs </w:t>
            </w:r>
            <w:r>
              <w:rPr>
                <w:sz w:val="22"/>
              </w:rPr>
              <w:t xml:space="preserve">et des </w:t>
            </w:r>
            <w:r w:rsidR="00497B01">
              <w:rPr>
                <w:sz w:val="22"/>
              </w:rPr>
              <w:t>B</w:t>
            </w:r>
            <w:r>
              <w:rPr>
                <w:sz w:val="22"/>
              </w:rPr>
              <w:t>ureaux hors sièges.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 Secrétariat a reçu des recommandations d</w:t>
            </w:r>
            <w:r w:rsidR="00E26E2A">
              <w:rPr>
                <w:rFonts w:ascii="Arial" w:hAnsi="Arial"/>
                <w:sz w:val="22"/>
              </w:rPr>
              <w:t>’</w:t>
            </w:r>
            <w:r>
              <w:rPr>
                <w:rFonts w:ascii="Arial" w:hAnsi="Arial"/>
                <w:sz w:val="22"/>
              </w:rPr>
              <w:t>Afrique, des régions arabes, d</w:t>
            </w:r>
            <w:r w:rsidR="00E26E2A">
              <w:rPr>
                <w:rFonts w:ascii="Arial" w:hAnsi="Arial"/>
                <w:sz w:val="22"/>
              </w:rPr>
              <w:t>’</w:t>
            </w:r>
            <w:r>
              <w:rPr>
                <w:rFonts w:ascii="Arial" w:hAnsi="Arial"/>
                <w:sz w:val="22"/>
              </w:rPr>
              <w:t>Asie-Pacifique, d</w:t>
            </w:r>
            <w:r w:rsidR="00E26E2A">
              <w:rPr>
                <w:rFonts w:ascii="Arial" w:hAnsi="Arial"/>
                <w:sz w:val="22"/>
              </w:rPr>
              <w:t>’</w:t>
            </w:r>
            <w:r>
              <w:rPr>
                <w:rFonts w:ascii="Arial" w:hAnsi="Arial"/>
                <w:sz w:val="22"/>
              </w:rPr>
              <w:t>Asie centrale</w:t>
            </w:r>
            <w:r w:rsidR="005D6289">
              <w:rPr>
                <w:rFonts w:ascii="Arial" w:hAnsi="Arial"/>
                <w:sz w:val="22"/>
              </w:rPr>
              <w:t xml:space="preserve"> et</w:t>
            </w:r>
            <w:r>
              <w:rPr>
                <w:rFonts w:ascii="Arial" w:hAnsi="Arial"/>
                <w:sz w:val="22"/>
              </w:rPr>
              <w:t xml:space="preserve"> d</w:t>
            </w:r>
            <w:r w:rsidR="00E26E2A">
              <w:rPr>
                <w:rFonts w:ascii="Arial" w:hAnsi="Arial"/>
                <w:sz w:val="22"/>
              </w:rPr>
              <w:t>’</w:t>
            </w:r>
            <w:r>
              <w:rPr>
                <w:rFonts w:ascii="Arial" w:hAnsi="Arial"/>
                <w:sz w:val="22"/>
              </w:rPr>
              <w:t>Europe, qui devront être révisées ultérieurement.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ight="57"/>
              <w:rPr>
                <w:sz w:val="22"/>
                <w:szCs w:val="22"/>
              </w:rPr>
            </w:pPr>
            <w:r>
              <w:rPr>
                <w:sz w:val="22"/>
              </w:rPr>
              <w:t>Tirer des enseignements d</w:t>
            </w:r>
            <w:r w:rsidR="00E26E2A">
              <w:rPr>
                <w:sz w:val="22"/>
              </w:rPr>
              <w:t>’</w:t>
            </w:r>
            <w:r>
              <w:rPr>
                <w:sz w:val="22"/>
              </w:rPr>
              <w:t xml:space="preserve">une analyse consolidée de tous les rapports </w:t>
            </w:r>
            <w:r w:rsidR="00497B01">
              <w:rPr>
                <w:sz w:val="22"/>
              </w:rPr>
              <w:t xml:space="preserve">des facilitateurs </w:t>
            </w:r>
            <w:r>
              <w:rPr>
                <w:sz w:val="22"/>
              </w:rPr>
              <w:t xml:space="preserve">par région. </w:t>
            </w:r>
          </w:p>
        </w:tc>
        <w:tc>
          <w:tcPr>
            <w:tcW w:w="1986" w:type="dxa"/>
            <w:gridSpan w:val="2"/>
            <w:noWrap/>
            <w:tcMar>
              <w:top w:w="40" w:type="dxa"/>
              <w:left w:w="40" w:type="dxa"/>
              <w:bottom w:w="40" w:type="dxa"/>
              <w:right w:w="40" w:type="dxa"/>
            </w:tcMar>
          </w:tcPr>
          <w:p w:rsidR="00D70C22" w:rsidRPr="00A76B7D" w:rsidRDefault="00772AF9" w:rsidP="008215A5">
            <w:pPr>
              <w:spacing w:before="120" w:after="120"/>
              <w:ind w:left="57"/>
              <w:rPr>
                <w:rFonts w:ascii="Arial" w:hAnsi="Arial" w:cs="Arial"/>
                <w:sz w:val="22"/>
                <w:szCs w:val="22"/>
              </w:rPr>
            </w:pPr>
            <w:r>
              <w:rPr>
                <w:rFonts w:ascii="Arial" w:hAnsi="Arial"/>
                <w:sz w:val="22"/>
              </w:rPr>
              <w:t>d</w:t>
            </w:r>
            <w:r w:rsidR="00D70C22">
              <w:rPr>
                <w:rFonts w:ascii="Arial" w:hAnsi="Arial"/>
                <w:sz w:val="22"/>
              </w:rPr>
              <w:t>écembre 2015</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 xml:space="preserve">Une analyse interrégionale des rapports des experts </w:t>
            </w:r>
            <w:r w:rsidR="00497B01">
              <w:rPr>
                <w:rFonts w:ascii="Arial" w:hAnsi="Arial"/>
                <w:sz w:val="22"/>
              </w:rPr>
              <w:t xml:space="preserve">facilitateurs </w:t>
            </w:r>
            <w:r>
              <w:rPr>
                <w:rFonts w:ascii="Arial" w:hAnsi="Arial"/>
                <w:sz w:val="22"/>
              </w:rPr>
              <w:t>sera menée à bien d</w:t>
            </w:r>
            <w:r w:rsidR="00E26E2A">
              <w:rPr>
                <w:rFonts w:ascii="Arial" w:hAnsi="Arial"/>
                <w:sz w:val="22"/>
              </w:rPr>
              <w:t>’</w:t>
            </w:r>
            <w:r>
              <w:rPr>
                <w:rFonts w:ascii="Arial" w:hAnsi="Arial"/>
                <w:sz w:val="22"/>
              </w:rPr>
              <w:t>ici fin 2015.</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ight="57"/>
              <w:rPr>
                <w:sz w:val="22"/>
                <w:szCs w:val="22"/>
              </w:rPr>
            </w:pPr>
            <w:r>
              <w:rPr>
                <w:sz w:val="22"/>
              </w:rPr>
              <w:t>Des activités particulières et des provisions financières pour les évaluations de politiques intégrées dans le programme de renforcement des capacités.</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 budget de nouveaux projets de renforcement des capacités inclut systématiquement des provisions pour les évaluations/le développement de politiques.</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ight="57"/>
              <w:rPr>
                <w:sz w:val="22"/>
                <w:szCs w:val="22"/>
              </w:rPr>
            </w:pPr>
            <w:r>
              <w:rPr>
                <w:sz w:val="22"/>
              </w:rPr>
              <w:t xml:space="preserve">Introduire de nouvelles unités </w:t>
            </w:r>
            <w:r w:rsidR="005D6289">
              <w:rPr>
                <w:sz w:val="22"/>
              </w:rPr>
              <w:t xml:space="preserve">sur le </w:t>
            </w:r>
            <w:r>
              <w:rPr>
                <w:sz w:val="22"/>
              </w:rPr>
              <w:t xml:space="preserve">genre, </w:t>
            </w:r>
            <w:r w:rsidR="005D6289">
              <w:rPr>
                <w:sz w:val="22"/>
              </w:rPr>
              <w:t xml:space="preserve">le </w:t>
            </w:r>
            <w:r>
              <w:rPr>
                <w:sz w:val="22"/>
              </w:rPr>
              <w:t xml:space="preserve">développement durable et </w:t>
            </w:r>
            <w:r w:rsidR="005D6289">
              <w:rPr>
                <w:sz w:val="22"/>
              </w:rPr>
              <w:t xml:space="preserve">le </w:t>
            </w:r>
            <w:r>
              <w:rPr>
                <w:sz w:val="22"/>
              </w:rPr>
              <w:t>développement des politiques.</w:t>
            </w:r>
          </w:p>
        </w:tc>
        <w:tc>
          <w:tcPr>
            <w:tcW w:w="1986" w:type="dxa"/>
            <w:gridSpan w:val="2"/>
            <w:noWrap/>
            <w:tcMar>
              <w:top w:w="40" w:type="dxa"/>
              <w:left w:w="40" w:type="dxa"/>
              <w:bottom w:w="40" w:type="dxa"/>
              <w:right w:w="40" w:type="dxa"/>
            </w:tcMar>
          </w:tcPr>
          <w:p w:rsidR="00D70C22" w:rsidRPr="00A76B7D" w:rsidRDefault="00772AF9" w:rsidP="008215A5">
            <w:pPr>
              <w:spacing w:before="120" w:after="120"/>
              <w:ind w:left="57"/>
              <w:rPr>
                <w:rFonts w:ascii="Arial" w:hAnsi="Arial" w:cs="Arial"/>
                <w:sz w:val="22"/>
                <w:szCs w:val="22"/>
              </w:rPr>
            </w:pPr>
            <w:r>
              <w:rPr>
                <w:rFonts w:ascii="Arial" w:hAnsi="Arial"/>
                <w:sz w:val="22"/>
              </w:rPr>
              <w:t>d</w:t>
            </w:r>
            <w:r w:rsidR="00D70C22">
              <w:rPr>
                <w:rFonts w:ascii="Arial" w:hAnsi="Arial"/>
                <w:sz w:val="22"/>
              </w:rPr>
              <w:t>écembre 2015</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Les nouvelles unités de formation sur le genre (unités 48 et 49), ainsi qu</w:t>
            </w:r>
            <w:r w:rsidR="00E26E2A">
              <w:rPr>
                <w:rFonts w:ascii="Arial" w:hAnsi="Arial"/>
                <w:sz w:val="22"/>
              </w:rPr>
              <w:t>’</w:t>
            </w:r>
            <w:r>
              <w:rPr>
                <w:rFonts w:ascii="Arial" w:hAnsi="Arial"/>
                <w:sz w:val="22"/>
              </w:rPr>
              <w:t>une brochure d</w:t>
            </w:r>
            <w:r w:rsidR="00E26E2A">
              <w:rPr>
                <w:rFonts w:ascii="Arial" w:hAnsi="Arial"/>
                <w:sz w:val="22"/>
              </w:rPr>
              <w:t>’</w:t>
            </w:r>
            <w:r>
              <w:rPr>
                <w:rFonts w:ascii="Arial" w:hAnsi="Arial"/>
                <w:sz w:val="22"/>
              </w:rPr>
              <w:t xml:space="preserve">informations portant sur le sujet en question </w:t>
            </w:r>
            <w:r w:rsidR="00497B01">
              <w:rPr>
                <w:rFonts w:ascii="Arial" w:hAnsi="Arial"/>
                <w:sz w:val="22"/>
              </w:rPr>
              <w:t xml:space="preserve">est </w:t>
            </w:r>
            <w:r>
              <w:rPr>
                <w:rFonts w:ascii="Arial" w:hAnsi="Arial"/>
                <w:sz w:val="22"/>
              </w:rPr>
              <w:t>disponible depuis juin 2015.</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Une nouvelle unité de formation relative au développement durable est en cours de préparation.</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Une unité de formation relative au développement de politiques est en cours de préparation.</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8 : </w:t>
            </w:r>
            <w:r w:rsidR="00497B01" w:rsidRPr="00497B01">
              <w:rPr>
                <w:rFonts w:ascii="Arial" w:hAnsi="Arial"/>
                <w:b/>
                <w:sz w:val="22"/>
              </w:rPr>
              <w:t>Promouvoir la LSU en la repositionnant en tant qu</w:t>
            </w:r>
            <w:r w:rsidR="00E26E2A">
              <w:rPr>
                <w:rFonts w:ascii="Arial" w:hAnsi="Arial"/>
                <w:b/>
                <w:sz w:val="22"/>
              </w:rPr>
              <w:t>’</w:t>
            </w:r>
            <w:r w:rsidR="00497B01" w:rsidRPr="00497B01">
              <w:rPr>
                <w:rFonts w:ascii="Arial" w:hAnsi="Arial"/>
                <w:b/>
                <w:sz w:val="22"/>
              </w:rPr>
              <w:t>expression de l</w:t>
            </w:r>
            <w:r w:rsidR="00E26E2A">
              <w:rPr>
                <w:rFonts w:ascii="Arial" w:hAnsi="Arial"/>
                <w:b/>
                <w:sz w:val="22"/>
              </w:rPr>
              <w:t>’</w:t>
            </w:r>
            <w:r w:rsidR="00497B01" w:rsidRPr="00497B01">
              <w:rPr>
                <w:rFonts w:ascii="Arial" w:hAnsi="Arial"/>
                <w:b/>
                <w:sz w:val="22"/>
              </w:rPr>
              <w:t>engagement des États parties pour la sauvegarde et la mise en œuvre de la Convention, et reconnaitre plus particulièrement les États parties qui soumettent des candidatures à la LSU.</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La publication de la version numérique de la LSU est destinée à mettre l</w:t>
            </w:r>
            <w:r w:rsidR="00E26E2A">
              <w:rPr>
                <w:rFonts w:ascii="Arial" w:hAnsi="Arial"/>
                <w:sz w:val="22"/>
              </w:rPr>
              <w:t>’</w:t>
            </w:r>
            <w:r>
              <w:rPr>
                <w:rFonts w:ascii="Arial" w:hAnsi="Arial"/>
                <w:sz w:val="22"/>
              </w:rPr>
              <w:t>accent sur son importance. Toutes les opportunités de communication, média et discours sont saisies afin de souligner son importance.</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ight="57"/>
              <w:rPr>
                <w:sz w:val="22"/>
                <w:szCs w:val="22"/>
              </w:rPr>
            </w:pPr>
            <w:r>
              <w:rPr>
                <w:sz w:val="22"/>
              </w:rPr>
              <w:t>Arrêter la publication de brochure d</w:t>
            </w:r>
            <w:r w:rsidR="00E26E2A">
              <w:rPr>
                <w:sz w:val="22"/>
              </w:rPr>
              <w:t>’</w:t>
            </w:r>
            <w:r>
              <w:rPr>
                <w:sz w:val="22"/>
              </w:rPr>
              <w:t xml:space="preserve">éléments inscrits annuellement et publier des brochures </w:t>
            </w:r>
            <w:r w:rsidR="005D6289">
              <w:rPr>
                <w:sz w:val="22"/>
              </w:rPr>
              <w:t>uniquement sur la</w:t>
            </w:r>
            <w:r>
              <w:rPr>
                <w:sz w:val="22"/>
              </w:rPr>
              <w:t xml:space="preserve"> Liste de sauvegarde urgente et des meilleures pratiques de sauvegarde. </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La publication annuelle d</w:t>
            </w:r>
            <w:r w:rsidR="00E26E2A">
              <w:rPr>
                <w:rFonts w:ascii="Arial" w:hAnsi="Arial"/>
                <w:sz w:val="22"/>
              </w:rPr>
              <w:t>’</w:t>
            </w:r>
            <w:r>
              <w:rPr>
                <w:rFonts w:ascii="Arial" w:hAnsi="Arial"/>
                <w:sz w:val="22"/>
              </w:rPr>
              <w:t>éléments inscrits a été arrêtée.</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Des brochures sur la LSU et le BS</w:t>
            </w:r>
            <w:r w:rsidR="00497B01">
              <w:rPr>
                <w:rFonts w:ascii="Arial" w:hAnsi="Arial"/>
                <w:sz w:val="22"/>
              </w:rPr>
              <w:t>P</w:t>
            </w:r>
            <w:r>
              <w:rPr>
                <w:rFonts w:ascii="Arial" w:hAnsi="Arial"/>
                <w:sz w:val="22"/>
              </w:rPr>
              <w:t xml:space="preserve"> sont en cours de préparation.</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objectif de la LSU, de l</w:t>
            </w:r>
            <w:r w:rsidR="00E26E2A">
              <w:rPr>
                <w:rFonts w:ascii="Arial" w:hAnsi="Arial"/>
                <w:sz w:val="22"/>
              </w:rPr>
              <w:t>’</w:t>
            </w:r>
            <w:r>
              <w:rPr>
                <w:rFonts w:ascii="Arial" w:hAnsi="Arial"/>
                <w:sz w:val="22"/>
              </w:rPr>
              <w:t>A</w:t>
            </w:r>
            <w:r w:rsidR="00497B01">
              <w:rPr>
                <w:rFonts w:ascii="Arial" w:hAnsi="Arial"/>
                <w:sz w:val="22"/>
              </w:rPr>
              <w:t>I</w:t>
            </w:r>
            <w:r>
              <w:rPr>
                <w:rFonts w:ascii="Arial" w:hAnsi="Arial"/>
                <w:sz w:val="22"/>
              </w:rPr>
              <w:t xml:space="preserve"> et du RL est souligné dans les présentations, les discours, les interviews avec les médias, les kits médias, etc.</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objectif de la LSU, de l</w:t>
            </w:r>
            <w:r w:rsidR="00E26E2A">
              <w:rPr>
                <w:rFonts w:ascii="Arial" w:hAnsi="Arial"/>
                <w:sz w:val="22"/>
              </w:rPr>
              <w:t>’</w:t>
            </w:r>
            <w:r w:rsidR="00497B01">
              <w:rPr>
                <w:rFonts w:ascii="Arial" w:hAnsi="Arial"/>
                <w:sz w:val="22"/>
              </w:rPr>
              <w:t>I</w:t>
            </w:r>
            <w:r>
              <w:rPr>
                <w:rFonts w:ascii="Arial" w:hAnsi="Arial"/>
                <w:sz w:val="22"/>
              </w:rPr>
              <w:t>A et du RL est souligné dans des présentations, des discours, etc.</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tabs>
                <w:tab w:val="left" w:pos="2640"/>
              </w:tabs>
              <w:spacing w:before="120" w:after="120"/>
              <w:ind w:left="113" w:right="113"/>
              <w:jc w:val="both"/>
              <w:rPr>
                <w:rFonts w:ascii="Arial" w:hAnsi="Arial" w:cs="Arial"/>
                <w:b/>
                <w:sz w:val="22"/>
                <w:szCs w:val="22"/>
              </w:rPr>
            </w:pPr>
            <w:r>
              <w:rPr>
                <w:rFonts w:ascii="Arial" w:hAnsi="Arial"/>
                <w:b/>
                <w:sz w:val="22"/>
              </w:rPr>
              <w:t xml:space="preserve">Recommandation 9 : </w:t>
            </w:r>
            <w:r w:rsidR="00497B01" w:rsidRPr="00497B01">
              <w:rPr>
                <w:rFonts w:ascii="Arial" w:hAnsi="Arial"/>
                <w:b/>
                <w:sz w:val="22"/>
              </w:rPr>
              <w:t>Corriger auprès des États parties et des autres parties prenantes toutes les idées fausses sur l</w:t>
            </w:r>
            <w:r w:rsidR="00E26E2A">
              <w:rPr>
                <w:rFonts w:ascii="Arial" w:hAnsi="Arial"/>
                <w:b/>
                <w:sz w:val="22"/>
              </w:rPr>
              <w:t>’</w:t>
            </w:r>
            <w:r w:rsidR="00497B01" w:rsidRPr="00497B01">
              <w:rPr>
                <w:rFonts w:ascii="Arial" w:hAnsi="Arial"/>
                <w:b/>
                <w:sz w:val="22"/>
              </w:rPr>
              <w:t>objectif et l</w:t>
            </w:r>
            <w:r w:rsidR="00E26E2A">
              <w:rPr>
                <w:rFonts w:ascii="Arial" w:hAnsi="Arial"/>
                <w:b/>
                <w:sz w:val="22"/>
              </w:rPr>
              <w:t>’</w:t>
            </w:r>
            <w:r w:rsidR="00497B01" w:rsidRPr="00497B01">
              <w:rPr>
                <w:rFonts w:ascii="Arial" w:hAnsi="Arial"/>
                <w:b/>
                <w:sz w:val="22"/>
              </w:rPr>
              <w:t>utilisation de la Liste représentative</w:t>
            </w:r>
            <w:r>
              <w:rPr>
                <w:rFonts w:ascii="Arial" w:hAnsi="Arial"/>
                <w:b/>
                <w:sz w:val="22"/>
              </w:rPr>
              <w:t>.</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Toutes les opportunités de communication, média et discours sont saisies afin de souligner l</w:t>
            </w:r>
            <w:r w:rsidR="00E26E2A">
              <w:rPr>
                <w:rFonts w:ascii="Arial" w:hAnsi="Arial"/>
                <w:sz w:val="22"/>
              </w:rPr>
              <w:t>’</w:t>
            </w:r>
            <w:r>
              <w:rPr>
                <w:rFonts w:ascii="Arial" w:hAnsi="Arial"/>
                <w:sz w:val="22"/>
              </w:rPr>
              <w:t>objet et l</w:t>
            </w:r>
            <w:r w:rsidR="00E26E2A">
              <w:rPr>
                <w:rFonts w:ascii="Arial" w:hAnsi="Arial"/>
                <w:sz w:val="22"/>
              </w:rPr>
              <w:t>’</w:t>
            </w:r>
            <w:r>
              <w:rPr>
                <w:rFonts w:ascii="Arial" w:hAnsi="Arial"/>
                <w:sz w:val="22"/>
              </w:rPr>
              <w:t>utilisation de la Liste représentative.</w:t>
            </w:r>
          </w:p>
        </w:tc>
      </w:tr>
      <w:tr w:rsidR="00D70C22" w:rsidRPr="00A76B7D" w:rsidTr="0060296F">
        <w:trPr>
          <w:trHeight w:val="536"/>
        </w:trPr>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Pr>
                <w:rFonts w:ascii="Arial" w:hAnsi="Arial" w:cs="Arial"/>
                <w:sz w:val="22"/>
                <w:szCs w:val="22"/>
              </w:rPr>
            </w:pPr>
            <w:r>
              <w:rPr>
                <w:rFonts w:ascii="Arial" w:hAnsi="Arial"/>
                <w:sz w:val="22"/>
              </w:rPr>
              <w:t>Mettre en avant l</w:t>
            </w:r>
            <w:r w:rsidR="00E26E2A">
              <w:rPr>
                <w:rFonts w:ascii="Arial" w:hAnsi="Arial"/>
                <w:sz w:val="22"/>
              </w:rPr>
              <w:t>’</w:t>
            </w:r>
            <w:r>
              <w:rPr>
                <w:rFonts w:ascii="Arial" w:hAnsi="Arial"/>
                <w:sz w:val="22"/>
              </w:rPr>
              <w:t>objectif la LSU, de l</w:t>
            </w:r>
            <w:r w:rsidR="00E26E2A">
              <w:rPr>
                <w:rFonts w:ascii="Arial" w:hAnsi="Arial"/>
                <w:sz w:val="22"/>
              </w:rPr>
              <w:t>’</w:t>
            </w:r>
            <w:r w:rsidR="00497B01">
              <w:rPr>
                <w:rFonts w:ascii="Arial" w:hAnsi="Arial"/>
                <w:sz w:val="22"/>
              </w:rPr>
              <w:t>I</w:t>
            </w:r>
            <w:r>
              <w:rPr>
                <w:rFonts w:ascii="Arial" w:hAnsi="Arial"/>
                <w:sz w:val="22"/>
              </w:rPr>
              <w:t>A et du RL dans les présentations, interviews avec les médias, kits de média, etc.</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objectif la LSU, de l</w:t>
            </w:r>
            <w:r w:rsidR="00E26E2A">
              <w:rPr>
                <w:rFonts w:ascii="Arial" w:hAnsi="Arial"/>
                <w:sz w:val="22"/>
              </w:rPr>
              <w:t>’</w:t>
            </w:r>
            <w:r>
              <w:rPr>
                <w:rFonts w:ascii="Arial" w:hAnsi="Arial"/>
                <w:sz w:val="22"/>
              </w:rPr>
              <w:t>A</w:t>
            </w:r>
            <w:r w:rsidR="00497B01">
              <w:rPr>
                <w:rFonts w:ascii="Arial" w:hAnsi="Arial"/>
                <w:sz w:val="22"/>
              </w:rPr>
              <w:t>I</w:t>
            </w:r>
            <w:r>
              <w:rPr>
                <w:rFonts w:ascii="Arial" w:hAnsi="Arial"/>
                <w:sz w:val="22"/>
              </w:rPr>
              <w:t xml:space="preserve"> et du RL est </w:t>
            </w:r>
            <w:r w:rsidR="005D6289">
              <w:rPr>
                <w:rFonts w:ascii="Arial" w:hAnsi="Arial"/>
                <w:sz w:val="22"/>
              </w:rPr>
              <w:t xml:space="preserve">souligné </w:t>
            </w:r>
            <w:r>
              <w:rPr>
                <w:rFonts w:ascii="Arial" w:hAnsi="Arial"/>
                <w:sz w:val="22"/>
              </w:rPr>
              <w:t xml:space="preserve">dans des présentations, des discours, </w:t>
            </w:r>
            <w:r w:rsidR="005D6289">
              <w:rPr>
                <w:rFonts w:ascii="Arial" w:hAnsi="Arial"/>
                <w:sz w:val="22"/>
              </w:rPr>
              <w:t xml:space="preserve">interviews avec les médias, kits de média, </w:t>
            </w:r>
            <w:r>
              <w:rPr>
                <w:rFonts w:ascii="Arial" w:hAnsi="Arial"/>
                <w:sz w:val="22"/>
              </w:rPr>
              <w:t>etc.</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10 : </w:t>
            </w:r>
            <w:r w:rsidR="00497B01" w:rsidRPr="00497B01">
              <w:rPr>
                <w:rFonts w:ascii="Arial" w:hAnsi="Arial"/>
                <w:b/>
                <w:sz w:val="22"/>
              </w:rPr>
              <w:t>S</w:t>
            </w:r>
            <w:r w:rsidR="00E26E2A">
              <w:rPr>
                <w:rFonts w:ascii="Arial" w:hAnsi="Arial"/>
                <w:b/>
                <w:sz w:val="22"/>
              </w:rPr>
              <w:t>’</w:t>
            </w:r>
            <w:r w:rsidR="00497B01" w:rsidRPr="00497B01">
              <w:rPr>
                <w:rFonts w:ascii="Arial" w:hAnsi="Arial"/>
                <w:b/>
                <w:sz w:val="22"/>
              </w:rPr>
              <w:t>assurer que l</w:t>
            </w:r>
            <w:r w:rsidR="00E26E2A">
              <w:rPr>
                <w:rFonts w:ascii="Arial" w:hAnsi="Arial"/>
                <w:b/>
                <w:sz w:val="22"/>
              </w:rPr>
              <w:t>’</w:t>
            </w:r>
            <w:r w:rsidR="00497B01" w:rsidRPr="00497B01">
              <w:rPr>
                <w:rFonts w:ascii="Arial" w:hAnsi="Arial"/>
                <w:b/>
                <w:sz w:val="22"/>
              </w:rPr>
              <w:t>inscription des éléments sur la Liste représentative reflète plus précisément les critères et procédures indiqués au Chapitre I.2 des Directives opérationnelles de la Convention</w:t>
            </w:r>
            <w:r>
              <w:rPr>
                <w:rFonts w:ascii="Arial" w:hAnsi="Arial"/>
                <w:b/>
                <w:sz w:val="22"/>
              </w:rPr>
              <w:t>.</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À appliquer par le Comité et </w:t>
            </w:r>
            <w:r w:rsidR="00D17488">
              <w:rPr>
                <w:rFonts w:ascii="Arial" w:hAnsi="Arial"/>
                <w:sz w:val="22"/>
              </w:rPr>
              <w:t xml:space="preserve">ses </w:t>
            </w:r>
            <w:r>
              <w:rPr>
                <w:rFonts w:ascii="Arial" w:hAnsi="Arial"/>
                <w:sz w:val="22"/>
              </w:rPr>
              <w:t>Organes consultatifs ; Le Secrétariat inclut ce point dans les sessions de formations pour l</w:t>
            </w:r>
            <w:r w:rsidR="00E26E2A">
              <w:rPr>
                <w:rFonts w:ascii="Arial" w:hAnsi="Arial"/>
                <w:sz w:val="22"/>
              </w:rPr>
              <w:t>’</w:t>
            </w:r>
            <w:r w:rsidR="00973B8A">
              <w:rPr>
                <w:rFonts w:ascii="Arial" w:hAnsi="Arial"/>
                <w:sz w:val="22"/>
              </w:rPr>
              <w:t>O</w:t>
            </w:r>
            <w:r>
              <w:rPr>
                <w:rFonts w:ascii="Arial" w:hAnsi="Arial"/>
                <w:sz w:val="22"/>
              </w:rPr>
              <w:t>rgane d</w:t>
            </w:r>
            <w:r w:rsidR="00E26E2A">
              <w:rPr>
                <w:rFonts w:ascii="Arial" w:hAnsi="Arial"/>
                <w:sz w:val="22"/>
              </w:rPr>
              <w:t>’</w:t>
            </w:r>
            <w:r>
              <w:rPr>
                <w:rFonts w:ascii="Arial" w:hAnsi="Arial"/>
                <w:sz w:val="22"/>
              </w:rPr>
              <w:t>évaluation.</w:t>
            </w:r>
          </w:p>
        </w:tc>
      </w:tr>
      <w:tr w:rsidR="00D70C22" w:rsidRPr="00A76B7D" w:rsidTr="0060296F">
        <w:trPr>
          <w:trHeight w:val="586"/>
        </w:trPr>
        <w:tc>
          <w:tcPr>
            <w:tcW w:w="4717"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shd w:val="clear" w:color="auto" w:fill="FFFFFF" w:themeFill="background1"/>
            <w:noWrap/>
            <w:tcMar>
              <w:top w:w="40" w:type="dxa"/>
              <w:left w:w="40" w:type="dxa"/>
              <w:bottom w:w="40" w:type="dxa"/>
              <w:right w:w="40" w:type="dxa"/>
            </w:tcMar>
          </w:tcPr>
          <w:p w:rsidR="00D70C22" w:rsidRPr="00A76B7D" w:rsidRDefault="00D70C22" w:rsidP="008215A5">
            <w:pPr>
              <w:pStyle w:val="Default"/>
              <w:spacing w:before="120" w:after="120"/>
              <w:ind w:left="113"/>
              <w:rPr>
                <w:sz w:val="22"/>
                <w:szCs w:val="22"/>
              </w:rPr>
            </w:pPr>
            <w:r>
              <w:rPr>
                <w:sz w:val="22"/>
              </w:rPr>
              <w:t>Préparer l</w:t>
            </w:r>
            <w:r w:rsidR="00E26E2A">
              <w:rPr>
                <w:sz w:val="22"/>
              </w:rPr>
              <w:t>’</w:t>
            </w:r>
            <w:r>
              <w:rPr>
                <w:sz w:val="22"/>
              </w:rPr>
              <w:t>évaluation de la mise en œuvre de</w:t>
            </w:r>
            <w:r w:rsidR="00973B8A">
              <w:rPr>
                <w:sz w:val="22"/>
              </w:rPr>
              <w:t>s</w:t>
            </w:r>
            <w:r>
              <w:rPr>
                <w:sz w:val="22"/>
              </w:rPr>
              <w:t xml:space="preserve"> décisions précédentes du Comité en relation avec l</w:t>
            </w:r>
            <w:r w:rsidR="00E26E2A">
              <w:rPr>
                <w:sz w:val="22"/>
              </w:rPr>
              <w:t>’</w:t>
            </w:r>
            <w:r>
              <w:rPr>
                <w:sz w:val="22"/>
              </w:rPr>
              <w:t xml:space="preserve">inscription </w:t>
            </w:r>
            <w:r w:rsidR="00D17488">
              <w:rPr>
                <w:sz w:val="22"/>
              </w:rPr>
              <w:t>d</w:t>
            </w:r>
            <w:r w:rsidR="00E26E2A">
              <w:rPr>
                <w:sz w:val="22"/>
              </w:rPr>
              <w:t>’</w:t>
            </w:r>
            <w:r>
              <w:rPr>
                <w:sz w:val="22"/>
              </w:rPr>
              <w:t>élément</w:t>
            </w:r>
            <w:r w:rsidR="00D17488">
              <w:rPr>
                <w:sz w:val="22"/>
              </w:rPr>
              <w:t>s</w:t>
            </w:r>
            <w:r>
              <w:rPr>
                <w:sz w:val="22"/>
              </w:rPr>
              <w:t xml:space="preserve">, </w:t>
            </w:r>
            <w:r w:rsidR="00D17488">
              <w:rPr>
                <w:sz w:val="22"/>
              </w:rPr>
              <w:t>la sélection</w:t>
            </w:r>
            <w:r>
              <w:rPr>
                <w:sz w:val="22"/>
              </w:rPr>
              <w:t xml:space="preserve"> de propositions au Registre des meilleures pratiques de sauvegarde, et l</w:t>
            </w:r>
            <w:r w:rsidR="00E26E2A">
              <w:rPr>
                <w:sz w:val="22"/>
              </w:rPr>
              <w:t>’</w:t>
            </w:r>
            <w:r>
              <w:rPr>
                <w:sz w:val="22"/>
              </w:rPr>
              <w:t>approbation de demandes d</w:t>
            </w:r>
            <w:r w:rsidR="00E26E2A">
              <w:rPr>
                <w:sz w:val="22"/>
              </w:rPr>
              <w:t>’</w:t>
            </w:r>
            <w:r>
              <w:rPr>
                <w:sz w:val="22"/>
              </w:rPr>
              <w:t>assistance internationale.</w:t>
            </w:r>
          </w:p>
        </w:tc>
        <w:tc>
          <w:tcPr>
            <w:tcW w:w="1986" w:type="dxa"/>
            <w:gridSpan w:val="2"/>
            <w:shd w:val="clear" w:color="auto" w:fill="FFFFFF" w:themeFill="background1"/>
            <w:noWrap/>
            <w:tcMar>
              <w:top w:w="40" w:type="dxa"/>
              <w:left w:w="40" w:type="dxa"/>
              <w:bottom w:w="40" w:type="dxa"/>
              <w:right w:w="40" w:type="dxa"/>
            </w:tcMar>
          </w:tcPr>
          <w:p w:rsidR="00D70C22" w:rsidRPr="00A76B7D" w:rsidRDefault="00772AF9" w:rsidP="008215A5">
            <w:pPr>
              <w:spacing w:before="120" w:after="120"/>
              <w:ind w:left="57"/>
              <w:rPr>
                <w:rFonts w:ascii="Arial" w:hAnsi="Arial" w:cs="Arial"/>
                <w:sz w:val="22"/>
                <w:szCs w:val="22"/>
              </w:rPr>
            </w:pPr>
            <w:r>
              <w:rPr>
                <w:rFonts w:ascii="Arial" w:hAnsi="Arial"/>
                <w:sz w:val="22"/>
              </w:rPr>
              <w:t>d</w:t>
            </w:r>
            <w:r w:rsidR="00D70C22">
              <w:rPr>
                <w:rFonts w:ascii="Arial" w:hAnsi="Arial"/>
                <w:sz w:val="22"/>
              </w:rPr>
              <w:t>écembre 2014</w:t>
            </w:r>
          </w:p>
        </w:tc>
        <w:tc>
          <w:tcPr>
            <w:tcW w:w="7655" w:type="dxa"/>
            <w:shd w:val="clear" w:color="auto" w:fill="FFFFFF" w:themeFill="background1"/>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 Secrétariat a préparé l</w:t>
            </w:r>
            <w:r w:rsidR="00E26E2A">
              <w:rPr>
                <w:rFonts w:ascii="Arial" w:hAnsi="Arial"/>
                <w:sz w:val="22"/>
              </w:rPr>
              <w:t>’</w:t>
            </w:r>
            <w:r>
              <w:rPr>
                <w:rFonts w:ascii="Arial" w:hAnsi="Arial"/>
                <w:sz w:val="22"/>
              </w:rPr>
              <w:t>évaluation et l</w:t>
            </w:r>
            <w:r w:rsidR="00E26E2A">
              <w:rPr>
                <w:rFonts w:ascii="Arial" w:hAnsi="Arial"/>
                <w:sz w:val="22"/>
              </w:rPr>
              <w:t>’</w:t>
            </w:r>
            <w:r>
              <w:rPr>
                <w:rFonts w:ascii="Arial" w:hAnsi="Arial"/>
                <w:sz w:val="22"/>
              </w:rPr>
              <w:t>a présentée en tant que document de travail pour examen par le Comit</w:t>
            </w:r>
            <w:r w:rsidR="00B95496">
              <w:rPr>
                <w:rFonts w:ascii="Arial" w:hAnsi="Arial"/>
                <w:sz w:val="22"/>
              </w:rPr>
              <w:t>é lors de sa neuvième session (</w:t>
            </w:r>
            <w:hyperlink r:id="rId21" w:history="1">
              <w:r w:rsidR="00B95496" w:rsidRPr="00B95496">
                <w:rPr>
                  <w:rStyle w:val="Hyperlink"/>
                  <w:rFonts w:ascii="Arial" w:hAnsi="Arial"/>
                  <w:sz w:val="22"/>
                </w:rPr>
                <w:t>d</w:t>
              </w:r>
              <w:r w:rsidRPr="00B95496">
                <w:rPr>
                  <w:rStyle w:val="Hyperlink"/>
                  <w:rFonts w:ascii="Arial" w:hAnsi="Arial"/>
                  <w:sz w:val="22"/>
                </w:rPr>
                <w:t>ocument ITH/14/9.COM/13.d</w:t>
              </w:r>
            </w:hyperlink>
            <w:r>
              <w:rPr>
                <w:rStyle w:val="Hyperlink"/>
                <w:rFonts w:ascii="Arial" w:hAnsi="Arial"/>
                <w:sz w:val="22"/>
              </w:rPr>
              <w:t>)</w:t>
            </w:r>
            <w:r>
              <w:rPr>
                <w:rFonts w:ascii="Arial" w:hAnsi="Arial"/>
                <w:sz w:val="22"/>
              </w:rPr>
              <w:t xml:space="preserve"> </w:t>
            </w:r>
            <w:r w:rsidR="00F31760" w:rsidRPr="00464203">
              <w:rPr>
                <w:rFonts w:ascii="Arial" w:hAnsi="Arial"/>
                <w:sz w:val="22"/>
              </w:rPr>
              <w:t>(</w:t>
            </w:r>
            <w:r w:rsidR="00F31760" w:rsidRPr="00464203">
              <w:rPr>
                <w:rFonts w:ascii="Arial" w:hAnsi="Arial"/>
                <w:b/>
                <w:sz w:val="22"/>
              </w:rPr>
              <w:t>action terminée</w:t>
            </w:r>
            <w:r w:rsidR="00F31760" w:rsidRPr="00464203">
              <w:rPr>
                <w:rFonts w:ascii="Arial" w:hAnsi="Arial"/>
                <w:sz w:val="22"/>
              </w:rPr>
              <w:t>).</w:t>
            </w:r>
            <w:r w:rsidR="00F31760" w:rsidRPr="00464203" w:rsidDel="00F31760">
              <w:rPr>
                <w:rFonts w:ascii="Arial" w:hAnsi="Arial"/>
                <w:b/>
                <w:sz w:val="22"/>
              </w:rPr>
              <w:t xml:space="preserve"> </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Pr>
                <w:sz w:val="22"/>
                <w:szCs w:val="22"/>
              </w:rPr>
            </w:pPr>
            <w:r>
              <w:rPr>
                <w:sz w:val="22"/>
              </w:rPr>
              <w:t xml:space="preserve">Le </w:t>
            </w:r>
            <w:r w:rsidR="00D17488">
              <w:rPr>
                <w:sz w:val="22"/>
              </w:rPr>
              <w:t>S</w:t>
            </w:r>
            <w:r>
              <w:rPr>
                <w:sz w:val="22"/>
              </w:rPr>
              <w:t xml:space="preserve">ecrétariat doit inclure ce point dans les sessions de formations pour les </w:t>
            </w:r>
            <w:r w:rsidR="00973B8A">
              <w:rPr>
                <w:sz w:val="22"/>
              </w:rPr>
              <w:t xml:space="preserve">organes </w:t>
            </w:r>
            <w:r>
              <w:rPr>
                <w:sz w:val="22"/>
              </w:rPr>
              <w:t xml:space="preserve">consultatifs. </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 xml:space="preserve">Les membres des </w:t>
            </w:r>
            <w:r w:rsidR="00973B8A">
              <w:rPr>
                <w:rFonts w:ascii="Arial" w:hAnsi="Arial"/>
                <w:sz w:val="22"/>
              </w:rPr>
              <w:t xml:space="preserve">organes </w:t>
            </w:r>
            <w:r>
              <w:rPr>
                <w:rFonts w:ascii="Arial" w:hAnsi="Arial"/>
                <w:sz w:val="22"/>
              </w:rPr>
              <w:t xml:space="preserve">consultatifs et subsidiaires ont été formés en mars 2014 et les membres de </w:t>
            </w:r>
            <w:r w:rsidR="00973B8A">
              <w:rPr>
                <w:rFonts w:ascii="Arial" w:hAnsi="Arial"/>
                <w:sz w:val="22"/>
              </w:rPr>
              <w:t>l</w:t>
            </w:r>
            <w:r w:rsidR="00E26E2A">
              <w:rPr>
                <w:rFonts w:ascii="Arial" w:hAnsi="Arial"/>
                <w:sz w:val="22"/>
              </w:rPr>
              <w:t>’</w:t>
            </w:r>
            <w:r>
              <w:rPr>
                <w:rFonts w:ascii="Arial" w:hAnsi="Arial"/>
                <w:sz w:val="22"/>
              </w:rPr>
              <w:t>Organe d</w:t>
            </w:r>
            <w:r w:rsidR="00E26E2A">
              <w:rPr>
                <w:rFonts w:ascii="Arial" w:hAnsi="Arial"/>
                <w:sz w:val="22"/>
              </w:rPr>
              <w:t>’</w:t>
            </w:r>
            <w:r>
              <w:rPr>
                <w:rFonts w:ascii="Arial" w:hAnsi="Arial"/>
                <w:sz w:val="22"/>
              </w:rPr>
              <w:t>évaluation ont été formés en avril 2015.</w:t>
            </w:r>
          </w:p>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Des nouveaux membres de l</w:t>
            </w:r>
            <w:r w:rsidR="00E26E2A">
              <w:rPr>
                <w:rFonts w:ascii="Arial" w:hAnsi="Arial"/>
                <w:sz w:val="22"/>
              </w:rPr>
              <w:t>’</w:t>
            </w:r>
            <w:r>
              <w:rPr>
                <w:rFonts w:ascii="Arial" w:hAnsi="Arial"/>
                <w:sz w:val="22"/>
              </w:rPr>
              <w:t>Organe d</w:t>
            </w:r>
            <w:r w:rsidR="00E26E2A">
              <w:rPr>
                <w:rFonts w:ascii="Arial" w:hAnsi="Arial"/>
                <w:sz w:val="22"/>
              </w:rPr>
              <w:t>’</w:t>
            </w:r>
            <w:r>
              <w:rPr>
                <w:rFonts w:ascii="Arial" w:hAnsi="Arial"/>
                <w:sz w:val="22"/>
              </w:rPr>
              <w:t>évaluation seront formés à chaque cycle.</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00" w:after="100"/>
              <w:ind w:left="113" w:right="113"/>
              <w:jc w:val="both"/>
              <w:rPr>
                <w:rFonts w:ascii="Arial" w:hAnsi="Arial" w:cs="Arial"/>
                <w:b/>
                <w:sz w:val="22"/>
                <w:szCs w:val="22"/>
              </w:rPr>
            </w:pPr>
            <w:r>
              <w:rPr>
                <w:rFonts w:ascii="Arial" w:hAnsi="Arial"/>
                <w:b/>
                <w:sz w:val="22"/>
              </w:rPr>
              <w:t>Recommandation 11 </w:t>
            </w:r>
            <w:r w:rsidR="00973B8A" w:rsidRPr="00973B8A">
              <w:rPr>
                <w:rFonts w:ascii="Arial" w:hAnsi="Arial"/>
                <w:b/>
                <w:sz w:val="22"/>
              </w:rPr>
              <w:t>Supprimer l</w:t>
            </w:r>
            <w:r w:rsidR="00E26E2A">
              <w:rPr>
                <w:rFonts w:ascii="Arial" w:hAnsi="Arial"/>
                <w:b/>
                <w:sz w:val="22"/>
              </w:rPr>
              <w:t>’</w:t>
            </w:r>
            <w:r w:rsidR="00973B8A" w:rsidRPr="00973B8A">
              <w:rPr>
                <w:rFonts w:ascii="Arial" w:hAnsi="Arial"/>
                <w:b/>
                <w:sz w:val="22"/>
              </w:rPr>
              <w:t>Organe subsidiaire afin que toutes les candidatures soient évaluées par un organe commun et indépendant</w:t>
            </w:r>
            <w:r w:rsidR="00973B8A">
              <w:rPr>
                <w:rFonts w:ascii="Arial" w:hAnsi="Arial"/>
                <w:b/>
                <w:sz w:val="22"/>
              </w:rPr>
              <w:t>.</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00" w:after="10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Les </w:t>
            </w:r>
            <w:r w:rsidR="00973B8A">
              <w:rPr>
                <w:rFonts w:ascii="Arial" w:hAnsi="Arial"/>
                <w:sz w:val="22"/>
              </w:rPr>
              <w:t>D</w:t>
            </w:r>
            <w:r>
              <w:rPr>
                <w:rFonts w:ascii="Arial" w:hAnsi="Arial"/>
                <w:sz w:val="22"/>
              </w:rPr>
              <w:t>irectives opérationnelles</w:t>
            </w:r>
            <w:r w:rsidR="00400FB4">
              <w:rPr>
                <w:rFonts w:ascii="Arial" w:hAnsi="Arial"/>
                <w:sz w:val="22"/>
              </w:rPr>
              <w:t xml:space="preserve"> ont été</w:t>
            </w:r>
            <w:r>
              <w:rPr>
                <w:rFonts w:ascii="Arial" w:hAnsi="Arial"/>
                <w:sz w:val="22"/>
              </w:rPr>
              <w:t xml:space="preserve"> adoptées pour un seul Organe d</w:t>
            </w:r>
            <w:r w:rsidR="00E26E2A">
              <w:rPr>
                <w:rFonts w:ascii="Arial" w:hAnsi="Arial"/>
                <w:sz w:val="22"/>
              </w:rPr>
              <w:t>’</w:t>
            </w:r>
            <w:r>
              <w:rPr>
                <w:rFonts w:ascii="Arial" w:hAnsi="Arial"/>
                <w:sz w:val="22"/>
              </w:rPr>
              <w:t xml:space="preserve">évaluation et </w:t>
            </w:r>
            <w:r w:rsidR="00400FB4">
              <w:rPr>
                <w:rFonts w:ascii="Arial" w:hAnsi="Arial"/>
                <w:sz w:val="22"/>
              </w:rPr>
              <w:t>le</w:t>
            </w:r>
            <w:r>
              <w:rPr>
                <w:rFonts w:ascii="Arial" w:hAnsi="Arial"/>
                <w:sz w:val="22"/>
              </w:rPr>
              <w:t xml:space="preserve"> nouvel Organe d</w:t>
            </w:r>
            <w:r w:rsidR="00E26E2A">
              <w:rPr>
                <w:rFonts w:ascii="Arial" w:hAnsi="Arial"/>
                <w:sz w:val="22"/>
              </w:rPr>
              <w:t>’</w:t>
            </w:r>
            <w:r>
              <w:rPr>
                <w:rFonts w:ascii="Arial" w:hAnsi="Arial"/>
                <w:sz w:val="22"/>
              </w:rPr>
              <w:t xml:space="preserve">évaluation </w:t>
            </w:r>
            <w:r w:rsidR="00400FB4">
              <w:rPr>
                <w:rFonts w:ascii="Arial" w:hAnsi="Arial"/>
                <w:sz w:val="22"/>
              </w:rPr>
              <w:t xml:space="preserve">entrera </w:t>
            </w:r>
            <w:r>
              <w:rPr>
                <w:rFonts w:ascii="Arial" w:hAnsi="Arial"/>
                <w:sz w:val="22"/>
              </w:rPr>
              <w:t>en vigueur en 2015.</w:t>
            </w:r>
          </w:p>
        </w:tc>
      </w:tr>
      <w:tr w:rsidR="00D70C22" w:rsidRPr="00A76B7D" w:rsidTr="0060296F">
        <w:tc>
          <w:tcPr>
            <w:tcW w:w="4717"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100" w:after="10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100" w:after="10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rsidR="00D70C22" w:rsidRPr="00A76B7D" w:rsidRDefault="00D70C22" w:rsidP="008215A5">
            <w:pPr>
              <w:spacing w:before="100" w:after="10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shd w:val="clear" w:color="auto" w:fill="FFFFFF" w:themeFill="background1"/>
            <w:noWrap/>
            <w:tcMar>
              <w:top w:w="40" w:type="dxa"/>
              <w:left w:w="40" w:type="dxa"/>
              <w:bottom w:w="40" w:type="dxa"/>
              <w:right w:w="40" w:type="dxa"/>
            </w:tcMar>
          </w:tcPr>
          <w:p w:rsidR="00D70C22" w:rsidRPr="00A76B7D" w:rsidRDefault="00D70C22" w:rsidP="008215A5">
            <w:pPr>
              <w:spacing w:before="100" w:after="100"/>
              <w:ind w:left="113" w:right="57"/>
              <w:rPr>
                <w:rFonts w:ascii="Arial" w:hAnsi="Arial" w:cs="Arial"/>
                <w:sz w:val="22"/>
                <w:szCs w:val="22"/>
              </w:rPr>
            </w:pPr>
            <w:r>
              <w:rPr>
                <w:rFonts w:ascii="Arial" w:hAnsi="Arial"/>
                <w:sz w:val="22"/>
              </w:rPr>
              <w:t>Directives opérationnelles adoptées pour un seul Organe d</w:t>
            </w:r>
            <w:r w:rsidR="00E26E2A">
              <w:rPr>
                <w:rFonts w:ascii="Arial" w:hAnsi="Arial"/>
                <w:sz w:val="22"/>
              </w:rPr>
              <w:t>’</w:t>
            </w:r>
            <w:r>
              <w:rPr>
                <w:rFonts w:ascii="Arial" w:hAnsi="Arial"/>
                <w:sz w:val="22"/>
              </w:rPr>
              <w:t>évaluation</w:t>
            </w:r>
            <w:r w:rsidR="00063291">
              <w:rPr>
                <w:rFonts w:ascii="Arial" w:hAnsi="Arial"/>
                <w:sz w:val="22"/>
              </w:rPr>
              <w:t>.</w:t>
            </w:r>
          </w:p>
        </w:tc>
        <w:tc>
          <w:tcPr>
            <w:tcW w:w="1986" w:type="dxa"/>
            <w:gridSpan w:val="2"/>
            <w:shd w:val="clear" w:color="auto" w:fill="FFFFFF" w:themeFill="background1"/>
            <w:noWrap/>
            <w:tcMar>
              <w:top w:w="40" w:type="dxa"/>
              <w:left w:w="40" w:type="dxa"/>
              <w:bottom w:w="40" w:type="dxa"/>
              <w:right w:w="40" w:type="dxa"/>
            </w:tcMar>
          </w:tcPr>
          <w:p w:rsidR="00D70C22" w:rsidRPr="00A76B7D" w:rsidRDefault="00994D09" w:rsidP="008215A5">
            <w:pPr>
              <w:spacing w:before="100" w:after="100"/>
              <w:ind w:left="57"/>
              <w:rPr>
                <w:rFonts w:ascii="Arial" w:hAnsi="Arial" w:cs="Arial"/>
                <w:sz w:val="22"/>
                <w:szCs w:val="22"/>
              </w:rPr>
            </w:pPr>
            <w:r>
              <w:rPr>
                <w:rFonts w:ascii="Arial" w:hAnsi="Arial"/>
                <w:sz w:val="22"/>
              </w:rPr>
              <w:t>j</w:t>
            </w:r>
            <w:r w:rsidR="00D70C22">
              <w:rPr>
                <w:rFonts w:ascii="Arial" w:hAnsi="Arial"/>
                <w:sz w:val="22"/>
              </w:rPr>
              <w:t>uin 2014</w:t>
            </w:r>
          </w:p>
        </w:tc>
        <w:tc>
          <w:tcPr>
            <w:tcW w:w="7655" w:type="dxa"/>
            <w:shd w:val="clear" w:color="auto" w:fill="FFFFFF" w:themeFill="background1"/>
            <w:noWrap/>
            <w:tcMar>
              <w:top w:w="40" w:type="dxa"/>
              <w:left w:w="40" w:type="dxa"/>
              <w:bottom w:w="40" w:type="dxa"/>
              <w:right w:w="40" w:type="dxa"/>
            </w:tcMar>
          </w:tcPr>
          <w:p w:rsidR="00D70C22" w:rsidRPr="00A76B7D" w:rsidRDefault="00D70C22" w:rsidP="008215A5">
            <w:pPr>
              <w:pStyle w:val="ListParagraph"/>
              <w:numPr>
                <w:ilvl w:val="0"/>
                <w:numId w:val="16"/>
              </w:numPr>
              <w:spacing w:before="100" w:after="100"/>
              <w:ind w:left="470" w:hanging="357"/>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 xml:space="preserve">Assemblée générale, durant sa </w:t>
            </w:r>
            <w:r w:rsidR="00D17488">
              <w:rPr>
                <w:rFonts w:ascii="Arial" w:hAnsi="Arial"/>
                <w:sz w:val="22"/>
              </w:rPr>
              <w:t xml:space="preserve">cinquième </w:t>
            </w:r>
            <w:r>
              <w:rPr>
                <w:rFonts w:ascii="Arial" w:hAnsi="Arial"/>
                <w:sz w:val="22"/>
              </w:rPr>
              <w:t>session, a décidé (Résolution 5.GA 5.1) que « l</w:t>
            </w:r>
            <w:r w:rsidR="00E26E2A">
              <w:rPr>
                <w:rFonts w:ascii="Arial" w:hAnsi="Arial"/>
                <w:sz w:val="22"/>
              </w:rPr>
              <w:t>’</w:t>
            </w:r>
            <w:r>
              <w:rPr>
                <w:rFonts w:ascii="Arial" w:hAnsi="Arial"/>
                <w:sz w:val="22"/>
              </w:rPr>
              <w:t xml:space="preserve">évaluation [de </w:t>
            </w:r>
            <w:r w:rsidR="00D17488">
              <w:rPr>
                <w:rFonts w:ascii="Arial" w:hAnsi="Arial"/>
                <w:sz w:val="22"/>
              </w:rPr>
              <w:t>dossiers</w:t>
            </w:r>
            <w:r>
              <w:rPr>
                <w:rFonts w:ascii="Arial" w:hAnsi="Arial"/>
                <w:sz w:val="22"/>
              </w:rPr>
              <w:t xml:space="preserve">] </w:t>
            </w:r>
            <w:r w:rsidR="00D17488">
              <w:rPr>
                <w:rFonts w:ascii="Arial" w:hAnsi="Arial"/>
                <w:sz w:val="22"/>
              </w:rPr>
              <w:t>est effectuée</w:t>
            </w:r>
            <w:r>
              <w:rPr>
                <w:rFonts w:ascii="Arial" w:hAnsi="Arial"/>
                <w:sz w:val="22"/>
              </w:rPr>
              <w:t xml:space="preserve"> par un </w:t>
            </w:r>
            <w:r w:rsidR="00D17488">
              <w:rPr>
                <w:rFonts w:ascii="Arial" w:hAnsi="Arial"/>
                <w:sz w:val="22"/>
              </w:rPr>
              <w:t xml:space="preserve">organe </w:t>
            </w:r>
            <w:r>
              <w:rPr>
                <w:rFonts w:ascii="Arial" w:hAnsi="Arial"/>
                <w:sz w:val="22"/>
              </w:rPr>
              <w:t>consultatif du Comité établi conformément à l</w:t>
            </w:r>
            <w:r w:rsidR="00E26E2A">
              <w:rPr>
                <w:rFonts w:ascii="Arial" w:hAnsi="Arial"/>
                <w:sz w:val="22"/>
              </w:rPr>
              <w:t>’</w:t>
            </w:r>
            <w:r>
              <w:rPr>
                <w:rFonts w:ascii="Arial" w:hAnsi="Arial"/>
                <w:sz w:val="22"/>
              </w:rPr>
              <w:t xml:space="preserve">Article 8.3 de la Convention, </w:t>
            </w:r>
            <w:r w:rsidR="00D17488">
              <w:rPr>
                <w:rFonts w:ascii="Arial" w:hAnsi="Arial"/>
                <w:sz w:val="22"/>
              </w:rPr>
              <w:t>dénommé</w:t>
            </w:r>
            <w:r>
              <w:rPr>
                <w:rFonts w:ascii="Arial" w:hAnsi="Arial"/>
                <w:sz w:val="22"/>
              </w:rPr>
              <w:t xml:space="preserve"> l</w:t>
            </w:r>
            <w:r w:rsidR="00E26E2A">
              <w:rPr>
                <w:rFonts w:ascii="Arial" w:hAnsi="Arial"/>
                <w:sz w:val="22"/>
              </w:rPr>
              <w:t>’</w:t>
            </w:r>
            <w:r>
              <w:rPr>
                <w:rFonts w:ascii="Arial" w:hAnsi="Arial"/>
                <w:sz w:val="22"/>
              </w:rPr>
              <w:t>« Organe d</w:t>
            </w:r>
            <w:r w:rsidR="00E26E2A">
              <w:rPr>
                <w:rFonts w:ascii="Arial" w:hAnsi="Arial"/>
                <w:sz w:val="22"/>
              </w:rPr>
              <w:t>’</w:t>
            </w:r>
            <w:r>
              <w:rPr>
                <w:rFonts w:ascii="Arial" w:hAnsi="Arial"/>
                <w:sz w:val="22"/>
              </w:rPr>
              <w:t xml:space="preserve">évaluation »» (paragraphe 27 des </w:t>
            </w:r>
            <w:r w:rsidR="00973B8A">
              <w:rPr>
                <w:rFonts w:ascii="Arial" w:hAnsi="Arial"/>
                <w:sz w:val="22"/>
              </w:rPr>
              <w:t>D</w:t>
            </w:r>
            <w:r>
              <w:rPr>
                <w:rFonts w:ascii="Arial" w:hAnsi="Arial"/>
                <w:sz w:val="22"/>
              </w:rPr>
              <w:t>irectives opérationnelles)</w:t>
            </w:r>
            <w:r w:rsidR="002B5854">
              <w:rPr>
                <w:rFonts w:ascii="Arial" w:hAnsi="Arial" w:cs="Arial"/>
                <w:sz w:val="22"/>
                <w:szCs w:val="22"/>
              </w:rPr>
              <w:t xml:space="preserve"> </w:t>
            </w:r>
            <w:r w:rsidR="00F31760" w:rsidRPr="00464203">
              <w:rPr>
                <w:rFonts w:ascii="Arial" w:hAnsi="Arial"/>
                <w:sz w:val="22"/>
              </w:rPr>
              <w:t>(</w:t>
            </w:r>
            <w:r w:rsidR="00F31760" w:rsidRPr="00464203">
              <w:rPr>
                <w:rFonts w:ascii="Arial" w:hAnsi="Arial"/>
                <w:b/>
                <w:sz w:val="22"/>
              </w:rPr>
              <w:t>action terminée</w:t>
            </w:r>
            <w:r w:rsidR="00F31760" w:rsidRPr="00464203">
              <w:rPr>
                <w:rFonts w:ascii="Arial" w:hAnsi="Arial"/>
                <w:sz w:val="22"/>
              </w:rPr>
              <w:t>).</w:t>
            </w:r>
            <w:r w:rsidR="00F31760" w:rsidRPr="00464203" w:rsidDel="00F31760">
              <w:rPr>
                <w:rFonts w:ascii="Arial" w:hAnsi="Arial"/>
                <w:b/>
                <w:sz w:val="22"/>
              </w:rPr>
              <w:t xml:space="preserve"> </w:t>
            </w:r>
          </w:p>
        </w:tc>
      </w:tr>
      <w:tr w:rsidR="00D70C22" w:rsidRPr="00A76B7D" w:rsidTr="0060296F">
        <w:tc>
          <w:tcPr>
            <w:tcW w:w="4717" w:type="dxa"/>
            <w:gridSpan w:val="2"/>
            <w:shd w:val="clear" w:color="auto" w:fill="FFFFFF" w:themeFill="background1"/>
            <w:noWrap/>
            <w:tcMar>
              <w:top w:w="40" w:type="dxa"/>
              <w:left w:w="40" w:type="dxa"/>
              <w:bottom w:w="40" w:type="dxa"/>
              <w:right w:w="40" w:type="dxa"/>
            </w:tcMar>
          </w:tcPr>
          <w:p w:rsidR="00D70C22" w:rsidRPr="00A76B7D" w:rsidRDefault="00D70C22" w:rsidP="008215A5">
            <w:pPr>
              <w:spacing w:before="100" w:after="100"/>
              <w:ind w:left="113" w:right="57"/>
              <w:rPr>
                <w:rFonts w:ascii="Arial" w:hAnsi="Arial" w:cs="Arial"/>
                <w:sz w:val="22"/>
                <w:szCs w:val="22"/>
              </w:rPr>
            </w:pPr>
            <w:r>
              <w:rPr>
                <w:rFonts w:ascii="Arial" w:hAnsi="Arial"/>
                <w:sz w:val="22"/>
              </w:rPr>
              <w:t>Un seul Organe d</w:t>
            </w:r>
            <w:r w:rsidR="00E26E2A">
              <w:rPr>
                <w:rFonts w:ascii="Arial" w:hAnsi="Arial"/>
                <w:sz w:val="22"/>
              </w:rPr>
              <w:t>’</w:t>
            </w:r>
            <w:r>
              <w:rPr>
                <w:rFonts w:ascii="Arial" w:hAnsi="Arial"/>
                <w:sz w:val="22"/>
              </w:rPr>
              <w:t>évaluation opérationnel</w:t>
            </w:r>
            <w:r w:rsidR="00063291">
              <w:rPr>
                <w:rFonts w:ascii="Arial" w:hAnsi="Arial"/>
                <w:sz w:val="22"/>
              </w:rPr>
              <w:t>.</w:t>
            </w:r>
          </w:p>
        </w:tc>
        <w:tc>
          <w:tcPr>
            <w:tcW w:w="1986" w:type="dxa"/>
            <w:gridSpan w:val="2"/>
            <w:shd w:val="clear" w:color="auto" w:fill="FFFFFF" w:themeFill="background1"/>
            <w:noWrap/>
            <w:tcMar>
              <w:top w:w="40" w:type="dxa"/>
              <w:left w:w="40" w:type="dxa"/>
              <w:bottom w:w="40" w:type="dxa"/>
              <w:right w:w="40" w:type="dxa"/>
            </w:tcMar>
          </w:tcPr>
          <w:p w:rsidR="00D70C22" w:rsidRPr="00A76B7D" w:rsidRDefault="00994D09" w:rsidP="008215A5">
            <w:pPr>
              <w:spacing w:before="100" w:after="100"/>
              <w:ind w:left="57"/>
              <w:rPr>
                <w:rFonts w:ascii="Arial" w:hAnsi="Arial" w:cs="Arial"/>
                <w:sz w:val="22"/>
                <w:szCs w:val="22"/>
              </w:rPr>
            </w:pPr>
            <w:r>
              <w:rPr>
                <w:rFonts w:ascii="Arial" w:hAnsi="Arial"/>
                <w:sz w:val="22"/>
              </w:rPr>
              <w:t>o</w:t>
            </w:r>
            <w:r w:rsidR="00D70C22">
              <w:rPr>
                <w:rFonts w:ascii="Arial" w:hAnsi="Arial"/>
                <w:sz w:val="22"/>
              </w:rPr>
              <w:t>ctobre 2015</w:t>
            </w:r>
          </w:p>
        </w:tc>
        <w:tc>
          <w:tcPr>
            <w:tcW w:w="7655" w:type="dxa"/>
            <w:shd w:val="clear" w:color="auto" w:fill="FFFFFF" w:themeFill="background1"/>
            <w:noWrap/>
            <w:tcMar>
              <w:top w:w="40" w:type="dxa"/>
              <w:left w:w="40" w:type="dxa"/>
              <w:bottom w:w="40" w:type="dxa"/>
              <w:right w:w="40" w:type="dxa"/>
            </w:tcMar>
          </w:tcPr>
          <w:p w:rsidR="00D70C22" w:rsidRPr="00A76B7D" w:rsidRDefault="00D70C22" w:rsidP="008215A5">
            <w:pPr>
              <w:pStyle w:val="ListParagraph"/>
              <w:numPr>
                <w:ilvl w:val="0"/>
                <w:numId w:val="16"/>
              </w:numPr>
              <w:spacing w:before="100" w:after="100"/>
              <w:ind w:left="470" w:hanging="357"/>
              <w:rPr>
                <w:rFonts w:ascii="Arial" w:hAnsi="Arial" w:cs="Arial"/>
                <w:b/>
                <w:sz w:val="22"/>
                <w:szCs w:val="22"/>
                <w:u w:val="single"/>
              </w:rPr>
            </w:pPr>
            <w:r>
              <w:rPr>
                <w:rFonts w:ascii="Arial" w:hAnsi="Arial"/>
                <w:sz w:val="22"/>
              </w:rPr>
              <w:t xml:space="preserve">Le premier </w:t>
            </w:r>
            <w:r w:rsidR="00973B8A">
              <w:rPr>
                <w:rFonts w:ascii="Arial" w:hAnsi="Arial"/>
                <w:sz w:val="22"/>
              </w:rPr>
              <w:t>O</w:t>
            </w:r>
            <w:r>
              <w:rPr>
                <w:rFonts w:ascii="Arial" w:hAnsi="Arial"/>
                <w:sz w:val="22"/>
              </w:rPr>
              <w:t>rgane d</w:t>
            </w:r>
            <w:r w:rsidR="00E26E2A">
              <w:rPr>
                <w:rFonts w:ascii="Arial" w:hAnsi="Arial"/>
                <w:sz w:val="22"/>
              </w:rPr>
              <w:t>’</w:t>
            </w:r>
            <w:r>
              <w:rPr>
                <w:rFonts w:ascii="Arial" w:hAnsi="Arial"/>
                <w:sz w:val="22"/>
              </w:rPr>
              <w:t xml:space="preserve">évaluation a évalué tous les </w:t>
            </w:r>
            <w:r w:rsidR="00973B8A">
              <w:rPr>
                <w:rFonts w:ascii="Arial" w:hAnsi="Arial"/>
                <w:sz w:val="22"/>
              </w:rPr>
              <w:t xml:space="preserve">dossiers </w:t>
            </w:r>
            <w:r>
              <w:rPr>
                <w:rFonts w:ascii="Arial" w:hAnsi="Arial"/>
                <w:sz w:val="22"/>
              </w:rPr>
              <w:t xml:space="preserve">soumis en 2015 </w:t>
            </w:r>
            <w:r w:rsidR="00F31760" w:rsidRPr="00464203">
              <w:rPr>
                <w:rFonts w:ascii="Arial" w:hAnsi="Arial"/>
                <w:sz w:val="22"/>
              </w:rPr>
              <w:t>(</w:t>
            </w:r>
            <w:r w:rsidR="00F31760" w:rsidRPr="00464203">
              <w:rPr>
                <w:rFonts w:ascii="Arial" w:hAnsi="Arial"/>
                <w:b/>
                <w:sz w:val="22"/>
              </w:rPr>
              <w:t>action terminée</w:t>
            </w:r>
            <w:r w:rsidR="00F31760" w:rsidRPr="00464203">
              <w:rPr>
                <w:rFonts w:ascii="Arial" w:hAnsi="Arial"/>
                <w:sz w:val="22"/>
              </w:rPr>
              <w:t>).</w:t>
            </w:r>
            <w:r w:rsidR="00F31760" w:rsidRPr="00464203" w:rsidDel="00F31760">
              <w:rPr>
                <w:rFonts w:ascii="Arial" w:hAnsi="Arial"/>
                <w:b/>
                <w:sz w:val="22"/>
              </w:rPr>
              <w:t xml:space="preserve"> </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tabs>
                <w:tab w:val="left" w:pos="2640"/>
              </w:tabs>
              <w:spacing w:before="100" w:after="100"/>
              <w:ind w:left="113" w:right="113"/>
              <w:rPr>
                <w:rFonts w:ascii="Arial" w:hAnsi="Arial" w:cs="Arial"/>
                <w:b/>
                <w:sz w:val="22"/>
                <w:szCs w:val="22"/>
              </w:rPr>
            </w:pPr>
            <w:r>
              <w:rPr>
                <w:rFonts w:ascii="Arial" w:hAnsi="Arial"/>
                <w:b/>
                <w:sz w:val="22"/>
              </w:rPr>
              <w:t xml:space="preserve">Recommandation 12 : </w:t>
            </w:r>
            <w:r w:rsidR="00973B8A" w:rsidRPr="00973B8A">
              <w:rPr>
                <w:rFonts w:ascii="Arial" w:hAnsi="Arial"/>
                <w:b/>
                <w:sz w:val="22"/>
              </w:rPr>
              <w:t>Revoir et compléter le Registre des meilleures pratiques de sauvegarde en développant d</w:t>
            </w:r>
            <w:r w:rsidR="00E26E2A">
              <w:rPr>
                <w:rFonts w:ascii="Arial" w:hAnsi="Arial"/>
                <w:b/>
                <w:sz w:val="22"/>
              </w:rPr>
              <w:t>’</w:t>
            </w:r>
            <w:r w:rsidR="00973B8A" w:rsidRPr="00973B8A">
              <w:rPr>
                <w:rFonts w:ascii="Arial" w:hAnsi="Arial"/>
                <w:b/>
                <w:sz w:val="22"/>
              </w:rPr>
              <w:t>autres moyens plus légers pour partager les expériences de sauvegarde tels que des sites web dédiés, des bulletins d</w:t>
            </w:r>
            <w:r w:rsidR="00E26E2A">
              <w:rPr>
                <w:rFonts w:ascii="Arial" w:hAnsi="Arial"/>
                <w:b/>
                <w:sz w:val="22"/>
              </w:rPr>
              <w:t>’</w:t>
            </w:r>
            <w:r w:rsidR="00973B8A" w:rsidRPr="00973B8A">
              <w:rPr>
                <w:rFonts w:ascii="Arial" w:hAnsi="Arial"/>
                <w:b/>
                <w:sz w:val="22"/>
              </w:rPr>
              <w:t>information électroniques, des forums en ligne, etc. (Cette recommandation est liée à la  recommandation 19)</w:t>
            </w:r>
            <w:r w:rsidR="00973B8A">
              <w:rPr>
                <w:rFonts w:ascii="Arial" w:hAnsi="Arial"/>
                <w:b/>
                <w:sz w:val="22"/>
              </w:rPr>
              <w:t>.</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00" w:after="100"/>
              <w:ind w:left="113" w:right="113"/>
              <w:rPr>
                <w:rFonts w:ascii="Arial" w:hAnsi="Arial" w:cs="Arial"/>
                <w:sz w:val="22"/>
                <w:szCs w:val="22"/>
              </w:rPr>
            </w:pPr>
            <w:r>
              <w:rPr>
                <w:rFonts w:ascii="Arial" w:hAnsi="Arial"/>
                <w:b/>
                <w:sz w:val="22"/>
              </w:rPr>
              <w:t>Réponse de la direction :</w:t>
            </w:r>
            <w:r>
              <w:rPr>
                <w:rFonts w:ascii="Arial" w:hAnsi="Arial"/>
                <w:sz w:val="22"/>
              </w:rPr>
              <w:t xml:space="preserve"> Différentes parties prenantes, et en particulier le </w:t>
            </w:r>
            <w:r w:rsidR="00973B8A">
              <w:rPr>
                <w:rFonts w:ascii="Arial" w:hAnsi="Arial"/>
                <w:sz w:val="22"/>
              </w:rPr>
              <w:t>f</w:t>
            </w:r>
            <w:r>
              <w:rPr>
                <w:rFonts w:ascii="Arial" w:hAnsi="Arial"/>
                <w:sz w:val="22"/>
              </w:rPr>
              <w:t xml:space="preserve">orum des ONG, devront être consultées </w:t>
            </w:r>
            <w:r w:rsidR="00D17488">
              <w:rPr>
                <w:rFonts w:ascii="Arial" w:hAnsi="Arial"/>
                <w:sz w:val="22"/>
              </w:rPr>
              <w:t xml:space="preserve">sur </w:t>
            </w:r>
            <w:r w:rsidR="00D17488" w:rsidRPr="00FD5402">
              <w:rPr>
                <w:rFonts w:ascii="Arial" w:hAnsi="Arial"/>
                <w:sz w:val="22"/>
              </w:rPr>
              <w:t>d</w:t>
            </w:r>
            <w:r w:rsidR="00E26E2A">
              <w:rPr>
                <w:rFonts w:ascii="Arial" w:hAnsi="Arial"/>
                <w:sz w:val="22"/>
              </w:rPr>
              <w:t>’</w:t>
            </w:r>
            <w:r w:rsidR="00D17488" w:rsidRPr="00FD5402">
              <w:rPr>
                <w:rFonts w:ascii="Arial" w:hAnsi="Arial"/>
                <w:sz w:val="22"/>
              </w:rPr>
              <w:t>autres moyens plus légers</w:t>
            </w:r>
            <w:r>
              <w:rPr>
                <w:rFonts w:ascii="Arial" w:hAnsi="Arial"/>
                <w:sz w:val="22"/>
              </w:rPr>
              <w:t>. Les bonnes pratiques peuvent être identifiées moyennant l</w:t>
            </w:r>
            <w:r w:rsidR="00E26E2A">
              <w:rPr>
                <w:rFonts w:ascii="Arial" w:hAnsi="Arial"/>
                <w:sz w:val="22"/>
              </w:rPr>
              <w:t>’</w:t>
            </w:r>
            <w:r>
              <w:rPr>
                <w:rFonts w:ascii="Arial" w:hAnsi="Arial"/>
                <w:sz w:val="22"/>
              </w:rPr>
              <w:t>analyse de rapports périodiques.</w:t>
            </w:r>
          </w:p>
        </w:tc>
      </w:tr>
      <w:tr w:rsidR="00D70C22" w:rsidRPr="00A76B7D" w:rsidTr="0060296F">
        <w:tc>
          <w:tcPr>
            <w:tcW w:w="4717"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100" w:after="10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100" w:after="10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rsidR="00D70C22" w:rsidRPr="00A76B7D" w:rsidRDefault="00D70C22" w:rsidP="008215A5">
            <w:pPr>
              <w:spacing w:before="100" w:after="10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shd w:val="clear" w:color="auto" w:fill="FFFFFF" w:themeFill="background1"/>
            <w:noWrap/>
            <w:tcMar>
              <w:top w:w="40" w:type="dxa"/>
              <w:left w:w="40" w:type="dxa"/>
              <w:bottom w:w="40" w:type="dxa"/>
              <w:right w:w="40" w:type="dxa"/>
            </w:tcMar>
          </w:tcPr>
          <w:p w:rsidR="00D70C22" w:rsidRPr="00A76B7D" w:rsidRDefault="00D70C22" w:rsidP="008215A5">
            <w:pPr>
              <w:spacing w:before="100" w:after="100"/>
              <w:ind w:left="113"/>
              <w:rPr>
                <w:rFonts w:ascii="Arial" w:hAnsi="Arial" w:cs="Arial"/>
                <w:sz w:val="22"/>
                <w:szCs w:val="22"/>
              </w:rPr>
            </w:pPr>
            <w:r>
              <w:rPr>
                <w:rFonts w:ascii="Arial" w:hAnsi="Arial"/>
                <w:sz w:val="22"/>
              </w:rPr>
              <w:t xml:space="preserve">Consulter différentes parties prenantes, en particulier le </w:t>
            </w:r>
            <w:r w:rsidR="00973B8A">
              <w:rPr>
                <w:rFonts w:ascii="Arial" w:hAnsi="Arial"/>
                <w:sz w:val="22"/>
              </w:rPr>
              <w:t xml:space="preserve">forum </w:t>
            </w:r>
            <w:r>
              <w:rPr>
                <w:rFonts w:ascii="Arial" w:hAnsi="Arial"/>
                <w:sz w:val="22"/>
              </w:rPr>
              <w:t xml:space="preserve">des ONG </w:t>
            </w:r>
            <w:r w:rsidR="00D17488" w:rsidRPr="004B2180">
              <w:rPr>
                <w:rFonts w:ascii="Arial" w:hAnsi="Arial"/>
                <w:sz w:val="22"/>
              </w:rPr>
              <w:t>d</w:t>
            </w:r>
            <w:r w:rsidR="00E26E2A">
              <w:rPr>
                <w:rFonts w:ascii="Arial" w:hAnsi="Arial"/>
                <w:sz w:val="22"/>
              </w:rPr>
              <w:t>’</w:t>
            </w:r>
            <w:r w:rsidR="00D17488" w:rsidRPr="004B2180">
              <w:rPr>
                <w:rFonts w:ascii="Arial" w:hAnsi="Arial"/>
                <w:sz w:val="22"/>
              </w:rPr>
              <w:t>autres moyens plus légers</w:t>
            </w:r>
            <w:r>
              <w:rPr>
                <w:rFonts w:ascii="Arial" w:hAnsi="Arial"/>
                <w:sz w:val="22"/>
              </w:rPr>
              <w:t>.</w:t>
            </w:r>
          </w:p>
        </w:tc>
        <w:tc>
          <w:tcPr>
            <w:tcW w:w="1986" w:type="dxa"/>
            <w:gridSpan w:val="2"/>
            <w:shd w:val="clear" w:color="auto" w:fill="FFFFFF" w:themeFill="background1"/>
            <w:noWrap/>
            <w:tcMar>
              <w:top w:w="40" w:type="dxa"/>
              <w:left w:w="40" w:type="dxa"/>
              <w:bottom w:w="40" w:type="dxa"/>
              <w:right w:w="40" w:type="dxa"/>
            </w:tcMar>
          </w:tcPr>
          <w:p w:rsidR="00D70C22" w:rsidRPr="00A76B7D" w:rsidRDefault="00994D09" w:rsidP="008215A5">
            <w:pPr>
              <w:spacing w:before="100" w:after="100"/>
              <w:ind w:left="57"/>
              <w:rPr>
                <w:rFonts w:ascii="Arial" w:hAnsi="Arial" w:cs="Arial"/>
                <w:sz w:val="22"/>
                <w:szCs w:val="22"/>
              </w:rPr>
            </w:pPr>
            <w:r>
              <w:rPr>
                <w:rFonts w:ascii="Arial" w:hAnsi="Arial"/>
                <w:sz w:val="22"/>
              </w:rPr>
              <w:t>s</w:t>
            </w:r>
            <w:r w:rsidR="00D70C22">
              <w:rPr>
                <w:rFonts w:ascii="Arial" w:hAnsi="Arial"/>
                <w:sz w:val="22"/>
              </w:rPr>
              <w:t>eptembre 2014</w:t>
            </w:r>
          </w:p>
        </w:tc>
        <w:tc>
          <w:tcPr>
            <w:tcW w:w="7655" w:type="dxa"/>
            <w:shd w:val="clear" w:color="auto" w:fill="FFFFFF" w:themeFill="background1"/>
            <w:noWrap/>
            <w:tcMar>
              <w:top w:w="40" w:type="dxa"/>
              <w:left w:w="40" w:type="dxa"/>
              <w:bottom w:w="40" w:type="dxa"/>
              <w:right w:w="40" w:type="dxa"/>
            </w:tcMar>
          </w:tcPr>
          <w:p w:rsidR="00D70C22" w:rsidRPr="00A76B7D" w:rsidRDefault="00D70C22" w:rsidP="008215A5">
            <w:pPr>
              <w:pStyle w:val="ListParagraph"/>
              <w:numPr>
                <w:ilvl w:val="0"/>
                <w:numId w:val="16"/>
              </w:numPr>
              <w:spacing w:before="100" w:after="100"/>
              <w:ind w:left="470" w:hanging="357"/>
              <w:rPr>
                <w:rFonts w:ascii="Arial" w:hAnsi="Arial" w:cs="Arial"/>
                <w:sz w:val="22"/>
                <w:szCs w:val="22"/>
              </w:rPr>
            </w:pPr>
            <w:r>
              <w:rPr>
                <w:rFonts w:ascii="Arial" w:hAnsi="Arial"/>
                <w:sz w:val="22"/>
              </w:rPr>
              <w:t>Les représentants du forum des ONG ont été consultés en décembre 2013, les membres de l</w:t>
            </w:r>
            <w:r w:rsidR="00E26E2A">
              <w:rPr>
                <w:rFonts w:ascii="Arial" w:hAnsi="Arial"/>
                <w:sz w:val="22"/>
              </w:rPr>
              <w:t>’</w:t>
            </w:r>
            <w:r>
              <w:rPr>
                <w:rFonts w:ascii="Arial" w:hAnsi="Arial"/>
                <w:sz w:val="22"/>
              </w:rPr>
              <w:t xml:space="preserve">Organe consultatif en septembre 2014 et les centres de catégorie 2 en octobre 2014 </w:t>
            </w:r>
            <w:r w:rsidR="001E3D6D" w:rsidRPr="00464203">
              <w:rPr>
                <w:rFonts w:ascii="Arial" w:hAnsi="Arial"/>
                <w:sz w:val="22"/>
              </w:rPr>
              <w:t>(</w:t>
            </w:r>
            <w:r w:rsidR="001E3D6D" w:rsidRPr="00464203">
              <w:rPr>
                <w:rFonts w:ascii="Arial" w:hAnsi="Arial"/>
                <w:b/>
                <w:sz w:val="22"/>
              </w:rPr>
              <w:t>action terminée</w:t>
            </w:r>
            <w:r w:rsidR="001E3D6D" w:rsidRPr="00464203">
              <w:rPr>
                <w:rFonts w:ascii="Arial" w:hAnsi="Arial"/>
                <w:sz w:val="22"/>
              </w:rPr>
              <w:t>).</w:t>
            </w:r>
            <w:r w:rsidR="001E3D6D" w:rsidRPr="00464203" w:rsidDel="001E3D6D">
              <w:rPr>
                <w:rFonts w:ascii="Arial" w:hAnsi="Arial"/>
                <w:b/>
                <w:sz w:val="22"/>
              </w:rPr>
              <w:t xml:space="preserve"> </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00" w:after="100"/>
              <w:ind w:left="113"/>
              <w:rPr>
                <w:rFonts w:ascii="Arial" w:hAnsi="Arial" w:cs="Arial"/>
                <w:sz w:val="22"/>
                <w:szCs w:val="22"/>
              </w:rPr>
            </w:pPr>
            <w:r>
              <w:rPr>
                <w:rFonts w:ascii="Arial" w:hAnsi="Arial"/>
                <w:sz w:val="22"/>
              </w:rPr>
              <w:t>Identifier les bonnes pratiques au moyen d</w:t>
            </w:r>
            <w:r w:rsidR="00E26E2A">
              <w:rPr>
                <w:rFonts w:ascii="Arial" w:hAnsi="Arial"/>
                <w:sz w:val="22"/>
              </w:rPr>
              <w:t>’</w:t>
            </w:r>
            <w:r>
              <w:rPr>
                <w:rFonts w:ascii="Arial" w:hAnsi="Arial"/>
                <w:sz w:val="22"/>
              </w:rPr>
              <w:t>analyses de rapports périodiques.</w:t>
            </w:r>
          </w:p>
        </w:tc>
        <w:tc>
          <w:tcPr>
            <w:tcW w:w="1986" w:type="dxa"/>
            <w:gridSpan w:val="2"/>
            <w:noWrap/>
            <w:tcMar>
              <w:top w:w="40" w:type="dxa"/>
              <w:left w:w="40" w:type="dxa"/>
              <w:bottom w:w="40" w:type="dxa"/>
              <w:right w:w="40" w:type="dxa"/>
            </w:tcMar>
          </w:tcPr>
          <w:p w:rsidR="00D70C22" w:rsidRPr="00A76B7D" w:rsidRDefault="00D70C22" w:rsidP="008215A5">
            <w:pPr>
              <w:spacing w:before="100" w:after="10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00" w:after="100"/>
              <w:ind w:left="470" w:hanging="357"/>
              <w:rPr>
                <w:rFonts w:ascii="Arial" w:hAnsi="Arial" w:cs="Arial"/>
                <w:b/>
                <w:sz w:val="22"/>
                <w:szCs w:val="22"/>
                <w:u w:val="single"/>
              </w:rPr>
            </w:pPr>
            <w:r>
              <w:rPr>
                <w:rFonts w:ascii="Arial" w:hAnsi="Arial"/>
                <w:sz w:val="22"/>
              </w:rPr>
              <w:t xml:space="preserve">Les synthèses des </w:t>
            </w:r>
            <w:r w:rsidR="007D40A4">
              <w:rPr>
                <w:rFonts w:ascii="Arial" w:hAnsi="Arial"/>
                <w:sz w:val="22"/>
              </w:rPr>
              <w:t xml:space="preserve">27 et 24 </w:t>
            </w:r>
            <w:r>
              <w:rPr>
                <w:rFonts w:ascii="Arial" w:hAnsi="Arial"/>
                <w:sz w:val="22"/>
              </w:rPr>
              <w:t xml:space="preserve">rapports périodiques  soumis pour examen par le Comité lors de sa neuvième et dixième sessions contiennent </w:t>
            </w:r>
            <w:r w:rsidR="007D40A4">
              <w:rPr>
                <w:rFonts w:ascii="Arial" w:hAnsi="Arial"/>
                <w:sz w:val="22"/>
              </w:rPr>
              <w:t xml:space="preserve">respectivement </w:t>
            </w:r>
            <w:r>
              <w:rPr>
                <w:rFonts w:ascii="Arial" w:hAnsi="Arial"/>
                <w:sz w:val="22"/>
              </w:rPr>
              <w:t>une analyse des pratiques de sauvegarde.</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13 : </w:t>
            </w:r>
            <w:r w:rsidR="00973B8A" w:rsidRPr="00973B8A">
              <w:rPr>
                <w:rFonts w:ascii="Arial" w:hAnsi="Arial"/>
                <w:b/>
                <w:sz w:val="22"/>
              </w:rPr>
              <w:t>Donner la priorité aux demandes d</w:t>
            </w:r>
            <w:r w:rsidR="00E26E2A">
              <w:rPr>
                <w:rFonts w:ascii="Arial" w:hAnsi="Arial"/>
                <w:b/>
                <w:sz w:val="22"/>
              </w:rPr>
              <w:t>’</w:t>
            </w:r>
            <w:r w:rsidR="00973B8A" w:rsidRPr="00973B8A">
              <w:rPr>
                <w:rFonts w:ascii="Arial" w:hAnsi="Arial"/>
                <w:b/>
                <w:sz w:val="22"/>
              </w:rPr>
              <w:t>assistance internationale en respectant le nombre maximum de dossiers dans le cadre des mécanismes de la Convention.</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Ceci a été proposé par le Secrétariat au Comité dans </w:t>
            </w:r>
            <w:r w:rsidR="00F307D8">
              <w:rPr>
                <w:rFonts w:ascii="Arial" w:hAnsi="Arial"/>
                <w:sz w:val="22"/>
              </w:rPr>
              <w:t>sa huitième session</w:t>
            </w:r>
            <w:r>
              <w:rPr>
                <w:rFonts w:ascii="Arial" w:hAnsi="Arial"/>
                <w:sz w:val="22"/>
              </w:rPr>
              <w:t xml:space="preserve"> (</w:t>
            </w:r>
            <w:hyperlink r:id="rId22">
              <w:r>
                <w:rPr>
                  <w:rStyle w:val="Hyperlink"/>
                  <w:rFonts w:ascii="Arial" w:hAnsi="Arial"/>
                  <w:sz w:val="22"/>
                </w:rPr>
                <w:t>document ITH/13/8.COM/5.c</w:t>
              </w:r>
            </w:hyperlink>
            <w:r>
              <w:rPr>
                <w:rFonts w:ascii="Arial" w:hAnsi="Arial"/>
                <w:sz w:val="22"/>
              </w:rPr>
              <w:t xml:space="preserve">) mais a été refusé par ce dernier. Le </w:t>
            </w:r>
            <w:r w:rsidR="00973B8A">
              <w:rPr>
                <w:rFonts w:ascii="Arial" w:hAnsi="Arial"/>
                <w:sz w:val="22"/>
              </w:rPr>
              <w:t>S</w:t>
            </w:r>
            <w:r>
              <w:rPr>
                <w:rFonts w:ascii="Arial" w:hAnsi="Arial"/>
                <w:sz w:val="22"/>
              </w:rPr>
              <w:t xml:space="preserve">ecrétariat offre, malgré tout, un important soutien </w:t>
            </w:r>
            <w:r w:rsidR="00514835">
              <w:rPr>
                <w:rFonts w:ascii="Arial" w:hAnsi="Arial"/>
                <w:sz w:val="22"/>
              </w:rPr>
              <w:t xml:space="preserve">au mécanisme et suivi </w:t>
            </w:r>
            <w:r>
              <w:rPr>
                <w:rFonts w:ascii="Arial" w:hAnsi="Arial"/>
                <w:sz w:val="22"/>
              </w:rPr>
              <w:t xml:space="preserve"> </w:t>
            </w:r>
            <w:r w:rsidR="00514835">
              <w:rPr>
                <w:rFonts w:ascii="Arial" w:hAnsi="Arial"/>
                <w:sz w:val="22"/>
              </w:rPr>
              <w:t>de</w:t>
            </w:r>
            <w:r w:rsidR="00F307D8">
              <w:rPr>
                <w:rFonts w:ascii="Arial" w:hAnsi="Arial"/>
                <w:sz w:val="22"/>
              </w:rPr>
              <w:t>s</w:t>
            </w:r>
            <w:r w:rsidR="00514835">
              <w:rPr>
                <w:rFonts w:ascii="Arial" w:hAnsi="Arial"/>
                <w:sz w:val="22"/>
              </w:rPr>
              <w:t xml:space="preserve"> </w:t>
            </w:r>
            <w:r>
              <w:rPr>
                <w:rFonts w:ascii="Arial" w:hAnsi="Arial"/>
                <w:sz w:val="22"/>
              </w:rPr>
              <w:t xml:space="preserve"> demande</w:t>
            </w:r>
            <w:r w:rsidR="00F307D8">
              <w:rPr>
                <w:rFonts w:ascii="Arial" w:hAnsi="Arial"/>
                <w:sz w:val="22"/>
              </w:rPr>
              <w:t>s</w:t>
            </w:r>
            <w:r>
              <w:rPr>
                <w:rFonts w:ascii="Arial" w:hAnsi="Arial"/>
                <w:sz w:val="22"/>
              </w:rPr>
              <w:t xml:space="preserve"> </w:t>
            </w:r>
            <w:r w:rsidR="00F307D8">
              <w:rPr>
                <w:rFonts w:ascii="Arial" w:hAnsi="Arial"/>
                <w:sz w:val="22"/>
              </w:rPr>
              <w:t>d</w:t>
            </w:r>
            <w:r w:rsidR="00E26E2A">
              <w:rPr>
                <w:rFonts w:ascii="Arial" w:hAnsi="Arial"/>
                <w:sz w:val="22"/>
              </w:rPr>
              <w:t>’</w:t>
            </w:r>
            <w:r w:rsidR="00F307D8">
              <w:rPr>
                <w:rFonts w:ascii="Arial" w:hAnsi="Arial"/>
                <w:sz w:val="22"/>
              </w:rPr>
              <w:t xml:space="preserve">assistance </w:t>
            </w:r>
            <w:r>
              <w:rPr>
                <w:rFonts w:ascii="Arial" w:hAnsi="Arial"/>
                <w:sz w:val="22"/>
              </w:rPr>
              <w:t>internationale.</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 xml:space="preserve">Proposer un amendement </w:t>
            </w:r>
            <w:r w:rsidR="00514835">
              <w:rPr>
                <w:rFonts w:ascii="Arial" w:hAnsi="Arial"/>
                <w:sz w:val="22"/>
              </w:rPr>
              <w:t xml:space="preserve">aux </w:t>
            </w:r>
            <w:r>
              <w:rPr>
                <w:rFonts w:ascii="Arial" w:hAnsi="Arial"/>
                <w:sz w:val="22"/>
              </w:rPr>
              <w:t>Directives opérationnelles pour augmenter la limite des demandes d</w:t>
            </w:r>
            <w:r w:rsidR="00E26E2A">
              <w:rPr>
                <w:rFonts w:ascii="Arial" w:hAnsi="Arial"/>
                <w:sz w:val="22"/>
              </w:rPr>
              <w:t>’</w:t>
            </w:r>
            <w:r>
              <w:rPr>
                <w:rFonts w:ascii="Arial" w:hAnsi="Arial"/>
                <w:sz w:val="22"/>
              </w:rPr>
              <w:t>assistance Internationale susceptibles d</w:t>
            </w:r>
            <w:r w:rsidR="00E26E2A">
              <w:rPr>
                <w:rFonts w:ascii="Arial" w:hAnsi="Arial"/>
                <w:sz w:val="22"/>
              </w:rPr>
              <w:t>’</w:t>
            </w:r>
            <w:r>
              <w:rPr>
                <w:rFonts w:ascii="Arial" w:hAnsi="Arial"/>
                <w:sz w:val="22"/>
              </w:rPr>
              <w:t>être approuvée</w:t>
            </w:r>
            <w:r w:rsidR="00514835">
              <w:rPr>
                <w:rFonts w:ascii="Arial" w:hAnsi="Arial"/>
                <w:sz w:val="22"/>
              </w:rPr>
              <w:t>s</w:t>
            </w:r>
            <w:r>
              <w:rPr>
                <w:rFonts w:ascii="Arial" w:hAnsi="Arial"/>
                <w:sz w:val="22"/>
              </w:rPr>
              <w:t xml:space="preserve"> par le Bureau (actuellement </w:t>
            </w:r>
            <w:r w:rsidR="00F307D8">
              <w:rPr>
                <w:rFonts w:ascii="Arial" w:hAnsi="Arial"/>
                <w:sz w:val="22"/>
              </w:rPr>
              <w:t>jusqu</w:t>
            </w:r>
            <w:r w:rsidR="00E26E2A">
              <w:rPr>
                <w:rFonts w:ascii="Arial" w:hAnsi="Arial"/>
                <w:sz w:val="22"/>
              </w:rPr>
              <w:t>’</w:t>
            </w:r>
            <w:r w:rsidR="00F307D8">
              <w:rPr>
                <w:rFonts w:ascii="Arial" w:hAnsi="Arial"/>
                <w:sz w:val="22"/>
              </w:rPr>
              <w:t>à</w:t>
            </w:r>
            <w:r>
              <w:rPr>
                <w:rFonts w:ascii="Arial" w:hAnsi="Arial"/>
                <w:sz w:val="22"/>
              </w:rPr>
              <w:t xml:space="preserve"> 25 000 dollars </w:t>
            </w:r>
            <w:r w:rsidR="00514835">
              <w:rPr>
                <w:rFonts w:ascii="Arial" w:hAnsi="Arial"/>
                <w:sz w:val="22"/>
              </w:rPr>
              <w:t xml:space="preserve">des </w:t>
            </w:r>
            <w:r w:rsidR="00514835">
              <w:rPr>
                <w:rFonts w:ascii="Arial" w:hAnsi="Arial" w:cs="Arial"/>
                <w:sz w:val="22"/>
              </w:rPr>
              <w:t>É</w:t>
            </w:r>
            <w:r w:rsidR="00514835">
              <w:rPr>
                <w:rFonts w:ascii="Arial" w:hAnsi="Arial"/>
                <w:sz w:val="22"/>
              </w:rPr>
              <w:t>tats-Unis</w:t>
            </w:r>
            <w:r>
              <w:rPr>
                <w:rFonts w:ascii="Arial" w:hAnsi="Arial"/>
                <w:sz w:val="22"/>
              </w:rPr>
              <w:t>).</w:t>
            </w:r>
          </w:p>
        </w:tc>
        <w:tc>
          <w:tcPr>
            <w:tcW w:w="1986" w:type="dxa"/>
            <w:gridSpan w:val="2"/>
            <w:noWrap/>
            <w:tcMar>
              <w:top w:w="40" w:type="dxa"/>
              <w:left w:w="40" w:type="dxa"/>
              <w:bottom w:w="40" w:type="dxa"/>
              <w:right w:w="40" w:type="dxa"/>
            </w:tcMar>
          </w:tcPr>
          <w:p w:rsidR="00D70C22" w:rsidRPr="00A76B7D" w:rsidRDefault="00994D09" w:rsidP="008215A5">
            <w:pPr>
              <w:spacing w:before="120" w:after="120"/>
              <w:ind w:left="57"/>
              <w:rPr>
                <w:rFonts w:ascii="Arial" w:hAnsi="Arial" w:cs="Arial"/>
                <w:sz w:val="22"/>
                <w:szCs w:val="22"/>
              </w:rPr>
            </w:pPr>
            <w:r>
              <w:rPr>
                <w:rFonts w:ascii="Arial" w:hAnsi="Arial"/>
                <w:sz w:val="22"/>
              </w:rPr>
              <w:t>d</w:t>
            </w:r>
            <w:r w:rsidR="00D70C22">
              <w:rPr>
                <w:rFonts w:ascii="Arial" w:hAnsi="Arial"/>
                <w:sz w:val="22"/>
              </w:rPr>
              <w:t>écembre 2015</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À débattre au cours de la dixième session du Comité.</w:t>
            </w:r>
          </w:p>
        </w:tc>
      </w:tr>
      <w:tr w:rsidR="00D70C22" w:rsidRPr="00A76B7D" w:rsidTr="0060296F">
        <w:tc>
          <w:tcPr>
            <w:tcW w:w="4717" w:type="dxa"/>
            <w:gridSpan w:val="2"/>
            <w:noWrap/>
            <w:tcMar>
              <w:top w:w="40" w:type="dxa"/>
              <w:left w:w="40" w:type="dxa"/>
              <w:bottom w:w="40" w:type="dxa"/>
              <w:right w:w="40" w:type="dxa"/>
            </w:tcMar>
          </w:tcPr>
          <w:p w:rsidR="00D70C22" w:rsidRPr="00A76B7D" w:rsidDel="00ED20A1" w:rsidRDefault="00D70C22" w:rsidP="008215A5">
            <w:pPr>
              <w:spacing w:before="120" w:after="120"/>
              <w:ind w:left="113" w:right="57"/>
              <w:rPr>
                <w:rFonts w:ascii="Arial" w:hAnsi="Arial" w:cs="Arial"/>
                <w:sz w:val="22"/>
                <w:szCs w:val="22"/>
              </w:rPr>
            </w:pPr>
            <w:r>
              <w:rPr>
                <w:rFonts w:ascii="Arial" w:hAnsi="Arial"/>
                <w:sz w:val="22"/>
              </w:rPr>
              <w:t xml:space="preserve">Présenter </w:t>
            </w:r>
            <w:r w:rsidR="00F307D8">
              <w:rPr>
                <w:rFonts w:ascii="Arial" w:hAnsi="Arial"/>
                <w:sz w:val="22"/>
              </w:rPr>
              <w:t>à l</w:t>
            </w:r>
            <w:r w:rsidR="00E26E2A">
              <w:rPr>
                <w:rFonts w:ascii="Arial" w:hAnsi="Arial"/>
                <w:sz w:val="22"/>
              </w:rPr>
              <w:t>’</w:t>
            </w:r>
            <w:r w:rsidR="00F307D8">
              <w:rPr>
                <w:rFonts w:ascii="Arial" w:hAnsi="Arial"/>
                <w:sz w:val="22"/>
              </w:rPr>
              <w:t xml:space="preserve">Assemblée générale </w:t>
            </w:r>
            <w:r>
              <w:rPr>
                <w:rFonts w:ascii="Arial" w:hAnsi="Arial"/>
                <w:sz w:val="22"/>
              </w:rPr>
              <w:t xml:space="preserve">un amendement </w:t>
            </w:r>
            <w:r w:rsidR="00514835">
              <w:rPr>
                <w:rFonts w:ascii="Arial" w:hAnsi="Arial"/>
                <w:sz w:val="22"/>
              </w:rPr>
              <w:t xml:space="preserve">aux </w:t>
            </w:r>
            <w:r>
              <w:rPr>
                <w:rFonts w:ascii="Arial" w:hAnsi="Arial"/>
                <w:sz w:val="22"/>
              </w:rPr>
              <w:t>Directives opérationnelles pour augmenter la limite des demandes d</w:t>
            </w:r>
            <w:r w:rsidR="00E26E2A">
              <w:rPr>
                <w:rFonts w:ascii="Arial" w:hAnsi="Arial"/>
                <w:sz w:val="22"/>
              </w:rPr>
              <w:t>’</w:t>
            </w:r>
            <w:r>
              <w:rPr>
                <w:rFonts w:ascii="Arial" w:hAnsi="Arial"/>
                <w:sz w:val="22"/>
              </w:rPr>
              <w:t>assistance Internationale susceptibles d</w:t>
            </w:r>
            <w:r w:rsidR="00E26E2A">
              <w:rPr>
                <w:rFonts w:ascii="Arial" w:hAnsi="Arial"/>
                <w:sz w:val="22"/>
              </w:rPr>
              <w:t>’</w:t>
            </w:r>
            <w:r>
              <w:rPr>
                <w:rFonts w:ascii="Arial" w:hAnsi="Arial"/>
                <w:sz w:val="22"/>
              </w:rPr>
              <w:t>être approuvée</w:t>
            </w:r>
            <w:r w:rsidR="00514835">
              <w:rPr>
                <w:rFonts w:ascii="Arial" w:hAnsi="Arial"/>
                <w:sz w:val="22"/>
              </w:rPr>
              <w:t>s</w:t>
            </w:r>
            <w:r>
              <w:rPr>
                <w:rFonts w:ascii="Arial" w:hAnsi="Arial"/>
                <w:sz w:val="22"/>
              </w:rPr>
              <w:t xml:space="preserve"> par le Bureau (actuellement </w:t>
            </w:r>
            <w:r w:rsidR="00F307D8">
              <w:rPr>
                <w:rFonts w:ascii="Arial" w:hAnsi="Arial"/>
                <w:sz w:val="22"/>
              </w:rPr>
              <w:t>jusqu</w:t>
            </w:r>
            <w:r w:rsidR="00E26E2A">
              <w:rPr>
                <w:rFonts w:ascii="Arial" w:hAnsi="Arial"/>
                <w:sz w:val="22"/>
              </w:rPr>
              <w:t>’</w:t>
            </w:r>
            <w:r w:rsidR="00F307D8">
              <w:rPr>
                <w:rFonts w:ascii="Arial" w:hAnsi="Arial"/>
                <w:sz w:val="22"/>
              </w:rPr>
              <w:t>à</w:t>
            </w:r>
            <w:r>
              <w:rPr>
                <w:rFonts w:ascii="Arial" w:hAnsi="Arial"/>
                <w:sz w:val="22"/>
              </w:rPr>
              <w:t xml:space="preserve"> 25 000 dollars des États Unis).</w:t>
            </w:r>
          </w:p>
        </w:tc>
        <w:tc>
          <w:tcPr>
            <w:tcW w:w="1986" w:type="dxa"/>
            <w:gridSpan w:val="2"/>
            <w:noWrap/>
            <w:tcMar>
              <w:top w:w="40" w:type="dxa"/>
              <w:left w:w="40" w:type="dxa"/>
              <w:bottom w:w="40" w:type="dxa"/>
              <w:right w:w="40" w:type="dxa"/>
            </w:tcMar>
          </w:tcPr>
          <w:p w:rsidR="00D70C22" w:rsidRPr="00A76B7D" w:rsidDel="00ED20A1" w:rsidRDefault="00994D09" w:rsidP="008215A5">
            <w:pPr>
              <w:spacing w:before="120" w:after="120"/>
              <w:ind w:left="57"/>
              <w:rPr>
                <w:rFonts w:ascii="Arial" w:hAnsi="Arial" w:cs="Arial"/>
                <w:sz w:val="22"/>
                <w:szCs w:val="22"/>
              </w:rPr>
            </w:pPr>
            <w:r>
              <w:rPr>
                <w:rFonts w:ascii="Arial" w:hAnsi="Arial"/>
                <w:sz w:val="22"/>
              </w:rPr>
              <w:t>j</w:t>
            </w:r>
            <w:r w:rsidR="00D70C22">
              <w:rPr>
                <w:rFonts w:ascii="Arial" w:hAnsi="Arial"/>
                <w:sz w:val="22"/>
              </w:rPr>
              <w:t>uin 2016</w:t>
            </w:r>
          </w:p>
        </w:tc>
        <w:tc>
          <w:tcPr>
            <w:tcW w:w="7655" w:type="dxa"/>
            <w:noWrap/>
            <w:tcMar>
              <w:top w:w="40" w:type="dxa"/>
              <w:left w:w="40" w:type="dxa"/>
              <w:bottom w:w="40" w:type="dxa"/>
              <w:right w:w="40" w:type="dxa"/>
            </w:tcMar>
          </w:tcPr>
          <w:p w:rsidR="00D70C22" w:rsidRPr="00A76B7D" w:rsidDel="00ED20A1"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 xml:space="preserve">Assemblée générale doit approuver lors de sixième session en 2016 les amendements </w:t>
            </w:r>
            <w:r w:rsidR="00514835">
              <w:rPr>
                <w:rFonts w:ascii="Arial" w:hAnsi="Arial"/>
                <w:sz w:val="22"/>
              </w:rPr>
              <w:t>aux D</w:t>
            </w:r>
            <w:r>
              <w:rPr>
                <w:rFonts w:ascii="Arial" w:hAnsi="Arial"/>
                <w:sz w:val="22"/>
              </w:rPr>
              <w:t>irectives opérationnelles (chapitres I.8, I.10, I.14 et I.15) afin d</w:t>
            </w:r>
            <w:r w:rsidR="00E26E2A">
              <w:rPr>
                <w:rFonts w:ascii="Arial" w:hAnsi="Arial"/>
                <w:sz w:val="22"/>
              </w:rPr>
              <w:t>’</w:t>
            </w:r>
            <w:r>
              <w:rPr>
                <w:rFonts w:ascii="Arial" w:hAnsi="Arial"/>
                <w:sz w:val="22"/>
              </w:rPr>
              <w:t>augmenter la limite des demandes d</w:t>
            </w:r>
            <w:r w:rsidR="00E26E2A">
              <w:rPr>
                <w:rFonts w:ascii="Arial" w:hAnsi="Arial"/>
                <w:sz w:val="22"/>
              </w:rPr>
              <w:t>’</w:t>
            </w:r>
            <w:r>
              <w:rPr>
                <w:rFonts w:ascii="Arial" w:hAnsi="Arial"/>
                <w:sz w:val="22"/>
              </w:rPr>
              <w:t xml:space="preserve">assistance </w:t>
            </w:r>
            <w:r w:rsidR="00514835">
              <w:rPr>
                <w:rFonts w:ascii="Arial" w:hAnsi="Arial"/>
                <w:sz w:val="22"/>
              </w:rPr>
              <w:t>i</w:t>
            </w:r>
            <w:r>
              <w:rPr>
                <w:rFonts w:ascii="Arial" w:hAnsi="Arial"/>
                <w:sz w:val="22"/>
              </w:rPr>
              <w:t>nternationale susceptibles d</w:t>
            </w:r>
            <w:r w:rsidR="00E26E2A">
              <w:rPr>
                <w:rFonts w:ascii="Arial" w:hAnsi="Arial"/>
                <w:sz w:val="22"/>
              </w:rPr>
              <w:t>’</w:t>
            </w:r>
            <w:r>
              <w:rPr>
                <w:rFonts w:ascii="Arial" w:hAnsi="Arial"/>
                <w:sz w:val="22"/>
              </w:rPr>
              <w:t xml:space="preserve">être approuvées par le Bureau (actuellement </w:t>
            </w:r>
            <w:r w:rsidR="00F307D8">
              <w:rPr>
                <w:rFonts w:ascii="Arial" w:hAnsi="Arial"/>
                <w:sz w:val="22"/>
              </w:rPr>
              <w:t>jusqu</w:t>
            </w:r>
            <w:r w:rsidR="00E26E2A">
              <w:rPr>
                <w:rFonts w:ascii="Arial" w:hAnsi="Arial"/>
                <w:sz w:val="22"/>
              </w:rPr>
              <w:t>’</w:t>
            </w:r>
            <w:r w:rsidR="00F307D8">
              <w:rPr>
                <w:rFonts w:ascii="Arial" w:hAnsi="Arial"/>
                <w:sz w:val="22"/>
              </w:rPr>
              <w:t>à</w:t>
            </w:r>
            <w:r>
              <w:rPr>
                <w:rFonts w:ascii="Arial" w:hAnsi="Arial"/>
                <w:sz w:val="22"/>
              </w:rPr>
              <w:t xml:space="preserve"> 25 000 dollars des États</w:t>
            </w:r>
            <w:r w:rsidR="00F307D8">
              <w:rPr>
                <w:rFonts w:ascii="Arial" w:hAnsi="Arial"/>
                <w:sz w:val="22"/>
              </w:rPr>
              <w:t>-</w:t>
            </w:r>
            <w:r>
              <w:rPr>
                <w:rFonts w:ascii="Arial" w:hAnsi="Arial"/>
                <w:sz w:val="22"/>
              </w:rPr>
              <w:t>Unis).</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14 : </w:t>
            </w:r>
            <w:r w:rsidR="008A3237" w:rsidRPr="008A3237">
              <w:rPr>
                <w:rFonts w:ascii="Arial" w:hAnsi="Arial"/>
                <w:b/>
                <w:sz w:val="22"/>
              </w:rPr>
              <w:t>Promouvoir l</w:t>
            </w:r>
            <w:r w:rsidR="00E26E2A">
              <w:rPr>
                <w:rFonts w:ascii="Arial" w:hAnsi="Arial"/>
                <w:b/>
                <w:sz w:val="22"/>
              </w:rPr>
              <w:t>’</w:t>
            </w:r>
            <w:r w:rsidR="008A3237" w:rsidRPr="008A3237">
              <w:rPr>
                <w:rFonts w:ascii="Arial" w:hAnsi="Arial"/>
                <w:b/>
                <w:sz w:val="22"/>
              </w:rPr>
              <w:t>assistance internationale en tant que mécanisme de renforcement des capacités pour les États parties.</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Le </w:t>
            </w:r>
            <w:r w:rsidR="00400FB4">
              <w:rPr>
                <w:rFonts w:ascii="Arial" w:hAnsi="Arial"/>
                <w:sz w:val="22"/>
              </w:rPr>
              <w:t>S</w:t>
            </w:r>
            <w:r>
              <w:rPr>
                <w:rFonts w:ascii="Arial" w:hAnsi="Arial"/>
                <w:sz w:val="22"/>
              </w:rPr>
              <w:t>ecrétariat fournit des retours importants et fréquents sur les demandes d</w:t>
            </w:r>
            <w:r w:rsidR="00E26E2A">
              <w:rPr>
                <w:rFonts w:ascii="Arial" w:hAnsi="Arial"/>
                <w:sz w:val="22"/>
              </w:rPr>
              <w:t>’</w:t>
            </w:r>
            <w:r>
              <w:rPr>
                <w:rFonts w:ascii="Arial" w:hAnsi="Arial"/>
                <w:sz w:val="22"/>
              </w:rPr>
              <w:t xml:space="preserve">assistance </w:t>
            </w:r>
            <w:r w:rsidR="00F307D8">
              <w:rPr>
                <w:rFonts w:ascii="Arial" w:hAnsi="Arial"/>
                <w:sz w:val="22"/>
              </w:rPr>
              <w:t>i</w:t>
            </w:r>
            <w:r>
              <w:rPr>
                <w:rFonts w:ascii="Arial" w:hAnsi="Arial"/>
                <w:sz w:val="22"/>
              </w:rPr>
              <w:t>nternationale, y compris l</w:t>
            </w:r>
            <w:r w:rsidR="00E26E2A">
              <w:rPr>
                <w:rFonts w:ascii="Arial" w:hAnsi="Arial"/>
                <w:sz w:val="22"/>
              </w:rPr>
              <w:t>’</w:t>
            </w:r>
            <w:r>
              <w:rPr>
                <w:rFonts w:ascii="Arial" w:hAnsi="Arial"/>
                <w:sz w:val="22"/>
              </w:rPr>
              <w:t>assistance technique, et intègre ce travail comme un exercice de renforcement des capacités.</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 xml:space="preserve">Fournir une assistance technique pour </w:t>
            </w:r>
            <w:r w:rsidR="00F307D8">
              <w:rPr>
                <w:rFonts w:ascii="Arial" w:hAnsi="Arial"/>
                <w:sz w:val="22"/>
              </w:rPr>
              <w:t>l</w:t>
            </w:r>
            <w:r w:rsidR="00E26E2A">
              <w:rPr>
                <w:rFonts w:ascii="Arial" w:hAnsi="Arial"/>
                <w:sz w:val="22"/>
              </w:rPr>
              <w:t>’</w:t>
            </w:r>
            <w:r w:rsidR="00F307D8">
              <w:rPr>
                <w:rFonts w:ascii="Arial" w:hAnsi="Arial"/>
                <w:sz w:val="22"/>
              </w:rPr>
              <w:t>élaboration d</w:t>
            </w:r>
            <w:r w:rsidR="00E26E2A">
              <w:rPr>
                <w:rFonts w:ascii="Arial" w:hAnsi="Arial"/>
                <w:sz w:val="22"/>
              </w:rPr>
              <w:t>’</w:t>
            </w:r>
            <w:r>
              <w:rPr>
                <w:rFonts w:ascii="Arial" w:hAnsi="Arial"/>
                <w:sz w:val="22"/>
              </w:rPr>
              <w:t>assistance</w:t>
            </w:r>
            <w:r w:rsidR="00F307D8">
              <w:rPr>
                <w:rFonts w:ascii="Arial" w:hAnsi="Arial"/>
                <w:sz w:val="22"/>
              </w:rPr>
              <w:t>s</w:t>
            </w:r>
            <w:r>
              <w:rPr>
                <w:rFonts w:ascii="Arial" w:hAnsi="Arial"/>
                <w:sz w:val="22"/>
              </w:rPr>
              <w:t xml:space="preserve"> </w:t>
            </w:r>
            <w:r w:rsidR="00F307D8">
              <w:rPr>
                <w:rFonts w:ascii="Arial" w:hAnsi="Arial"/>
                <w:sz w:val="22"/>
              </w:rPr>
              <w:t>i</w:t>
            </w:r>
            <w:r>
              <w:rPr>
                <w:rFonts w:ascii="Arial" w:hAnsi="Arial"/>
                <w:sz w:val="22"/>
              </w:rPr>
              <w:t>nternationale</w:t>
            </w:r>
            <w:r w:rsidR="00F307D8">
              <w:rPr>
                <w:rFonts w:ascii="Arial" w:hAnsi="Arial"/>
                <w:sz w:val="22"/>
              </w:rPr>
              <w:t>s</w:t>
            </w:r>
            <w:r>
              <w:rPr>
                <w:rFonts w:ascii="Arial" w:hAnsi="Arial"/>
                <w:sz w:val="22"/>
              </w:rPr>
              <w:t xml:space="preserve"> comme il convient et promouvoir </w:t>
            </w:r>
            <w:r w:rsidR="00400FB4">
              <w:rPr>
                <w:rFonts w:ascii="Arial" w:hAnsi="Arial"/>
                <w:sz w:val="22"/>
              </w:rPr>
              <w:t>d</w:t>
            </w:r>
            <w:r w:rsidR="00E26E2A">
              <w:rPr>
                <w:rFonts w:ascii="Arial" w:hAnsi="Arial"/>
                <w:sz w:val="22"/>
              </w:rPr>
              <w:t>’</w:t>
            </w:r>
            <w:r>
              <w:rPr>
                <w:rFonts w:ascii="Arial" w:hAnsi="Arial"/>
                <w:sz w:val="22"/>
              </w:rPr>
              <w:t>autres formes que les simples dons.</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Suite à la demande du Comité, le Secrétariat « </w:t>
            </w:r>
            <w:r w:rsidR="00D2257D" w:rsidRPr="00FD5402">
              <w:rPr>
                <w:rFonts w:ascii="Arial" w:hAnsi="Arial"/>
                <w:sz w:val="22"/>
                <w:lang w:bidi="ar-SA"/>
              </w:rPr>
              <w:t>d</w:t>
            </w:r>
            <w:r w:rsidR="00E26E2A">
              <w:rPr>
                <w:rFonts w:ascii="Arial" w:hAnsi="Arial"/>
                <w:sz w:val="22"/>
                <w:lang w:bidi="ar-SA"/>
              </w:rPr>
              <w:t>’</w:t>
            </w:r>
            <w:r w:rsidR="00D2257D" w:rsidRPr="00FD5402">
              <w:rPr>
                <w:rFonts w:ascii="Arial" w:hAnsi="Arial"/>
                <w:sz w:val="22"/>
                <w:lang w:bidi="ar-SA"/>
              </w:rPr>
              <w:t>offrir une assistance technique, à travers la mise à disposition d</w:t>
            </w:r>
            <w:r w:rsidR="00E26E2A">
              <w:rPr>
                <w:rFonts w:ascii="Arial" w:hAnsi="Arial"/>
                <w:sz w:val="22"/>
                <w:lang w:bidi="ar-SA"/>
              </w:rPr>
              <w:t>’</w:t>
            </w:r>
            <w:r w:rsidR="00D2257D" w:rsidRPr="00FD5402">
              <w:rPr>
                <w:rFonts w:ascii="Arial" w:hAnsi="Arial"/>
                <w:sz w:val="22"/>
                <w:lang w:bidi="ar-SA"/>
              </w:rPr>
              <w:t>experts, telle que décrite à l</w:t>
            </w:r>
            <w:r w:rsidR="00E26E2A">
              <w:rPr>
                <w:rFonts w:ascii="Arial" w:hAnsi="Arial"/>
                <w:sz w:val="22"/>
                <w:lang w:bidi="ar-SA"/>
              </w:rPr>
              <w:t>’</w:t>
            </w:r>
            <w:r w:rsidR="00D2257D" w:rsidRPr="00FD5402">
              <w:rPr>
                <w:rFonts w:ascii="Arial" w:hAnsi="Arial"/>
                <w:sz w:val="22"/>
                <w:lang w:bidi="ar-SA"/>
              </w:rPr>
              <w:t>article 21 de la Convention, aux États parties souhaitant élaborer une demande d</w:t>
            </w:r>
            <w:r w:rsidR="00E26E2A">
              <w:rPr>
                <w:rFonts w:ascii="Arial" w:hAnsi="Arial"/>
                <w:sz w:val="22"/>
                <w:lang w:bidi="ar-SA"/>
              </w:rPr>
              <w:t>’</w:t>
            </w:r>
            <w:r w:rsidR="00D2257D" w:rsidRPr="00FD5402">
              <w:rPr>
                <w:rFonts w:ascii="Arial" w:hAnsi="Arial"/>
                <w:sz w:val="22"/>
                <w:lang w:bidi="ar-SA"/>
              </w:rPr>
              <w:t>assistance internationale</w:t>
            </w:r>
            <w:r>
              <w:rPr>
                <w:rFonts w:ascii="Arial" w:hAnsi="Arial"/>
                <w:sz w:val="22"/>
              </w:rPr>
              <w:t> » (Décision 8.COM 7.c).</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Huit pays ont déjà profité de ce mécanisme.</w:t>
            </w:r>
          </w:p>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Le Secrétariat favorisera l</w:t>
            </w:r>
            <w:r w:rsidR="00E26E2A">
              <w:rPr>
                <w:rFonts w:ascii="Arial" w:hAnsi="Arial"/>
                <w:sz w:val="22"/>
              </w:rPr>
              <w:t>’</w:t>
            </w:r>
            <w:r>
              <w:rPr>
                <w:rFonts w:ascii="Arial" w:hAnsi="Arial"/>
                <w:sz w:val="22"/>
              </w:rPr>
              <w:t>utilisation de l</w:t>
            </w:r>
            <w:r w:rsidR="00E26E2A">
              <w:rPr>
                <w:rFonts w:ascii="Arial" w:hAnsi="Arial"/>
                <w:sz w:val="22"/>
              </w:rPr>
              <w:t>’</w:t>
            </w:r>
            <w:r>
              <w:rPr>
                <w:rFonts w:ascii="Arial" w:hAnsi="Arial"/>
                <w:sz w:val="22"/>
              </w:rPr>
              <w:t>assistance internationale sous d</w:t>
            </w:r>
            <w:r w:rsidR="00E26E2A">
              <w:rPr>
                <w:rFonts w:ascii="Arial" w:hAnsi="Arial"/>
                <w:sz w:val="22"/>
              </w:rPr>
              <w:t>’</w:t>
            </w:r>
            <w:r>
              <w:rPr>
                <w:rFonts w:ascii="Arial" w:hAnsi="Arial"/>
                <w:sz w:val="22"/>
              </w:rPr>
              <w:t>autres formes que les dons, tel que l</w:t>
            </w:r>
            <w:r w:rsidR="00E26E2A">
              <w:rPr>
                <w:rFonts w:ascii="Arial" w:hAnsi="Arial"/>
                <w:sz w:val="22"/>
              </w:rPr>
              <w:t>’</w:t>
            </w:r>
            <w:r>
              <w:rPr>
                <w:rFonts w:ascii="Arial" w:hAnsi="Arial"/>
                <w:sz w:val="22"/>
              </w:rPr>
              <w:t>indique l</w:t>
            </w:r>
            <w:r w:rsidR="00E26E2A">
              <w:rPr>
                <w:rFonts w:ascii="Arial" w:hAnsi="Arial"/>
                <w:sz w:val="22"/>
              </w:rPr>
              <w:t>’</w:t>
            </w:r>
            <w:r>
              <w:rPr>
                <w:rFonts w:ascii="Arial" w:hAnsi="Arial"/>
                <w:sz w:val="22"/>
              </w:rPr>
              <w:t>Article 21 de la Convention (</w:t>
            </w:r>
            <w:hyperlink r:id="rId23" w:history="1">
              <w:r w:rsidRPr="00B95496">
                <w:rPr>
                  <w:rStyle w:val="Hyperlink"/>
                  <w:rFonts w:ascii="Arial" w:hAnsi="Arial"/>
                  <w:sz w:val="22"/>
                </w:rPr>
                <w:t>Document ITH/15/10.COM/8</w:t>
              </w:r>
            </w:hyperlink>
            <w:r>
              <w:rPr>
                <w:rFonts w:ascii="Arial" w:hAnsi="Arial"/>
                <w:sz w:val="22"/>
              </w:rPr>
              <w: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Intégrer et suivre les formations relatives à l</w:t>
            </w:r>
            <w:r w:rsidR="00E26E2A">
              <w:rPr>
                <w:rFonts w:ascii="Arial" w:hAnsi="Arial"/>
                <w:sz w:val="22"/>
              </w:rPr>
              <w:t>’</w:t>
            </w:r>
            <w:r>
              <w:rPr>
                <w:rFonts w:ascii="Arial" w:hAnsi="Arial"/>
                <w:sz w:val="22"/>
              </w:rPr>
              <w:t>élaboration de l</w:t>
            </w:r>
            <w:r w:rsidR="00E26E2A">
              <w:rPr>
                <w:rFonts w:ascii="Arial" w:hAnsi="Arial"/>
                <w:sz w:val="22"/>
              </w:rPr>
              <w:t>’</w:t>
            </w:r>
            <w:r>
              <w:rPr>
                <w:rFonts w:ascii="Arial" w:hAnsi="Arial"/>
                <w:sz w:val="22"/>
              </w:rPr>
              <w:t>assistance Internationale au sein des projets CAP.</w:t>
            </w:r>
          </w:p>
        </w:tc>
        <w:tc>
          <w:tcPr>
            <w:tcW w:w="1986" w:type="dxa"/>
            <w:gridSpan w:val="2"/>
            <w:noWrap/>
            <w:tcMar>
              <w:top w:w="40" w:type="dxa"/>
              <w:left w:w="40" w:type="dxa"/>
              <w:bottom w:w="40" w:type="dxa"/>
              <w:right w:w="40" w:type="dxa"/>
            </w:tcMar>
          </w:tcPr>
          <w:p w:rsidR="00D70C22" w:rsidRPr="00A76B7D" w:rsidRDefault="00994D09" w:rsidP="008215A5">
            <w:pPr>
              <w:spacing w:before="120" w:after="120"/>
              <w:ind w:left="57"/>
              <w:rPr>
                <w:rFonts w:ascii="Arial" w:hAnsi="Arial" w:cs="Arial"/>
                <w:sz w:val="22"/>
                <w:szCs w:val="22"/>
              </w:rPr>
            </w:pPr>
            <w:r>
              <w:rPr>
                <w:rFonts w:ascii="Arial" w:hAnsi="Arial"/>
                <w:sz w:val="22"/>
              </w:rPr>
              <w:t>d</w:t>
            </w:r>
            <w:r w:rsidR="00D70C22">
              <w:rPr>
                <w:rFonts w:ascii="Arial" w:hAnsi="Arial"/>
                <w:sz w:val="22"/>
              </w:rPr>
              <w:t>écembre 2015</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 xml:space="preserve">assistance internationale a été intégrée dans les </w:t>
            </w:r>
            <w:r w:rsidR="000F49D8">
              <w:rPr>
                <w:rFonts w:ascii="Arial" w:hAnsi="Arial"/>
                <w:sz w:val="22"/>
              </w:rPr>
              <w:t xml:space="preserve">différents thèmes des </w:t>
            </w:r>
            <w:r>
              <w:rPr>
                <w:rFonts w:ascii="Arial" w:hAnsi="Arial"/>
                <w:sz w:val="22"/>
              </w:rPr>
              <w:t>ateliers (sauvegarde, candidatures, etc.).</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De nouveaux supports approfondis de formation sur l</w:t>
            </w:r>
            <w:r w:rsidR="00E26E2A">
              <w:rPr>
                <w:rFonts w:ascii="Arial" w:hAnsi="Arial"/>
                <w:sz w:val="22"/>
              </w:rPr>
              <w:t>’</w:t>
            </w:r>
            <w:r>
              <w:rPr>
                <w:rFonts w:ascii="Arial" w:hAnsi="Arial"/>
                <w:sz w:val="22"/>
              </w:rPr>
              <w:t>élaboration d</w:t>
            </w:r>
            <w:r w:rsidR="00E26E2A">
              <w:rPr>
                <w:rFonts w:ascii="Arial" w:hAnsi="Arial"/>
                <w:sz w:val="22"/>
              </w:rPr>
              <w:t>’</w:t>
            </w:r>
            <w:r>
              <w:rPr>
                <w:rFonts w:ascii="Arial" w:hAnsi="Arial"/>
                <w:sz w:val="22"/>
              </w:rPr>
              <w:t>assistance Internationale ont été sollicités et seront disponibles en anglais d</w:t>
            </w:r>
            <w:r w:rsidR="00E26E2A">
              <w:rPr>
                <w:rFonts w:ascii="Arial" w:hAnsi="Arial"/>
                <w:sz w:val="22"/>
              </w:rPr>
              <w:t>’</w:t>
            </w:r>
            <w:r>
              <w:rPr>
                <w:rFonts w:ascii="Arial" w:hAnsi="Arial"/>
                <w:sz w:val="22"/>
              </w:rPr>
              <w:t>ici fin 2015.</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15 : </w:t>
            </w:r>
            <w:r w:rsidR="00400FB4" w:rsidRPr="00400FB4">
              <w:rPr>
                <w:rFonts w:ascii="Arial" w:hAnsi="Arial"/>
                <w:b/>
                <w:sz w:val="22"/>
              </w:rPr>
              <w:t>Renforcer la coopération de longue date entre l</w:t>
            </w:r>
            <w:r w:rsidR="00E26E2A">
              <w:rPr>
                <w:rFonts w:ascii="Arial" w:hAnsi="Arial"/>
                <w:b/>
                <w:sz w:val="22"/>
              </w:rPr>
              <w:t>’</w:t>
            </w:r>
            <w:r w:rsidR="00400FB4" w:rsidRPr="00400FB4">
              <w:rPr>
                <w:rFonts w:ascii="Arial" w:hAnsi="Arial"/>
                <w:b/>
                <w:sz w:val="22"/>
              </w:rPr>
              <w:t>UNESCO et l</w:t>
            </w:r>
            <w:r w:rsidR="00E26E2A">
              <w:rPr>
                <w:rFonts w:ascii="Arial" w:hAnsi="Arial"/>
                <w:b/>
                <w:sz w:val="22"/>
              </w:rPr>
              <w:t>’</w:t>
            </w:r>
            <w:r w:rsidR="00400FB4" w:rsidRPr="00400FB4">
              <w:rPr>
                <w:rFonts w:ascii="Arial" w:hAnsi="Arial"/>
                <w:b/>
                <w:sz w:val="22"/>
              </w:rPr>
              <w:t>OMPI sur les savoirs et la culture traditionnelle afin d</w:t>
            </w:r>
            <w:r w:rsidR="00E26E2A">
              <w:rPr>
                <w:rFonts w:ascii="Arial" w:hAnsi="Arial"/>
                <w:b/>
                <w:sz w:val="22"/>
              </w:rPr>
              <w:t>’</w:t>
            </w:r>
            <w:r w:rsidR="00400FB4" w:rsidRPr="00400FB4">
              <w:rPr>
                <w:rFonts w:ascii="Arial" w:hAnsi="Arial"/>
                <w:b/>
                <w:sz w:val="22"/>
              </w:rPr>
              <w:t>assurer un échange et un apprentissage continus entre les deux organisations et leurs États membres, en particulier dans le contexte des discussions actuelles de l</w:t>
            </w:r>
            <w:r w:rsidR="00E26E2A">
              <w:rPr>
                <w:rFonts w:ascii="Arial" w:hAnsi="Arial"/>
                <w:b/>
                <w:sz w:val="22"/>
              </w:rPr>
              <w:t>’</w:t>
            </w:r>
            <w:r w:rsidR="00400FB4" w:rsidRPr="00400FB4">
              <w:rPr>
                <w:rFonts w:ascii="Arial" w:hAnsi="Arial"/>
                <w:b/>
                <w:sz w:val="22"/>
              </w:rPr>
              <w:t>OMPI au sujet d</w:t>
            </w:r>
            <w:r w:rsidR="00E26E2A">
              <w:rPr>
                <w:rFonts w:ascii="Arial" w:hAnsi="Arial"/>
                <w:b/>
                <w:sz w:val="22"/>
              </w:rPr>
              <w:t>’</w:t>
            </w:r>
            <w:r w:rsidR="00400FB4" w:rsidRPr="00400FB4">
              <w:rPr>
                <w:rFonts w:ascii="Arial" w:hAnsi="Arial"/>
                <w:b/>
                <w:sz w:val="22"/>
              </w:rPr>
              <w:t>un nouvel instrument normatif international pour la protection des droits de propriété intellectuelle des communautés.</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Dans la mesure du possible au vu de ses ressources humaines, le Secrétariat renforcera sa coopération avec l</w:t>
            </w:r>
            <w:r w:rsidR="00E26E2A">
              <w:rPr>
                <w:rFonts w:ascii="Arial" w:hAnsi="Arial"/>
                <w:sz w:val="22"/>
              </w:rPr>
              <w:t>’</w:t>
            </w:r>
            <w:r>
              <w:rPr>
                <w:rFonts w:ascii="Arial" w:hAnsi="Arial"/>
                <w:sz w:val="22"/>
              </w:rPr>
              <w:t>OMPI, en particulier dans l</w:t>
            </w:r>
            <w:r w:rsidR="00E26E2A">
              <w:rPr>
                <w:rFonts w:ascii="Arial" w:hAnsi="Arial"/>
                <w:sz w:val="22"/>
              </w:rPr>
              <w:t>’</w:t>
            </w:r>
            <w:r>
              <w:rPr>
                <w:rFonts w:ascii="Arial" w:hAnsi="Arial"/>
                <w:sz w:val="22"/>
              </w:rPr>
              <w:t>organisation de réunions/événements communs et dans la participation aux réunions des organes directeurs de l</w:t>
            </w:r>
            <w:r w:rsidR="00E26E2A">
              <w:rPr>
                <w:rFonts w:ascii="Arial" w:hAnsi="Arial"/>
                <w:sz w:val="22"/>
              </w:rPr>
              <w:t>’</w:t>
            </w:r>
            <w:r>
              <w:rPr>
                <w:rFonts w:ascii="Arial" w:hAnsi="Arial"/>
                <w:sz w:val="22"/>
              </w:rPr>
              <w:t>OMPI en tant qu</w:t>
            </w:r>
            <w:r w:rsidR="00E26E2A">
              <w:rPr>
                <w:rFonts w:ascii="Arial" w:hAnsi="Arial"/>
                <w:sz w:val="22"/>
              </w:rPr>
              <w:t>’</w:t>
            </w:r>
            <w:r>
              <w:rPr>
                <w:rFonts w:ascii="Arial" w:hAnsi="Arial"/>
                <w:sz w:val="22"/>
              </w:rPr>
              <w:t>observateurs.</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Pr>
                <w:rFonts w:ascii="Arial" w:hAnsi="Arial" w:cs="Arial"/>
                <w:sz w:val="22"/>
                <w:szCs w:val="22"/>
              </w:rPr>
            </w:pPr>
            <w:r>
              <w:rPr>
                <w:rFonts w:ascii="Arial" w:hAnsi="Arial"/>
                <w:sz w:val="22"/>
              </w:rPr>
              <w:t>Renforcer la coopération de l</w:t>
            </w:r>
            <w:r w:rsidR="00E26E2A">
              <w:rPr>
                <w:rFonts w:ascii="Arial" w:hAnsi="Arial"/>
                <w:sz w:val="22"/>
              </w:rPr>
              <w:t>’</w:t>
            </w:r>
            <w:r>
              <w:rPr>
                <w:rFonts w:ascii="Arial" w:hAnsi="Arial"/>
                <w:sz w:val="22"/>
              </w:rPr>
              <w:t>UNESCO avec l</w:t>
            </w:r>
            <w:r w:rsidR="00E26E2A">
              <w:rPr>
                <w:rFonts w:ascii="Arial" w:hAnsi="Arial"/>
                <w:sz w:val="22"/>
              </w:rPr>
              <w:t>’</w:t>
            </w:r>
            <w:r>
              <w:rPr>
                <w:rFonts w:ascii="Arial" w:hAnsi="Arial"/>
                <w:sz w:val="22"/>
              </w:rPr>
              <w:t xml:space="preserve">OMPI pour assurer </w:t>
            </w:r>
            <w:r w:rsidR="000F49D8">
              <w:rPr>
                <w:rFonts w:ascii="Arial" w:hAnsi="Arial"/>
                <w:sz w:val="22"/>
              </w:rPr>
              <w:t>un échange</w:t>
            </w:r>
            <w:r>
              <w:rPr>
                <w:rFonts w:ascii="Arial" w:hAnsi="Arial"/>
                <w:sz w:val="22"/>
              </w:rPr>
              <w:t xml:space="preserve"> et un </w:t>
            </w:r>
            <w:r w:rsidR="000F49D8">
              <w:rPr>
                <w:rFonts w:ascii="Arial" w:hAnsi="Arial"/>
                <w:sz w:val="22"/>
              </w:rPr>
              <w:t xml:space="preserve">apprentissage </w:t>
            </w:r>
            <w:r>
              <w:rPr>
                <w:rFonts w:ascii="Arial" w:hAnsi="Arial"/>
                <w:sz w:val="22"/>
              </w:rPr>
              <w:t xml:space="preserve">continus entre les deux organisations et leurs États </w:t>
            </w:r>
            <w:r w:rsidR="00400FB4">
              <w:rPr>
                <w:rFonts w:ascii="Arial" w:hAnsi="Arial"/>
                <w:sz w:val="22"/>
              </w:rPr>
              <w:t xml:space="preserve">membres </w:t>
            </w:r>
            <w:r>
              <w:rPr>
                <w:rFonts w:ascii="Arial" w:hAnsi="Arial"/>
                <w:sz w:val="22"/>
              </w:rPr>
              <w:t>en ce qui concerne les connaissances traditionnelles et l</w:t>
            </w:r>
            <w:r w:rsidR="00E26E2A">
              <w:rPr>
                <w:rFonts w:ascii="Arial" w:hAnsi="Arial"/>
                <w:sz w:val="22"/>
              </w:rPr>
              <w:t>’</w:t>
            </w:r>
            <w:r>
              <w:rPr>
                <w:rFonts w:ascii="Arial" w:hAnsi="Arial"/>
                <w:sz w:val="22"/>
              </w:rPr>
              <w:t>expression culturelle.</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Afin d</w:t>
            </w:r>
            <w:r w:rsidR="00E26E2A">
              <w:rPr>
                <w:rFonts w:ascii="Arial" w:hAnsi="Arial"/>
                <w:sz w:val="22"/>
              </w:rPr>
              <w:t>’</w:t>
            </w:r>
            <w:r>
              <w:rPr>
                <w:rFonts w:ascii="Arial" w:hAnsi="Arial"/>
                <w:sz w:val="22"/>
              </w:rPr>
              <w:t>assurer le renforcement de la coopération de l</w:t>
            </w:r>
            <w:r w:rsidR="00E26E2A">
              <w:rPr>
                <w:rFonts w:ascii="Arial" w:hAnsi="Arial"/>
                <w:sz w:val="22"/>
              </w:rPr>
              <w:t>’</w:t>
            </w:r>
            <w:r>
              <w:rPr>
                <w:rFonts w:ascii="Arial" w:hAnsi="Arial"/>
                <w:sz w:val="22"/>
              </w:rPr>
              <w:t>UNESCO avec l</w:t>
            </w:r>
            <w:r w:rsidR="00E26E2A">
              <w:rPr>
                <w:rFonts w:ascii="Arial" w:hAnsi="Arial"/>
                <w:sz w:val="22"/>
              </w:rPr>
              <w:t>’</w:t>
            </w:r>
            <w:r>
              <w:rPr>
                <w:rFonts w:ascii="Arial" w:hAnsi="Arial"/>
                <w:sz w:val="22"/>
              </w:rPr>
              <w:t>OMPI, le Bureau du Comité a approuvé des fonds à cet égard dans le plan de dépenses pour l</w:t>
            </w:r>
            <w:r w:rsidR="00E26E2A">
              <w:rPr>
                <w:rFonts w:ascii="Arial" w:hAnsi="Arial"/>
                <w:sz w:val="22"/>
              </w:rPr>
              <w:t>’</w:t>
            </w:r>
            <w:r>
              <w:rPr>
                <w:rFonts w:ascii="Arial" w:hAnsi="Arial"/>
                <w:sz w:val="22"/>
              </w:rPr>
              <w:t xml:space="preserve">utilisation de Fonds ITH dédiés </w:t>
            </w:r>
            <w:r w:rsidR="009C4FFB">
              <w:rPr>
                <w:rFonts w:ascii="Arial" w:hAnsi="Arial"/>
                <w:sz w:val="22"/>
              </w:rPr>
              <w:t xml:space="preserve">aux </w:t>
            </w:r>
            <w:r>
              <w:rPr>
                <w:rFonts w:ascii="Arial" w:hAnsi="Arial"/>
                <w:sz w:val="22"/>
              </w:rPr>
              <w:t>« autres fonctions du Comité ».</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 Secrétariat de la Convention 2003 a participé à une réunion d</w:t>
            </w:r>
            <w:r w:rsidR="00E26E2A">
              <w:rPr>
                <w:rFonts w:ascii="Arial" w:hAnsi="Arial"/>
                <w:sz w:val="22"/>
              </w:rPr>
              <w:t>’</w:t>
            </w:r>
            <w:r>
              <w:rPr>
                <w:rFonts w:ascii="Arial" w:hAnsi="Arial"/>
                <w:sz w:val="22"/>
              </w:rPr>
              <w:t xml:space="preserve">experts tenue en juin 2014 par le Rapporteur Spécial des Nations Unies sur </w:t>
            </w:r>
            <w:r w:rsidRPr="002B5854">
              <w:rPr>
                <w:rFonts w:ascii="Arial" w:hAnsi="Arial"/>
                <w:sz w:val="22"/>
              </w:rPr>
              <w:t>« l</w:t>
            </w:r>
            <w:r w:rsidR="00E26E2A" w:rsidRPr="002B5854">
              <w:rPr>
                <w:rFonts w:ascii="Arial" w:hAnsi="Arial"/>
                <w:sz w:val="22"/>
              </w:rPr>
              <w:t>’</w:t>
            </w:r>
            <w:r w:rsidRPr="002B5854">
              <w:rPr>
                <w:rFonts w:ascii="Arial" w:hAnsi="Arial"/>
                <w:sz w:val="22"/>
              </w:rPr>
              <w:t>impact des régimes de propriété intellectuelle sur la jouissance du droit à la science et à la culture ».</w:t>
            </w:r>
          </w:p>
          <w:p w:rsidR="00D70C22" w:rsidRPr="002B5854" w:rsidRDefault="00D70C22" w:rsidP="008215A5">
            <w:pPr>
              <w:pStyle w:val="ListParagraph"/>
              <w:numPr>
                <w:ilvl w:val="0"/>
                <w:numId w:val="16"/>
              </w:numPr>
              <w:spacing w:before="120" w:after="120"/>
              <w:ind w:left="470" w:hanging="357"/>
              <w:rPr>
                <w:rFonts w:ascii="Arial" w:hAnsi="Arial" w:cs="Arial"/>
                <w:sz w:val="22"/>
                <w:szCs w:val="22"/>
              </w:rPr>
            </w:pPr>
            <w:r w:rsidRPr="002B5854">
              <w:rPr>
                <w:rFonts w:ascii="Arial" w:hAnsi="Arial"/>
                <w:sz w:val="22"/>
              </w:rPr>
              <w:t>Le Secrétariat a collaboré avec l</w:t>
            </w:r>
            <w:r w:rsidR="00E26E2A" w:rsidRPr="002B5854">
              <w:rPr>
                <w:rFonts w:ascii="Arial" w:hAnsi="Arial"/>
                <w:sz w:val="22"/>
              </w:rPr>
              <w:t>’</w:t>
            </w:r>
            <w:r w:rsidRPr="002B5854">
              <w:rPr>
                <w:rFonts w:ascii="Arial" w:hAnsi="Arial"/>
                <w:sz w:val="22"/>
              </w:rPr>
              <w:t>OMPI à l</w:t>
            </w:r>
            <w:r w:rsidR="00E26E2A" w:rsidRPr="002B5854">
              <w:rPr>
                <w:rFonts w:ascii="Arial" w:hAnsi="Arial"/>
                <w:sz w:val="22"/>
              </w:rPr>
              <w:t>’</w:t>
            </w:r>
            <w:r w:rsidRPr="002B5854">
              <w:rPr>
                <w:rFonts w:ascii="Arial" w:hAnsi="Arial"/>
                <w:sz w:val="22"/>
              </w:rPr>
              <w:t>organisation d</w:t>
            </w:r>
            <w:r w:rsidR="00E26E2A" w:rsidRPr="002B5854">
              <w:rPr>
                <w:rFonts w:ascii="Arial" w:hAnsi="Arial"/>
                <w:sz w:val="22"/>
              </w:rPr>
              <w:t>’</w:t>
            </w:r>
            <w:r w:rsidRPr="002B5854">
              <w:rPr>
                <w:rFonts w:ascii="Arial" w:hAnsi="Arial"/>
                <w:sz w:val="22"/>
              </w:rPr>
              <w:t xml:space="preserve">une conférence sur </w:t>
            </w:r>
            <w:r w:rsidR="000F49D8" w:rsidRPr="002B5854">
              <w:rPr>
                <w:rFonts w:ascii="Arial" w:hAnsi="Arial"/>
                <w:sz w:val="22"/>
              </w:rPr>
              <w:t>« </w:t>
            </w:r>
            <w:r w:rsidRPr="002B5854">
              <w:rPr>
                <w:rFonts w:ascii="Arial" w:hAnsi="Arial"/>
                <w:sz w:val="22"/>
              </w:rPr>
              <w:t>la propriété intellectuelle, le patrimoine culturel immatériel et la médecine traditionnelle dans le cadre des politiques pour la sauvegarde du patrimoine culturel immatériel dans des pays de l</w:t>
            </w:r>
            <w:r w:rsidR="00E26E2A" w:rsidRPr="002B5854">
              <w:rPr>
                <w:rFonts w:ascii="Arial" w:hAnsi="Arial"/>
                <w:sz w:val="22"/>
              </w:rPr>
              <w:t>’</w:t>
            </w:r>
            <w:r w:rsidRPr="002B5854">
              <w:rPr>
                <w:rFonts w:ascii="Arial" w:hAnsi="Arial"/>
                <w:sz w:val="22"/>
              </w:rPr>
              <w:t>Europe du Sud-Est</w:t>
            </w:r>
            <w:r w:rsidR="000F49D8" w:rsidRPr="002B5854">
              <w:rPr>
                <w:rFonts w:ascii="Arial" w:hAnsi="Arial"/>
                <w:sz w:val="22"/>
              </w:rPr>
              <w:t> »</w:t>
            </w:r>
            <w:r w:rsidRPr="002B5854">
              <w:rPr>
                <w:rFonts w:ascii="Arial" w:hAnsi="Arial"/>
                <w:sz w:val="22"/>
              </w:rPr>
              <w:t xml:space="preserve"> accueilli</w:t>
            </w:r>
            <w:r w:rsidR="000F49D8" w:rsidRPr="002B5854">
              <w:rPr>
                <w:rFonts w:ascii="Arial" w:hAnsi="Arial"/>
                <w:sz w:val="22"/>
              </w:rPr>
              <w:t>e</w:t>
            </w:r>
            <w:r w:rsidRPr="002B5854">
              <w:rPr>
                <w:rFonts w:ascii="Arial" w:hAnsi="Arial"/>
                <w:sz w:val="22"/>
              </w:rPr>
              <w:t xml:space="preserve"> par le Centre Régional pour la sauvegarde du patrimoine culturel immatériel en Europe du Sud-Est à Sofia, en Bulgarie, en avril 2015.</w:t>
            </w:r>
          </w:p>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sidRPr="002B5854">
              <w:rPr>
                <w:rFonts w:ascii="Arial" w:hAnsi="Arial"/>
                <w:sz w:val="22"/>
              </w:rPr>
              <w:t>Le Secrétariat a participé à un séminaire organisé par l</w:t>
            </w:r>
            <w:r w:rsidR="00E26E2A" w:rsidRPr="002B5854">
              <w:rPr>
                <w:rFonts w:ascii="Arial" w:hAnsi="Arial"/>
                <w:sz w:val="22"/>
              </w:rPr>
              <w:t>’</w:t>
            </w:r>
            <w:r w:rsidRPr="002B5854">
              <w:rPr>
                <w:rFonts w:ascii="Arial" w:hAnsi="Arial"/>
                <w:sz w:val="22"/>
              </w:rPr>
              <w:t xml:space="preserve">OMPI en juin 2015 sur </w:t>
            </w:r>
            <w:r w:rsidR="00DF2D39" w:rsidRPr="002B5854">
              <w:rPr>
                <w:rFonts w:ascii="Arial" w:hAnsi="Arial"/>
                <w:sz w:val="22"/>
              </w:rPr>
              <w:t>« </w:t>
            </w:r>
            <w:r w:rsidRPr="002B5854">
              <w:rPr>
                <w:rFonts w:ascii="Arial" w:hAnsi="Arial"/>
                <w:sz w:val="22"/>
              </w:rPr>
              <w:t>la propriété intellectuelle et les ressources génétiques, le savoir traditionnel et le folklore</w:t>
            </w:r>
            <w:r w:rsidR="00DF2D39" w:rsidRPr="002B5854">
              <w:rPr>
                <w:rFonts w:ascii="Arial" w:hAnsi="Arial"/>
                <w:sz w:val="22"/>
              </w:rPr>
              <w:t> »</w:t>
            </w:r>
            <w:r w:rsidRPr="002B5854">
              <w:rPr>
                <w:rFonts w:ascii="Arial" w:hAnsi="Arial"/>
                <w:sz w:val="22"/>
              </w:rPr>
              <w:t xml:space="preserve"> afin de discuter de la protection effective des expressions de culture traditionnelle</w:t>
            </w:r>
            <w:r>
              <w:rPr>
                <w:rFonts w:ascii="Arial" w:hAnsi="Arial"/>
                <w:sz w:val="22"/>
              </w:rPr>
              <w:t>, le savoir et les ressources génétiques, en se penchant sur des idées initiales pour que cette coopération puisse créer des synergies avec des instruments normatifs pertinents, y compris la Convention 2003.</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16 : </w:t>
            </w:r>
            <w:r w:rsidR="009C4FFB" w:rsidRPr="009C4FFB">
              <w:rPr>
                <w:rFonts w:ascii="Arial" w:hAnsi="Arial"/>
                <w:b/>
                <w:sz w:val="22"/>
              </w:rPr>
              <w:t>Créer des occasions de réflexion commune, d</w:t>
            </w:r>
            <w:r w:rsidR="00E26E2A">
              <w:rPr>
                <w:rFonts w:ascii="Arial" w:hAnsi="Arial"/>
                <w:b/>
                <w:sz w:val="22"/>
              </w:rPr>
              <w:t>’</w:t>
            </w:r>
            <w:r w:rsidR="009C4FFB" w:rsidRPr="009C4FFB">
              <w:rPr>
                <w:rFonts w:ascii="Arial" w:hAnsi="Arial"/>
                <w:b/>
                <w:sz w:val="22"/>
              </w:rPr>
              <w:t>échange d</w:t>
            </w:r>
            <w:r w:rsidR="00E26E2A">
              <w:rPr>
                <w:rFonts w:ascii="Arial" w:hAnsi="Arial"/>
                <w:b/>
                <w:sz w:val="22"/>
              </w:rPr>
              <w:t>’</w:t>
            </w:r>
            <w:r w:rsidR="009C4FFB" w:rsidRPr="009C4FFB">
              <w:rPr>
                <w:rFonts w:ascii="Arial" w:hAnsi="Arial"/>
                <w:b/>
                <w:sz w:val="22"/>
              </w:rPr>
              <w:t>expériences, de coopération et de synergies entre les conventions culturelles de l</w:t>
            </w:r>
            <w:r w:rsidR="00E26E2A">
              <w:rPr>
                <w:rFonts w:ascii="Arial" w:hAnsi="Arial"/>
                <w:b/>
                <w:sz w:val="22"/>
              </w:rPr>
              <w:t>’</w:t>
            </w:r>
            <w:r w:rsidR="009C4FFB" w:rsidRPr="009C4FFB">
              <w:rPr>
                <w:rFonts w:ascii="Arial" w:hAnsi="Arial"/>
                <w:b/>
                <w:sz w:val="22"/>
              </w:rPr>
              <w:t>UNESCO de 1972, 2003 et 2005 et d</w:t>
            </w:r>
            <w:r w:rsidR="00E26E2A">
              <w:rPr>
                <w:rFonts w:ascii="Arial" w:hAnsi="Arial"/>
                <w:b/>
                <w:sz w:val="22"/>
              </w:rPr>
              <w:t>’</w:t>
            </w:r>
            <w:r w:rsidR="009C4FFB" w:rsidRPr="009C4FFB">
              <w:rPr>
                <w:rFonts w:ascii="Arial" w:hAnsi="Arial"/>
                <w:b/>
                <w:sz w:val="22"/>
              </w:rPr>
              <w:t>établir des mécanismes appropriés dans ce sens.</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Le groupe de liaison des conventions culturelles, comprenant les Secrétariat des conventions respectives et l</w:t>
            </w:r>
            <w:r w:rsidR="00A34D3E">
              <w:rPr>
                <w:rFonts w:ascii="Arial" w:hAnsi="Arial"/>
                <w:sz w:val="22"/>
              </w:rPr>
              <w:t>’</w:t>
            </w:r>
            <w:r w:rsidR="00A34D3E" w:rsidRPr="00A34D3E">
              <w:rPr>
                <w:rFonts w:ascii="Arial" w:hAnsi="Arial"/>
                <w:sz w:val="22"/>
              </w:rPr>
              <w:t>équipe dirigeant</w:t>
            </w:r>
            <w:r w:rsidR="00A34D3E" w:rsidRPr="00FD5402">
              <w:rPr>
                <w:rFonts w:ascii="Arial" w:hAnsi="Arial"/>
                <w:sz w:val="22"/>
              </w:rPr>
              <w:t xml:space="preserve"> </w:t>
            </w:r>
            <w:r w:rsidR="00FA45B6" w:rsidRPr="00A34D3E">
              <w:rPr>
                <w:rFonts w:ascii="Arial" w:hAnsi="Arial"/>
                <w:sz w:val="22"/>
              </w:rPr>
              <w:t>du Sec</w:t>
            </w:r>
            <w:r w:rsidR="00FA45B6" w:rsidRPr="00726AF7">
              <w:rPr>
                <w:rFonts w:ascii="Arial" w:hAnsi="Arial"/>
                <w:sz w:val="22"/>
              </w:rPr>
              <w:t>teur de la</w:t>
            </w:r>
            <w:r w:rsidR="00FA45B6">
              <w:rPr>
                <w:rFonts w:ascii="Arial" w:hAnsi="Arial"/>
                <w:sz w:val="22"/>
              </w:rPr>
              <w:t xml:space="preserve"> culture</w:t>
            </w:r>
            <w:r>
              <w:rPr>
                <w:rFonts w:ascii="Arial" w:hAnsi="Arial"/>
                <w:sz w:val="22"/>
              </w:rPr>
              <w:t xml:space="preserve">, se rassemble fréquemment pour partager des informations. Des sous-groupes </w:t>
            </w:r>
            <w:r w:rsidR="00FA45B6">
              <w:rPr>
                <w:rFonts w:ascii="Arial" w:hAnsi="Arial"/>
                <w:sz w:val="22"/>
              </w:rPr>
              <w:t xml:space="preserve">sur </w:t>
            </w:r>
            <w:r>
              <w:rPr>
                <w:rFonts w:ascii="Arial" w:hAnsi="Arial"/>
                <w:sz w:val="22"/>
              </w:rPr>
              <w:t>différents sujets (rapports périodiques, assistance internationale, etc.) partagent également des ressources et méthodologies.</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shd w:val="clear" w:color="auto" w:fill="auto"/>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 xml:space="preserve">Participer au CCLG regroupant les </w:t>
            </w:r>
            <w:r w:rsidR="00FA45B6">
              <w:rPr>
                <w:rFonts w:ascii="Arial" w:hAnsi="Arial"/>
                <w:sz w:val="22"/>
              </w:rPr>
              <w:t xml:space="preserve">secrétariats </w:t>
            </w:r>
            <w:r>
              <w:rPr>
                <w:rFonts w:ascii="Arial" w:hAnsi="Arial"/>
                <w:sz w:val="22"/>
              </w:rPr>
              <w:t>des conventions et l</w:t>
            </w:r>
            <w:r w:rsidR="00A34D3E">
              <w:rPr>
                <w:rFonts w:ascii="Arial" w:hAnsi="Arial"/>
                <w:sz w:val="22"/>
              </w:rPr>
              <w:t>’</w:t>
            </w:r>
            <w:r w:rsidR="00A34D3E" w:rsidRPr="00A34D3E">
              <w:rPr>
                <w:rFonts w:ascii="Arial" w:hAnsi="Arial"/>
                <w:sz w:val="22"/>
              </w:rPr>
              <w:t>équipe dirigeant</w:t>
            </w:r>
            <w:r w:rsidR="00A34D3E" w:rsidRPr="00A34D3E" w:rsidDel="00A34D3E">
              <w:rPr>
                <w:rFonts w:ascii="Arial" w:hAnsi="Arial"/>
                <w:sz w:val="22"/>
              </w:rPr>
              <w:t xml:space="preserve"> </w:t>
            </w:r>
            <w:r w:rsidR="00FA45B6">
              <w:rPr>
                <w:rFonts w:ascii="Arial" w:hAnsi="Arial"/>
                <w:sz w:val="22"/>
              </w:rPr>
              <w:t>du Secteur de la culture</w:t>
            </w:r>
            <w:r>
              <w:rPr>
                <w:rFonts w:ascii="Arial" w:hAnsi="Arial"/>
                <w:sz w:val="22"/>
              </w:rPr>
              <w:t xml:space="preserve">. </w:t>
            </w:r>
          </w:p>
        </w:tc>
        <w:tc>
          <w:tcPr>
            <w:tcW w:w="1986" w:type="dxa"/>
            <w:gridSpan w:val="2"/>
            <w:shd w:val="clear" w:color="auto" w:fill="auto"/>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shd w:val="clear" w:color="auto" w:fill="auto"/>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 Secrétariat a informé le Comité des progrès accomplis lors de sa neuvième session (</w:t>
            </w:r>
            <w:hyperlink r:id="rId24">
              <w:r>
                <w:rPr>
                  <w:rStyle w:val="Hyperlink"/>
                  <w:rFonts w:ascii="Arial" w:hAnsi="Arial"/>
                  <w:sz w:val="22"/>
                </w:rPr>
                <w:t>Document ITH/14/9.COM/13.h</w:t>
              </w:r>
            </w:hyperlink>
            <w:r>
              <w:rPr>
                <w:rFonts w:ascii="Arial" w:hAnsi="Arial"/>
                <w:sz w:val="22"/>
              </w:rPr>
              <w:t xml:space="preserve"> et Décision</w:t>
            </w:r>
            <w:r w:rsidR="00FA45B6">
              <w:rPr>
                <w:rFonts w:ascii="Arial" w:hAnsi="Arial"/>
                <w:sz w:val="22"/>
              </w:rPr>
              <w:t> </w:t>
            </w:r>
            <w:r>
              <w:rPr>
                <w:rFonts w:ascii="Arial" w:hAnsi="Arial"/>
                <w:sz w:val="22"/>
              </w:rPr>
              <w:t>9.COM 13.h).</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 xml:space="preserve">Faciliter la réflexion </w:t>
            </w:r>
            <w:r w:rsidR="00FA45B6">
              <w:rPr>
                <w:rFonts w:ascii="Arial" w:hAnsi="Arial"/>
                <w:sz w:val="22"/>
              </w:rPr>
              <w:t xml:space="preserve">sur </w:t>
            </w:r>
            <w:r>
              <w:rPr>
                <w:rFonts w:ascii="Arial" w:hAnsi="Arial"/>
                <w:sz w:val="22"/>
              </w:rPr>
              <w:t>les synergies entre</w:t>
            </w:r>
            <w:r w:rsidR="00FA45B6">
              <w:rPr>
                <w:rFonts w:ascii="Arial" w:hAnsi="Arial"/>
                <w:sz w:val="22"/>
              </w:rPr>
              <w:t xml:space="preserve"> les conventions</w:t>
            </w:r>
            <w:r>
              <w:rPr>
                <w:rFonts w:ascii="Arial" w:hAnsi="Arial"/>
                <w:sz w:val="22"/>
              </w:rPr>
              <w:t xml:space="preserve"> </w:t>
            </w:r>
            <w:r w:rsidR="00FA45B6">
              <w:rPr>
                <w:rFonts w:ascii="Arial" w:hAnsi="Arial"/>
                <w:sz w:val="22"/>
              </w:rPr>
              <w:t xml:space="preserve">de </w:t>
            </w:r>
            <w:r>
              <w:rPr>
                <w:rFonts w:ascii="Arial" w:hAnsi="Arial"/>
                <w:sz w:val="22"/>
              </w:rPr>
              <w:t>2003 et 2005 dans le domaine du renforcement des capacités</w:t>
            </w:r>
            <w:r w:rsidR="00063291">
              <w:rPr>
                <w:rFonts w:ascii="Arial" w:hAnsi="Arial"/>
                <w:sz w:val="22"/>
              </w:rPr>
              <w:t>.</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 secrétariat a exposé au Comité les progrès accomplis durant sa neuvième session. (</w:t>
            </w:r>
            <w:hyperlink r:id="rId25">
              <w:r>
                <w:rPr>
                  <w:rStyle w:val="Hyperlink"/>
                  <w:rFonts w:ascii="Arial" w:hAnsi="Arial"/>
                  <w:sz w:val="22"/>
                </w:rPr>
                <w:t>Document ITH/14/9.COM/13.h</w:t>
              </w:r>
            </w:hyperlink>
            <w:r>
              <w:rPr>
                <w:rFonts w:ascii="Arial" w:hAnsi="Arial"/>
                <w:sz w:val="22"/>
              </w:rPr>
              <w:t xml:space="preserve"> et Décision 9.COM 13.h).</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Depuis la neuvième session du Comité, le Secrétariat :</w:t>
            </w:r>
          </w:p>
          <w:p w:rsidR="00D70C22" w:rsidRPr="00A76B7D" w:rsidRDefault="00D70C22" w:rsidP="008215A5">
            <w:pPr>
              <w:pStyle w:val="ListParagraph"/>
              <w:numPr>
                <w:ilvl w:val="1"/>
                <w:numId w:val="18"/>
              </w:numPr>
              <w:spacing w:before="120" w:after="120"/>
              <w:ind w:left="879" w:hanging="425"/>
              <w:rPr>
                <w:rFonts w:ascii="Arial" w:hAnsi="Arial" w:cs="Arial"/>
                <w:sz w:val="22"/>
                <w:szCs w:val="22"/>
              </w:rPr>
            </w:pPr>
            <w:r>
              <w:rPr>
                <w:rFonts w:ascii="Arial" w:hAnsi="Arial"/>
                <w:sz w:val="22"/>
              </w:rPr>
              <w:t xml:space="preserve">a organisé un atelier intitulé </w:t>
            </w:r>
            <w:r w:rsidRPr="00A34D3E">
              <w:rPr>
                <w:rFonts w:ascii="Arial" w:hAnsi="Arial"/>
                <w:sz w:val="22"/>
              </w:rPr>
              <w:t>« Comment conseiller efficacement en matière de politique ? »</w:t>
            </w:r>
            <w:r>
              <w:rPr>
                <w:rFonts w:ascii="Arial" w:hAnsi="Arial"/>
                <w:sz w:val="22"/>
              </w:rPr>
              <w:t xml:space="preserve"> avec la participation des </w:t>
            </w:r>
            <w:r w:rsidR="00FA45B6">
              <w:rPr>
                <w:rFonts w:ascii="Arial" w:hAnsi="Arial"/>
                <w:sz w:val="22"/>
              </w:rPr>
              <w:t xml:space="preserve">secrétariats </w:t>
            </w:r>
            <w:r>
              <w:rPr>
                <w:rFonts w:ascii="Arial" w:hAnsi="Arial"/>
                <w:sz w:val="22"/>
              </w:rPr>
              <w:t>des Conventions</w:t>
            </w:r>
            <w:r w:rsidR="00FA45B6">
              <w:rPr>
                <w:rFonts w:ascii="Arial" w:hAnsi="Arial"/>
                <w:sz w:val="22"/>
              </w:rPr>
              <w:t xml:space="preserve"> de</w:t>
            </w:r>
            <w:r>
              <w:rPr>
                <w:rFonts w:ascii="Arial" w:hAnsi="Arial"/>
                <w:sz w:val="22"/>
              </w:rPr>
              <w:t xml:space="preserve"> 2003 et 2005.</w:t>
            </w:r>
          </w:p>
          <w:p w:rsidR="00D70C22" w:rsidRPr="00A76B7D" w:rsidRDefault="00D70C22" w:rsidP="008215A5">
            <w:pPr>
              <w:pStyle w:val="ListParagraph"/>
              <w:numPr>
                <w:ilvl w:val="1"/>
                <w:numId w:val="18"/>
              </w:numPr>
              <w:spacing w:before="120" w:after="120"/>
              <w:ind w:left="879" w:hanging="425"/>
              <w:rPr>
                <w:rFonts w:ascii="Arial" w:hAnsi="Arial" w:cs="Arial"/>
                <w:sz w:val="22"/>
                <w:szCs w:val="22"/>
              </w:rPr>
            </w:pPr>
            <w:r>
              <w:rPr>
                <w:rFonts w:ascii="Arial" w:hAnsi="Arial"/>
                <w:sz w:val="22"/>
              </w:rPr>
              <w:t>a adapté le format des conseils en politique du programme de renforcement</w:t>
            </w:r>
            <w:r w:rsidR="009C4FFB">
              <w:t xml:space="preserve"> </w:t>
            </w:r>
            <w:r>
              <w:rPr>
                <w:rFonts w:ascii="Arial" w:hAnsi="Arial"/>
                <w:sz w:val="22"/>
              </w:rPr>
              <w:t>des capacités de la Convention 2003 afin de promouvoir la synergie.</w:t>
            </w:r>
          </w:p>
          <w:p w:rsidR="00D70C22" w:rsidRPr="00A76B7D" w:rsidRDefault="00D70C22" w:rsidP="008215A5">
            <w:pPr>
              <w:pStyle w:val="ListParagraph"/>
              <w:numPr>
                <w:ilvl w:val="1"/>
                <w:numId w:val="18"/>
              </w:numPr>
              <w:spacing w:before="120" w:after="120"/>
              <w:ind w:left="879" w:hanging="425"/>
              <w:rPr>
                <w:rFonts w:ascii="Arial" w:hAnsi="Arial" w:cs="Arial"/>
                <w:sz w:val="22"/>
                <w:szCs w:val="22"/>
              </w:rPr>
            </w:pPr>
            <w:r>
              <w:rPr>
                <w:rFonts w:ascii="Arial" w:hAnsi="Arial"/>
                <w:sz w:val="22"/>
              </w:rPr>
              <w:t xml:space="preserve">a organisé un atelier pour </w:t>
            </w:r>
            <w:r w:rsidR="009C4FFB">
              <w:rPr>
                <w:rFonts w:ascii="Arial" w:hAnsi="Arial"/>
                <w:sz w:val="22"/>
              </w:rPr>
              <w:t xml:space="preserve">facilitateurs </w:t>
            </w:r>
            <w:r>
              <w:rPr>
                <w:rFonts w:ascii="Arial" w:hAnsi="Arial"/>
                <w:sz w:val="22"/>
              </w:rPr>
              <w:t>sur la fourniture d</w:t>
            </w:r>
            <w:r w:rsidR="00E26E2A">
              <w:rPr>
                <w:rFonts w:ascii="Arial" w:hAnsi="Arial"/>
                <w:sz w:val="22"/>
              </w:rPr>
              <w:t>’</w:t>
            </w:r>
            <w:r>
              <w:rPr>
                <w:rFonts w:ascii="Arial" w:hAnsi="Arial"/>
                <w:sz w:val="22"/>
              </w:rPr>
              <w:t>un soutien politique efficace en Afrique comprenant des experts de la Convention 2005.</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Intégrer efficacement les services de CLT/CCS au travail de la Section</w:t>
            </w:r>
            <w:r w:rsidR="00FA45B6">
              <w:rPr>
                <w:rFonts w:ascii="Arial" w:hAnsi="Arial"/>
                <w:sz w:val="22"/>
              </w:rPr>
              <w:t>.</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L</w:t>
            </w:r>
            <w:r w:rsidR="00E26E2A">
              <w:rPr>
                <w:rFonts w:ascii="Arial" w:hAnsi="Arial"/>
                <w:sz w:val="22"/>
              </w:rPr>
              <w:t>’</w:t>
            </w:r>
            <w:r>
              <w:rPr>
                <w:rFonts w:ascii="Arial" w:hAnsi="Arial"/>
                <w:sz w:val="22"/>
              </w:rPr>
              <w:t>Unité</w:t>
            </w:r>
            <w:r w:rsidR="00E26E2A">
              <w:rPr>
                <w:rFonts w:ascii="Arial" w:hAnsi="Arial"/>
                <w:sz w:val="22"/>
              </w:rPr>
              <w:t xml:space="preserve"> </w:t>
            </w:r>
            <w:r>
              <w:rPr>
                <w:rFonts w:ascii="Arial" w:hAnsi="Arial"/>
                <w:sz w:val="22"/>
              </w:rPr>
              <w:t>des services communs des conventions (CLT/CCS) a appuyé l</w:t>
            </w:r>
            <w:r w:rsidR="00E26E2A">
              <w:rPr>
                <w:rFonts w:ascii="Arial" w:hAnsi="Arial"/>
                <w:sz w:val="22"/>
              </w:rPr>
              <w:t>’</w:t>
            </w:r>
            <w:r>
              <w:rPr>
                <w:rFonts w:ascii="Arial" w:hAnsi="Arial"/>
                <w:sz w:val="22"/>
              </w:rPr>
              <w:t xml:space="preserve">organisation </w:t>
            </w:r>
            <w:proofErr w:type="gramStart"/>
            <w:r>
              <w:rPr>
                <w:rFonts w:ascii="Arial" w:hAnsi="Arial"/>
                <w:sz w:val="22"/>
              </w:rPr>
              <w:t>des neuvième</w:t>
            </w:r>
            <w:proofErr w:type="gramEnd"/>
            <w:r>
              <w:rPr>
                <w:rFonts w:ascii="Arial" w:hAnsi="Arial"/>
                <w:sz w:val="22"/>
              </w:rPr>
              <w:t xml:space="preserve"> et dixième sessions du Comité.</w:t>
            </w:r>
          </w:p>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Une évaluation du travail du CLT/CCS est actuellement menée par l</w:t>
            </w:r>
            <w:r w:rsidR="00E26E2A">
              <w:rPr>
                <w:rFonts w:ascii="Arial" w:hAnsi="Arial"/>
                <w:sz w:val="22"/>
              </w:rPr>
              <w:t>’</w:t>
            </w:r>
            <w:r>
              <w:rPr>
                <w:rFonts w:ascii="Arial" w:hAnsi="Arial"/>
                <w:sz w:val="22"/>
              </w:rPr>
              <w:t>IOS.</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ageBreakBefore/>
              <w:spacing w:before="120" w:after="120"/>
              <w:ind w:left="113" w:right="57"/>
              <w:rPr>
                <w:rFonts w:ascii="Arial" w:hAnsi="Arial" w:cs="Arial"/>
                <w:sz w:val="22"/>
                <w:szCs w:val="22"/>
              </w:rPr>
            </w:pPr>
            <w:r>
              <w:rPr>
                <w:rFonts w:ascii="Arial" w:hAnsi="Arial"/>
                <w:sz w:val="22"/>
              </w:rPr>
              <w:t xml:space="preserve">Faciliter des réunions entre les présidents des six conventions </w:t>
            </w:r>
            <w:r w:rsidR="006141EE">
              <w:rPr>
                <w:rFonts w:ascii="Arial" w:hAnsi="Arial"/>
                <w:sz w:val="22"/>
              </w:rPr>
              <w:t xml:space="preserve">culturelles </w:t>
            </w:r>
            <w:r>
              <w:rPr>
                <w:rFonts w:ascii="Arial" w:hAnsi="Arial"/>
                <w:sz w:val="22"/>
              </w:rPr>
              <w:t>de l</w:t>
            </w:r>
            <w:r w:rsidR="00E26E2A">
              <w:rPr>
                <w:rFonts w:ascii="Arial" w:hAnsi="Arial"/>
                <w:sz w:val="22"/>
              </w:rPr>
              <w:t>’</w:t>
            </w:r>
            <w:r>
              <w:rPr>
                <w:rFonts w:ascii="Arial" w:hAnsi="Arial"/>
                <w:sz w:val="22"/>
              </w:rPr>
              <w:t>UNESCO.</w:t>
            </w:r>
          </w:p>
        </w:tc>
        <w:tc>
          <w:tcPr>
            <w:tcW w:w="1986" w:type="dxa"/>
            <w:gridSpan w:val="2"/>
            <w:noWrap/>
            <w:tcMar>
              <w:top w:w="40" w:type="dxa"/>
              <w:left w:w="40" w:type="dxa"/>
              <w:bottom w:w="40" w:type="dxa"/>
              <w:right w:w="40" w:type="dxa"/>
            </w:tcMar>
          </w:tcPr>
          <w:p w:rsidR="00D70C22" w:rsidRPr="00A76B7D" w:rsidRDefault="00D70C22" w:rsidP="008215A5">
            <w:pPr>
              <w:pageBreakBefore/>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pageBreakBefore/>
              <w:numPr>
                <w:ilvl w:val="0"/>
                <w:numId w:val="16"/>
              </w:numPr>
              <w:spacing w:before="120" w:after="120"/>
              <w:ind w:left="470" w:hanging="357"/>
              <w:rPr>
                <w:rFonts w:ascii="Arial" w:hAnsi="Arial" w:cs="Arial"/>
                <w:sz w:val="22"/>
                <w:szCs w:val="22"/>
              </w:rPr>
            </w:pPr>
            <w:r>
              <w:rPr>
                <w:rFonts w:ascii="Arial" w:hAnsi="Arial"/>
                <w:sz w:val="22"/>
              </w:rPr>
              <w:t xml:space="preserve">En juin 2015, au cours de la trente-neuvième session du Comité du patrimoine mondial à Bonn, en Allemagne, les présidents des six conventions </w:t>
            </w:r>
            <w:r w:rsidR="006141EE">
              <w:rPr>
                <w:rFonts w:ascii="Arial" w:hAnsi="Arial"/>
                <w:sz w:val="22"/>
              </w:rPr>
              <w:t xml:space="preserve">culturelles </w:t>
            </w:r>
            <w:r>
              <w:rPr>
                <w:rFonts w:ascii="Arial" w:hAnsi="Arial"/>
                <w:sz w:val="22"/>
              </w:rPr>
              <w:t>de l</w:t>
            </w:r>
            <w:r w:rsidR="00E26E2A">
              <w:rPr>
                <w:rFonts w:ascii="Arial" w:hAnsi="Arial"/>
                <w:sz w:val="22"/>
              </w:rPr>
              <w:t>’</w:t>
            </w:r>
            <w:r>
              <w:rPr>
                <w:rFonts w:ascii="Arial" w:hAnsi="Arial"/>
                <w:sz w:val="22"/>
              </w:rPr>
              <w:t>UNESCO se sont retrouvés pour la première fois pour discuter de la façon de travailler ensemble plus efficacement.</w:t>
            </w:r>
          </w:p>
          <w:p w:rsidR="00D70C22" w:rsidRPr="00A76B7D" w:rsidRDefault="00D70C22" w:rsidP="008215A5">
            <w:pPr>
              <w:pStyle w:val="ListParagraph"/>
              <w:pageBreakBefore/>
              <w:numPr>
                <w:ilvl w:val="0"/>
                <w:numId w:val="16"/>
              </w:numPr>
              <w:spacing w:before="120" w:after="120"/>
              <w:ind w:left="470" w:hanging="357"/>
              <w:rPr>
                <w:rFonts w:ascii="Arial" w:hAnsi="Arial" w:cs="Arial"/>
                <w:sz w:val="22"/>
                <w:szCs w:val="22"/>
              </w:rPr>
            </w:pPr>
            <w:r>
              <w:rPr>
                <w:rFonts w:ascii="Arial" w:hAnsi="Arial"/>
                <w:sz w:val="22"/>
              </w:rPr>
              <w:t>Les Présidents ont présenté une déclaration soulignant la nécessité d</w:t>
            </w:r>
            <w:r w:rsidR="00E26E2A">
              <w:rPr>
                <w:rFonts w:ascii="Arial" w:hAnsi="Arial"/>
                <w:sz w:val="22"/>
              </w:rPr>
              <w:t>’</w:t>
            </w:r>
            <w:r>
              <w:rPr>
                <w:rFonts w:ascii="Arial" w:hAnsi="Arial"/>
                <w:sz w:val="22"/>
              </w:rPr>
              <w:t xml:space="preserve">une volonté politique renouvelée pour soutenir les six </w:t>
            </w:r>
            <w:r w:rsidR="004F6E13">
              <w:rPr>
                <w:rFonts w:ascii="Arial" w:hAnsi="Arial"/>
                <w:sz w:val="22"/>
              </w:rPr>
              <w:t>c</w:t>
            </w:r>
            <w:r>
              <w:rPr>
                <w:rFonts w:ascii="Arial" w:hAnsi="Arial"/>
                <w:sz w:val="22"/>
              </w:rPr>
              <w:t>onventions culturelles de l</w:t>
            </w:r>
            <w:r w:rsidR="00E26E2A">
              <w:rPr>
                <w:rFonts w:ascii="Arial" w:hAnsi="Arial"/>
                <w:sz w:val="22"/>
              </w:rPr>
              <w:t>’</w:t>
            </w:r>
            <w:r>
              <w:rPr>
                <w:rFonts w:ascii="Arial" w:hAnsi="Arial"/>
                <w:sz w:val="22"/>
              </w:rPr>
              <w:t>UNESCO dans leur ensemble et encourageant les Nations Unies à veiller à ce que la protection, la sauvegarde et la compréhension du patrimoine culturel et naturel, la diversité culturelle et l</w:t>
            </w:r>
            <w:r w:rsidR="00E26E2A">
              <w:rPr>
                <w:rFonts w:ascii="Arial" w:hAnsi="Arial"/>
                <w:sz w:val="22"/>
              </w:rPr>
              <w:t>’</w:t>
            </w:r>
            <w:r>
              <w:rPr>
                <w:rFonts w:ascii="Arial" w:hAnsi="Arial"/>
                <w:sz w:val="22"/>
              </w:rPr>
              <w:t>expression créative dans le monde entier soient reconnues comme des questions transversales dans la mise en œuvre des objectifs interdépendants de l</w:t>
            </w:r>
            <w:r w:rsidR="00E26E2A">
              <w:rPr>
                <w:rFonts w:ascii="Arial" w:hAnsi="Arial"/>
                <w:sz w:val="22"/>
              </w:rPr>
              <w:t>’</w:t>
            </w:r>
            <w:r>
              <w:rPr>
                <w:rFonts w:ascii="Arial" w:hAnsi="Arial"/>
                <w:sz w:val="22"/>
              </w:rPr>
              <w:t>Agenda du développement post-2015.</w:t>
            </w:r>
          </w:p>
          <w:p w:rsidR="00D70C22" w:rsidRPr="00A76B7D" w:rsidRDefault="00D70C22" w:rsidP="008215A5">
            <w:pPr>
              <w:pStyle w:val="ListParagraph"/>
              <w:pageBreakBefore/>
              <w:numPr>
                <w:ilvl w:val="0"/>
                <w:numId w:val="16"/>
              </w:numPr>
              <w:spacing w:before="120" w:after="120"/>
              <w:ind w:left="470" w:hanging="357"/>
              <w:rPr>
                <w:rFonts w:ascii="Arial" w:hAnsi="Arial" w:cs="Arial"/>
                <w:b/>
                <w:sz w:val="22"/>
                <w:szCs w:val="22"/>
                <w:u w:val="single"/>
              </w:rPr>
            </w:pPr>
            <w:r>
              <w:rPr>
                <w:rFonts w:ascii="Arial" w:hAnsi="Arial"/>
                <w:sz w:val="22"/>
              </w:rPr>
              <w:t>La déclaration recommande également aux Présidents de se retrouver régulièrement pour évaluer les progrès et former une vision commune progressive.</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tabs>
                <w:tab w:val="left" w:pos="2640"/>
              </w:tabs>
              <w:spacing w:before="120" w:after="120"/>
              <w:ind w:left="113" w:right="113"/>
              <w:rPr>
                <w:rFonts w:ascii="Arial" w:hAnsi="Arial" w:cs="Arial"/>
                <w:b/>
                <w:sz w:val="22"/>
                <w:szCs w:val="22"/>
              </w:rPr>
            </w:pPr>
            <w:r>
              <w:rPr>
                <w:rFonts w:ascii="Arial" w:hAnsi="Arial"/>
                <w:b/>
                <w:sz w:val="22"/>
              </w:rPr>
              <w:t xml:space="preserve">Recommandation 17 : </w:t>
            </w:r>
            <w:r w:rsidR="005D4DFC" w:rsidRPr="005D4DFC">
              <w:rPr>
                <w:rFonts w:ascii="Arial" w:hAnsi="Arial"/>
                <w:b/>
                <w:sz w:val="22"/>
              </w:rPr>
              <w:t>D</w:t>
            </w:r>
            <w:r w:rsidR="00E26E2A">
              <w:rPr>
                <w:rFonts w:ascii="Arial" w:hAnsi="Arial"/>
                <w:b/>
                <w:sz w:val="22"/>
              </w:rPr>
              <w:t>’</w:t>
            </w:r>
            <w:r w:rsidR="005D4DFC" w:rsidRPr="005D4DFC">
              <w:rPr>
                <w:rFonts w:ascii="Arial" w:hAnsi="Arial"/>
                <w:b/>
                <w:sz w:val="22"/>
              </w:rPr>
              <w:t>encourager les représentants des ONG accréditées à participer aux débats du CIG avant de voter sur les points à l</w:t>
            </w:r>
            <w:r w:rsidR="00E26E2A">
              <w:rPr>
                <w:rFonts w:ascii="Arial" w:hAnsi="Arial"/>
                <w:b/>
                <w:sz w:val="22"/>
              </w:rPr>
              <w:t>’</w:t>
            </w:r>
            <w:r w:rsidR="005D4DFC" w:rsidRPr="005D4DFC">
              <w:rPr>
                <w:rFonts w:ascii="Arial" w:hAnsi="Arial"/>
                <w:b/>
                <w:sz w:val="22"/>
              </w:rPr>
              <w:t>ordre du jour et inclure les résultats des forums des ONG (tels que les déclarations des ONG) à l</w:t>
            </w:r>
            <w:r w:rsidR="00E26E2A">
              <w:rPr>
                <w:rFonts w:ascii="Arial" w:hAnsi="Arial"/>
                <w:b/>
                <w:sz w:val="22"/>
              </w:rPr>
              <w:t>’</w:t>
            </w:r>
            <w:r w:rsidR="005D4DFC" w:rsidRPr="005D4DFC">
              <w:rPr>
                <w:rFonts w:ascii="Arial" w:hAnsi="Arial"/>
                <w:b/>
                <w:sz w:val="22"/>
              </w:rPr>
              <w:t>ordre du jour du Comité</w:t>
            </w:r>
            <w:r>
              <w:rPr>
                <w:rFonts w:ascii="Arial" w:hAnsi="Arial"/>
                <w:b/>
                <w:sz w:val="22"/>
              </w:rPr>
              <w:t>.</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Le rapport du </w:t>
            </w:r>
            <w:r w:rsidR="005D4DFC">
              <w:rPr>
                <w:rFonts w:ascii="Arial" w:hAnsi="Arial"/>
                <w:sz w:val="22"/>
              </w:rPr>
              <w:t xml:space="preserve">forum </w:t>
            </w:r>
            <w:r>
              <w:rPr>
                <w:rFonts w:ascii="Arial" w:hAnsi="Arial"/>
                <w:sz w:val="22"/>
              </w:rPr>
              <w:t xml:space="preserve">des ONG est déjà intégré dans les calendriers </w:t>
            </w:r>
            <w:proofErr w:type="gramStart"/>
            <w:r>
              <w:rPr>
                <w:rFonts w:ascii="Arial" w:hAnsi="Arial"/>
                <w:sz w:val="22"/>
              </w:rPr>
              <w:t>des neuvième</w:t>
            </w:r>
            <w:proofErr w:type="gramEnd"/>
            <w:r>
              <w:rPr>
                <w:rFonts w:ascii="Arial" w:hAnsi="Arial"/>
                <w:sz w:val="22"/>
              </w:rPr>
              <w:t xml:space="preserve"> et dixième sessions du Comité et les ONG se sont exprimées, sur demande, sur plusieurs points de l</w:t>
            </w:r>
            <w:r w:rsidR="00E26E2A">
              <w:rPr>
                <w:rFonts w:ascii="Arial" w:hAnsi="Arial"/>
                <w:sz w:val="22"/>
              </w:rPr>
              <w:t>’</w:t>
            </w:r>
            <w:r>
              <w:rPr>
                <w:rFonts w:ascii="Arial" w:hAnsi="Arial"/>
                <w:sz w:val="22"/>
              </w:rPr>
              <w:t xml:space="preserve">ordre du jour. </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ight="57"/>
              <w:rPr>
                <w:sz w:val="22"/>
                <w:szCs w:val="22"/>
              </w:rPr>
            </w:pPr>
            <w:r>
              <w:rPr>
                <w:sz w:val="22"/>
              </w:rPr>
              <w:t xml:space="preserve">Intégrer </w:t>
            </w:r>
            <w:r w:rsidR="007E6E58">
              <w:rPr>
                <w:sz w:val="22"/>
              </w:rPr>
              <w:t>la déclaration</w:t>
            </w:r>
            <w:r>
              <w:rPr>
                <w:sz w:val="22"/>
              </w:rPr>
              <w:t xml:space="preserve"> des ONG dans l</w:t>
            </w:r>
            <w:r w:rsidR="00E26E2A">
              <w:rPr>
                <w:sz w:val="22"/>
              </w:rPr>
              <w:t>’</w:t>
            </w:r>
            <w:r>
              <w:rPr>
                <w:sz w:val="22"/>
              </w:rPr>
              <w:t>ordre du jour</w:t>
            </w:r>
            <w:r w:rsidR="007E6E58">
              <w:rPr>
                <w:sz w:val="22"/>
              </w:rPr>
              <w:t>.</w:t>
            </w:r>
            <w:r>
              <w:rPr>
                <w:sz w:val="22"/>
              </w:rPr>
              <w:t xml:space="preserve"> </w:t>
            </w:r>
          </w:p>
          <w:p w:rsidR="00D70C22" w:rsidRPr="00A76B7D" w:rsidRDefault="00D70C22" w:rsidP="008215A5">
            <w:pPr>
              <w:pStyle w:val="Default"/>
              <w:spacing w:before="120" w:after="120"/>
              <w:ind w:left="113" w:right="57"/>
              <w:rPr>
                <w:szCs w:val="22"/>
              </w:rPr>
            </w:pPr>
            <w:r>
              <w:rPr>
                <w:sz w:val="22"/>
              </w:rPr>
              <w:t>Encourager les ONG à préparer leurs interventions avant la session.</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 xml:space="preserve">La déclaration des ONG a été intégrée dans le calendrier </w:t>
            </w:r>
            <w:proofErr w:type="gramStart"/>
            <w:r>
              <w:rPr>
                <w:rFonts w:ascii="Arial" w:hAnsi="Arial"/>
                <w:sz w:val="22"/>
              </w:rPr>
              <w:t>des neuvième</w:t>
            </w:r>
            <w:proofErr w:type="gramEnd"/>
            <w:r>
              <w:rPr>
                <w:rFonts w:ascii="Arial" w:hAnsi="Arial"/>
                <w:sz w:val="22"/>
              </w:rPr>
              <w:t xml:space="preserve"> et dixième sessions du Comité.</w:t>
            </w:r>
          </w:p>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La déclaration des ONG continuera d</w:t>
            </w:r>
            <w:r w:rsidR="00E26E2A">
              <w:rPr>
                <w:rFonts w:ascii="Arial" w:hAnsi="Arial"/>
                <w:sz w:val="22"/>
              </w:rPr>
              <w:t>’</w:t>
            </w:r>
            <w:r>
              <w:rPr>
                <w:rFonts w:ascii="Arial" w:hAnsi="Arial"/>
                <w:sz w:val="22"/>
              </w:rPr>
              <w:t>être intégrée dans le calendrier des sessions du Comité.</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rPr>
                <w:rFonts w:ascii="Arial" w:hAnsi="Arial" w:cs="Arial"/>
                <w:b/>
                <w:sz w:val="22"/>
                <w:szCs w:val="22"/>
              </w:rPr>
            </w:pPr>
            <w:r>
              <w:rPr>
                <w:rFonts w:ascii="Arial" w:hAnsi="Arial"/>
                <w:b/>
                <w:sz w:val="22"/>
              </w:rPr>
              <w:t xml:space="preserve">Recommandation 18 : </w:t>
            </w:r>
            <w:r w:rsidR="00A07997" w:rsidRPr="00A07997">
              <w:rPr>
                <w:rFonts w:ascii="Arial" w:hAnsi="Arial"/>
                <w:b/>
                <w:sz w:val="22"/>
              </w:rPr>
              <w:t>Réviser le processus et les critères d</w:t>
            </w:r>
            <w:r w:rsidR="00E26E2A">
              <w:rPr>
                <w:rFonts w:ascii="Arial" w:hAnsi="Arial"/>
                <w:b/>
                <w:sz w:val="22"/>
              </w:rPr>
              <w:t>’</w:t>
            </w:r>
            <w:r w:rsidR="00A07997" w:rsidRPr="00A07997">
              <w:rPr>
                <w:rFonts w:ascii="Arial" w:hAnsi="Arial"/>
                <w:b/>
                <w:sz w:val="22"/>
              </w:rPr>
              <w:t>accréditation des ONG afin de s</w:t>
            </w:r>
            <w:r w:rsidR="00E26E2A">
              <w:rPr>
                <w:rFonts w:ascii="Arial" w:hAnsi="Arial"/>
                <w:b/>
                <w:sz w:val="22"/>
              </w:rPr>
              <w:t>’</w:t>
            </w:r>
            <w:r w:rsidR="00A07997" w:rsidRPr="00A07997">
              <w:rPr>
                <w:rFonts w:ascii="Arial" w:hAnsi="Arial"/>
                <w:b/>
                <w:sz w:val="22"/>
              </w:rPr>
              <w:t>assurer que toutes les ONG accréditées disposent de l</w:t>
            </w:r>
            <w:r w:rsidR="00E26E2A">
              <w:rPr>
                <w:rFonts w:ascii="Arial" w:hAnsi="Arial"/>
                <w:b/>
                <w:sz w:val="22"/>
              </w:rPr>
              <w:t>’</w:t>
            </w:r>
            <w:r w:rsidR="00A07997" w:rsidRPr="00A07997">
              <w:rPr>
                <w:rFonts w:ascii="Arial" w:hAnsi="Arial"/>
                <w:b/>
                <w:sz w:val="22"/>
              </w:rPr>
              <w:t>expérience et des capacités requises pour fournir des services consultatifs au Comité.</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L</w:t>
            </w:r>
            <w:r w:rsidR="00E26E2A">
              <w:rPr>
                <w:rFonts w:ascii="Arial" w:hAnsi="Arial"/>
                <w:sz w:val="22"/>
              </w:rPr>
              <w:t>’</w:t>
            </w:r>
            <w:r>
              <w:rPr>
                <w:rFonts w:ascii="Arial" w:hAnsi="Arial"/>
                <w:sz w:val="22"/>
              </w:rPr>
              <w:t>Assemblée générale, lors de sa cinquième session</w:t>
            </w:r>
            <w:r w:rsidR="007E6E58">
              <w:rPr>
                <w:rFonts w:ascii="Arial" w:hAnsi="Arial"/>
                <w:sz w:val="22"/>
              </w:rPr>
              <w:t xml:space="preserve"> en juin 2014</w:t>
            </w:r>
            <w:r>
              <w:rPr>
                <w:rFonts w:ascii="Arial" w:hAnsi="Arial"/>
                <w:sz w:val="22"/>
              </w:rPr>
              <w:t xml:space="preserve">, a rejeté les projets des </w:t>
            </w:r>
            <w:r w:rsidR="00A07997">
              <w:rPr>
                <w:rFonts w:ascii="Arial" w:hAnsi="Arial"/>
                <w:sz w:val="22"/>
              </w:rPr>
              <w:t>D</w:t>
            </w:r>
            <w:r>
              <w:rPr>
                <w:rFonts w:ascii="Arial" w:hAnsi="Arial"/>
                <w:sz w:val="22"/>
              </w:rPr>
              <w:t xml:space="preserve">irectives préparés par le Secrétariat qui </w:t>
            </w:r>
            <w:r w:rsidR="007E6E58">
              <w:rPr>
                <w:rFonts w:ascii="Arial" w:hAnsi="Arial"/>
                <w:sz w:val="22"/>
              </w:rPr>
              <w:t xml:space="preserve">révisent </w:t>
            </w:r>
            <w:r>
              <w:rPr>
                <w:rFonts w:ascii="Arial" w:hAnsi="Arial"/>
                <w:sz w:val="22"/>
              </w:rPr>
              <w:t>le</w:t>
            </w:r>
            <w:r w:rsidR="007E6E58">
              <w:rPr>
                <w:rFonts w:ascii="Arial" w:hAnsi="Arial"/>
                <w:sz w:val="22"/>
              </w:rPr>
              <w:t>s</w:t>
            </w:r>
            <w:r>
              <w:rPr>
                <w:rFonts w:ascii="Arial" w:hAnsi="Arial"/>
                <w:sz w:val="22"/>
              </w:rPr>
              <w:t xml:space="preserve"> critère</w:t>
            </w:r>
            <w:r w:rsidR="007E6E58">
              <w:rPr>
                <w:rFonts w:ascii="Arial" w:hAnsi="Arial"/>
                <w:sz w:val="22"/>
              </w:rPr>
              <w:t>s</w:t>
            </w:r>
            <w:r>
              <w:rPr>
                <w:rFonts w:ascii="Arial" w:hAnsi="Arial"/>
                <w:sz w:val="22"/>
              </w:rPr>
              <w:t xml:space="preserve"> d</w:t>
            </w:r>
            <w:r w:rsidR="00E26E2A">
              <w:rPr>
                <w:rFonts w:ascii="Arial" w:hAnsi="Arial"/>
                <w:sz w:val="22"/>
              </w:rPr>
              <w:t>’</w:t>
            </w:r>
            <w:r>
              <w:rPr>
                <w:rFonts w:ascii="Arial" w:hAnsi="Arial"/>
                <w:sz w:val="22"/>
              </w:rPr>
              <w:t xml:space="preserve">accréditation </w:t>
            </w:r>
            <w:r w:rsidR="007E6E58">
              <w:rPr>
                <w:rFonts w:ascii="Arial" w:hAnsi="Arial"/>
                <w:sz w:val="22"/>
              </w:rPr>
              <w:t>des</w:t>
            </w:r>
            <w:r>
              <w:rPr>
                <w:rFonts w:ascii="Arial" w:hAnsi="Arial"/>
                <w:sz w:val="22"/>
              </w:rPr>
              <w:t xml:space="preserve"> ONG afin de s</w:t>
            </w:r>
            <w:r w:rsidR="00E26E2A">
              <w:rPr>
                <w:rFonts w:ascii="Arial" w:hAnsi="Arial"/>
                <w:sz w:val="22"/>
              </w:rPr>
              <w:t>’</w:t>
            </w:r>
            <w:r>
              <w:rPr>
                <w:rFonts w:ascii="Arial" w:hAnsi="Arial"/>
                <w:sz w:val="22"/>
              </w:rPr>
              <w:t xml:space="preserve">assurer que toutes les ONG accréditées </w:t>
            </w:r>
            <w:r w:rsidR="007E6E58">
              <w:rPr>
                <w:rFonts w:ascii="Arial" w:hAnsi="Arial"/>
                <w:sz w:val="22"/>
              </w:rPr>
              <w:t xml:space="preserve">ont </w:t>
            </w:r>
            <w:r>
              <w:rPr>
                <w:rFonts w:ascii="Arial" w:hAnsi="Arial"/>
                <w:sz w:val="22"/>
              </w:rPr>
              <w:t>l</w:t>
            </w:r>
            <w:r w:rsidR="00E26E2A">
              <w:rPr>
                <w:rFonts w:ascii="Arial" w:hAnsi="Arial"/>
                <w:sz w:val="22"/>
              </w:rPr>
              <w:t>’</w:t>
            </w:r>
            <w:r>
              <w:rPr>
                <w:rFonts w:ascii="Arial" w:hAnsi="Arial"/>
                <w:sz w:val="22"/>
              </w:rPr>
              <w:t xml:space="preserve">expérience </w:t>
            </w:r>
            <w:r w:rsidR="00A07997">
              <w:rPr>
                <w:rFonts w:ascii="Arial" w:hAnsi="Arial"/>
                <w:sz w:val="22"/>
              </w:rPr>
              <w:t xml:space="preserve">et les capacités </w:t>
            </w:r>
            <w:r>
              <w:rPr>
                <w:rFonts w:ascii="Arial" w:hAnsi="Arial"/>
                <w:sz w:val="22"/>
              </w:rPr>
              <w:t xml:space="preserve">requise </w:t>
            </w:r>
            <w:r w:rsidR="00A07997">
              <w:rPr>
                <w:rFonts w:ascii="Arial" w:hAnsi="Arial"/>
                <w:sz w:val="22"/>
              </w:rPr>
              <w:t xml:space="preserve">pour fournir </w:t>
            </w:r>
            <w:r>
              <w:rPr>
                <w:rFonts w:ascii="Arial" w:hAnsi="Arial"/>
                <w:sz w:val="22"/>
              </w:rPr>
              <w:t>des fonctions consultatives auprès du Comité.</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Assemblée générale, lors de sa cinquième session</w:t>
            </w:r>
            <w:r w:rsidR="007E6E58">
              <w:rPr>
                <w:rFonts w:ascii="Arial" w:hAnsi="Arial"/>
                <w:sz w:val="22"/>
              </w:rPr>
              <w:t xml:space="preserve"> en juin 2014</w:t>
            </w:r>
            <w:r>
              <w:rPr>
                <w:rFonts w:ascii="Arial" w:hAnsi="Arial"/>
                <w:sz w:val="22"/>
              </w:rPr>
              <w:t xml:space="preserve">, a rejeté les projets de </w:t>
            </w:r>
            <w:r w:rsidR="00CA0C40">
              <w:rPr>
                <w:rFonts w:ascii="Arial" w:hAnsi="Arial"/>
                <w:sz w:val="22"/>
              </w:rPr>
              <w:t>D</w:t>
            </w:r>
            <w:r>
              <w:rPr>
                <w:rFonts w:ascii="Arial" w:hAnsi="Arial"/>
                <w:sz w:val="22"/>
              </w:rPr>
              <w:t xml:space="preserve">irectives opérationnelles préparés par le Secrétariat </w:t>
            </w:r>
            <w:r w:rsidR="007E6E58">
              <w:rPr>
                <w:rFonts w:ascii="Arial" w:hAnsi="Arial"/>
                <w:sz w:val="22"/>
              </w:rPr>
              <w:t xml:space="preserve">révisant </w:t>
            </w:r>
            <w:r>
              <w:rPr>
                <w:rFonts w:ascii="Arial" w:hAnsi="Arial"/>
                <w:sz w:val="22"/>
              </w:rPr>
              <w:t>le</w:t>
            </w:r>
            <w:r w:rsidR="00CA0C40">
              <w:rPr>
                <w:rFonts w:ascii="Arial" w:hAnsi="Arial"/>
                <w:sz w:val="22"/>
              </w:rPr>
              <w:t>s</w:t>
            </w:r>
            <w:r>
              <w:rPr>
                <w:rFonts w:ascii="Arial" w:hAnsi="Arial"/>
                <w:sz w:val="22"/>
              </w:rPr>
              <w:t xml:space="preserve"> critère</w:t>
            </w:r>
            <w:r w:rsidR="00CA0C40">
              <w:rPr>
                <w:rFonts w:ascii="Arial" w:hAnsi="Arial"/>
                <w:sz w:val="22"/>
              </w:rPr>
              <w:t>s</w:t>
            </w:r>
            <w:r>
              <w:rPr>
                <w:rFonts w:ascii="Arial" w:hAnsi="Arial"/>
                <w:sz w:val="22"/>
              </w:rPr>
              <w:t xml:space="preserve"> d</w:t>
            </w:r>
            <w:r w:rsidR="00E26E2A">
              <w:rPr>
                <w:rFonts w:ascii="Arial" w:hAnsi="Arial"/>
                <w:sz w:val="22"/>
              </w:rPr>
              <w:t>’</w:t>
            </w:r>
            <w:r>
              <w:rPr>
                <w:rFonts w:ascii="Arial" w:hAnsi="Arial"/>
                <w:sz w:val="22"/>
              </w:rPr>
              <w:t>accréditation (</w:t>
            </w:r>
            <w:hyperlink r:id="rId26" w:history="1">
              <w:r w:rsidRPr="00B95496">
                <w:rPr>
                  <w:rStyle w:val="Hyperlink"/>
                  <w:rFonts w:ascii="Arial" w:hAnsi="Arial"/>
                  <w:sz w:val="22"/>
                </w:rPr>
                <w:t>document ITH/14/5.GA/5.1</w:t>
              </w:r>
            </w:hyperlink>
            <w:r w:rsidRPr="00FD5402">
              <w:rPr>
                <w:rStyle w:val="Hyperlink"/>
                <w:rFonts w:ascii="Arial" w:hAnsi="Arial"/>
                <w:sz w:val="22"/>
                <w:u w:val="none"/>
              </w:rPr>
              <w:t>)</w:t>
            </w:r>
            <w:r w:rsidR="00063291" w:rsidRPr="00FD5402">
              <w:rPr>
                <w:rStyle w:val="Hyperlink"/>
                <w:rFonts w:ascii="Arial" w:hAnsi="Arial"/>
                <w:sz w:val="22"/>
                <w:u w:val="none"/>
              </w:rPr>
              <w:t>.</w:t>
            </w:r>
          </w:p>
        </w:tc>
        <w:tc>
          <w:tcPr>
            <w:tcW w:w="1986" w:type="dxa"/>
            <w:gridSpan w:val="2"/>
            <w:noWrap/>
            <w:tcMar>
              <w:top w:w="40" w:type="dxa"/>
              <w:left w:w="40" w:type="dxa"/>
              <w:bottom w:w="40" w:type="dxa"/>
              <w:right w:w="40" w:type="dxa"/>
            </w:tcMar>
          </w:tcPr>
          <w:p w:rsidR="00D70C22" w:rsidRPr="00A76B7D" w:rsidRDefault="00D70C22" w:rsidP="0060296F">
            <w:pPr>
              <w:spacing w:beforeLines="10" w:before="24" w:afterLines="10" w:after="24"/>
              <w:rPr>
                <w:rFonts w:ascii="Arial" w:hAnsi="Arial" w:cs="Arial"/>
                <w:sz w:val="22"/>
                <w:szCs w:val="22"/>
              </w:rPr>
            </w:pPr>
          </w:p>
        </w:tc>
        <w:tc>
          <w:tcPr>
            <w:tcW w:w="7655" w:type="dxa"/>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Aucun</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19 : </w:t>
            </w:r>
            <w:r w:rsidR="00CA0C40" w:rsidRPr="00CA0C40">
              <w:rPr>
                <w:rFonts w:ascii="Arial" w:hAnsi="Arial"/>
                <w:b/>
                <w:sz w:val="22"/>
              </w:rPr>
              <w:t>Encourager le débat sur le rôle du secteur privé et des partenariats privés/publics dans la sauvegarde du PCI à tous les niveaux (national, régional et international) afin de mieux définir leur potentiel de coopération et d</w:t>
            </w:r>
            <w:r w:rsidR="00E26E2A">
              <w:rPr>
                <w:rFonts w:ascii="Arial" w:hAnsi="Arial"/>
                <w:b/>
                <w:sz w:val="22"/>
              </w:rPr>
              <w:t>’</w:t>
            </w:r>
            <w:r w:rsidR="00CA0C40" w:rsidRPr="00CA0C40">
              <w:rPr>
                <w:rFonts w:ascii="Arial" w:hAnsi="Arial"/>
                <w:b/>
                <w:sz w:val="22"/>
              </w:rPr>
              <w:t>implication</w:t>
            </w:r>
            <w:r w:rsidR="00063291">
              <w:rPr>
                <w:rFonts w:ascii="Arial" w:hAnsi="Arial"/>
                <w:b/>
                <w:sz w:val="22"/>
              </w:rPr>
              <w:t>.</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À mettre en œuvre au niveau du </w:t>
            </w:r>
            <w:r w:rsidR="00CA0C40">
              <w:rPr>
                <w:rFonts w:ascii="Arial" w:hAnsi="Arial"/>
                <w:sz w:val="22"/>
              </w:rPr>
              <w:t>S</w:t>
            </w:r>
            <w:r>
              <w:rPr>
                <w:rFonts w:ascii="Arial" w:hAnsi="Arial"/>
                <w:sz w:val="22"/>
              </w:rPr>
              <w:t xml:space="preserve">ecteur </w:t>
            </w:r>
            <w:r w:rsidR="00CA0C40">
              <w:rPr>
                <w:rFonts w:ascii="Arial" w:hAnsi="Arial"/>
                <w:sz w:val="22"/>
              </w:rPr>
              <w:t>de la culture</w:t>
            </w:r>
            <w:r>
              <w:rPr>
                <w:rFonts w:ascii="Arial" w:hAnsi="Arial"/>
                <w:sz w:val="22"/>
              </w:rPr>
              <w: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shd w:val="clear" w:color="auto" w:fill="auto"/>
            <w:noWrap/>
            <w:tcMar>
              <w:top w:w="40" w:type="dxa"/>
              <w:left w:w="40" w:type="dxa"/>
              <w:bottom w:w="40" w:type="dxa"/>
              <w:right w:w="40" w:type="dxa"/>
            </w:tcMar>
          </w:tcPr>
          <w:p w:rsidR="00D70C22" w:rsidRPr="00A76B7D" w:rsidRDefault="00D70C22" w:rsidP="008215A5">
            <w:pPr>
              <w:pStyle w:val="Default"/>
              <w:spacing w:before="120" w:after="120"/>
              <w:ind w:left="113" w:right="57"/>
              <w:rPr>
                <w:rFonts w:eastAsia="Times New Roman"/>
                <w:color w:val="auto"/>
                <w:sz w:val="22"/>
                <w:szCs w:val="22"/>
              </w:rPr>
            </w:pPr>
            <w:r>
              <w:rPr>
                <w:color w:val="auto"/>
                <w:sz w:val="22"/>
              </w:rPr>
              <w:t xml:space="preserve">Coordonner avec la stratégie générale de collecte de fonds du </w:t>
            </w:r>
            <w:r w:rsidR="00CA0C40">
              <w:rPr>
                <w:color w:val="auto"/>
                <w:sz w:val="22"/>
              </w:rPr>
              <w:t>S</w:t>
            </w:r>
            <w:r>
              <w:rPr>
                <w:color w:val="auto"/>
                <w:sz w:val="22"/>
              </w:rPr>
              <w:t>ecteur de la culture.</w:t>
            </w:r>
          </w:p>
          <w:p w:rsidR="00D70C22" w:rsidRPr="00A76B7D" w:rsidRDefault="00D70C22" w:rsidP="008215A5">
            <w:pPr>
              <w:spacing w:before="120" w:after="120"/>
              <w:ind w:left="113" w:right="57"/>
              <w:rPr>
                <w:rFonts w:ascii="Arial" w:hAnsi="Arial" w:cs="Arial"/>
                <w:sz w:val="22"/>
                <w:szCs w:val="22"/>
              </w:rPr>
            </w:pPr>
            <w:r>
              <w:rPr>
                <w:rFonts w:ascii="Arial" w:hAnsi="Arial"/>
                <w:sz w:val="22"/>
              </w:rPr>
              <w:t>Envisager des options à intégrer dans les activités CAP et consulter une méthodologie potentielle.</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Les secrétaires de la Convention et l</w:t>
            </w:r>
            <w:r w:rsidR="00E26E2A">
              <w:rPr>
                <w:rFonts w:ascii="Arial" w:hAnsi="Arial"/>
                <w:sz w:val="22"/>
              </w:rPr>
              <w:t>’</w:t>
            </w:r>
            <w:r>
              <w:rPr>
                <w:rFonts w:ascii="Arial" w:hAnsi="Arial"/>
                <w:sz w:val="22"/>
              </w:rPr>
              <w:t>Unité des services communs des conventions (CLT/CCS) ont rencontré les membres d</w:t>
            </w:r>
            <w:r w:rsidR="00CA0C40">
              <w:rPr>
                <w:rFonts w:ascii="Arial" w:hAnsi="Arial"/>
                <w:sz w:val="22"/>
              </w:rPr>
              <w:t>e</w:t>
            </w:r>
            <w:r>
              <w:rPr>
                <w:rFonts w:ascii="Arial" w:hAnsi="Arial"/>
                <w:sz w:val="22"/>
              </w:rPr>
              <w:t xml:space="preserve"> BSP/CFS afin de discuter de la formation d</w:t>
            </w:r>
            <w:r w:rsidR="00E26E2A">
              <w:rPr>
                <w:rFonts w:ascii="Arial" w:hAnsi="Arial"/>
                <w:sz w:val="22"/>
              </w:rPr>
              <w:t>’</w:t>
            </w:r>
            <w:r>
              <w:rPr>
                <w:rFonts w:ascii="Arial" w:hAnsi="Arial"/>
                <w:sz w:val="22"/>
              </w:rPr>
              <w:t>une stratégie commune de mobilisation des ressources.</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En outre, CCS a proposé des flux de travail en ce qui concerne la mobilisation des ressources du secteur privé aux secrétaires de la Convention.</w:t>
            </w:r>
          </w:p>
          <w:p w:rsidR="00D70C22" w:rsidRPr="00A76B7D" w:rsidRDefault="00D70C22" w:rsidP="008215A5">
            <w:pPr>
              <w:pStyle w:val="ListParagraph"/>
              <w:numPr>
                <w:ilvl w:val="0"/>
                <w:numId w:val="16"/>
              </w:numPr>
              <w:spacing w:before="120" w:after="120"/>
              <w:ind w:left="470" w:hanging="357"/>
              <w:rPr>
                <w:b/>
                <w:sz w:val="22"/>
                <w:szCs w:val="22"/>
                <w:u w:val="single"/>
              </w:rPr>
            </w:pPr>
            <w:r>
              <w:rPr>
                <w:rFonts w:ascii="Arial" w:hAnsi="Arial"/>
                <w:sz w:val="22"/>
              </w:rPr>
              <w:t>les résultats n</w:t>
            </w:r>
            <w:r w:rsidR="00E26E2A">
              <w:rPr>
                <w:rFonts w:ascii="Arial" w:hAnsi="Arial"/>
                <w:sz w:val="22"/>
              </w:rPr>
              <w:t>’</w:t>
            </w:r>
            <w:r>
              <w:rPr>
                <w:rFonts w:ascii="Arial" w:hAnsi="Arial"/>
                <w:sz w:val="22"/>
              </w:rPr>
              <w:t xml:space="preserve">ont pas encore été </w:t>
            </w:r>
            <w:r w:rsidR="00EF2B3A">
              <w:rPr>
                <w:rFonts w:ascii="Arial" w:hAnsi="Arial"/>
                <w:sz w:val="22"/>
              </w:rPr>
              <w:t>atteints</w:t>
            </w:r>
            <w:r>
              <w:rPr>
                <w:rFonts w:ascii="Arial" w:hAnsi="Arial"/>
                <w:sz w:val="22"/>
              </w:rPr>
              <w:t>.</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3390"/>
              </w:tabs>
              <w:spacing w:before="120" w:after="120"/>
              <w:ind w:left="113" w:right="113"/>
              <w:rPr>
                <w:rFonts w:ascii="Arial" w:hAnsi="Arial" w:cs="Arial"/>
                <w:b/>
                <w:sz w:val="22"/>
                <w:szCs w:val="22"/>
              </w:rPr>
            </w:pPr>
            <w:r>
              <w:rPr>
                <w:rFonts w:ascii="Arial" w:hAnsi="Arial"/>
                <w:b/>
                <w:sz w:val="22"/>
              </w:rPr>
              <w:t xml:space="preserve">Recommandation 20 : </w:t>
            </w:r>
            <w:r w:rsidR="00CA0C40" w:rsidRPr="00CA0C40">
              <w:rPr>
                <w:rFonts w:ascii="Arial" w:hAnsi="Arial"/>
                <w:b/>
                <w:sz w:val="22"/>
              </w:rPr>
              <w:t>Renforcer le partage informel des exemples de travail intéressants et novateurs sur la Convention, y compris sur la sauvegarde du PCI, le développement de politiques et législations, le développement durable et le PCI, les partenariats innovants etc.</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Voir action dans les recommandations 12 et 19</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vAlign w:val="center"/>
          </w:tcPr>
          <w:p w:rsidR="00D70C22" w:rsidRPr="00A76B7D" w:rsidRDefault="00D70C22" w:rsidP="008215A5">
            <w:pPr>
              <w:spacing w:before="120" w:after="120"/>
              <w:ind w:left="113" w:right="57"/>
              <w:rPr>
                <w:rFonts w:ascii="Arial" w:hAnsi="Arial" w:cs="Arial"/>
                <w:sz w:val="22"/>
                <w:szCs w:val="22"/>
              </w:rPr>
            </w:pPr>
            <w:r>
              <w:rPr>
                <w:rFonts w:ascii="Arial" w:hAnsi="Arial"/>
                <w:sz w:val="22"/>
              </w:rPr>
              <w:t>Voir action dans les recommandations 12 et 19</w:t>
            </w:r>
            <w:r w:rsidR="00063291">
              <w:rPr>
                <w:rFonts w:ascii="Arial" w:hAnsi="Arial"/>
                <w:sz w:val="22"/>
              </w:rPr>
              <w:t>.</w:t>
            </w:r>
          </w:p>
        </w:tc>
        <w:tc>
          <w:tcPr>
            <w:tcW w:w="1986" w:type="dxa"/>
            <w:gridSpan w:val="2"/>
            <w:noWrap/>
            <w:tcMar>
              <w:top w:w="40" w:type="dxa"/>
              <w:left w:w="40" w:type="dxa"/>
              <w:bottom w:w="40" w:type="dxa"/>
              <w:right w:w="40" w:type="dxa"/>
            </w:tcMar>
            <w:vAlign w:val="center"/>
          </w:tcPr>
          <w:p w:rsidR="00D70C22" w:rsidRPr="00A76B7D" w:rsidRDefault="00D70C22" w:rsidP="008215A5">
            <w:pPr>
              <w:spacing w:before="120" w:after="120"/>
              <w:rPr>
                <w:rFonts w:ascii="Arial" w:hAnsi="Arial" w:cs="Arial"/>
                <w:sz w:val="22"/>
                <w:szCs w:val="22"/>
              </w:rPr>
            </w:pPr>
          </w:p>
        </w:tc>
        <w:tc>
          <w:tcPr>
            <w:tcW w:w="7655" w:type="dxa"/>
            <w:noWrap/>
            <w:tcMar>
              <w:top w:w="40" w:type="dxa"/>
              <w:left w:w="40" w:type="dxa"/>
              <w:bottom w:w="40" w:type="dxa"/>
              <w:right w:w="40" w:type="dxa"/>
            </w:tcMar>
            <w:vAlign w:val="center"/>
          </w:tcPr>
          <w:p w:rsidR="00D70C22" w:rsidRPr="00A76B7D" w:rsidRDefault="00D70C22" w:rsidP="008215A5">
            <w:pPr>
              <w:spacing w:before="120" w:after="120"/>
              <w:rPr>
                <w:rFonts w:ascii="Arial" w:hAnsi="Arial" w:cs="Arial"/>
                <w:b/>
                <w:sz w:val="22"/>
                <w:szCs w:val="22"/>
                <w:u w:val="single"/>
              </w:rPr>
            </w:pP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tabs>
                <w:tab w:val="left" w:pos="2640"/>
              </w:tabs>
              <w:spacing w:before="120" w:after="120"/>
              <w:ind w:left="113" w:right="113"/>
              <w:rPr>
                <w:rFonts w:ascii="Arial" w:hAnsi="Arial" w:cs="Arial"/>
                <w:b/>
                <w:sz w:val="22"/>
                <w:szCs w:val="22"/>
              </w:rPr>
            </w:pPr>
            <w:r>
              <w:rPr>
                <w:rFonts w:ascii="Arial" w:hAnsi="Arial"/>
                <w:b/>
                <w:sz w:val="22"/>
              </w:rPr>
              <w:t xml:space="preserve">Recommandation 21 : </w:t>
            </w:r>
            <w:r w:rsidR="00CA0C40" w:rsidRPr="00CA0C40">
              <w:rPr>
                <w:rFonts w:ascii="Arial" w:hAnsi="Arial"/>
                <w:b/>
                <w:sz w:val="22"/>
              </w:rPr>
              <w:t>Réviser les formulaires des rapports périodiques afin d</w:t>
            </w:r>
            <w:r w:rsidR="00E26E2A">
              <w:rPr>
                <w:rFonts w:ascii="Arial" w:hAnsi="Arial"/>
                <w:b/>
                <w:sz w:val="22"/>
              </w:rPr>
              <w:t>’</w:t>
            </w:r>
            <w:r w:rsidR="00CA0C40" w:rsidRPr="00CA0C40">
              <w:rPr>
                <w:rFonts w:ascii="Arial" w:hAnsi="Arial"/>
                <w:b/>
                <w:sz w:val="22"/>
              </w:rPr>
              <w:t>y inclure des questions spécifiques sur la politique, la législation et le genre, et s</w:t>
            </w:r>
            <w:r w:rsidR="00E26E2A">
              <w:rPr>
                <w:rFonts w:ascii="Arial" w:hAnsi="Arial"/>
                <w:b/>
                <w:sz w:val="22"/>
              </w:rPr>
              <w:t>’</w:t>
            </w:r>
            <w:r w:rsidR="00CA0C40" w:rsidRPr="00CA0C40">
              <w:rPr>
                <w:rFonts w:ascii="Arial" w:hAnsi="Arial"/>
                <w:b/>
                <w:sz w:val="22"/>
              </w:rPr>
              <w:t>assurer que les rapports se concentrent sur les résultats plutôt que sur les activités.</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Les formulaires de</w:t>
            </w:r>
            <w:r w:rsidR="00CA0C40">
              <w:rPr>
                <w:rFonts w:ascii="Arial" w:hAnsi="Arial"/>
                <w:sz w:val="22"/>
              </w:rPr>
              <w:t>s</w:t>
            </w:r>
            <w:r>
              <w:rPr>
                <w:rFonts w:ascii="Arial" w:hAnsi="Arial"/>
                <w:sz w:val="22"/>
              </w:rPr>
              <w:t xml:space="preserve"> rapports périodiques ont été modifiés afin d</w:t>
            </w:r>
            <w:r w:rsidR="00E26E2A">
              <w:rPr>
                <w:rFonts w:ascii="Arial" w:hAnsi="Arial"/>
                <w:sz w:val="22"/>
              </w:rPr>
              <w:t>’</w:t>
            </w:r>
            <w:r>
              <w:rPr>
                <w:rFonts w:ascii="Arial" w:hAnsi="Arial"/>
                <w:sz w:val="22"/>
              </w:rPr>
              <w:t xml:space="preserve">y inclure les questions spécifiques </w:t>
            </w:r>
            <w:r w:rsidR="00CA0C40">
              <w:rPr>
                <w:rFonts w:ascii="Arial" w:hAnsi="Arial"/>
                <w:sz w:val="22"/>
              </w:rPr>
              <w:t>sur</w:t>
            </w:r>
            <w:r>
              <w:rPr>
                <w:rFonts w:ascii="Arial" w:hAnsi="Arial"/>
                <w:sz w:val="22"/>
              </w:rPr>
              <w:t xml:space="preserve"> la politique, la législation et le genre. Les projets de </w:t>
            </w:r>
            <w:r w:rsidR="00CA0C40">
              <w:rPr>
                <w:rFonts w:ascii="Arial" w:hAnsi="Arial"/>
                <w:sz w:val="22"/>
              </w:rPr>
              <w:t>D</w:t>
            </w:r>
            <w:r>
              <w:rPr>
                <w:rFonts w:ascii="Arial" w:hAnsi="Arial"/>
                <w:sz w:val="22"/>
              </w:rPr>
              <w:t>irectives opérationnelles ont été proposés et approuvés lors de la neuvième session du Comité. L</w:t>
            </w:r>
            <w:r w:rsidR="00E26E2A">
              <w:rPr>
                <w:rFonts w:ascii="Arial" w:hAnsi="Arial"/>
                <w:sz w:val="22"/>
              </w:rPr>
              <w:t>’</w:t>
            </w:r>
            <w:r>
              <w:rPr>
                <w:rFonts w:ascii="Arial" w:hAnsi="Arial"/>
                <w:sz w:val="22"/>
              </w:rPr>
              <w:t xml:space="preserve">Assemblée générale lors de sa sixième session (juin 2016) devra adopter les </w:t>
            </w:r>
            <w:r w:rsidR="00CA0C40">
              <w:rPr>
                <w:rFonts w:ascii="Arial" w:hAnsi="Arial"/>
                <w:sz w:val="22"/>
              </w:rPr>
              <w:t>D</w:t>
            </w:r>
            <w:r>
              <w:rPr>
                <w:rFonts w:ascii="Arial" w:hAnsi="Arial"/>
                <w:sz w:val="22"/>
              </w:rPr>
              <w:t>irectives opérationnelles amendées.</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 xml:space="preserve">Réviser le formulaire ICH-10 (rapports des États parties sur la mise en œuvre de la Convention). </w:t>
            </w:r>
          </w:p>
          <w:p w:rsidR="00D70C22" w:rsidRPr="00A76B7D" w:rsidRDefault="00D70C22" w:rsidP="008215A5">
            <w:pPr>
              <w:spacing w:before="120" w:after="120"/>
              <w:ind w:left="113" w:right="57"/>
              <w:rPr>
                <w:rFonts w:ascii="Arial" w:hAnsi="Arial" w:cs="Arial"/>
                <w:sz w:val="22"/>
                <w:szCs w:val="22"/>
              </w:rPr>
            </w:pPr>
            <w:r>
              <w:rPr>
                <w:rFonts w:ascii="Arial" w:hAnsi="Arial"/>
                <w:sz w:val="22"/>
              </w:rPr>
              <w:t xml:space="preserve">Proposer un projet de </w:t>
            </w:r>
            <w:r w:rsidR="00CA0C40">
              <w:rPr>
                <w:rFonts w:ascii="Arial" w:hAnsi="Arial"/>
                <w:sz w:val="22"/>
              </w:rPr>
              <w:t>D</w:t>
            </w:r>
            <w:r>
              <w:rPr>
                <w:rFonts w:ascii="Arial" w:hAnsi="Arial"/>
                <w:sz w:val="22"/>
              </w:rPr>
              <w:t>irectives opérationnelles afin de s</w:t>
            </w:r>
            <w:r w:rsidR="00E26E2A">
              <w:rPr>
                <w:rFonts w:ascii="Arial" w:hAnsi="Arial"/>
                <w:sz w:val="22"/>
              </w:rPr>
              <w:t>’</w:t>
            </w:r>
            <w:r>
              <w:rPr>
                <w:rFonts w:ascii="Arial" w:hAnsi="Arial"/>
                <w:sz w:val="22"/>
              </w:rPr>
              <w:t>assurer que le</w:t>
            </w:r>
            <w:r w:rsidR="006D6B8A">
              <w:rPr>
                <w:rFonts w:ascii="Arial" w:hAnsi="Arial"/>
                <w:sz w:val="22"/>
              </w:rPr>
              <w:t>s</w:t>
            </w:r>
            <w:r>
              <w:rPr>
                <w:rFonts w:ascii="Arial" w:hAnsi="Arial"/>
                <w:sz w:val="22"/>
              </w:rPr>
              <w:t xml:space="preserve"> rapport</w:t>
            </w:r>
            <w:r w:rsidR="006D6B8A">
              <w:rPr>
                <w:rFonts w:ascii="Arial" w:hAnsi="Arial"/>
                <w:sz w:val="22"/>
              </w:rPr>
              <w:t>s</w:t>
            </w:r>
            <w:r>
              <w:rPr>
                <w:rFonts w:ascii="Arial" w:hAnsi="Arial"/>
                <w:sz w:val="22"/>
              </w:rPr>
              <w:t xml:space="preserve"> périodique</w:t>
            </w:r>
            <w:r w:rsidR="006D6B8A">
              <w:rPr>
                <w:rFonts w:ascii="Arial" w:hAnsi="Arial"/>
                <w:sz w:val="22"/>
              </w:rPr>
              <w:t>s</w:t>
            </w:r>
            <w:r>
              <w:rPr>
                <w:rFonts w:ascii="Arial" w:hAnsi="Arial"/>
                <w:sz w:val="22"/>
              </w:rPr>
              <w:t xml:space="preserve"> traite</w:t>
            </w:r>
            <w:r w:rsidR="006D6B8A">
              <w:rPr>
                <w:rFonts w:ascii="Arial" w:hAnsi="Arial"/>
                <w:sz w:val="22"/>
              </w:rPr>
              <w:t>nt</w:t>
            </w:r>
            <w:r>
              <w:rPr>
                <w:rFonts w:ascii="Arial" w:hAnsi="Arial"/>
                <w:sz w:val="22"/>
              </w:rPr>
              <w:t xml:space="preserve"> de ces questions.</w:t>
            </w:r>
          </w:p>
        </w:tc>
        <w:tc>
          <w:tcPr>
            <w:tcW w:w="1986" w:type="dxa"/>
            <w:gridSpan w:val="2"/>
            <w:noWrap/>
            <w:tcMar>
              <w:top w:w="40" w:type="dxa"/>
              <w:left w:w="40" w:type="dxa"/>
              <w:bottom w:w="40" w:type="dxa"/>
              <w:right w:w="40" w:type="dxa"/>
            </w:tcMar>
          </w:tcPr>
          <w:p w:rsidR="00D70C22" w:rsidRPr="00A76B7D" w:rsidRDefault="00297354" w:rsidP="008215A5">
            <w:pPr>
              <w:spacing w:before="120" w:after="120"/>
              <w:ind w:left="57"/>
              <w:rPr>
                <w:rFonts w:ascii="Arial" w:hAnsi="Arial" w:cs="Arial"/>
                <w:sz w:val="22"/>
                <w:szCs w:val="22"/>
              </w:rPr>
            </w:pPr>
            <w:r>
              <w:rPr>
                <w:rFonts w:ascii="Arial" w:hAnsi="Arial"/>
                <w:sz w:val="22"/>
              </w:rPr>
              <w:t>j</w:t>
            </w:r>
            <w:r w:rsidR="00D70C22">
              <w:rPr>
                <w:rFonts w:ascii="Arial" w:hAnsi="Arial"/>
                <w:sz w:val="22"/>
              </w:rPr>
              <w:t>uin 2016</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 Comité, lors de sa neuvième session, a discuté et a approuvé le projet d</w:t>
            </w:r>
            <w:r w:rsidR="00E26E2A">
              <w:rPr>
                <w:rFonts w:ascii="Arial" w:hAnsi="Arial"/>
                <w:sz w:val="22"/>
              </w:rPr>
              <w:t>’</w:t>
            </w:r>
            <w:r>
              <w:rPr>
                <w:rFonts w:ascii="Arial" w:hAnsi="Arial"/>
                <w:sz w:val="22"/>
              </w:rPr>
              <w:t xml:space="preserve">amendements des </w:t>
            </w:r>
            <w:r w:rsidR="00CA0C40">
              <w:rPr>
                <w:rFonts w:ascii="Arial" w:hAnsi="Arial"/>
                <w:sz w:val="22"/>
              </w:rPr>
              <w:t>D</w:t>
            </w:r>
            <w:r>
              <w:rPr>
                <w:rFonts w:ascii="Arial" w:hAnsi="Arial"/>
                <w:sz w:val="22"/>
              </w:rPr>
              <w:t xml:space="preserve">irectives opérationnelles </w:t>
            </w:r>
            <w:r w:rsidR="006D6B8A">
              <w:rPr>
                <w:rFonts w:ascii="Arial" w:hAnsi="Arial"/>
                <w:sz w:val="22"/>
              </w:rPr>
              <w:t xml:space="preserve">sur les </w:t>
            </w:r>
            <w:r>
              <w:rPr>
                <w:rFonts w:ascii="Arial" w:hAnsi="Arial"/>
                <w:sz w:val="22"/>
              </w:rPr>
              <w:t>rapports périodiques et a recommandé à l</w:t>
            </w:r>
            <w:r w:rsidR="00E26E2A">
              <w:rPr>
                <w:rFonts w:ascii="Arial" w:hAnsi="Arial"/>
                <w:sz w:val="22"/>
              </w:rPr>
              <w:t>’</w:t>
            </w:r>
            <w:r>
              <w:rPr>
                <w:rFonts w:ascii="Arial" w:hAnsi="Arial"/>
                <w:sz w:val="22"/>
              </w:rPr>
              <w:t>Assemblée générale d</w:t>
            </w:r>
            <w:r w:rsidR="00E26E2A">
              <w:rPr>
                <w:rFonts w:ascii="Arial" w:hAnsi="Arial"/>
                <w:sz w:val="22"/>
              </w:rPr>
              <w:t>’</w:t>
            </w:r>
            <w:r>
              <w:rPr>
                <w:rFonts w:ascii="Arial" w:hAnsi="Arial"/>
                <w:sz w:val="22"/>
              </w:rPr>
              <w:t>approuver ces amendements lors de la sixième session (Décision 9.COM 13.a).</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 projet d</w:t>
            </w:r>
            <w:r w:rsidR="00E26E2A">
              <w:rPr>
                <w:rFonts w:ascii="Arial" w:hAnsi="Arial"/>
                <w:sz w:val="22"/>
              </w:rPr>
              <w:t>’</w:t>
            </w:r>
            <w:r>
              <w:rPr>
                <w:rFonts w:ascii="Arial" w:hAnsi="Arial"/>
                <w:sz w:val="22"/>
              </w:rPr>
              <w:t xml:space="preserve">amendements des </w:t>
            </w:r>
            <w:r w:rsidR="00CA0C40">
              <w:rPr>
                <w:rFonts w:ascii="Arial" w:hAnsi="Arial"/>
                <w:sz w:val="22"/>
              </w:rPr>
              <w:t>D</w:t>
            </w:r>
            <w:r>
              <w:rPr>
                <w:rFonts w:ascii="Arial" w:hAnsi="Arial"/>
                <w:sz w:val="22"/>
              </w:rPr>
              <w:t>irectives opérationnelles sera soumis à l</w:t>
            </w:r>
            <w:r w:rsidR="00E26E2A">
              <w:rPr>
                <w:rFonts w:ascii="Arial" w:hAnsi="Arial"/>
                <w:sz w:val="22"/>
              </w:rPr>
              <w:t>’</w:t>
            </w:r>
            <w:r>
              <w:rPr>
                <w:rFonts w:ascii="Arial" w:hAnsi="Arial"/>
                <w:sz w:val="22"/>
              </w:rPr>
              <w:t>approbation de l</w:t>
            </w:r>
            <w:r w:rsidR="00E26E2A">
              <w:rPr>
                <w:rFonts w:ascii="Arial" w:hAnsi="Arial"/>
                <w:sz w:val="22"/>
              </w:rPr>
              <w:t>’</w:t>
            </w:r>
            <w:r>
              <w:rPr>
                <w:rFonts w:ascii="Arial" w:hAnsi="Arial"/>
                <w:sz w:val="22"/>
              </w:rPr>
              <w:t>Assemblée générale en juin 2016.</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Le formulaire ICH-10 (rapports des États parties sur la mise en œuvre de la Convention) a été révisé en décembre 2014.</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rPr>
                <w:rFonts w:ascii="Arial" w:hAnsi="Arial" w:cs="Arial"/>
                <w:b/>
                <w:sz w:val="22"/>
                <w:szCs w:val="22"/>
              </w:rPr>
            </w:pPr>
            <w:r>
              <w:rPr>
                <w:rFonts w:ascii="Arial" w:hAnsi="Arial"/>
                <w:b/>
                <w:sz w:val="22"/>
              </w:rPr>
              <w:t xml:space="preserve">Recommandation 22 : </w:t>
            </w:r>
            <w:r w:rsidR="00473128" w:rsidRPr="00473128">
              <w:rPr>
                <w:rFonts w:ascii="Arial" w:hAnsi="Arial"/>
                <w:b/>
                <w:sz w:val="22"/>
              </w:rPr>
              <w:t>Élaborer un cadre global de résultats pour la Convention, associé à une théorie de changement de la Convention et incluant des objectifs clairs et précis, des calendriers, des indicateurs et des repères.</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Étant donné l</w:t>
            </w:r>
            <w:r w:rsidR="00E26E2A">
              <w:rPr>
                <w:rFonts w:ascii="Arial" w:hAnsi="Arial"/>
                <w:sz w:val="22"/>
              </w:rPr>
              <w:t>’</w:t>
            </w:r>
            <w:r>
              <w:rPr>
                <w:rFonts w:ascii="Arial" w:hAnsi="Arial"/>
                <w:sz w:val="22"/>
              </w:rPr>
              <w:t>importance pour toutes les parties prenantes d</w:t>
            </w:r>
            <w:r w:rsidR="00E26E2A">
              <w:rPr>
                <w:rFonts w:ascii="Arial" w:hAnsi="Arial"/>
                <w:sz w:val="22"/>
              </w:rPr>
              <w:t>’</w:t>
            </w:r>
            <w:r>
              <w:rPr>
                <w:rFonts w:ascii="Arial" w:hAnsi="Arial"/>
                <w:sz w:val="22"/>
              </w:rPr>
              <w:t xml:space="preserve">adhérer à un cadre général de résultats pour la Convention, un groupe de travail ouvert du Comité devrait être organisé afin de discuter du cadre de résultats ; un financement </w:t>
            </w:r>
            <w:r w:rsidRPr="00A370C9">
              <w:rPr>
                <w:rFonts w:ascii="Arial" w:hAnsi="Arial"/>
                <w:sz w:val="22"/>
              </w:rPr>
              <w:t>extra</w:t>
            </w:r>
            <w:r w:rsidR="00075682" w:rsidRPr="00A370C9">
              <w:rPr>
                <w:rFonts w:ascii="Arial" w:hAnsi="Arial"/>
                <w:sz w:val="22"/>
              </w:rPr>
              <w:t xml:space="preserve"> </w:t>
            </w:r>
            <w:r w:rsidRPr="00A370C9">
              <w:rPr>
                <w:rFonts w:ascii="Arial" w:hAnsi="Arial"/>
                <w:sz w:val="22"/>
              </w:rPr>
              <w:t>budgétaire</w:t>
            </w:r>
            <w:r>
              <w:rPr>
                <w:rFonts w:ascii="Arial" w:hAnsi="Arial"/>
                <w:sz w:val="22"/>
              </w:rPr>
              <w:t xml:space="preserve"> pour un tel groupe de travail devrait être mobilisé.</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ind w:left="113"/>
              <w:rPr>
                <w:rFonts w:ascii="Arial" w:hAnsi="Arial" w:cs="Arial"/>
                <w:sz w:val="22"/>
                <w:szCs w:val="22"/>
              </w:rPr>
            </w:pPr>
            <w:r>
              <w:rPr>
                <w:rFonts w:ascii="Arial" w:hAnsi="Arial"/>
                <w:sz w:val="22"/>
              </w:rPr>
              <w:t>Organiser un groupe de travail du Comité pour discuter du cadre de résultats.</w:t>
            </w:r>
          </w:p>
          <w:p w:rsidR="00D70C22" w:rsidRPr="00A76B7D" w:rsidRDefault="00D70C22" w:rsidP="008215A5">
            <w:pPr>
              <w:spacing w:before="120" w:after="120"/>
              <w:ind w:left="113"/>
              <w:rPr>
                <w:rFonts w:ascii="Arial" w:hAnsi="Arial" w:cs="Arial"/>
                <w:sz w:val="22"/>
                <w:szCs w:val="22"/>
              </w:rPr>
            </w:pPr>
            <w:r>
              <w:rPr>
                <w:rFonts w:ascii="Arial" w:hAnsi="Arial"/>
                <w:sz w:val="22"/>
              </w:rPr>
              <w:t xml:space="preserve">Mobiliser un financement </w:t>
            </w:r>
            <w:r w:rsidRPr="004F6E13">
              <w:rPr>
                <w:rFonts w:ascii="Arial" w:hAnsi="Arial"/>
                <w:sz w:val="22"/>
              </w:rPr>
              <w:t>extra</w:t>
            </w:r>
            <w:r w:rsidR="00A34D3E">
              <w:rPr>
                <w:rFonts w:ascii="Arial" w:hAnsi="Arial"/>
                <w:sz w:val="22"/>
              </w:rPr>
              <w:t xml:space="preserve"> </w:t>
            </w:r>
            <w:r w:rsidRPr="004F6E13">
              <w:rPr>
                <w:rFonts w:ascii="Arial" w:hAnsi="Arial"/>
                <w:sz w:val="22"/>
              </w:rPr>
              <w:t>budgétaire</w:t>
            </w:r>
            <w:r>
              <w:rPr>
                <w:rFonts w:ascii="Arial" w:hAnsi="Arial"/>
                <w:sz w:val="22"/>
              </w:rPr>
              <w:t xml:space="preserve"> pour un tel groupe de travail.</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Juin 2016</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Lors de sa neuvième session, le Comité a décidé de convoquer un groupe de travail intergouvernemental ouvert courant 2016 afin d</w:t>
            </w:r>
            <w:r w:rsidR="00E26E2A">
              <w:rPr>
                <w:rFonts w:ascii="Arial" w:hAnsi="Arial"/>
                <w:sz w:val="22"/>
              </w:rPr>
              <w:t>’</w:t>
            </w:r>
            <w:r>
              <w:rPr>
                <w:rFonts w:ascii="Arial" w:hAnsi="Arial"/>
                <w:sz w:val="22"/>
              </w:rPr>
              <w:t>examiner les recommandations préliminaires relatives à d</w:t>
            </w:r>
            <w:r w:rsidR="00E26E2A">
              <w:rPr>
                <w:rFonts w:ascii="Arial" w:hAnsi="Arial"/>
                <w:sz w:val="22"/>
              </w:rPr>
              <w:t>’</w:t>
            </w:r>
            <w:r>
              <w:rPr>
                <w:rFonts w:ascii="Arial" w:hAnsi="Arial"/>
                <w:sz w:val="22"/>
              </w:rPr>
              <w:t>éventuelles directives, sous réserve que des contributions supplémentaires volontaires au Fonds du patrimoine culturel immatériel soient reçues en temps utile (Décision 9.COM 13.e)</w:t>
            </w:r>
          </w:p>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Il a été demandé au Comité d</w:t>
            </w:r>
            <w:r w:rsidR="00E26E2A">
              <w:rPr>
                <w:rFonts w:ascii="Arial" w:hAnsi="Arial"/>
                <w:sz w:val="22"/>
              </w:rPr>
              <w:t>’</w:t>
            </w:r>
            <w:r>
              <w:rPr>
                <w:rFonts w:ascii="Arial" w:hAnsi="Arial"/>
                <w:sz w:val="22"/>
              </w:rPr>
              <w:t>approuver pour la session présente la proposition de la Chine pour soutenir l</w:t>
            </w:r>
            <w:r w:rsidR="00E26E2A">
              <w:rPr>
                <w:rFonts w:ascii="Arial" w:hAnsi="Arial"/>
                <w:sz w:val="22"/>
              </w:rPr>
              <w:t>’</w:t>
            </w:r>
            <w:r>
              <w:rPr>
                <w:rFonts w:ascii="Arial" w:hAnsi="Arial"/>
                <w:sz w:val="22"/>
              </w:rPr>
              <w:t>organisation au cours du second semestre de 2016 d</w:t>
            </w:r>
            <w:r w:rsidR="00E26E2A">
              <w:rPr>
                <w:rFonts w:ascii="Arial" w:hAnsi="Arial"/>
                <w:sz w:val="22"/>
              </w:rPr>
              <w:t>’</w:t>
            </w:r>
            <w:r>
              <w:rPr>
                <w:rFonts w:ascii="Arial" w:hAnsi="Arial"/>
                <w:sz w:val="22"/>
              </w:rPr>
              <w:t>une réunion d</w:t>
            </w:r>
            <w:r w:rsidR="00E26E2A">
              <w:rPr>
                <w:rFonts w:ascii="Arial" w:hAnsi="Arial"/>
                <w:sz w:val="22"/>
              </w:rPr>
              <w:t>’</w:t>
            </w:r>
            <w:r>
              <w:rPr>
                <w:rFonts w:ascii="Arial" w:hAnsi="Arial"/>
                <w:sz w:val="22"/>
              </w:rPr>
              <w:t>experts sur l</w:t>
            </w:r>
            <w:r w:rsidR="00E26E2A">
              <w:rPr>
                <w:rFonts w:ascii="Arial" w:hAnsi="Arial"/>
                <w:sz w:val="22"/>
              </w:rPr>
              <w:t>’</w:t>
            </w:r>
            <w:r>
              <w:rPr>
                <w:rFonts w:ascii="Arial" w:hAnsi="Arial"/>
                <w:sz w:val="22"/>
              </w:rPr>
              <w:t>élaboration d</w:t>
            </w:r>
            <w:r w:rsidR="00E26E2A">
              <w:rPr>
                <w:rFonts w:ascii="Arial" w:hAnsi="Arial"/>
                <w:sz w:val="22"/>
              </w:rPr>
              <w:t>’</w:t>
            </w:r>
            <w:r>
              <w:rPr>
                <w:rFonts w:ascii="Arial" w:hAnsi="Arial"/>
                <w:sz w:val="22"/>
              </w:rPr>
              <w:t>un cadre général de résultats pour la Convention.</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23 : </w:t>
            </w:r>
            <w:r w:rsidR="00473128" w:rsidRPr="00473128">
              <w:rPr>
                <w:rFonts w:ascii="Arial" w:hAnsi="Arial"/>
                <w:b/>
                <w:sz w:val="22"/>
              </w:rPr>
              <w:t>Compléter les données rassemblées sur la mise en œuvre de la Convention via les rapports périodiques soumis par les États parties avec les informations fournies par les ONG</w:t>
            </w:r>
            <w:r w:rsidR="00473128">
              <w:rPr>
                <w:rFonts w:ascii="Arial" w:hAnsi="Arial"/>
                <w:b/>
                <w:sz w:val="22"/>
              </w:rPr>
              <w:t>.</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Le formulaire ICH-10 d</w:t>
            </w:r>
            <w:r w:rsidR="008371C2">
              <w:rPr>
                <w:rFonts w:ascii="Arial" w:hAnsi="Arial"/>
                <w:sz w:val="22"/>
              </w:rPr>
              <w:t>es</w:t>
            </w:r>
            <w:r>
              <w:rPr>
                <w:rFonts w:ascii="Arial" w:hAnsi="Arial"/>
                <w:sz w:val="22"/>
              </w:rPr>
              <w:t xml:space="preserve"> rapport</w:t>
            </w:r>
            <w:r w:rsidR="008371C2">
              <w:rPr>
                <w:rFonts w:ascii="Arial" w:hAnsi="Arial"/>
                <w:sz w:val="22"/>
              </w:rPr>
              <w:t>s</w:t>
            </w:r>
            <w:r>
              <w:rPr>
                <w:rFonts w:ascii="Arial" w:hAnsi="Arial"/>
                <w:sz w:val="22"/>
              </w:rPr>
              <w:t xml:space="preserve"> périodique</w:t>
            </w:r>
            <w:r w:rsidR="008371C2">
              <w:rPr>
                <w:rFonts w:ascii="Arial" w:hAnsi="Arial"/>
                <w:sz w:val="22"/>
              </w:rPr>
              <w:t>s a été</w:t>
            </w:r>
            <w:r>
              <w:rPr>
                <w:rFonts w:ascii="Arial" w:hAnsi="Arial"/>
                <w:sz w:val="22"/>
              </w:rPr>
              <w:t xml:space="preserve"> révisé le 15 décembre 2014. Le rapport des États en 2016 pourra intégrer ces contributions.</w:t>
            </w:r>
          </w:p>
        </w:tc>
      </w:tr>
      <w:tr w:rsidR="00D70C22" w:rsidRPr="00A76B7D" w:rsidTr="0060296F">
        <w:tc>
          <w:tcPr>
            <w:tcW w:w="4717"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shd w:val="clear" w:color="auto" w:fill="FFFFFF" w:themeFill="background1"/>
            <w:noWrap/>
            <w:tcMar>
              <w:top w:w="40" w:type="dxa"/>
              <w:left w:w="40" w:type="dxa"/>
              <w:bottom w:w="40" w:type="dxa"/>
              <w:right w:w="40" w:type="dxa"/>
            </w:tcMar>
          </w:tcPr>
          <w:p w:rsidR="00D70C22" w:rsidRPr="00A76B7D" w:rsidRDefault="00D70C22" w:rsidP="008215A5">
            <w:pPr>
              <w:spacing w:before="120" w:after="120"/>
              <w:ind w:left="113" w:right="57"/>
              <w:rPr>
                <w:rFonts w:ascii="Arial" w:hAnsi="Arial" w:cs="Arial"/>
                <w:sz w:val="22"/>
                <w:szCs w:val="22"/>
              </w:rPr>
            </w:pPr>
            <w:r>
              <w:rPr>
                <w:rFonts w:ascii="Arial" w:hAnsi="Arial"/>
                <w:sz w:val="22"/>
              </w:rPr>
              <w:t xml:space="preserve">Encourager les États à compléter les données rassemblées sur la mise en œuvre de la Convention avec les informations fournies par des organisations non gouvernementales pertinentes. </w:t>
            </w:r>
          </w:p>
          <w:p w:rsidR="00D70C22" w:rsidRPr="00A76B7D" w:rsidRDefault="00D70C22" w:rsidP="008215A5">
            <w:pPr>
              <w:spacing w:before="120" w:after="120"/>
              <w:ind w:left="113" w:right="57"/>
              <w:rPr>
                <w:rFonts w:ascii="Arial" w:hAnsi="Arial" w:cs="Arial"/>
                <w:sz w:val="22"/>
                <w:szCs w:val="22"/>
              </w:rPr>
            </w:pPr>
            <w:r>
              <w:rPr>
                <w:rFonts w:ascii="Arial" w:hAnsi="Arial"/>
                <w:sz w:val="22"/>
              </w:rPr>
              <w:t>Réviser les formulaires de</w:t>
            </w:r>
            <w:r w:rsidR="008371C2">
              <w:rPr>
                <w:rFonts w:ascii="Arial" w:hAnsi="Arial"/>
                <w:sz w:val="22"/>
              </w:rPr>
              <w:t>s</w:t>
            </w:r>
            <w:r>
              <w:rPr>
                <w:rFonts w:ascii="Arial" w:hAnsi="Arial"/>
                <w:sz w:val="22"/>
              </w:rPr>
              <w:t xml:space="preserve"> rapports périodiques en conséquence. </w:t>
            </w:r>
          </w:p>
        </w:tc>
        <w:tc>
          <w:tcPr>
            <w:tcW w:w="1986" w:type="dxa"/>
            <w:gridSpan w:val="2"/>
            <w:shd w:val="clear" w:color="auto" w:fill="FFFFFF" w:themeFill="background1"/>
            <w:noWrap/>
            <w:tcMar>
              <w:top w:w="40" w:type="dxa"/>
              <w:left w:w="40" w:type="dxa"/>
              <w:bottom w:w="40" w:type="dxa"/>
              <w:right w:w="40" w:type="dxa"/>
            </w:tcMar>
          </w:tcPr>
          <w:p w:rsidR="00D70C22" w:rsidRPr="00A76B7D" w:rsidRDefault="00297354" w:rsidP="008215A5">
            <w:pPr>
              <w:spacing w:before="120" w:after="120"/>
              <w:ind w:left="57"/>
              <w:rPr>
                <w:rFonts w:ascii="Arial" w:hAnsi="Arial" w:cs="Arial"/>
                <w:sz w:val="22"/>
                <w:szCs w:val="22"/>
              </w:rPr>
            </w:pPr>
            <w:r>
              <w:rPr>
                <w:rFonts w:ascii="Arial" w:hAnsi="Arial"/>
                <w:sz w:val="22"/>
              </w:rPr>
              <w:t>d</w:t>
            </w:r>
            <w:r w:rsidR="00D70C22">
              <w:rPr>
                <w:rFonts w:ascii="Arial" w:hAnsi="Arial"/>
                <w:sz w:val="22"/>
              </w:rPr>
              <w:t>écembre 2014</w:t>
            </w:r>
          </w:p>
        </w:tc>
        <w:tc>
          <w:tcPr>
            <w:tcW w:w="7655" w:type="dxa"/>
            <w:shd w:val="clear" w:color="auto" w:fill="FFFFFF" w:themeFill="background1"/>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 xml:space="preserve">Formulaire ICH-10 révisé en décembre 2014 </w:t>
            </w:r>
            <w:r w:rsidR="001E3D6D" w:rsidRPr="00464203">
              <w:rPr>
                <w:rFonts w:ascii="Arial" w:hAnsi="Arial"/>
                <w:sz w:val="22"/>
              </w:rPr>
              <w:t>(</w:t>
            </w:r>
            <w:r w:rsidR="001E3D6D" w:rsidRPr="00464203">
              <w:rPr>
                <w:rFonts w:ascii="Arial" w:hAnsi="Arial"/>
                <w:b/>
                <w:sz w:val="22"/>
              </w:rPr>
              <w:t>action terminée</w:t>
            </w:r>
            <w:r w:rsidR="001E3D6D" w:rsidRPr="00464203">
              <w:rPr>
                <w:rFonts w:ascii="Arial" w:hAnsi="Arial"/>
                <w:sz w:val="22"/>
              </w:rPr>
              <w:t>).</w:t>
            </w:r>
          </w:p>
        </w:tc>
      </w:tr>
      <w:tr w:rsidR="00D70C22" w:rsidRPr="00A76B7D" w:rsidTr="0060296F">
        <w:tc>
          <w:tcPr>
            <w:tcW w:w="14358" w:type="dxa"/>
            <w:gridSpan w:val="5"/>
            <w:shd w:val="clear" w:color="auto" w:fill="E6E6E6"/>
            <w:noWrap/>
            <w:tcMar>
              <w:top w:w="40" w:type="dxa"/>
              <w:left w:w="40" w:type="dxa"/>
              <w:bottom w:w="40" w:type="dxa"/>
              <w:right w:w="40" w:type="dxa"/>
            </w:tcMar>
          </w:tcPr>
          <w:p w:rsidR="00D70C22" w:rsidRPr="00A76B7D" w:rsidRDefault="00D70C22" w:rsidP="008215A5">
            <w:pPr>
              <w:tabs>
                <w:tab w:val="left" w:pos="2640"/>
              </w:tabs>
              <w:spacing w:before="120" w:after="120"/>
              <w:ind w:left="113" w:right="113"/>
              <w:jc w:val="both"/>
              <w:rPr>
                <w:rFonts w:ascii="Arial" w:hAnsi="Arial" w:cs="Arial"/>
                <w:b/>
                <w:sz w:val="22"/>
                <w:szCs w:val="22"/>
              </w:rPr>
            </w:pPr>
            <w:r>
              <w:rPr>
                <w:rFonts w:ascii="Arial" w:hAnsi="Arial"/>
                <w:b/>
                <w:sz w:val="22"/>
              </w:rPr>
              <w:t xml:space="preserve">Recommandation 24 : </w:t>
            </w:r>
            <w:r w:rsidR="00473128" w:rsidRPr="00473128">
              <w:rPr>
                <w:rFonts w:ascii="Arial" w:hAnsi="Arial"/>
                <w:b/>
                <w:sz w:val="22"/>
              </w:rPr>
              <w:t>Renforcer le suivi et l</w:t>
            </w:r>
            <w:r w:rsidR="00E26E2A">
              <w:rPr>
                <w:rFonts w:ascii="Arial" w:hAnsi="Arial"/>
                <w:b/>
                <w:sz w:val="22"/>
              </w:rPr>
              <w:t>’</w:t>
            </w:r>
            <w:r w:rsidR="00473128" w:rsidRPr="00473128">
              <w:rPr>
                <w:rFonts w:ascii="Arial" w:hAnsi="Arial"/>
                <w:b/>
                <w:sz w:val="22"/>
              </w:rPr>
              <w:t>évaluation de la mise en œuvre de la Convention au niveau national.</w:t>
            </w:r>
          </w:p>
        </w:tc>
      </w:tr>
      <w:tr w:rsidR="00D70C22" w:rsidRPr="00A76B7D" w:rsidTr="0060296F">
        <w:tc>
          <w:tcPr>
            <w:tcW w:w="14358" w:type="dxa"/>
            <w:gridSpan w:val="5"/>
            <w:noWrap/>
            <w:tcMar>
              <w:top w:w="40" w:type="dxa"/>
              <w:left w:w="40" w:type="dxa"/>
              <w:bottom w:w="40" w:type="dxa"/>
              <w:right w:w="40" w:type="dxa"/>
            </w:tcMar>
          </w:tcPr>
          <w:p w:rsidR="00D70C22" w:rsidRPr="00A76B7D" w:rsidRDefault="00D70C22" w:rsidP="008215A5">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Bien que cela s</w:t>
            </w:r>
            <w:r w:rsidR="00E26E2A">
              <w:rPr>
                <w:rFonts w:ascii="Arial" w:hAnsi="Arial"/>
                <w:sz w:val="22"/>
              </w:rPr>
              <w:t>’</w:t>
            </w:r>
            <w:r>
              <w:rPr>
                <w:rFonts w:ascii="Arial" w:hAnsi="Arial"/>
                <w:sz w:val="22"/>
              </w:rPr>
              <w:t xml:space="preserve">adresse aux États </w:t>
            </w:r>
            <w:r w:rsidR="008371C2">
              <w:rPr>
                <w:rFonts w:ascii="Arial" w:hAnsi="Arial"/>
                <w:sz w:val="22"/>
              </w:rPr>
              <w:t>p</w:t>
            </w:r>
            <w:r>
              <w:rPr>
                <w:rFonts w:ascii="Arial" w:hAnsi="Arial"/>
                <w:sz w:val="22"/>
              </w:rPr>
              <w:t>arties, le Secrétariat abordera cette recommandation et intègre</w:t>
            </w:r>
            <w:r w:rsidR="008371C2">
              <w:rPr>
                <w:rFonts w:ascii="Arial" w:hAnsi="Arial"/>
                <w:sz w:val="22"/>
              </w:rPr>
              <w:t>ra</w:t>
            </w:r>
            <w:r>
              <w:rPr>
                <w:rFonts w:ascii="Arial" w:hAnsi="Arial"/>
                <w:sz w:val="22"/>
              </w:rPr>
              <w:t xml:space="preserve"> et/ou renforce</w:t>
            </w:r>
            <w:r w:rsidR="008371C2">
              <w:rPr>
                <w:rFonts w:ascii="Arial" w:hAnsi="Arial"/>
                <w:sz w:val="22"/>
              </w:rPr>
              <w:t>ra</w:t>
            </w:r>
            <w:r>
              <w:rPr>
                <w:rFonts w:ascii="Arial" w:hAnsi="Arial"/>
                <w:sz w:val="22"/>
              </w:rPr>
              <w:t xml:space="preserve"> ces aspects dans le matériel de renforcement des capacités et les ateliers de formations des formateurs ainsi que dans l</w:t>
            </w:r>
            <w:r w:rsidR="00E26E2A">
              <w:rPr>
                <w:rFonts w:ascii="Arial" w:hAnsi="Arial"/>
                <w:sz w:val="22"/>
              </w:rPr>
              <w:t>’</w:t>
            </w:r>
            <w:r>
              <w:rPr>
                <w:rFonts w:ascii="Arial" w:hAnsi="Arial"/>
                <w:sz w:val="22"/>
              </w:rPr>
              <w:t>Aide-Mémoire des rapports périodiques.</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c>
          <w:tcPr>
            <w:tcW w:w="4717" w:type="dxa"/>
            <w:gridSpan w:val="2"/>
            <w:noWrap/>
            <w:tcMar>
              <w:top w:w="40" w:type="dxa"/>
              <w:left w:w="40" w:type="dxa"/>
              <w:bottom w:w="40" w:type="dxa"/>
              <w:right w:w="40" w:type="dxa"/>
            </w:tcMar>
          </w:tcPr>
          <w:p w:rsidR="00D70C22" w:rsidRPr="00A76B7D" w:rsidRDefault="00D70C22" w:rsidP="008215A5">
            <w:pPr>
              <w:pStyle w:val="Default"/>
              <w:spacing w:before="120" w:after="120"/>
              <w:ind w:left="113" w:right="57"/>
              <w:contextualSpacing/>
              <w:rPr>
                <w:sz w:val="22"/>
                <w:szCs w:val="22"/>
              </w:rPr>
            </w:pPr>
            <w:r>
              <w:rPr>
                <w:sz w:val="22"/>
              </w:rPr>
              <w:t>Intégrer et/ou renforcer ces aspects dans le matériel de renforcement des capacités et des ateliers de formation des formateurs.</w:t>
            </w:r>
          </w:p>
          <w:p w:rsidR="00D70C22" w:rsidRPr="00A76B7D" w:rsidRDefault="00D70C22" w:rsidP="008215A5">
            <w:pPr>
              <w:spacing w:before="120" w:after="240"/>
              <w:ind w:left="113" w:right="57"/>
              <w:contextualSpacing/>
              <w:rPr>
                <w:rFonts w:ascii="Arial" w:hAnsi="Arial" w:cs="Arial"/>
                <w:sz w:val="22"/>
                <w:szCs w:val="22"/>
              </w:rPr>
            </w:pPr>
            <w:r>
              <w:rPr>
                <w:rFonts w:ascii="Arial" w:hAnsi="Arial"/>
                <w:sz w:val="22"/>
              </w:rPr>
              <w:t>Intégrer ces aspects dans l</w:t>
            </w:r>
            <w:r w:rsidR="00E26E2A">
              <w:rPr>
                <w:rFonts w:ascii="Arial" w:hAnsi="Arial"/>
                <w:sz w:val="22"/>
              </w:rPr>
              <w:t>’</w:t>
            </w:r>
            <w:r>
              <w:rPr>
                <w:rFonts w:ascii="Arial" w:hAnsi="Arial"/>
                <w:sz w:val="22"/>
              </w:rPr>
              <w:t>aide-mémoire.</w:t>
            </w:r>
          </w:p>
        </w:tc>
        <w:tc>
          <w:tcPr>
            <w:tcW w:w="1986" w:type="dxa"/>
            <w:gridSpan w:val="2"/>
            <w:noWrap/>
            <w:tcMar>
              <w:top w:w="40" w:type="dxa"/>
              <w:left w:w="40" w:type="dxa"/>
              <w:bottom w:w="40" w:type="dxa"/>
              <w:right w:w="40" w:type="dxa"/>
            </w:tcMar>
          </w:tcPr>
          <w:p w:rsidR="00D70C22" w:rsidRPr="00A76B7D" w:rsidRDefault="00D70C22" w:rsidP="008215A5">
            <w:pPr>
              <w:spacing w:before="120" w:after="120"/>
              <w:ind w:left="57"/>
              <w:rPr>
                <w:rFonts w:ascii="Arial" w:hAnsi="Arial" w:cs="Arial"/>
                <w:sz w:val="22"/>
                <w:szCs w:val="22"/>
              </w:rPr>
            </w:pPr>
            <w:r>
              <w:rPr>
                <w:rFonts w:ascii="Arial" w:hAnsi="Arial"/>
                <w:sz w:val="22"/>
              </w:rPr>
              <w:t>2016/2017</w:t>
            </w:r>
          </w:p>
        </w:tc>
        <w:tc>
          <w:tcPr>
            <w:tcW w:w="7655"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sz w:val="22"/>
                <w:szCs w:val="22"/>
              </w:rPr>
            </w:pPr>
            <w:r>
              <w:rPr>
                <w:rFonts w:ascii="Arial" w:hAnsi="Arial"/>
                <w:sz w:val="22"/>
              </w:rPr>
              <w:t>Matériels de formation à élaborer et actualiser l</w:t>
            </w:r>
            <w:r w:rsidR="00E26E2A">
              <w:rPr>
                <w:rFonts w:ascii="Arial" w:hAnsi="Arial"/>
                <w:sz w:val="22"/>
              </w:rPr>
              <w:t>’</w:t>
            </w:r>
            <w:r>
              <w:rPr>
                <w:rFonts w:ascii="Arial" w:hAnsi="Arial"/>
                <w:sz w:val="22"/>
              </w:rPr>
              <w:t>aide-mémoire dès que le cadre général de résultats pour la Convention sera disponible (voir Recommandation 22).</w:t>
            </w:r>
          </w:p>
        </w:tc>
      </w:tr>
    </w:tbl>
    <w:p w:rsidR="00297354" w:rsidRDefault="00297354" w:rsidP="00D70C22">
      <w:pPr>
        <w:rPr>
          <w:sz w:val="20"/>
          <w:szCs w:val="20"/>
        </w:rPr>
        <w:sectPr w:rsidR="00297354" w:rsidSect="00994D09">
          <w:pgSz w:w="16838" w:h="11906" w:orient="landscape" w:code="9"/>
          <w:pgMar w:top="1134" w:right="1134" w:bottom="1134" w:left="1418" w:header="397" w:footer="284" w:gutter="0"/>
          <w:cols w:space="708"/>
          <w:titlePg/>
          <w:docGrid w:linePitch="360"/>
        </w:sectPr>
      </w:pPr>
    </w:p>
    <w:p w:rsidR="00D70C22" w:rsidRPr="00A76B7D" w:rsidRDefault="00D70C22" w:rsidP="004A0099">
      <w:pPr>
        <w:numPr>
          <w:ilvl w:val="0"/>
          <w:numId w:val="14"/>
        </w:numPr>
        <w:spacing w:before="360" w:after="120"/>
        <w:ind w:left="567" w:hanging="567"/>
        <w:rPr>
          <w:rFonts w:ascii="Arial" w:eastAsia="SimSun" w:hAnsi="Arial" w:cs="Arial"/>
          <w:b/>
          <w:sz w:val="22"/>
          <w:szCs w:val="22"/>
        </w:rPr>
      </w:pPr>
      <w:r>
        <w:rPr>
          <w:rFonts w:ascii="Arial" w:hAnsi="Arial"/>
          <w:b/>
          <w:sz w:val="22"/>
        </w:rPr>
        <w:t>Partie B : Le rapport d</w:t>
      </w:r>
      <w:r w:rsidR="00E26E2A">
        <w:rPr>
          <w:rFonts w:ascii="Arial" w:hAnsi="Arial"/>
          <w:b/>
          <w:sz w:val="22"/>
        </w:rPr>
        <w:t>’</w:t>
      </w:r>
      <w:r>
        <w:rPr>
          <w:rFonts w:ascii="Arial" w:hAnsi="Arial"/>
          <w:b/>
          <w:sz w:val="22"/>
        </w:rPr>
        <w:t>avancement sur le suivi des quatre recommandations du rapport d</w:t>
      </w:r>
      <w:r w:rsidR="00E26E2A">
        <w:rPr>
          <w:rFonts w:ascii="Arial" w:hAnsi="Arial"/>
          <w:b/>
          <w:sz w:val="22"/>
        </w:rPr>
        <w:t>’</w:t>
      </w:r>
      <w:r>
        <w:rPr>
          <w:rFonts w:ascii="Arial" w:hAnsi="Arial"/>
          <w:b/>
          <w:sz w:val="22"/>
        </w:rPr>
        <w:t xml:space="preserve">audit des méthodes de travail des six </w:t>
      </w:r>
      <w:r w:rsidRPr="00BE1355">
        <w:rPr>
          <w:rFonts w:ascii="Arial" w:hAnsi="Arial"/>
          <w:b/>
          <w:sz w:val="22"/>
        </w:rPr>
        <w:t>conventions</w:t>
      </w:r>
      <w:r w:rsidR="008371C2" w:rsidRPr="00BE1355">
        <w:rPr>
          <w:rFonts w:ascii="Arial" w:hAnsi="Arial"/>
          <w:b/>
          <w:sz w:val="22"/>
        </w:rPr>
        <w:t xml:space="preserve"> culturelles</w:t>
      </w:r>
      <w:r>
        <w:rPr>
          <w:rFonts w:ascii="Arial" w:hAnsi="Arial"/>
          <w:b/>
          <w:sz w:val="22"/>
        </w:rPr>
        <w:t>.</w:t>
      </w:r>
    </w:p>
    <w:p w:rsidR="00D70C22" w:rsidRPr="00A76B7D" w:rsidRDefault="00D70C22" w:rsidP="00297354">
      <w:pPr>
        <w:pStyle w:val="COMPara"/>
        <w:numPr>
          <w:ilvl w:val="0"/>
          <w:numId w:val="15"/>
        </w:numPr>
        <w:ind w:left="567" w:hanging="567"/>
        <w:jc w:val="both"/>
      </w:pPr>
      <w:r>
        <w:t>Le service d</w:t>
      </w:r>
      <w:r w:rsidR="00E26E2A">
        <w:t>’</w:t>
      </w:r>
      <w:r>
        <w:t>évaluation et d</w:t>
      </w:r>
      <w:r w:rsidR="00E26E2A">
        <w:t>’</w:t>
      </w:r>
      <w:r>
        <w:t>audit (IOS) de l</w:t>
      </w:r>
      <w:r w:rsidR="00E26E2A">
        <w:t>’</w:t>
      </w:r>
      <w:r>
        <w:t>UNESCO a réalisé en 2013 un audit des méthodes de travail des six conventions relatives à la culture afin d</w:t>
      </w:r>
      <w:r w:rsidR="00E26E2A">
        <w:t>’</w:t>
      </w:r>
      <w:r>
        <w:t>évaluer l</w:t>
      </w:r>
      <w:r w:rsidR="00E26E2A">
        <w:t>’</w:t>
      </w:r>
      <w:r>
        <w:t>adéquation et l</w:t>
      </w:r>
      <w:r w:rsidR="00E26E2A">
        <w:t>’</w:t>
      </w:r>
      <w:r>
        <w:t>efficacité des méthodes de travail du travail normatif de l</w:t>
      </w:r>
      <w:r w:rsidR="00E26E2A">
        <w:t>’</w:t>
      </w:r>
      <w:r>
        <w:t xml:space="preserve">UNESCO dans le </w:t>
      </w:r>
      <w:r w:rsidR="008371C2">
        <w:t>S</w:t>
      </w:r>
      <w:r>
        <w:t xml:space="preserve">ecteur de la culture </w:t>
      </w:r>
      <w:r w:rsidRPr="00B95496">
        <w:t>(</w:t>
      </w:r>
      <w:hyperlink r:id="rId27">
        <w:r w:rsidRPr="00B95496">
          <w:rPr>
            <w:rStyle w:val="Hyperlink"/>
            <w:snapToGrid/>
          </w:rPr>
          <w:t>document IOS/AUD/2013/06</w:t>
        </w:r>
      </w:hyperlink>
      <w:r w:rsidRPr="00B95496">
        <w:t>).</w:t>
      </w:r>
      <w:r>
        <w:t xml:space="preserve"> De ce fait, l</w:t>
      </w:r>
      <w:r w:rsidR="00E26E2A">
        <w:t>’</w:t>
      </w:r>
      <w:r>
        <w:t xml:space="preserve">audit a </w:t>
      </w:r>
      <w:r w:rsidR="00B4043E">
        <w:t xml:space="preserve">produit </w:t>
      </w:r>
      <w:r>
        <w:t xml:space="preserve">quatre recommandations qui cherchent essentiellement à rationaliser différents processus </w:t>
      </w:r>
      <w:proofErr w:type="spellStart"/>
      <w:r w:rsidR="00B4043E">
        <w:t>statutires</w:t>
      </w:r>
      <w:proofErr w:type="spellEnd"/>
      <w:r w:rsidR="00B4043E">
        <w:t xml:space="preserve"> </w:t>
      </w:r>
      <w:r>
        <w:t xml:space="preserve">et à </w:t>
      </w:r>
      <w:r w:rsidR="00B4043E">
        <w:t xml:space="preserve">rationaliser </w:t>
      </w:r>
      <w:r>
        <w:t>les coûts.</w:t>
      </w:r>
    </w:p>
    <w:p w:rsidR="00D70C22" w:rsidRPr="00A76B7D" w:rsidRDefault="00D70C22" w:rsidP="00297354">
      <w:pPr>
        <w:pStyle w:val="COMPara"/>
        <w:numPr>
          <w:ilvl w:val="0"/>
          <w:numId w:val="15"/>
        </w:numPr>
        <w:ind w:left="567" w:hanging="567"/>
        <w:jc w:val="both"/>
        <w:rPr>
          <w:rFonts w:eastAsia="SimSun"/>
          <w:snapToGrid/>
        </w:rPr>
      </w:pPr>
      <w:r>
        <w:t xml:space="preserve">Le rapport </w:t>
      </w:r>
      <w:r w:rsidR="008371C2">
        <w:t>d</w:t>
      </w:r>
      <w:r w:rsidR="00E26E2A">
        <w:t>’</w:t>
      </w:r>
      <w:r>
        <w:t xml:space="preserve">IOS « Audit des méthodes de travail des </w:t>
      </w:r>
      <w:r w:rsidR="00BE1355" w:rsidRPr="00FD5402">
        <w:t>c</w:t>
      </w:r>
      <w:r w:rsidRPr="00BE1355">
        <w:t>onventions culturelles</w:t>
      </w:r>
      <w:r>
        <w:t> » comprenant les recommandations a été présenté au Comité lors de sa huitième session (</w:t>
      </w:r>
      <w:hyperlink r:id="rId28">
        <w:r>
          <w:rPr>
            <w:rStyle w:val="Hyperlink"/>
            <w:snapToGrid/>
          </w:rPr>
          <w:t>document ITH/13/8.COM/5.c</w:t>
        </w:r>
      </w:hyperlink>
      <w:r>
        <w:t>). Au cours de cette session, le Comité a examiné ces recommandations d</w:t>
      </w:r>
      <w:r w:rsidR="00E26E2A">
        <w:t>’</w:t>
      </w:r>
      <w:r>
        <w:t xml:space="preserve">audit et a adopté la Décision 8.COM  5.c.2. Un résumé du rapport </w:t>
      </w:r>
      <w:r w:rsidR="00BE1355">
        <w:t>d</w:t>
      </w:r>
      <w:r w:rsidR="00E26E2A">
        <w:t>’</w:t>
      </w:r>
      <w:r>
        <w:t xml:space="preserve">IOS a également été présenté au </w:t>
      </w:r>
      <w:r w:rsidR="00BE1355">
        <w:t>C</w:t>
      </w:r>
      <w:r>
        <w:t xml:space="preserve">onseil exécutif lors de sa </w:t>
      </w:r>
      <w:r w:rsidR="00BE1355">
        <w:t>192</w:t>
      </w:r>
      <w:r w:rsidR="00BE1355" w:rsidRPr="00A45197">
        <w:rPr>
          <w:vertAlign w:val="superscript"/>
        </w:rPr>
        <w:t>e</w:t>
      </w:r>
      <w:r w:rsidR="00BE1355">
        <w:t xml:space="preserve"> session</w:t>
      </w:r>
      <w:r>
        <w:t>.</w:t>
      </w:r>
    </w:p>
    <w:p w:rsidR="00D70C22" w:rsidRPr="00A76B7D" w:rsidRDefault="00D70C22" w:rsidP="00297354">
      <w:pPr>
        <w:pStyle w:val="COMPara"/>
        <w:numPr>
          <w:ilvl w:val="0"/>
          <w:numId w:val="15"/>
        </w:numPr>
        <w:ind w:left="567" w:hanging="567"/>
        <w:jc w:val="both"/>
        <w:rPr>
          <w:rFonts w:eastAsia="SimSun"/>
          <w:snapToGrid/>
        </w:rPr>
      </w:pPr>
      <w:r>
        <w:t>Durant sa neuvième session le Comité a examiné deux documents répondant à la Décision 8.COM  5.c.2 et aux recommandations de l</w:t>
      </w:r>
      <w:r w:rsidR="00E26E2A">
        <w:t>’</w:t>
      </w:r>
      <w:r>
        <w:t xml:space="preserve">audit. </w:t>
      </w:r>
    </w:p>
    <w:p w:rsidR="00D70C22" w:rsidRPr="00A76B7D" w:rsidRDefault="00531BA2" w:rsidP="00297354">
      <w:pPr>
        <w:pStyle w:val="COMPara"/>
        <w:numPr>
          <w:ilvl w:val="1"/>
          <w:numId w:val="15"/>
        </w:numPr>
        <w:ind w:left="993" w:hanging="426"/>
        <w:jc w:val="both"/>
        <w:rPr>
          <w:rFonts w:eastAsia="SimSun"/>
          <w:snapToGrid/>
        </w:rPr>
      </w:pPr>
      <w:hyperlink r:id="rId29">
        <w:r w:rsidR="00D70C22">
          <w:rPr>
            <w:rStyle w:val="Hyperlink"/>
            <w:snapToGrid/>
          </w:rPr>
          <w:t>Document ITH/14/9.COM/13.f</w:t>
        </w:r>
      </w:hyperlink>
      <w:r w:rsidR="00D70C22">
        <w:t xml:space="preserve"> répondant au huitième paragraphe de la Décision 8.COM  5.c.2 et de la Recommandation 4.</w:t>
      </w:r>
    </w:p>
    <w:p w:rsidR="00D70C22" w:rsidRPr="00A76B7D" w:rsidRDefault="00531BA2" w:rsidP="00297354">
      <w:pPr>
        <w:pStyle w:val="COMPara"/>
        <w:numPr>
          <w:ilvl w:val="1"/>
          <w:numId w:val="15"/>
        </w:numPr>
        <w:ind w:left="993" w:hanging="426"/>
        <w:jc w:val="both"/>
        <w:rPr>
          <w:rFonts w:eastAsia="SimSun"/>
          <w:snapToGrid/>
        </w:rPr>
      </w:pPr>
      <w:hyperlink r:id="rId30">
        <w:r w:rsidR="00D70C22">
          <w:rPr>
            <w:rStyle w:val="Hyperlink"/>
            <w:snapToGrid/>
          </w:rPr>
          <w:t>Document ITH/14/9.COM/13.g</w:t>
        </w:r>
      </w:hyperlink>
      <w:r w:rsidR="00D70C22">
        <w:t xml:space="preserve"> répondant au onzième paragraphe de la Décision 8.COM  5.c.2 et de la Recommandation 1 (c).</w:t>
      </w:r>
    </w:p>
    <w:p w:rsidR="00D70C22" w:rsidRPr="008215A5" w:rsidRDefault="00D70C22" w:rsidP="008215A5">
      <w:pPr>
        <w:pStyle w:val="COMPara"/>
        <w:numPr>
          <w:ilvl w:val="0"/>
          <w:numId w:val="15"/>
        </w:numPr>
        <w:ind w:left="567" w:hanging="567"/>
        <w:jc w:val="both"/>
        <w:rPr>
          <w:rFonts w:eastAsia="SimSun"/>
          <w:snapToGrid/>
        </w:rPr>
      </w:pPr>
      <w:r>
        <w:t xml:space="preserve">Le tableau ci-dessous présente les actions </w:t>
      </w:r>
      <w:r w:rsidR="00F4728C">
        <w:t xml:space="preserve">concrètes </w:t>
      </w:r>
      <w:r>
        <w:t>prévues</w:t>
      </w:r>
      <w:r w:rsidR="00F4728C">
        <w:t xml:space="preserve"> ou</w:t>
      </w:r>
      <w:r>
        <w:t xml:space="preserve"> prises et le statut de mise en œuvre des recommandations de l</w:t>
      </w:r>
      <w:r w:rsidR="00E26E2A">
        <w:t>’</w:t>
      </w:r>
      <w:r>
        <w:t>Audit.</w:t>
      </w:r>
    </w:p>
    <w:p w:rsidR="00297354" w:rsidRDefault="00297354" w:rsidP="00297354">
      <w:pPr>
        <w:pStyle w:val="COMPara"/>
        <w:jc w:val="both"/>
        <w:rPr>
          <w:rFonts w:eastAsia="SimSun"/>
          <w:snapToGrid/>
        </w:rPr>
        <w:sectPr w:rsidR="00297354" w:rsidSect="00297354">
          <w:pgSz w:w="11906" w:h="16838" w:code="9"/>
          <w:pgMar w:top="1418" w:right="1134" w:bottom="1134" w:left="1134" w:header="397" w:footer="284" w:gutter="0"/>
          <w:cols w:space="708"/>
          <w:titlePg/>
          <w:docGrid w:linePitch="360"/>
        </w:sect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1985"/>
        <w:gridCol w:w="142"/>
        <w:gridCol w:w="7511"/>
        <w:gridCol w:w="10"/>
      </w:tblGrid>
      <w:tr w:rsidR="00D70C22" w:rsidRPr="00A76B7D" w:rsidTr="008215A5">
        <w:trPr>
          <w:gridAfter w:val="1"/>
          <w:wAfter w:w="10" w:type="dxa"/>
          <w:trHeight w:val="3068"/>
        </w:trPr>
        <w:tc>
          <w:tcPr>
            <w:tcW w:w="14357" w:type="dxa"/>
            <w:gridSpan w:val="4"/>
            <w:shd w:val="clear" w:color="auto" w:fill="E6E6E6"/>
            <w:noWrap/>
            <w:tcMar>
              <w:top w:w="40" w:type="dxa"/>
              <w:left w:w="40" w:type="dxa"/>
              <w:bottom w:w="40" w:type="dxa"/>
              <w:right w:w="40" w:type="dxa"/>
            </w:tcMar>
          </w:tcPr>
          <w:p w:rsidR="00D70C22" w:rsidRPr="00A76B7D" w:rsidRDefault="00D70C22" w:rsidP="008215A5">
            <w:pPr>
              <w:autoSpaceDE w:val="0"/>
              <w:autoSpaceDN w:val="0"/>
              <w:adjustRightInd w:val="0"/>
              <w:ind w:left="57" w:right="113"/>
              <w:jc w:val="both"/>
              <w:rPr>
                <w:rFonts w:ascii="Arial" w:hAnsi="Arial" w:cs="Arial"/>
                <w:b/>
                <w:sz w:val="22"/>
                <w:szCs w:val="22"/>
              </w:rPr>
            </w:pPr>
            <w:r>
              <w:rPr>
                <w:rFonts w:ascii="Arial" w:hAnsi="Arial"/>
                <w:b/>
                <w:sz w:val="22"/>
              </w:rPr>
              <w:t>Recommandation 1 : Nous recommandons aux secrétariats des conventions de formuler des propositions et de les présenter aux organes directeurs de l</w:t>
            </w:r>
            <w:r w:rsidR="00E26E2A">
              <w:rPr>
                <w:rFonts w:ascii="Arial" w:hAnsi="Arial"/>
                <w:b/>
                <w:sz w:val="22"/>
              </w:rPr>
              <w:t>’</w:t>
            </w:r>
            <w:r>
              <w:rPr>
                <w:rFonts w:ascii="Arial" w:hAnsi="Arial"/>
                <w:b/>
                <w:sz w:val="22"/>
              </w:rPr>
              <w:t xml:space="preserve">UNESCO et/ou de la (des) convention(s) afin : </w:t>
            </w:r>
          </w:p>
          <w:p w:rsidR="00D70C22" w:rsidRPr="00A76B7D" w:rsidRDefault="00D70C22" w:rsidP="008215A5">
            <w:pPr>
              <w:numPr>
                <w:ilvl w:val="0"/>
                <w:numId w:val="13"/>
              </w:numPr>
              <w:tabs>
                <w:tab w:val="left" w:pos="567"/>
                <w:tab w:val="left" w:pos="2640"/>
              </w:tabs>
              <w:ind w:left="567" w:right="113"/>
              <w:contextualSpacing/>
              <w:jc w:val="both"/>
              <w:rPr>
                <w:rFonts w:ascii="Arial" w:hAnsi="Arial" w:cs="Arial"/>
                <w:sz w:val="22"/>
                <w:szCs w:val="22"/>
              </w:rPr>
            </w:pPr>
            <w:r>
              <w:rPr>
                <w:rFonts w:ascii="Arial" w:hAnsi="Arial"/>
                <w:sz w:val="22"/>
              </w:rPr>
              <w:t>de compléter la structure actuelle de financement par des fonds-en-dépôt généraux alimentés par des contributions versées par les parties (États) contractant(e)s, à titre obligatoire ou volontaire, pour financer les dépenses ordinaires des secrétariats, y compris la dotation en effectifs, les dépenses administratives, l</w:t>
            </w:r>
            <w:r w:rsidR="00E26E2A">
              <w:rPr>
                <w:rFonts w:ascii="Arial" w:hAnsi="Arial"/>
                <w:sz w:val="22"/>
              </w:rPr>
              <w:t>’</w:t>
            </w:r>
            <w:r>
              <w:rPr>
                <w:rFonts w:ascii="Arial" w:hAnsi="Arial"/>
                <w:sz w:val="22"/>
              </w:rPr>
              <w:t>élaboration et la traduction des documents ;</w:t>
            </w:r>
          </w:p>
          <w:p w:rsidR="00D70C22" w:rsidRPr="00A76B7D" w:rsidRDefault="00D70C22" w:rsidP="008215A5">
            <w:pPr>
              <w:numPr>
                <w:ilvl w:val="0"/>
                <w:numId w:val="13"/>
              </w:numPr>
              <w:tabs>
                <w:tab w:val="left" w:pos="567"/>
                <w:tab w:val="left" w:pos="2640"/>
              </w:tabs>
              <w:ind w:left="567" w:right="113"/>
              <w:contextualSpacing/>
              <w:jc w:val="both"/>
              <w:rPr>
                <w:rFonts w:ascii="Arial" w:hAnsi="Arial" w:cs="Arial"/>
                <w:sz w:val="22"/>
                <w:szCs w:val="22"/>
              </w:rPr>
            </w:pPr>
            <w:r>
              <w:rPr>
                <w:rFonts w:ascii="Arial" w:hAnsi="Arial"/>
                <w:sz w:val="22"/>
              </w:rPr>
              <w:t>d</w:t>
            </w:r>
            <w:r w:rsidR="00E26E2A">
              <w:rPr>
                <w:rFonts w:ascii="Arial" w:hAnsi="Arial"/>
                <w:sz w:val="22"/>
              </w:rPr>
              <w:t>’</w:t>
            </w:r>
            <w:r>
              <w:rPr>
                <w:rFonts w:ascii="Arial" w:hAnsi="Arial"/>
                <w:sz w:val="22"/>
              </w:rPr>
              <w:t>établir un ordre de priorité dans l</w:t>
            </w:r>
            <w:r w:rsidR="00E26E2A">
              <w:rPr>
                <w:rFonts w:ascii="Arial" w:hAnsi="Arial"/>
                <w:sz w:val="22"/>
              </w:rPr>
              <w:t>’</w:t>
            </w:r>
            <w:r>
              <w:rPr>
                <w:rFonts w:ascii="Arial" w:hAnsi="Arial"/>
                <w:sz w:val="22"/>
              </w:rPr>
              <w:t>actuelle charge de travail des secrétariats des conventions afin de l</w:t>
            </w:r>
            <w:r w:rsidR="00E26E2A">
              <w:rPr>
                <w:rFonts w:ascii="Arial" w:hAnsi="Arial"/>
                <w:sz w:val="22"/>
              </w:rPr>
              <w:t>’</w:t>
            </w:r>
            <w:r>
              <w:rPr>
                <w:rFonts w:ascii="Arial" w:hAnsi="Arial"/>
                <w:sz w:val="22"/>
              </w:rPr>
              <w:t>adapter aux ressources disponibles ;</w:t>
            </w:r>
          </w:p>
          <w:p w:rsidR="00D70C22" w:rsidRPr="00A76B7D" w:rsidRDefault="00D70C22" w:rsidP="008215A5">
            <w:pPr>
              <w:numPr>
                <w:ilvl w:val="0"/>
                <w:numId w:val="13"/>
              </w:numPr>
              <w:tabs>
                <w:tab w:val="left" w:pos="567"/>
                <w:tab w:val="left" w:pos="2640"/>
              </w:tabs>
              <w:ind w:left="567" w:right="113"/>
              <w:contextualSpacing/>
              <w:jc w:val="both"/>
              <w:rPr>
                <w:rFonts w:ascii="Arial" w:hAnsi="Arial" w:cs="Arial"/>
                <w:sz w:val="22"/>
                <w:szCs w:val="22"/>
              </w:rPr>
            </w:pPr>
            <w:r>
              <w:rPr>
                <w:rFonts w:ascii="Arial" w:hAnsi="Arial"/>
                <w:sz w:val="22"/>
              </w:rPr>
              <w:t>de réduire la fréquence des réunions des États parties, si possible, de limiter leur durée et leur ordre du jour et ceux des Comités intergouvernementaux, et de synchroniser les réunions des États parties aux conventions, lorsque des gains d</w:t>
            </w:r>
            <w:r w:rsidR="00E26E2A">
              <w:rPr>
                <w:rFonts w:ascii="Arial" w:hAnsi="Arial"/>
                <w:sz w:val="22"/>
              </w:rPr>
              <w:t>’</w:t>
            </w:r>
            <w:r>
              <w:rPr>
                <w:rFonts w:ascii="Arial" w:hAnsi="Arial"/>
                <w:sz w:val="22"/>
              </w:rPr>
              <w:t>efficacité sont réalisables ;</w:t>
            </w:r>
          </w:p>
          <w:p w:rsidR="00D70C22" w:rsidRPr="00A76B7D" w:rsidRDefault="00D70C22" w:rsidP="008215A5">
            <w:pPr>
              <w:numPr>
                <w:ilvl w:val="0"/>
                <w:numId w:val="13"/>
              </w:numPr>
              <w:tabs>
                <w:tab w:val="left" w:pos="567"/>
                <w:tab w:val="left" w:pos="2640"/>
              </w:tabs>
              <w:ind w:left="567" w:right="113"/>
              <w:contextualSpacing/>
              <w:jc w:val="both"/>
              <w:rPr>
                <w:rFonts w:ascii="Arial" w:hAnsi="Arial" w:cs="Arial"/>
                <w:sz w:val="22"/>
                <w:szCs w:val="22"/>
              </w:rPr>
            </w:pPr>
            <w:r>
              <w:rPr>
                <w:rFonts w:ascii="Arial" w:hAnsi="Arial"/>
                <w:sz w:val="22"/>
              </w:rPr>
              <w:t>d</w:t>
            </w:r>
            <w:r w:rsidR="00E26E2A">
              <w:rPr>
                <w:rFonts w:ascii="Arial" w:hAnsi="Arial"/>
                <w:sz w:val="22"/>
              </w:rPr>
              <w:t>’</w:t>
            </w:r>
            <w:r>
              <w:rPr>
                <w:rFonts w:ascii="Arial" w:hAnsi="Arial"/>
                <w:sz w:val="22"/>
              </w:rPr>
              <w:t>harmoniser les exigences des réunions des conventions en matière de traduction et d</w:t>
            </w:r>
            <w:r w:rsidR="00E26E2A">
              <w:rPr>
                <w:rFonts w:ascii="Arial" w:hAnsi="Arial"/>
                <w:sz w:val="22"/>
              </w:rPr>
              <w:t>’</w:t>
            </w:r>
            <w:r>
              <w:rPr>
                <w:rFonts w:ascii="Arial" w:hAnsi="Arial"/>
                <w:sz w:val="22"/>
              </w:rPr>
              <w:t>interprétation et de solliciter des fonds extr</w:t>
            </w:r>
            <w:r w:rsidR="00A34D3E">
              <w:rPr>
                <w:rFonts w:ascii="Arial" w:hAnsi="Arial"/>
                <w:sz w:val="22"/>
              </w:rPr>
              <w:t xml:space="preserve">a </w:t>
            </w:r>
            <w:r>
              <w:rPr>
                <w:rFonts w:ascii="Arial" w:hAnsi="Arial"/>
                <w:sz w:val="22"/>
              </w:rPr>
              <w:t>budgétaires pour des langues supplémentaires ;</w:t>
            </w:r>
          </w:p>
          <w:p w:rsidR="00D70C22" w:rsidRPr="00A76B7D" w:rsidRDefault="00D70C22" w:rsidP="008215A5">
            <w:pPr>
              <w:numPr>
                <w:ilvl w:val="0"/>
                <w:numId w:val="13"/>
              </w:numPr>
              <w:tabs>
                <w:tab w:val="left" w:pos="567"/>
                <w:tab w:val="left" w:pos="2640"/>
              </w:tabs>
              <w:ind w:left="567" w:right="113"/>
              <w:contextualSpacing/>
              <w:jc w:val="both"/>
              <w:rPr>
                <w:rFonts w:ascii="Arial" w:hAnsi="Arial" w:cs="Arial"/>
                <w:sz w:val="22"/>
                <w:szCs w:val="22"/>
              </w:rPr>
            </w:pPr>
            <w:r>
              <w:rPr>
                <w:rFonts w:ascii="Arial" w:hAnsi="Arial"/>
                <w:sz w:val="22"/>
              </w:rPr>
              <w:t>de modifier le Règlement financier et les Règles d</w:t>
            </w:r>
            <w:r w:rsidR="00E26E2A">
              <w:rPr>
                <w:rFonts w:ascii="Arial" w:hAnsi="Arial"/>
                <w:sz w:val="22"/>
              </w:rPr>
              <w:t>’</w:t>
            </w:r>
            <w:r>
              <w:rPr>
                <w:rFonts w:ascii="Arial" w:hAnsi="Arial"/>
                <w:sz w:val="22"/>
              </w:rPr>
              <w:t>administration financière, si nécessaire, afin de permettre d</w:t>
            </w:r>
            <w:r w:rsidR="00E26E2A">
              <w:rPr>
                <w:rFonts w:ascii="Arial" w:hAnsi="Arial"/>
                <w:sz w:val="22"/>
              </w:rPr>
              <w:t>’</w:t>
            </w:r>
            <w:r>
              <w:rPr>
                <w:rFonts w:ascii="Arial" w:hAnsi="Arial"/>
                <w:sz w:val="22"/>
              </w:rPr>
              <w:t>appliquer la politique de recouvrement des coûts.</w:t>
            </w:r>
          </w:p>
        </w:tc>
      </w:tr>
      <w:tr w:rsidR="00D70C22" w:rsidRPr="00A76B7D" w:rsidTr="0060296F">
        <w:trPr>
          <w:gridAfter w:val="1"/>
          <w:wAfter w:w="10" w:type="dxa"/>
        </w:trPr>
        <w:tc>
          <w:tcPr>
            <w:tcW w:w="4719" w:type="dxa"/>
            <w:noWrap/>
            <w:tcMar>
              <w:top w:w="40" w:type="dxa"/>
              <w:left w:w="40" w:type="dxa"/>
              <w:bottom w:w="40" w:type="dxa"/>
              <w:right w:w="40" w:type="dxa"/>
            </w:tcMar>
          </w:tcPr>
          <w:p w:rsidR="00D70C22" w:rsidRPr="00A76B7D" w:rsidRDefault="00D70C22" w:rsidP="008215A5">
            <w:pPr>
              <w:jc w:val="center"/>
              <w:rPr>
                <w:rFonts w:ascii="Arial" w:hAnsi="Arial" w:cs="Arial"/>
                <w:b/>
                <w:sz w:val="22"/>
                <w:szCs w:val="22"/>
              </w:rPr>
            </w:pPr>
            <w:r>
              <w:rPr>
                <w:rFonts w:ascii="Arial" w:hAnsi="Arial"/>
                <w:b/>
                <w:sz w:val="22"/>
              </w:rPr>
              <w:t>Actions planifiées</w:t>
            </w:r>
          </w:p>
        </w:tc>
        <w:tc>
          <w:tcPr>
            <w:tcW w:w="1985" w:type="dxa"/>
            <w:noWrap/>
            <w:tcMar>
              <w:top w:w="40" w:type="dxa"/>
              <w:left w:w="40" w:type="dxa"/>
              <w:bottom w:w="40" w:type="dxa"/>
              <w:right w:w="40" w:type="dxa"/>
            </w:tcMar>
          </w:tcPr>
          <w:p w:rsidR="00D70C22" w:rsidRPr="00A76B7D" w:rsidRDefault="00D70C22" w:rsidP="008215A5">
            <w:pPr>
              <w:jc w:val="center"/>
              <w:rPr>
                <w:rFonts w:ascii="Arial" w:hAnsi="Arial" w:cs="Arial"/>
                <w:b/>
                <w:sz w:val="22"/>
                <w:szCs w:val="22"/>
              </w:rPr>
            </w:pPr>
            <w:r>
              <w:rPr>
                <w:rFonts w:ascii="Arial" w:hAnsi="Arial"/>
                <w:b/>
                <w:sz w:val="22"/>
              </w:rPr>
              <w:t>Date prévue de mise en œuvre</w:t>
            </w:r>
          </w:p>
        </w:tc>
        <w:tc>
          <w:tcPr>
            <w:tcW w:w="7653" w:type="dxa"/>
            <w:gridSpan w:val="2"/>
            <w:noWrap/>
            <w:tcMar>
              <w:top w:w="40" w:type="dxa"/>
              <w:left w:w="40" w:type="dxa"/>
              <w:bottom w:w="40" w:type="dxa"/>
              <w:right w:w="40" w:type="dxa"/>
            </w:tcMar>
          </w:tcPr>
          <w:p w:rsidR="00D70C22" w:rsidRPr="00A76B7D" w:rsidRDefault="00D70C22" w:rsidP="008215A5">
            <w:pPr>
              <w:jc w:val="center"/>
              <w:rPr>
                <w:rFonts w:ascii="Arial" w:hAnsi="Arial" w:cs="Arial"/>
                <w:b/>
                <w:sz w:val="22"/>
                <w:szCs w:val="22"/>
              </w:rPr>
            </w:pPr>
            <w:r>
              <w:rPr>
                <w:rFonts w:ascii="Arial" w:hAnsi="Arial"/>
                <w:b/>
                <w:sz w:val="22"/>
              </w:rPr>
              <w:t>Statut</w:t>
            </w:r>
          </w:p>
        </w:tc>
      </w:tr>
      <w:tr w:rsidR="00D70C22" w:rsidRPr="00A76B7D" w:rsidTr="0060296F">
        <w:trPr>
          <w:gridAfter w:val="1"/>
          <w:wAfter w:w="10" w:type="dxa"/>
        </w:trPr>
        <w:tc>
          <w:tcPr>
            <w:tcW w:w="4719" w:type="dxa"/>
            <w:noWrap/>
            <w:tcMar>
              <w:top w:w="40" w:type="dxa"/>
              <w:left w:w="40" w:type="dxa"/>
              <w:bottom w:w="40" w:type="dxa"/>
              <w:right w:w="40" w:type="dxa"/>
            </w:tcMar>
          </w:tcPr>
          <w:p w:rsidR="00D70C22" w:rsidRPr="00A76B7D" w:rsidRDefault="00D70C22" w:rsidP="008215A5">
            <w:pPr>
              <w:ind w:left="113"/>
              <w:rPr>
                <w:rFonts w:ascii="Arial" w:hAnsi="Arial" w:cs="Arial"/>
                <w:bCs/>
                <w:sz w:val="22"/>
                <w:szCs w:val="22"/>
              </w:rPr>
            </w:pPr>
            <w:r>
              <w:rPr>
                <w:rFonts w:ascii="Arial" w:hAnsi="Arial"/>
                <w:sz w:val="22"/>
              </w:rPr>
              <w:t>(a) Rappeler</w:t>
            </w:r>
            <w:r w:rsidR="00E76FB1">
              <w:rPr>
                <w:rFonts w:ascii="Arial" w:hAnsi="Arial"/>
                <w:sz w:val="22"/>
              </w:rPr>
              <w:t xml:space="preserve"> régulièrement aux États </w:t>
            </w:r>
            <w:r>
              <w:rPr>
                <w:rFonts w:ascii="Arial" w:hAnsi="Arial"/>
                <w:sz w:val="22"/>
              </w:rPr>
              <w:t>de façon l</w:t>
            </w:r>
            <w:r w:rsidR="00E26E2A">
              <w:rPr>
                <w:rFonts w:ascii="Arial" w:hAnsi="Arial"/>
                <w:sz w:val="22"/>
              </w:rPr>
              <w:t>’</w:t>
            </w:r>
            <w:r>
              <w:rPr>
                <w:rFonts w:ascii="Arial" w:hAnsi="Arial"/>
                <w:sz w:val="22"/>
              </w:rPr>
              <w:t xml:space="preserve">existence du </w:t>
            </w:r>
            <w:r w:rsidR="00E76FB1">
              <w:rPr>
                <w:rFonts w:ascii="Arial" w:hAnsi="Arial"/>
                <w:sz w:val="22"/>
              </w:rPr>
              <w:t>S</w:t>
            </w:r>
            <w:r>
              <w:rPr>
                <w:rFonts w:ascii="Arial" w:hAnsi="Arial"/>
                <w:sz w:val="22"/>
              </w:rPr>
              <w:t xml:space="preserve">ous-fonds de la Convention. </w:t>
            </w:r>
          </w:p>
        </w:tc>
        <w:tc>
          <w:tcPr>
            <w:tcW w:w="1985" w:type="dxa"/>
            <w:noWrap/>
            <w:tcMar>
              <w:top w:w="40" w:type="dxa"/>
              <w:left w:w="40" w:type="dxa"/>
              <w:bottom w:w="40" w:type="dxa"/>
              <w:right w:w="40" w:type="dxa"/>
            </w:tcMar>
          </w:tcPr>
          <w:p w:rsidR="00D70C22" w:rsidRPr="00A76B7D" w:rsidRDefault="00D70C22" w:rsidP="008215A5">
            <w:pPr>
              <w:ind w:left="57"/>
              <w:rPr>
                <w:rFonts w:ascii="Arial" w:hAnsi="Arial" w:cs="Arial"/>
                <w:sz w:val="22"/>
                <w:szCs w:val="22"/>
              </w:rPr>
            </w:pPr>
            <w:r>
              <w:rPr>
                <w:rFonts w:ascii="Arial" w:hAnsi="Arial"/>
                <w:sz w:val="22"/>
              </w:rPr>
              <w:t>en cours</w:t>
            </w:r>
          </w:p>
        </w:tc>
        <w:tc>
          <w:tcPr>
            <w:tcW w:w="7653" w:type="dxa"/>
            <w:gridSpan w:val="2"/>
            <w:noWrap/>
            <w:tcMar>
              <w:top w:w="40" w:type="dxa"/>
              <w:left w:w="40" w:type="dxa"/>
              <w:bottom w:w="40" w:type="dxa"/>
              <w:right w:w="40" w:type="dxa"/>
            </w:tcMar>
          </w:tcPr>
          <w:p w:rsidR="00D70C22" w:rsidRPr="00A76B7D" w:rsidRDefault="00D70C22" w:rsidP="008215A5">
            <w:pPr>
              <w:pStyle w:val="ListParagraph"/>
              <w:numPr>
                <w:ilvl w:val="0"/>
                <w:numId w:val="16"/>
              </w:numPr>
              <w:ind w:left="470" w:hanging="357"/>
              <w:rPr>
                <w:rFonts w:ascii="Arial" w:hAnsi="Arial" w:cs="Arial"/>
                <w:b/>
                <w:sz w:val="22"/>
                <w:szCs w:val="22"/>
                <w:u w:val="single"/>
              </w:rPr>
            </w:pPr>
            <w:r>
              <w:rPr>
                <w:rFonts w:ascii="Arial" w:hAnsi="Arial"/>
                <w:sz w:val="22"/>
              </w:rPr>
              <w:t xml:space="preserve">Le Comité, lors de ses neuvième et dixième sessions, a </w:t>
            </w:r>
            <w:r w:rsidR="00E76FB1">
              <w:rPr>
                <w:rFonts w:ascii="Arial" w:hAnsi="Arial"/>
                <w:sz w:val="22"/>
              </w:rPr>
              <w:t xml:space="preserve">été </w:t>
            </w:r>
            <w:r>
              <w:rPr>
                <w:rFonts w:ascii="Arial" w:hAnsi="Arial"/>
                <w:sz w:val="22"/>
              </w:rPr>
              <w:t xml:space="preserve">rappelé et </w:t>
            </w:r>
            <w:r w:rsidR="00E76FB1">
              <w:rPr>
                <w:rFonts w:ascii="Arial" w:hAnsi="Arial"/>
                <w:sz w:val="22"/>
              </w:rPr>
              <w:t xml:space="preserve">a </w:t>
            </w:r>
            <w:r>
              <w:rPr>
                <w:rFonts w:ascii="Arial" w:hAnsi="Arial"/>
                <w:sz w:val="22"/>
              </w:rPr>
              <w:t>encouragé les États à contribuer tel qu</w:t>
            </w:r>
            <w:r w:rsidR="00E26E2A">
              <w:rPr>
                <w:rFonts w:ascii="Arial" w:hAnsi="Arial"/>
                <w:sz w:val="22"/>
              </w:rPr>
              <w:t>’</w:t>
            </w:r>
            <w:r>
              <w:rPr>
                <w:rFonts w:ascii="Arial" w:hAnsi="Arial"/>
                <w:sz w:val="22"/>
              </w:rPr>
              <w:t xml:space="preserve">indiqué dans la Décision 9.COM 7 et le </w:t>
            </w:r>
            <w:hyperlink r:id="rId31" w:history="1">
              <w:r w:rsidRPr="00B95496">
                <w:rPr>
                  <w:rStyle w:val="Hyperlink"/>
                  <w:rFonts w:ascii="Arial" w:hAnsi="Arial"/>
                  <w:sz w:val="22"/>
                </w:rPr>
                <w:t>Document ITH/15/10.COM/9</w:t>
              </w:r>
            </w:hyperlink>
            <w:r>
              <w:rPr>
                <w:rFonts w:ascii="Arial" w:hAnsi="Arial"/>
                <w:sz w:val="22"/>
              </w:rPr>
              <w:t>.</w:t>
            </w:r>
          </w:p>
        </w:tc>
      </w:tr>
      <w:tr w:rsidR="00D70C22" w:rsidRPr="00A76B7D" w:rsidTr="0060296F">
        <w:trPr>
          <w:gridAfter w:val="1"/>
          <w:wAfter w:w="10" w:type="dxa"/>
        </w:trPr>
        <w:tc>
          <w:tcPr>
            <w:tcW w:w="4719" w:type="dxa"/>
            <w:noWrap/>
            <w:tcMar>
              <w:top w:w="40" w:type="dxa"/>
              <w:left w:w="40" w:type="dxa"/>
              <w:bottom w:w="40" w:type="dxa"/>
              <w:right w:w="40" w:type="dxa"/>
            </w:tcMar>
          </w:tcPr>
          <w:p w:rsidR="00D70C22" w:rsidRPr="00A76B7D" w:rsidRDefault="00D70C22" w:rsidP="008215A5">
            <w:pPr>
              <w:ind w:left="113"/>
              <w:rPr>
                <w:rFonts w:ascii="Arial" w:hAnsi="Arial" w:cs="Arial"/>
                <w:sz w:val="22"/>
                <w:szCs w:val="22"/>
              </w:rPr>
            </w:pPr>
            <w:r>
              <w:rPr>
                <w:rFonts w:ascii="Arial" w:hAnsi="Arial"/>
                <w:sz w:val="22"/>
              </w:rPr>
              <w:t xml:space="preserve">(b) Conserver </w:t>
            </w:r>
            <w:r w:rsidR="00E76FB1">
              <w:rPr>
                <w:rFonts w:ascii="Arial" w:hAnsi="Arial"/>
                <w:sz w:val="22"/>
              </w:rPr>
              <w:t xml:space="preserve">le </w:t>
            </w:r>
            <w:r>
              <w:rPr>
                <w:rFonts w:ascii="Arial" w:hAnsi="Arial"/>
                <w:sz w:val="22"/>
              </w:rPr>
              <w:t>nombre réduit de 50 </w:t>
            </w:r>
            <w:r w:rsidR="00E76FB1">
              <w:rPr>
                <w:rFonts w:ascii="Arial" w:hAnsi="Arial"/>
                <w:sz w:val="22"/>
              </w:rPr>
              <w:t xml:space="preserve">dossiers </w:t>
            </w:r>
            <w:r>
              <w:rPr>
                <w:rFonts w:ascii="Arial" w:hAnsi="Arial"/>
                <w:sz w:val="22"/>
              </w:rPr>
              <w:t>par cycle.</w:t>
            </w:r>
          </w:p>
        </w:tc>
        <w:tc>
          <w:tcPr>
            <w:tcW w:w="1985" w:type="dxa"/>
            <w:noWrap/>
            <w:tcMar>
              <w:top w:w="40" w:type="dxa"/>
              <w:left w:w="40" w:type="dxa"/>
              <w:bottom w:w="40" w:type="dxa"/>
              <w:right w:w="40" w:type="dxa"/>
            </w:tcMar>
          </w:tcPr>
          <w:p w:rsidR="00D70C22" w:rsidRPr="00A76B7D" w:rsidRDefault="00D70C22" w:rsidP="008215A5">
            <w:pPr>
              <w:ind w:left="57"/>
              <w:rPr>
                <w:rFonts w:ascii="Arial" w:hAnsi="Arial" w:cs="Arial"/>
                <w:sz w:val="22"/>
                <w:szCs w:val="22"/>
              </w:rPr>
            </w:pPr>
            <w:r>
              <w:rPr>
                <w:rFonts w:ascii="Arial" w:hAnsi="Arial"/>
                <w:sz w:val="22"/>
              </w:rPr>
              <w:t>en cours</w:t>
            </w:r>
          </w:p>
        </w:tc>
        <w:tc>
          <w:tcPr>
            <w:tcW w:w="7653" w:type="dxa"/>
            <w:gridSpan w:val="2"/>
            <w:noWrap/>
            <w:tcMar>
              <w:top w:w="40" w:type="dxa"/>
              <w:left w:w="40" w:type="dxa"/>
              <w:bottom w:w="40" w:type="dxa"/>
              <w:right w:w="40" w:type="dxa"/>
            </w:tcMar>
          </w:tcPr>
          <w:p w:rsidR="00D70C22" w:rsidRPr="00A76B7D" w:rsidRDefault="00D70C22" w:rsidP="008215A5">
            <w:pPr>
              <w:pStyle w:val="ListParagraph"/>
              <w:numPr>
                <w:ilvl w:val="0"/>
                <w:numId w:val="16"/>
              </w:numPr>
              <w:ind w:left="470" w:hanging="357"/>
              <w:rPr>
                <w:rFonts w:ascii="Arial" w:hAnsi="Arial" w:cs="Arial"/>
                <w:sz w:val="22"/>
                <w:szCs w:val="22"/>
              </w:rPr>
            </w:pPr>
            <w:r>
              <w:rPr>
                <w:rFonts w:ascii="Arial" w:hAnsi="Arial"/>
                <w:sz w:val="22"/>
              </w:rPr>
              <w:t>Le Comité, lors de sa neuvième session, a prévu 50 </w:t>
            </w:r>
            <w:r w:rsidR="00E76FB1">
              <w:rPr>
                <w:rFonts w:ascii="Arial" w:hAnsi="Arial"/>
                <w:sz w:val="22"/>
              </w:rPr>
              <w:t xml:space="preserve">dossiers </w:t>
            </w:r>
            <w:r>
              <w:rPr>
                <w:rFonts w:ascii="Arial" w:hAnsi="Arial"/>
                <w:sz w:val="22"/>
              </w:rPr>
              <w:t>par cycle pour 2016 et 2017 (Décision 9.COM 12).</w:t>
            </w:r>
          </w:p>
          <w:p w:rsidR="00D70C22" w:rsidRPr="00A76B7D" w:rsidRDefault="00D70C22" w:rsidP="008215A5">
            <w:pPr>
              <w:pStyle w:val="ListParagraph"/>
              <w:numPr>
                <w:ilvl w:val="0"/>
                <w:numId w:val="16"/>
              </w:numPr>
              <w:ind w:left="470" w:hanging="357"/>
              <w:rPr>
                <w:rFonts w:ascii="Arial" w:hAnsi="Arial" w:cs="Arial"/>
                <w:sz w:val="22"/>
                <w:szCs w:val="22"/>
              </w:rPr>
            </w:pPr>
            <w:r>
              <w:rPr>
                <w:rFonts w:ascii="Arial" w:hAnsi="Arial"/>
                <w:sz w:val="22"/>
              </w:rPr>
              <w:t>Le Secrétariat propose au Comité d</w:t>
            </w:r>
            <w:r w:rsidR="00E26E2A">
              <w:rPr>
                <w:rFonts w:ascii="Arial" w:hAnsi="Arial"/>
                <w:sz w:val="22"/>
              </w:rPr>
              <w:t>’</w:t>
            </w:r>
            <w:r>
              <w:rPr>
                <w:rFonts w:ascii="Arial" w:hAnsi="Arial"/>
                <w:sz w:val="22"/>
              </w:rPr>
              <w:t>envisager 50 </w:t>
            </w:r>
            <w:r w:rsidR="00E76FB1">
              <w:rPr>
                <w:rFonts w:ascii="Arial" w:hAnsi="Arial"/>
                <w:sz w:val="22"/>
              </w:rPr>
              <w:t xml:space="preserve">dossiers </w:t>
            </w:r>
            <w:r>
              <w:rPr>
                <w:rFonts w:ascii="Arial" w:hAnsi="Arial"/>
                <w:sz w:val="22"/>
              </w:rPr>
              <w:t>par cycle pour 2017 et 2018 lors de sa dixième session.</w:t>
            </w:r>
          </w:p>
        </w:tc>
      </w:tr>
      <w:tr w:rsidR="00D70C22" w:rsidRPr="00A76B7D" w:rsidTr="0060296F">
        <w:trPr>
          <w:gridAfter w:val="1"/>
          <w:wAfter w:w="10" w:type="dxa"/>
        </w:trPr>
        <w:tc>
          <w:tcPr>
            <w:tcW w:w="4719" w:type="dxa"/>
            <w:tcBorders>
              <w:bottom w:val="single" w:sz="4" w:space="0" w:color="auto"/>
            </w:tcBorders>
            <w:noWrap/>
            <w:tcMar>
              <w:top w:w="40" w:type="dxa"/>
              <w:left w:w="40" w:type="dxa"/>
              <w:bottom w:w="40" w:type="dxa"/>
              <w:right w:w="40" w:type="dxa"/>
            </w:tcMar>
          </w:tcPr>
          <w:p w:rsidR="00D70C22" w:rsidRPr="00A76B7D" w:rsidRDefault="00D70C22" w:rsidP="008215A5">
            <w:pPr>
              <w:ind w:left="113"/>
              <w:rPr>
                <w:rFonts w:ascii="Arial" w:hAnsi="Arial" w:cs="Arial"/>
                <w:sz w:val="22"/>
                <w:szCs w:val="22"/>
              </w:rPr>
            </w:pPr>
            <w:r>
              <w:rPr>
                <w:rFonts w:ascii="Arial" w:hAnsi="Arial"/>
                <w:sz w:val="22"/>
              </w:rPr>
              <w:t>(c) Réduire le calendrier des sessions du Comité</w:t>
            </w:r>
          </w:p>
        </w:tc>
        <w:tc>
          <w:tcPr>
            <w:tcW w:w="1985" w:type="dxa"/>
            <w:tcBorders>
              <w:bottom w:val="single" w:sz="4" w:space="0" w:color="auto"/>
            </w:tcBorders>
            <w:noWrap/>
            <w:tcMar>
              <w:top w:w="40" w:type="dxa"/>
              <w:left w:w="40" w:type="dxa"/>
              <w:bottom w:w="40" w:type="dxa"/>
              <w:right w:w="40" w:type="dxa"/>
            </w:tcMar>
          </w:tcPr>
          <w:p w:rsidR="00D70C22" w:rsidRPr="00A76B7D" w:rsidRDefault="00D70C22" w:rsidP="008215A5">
            <w:pPr>
              <w:ind w:left="57"/>
              <w:rPr>
                <w:rFonts w:ascii="Arial" w:hAnsi="Arial" w:cs="Arial"/>
                <w:sz w:val="22"/>
                <w:szCs w:val="22"/>
              </w:rPr>
            </w:pPr>
            <w:r>
              <w:rPr>
                <w:rFonts w:ascii="Arial" w:hAnsi="Arial"/>
                <w:sz w:val="22"/>
              </w:rPr>
              <w:t>en cours</w:t>
            </w:r>
          </w:p>
        </w:tc>
        <w:tc>
          <w:tcPr>
            <w:tcW w:w="7653" w:type="dxa"/>
            <w:gridSpan w:val="2"/>
            <w:tcBorders>
              <w:bottom w:val="single" w:sz="4" w:space="0" w:color="auto"/>
            </w:tcBorders>
            <w:noWrap/>
            <w:tcMar>
              <w:top w:w="40" w:type="dxa"/>
              <w:left w:w="40" w:type="dxa"/>
              <w:bottom w:w="40" w:type="dxa"/>
              <w:right w:w="40" w:type="dxa"/>
            </w:tcMar>
          </w:tcPr>
          <w:p w:rsidR="00D70C22" w:rsidRPr="00A76B7D" w:rsidRDefault="00D70C22" w:rsidP="008215A5">
            <w:pPr>
              <w:pStyle w:val="ListParagraph"/>
              <w:numPr>
                <w:ilvl w:val="0"/>
                <w:numId w:val="16"/>
              </w:numPr>
              <w:ind w:left="470" w:hanging="357"/>
              <w:rPr>
                <w:rFonts w:ascii="Arial" w:hAnsi="Arial" w:cs="Arial"/>
                <w:sz w:val="22"/>
                <w:szCs w:val="22"/>
              </w:rPr>
            </w:pPr>
            <w:r>
              <w:rPr>
                <w:rFonts w:ascii="Arial" w:hAnsi="Arial"/>
                <w:sz w:val="22"/>
              </w:rPr>
              <w:t xml:space="preserve">Le Comité, lors de sa neuvième session, </w:t>
            </w:r>
            <w:r w:rsidR="00E76FB1">
              <w:rPr>
                <w:rFonts w:ascii="Arial" w:hAnsi="Arial"/>
                <w:sz w:val="22"/>
              </w:rPr>
              <w:t>par sa</w:t>
            </w:r>
            <w:r>
              <w:rPr>
                <w:rFonts w:ascii="Arial" w:hAnsi="Arial"/>
                <w:sz w:val="22"/>
              </w:rPr>
              <w:t xml:space="preserve"> Décision</w:t>
            </w:r>
            <w:r w:rsidR="00E76FB1">
              <w:rPr>
                <w:rFonts w:ascii="Arial" w:hAnsi="Arial"/>
                <w:sz w:val="22"/>
              </w:rPr>
              <w:t> </w:t>
            </w:r>
            <w:r>
              <w:rPr>
                <w:rFonts w:ascii="Arial" w:hAnsi="Arial"/>
                <w:sz w:val="22"/>
              </w:rPr>
              <w:t xml:space="preserve">9.COM13.g, a encouragé le Secrétariat à intensifier ses efforts quant à la coordination de réunions des États </w:t>
            </w:r>
            <w:r w:rsidR="00E76FB1">
              <w:rPr>
                <w:rFonts w:ascii="Arial" w:hAnsi="Arial"/>
                <w:sz w:val="22"/>
              </w:rPr>
              <w:t>p</w:t>
            </w:r>
            <w:r>
              <w:rPr>
                <w:rFonts w:ascii="Arial" w:hAnsi="Arial"/>
                <w:sz w:val="22"/>
              </w:rPr>
              <w:t xml:space="preserve">arties pour les différentes conventions, en veillant </w:t>
            </w:r>
            <w:r w:rsidR="00E76FB1">
              <w:rPr>
                <w:rFonts w:ascii="Arial" w:hAnsi="Arial"/>
                <w:sz w:val="22"/>
              </w:rPr>
              <w:t xml:space="preserve">plus particulièrement </w:t>
            </w:r>
            <w:r>
              <w:rPr>
                <w:rFonts w:ascii="Arial" w:hAnsi="Arial"/>
                <w:sz w:val="22"/>
              </w:rPr>
              <w:t>à les programmer bien à l</w:t>
            </w:r>
            <w:r w:rsidR="00E26E2A">
              <w:rPr>
                <w:rFonts w:ascii="Arial" w:hAnsi="Arial"/>
                <w:sz w:val="22"/>
              </w:rPr>
              <w:t>’</w:t>
            </w:r>
            <w:r>
              <w:rPr>
                <w:rFonts w:ascii="Arial" w:hAnsi="Arial"/>
                <w:sz w:val="22"/>
              </w:rPr>
              <w:t>avance et en laissant suffisamment de temps entre elles.</w:t>
            </w:r>
          </w:p>
          <w:p w:rsidR="00D70C22" w:rsidRPr="00A76B7D" w:rsidRDefault="00D70C22" w:rsidP="008215A5">
            <w:pPr>
              <w:pStyle w:val="ListParagraph"/>
              <w:numPr>
                <w:ilvl w:val="0"/>
                <w:numId w:val="16"/>
              </w:numPr>
              <w:ind w:left="470" w:hanging="357"/>
              <w:rPr>
                <w:rFonts w:ascii="Arial" w:hAnsi="Arial" w:cs="Arial"/>
                <w:sz w:val="22"/>
                <w:szCs w:val="22"/>
              </w:rPr>
            </w:pPr>
            <w:r>
              <w:rPr>
                <w:rFonts w:ascii="Arial" w:hAnsi="Arial"/>
                <w:sz w:val="22"/>
              </w:rPr>
              <w:t>La durée des neuvième et dixième sessions du Comité est de 5 jours (un jour de moins que la session précédente).</w:t>
            </w:r>
          </w:p>
          <w:p w:rsidR="00D70C22" w:rsidRPr="00A76B7D" w:rsidRDefault="00D70C22" w:rsidP="008215A5">
            <w:pPr>
              <w:pStyle w:val="ListParagraph"/>
              <w:numPr>
                <w:ilvl w:val="0"/>
                <w:numId w:val="16"/>
              </w:numPr>
              <w:ind w:left="470" w:hanging="357"/>
              <w:rPr>
                <w:rFonts w:ascii="Arial" w:hAnsi="Arial" w:cs="Arial"/>
                <w:sz w:val="22"/>
                <w:szCs w:val="22"/>
              </w:rPr>
            </w:pPr>
            <w:r>
              <w:rPr>
                <w:rFonts w:ascii="Arial" w:hAnsi="Arial"/>
                <w:sz w:val="22"/>
              </w:rPr>
              <w:t>Les accréditations des ONG ne seront pas abordées au cours de la session 9.COM mais seront incluses pour examen lors de la session 10.COM et au moins tous les deux ans par la suite.</w:t>
            </w:r>
          </w:p>
          <w:p w:rsidR="00D70C22" w:rsidRPr="00A76B7D" w:rsidRDefault="00D70C22" w:rsidP="008215A5">
            <w:pPr>
              <w:pStyle w:val="ListParagraph"/>
              <w:numPr>
                <w:ilvl w:val="0"/>
                <w:numId w:val="16"/>
              </w:numPr>
              <w:ind w:left="470" w:hanging="357"/>
              <w:rPr>
                <w:rFonts w:ascii="Arial" w:hAnsi="Arial" w:cs="Arial"/>
                <w:sz w:val="22"/>
                <w:szCs w:val="22"/>
              </w:rPr>
            </w:pPr>
            <w:r>
              <w:rPr>
                <w:rFonts w:ascii="Arial" w:hAnsi="Arial"/>
                <w:sz w:val="22"/>
              </w:rPr>
              <w:t>Les projets d</w:t>
            </w:r>
            <w:r w:rsidR="00E26E2A">
              <w:rPr>
                <w:rFonts w:ascii="Arial" w:hAnsi="Arial"/>
                <w:sz w:val="22"/>
              </w:rPr>
              <w:t>’</w:t>
            </w:r>
            <w:r>
              <w:rPr>
                <w:rFonts w:ascii="Arial" w:hAnsi="Arial"/>
                <w:sz w:val="22"/>
              </w:rPr>
              <w:t xml:space="preserve">amendements aux </w:t>
            </w:r>
            <w:r w:rsidR="00E76FB1">
              <w:rPr>
                <w:rFonts w:ascii="Arial" w:hAnsi="Arial"/>
                <w:sz w:val="22"/>
              </w:rPr>
              <w:t>D</w:t>
            </w:r>
            <w:r>
              <w:rPr>
                <w:rFonts w:ascii="Arial" w:hAnsi="Arial"/>
                <w:sz w:val="22"/>
              </w:rPr>
              <w:t>irectives opérationnelles concernant l</w:t>
            </w:r>
            <w:r w:rsidR="00E26E2A">
              <w:rPr>
                <w:rFonts w:ascii="Arial" w:hAnsi="Arial"/>
                <w:sz w:val="22"/>
              </w:rPr>
              <w:t>’</w:t>
            </w:r>
            <w:r>
              <w:rPr>
                <w:rFonts w:ascii="Arial" w:hAnsi="Arial"/>
                <w:sz w:val="22"/>
              </w:rPr>
              <w:t>agenda des accréditations des ONG seront traités par le Comité lors de sa dixième session et s</w:t>
            </w:r>
            <w:r w:rsidR="00E26E2A">
              <w:rPr>
                <w:rFonts w:ascii="Arial" w:hAnsi="Arial"/>
                <w:sz w:val="22"/>
              </w:rPr>
              <w:t>’</w:t>
            </w:r>
            <w:r>
              <w:rPr>
                <w:rFonts w:ascii="Arial" w:hAnsi="Arial"/>
                <w:sz w:val="22"/>
              </w:rPr>
              <w:t>ils sont approuvés, le Comité recommandera également à l</w:t>
            </w:r>
            <w:r w:rsidR="00E26E2A">
              <w:rPr>
                <w:rFonts w:ascii="Arial" w:hAnsi="Arial"/>
                <w:sz w:val="22"/>
              </w:rPr>
              <w:t>’</w:t>
            </w:r>
            <w:r>
              <w:rPr>
                <w:rFonts w:ascii="Arial" w:hAnsi="Arial"/>
                <w:sz w:val="22"/>
              </w:rPr>
              <w:t>Assemblée générale de les approuver en juin 2016.</w:t>
            </w:r>
          </w:p>
        </w:tc>
      </w:tr>
      <w:tr w:rsidR="00D70C22" w:rsidRPr="00A76B7D" w:rsidTr="0060296F">
        <w:trPr>
          <w:gridAfter w:val="1"/>
          <w:wAfter w:w="10" w:type="dxa"/>
        </w:trPr>
        <w:tc>
          <w:tcPr>
            <w:tcW w:w="4719" w:type="dxa"/>
            <w:tcBorders>
              <w:bottom w:val="single" w:sz="4" w:space="0" w:color="auto"/>
            </w:tcBorders>
            <w:noWrap/>
            <w:tcMar>
              <w:top w:w="40" w:type="dxa"/>
              <w:left w:w="40" w:type="dxa"/>
              <w:bottom w:w="40" w:type="dxa"/>
              <w:right w:w="40" w:type="dxa"/>
            </w:tcMar>
          </w:tcPr>
          <w:p w:rsidR="00D70C22" w:rsidRPr="00A76B7D" w:rsidRDefault="00D70C22" w:rsidP="008215A5">
            <w:pPr>
              <w:ind w:left="113"/>
              <w:rPr>
                <w:rFonts w:ascii="Arial" w:hAnsi="Arial" w:cs="Arial"/>
                <w:sz w:val="22"/>
                <w:szCs w:val="22"/>
              </w:rPr>
            </w:pPr>
            <w:r>
              <w:rPr>
                <w:rFonts w:ascii="Arial" w:hAnsi="Arial"/>
                <w:sz w:val="22"/>
              </w:rPr>
              <w:t xml:space="preserve">(d) Rappeler aux États que davantage de langues seront proposées seulement si un </w:t>
            </w:r>
            <w:r w:rsidRPr="00E26E2A">
              <w:rPr>
                <w:rFonts w:ascii="Arial" w:hAnsi="Arial"/>
                <w:sz w:val="22"/>
              </w:rPr>
              <w:t>financement extra</w:t>
            </w:r>
            <w:r w:rsidR="00075682" w:rsidRPr="00FD5402">
              <w:rPr>
                <w:rFonts w:ascii="Arial" w:hAnsi="Arial"/>
                <w:sz w:val="22"/>
              </w:rPr>
              <w:t xml:space="preserve"> </w:t>
            </w:r>
            <w:r w:rsidRPr="00A34D3E">
              <w:rPr>
                <w:rFonts w:ascii="Arial" w:hAnsi="Arial"/>
                <w:sz w:val="22"/>
              </w:rPr>
              <w:t>budgétaire est accordé.</w:t>
            </w:r>
          </w:p>
        </w:tc>
        <w:tc>
          <w:tcPr>
            <w:tcW w:w="1985" w:type="dxa"/>
            <w:tcBorders>
              <w:bottom w:val="single" w:sz="4" w:space="0" w:color="auto"/>
            </w:tcBorders>
            <w:noWrap/>
            <w:tcMar>
              <w:top w:w="40" w:type="dxa"/>
              <w:left w:w="40" w:type="dxa"/>
              <w:bottom w:w="40" w:type="dxa"/>
              <w:right w:w="40" w:type="dxa"/>
            </w:tcMar>
          </w:tcPr>
          <w:p w:rsidR="00D70C22" w:rsidRPr="00A76B7D" w:rsidRDefault="00D70C22" w:rsidP="008215A5">
            <w:pPr>
              <w:ind w:left="57"/>
              <w:rPr>
                <w:rFonts w:ascii="Arial" w:hAnsi="Arial" w:cs="Arial"/>
                <w:sz w:val="22"/>
                <w:szCs w:val="22"/>
              </w:rPr>
            </w:pPr>
            <w:r>
              <w:rPr>
                <w:rFonts w:ascii="Arial" w:hAnsi="Arial"/>
                <w:sz w:val="22"/>
              </w:rPr>
              <w:t>en cours</w:t>
            </w:r>
          </w:p>
        </w:tc>
        <w:tc>
          <w:tcPr>
            <w:tcW w:w="7653" w:type="dxa"/>
            <w:gridSpan w:val="2"/>
            <w:tcBorders>
              <w:bottom w:val="single" w:sz="4" w:space="0" w:color="auto"/>
            </w:tcBorders>
            <w:noWrap/>
            <w:tcMar>
              <w:top w:w="40" w:type="dxa"/>
              <w:left w:w="40" w:type="dxa"/>
              <w:bottom w:w="40" w:type="dxa"/>
              <w:right w:w="40" w:type="dxa"/>
            </w:tcMar>
          </w:tcPr>
          <w:p w:rsidR="00D70C22" w:rsidRPr="00A34D3E" w:rsidRDefault="00D70C22" w:rsidP="008215A5">
            <w:pPr>
              <w:pStyle w:val="ListParagraph"/>
              <w:numPr>
                <w:ilvl w:val="0"/>
                <w:numId w:val="16"/>
              </w:numPr>
              <w:ind w:left="470" w:hanging="357"/>
              <w:rPr>
                <w:rFonts w:ascii="Arial" w:hAnsi="Arial" w:cs="Arial"/>
                <w:b/>
                <w:sz w:val="22"/>
                <w:szCs w:val="22"/>
                <w:u w:val="single"/>
              </w:rPr>
            </w:pPr>
            <w:r>
              <w:rPr>
                <w:rFonts w:ascii="Arial" w:hAnsi="Arial"/>
                <w:sz w:val="22"/>
              </w:rPr>
              <w:t xml:space="preserve">Il a été rappelé aux États arabophones et hispanophones avant </w:t>
            </w:r>
            <w:proofErr w:type="gramStart"/>
            <w:r>
              <w:rPr>
                <w:rFonts w:ascii="Arial" w:hAnsi="Arial"/>
                <w:sz w:val="22"/>
              </w:rPr>
              <w:t>les neuvième</w:t>
            </w:r>
            <w:proofErr w:type="gramEnd"/>
            <w:r>
              <w:rPr>
                <w:rFonts w:ascii="Arial" w:hAnsi="Arial"/>
                <w:sz w:val="22"/>
              </w:rPr>
              <w:t xml:space="preserve"> et dixième sessions du Comité que des interprétations dans </w:t>
            </w:r>
            <w:r w:rsidR="007939BD">
              <w:rPr>
                <w:rFonts w:ascii="Arial" w:hAnsi="Arial"/>
                <w:sz w:val="22"/>
              </w:rPr>
              <w:t>des</w:t>
            </w:r>
            <w:r>
              <w:rPr>
                <w:rFonts w:ascii="Arial" w:hAnsi="Arial"/>
                <w:sz w:val="22"/>
              </w:rPr>
              <w:t xml:space="preserve"> langues </w:t>
            </w:r>
            <w:r w:rsidR="007939BD">
              <w:rPr>
                <w:rFonts w:ascii="Arial" w:hAnsi="Arial"/>
                <w:sz w:val="22"/>
              </w:rPr>
              <w:t xml:space="preserve">additionnelles </w:t>
            </w:r>
            <w:r>
              <w:rPr>
                <w:rFonts w:ascii="Arial" w:hAnsi="Arial"/>
                <w:sz w:val="22"/>
              </w:rPr>
              <w:t xml:space="preserve">seraient proposées si un </w:t>
            </w:r>
            <w:r w:rsidRPr="004F6E13">
              <w:rPr>
                <w:rFonts w:ascii="Arial" w:hAnsi="Arial"/>
                <w:sz w:val="22"/>
              </w:rPr>
              <w:t>financement extra</w:t>
            </w:r>
            <w:r w:rsidR="00075682" w:rsidRPr="00FD5402">
              <w:rPr>
                <w:rFonts w:ascii="Arial" w:hAnsi="Arial"/>
                <w:sz w:val="22"/>
              </w:rPr>
              <w:t xml:space="preserve"> </w:t>
            </w:r>
            <w:r w:rsidRPr="00A34D3E">
              <w:rPr>
                <w:rFonts w:ascii="Arial" w:hAnsi="Arial"/>
                <w:sz w:val="22"/>
              </w:rPr>
              <w:t>budgétaire était accordé.</w:t>
            </w:r>
          </w:p>
          <w:p w:rsidR="00D70C22" w:rsidRPr="00A76B7D" w:rsidRDefault="00D70C22" w:rsidP="008215A5">
            <w:pPr>
              <w:pStyle w:val="ListParagraph"/>
              <w:numPr>
                <w:ilvl w:val="0"/>
                <w:numId w:val="16"/>
              </w:numPr>
              <w:ind w:left="470" w:hanging="357"/>
              <w:rPr>
                <w:rFonts w:ascii="Arial" w:hAnsi="Arial" w:cs="Arial"/>
                <w:b/>
                <w:sz w:val="22"/>
                <w:szCs w:val="22"/>
                <w:u w:val="single"/>
              </w:rPr>
            </w:pPr>
            <w:r w:rsidRPr="00A34D3E">
              <w:rPr>
                <w:rFonts w:ascii="Arial" w:hAnsi="Arial"/>
                <w:sz w:val="22"/>
              </w:rPr>
              <w:t>L</w:t>
            </w:r>
            <w:r w:rsidR="00E26E2A">
              <w:rPr>
                <w:rFonts w:ascii="Arial" w:hAnsi="Arial"/>
                <w:sz w:val="22"/>
              </w:rPr>
              <w:t>’</w:t>
            </w:r>
            <w:r w:rsidRPr="00A34D3E">
              <w:rPr>
                <w:rFonts w:ascii="Arial" w:hAnsi="Arial"/>
                <w:sz w:val="22"/>
              </w:rPr>
              <w:t>Arabie Saoudite a généreusement financé l</w:t>
            </w:r>
            <w:r w:rsidR="00E26E2A">
              <w:rPr>
                <w:rFonts w:ascii="Arial" w:hAnsi="Arial"/>
                <w:sz w:val="22"/>
              </w:rPr>
              <w:t>’</w:t>
            </w:r>
            <w:r w:rsidRPr="00A34D3E">
              <w:rPr>
                <w:rFonts w:ascii="Arial" w:hAnsi="Arial"/>
                <w:sz w:val="22"/>
              </w:rPr>
              <w:t>interprétation en arabe de</w:t>
            </w:r>
            <w:r>
              <w:rPr>
                <w:rFonts w:ascii="Arial" w:hAnsi="Arial"/>
                <w:sz w:val="22"/>
              </w:rPr>
              <w:t xml:space="preserve"> la neuvième session du Comité.</w:t>
            </w:r>
          </w:p>
        </w:tc>
      </w:tr>
      <w:tr w:rsidR="00D70C22" w:rsidRPr="00A76B7D" w:rsidTr="0060296F">
        <w:trPr>
          <w:gridAfter w:val="1"/>
          <w:wAfter w:w="10" w:type="dxa"/>
        </w:trPr>
        <w:tc>
          <w:tcPr>
            <w:tcW w:w="4719" w:type="dxa"/>
            <w:shd w:val="clear" w:color="auto" w:fill="FFFFFF" w:themeFill="background1"/>
            <w:noWrap/>
            <w:tcMar>
              <w:top w:w="40" w:type="dxa"/>
              <w:left w:w="40" w:type="dxa"/>
              <w:bottom w:w="40" w:type="dxa"/>
              <w:right w:w="40" w:type="dxa"/>
            </w:tcMar>
          </w:tcPr>
          <w:p w:rsidR="00D70C22" w:rsidRPr="00A76B7D" w:rsidRDefault="00D70C22" w:rsidP="008215A5">
            <w:pPr>
              <w:ind w:left="113"/>
              <w:rPr>
                <w:rFonts w:ascii="Arial" w:hAnsi="Arial" w:cs="Arial"/>
                <w:sz w:val="22"/>
                <w:szCs w:val="22"/>
              </w:rPr>
            </w:pPr>
            <w:r>
              <w:rPr>
                <w:rFonts w:ascii="Arial" w:hAnsi="Arial"/>
                <w:sz w:val="22"/>
              </w:rPr>
              <w:t>(e) Les règles et règlements financiers existants de l</w:t>
            </w:r>
            <w:r w:rsidR="00E26E2A">
              <w:rPr>
                <w:rFonts w:ascii="Arial" w:hAnsi="Arial"/>
                <w:sz w:val="22"/>
              </w:rPr>
              <w:t>’</w:t>
            </w:r>
            <w:r>
              <w:rPr>
                <w:rFonts w:ascii="Arial" w:hAnsi="Arial"/>
                <w:sz w:val="22"/>
              </w:rPr>
              <w:t>Organisation et du Fonds du patrimoine culturel immatériel permettent l</w:t>
            </w:r>
            <w:r w:rsidR="00E26E2A">
              <w:rPr>
                <w:rFonts w:ascii="Arial" w:hAnsi="Arial"/>
                <w:sz w:val="22"/>
              </w:rPr>
              <w:t>’</w:t>
            </w:r>
            <w:r>
              <w:rPr>
                <w:rFonts w:ascii="Arial" w:hAnsi="Arial"/>
                <w:sz w:val="22"/>
              </w:rPr>
              <w:t>application de la politique de recouvrement des coûts.</w:t>
            </w:r>
          </w:p>
        </w:tc>
        <w:tc>
          <w:tcPr>
            <w:tcW w:w="1985" w:type="dxa"/>
            <w:shd w:val="clear" w:color="auto" w:fill="FFFFFF" w:themeFill="background1"/>
            <w:noWrap/>
            <w:tcMar>
              <w:top w:w="40" w:type="dxa"/>
              <w:left w:w="40" w:type="dxa"/>
              <w:bottom w:w="40" w:type="dxa"/>
              <w:right w:w="40" w:type="dxa"/>
            </w:tcMar>
          </w:tcPr>
          <w:p w:rsidR="00D70C22" w:rsidRPr="00A76B7D" w:rsidRDefault="00D70C22" w:rsidP="008215A5">
            <w:pPr>
              <w:rPr>
                <w:rFonts w:ascii="Arial" w:hAnsi="Arial" w:cs="Arial"/>
                <w:sz w:val="22"/>
                <w:szCs w:val="22"/>
              </w:rPr>
            </w:pPr>
          </w:p>
        </w:tc>
        <w:tc>
          <w:tcPr>
            <w:tcW w:w="7653" w:type="dxa"/>
            <w:gridSpan w:val="2"/>
            <w:shd w:val="clear" w:color="auto" w:fill="FFFFFF" w:themeFill="background1"/>
            <w:noWrap/>
            <w:tcMar>
              <w:top w:w="40" w:type="dxa"/>
              <w:left w:w="40" w:type="dxa"/>
              <w:bottom w:w="40" w:type="dxa"/>
              <w:right w:w="40" w:type="dxa"/>
            </w:tcMar>
          </w:tcPr>
          <w:p w:rsidR="00D70C22" w:rsidRPr="00A76B7D" w:rsidRDefault="00D70C22" w:rsidP="008215A5">
            <w:pPr>
              <w:pStyle w:val="ListParagraph"/>
              <w:numPr>
                <w:ilvl w:val="0"/>
                <w:numId w:val="16"/>
              </w:numPr>
              <w:ind w:left="470" w:hanging="357"/>
              <w:rPr>
                <w:rFonts w:ascii="Arial" w:hAnsi="Arial" w:cs="Arial"/>
                <w:sz w:val="22"/>
                <w:szCs w:val="22"/>
              </w:rPr>
            </w:pPr>
            <w:r>
              <w:rPr>
                <w:rFonts w:ascii="Arial" w:hAnsi="Arial"/>
                <w:sz w:val="22"/>
              </w:rPr>
              <w:t>Le Comité, au cours de la huitième session a pris note « </w:t>
            </w:r>
            <w:r w:rsidR="007939BD" w:rsidRPr="00FD5402">
              <w:rPr>
                <w:rFonts w:ascii="Arial" w:hAnsi="Arial"/>
                <w:sz w:val="22"/>
              </w:rPr>
              <w:t>de la politique de recouvrement des coûts de l</w:t>
            </w:r>
            <w:r w:rsidR="00E26E2A">
              <w:rPr>
                <w:rFonts w:ascii="Arial" w:hAnsi="Arial"/>
                <w:sz w:val="22"/>
              </w:rPr>
              <w:t>’</w:t>
            </w:r>
            <w:r w:rsidR="007939BD" w:rsidRPr="00FD5402">
              <w:rPr>
                <w:rFonts w:ascii="Arial" w:hAnsi="Arial"/>
                <w:sz w:val="22"/>
              </w:rPr>
              <w:t xml:space="preserve">Organisation (Manuel administratif, </w:t>
            </w:r>
            <w:hyperlink r:id="rId32" w:history="1">
              <w:r w:rsidR="007939BD" w:rsidRPr="00FD5402">
                <w:rPr>
                  <w:rFonts w:ascii="Arial" w:hAnsi="Arial"/>
                  <w:sz w:val="22"/>
                </w:rPr>
                <w:t>point 5.9</w:t>
              </w:r>
            </w:hyperlink>
            <w:r w:rsidR="007939BD" w:rsidRPr="00FD5402">
              <w:rPr>
                <w:rFonts w:ascii="Arial" w:hAnsi="Arial"/>
                <w:sz w:val="22"/>
              </w:rPr>
              <w:t xml:space="preserve">) ; et </w:t>
            </w:r>
            <w:r w:rsidR="007939BD">
              <w:rPr>
                <w:rFonts w:ascii="Arial" w:hAnsi="Arial"/>
                <w:sz w:val="22"/>
              </w:rPr>
              <w:t xml:space="preserve">[a </w:t>
            </w:r>
            <w:r w:rsidR="007939BD" w:rsidRPr="007939BD">
              <w:rPr>
                <w:rFonts w:ascii="Arial" w:hAnsi="Arial"/>
                <w:sz w:val="22"/>
              </w:rPr>
              <w:t>demand</w:t>
            </w:r>
            <w:r w:rsidR="007939BD">
              <w:rPr>
                <w:rFonts w:ascii="Arial" w:hAnsi="Arial"/>
                <w:sz w:val="22"/>
              </w:rPr>
              <w:t>é]</w:t>
            </w:r>
            <w:r w:rsidR="007939BD" w:rsidRPr="00FD5402">
              <w:rPr>
                <w:rFonts w:ascii="Arial" w:hAnsi="Arial"/>
                <w:sz w:val="22"/>
              </w:rPr>
              <w:t xml:space="preserve"> au Secrétariat d</w:t>
            </w:r>
            <w:r w:rsidR="00E26E2A">
              <w:rPr>
                <w:rFonts w:ascii="Arial" w:hAnsi="Arial"/>
                <w:sz w:val="22"/>
              </w:rPr>
              <w:t>’</w:t>
            </w:r>
            <w:r w:rsidR="007939BD" w:rsidRPr="00FD5402">
              <w:rPr>
                <w:rFonts w:ascii="Arial" w:hAnsi="Arial"/>
                <w:sz w:val="22"/>
              </w:rPr>
              <w:t>appliquer la politique de manière cohérente dans le cadre de l</w:t>
            </w:r>
            <w:r w:rsidR="00E26E2A">
              <w:rPr>
                <w:rFonts w:ascii="Arial" w:hAnsi="Arial"/>
                <w:sz w:val="22"/>
              </w:rPr>
              <w:t>’</w:t>
            </w:r>
            <w:r w:rsidR="007939BD" w:rsidRPr="00FD5402">
              <w:rPr>
                <w:rFonts w:ascii="Arial" w:hAnsi="Arial"/>
                <w:sz w:val="22"/>
              </w:rPr>
              <w:t>utilisation des ressources du Fonds</w:t>
            </w:r>
            <w:r w:rsidR="007939BD" w:rsidRPr="00B95467">
              <w:t> </w:t>
            </w:r>
            <w:r>
              <w:rPr>
                <w:rFonts w:ascii="Arial" w:hAnsi="Arial"/>
                <w:sz w:val="22"/>
              </w:rPr>
              <w:t xml:space="preserve"> [du patrimoine culturel immatériel] » (Décision 8.COM </w:t>
            </w:r>
            <w:r w:rsidR="007939BD">
              <w:rPr>
                <w:rFonts w:ascii="Arial" w:hAnsi="Arial"/>
                <w:sz w:val="22"/>
              </w:rPr>
              <w:t>11</w:t>
            </w:r>
            <w:r>
              <w:rPr>
                <w:rFonts w:ascii="Arial" w:hAnsi="Arial"/>
                <w:sz w:val="22"/>
              </w:rPr>
              <w:t>).</w:t>
            </w:r>
          </w:p>
          <w:p w:rsidR="00D70C22" w:rsidRPr="00A76B7D" w:rsidRDefault="00D70C22" w:rsidP="008215A5">
            <w:pPr>
              <w:pStyle w:val="ListParagraph"/>
              <w:numPr>
                <w:ilvl w:val="0"/>
                <w:numId w:val="16"/>
              </w:numPr>
              <w:ind w:left="470" w:hanging="357"/>
              <w:rPr>
                <w:rFonts w:ascii="Arial" w:hAnsi="Arial" w:cs="Arial"/>
                <w:b/>
                <w:sz w:val="22"/>
                <w:szCs w:val="22"/>
                <w:u w:val="single"/>
              </w:rPr>
            </w:pPr>
            <w:r>
              <w:rPr>
                <w:rFonts w:ascii="Arial" w:hAnsi="Arial"/>
                <w:sz w:val="22"/>
              </w:rPr>
              <w:t>Le Secrétariat a commencé à appliquer le recouvrement des coûts sur les Fonds alloués à l</w:t>
            </w:r>
            <w:r w:rsidR="00E26E2A">
              <w:rPr>
                <w:rFonts w:ascii="Arial" w:hAnsi="Arial"/>
                <w:sz w:val="22"/>
              </w:rPr>
              <w:t>’</w:t>
            </w:r>
            <w:r>
              <w:rPr>
                <w:rFonts w:ascii="Arial" w:hAnsi="Arial"/>
                <w:sz w:val="22"/>
              </w:rPr>
              <w:t xml:space="preserve">Assistance financière du Fonds du patrimoine culturel immatériel </w:t>
            </w:r>
            <w:r w:rsidR="001E3D6D" w:rsidRPr="00464203">
              <w:rPr>
                <w:rFonts w:ascii="Arial" w:hAnsi="Arial"/>
                <w:sz w:val="22"/>
              </w:rPr>
              <w:t>(</w:t>
            </w:r>
            <w:r w:rsidR="001E3D6D" w:rsidRPr="00464203">
              <w:rPr>
                <w:rFonts w:ascii="Arial" w:hAnsi="Arial"/>
                <w:b/>
                <w:sz w:val="22"/>
              </w:rPr>
              <w:t>action terminée</w:t>
            </w:r>
            <w:r w:rsidR="001E3D6D" w:rsidRPr="00464203">
              <w:rPr>
                <w:rFonts w:ascii="Arial" w:hAnsi="Arial"/>
                <w:sz w:val="22"/>
              </w:rPr>
              <w:t>).</w:t>
            </w:r>
          </w:p>
        </w:tc>
      </w:tr>
      <w:tr w:rsidR="00D70C22" w:rsidRPr="00A76B7D" w:rsidTr="0060296F">
        <w:tc>
          <w:tcPr>
            <w:tcW w:w="14367" w:type="dxa"/>
            <w:gridSpan w:val="5"/>
            <w:shd w:val="clear" w:color="auto" w:fill="E6E6E6"/>
            <w:noWrap/>
            <w:tcMar>
              <w:top w:w="40" w:type="dxa"/>
              <w:left w:w="40" w:type="dxa"/>
              <w:bottom w:w="40" w:type="dxa"/>
              <w:right w:w="40" w:type="dxa"/>
            </w:tcMar>
          </w:tcPr>
          <w:p w:rsidR="00D70C22" w:rsidRPr="00A76B7D" w:rsidRDefault="00D70C22" w:rsidP="008215A5">
            <w:pPr>
              <w:autoSpaceDE w:val="0"/>
              <w:autoSpaceDN w:val="0"/>
              <w:adjustRightInd w:val="0"/>
              <w:ind w:left="113" w:right="113"/>
              <w:jc w:val="both"/>
              <w:rPr>
                <w:rFonts w:ascii="Arial" w:hAnsi="Arial" w:cs="Arial"/>
                <w:b/>
                <w:sz w:val="22"/>
                <w:szCs w:val="22"/>
              </w:rPr>
            </w:pPr>
            <w:r>
              <w:rPr>
                <w:rFonts w:ascii="Arial" w:hAnsi="Arial"/>
                <w:b/>
                <w:sz w:val="22"/>
              </w:rPr>
              <w:t>Recommandation 2 : Nous recommandons aux secrétariats des Conventions d</w:t>
            </w:r>
            <w:r w:rsidR="00E26E2A">
              <w:rPr>
                <w:rFonts w:ascii="Arial" w:hAnsi="Arial"/>
                <w:b/>
                <w:sz w:val="22"/>
              </w:rPr>
              <w:t>’</w:t>
            </w:r>
            <w:r>
              <w:rPr>
                <w:rFonts w:ascii="Arial" w:hAnsi="Arial"/>
                <w:b/>
                <w:sz w:val="22"/>
              </w:rPr>
              <w:t>étudier le cas échéant des moyens plus efficaces d</w:t>
            </w:r>
            <w:r w:rsidR="00E26E2A">
              <w:rPr>
                <w:rFonts w:ascii="Arial" w:hAnsi="Arial"/>
                <w:b/>
                <w:sz w:val="22"/>
              </w:rPr>
              <w:t>’</w:t>
            </w:r>
            <w:r>
              <w:rPr>
                <w:rFonts w:ascii="Arial" w:hAnsi="Arial"/>
                <w:b/>
                <w:sz w:val="22"/>
              </w:rPr>
              <w:t>obtenir des services consultatifs et d</w:t>
            </w:r>
            <w:r w:rsidR="00E26E2A">
              <w:rPr>
                <w:rFonts w:ascii="Arial" w:hAnsi="Arial"/>
                <w:b/>
                <w:sz w:val="22"/>
              </w:rPr>
              <w:t>’</w:t>
            </w:r>
            <w:r>
              <w:rPr>
                <w:rFonts w:ascii="Arial" w:hAnsi="Arial"/>
                <w:b/>
                <w:sz w:val="22"/>
              </w:rPr>
              <w:t>envisager d</w:t>
            </w:r>
            <w:r w:rsidR="00E26E2A">
              <w:rPr>
                <w:rFonts w:ascii="Arial" w:hAnsi="Arial"/>
                <w:b/>
                <w:sz w:val="22"/>
              </w:rPr>
              <w:t>’</w:t>
            </w:r>
            <w:r>
              <w:rPr>
                <w:rFonts w:ascii="Arial" w:hAnsi="Arial"/>
                <w:b/>
                <w:sz w:val="22"/>
              </w:rPr>
              <w:t xml:space="preserve">éventuels mécanismes de </w:t>
            </w:r>
            <w:proofErr w:type="spellStart"/>
            <w:r>
              <w:rPr>
                <w:rFonts w:ascii="Arial" w:hAnsi="Arial"/>
                <w:b/>
                <w:sz w:val="22"/>
              </w:rPr>
              <w:t>rétrofacturation</w:t>
            </w:r>
            <w:proofErr w:type="spellEnd"/>
            <w:r>
              <w:rPr>
                <w:rFonts w:ascii="Arial" w:hAnsi="Arial"/>
                <w:b/>
                <w:sz w:val="22"/>
              </w:rPr>
              <w:t xml:space="preserve"> aux États parties soumettant des candidatures et/ou un fonds spécial, de formuler à l</w:t>
            </w:r>
            <w:r w:rsidR="00E26E2A">
              <w:rPr>
                <w:rFonts w:ascii="Arial" w:hAnsi="Arial"/>
                <w:b/>
                <w:sz w:val="22"/>
              </w:rPr>
              <w:t>’</w:t>
            </w:r>
            <w:r>
              <w:rPr>
                <w:rFonts w:ascii="Arial" w:hAnsi="Arial"/>
                <w:b/>
                <w:sz w:val="22"/>
              </w:rPr>
              <w:t>intention de leurs organes directeurs respectifs des propositions d</w:t>
            </w:r>
            <w:r w:rsidR="00E26E2A">
              <w:rPr>
                <w:rFonts w:ascii="Arial" w:hAnsi="Arial"/>
                <w:b/>
                <w:sz w:val="22"/>
              </w:rPr>
              <w:t>’</w:t>
            </w:r>
            <w:r>
              <w:rPr>
                <w:rFonts w:ascii="Arial" w:hAnsi="Arial"/>
                <w:b/>
                <w:sz w:val="22"/>
              </w:rPr>
              <w:t>économies possibles et de leur présenter des options financières durablement supportables pour les honoraires versés au titre des services consultatifs.</w:t>
            </w:r>
          </w:p>
        </w:tc>
      </w:tr>
      <w:tr w:rsidR="00D70C22" w:rsidRPr="00A76B7D" w:rsidTr="0060296F">
        <w:tc>
          <w:tcPr>
            <w:tcW w:w="4719" w:type="dxa"/>
            <w:tcBorders>
              <w:bottom w:val="single" w:sz="4" w:space="0" w:color="auto"/>
            </w:tcBorders>
            <w:noWrap/>
            <w:tcMar>
              <w:top w:w="40" w:type="dxa"/>
              <w:left w:w="40" w:type="dxa"/>
              <w:bottom w:w="40" w:type="dxa"/>
              <w:right w:w="40" w:type="dxa"/>
            </w:tcMar>
          </w:tcPr>
          <w:p w:rsidR="00D70C22" w:rsidRPr="00A76B7D" w:rsidRDefault="00D70C22" w:rsidP="008215A5">
            <w:pPr>
              <w:jc w:val="center"/>
              <w:rPr>
                <w:rFonts w:ascii="Arial" w:hAnsi="Arial" w:cs="Arial"/>
                <w:b/>
                <w:sz w:val="22"/>
                <w:szCs w:val="22"/>
              </w:rPr>
            </w:pPr>
            <w:r>
              <w:rPr>
                <w:rFonts w:ascii="Arial" w:hAnsi="Arial"/>
                <w:b/>
                <w:sz w:val="22"/>
              </w:rPr>
              <w:t>Actions planifiées</w:t>
            </w:r>
          </w:p>
        </w:tc>
        <w:tc>
          <w:tcPr>
            <w:tcW w:w="2127" w:type="dxa"/>
            <w:gridSpan w:val="2"/>
            <w:tcBorders>
              <w:bottom w:val="single" w:sz="4" w:space="0" w:color="auto"/>
            </w:tcBorders>
            <w:noWrap/>
            <w:tcMar>
              <w:top w:w="40" w:type="dxa"/>
              <w:left w:w="40" w:type="dxa"/>
              <w:bottom w:w="40" w:type="dxa"/>
              <w:right w:w="40" w:type="dxa"/>
            </w:tcMar>
          </w:tcPr>
          <w:p w:rsidR="00D70C22" w:rsidRPr="00A76B7D" w:rsidRDefault="00D70C22" w:rsidP="008215A5">
            <w:pPr>
              <w:jc w:val="center"/>
              <w:rPr>
                <w:rFonts w:ascii="Arial" w:hAnsi="Arial" w:cs="Arial"/>
                <w:b/>
                <w:sz w:val="22"/>
                <w:szCs w:val="22"/>
              </w:rPr>
            </w:pPr>
            <w:r>
              <w:rPr>
                <w:rFonts w:ascii="Arial" w:hAnsi="Arial"/>
                <w:b/>
                <w:sz w:val="22"/>
              </w:rPr>
              <w:t>Date prévue de mise en œuvre</w:t>
            </w:r>
          </w:p>
        </w:tc>
        <w:tc>
          <w:tcPr>
            <w:tcW w:w="7521" w:type="dxa"/>
            <w:gridSpan w:val="2"/>
            <w:tcBorders>
              <w:bottom w:val="single" w:sz="4" w:space="0" w:color="auto"/>
            </w:tcBorders>
            <w:noWrap/>
            <w:tcMar>
              <w:top w:w="40" w:type="dxa"/>
              <w:left w:w="40" w:type="dxa"/>
              <w:bottom w:w="40" w:type="dxa"/>
              <w:right w:w="40" w:type="dxa"/>
            </w:tcMar>
          </w:tcPr>
          <w:p w:rsidR="00D70C22" w:rsidRPr="00A76B7D" w:rsidRDefault="00D70C22" w:rsidP="008215A5">
            <w:pPr>
              <w:jc w:val="center"/>
              <w:rPr>
                <w:rFonts w:ascii="Arial" w:hAnsi="Arial" w:cs="Arial"/>
                <w:b/>
                <w:sz w:val="22"/>
                <w:szCs w:val="22"/>
              </w:rPr>
            </w:pPr>
            <w:r>
              <w:rPr>
                <w:rFonts w:ascii="Arial" w:hAnsi="Arial"/>
                <w:b/>
                <w:sz w:val="22"/>
              </w:rPr>
              <w:t>Statut</w:t>
            </w:r>
          </w:p>
        </w:tc>
      </w:tr>
      <w:tr w:rsidR="00D70C22" w:rsidRPr="00A76B7D" w:rsidTr="0060296F">
        <w:tc>
          <w:tcPr>
            <w:tcW w:w="4719" w:type="dxa"/>
            <w:shd w:val="clear" w:color="auto" w:fill="FFFFFF" w:themeFill="background1"/>
            <w:noWrap/>
            <w:tcMar>
              <w:top w:w="40" w:type="dxa"/>
              <w:left w:w="40" w:type="dxa"/>
              <w:bottom w:w="40" w:type="dxa"/>
              <w:right w:w="40" w:type="dxa"/>
            </w:tcMar>
          </w:tcPr>
          <w:p w:rsidR="00D70C22" w:rsidRPr="00297354" w:rsidRDefault="00D70C22" w:rsidP="008215A5">
            <w:pPr>
              <w:ind w:left="113"/>
              <w:rPr>
                <w:rFonts w:ascii="Arial" w:hAnsi="Arial" w:cs="Arial"/>
                <w:sz w:val="22"/>
                <w:szCs w:val="22"/>
              </w:rPr>
            </w:pPr>
            <w:r w:rsidRPr="004A0099">
              <w:rPr>
                <w:rFonts w:ascii="Arial" w:hAnsi="Arial" w:cs="Arial"/>
                <w:sz w:val="22"/>
                <w:szCs w:val="22"/>
              </w:rPr>
              <w:t>(e) Durant sa sixième session le Comité a pris note que « </w:t>
            </w:r>
            <w:r w:rsidR="007173C0" w:rsidRPr="008215A5">
              <w:rPr>
                <w:rFonts w:ascii="Arial" w:hAnsi="Arial" w:cs="Arial"/>
                <w:sz w:val="22"/>
                <w:szCs w:val="22"/>
              </w:rPr>
              <w:t>la consolidation de l</w:t>
            </w:r>
            <w:r w:rsidR="00E26E2A" w:rsidRPr="008215A5">
              <w:rPr>
                <w:rFonts w:ascii="Arial" w:hAnsi="Arial" w:cs="Arial"/>
                <w:sz w:val="22"/>
                <w:szCs w:val="22"/>
              </w:rPr>
              <w:t>’</w:t>
            </w:r>
            <w:r w:rsidR="007173C0" w:rsidRPr="008215A5">
              <w:rPr>
                <w:rFonts w:ascii="Arial" w:hAnsi="Arial" w:cs="Arial"/>
                <w:sz w:val="22"/>
                <w:szCs w:val="22"/>
              </w:rPr>
              <w:t>évaluation de toutes les candidatures au sein d</w:t>
            </w:r>
            <w:r w:rsidR="00E26E2A" w:rsidRPr="008215A5">
              <w:rPr>
                <w:rFonts w:ascii="Arial" w:hAnsi="Arial" w:cs="Arial"/>
                <w:sz w:val="22"/>
                <w:szCs w:val="22"/>
              </w:rPr>
              <w:t>’</w:t>
            </w:r>
            <w:r w:rsidR="007173C0" w:rsidRPr="008215A5">
              <w:rPr>
                <w:rFonts w:ascii="Arial" w:hAnsi="Arial" w:cs="Arial"/>
                <w:sz w:val="22"/>
                <w:szCs w:val="22"/>
              </w:rPr>
              <w:t>un seul organe permettrait de réaliser d</w:t>
            </w:r>
            <w:r w:rsidR="00E26E2A" w:rsidRPr="008215A5">
              <w:rPr>
                <w:rFonts w:ascii="Arial" w:hAnsi="Arial" w:cs="Arial"/>
                <w:sz w:val="22"/>
                <w:szCs w:val="22"/>
              </w:rPr>
              <w:t>’</w:t>
            </w:r>
            <w:r w:rsidR="007173C0" w:rsidRPr="008215A5">
              <w:rPr>
                <w:rFonts w:ascii="Arial" w:hAnsi="Arial" w:cs="Arial"/>
                <w:sz w:val="22"/>
                <w:szCs w:val="22"/>
              </w:rPr>
              <w:t>importantes économies tout en offrant d</w:t>
            </w:r>
            <w:r w:rsidR="00E26E2A" w:rsidRPr="008215A5">
              <w:rPr>
                <w:rFonts w:ascii="Arial" w:hAnsi="Arial" w:cs="Arial"/>
                <w:sz w:val="22"/>
                <w:szCs w:val="22"/>
              </w:rPr>
              <w:t>’</w:t>
            </w:r>
            <w:r w:rsidR="007173C0" w:rsidRPr="008215A5">
              <w:rPr>
                <w:rFonts w:ascii="Arial" w:hAnsi="Arial" w:cs="Arial"/>
                <w:sz w:val="22"/>
                <w:szCs w:val="22"/>
              </w:rPr>
              <w:t>autres avantages ; réaffirme sa recommandation à l</w:t>
            </w:r>
            <w:r w:rsidR="00E26E2A" w:rsidRPr="008215A5">
              <w:rPr>
                <w:rFonts w:ascii="Arial" w:hAnsi="Arial" w:cs="Arial"/>
                <w:sz w:val="22"/>
                <w:szCs w:val="22"/>
              </w:rPr>
              <w:t>’</w:t>
            </w:r>
            <w:r w:rsidR="007173C0" w:rsidRPr="008215A5">
              <w:rPr>
                <w:rFonts w:ascii="Arial" w:hAnsi="Arial" w:cs="Arial"/>
                <w:sz w:val="22"/>
                <w:szCs w:val="22"/>
              </w:rPr>
              <w:t>Assemblée générale en ce sens (Décision 6.COM 15) ; et considère en outre que d</w:t>
            </w:r>
            <w:r w:rsidR="00E26E2A" w:rsidRPr="008215A5">
              <w:rPr>
                <w:rFonts w:ascii="Arial" w:hAnsi="Arial" w:cs="Arial"/>
                <w:sz w:val="22"/>
                <w:szCs w:val="22"/>
              </w:rPr>
              <w:t>’</w:t>
            </w:r>
            <w:r w:rsidR="007173C0" w:rsidRPr="008215A5">
              <w:rPr>
                <w:rFonts w:ascii="Arial" w:hAnsi="Arial" w:cs="Arial"/>
                <w:sz w:val="22"/>
                <w:szCs w:val="22"/>
              </w:rPr>
              <w:t xml:space="preserve">éventuels mécanismes de </w:t>
            </w:r>
            <w:proofErr w:type="spellStart"/>
            <w:r w:rsidR="007173C0" w:rsidRPr="008215A5">
              <w:rPr>
                <w:rFonts w:ascii="Arial" w:hAnsi="Arial" w:cs="Arial"/>
                <w:sz w:val="22"/>
                <w:szCs w:val="22"/>
              </w:rPr>
              <w:t>rétrofacturation</w:t>
            </w:r>
            <w:proofErr w:type="spellEnd"/>
            <w:r w:rsidR="007173C0" w:rsidRPr="008215A5">
              <w:rPr>
                <w:rFonts w:ascii="Arial" w:hAnsi="Arial" w:cs="Arial"/>
                <w:sz w:val="22"/>
                <w:szCs w:val="22"/>
              </w:rPr>
              <w:t xml:space="preserve"> aux États parties soumettant des candidatures et/ou des fonds  spéciaux affectés à cette fin, tels que suggérés dans la Recommandation 2, ne seraient par conséquent pas nécessaires.</w:t>
            </w:r>
            <w:r w:rsidRPr="004A0099">
              <w:rPr>
                <w:rFonts w:ascii="Arial" w:hAnsi="Arial" w:cs="Arial"/>
                <w:sz w:val="22"/>
                <w:szCs w:val="22"/>
              </w:rPr>
              <w:t>» (Décision 8.COM 5.c.2).</w:t>
            </w:r>
          </w:p>
        </w:tc>
        <w:tc>
          <w:tcPr>
            <w:tcW w:w="2127" w:type="dxa"/>
            <w:gridSpan w:val="2"/>
            <w:shd w:val="clear" w:color="auto" w:fill="FFFFFF" w:themeFill="background1"/>
            <w:noWrap/>
            <w:tcMar>
              <w:top w:w="40" w:type="dxa"/>
              <w:left w:w="40" w:type="dxa"/>
              <w:bottom w:w="40" w:type="dxa"/>
              <w:right w:w="40" w:type="dxa"/>
            </w:tcMar>
          </w:tcPr>
          <w:p w:rsidR="00D70C22" w:rsidRPr="00A76B7D" w:rsidRDefault="00D70C22" w:rsidP="008215A5">
            <w:pPr>
              <w:rPr>
                <w:rFonts w:ascii="Arial" w:hAnsi="Arial" w:cs="Arial"/>
                <w:sz w:val="22"/>
                <w:szCs w:val="22"/>
              </w:rPr>
            </w:pPr>
            <w:r>
              <w:rPr>
                <w:rFonts w:ascii="Arial" w:hAnsi="Arial"/>
                <w:sz w:val="22"/>
              </w:rPr>
              <w:t>Novembre 2014</w:t>
            </w:r>
          </w:p>
        </w:tc>
        <w:tc>
          <w:tcPr>
            <w:tcW w:w="7521" w:type="dxa"/>
            <w:gridSpan w:val="2"/>
            <w:shd w:val="clear" w:color="auto" w:fill="FFFFFF" w:themeFill="background1"/>
            <w:noWrap/>
            <w:tcMar>
              <w:top w:w="40" w:type="dxa"/>
              <w:left w:w="40" w:type="dxa"/>
              <w:bottom w:w="40" w:type="dxa"/>
              <w:right w:w="40" w:type="dxa"/>
            </w:tcMar>
          </w:tcPr>
          <w:p w:rsidR="00D70C22" w:rsidRPr="00A76B7D" w:rsidRDefault="00D70C22" w:rsidP="008215A5">
            <w:pPr>
              <w:pStyle w:val="ListParagraph"/>
              <w:numPr>
                <w:ilvl w:val="0"/>
                <w:numId w:val="16"/>
              </w:numPr>
              <w:ind w:left="470" w:hanging="357"/>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 xml:space="preserve">Assemblée générale, lors de sa cinquième session, a adopté </w:t>
            </w:r>
            <w:r w:rsidR="007173C0">
              <w:rPr>
                <w:rFonts w:ascii="Arial" w:hAnsi="Arial"/>
                <w:sz w:val="22"/>
              </w:rPr>
              <w:t xml:space="preserve">des </w:t>
            </w:r>
            <w:r>
              <w:rPr>
                <w:rFonts w:ascii="Arial" w:hAnsi="Arial"/>
                <w:sz w:val="22"/>
              </w:rPr>
              <w:t xml:space="preserve">amendements </w:t>
            </w:r>
            <w:r w:rsidR="007173C0">
              <w:rPr>
                <w:rFonts w:ascii="Arial" w:hAnsi="Arial"/>
                <w:sz w:val="22"/>
              </w:rPr>
              <w:t xml:space="preserve">aux Directives </w:t>
            </w:r>
            <w:r>
              <w:rPr>
                <w:rFonts w:ascii="Arial" w:hAnsi="Arial"/>
                <w:sz w:val="22"/>
              </w:rPr>
              <w:t>opérationnelles afin d</w:t>
            </w:r>
            <w:r w:rsidR="00E26E2A">
              <w:rPr>
                <w:rFonts w:ascii="Arial" w:hAnsi="Arial"/>
                <w:sz w:val="22"/>
              </w:rPr>
              <w:t>’</w:t>
            </w:r>
            <w:r>
              <w:rPr>
                <w:rFonts w:ascii="Arial" w:hAnsi="Arial"/>
                <w:sz w:val="22"/>
              </w:rPr>
              <w:t>établir un seul Organe d</w:t>
            </w:r>
            <w:r w:rsidR="00E26E2A">
              <w:rPr>
                <w:rFonts w:ascii="Arial" w:hAnsi="Arial"/>
                <w:sz w:val="22"/>
              </w:rPr>
              <w:t>’</w:t>
            </w:r>
            <w:r>
              <w:rPr>
                <w:rFonts w:ascii="Arial" w:hAnsi="Arial"/>
                <w:sz w:val="22"/>
              </w:rPr>
              <w:t>évaluation (Résolutions  5.GA  5.1).</w:t>
            </w:r>
          </w:p>
          <w:p w:rsidR="00D70C22" w:rsidRPr="00A76B7D" w:rsidRDefault="00D70C22" w:rsidP="008215A5">
            <w:pPr>
              <w:pStyle w:val="ListParagraph"/>
              <w:numPr>
                <w:ilvl w:val="0"/>
                <w:numId w:val="16"/>
              </w:numPr>
              <w:ind w:left="470" w:hanging="357"/>
              <w:rPr>
                <w:rFonts w:ascii="Arial" w:hAnsi="Arial" w:cs="Arial"/>
                <w:b/>
                <w:sz w:val="22"/>
                <w:szCs w:val="22"/>
                <w:u w:val="single"/>
              </w:rPr>
            </w:pPr>
            <w:r>
              <w:rPr>
                <w:rFonts w:ascii="Arial" w:hAnsi="Arial"/>
                <w:sz w:val="22"/>
              </w:rPr>
              <w:t>Établi en novembre 2014, le premier Organe d</w:t>
            </w:r>
            <w:r w:rsidR="00E26E2A">
              <w:rPr>
                <w:rFonts w:ascii="Arial" w:hAnsi="Arial"/>
                <w:sz w:val="22"/>
              </w:rPr>
              <w:t>’</w:t>
            </w:r>
            <w:r>
              <w:rPr>
                <w:rFonts w:ascii="Arial" w:hAnsi="Arial"/>
                <w:sz w:val="22"/>
              </w:rPr>
              <w:t xml:space="preserve">évaluation (Décision 9.COM 11) a évalué les </w:t>
            </w:r>
            <w:r w:rsidR="007173C0">
              <w:rPr>
                <w:rFonts w:ascii="Arial" w:hAnsi="Arial"/>
                <w:sz w:val="22"/>
              </w:rPr>
              <w:t xml:space="preserve">dossiers </w:t>
            </w:r>
            <w:r>
              <w:rPr>
                <w:rFonts w:ascii="Arial" w:hAnsi="Arial"/>
                <w:sz w:val="22"/>
              </w:rPr>
              <w:t>d</w:t>
            </w:r>
            <w:r w:rsidR="007173C0">
              <w:rPr>
                <w:rFonts w:ascii="Arial" w:hAnsi="Arial"/>
                <w:sz w:val="22"/>
              </w:rPr>
              <w:t>u cycle</w:t>
            </w:r>
            <w:r>
              <w:rPr>
                <w:rFonts w:ascii="Arial" w:hAnsi="Arial"/>
                <w:sz w:val="22"/>
              </w:rPr>
              <w:t xml:space="preserve"> 2015 </w:t>
            </w:r>
            <w:r w:rsidR="001E3D6D" w:rsidRPr="00464203">
              <w:rPr>
                <w:rFonts w:ascii="Arial" w:hAnsi="Arial"/>
                <w:sz w:val="22"/>
              </w:rPr>
              <w:t>(</w:t>
            </w:r>
            <w:r w:rsidR="001E3D6D" w:rsidRPr="00464203">
              <w:rPr>
                <w:rFonts w:ascii="Arial" w:hAnsi="Arial"/>
                <w:b/>
                <w:sz w:val="22"/>
              </w:rPr>
              <w:t>action terminée</w:t>
            </w:r>
            <w:r w:rsidR="001E3D6D" w:rsidRPr="00464203">
              <w:rPr>
                <w:rFonts w:ascii="Arial" w:hAnsi="Arial"/>
                <w:sz w:val="22"/>
              </w:rPr>
              <w:t>).</w:t>
            </w:r>
          </w:p>
        </w:tc>
      </w:tr>
      <w:tr w:rsidR="00D70C22" w:rsidRPr="00A76B7D" w:rsidTr="0060296F">
        <w:tc>
          <w:tcPr>
            <w:tcW w:w="14367" w:type="dxa"/>
            <w:gridSpan w:val="5"/>
            <w:shd w:val="clear" w:color="auto" w:fill="E6E6E6"/>
            <w:noWrap/>
            <w:tcMar>
              <w:top w:w="40" w:type="dxa"/>
              <w:left w:w="40" w:type="dxa"/>
              <w:bottom w:w="40" w:type="dxa"/>
              <w:right w:w="40" w:type="dxa"/>
            </w:tcMar>
          </w:tcPr>
          <w:p w:rsidR="00D70C22" w:rsidRPr="00A76B7D" w:rsidRDefault="00D70C22" w:rsidP="008215A5">
            <w:pPr>
              <w:keepNext/>
              <w:pageBreakBefore/>
              <w:autoSpaceDE w:val="0"/>
              <w:autoSpaceDN w:val="0"/>
              <w:adjustRightInd w:val="0"/>
              <w:spacing w:before="120" w:after="120"/>
              <w:ind w:left="113" w:right="113"/>
              <w:jc w:val="both"/>
              <w:rPr>
                <w:rFonts w:ascii="Arial" w:hAnsi="Arial" w:cs="Arial"/>
                <w:b/>
                <w:sz w:val="22"/>
                <w:szCs w:val="22"/>
              </w:rPr>
            </w:pPr>
            <w:r>
              <w:rPr>
                <w:rFonts w:ascii="Arial" w:hAnsi="Arial"/>
                <w:b/>
                <w:sz w:val="22"/>
              </w:rPr>
              <w:t xml:space="preserve">Recommandation 3 : Nous recommandons </w:t>
            </w:r>
            <w:r w:rsidR="008E4A7A">
              <w:rPr>
                <w:rFonts w:ascii="Arial" w:hAnsi="Arial"/>
                <w:b/>
                <w:sz w:val="22"/>
              </w:rPr>
              <w:t>au</w:t>
            </w:r>
            <w:r>
              <w:rPr>
                <w:rFonts w:ascii="Arial" w:hAnsi="Arial"/>
                <w:b/>
                <w:sz w:val="22"/>
              </w:rPr>
              <w:t xml:space="preserve"> Secteur CLT </w:t>
            </w:r>
            <w:r w:rsidR="008E4A7A">
              <w:rPr>
                <w:rFonts w:ascii="Arial" w:hAnsi="Arial"/>
                <w:b/>
                <w:sz w:val="22"/>
              </w:rPr>
              <w:t>d</w:t>
            </w:r>
            <w:r w:rsidR="00E26E2A">
              <w:rPr>
                <w:rFonts w:ascii="Arial" w:hAnsi="Arial"/>
                <w:b/>
                <w:sz w:val="22"/>
              </w:rPr>
              <w:t>’</w:t>
            </w:r>
            <w:r w:rsidR="008E4A7A">
              <w:rPr>
                <w:rFonts w:ascii="Arial" w:hAnsi="Arial"/>
                <w:b/>
                <w:sz w:val="22"/>
              </w:rPr>
              <w:t xml:space="preserve">élargir </w:t>
            </w:r>
            <w:r>
              <w:rPr>
                <w:rFonts w:ascii="Arial" w:hAnsi="Arial"/>
                <w:b/>
                <w:sz w:val="22"/>
              </w:rPr>
              <w:t xml:space="preserve">son unité logistique commune pour y inclure des services supplémentaires apportant une valeur ajoutée et en offrant des solutions économiquement rationnelles </w:t>
            </w:r>
            <w:r w:rsidR="008E4A7A">
              <w:rPr>
                <w:rFonts w:ascii="Arial" w:hAnsi="Arial"/>
                <w:b/>
                <w:sz w:val="22"/>
              </w:rPr>
              <w:t>afin d</w:t>
            </w:r>
            <w:r w:rsidR="00E26E2A">
              <w:rPr>
                <w:rFonts w:ascii="Arial" w:hAnsi="Arial"/>
                <w:b/>
                <w:sz w:val="22"/>
              </w:rPr>
              <w:t>’</w:t>
            </w:r>
            <w:r>
              <w:rPr>
                <w:rFonts w:ascii="Arial" w:hAnsi="Arial"/>
                <w:b/>
                <w:sz w:val="22"/>
              </w:rPr>
              <w:t>appuyer le travail de tous les secrétariats des conventions.  La plate-forme peut fonctionner sous la conduite du Groupe de liaison des conventions culturelles.</w:t>
            </w:r>
          </w:p>
        </w:tc>
      </w:tr>
      <w:tr w:rsidR="00D70C22" w:rsidRPr="00A76B7D" w:rsidTr="0060296F">
        <w:trPr>
          <w:gridAfter w:val="1"/>
          <w:wAfter w:w="10" w:type="dxa"/>
        </w:trPr>
        <w:tc>
          <w:tcPr>
            <w:tcW w:w="4719" w:type="dxa"/>
            <w:tcBorders>
              <w:bottom w:val="single" w:sz="4" w:space="0" w:color="auto"/>
            </w:tcBorders>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2127" w:type="dxa"/>
            <w:gridSpan w:val="2"/>
            <w:tcBorders>
              <w:bottom w:val="single" w:sz="4" w:space="0" w:color="auto"/>
            </w:tcBorders>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511" w:type="dxa"/>
            <w:tcBorders>
              <w:bottom w:val="single" w:sz="4" w:space="0" w:color="auto"/>
            </w:tcBorders>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rPr>
          <w:gridAfter w:val="1"/>
          <w:wAfter w:w="10" w:type="dxa"/>
        </w:trPr>
        <w:tc>
          <w:tcPr>
            <w:tcW w:w="4719" w:type="dxa"/>
            <w:shd w:val="clear" w:color="auto" w:fill="FFFFFF" w:themeFill="background1"/>
            <w:noWrap/>
            <w:tcMar>
              <w:top w:w="40" w:type="dxa"/>
              <w:left w:w="40" w:type="dxa"/>
              <w:bottom w:w="40" w:type="dxa"/>
              <w:right w:w="40" w:type="dxa"/>
            </w:tcMar>
          </w:tcPr>
          <w:p w:rsidR="00D70C22" w:rsidRPr="00A76B7D" w:rsidRDefault="00D70C22" w:rsidP="008215A5">
            <w:pPr>
              <w:spacing w:before="120" w:after="120"/>
              <w:ind w:left="113" w:right="113"/>
              <w:rPr>
                <w:rFonts w:ascii="Arial" w:hAnsi="Arial" w:cs="Arial"/>
                <w:sz w:val="22"/>
                <w:szCs w:val="22"/>
              </w:rPr>
            </w:pPr>
            <w:r>
              <w:rPr>
                <w:rFonts w:ascii="Arial" w:hAnsi="Arial"/>
                <w:sz w:val="22"/>
              </w:rPr>
              <w:t>Établir une plate-forme des services communs des conventions culturelles</w:t>
            </w:r>
            <w:r w:rsidR="009877B0">
              <w:rPr>
                <w:rFonts w:ascii="Arial" w:hAnsi="Arial"/>
                <w:sz w:val="22"/>
              </w:rPr>
              <w:t>.</w:t>
            </w:r>
          </w:p>
        </w:tc>
        <w:tc>
          <w:tcPr>
            <w:tcW w:w="2127" w:type="dxa"/>
            <w:gridSpan w:val="2"/>
            <w:shd w:val="clear" w:color="auto" w:fill="FFFFFF" w:themeFill="background1"/>
            <w:noWrap/>
            <w:tcMar>
              <w:top w:w="40" w:type="dxa"/>
              <w:left w:w="40" w:type="dxa"/>
              <w:bottom w:w="40" w:type="dxa"/>
              <w:right w:w="40" w:type="dxa"/>
            </w:tcMar>
          </w:tcPr>
          <w:p w:rsidR="00D70C22" w:rsidRPr="00A76B7D" w:rsidRDefault="00297354" w:rsidP="008215A5">
            <w:pPr>
              <w:spacing w:before="120" w:after="120"/>
              <w:ind w:left="57"/>
              <w:rPr>
                <w:rFonts w:ascii="Arial" w:hAnsi="Arial" w:cs="Arial"/>
                <w:sz w:val="22"/>
                <w:szCs w:val="22"/>
              </w:rPr>
            </w:pPr>
            <w:r>
              <w:rPr>
                <w:rFonts w:ascii="Arial" w:hAnsi="Arial"/>
                <w:sz w:val="22"/>
              </w:rPr>
              <w:t>j</w:t>
            </w:r>
            <w:r w:rsidR="00D70C22">
              <w:rPr>
                <w:rFonts w:ascii="Arial" w:hAnsi="Arial"/>
                <w:sz w:val="22"/>
              </w:rPr>
              <w:t>uillet 2014</w:t>
            </w:r>
          </w:p>
        </w:tc>
        <w:tc>
          <w:tcPr>
            <w:tcW w:w="7511" w:type="dxa"/>
            <w:shd w:val="clear" w:color="auto" w:fill="FFFFFF" w:themeFill="background1"/>
            <w:noWrap/>
            <w:tcMar>
              <w:top w:w="40" w:type="dxa"/>
              <w:left w:w="40" w:type="dxa"/>
              <w:bottom w:w="40" w:type="dxa"/>
              <w:right w:w="40" w:type="dxa"/>
            </w:tcMar>
          </w:tcPr>
          <w:p w:rsidR="00D70C22" w:rsidRPr="00A76B7D" w:rsidRDefault="009877B0"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L</w:t>
            </w:r>
            <w:r w:rsidR="00E26E2A">
              <w:rPr>
                <w:rFonts w:ascii="Arial" w:hAnsi="Arial"/>
                <w:sz w:val="22"/>
              </w:rPr>
              <w:t>’</w:t>
            </w:r>
            <w:r>
              <w:rPr>
                <w:rFonts w:ascii="Arial" w:hAnsi="Arial"/>
                <w:sz w:val="22"/>
              </w:rPr>
              <w:t>Unité des services communs</w:t>
            </w:r>
            <w:r w:rsidR="00D70C22">
              <w:rPr>
                <w:rFonts w:ascii="Arial" w:hAnsi="Arial"/>
                <w:sz w:val="22"/>
              </w:rPr>
              <w:t xml:space="preserve"> des conventions culturelles (</w:t>
            </w:r>
            <w:r>
              <w:rPr>
                <w:rFonts w:ascii="Arial" w:hAnsi="Arial"/>
                <w:sz w:val="22"/>
              </w:rPr>
              <w:t>CLT/CCS</w:t>
            </w:r>
            <w:r w:rsidR="00D70C22">
              <w:rPr>
                <w:rFonts w:ascii="Arial" w:hAnsi="Arial"/>
                <w:sz w:val="22"/>
              </w:rPr>
              <w:t xml:space="preserve">) établi en </w:t>
            </w:r>
            <w:r>
              <w:rPr>
                <w:rFonts w:ascii="Arial" w:hAnsi="Arial"/>
                <w:sz w:val="22"/>
              </w:rPr>
              <w:t>juillet</w:t>
            </w:r>
            <w:r w:rsidR="00D70C22">
              <w:rPr>
                <w:rFonts w:ascii="Arial" w:hAnsi="Arial"/>
                <w:sz w:val="22"/>
              </w:rPr>
              <w:t xml:space="preserve">2014 </w:t>
            </w:r>
            <w:r w:rsidR="001E3D6D" w:rsidRPr="00464203">
              <w:rPr>
                <w:rFonts w:ascii="Arial" w:hAnsi="Arial"/>
                <w:sz w:val="22"/>
              </w:rPr>
              <w:t>(</w:t>
            </w:r>
            <w:r w:rsidR="001E3D6D" w:rsidRPr="00464203">
              <w:rPr>
                <w:rFonts w:ascii="Arial" w:hAnsi="Arial"/>
                <w:b/>
                <w:sz w:val="22"/>
              </w:rPr>
              <w:t>action terminée</w:t>
            </w:r>
            <w:r w:rsidR="001E3D6D" w:rsidRPr="00464203">
              <w:rPr>
                <w:rFonts w:ascii="Arial" w:hAnsi="Arial"/>
                <w:sz w:val="22"/>
              </w:rPr>
              <w:t>).</w:t>
            </w:r>
          </w:p>
        </w:tc>
      </w:tr>
      <w:tr w:rsidR="00D70C22" w:rsidRPr="00A76B7D" w:rsidTr="0060296F">
        <w:tc>
          <w:tcPr>
            <w:tcW w:w="14367" w:type="dxa"/>
            <w:gridSpan w:val="5"/>
            <w:shd w:val="clear" w:color="auto" w:fill="E6E6E6"/>
            <w:noWrap/>
            <w:tcMar>
              <w:top w:w="40" w:type="dxa"/>
              <w:left w:w="40" w:type="dxa"/>
              <w:bottom w:w="40" w:type="dxa"/>
              <w:right w:w="40" w:type="dxa"/>
            </w:tcMar>
          </w:tcPr>
          <w:p w:rsidR="00D70C22" w:rsidRPr="00A76B7D" w:rsidRDefault="00D70C22" w:rsidP="008215A5">
            <w:pPr>
              <w:autoSpaceDE w:val="0"/>
              <w:autoSpaceDN w:val="0"/>
              <w:adjustRightInd w:val="0"/>
              <w:spacing w:before="120" w:after="120"/>
              <w:ind w:left="113" w:right="113"/>
              <w:jc w:val="both"/>
              <w:rPr>
                <w:rFonts w:ascii="Arial" w:hAnsi="Arial" w:cs="Arial"/>
                <w:b/>
                <w:sz w:val="22"/>
                <w:szCs w:val="22"/>
              </w:rPr>
            </w:pPr>
            <w:r>
              <w:rPr>
                <w:rFonts w:ascii="Arial" w:hAnsi="Arial"/>
                <w:b/>
                <w:sz w:val="22"/>
              </w:rPr>
              <w:t>Recommandation 4 : Nous recommandons au Secteur de la culture d</w:t>
            </w:r>
            <w:r w:rsidR="00E26E2A">
              <w:rPr>
                <w:rFonts w:ascii="Arial" w:hAnsi="Arial"/>
                <w:b/>
                <w:sz w:val="22"/>
              </w:rPr>
              <w:t>’</w:t>
            </w:r>
            <w:r>
              <w:rPr>
                <w:rFonts w:ascii="Arial" w:hAnsi="Arial"/>
                <w:b/>
                <w:sz w:val="22"/>
              </w:rPr>
              <w:t>établir, en consultation avec BSP/CFS, une stratégie coordonnée de collecte de fonds pour tous les secrétariats des conventions et de constituer une équipe commune de mobilisation des ressources.</w:t>
            </w:r>
          </w:p>
        </w:tc>
      </w:tr>
      <w:tr w:rsidR="00D70C22" w:rsidRPr="00DF4088" w:rsidTr="0060296F">
        <w:trPr>
          <w:gridAfter w:val="1"/>
          <w:wAfter w:w="10" w:type="dxa"/>
        </w:trPr>
        <w:tc>
          <w:tcPr>
            <w:tcW w:w="4719" w:type="dxa"/>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Actions planifiées</w:t>
            </w:r>
          </w:p>
        </w:tc>
        <w:tc>
          <w:tcPr>
            <w:tcW w:w="2127" w:type="dxa"/>
            <w:gridSpan w:val="2"/>
            <w:noWrap/>
            <w:tcMar>
              <w:top w:w="40" w:type="dxa"/>
              <w:left w:w="40" w:type="dxa"/>
              <w:bottom w:w="40" w:type="dxa"/>
              <w:right w:w="40" w:type="dxa"/>
            </w:tcMar>
          </w:tcPr>
          <w:p w:rsidR="00D70C22" w:rsidRPr="00A76B7D" w:rsidRDefault="00D70C22" w:rsidP="008215A5">
            <w:pPr>
              <w:spacing w:before="120" w:after="120"/>
              <w:jc w:val="center"/>
              <w:rPr>
                <w:rFonts w:ascii="Arial" w:hAnsi="Arial" w:cs="Arial"/>
                <w:b/>
                <w:sz w:val="22"/>
                <w:szCs w:val="22"/>
              </w:rPr>
            </w:pPr>
            <w:r>
              <w:rPr>
                <w:rFonts w:ascii="Arial" w:hAnsi="Arial"/>
                <w:b/>
                <w:sz w:val="22"/>
              </w:rPr>
              <w:t>Date prévue de mise en œuvre</w:t>
            </w:r>
          </w:p>
        </w:tc>
        <w:tc>
          <w:tcPr>
            <w:tcW w:w="7511" w:type="dxa"/>
            <w:noWrap/>
            <w:tcMar>
              <w:top w:w="40" w:type="dxa"/>
              <w:left w:w="40" w:type="dxa"/>
              <w:bottom w:w="40" w:type="dxa"/>
              <w:right w:w="40" w:type="dxa"/>
            </w:tcMar>
          </w:tcPr>
          <w:p w:rsidR="00D70C22" w:rsidRPr="00E24B33" w:rsidRDefault="00D70C22" w:rsidP="008215A5">
            <w:pPr>
              <w:spacing w:before="120" w:after="120"/>
              <w:jc w:val="center"/>
              <w:rPr>
                <w:rFonts w:ascii="Arial" w:hAnsi="Arial" w:cs="Arial"/>
                <w:b/>
                <w:sz w:val="22"/>
                <w:szCs w:val="22"/>
              </w:rPr>
            </w:pPr>
            <w:r>
              <w:rPr>
                <w:rFonts w:ascii="Arial" w:hAnsi="Arial"/>
                <w:b/>
                <w:sz w:val="22"/>
              </w:rPr>
              <w:t>Statut</w:t>
            </w:r>
          </w:p>
        </w:tc>
      </w:tr>
      <w:tr w:rsidR="00D70C22" w:rsidRPr="00A76B7D" w:rsidTr="0060296F">
        <w:trPr>
          <w:gridAfter w:val="1"/>
          <w:wAfter w:w="10" w:type="dxa"/>
        </w:trPr>
        <w:tc>
          <w:tcPr>
            <w:tcW w:w="4719" w:type="dxa"/>
            <w:noWrap/>
            <w:tcMar>
              <w:top w:w="40" w:type="dxa"/>
              <w:left w:w="40" w:type="dxa"/>
              <w:bottom w:w="40" w:type="dxa"/>
              <w:right w:w="40" w:type="dxa"/>
            </w:tcMar>
          </w:tcPr>
          <w:p w:rsidR="00D70C22" w:rsidRPr="00E24B33" w:rsidRDefault="00D70C22" w:rsidP="008215A5">
            <w:pPr>
              <w:spacing w:before="120" w:after="120"/>
              <w:ind w:left="113"/>
              <w:rPr>
                <w:rFonts w:ascii="Arial" w:hAnsi="Arial" w:cs="Arial"/>
                <w:sz w:val="22"/>
                <w:szCs w:val="22"/>
              </w:rPr>
            </w:pPr>
            <w:r>
              <w:rPr>
                <w:rFonts w:ascii="Arial" w:hAnsi="Arial"/>
                <w:sz w:val="22"/>
              </w:rPr>
              <w:t>L</w:t>
            </w:r>
            <w:r w:rsidR="00E26E2A">
              <w:rPr>
                <w:rFonts w:ascii="Arial" w:hAnsi="Arial"/>
                <w:sz w:val="22"/>
              </w:rPr>
              <w:t>’</w:t>
            </w:r>
            <w:r>
              <w:rPr>
                <w:rFonts w:ascii="Arial" w:hAnsi="Arial"/>
                <w:sz w:val="22"/>
              </w:rPr>
              <w:t>Unité des services communs des conventions devra se charger de la mise en œuvre d</w:t>
            </w:r>
            <w:r w:rsidR="00E26E2A">
              <w:rPr>
                <w:rFonts w:ascii="Arial" w:hAnsi="Arial"/>
                <w:sz w:val="22"/>
              </w:rPr>
              <w:t>’</w:t>
            </w:r>
            <w:r>
              <w:rPr>
                <w:rFonts w:ascii="Arial" w:hAnsi="Arial"/>
                <w:sz w:val="22"/>
              </w:rPr>
              <w:t>une stratégie coordonnée de collecte des fonds pour toutes les conventions et mobilisations de ressources.</w:t>
            </w:r>
          </w:p>
        </w:tc>
        <w:tc>
          <w:tcPr>
            <w:tcW w:w="2127" w:type="dxa"/>
            <w:gridSpan w:val="2"/>
            <w:noWrap/>
            <w:tcMar>
              <w:top w:w="40" w:type="dxa"/>
              <w:left w:w="40" w:type="dxa"/>
              <w:bottom w:w="40" w:type="dxa"/>
              <w:right w:w="40" w:type="dxa"/>
            </w:tcMar>
          </w:tcPr>
          <w:p w:rsidR="00D70C22" w:rsidRPr="00E24B33" w:rsidRDefault="00D70C22" w:rsidP="008215A5">
            <w:pPr>
              <w:spacing w:before="120" w:after="120"/>
              <w:rPr>
                <w:rFonts w:ascii="Arial" w:hAnsi="Arial" w:cs="Arial"/>
                <w:sz w:val="22"/>
                <w:szCs w:val="22"/>
              </w:rPr>
            </w:pPr>
            <w:r>
              <w:rPr>
                <w:rFonts w:ascii="Arial" w:hAnsi="Arial"/>
                <w:sz w:val="22"/>
              </w:rPr>
              <w:t>2016</w:t>
            </w:r>
          </w:p>
        </w:tc>
        <w:tc>
          <w:tcPr>
            <w:tcW w:w="7511" w:type="dxa"/>
            <w:noWrap/>
            <w:tcMar>
              <w:top w:w="40" w:type="dxa"/>
              <w:left w:w="40" w:type="dxa"/>
              <w:bottom w:w="40" w:type="dxa"/>
              <w:right w:w="40" w:type="dxa"/>
            </w:tcMar>
          </w:tcPr>
          <w:p w:rsidR="00D70C22" w:rsidRPr="00A76B7D" w:rsidRDefault="00D70C22" w:rsidP="008215A5">
            <w:pPr>
              <w:pStyle w:val="ListParagraph"/>
              <w:numPr>
                <w:ilvl w:val="0"/>
                <w:numId w:val="16"/>
              </w:numPr>
              <w:spacing w:before="120" w:after="120"/>
              <w:ind w:left="470" w:hanging="357"/>
              <w:rPr>
                <w:rFonts w:ascii="Arial" w:hAnsi="Arial" w:cs="Arial"/>
                <w:b/>
                <w:sz w:val="22"/>
                <w:szCs w:val="22"/>
                <w:u w:val="single"/>
              </w:rPr>
            </w:pPr>
            <w:r>
              <w:rPr>
                <w:rFonts w:ascii="Arial" w:hAnsi="Arial"/>
                <w:sz w:val="22"/>
              </w:rPr>
              <w:t>Les secrétaires de la Convention et l</w:t>
            </w:r>
            <w:r w:rsidR="00E26E2A">
              <w:rPr>
                <w:rFonts w:ascii="Arial" w:hAnsi="Arial"/>
                <w:sz w:val="22"/>
              </w:rPr>
              <w:t>’</w:t>
            </w:r>
            <w:r>
              <w:rPr>
                <w:rFonts w:ascii="Arial" w:hAnsi="Arial"/>
                <w:sz w:val="22"/>
              </w:rPr>
              <w:t xml:space="preserve">Unité des services communs des conventions (CLT/CCS) ont rencontré </w:t>
            </w:r>
            <w:r w:rsidR="00C33860">
              <w:rPr>
                <w:rFonts w:ascii="Arial" w:hAnsi="Arial"/>
                <w:sz w:val="22"/>
              </w:rPr>
              <w:t>d</w:t>
            </w:r>
            <w:r>
              <w:rPr>
                <w:rFonts w:ascii="Arial" w:hAnsi="Arial"/>
                <w:sz w:val="22"/>
              </w:rPr>
              <w:t xml:space="preserve">es membres </w:t>
            </w:r>
            <w:r w:rsidR="00C33860">
              <w:rPr>
                <w:rFonts w:ascii="Arial" w:hAnsi="Arial"/>
                <w:sz w:val="22"/>
              </w:rPr>
              <w:t xml:space="preserve">de </w:t>
            </w:r>
            <w:r>
              <w:rPr>
                <w:rFonts w:ascii="Arial" w:hAnsi="Arial"/>
                <w:sz w:val="22"/>
              </w:rPr>
              <w:t>BSP/CFS afin de discuter de l</w:t>
            </w:r>
            <w:r w:rsidR="00E26E2A">
              <w:rPr>
                <w:rFonts w:ascii="Arial" w:hAnsi="Arial"/>
                <w:sz w:val="22"/>
              </w:rPr>
              <w:t>’</w:t>
            </w:r>
            <w:r>
              <w:rPr>
                <w:rFonts w:ascii="Arial" w:hAnsi="Arial"/>
                <w:sz w:val="22"/>
              </w:rPr>
              <w:t>élaboration d</w:t>
            </w:r>
            <w:r w:rsidR="00E26E2A">
              <w:rPr>
                <w:rFonts w:ascii="Arial" w:hAnsi="Arial"/>
                <w:sz w:val="22"/>
              </w:rPr>
              <w:t>’</w:t>
            </w:r>
            <w:r>
              <w:rPr>
                <w:rFonts w:ascii="Arial" w:hAnsi="Arial"/>
                <w:sz w:val="22"/>
              </w:rPr>
              <w:t xml:space="preserve">une stratégie commune de mobilisation des ressources. En outre, CCS a proposé des flux de travail en ce qui concerne la mobilisation des ressources du secteur privé aux </w:t>
            </w:r>
            <w:r w:rsidR="00C33860">
              <w:rPr>
                <w:rFonts w:ascii="Arial" w:hAnsi="Arial"/>
                <w:sz w:val="22"/>
              </w:rPr>
              <w:t>secrétariats des</w:t>
            </w:r>
            <w:r>
              <w:rPr>
                <w:rFonts w:ascii="Arial" w:hAnsi="Arial"/>
                <w:sz w:val="22"/>
              </w:rPr>
              <w:t xml:space="preserve"> </w:t>
            </w:r>
            <w:r w:rsidR="00C33860">
              <w:rPr>
                <w:rFonts w:ascii="Arial" w:hAnsi="Arial"/>
                <w:sz w:val="22"/>
              </w:rPr>
              <w:t>conventions</w:t>
            </w:r>
            <w:r>
              <w:rPr>
                <w:rFonts w:ascii="Arial" w:hAnsi="Arial"/>
                <w:sz w:val="22"/>
              </w:rPr>
              <w:t>.</w:t>
            </w:r>
          </w:p>
        </w:tc>
      </w:tr>
    </w:tbl>
    <w:p w:rsidR="00D70C22" w:rsidRDefault="00D70C22" w:rsidP="00D70C22">
      <w:pPr>
        <w:spacing w:beforeLines="60" w:before="144" w:afterLines="60" w:after="144"/>
        <w:rPr>
          <w:sz w:val="20"/>
          <w:szCs w:val="20"/>
        </w:rPr>
        <w:sectPr w:rsidR="00D70C22" w:rsidSect="008215A5">
          <w:pgSz w:w="16838" w:h="11906" w:orient="landscape" w:code="9"/>
          <w:pgMar w:top="1134" w:right="1134" w:bottom="1134" w:left="1418" w:header="397" w:footer="284" w:gutter="0"/>
          <w:cols w:space="708"/>
          <w:titlePg/>
          <w:docGrid w:linePitch="360"/>
        </w:sectPr>
      </w:pPr>
    </w:p>
    <w:p w:rsidR="00D70C22" w:rsidRPr="002C2818" w:rsidRDefault="00D70C22" w:rsidP="00297354">
      <w:pPr>
        <w:pStyle w:val="COMPara"/>
        <w:keepNext/>
        <w:keepLines/>
        <w:tabs>
          <w:tab w:val="left" w:pos="567"/>
        </w:tabs>
        <w:spacing w:before="360" w:line="480" w:lineRule="auto"/>
        <w:ind w:left="567" w:hanging="567"/>
        <w:jc w:val="both"/>
        <w:rPr>
          <w:b/>
        </w:rPr>
      </w:pPr>
      <w:r>
        <w:rPr>
          <w:b/>
        </w:rPr>
        <w:t>C.</w:t>
      </w:r>
      <w:r>
        <w:tab/>
      </w:r>
      <w:r>
        <w:rPr>
          <w:b/>
        </w:rPr>
        <w:t>Projet de décision</w:t>
      </w:r>
    </w:p>
    <w:p w:rsidR="00D70C22" w:rsidRPr="004334F3" w:rsidRDefault="00D70C22" w:rsidP="00297354">
      <w:pPr>
        <w:pStyle w:val="COMPara"/>
        <w:keepNext/>
        <w:keepLines/>
        <w:numPr>
          <w:ilvl w:val="0"/>
          <w:numId w:val="15"/>
        </w:numPr>
        <w:spacing w:line="480" w:lineRule="auto"/>
        <w:ind w:left="567" w:hanging="567"/>
        <w:jc w:val="both"/>
        <w:rPr>
          <w:rFonts w:eastAsia="SimSun"/>
          <w:snapToGrid/>
        </w:rPr>
      </w:pPr>
      <w:r>
        <w:t>Le Comité souhaitera peut-êt</w:t>
      </w:r>
      <w:r w:rsidR="00B17E75">
        <w:t>re adopter la décision suivante</w:t>
      </w:r>
      <w:r w:rsidR="00B17E75" w:rsidRPr="00B17E75">
        <w:t> </w:t>
      </w:r>
      <w:r>
        <w:t>:</w:t>
      </w:r>
    </w:p>
    <w:p w:rsidR="00D70C22" w:rsidRPr="002C2818" w:rsidRDefault="00D70C22" w:rsidP="00297354">
      <w:pPr>
        <w:pStyle w:val="COMTitleDecision"/>
        <w:keepLines/>
        <w:spacing w:before="0"/>
      </w:pPr>
      <w:r>
        <w:t>PROJET DE DÉCISION 10.COM 15.c</w:t>
      </w:r>
    </w:p>
    <w:p w:rsidR="00D70C22" w:rsidRPr="002C2818" w:rsidRDefault="00D70C22" w:rsidP="00297354">
      <w:pPr>
        <w:pStyle w:val="COMPreambulaDecisions"/>
        <w:keepLines/>
      </w:pPr>
      <w:r>
        <w:t>Le Comité,</w:t>
      </w:r>
    </w:p>
    <w:p w:rsidR="00D70C22" w:rsidRPr="002405A1" w:rsidRDefault="00D70C22" w:rsidP="00297354">
      <w:pPr>
        <w:numPr>
          <w:ilvl w:val="0"/>
          <w:numId w:val="10"/>
        </w:numPr>
        <w:autoSpaceDE w:val="0"/>
        <w:autoSpaceDN w:val="0"/>
        <w:adjustRightInd w:val="0"/>
        <w:spacing w:before="120" w:after="120"/>
        <w:ind w:left="1134" w:hanging="567"/>
        <w:jc w:val="both"/>
        <w:rPr>
          <w:rFonts w:ascii="Arial" w:hAnsi="Arial" w:cs="Arial"/>
          <w:sz w:val="22"/>
          <w:szCs w:val="22"/>
        </w:rPr>
      </w:pPr>
      <w:r>
        <w:rPr>
          <w:rFonts w:ascii="Arial" w:hAnsi="Arial"/>
          <w:sz w:val="22"/>
          <w:u w:val="single"/>
        </w:rPr>
        <w:t>Ayant examiné</w:t>
      </w:r>
      <w:r>
        <w:rPr>
          <w:rFonts w:ascii="Arial" w:hAnsi="Arial"/>
          <w:sz w:val="22"/>
        </w:rPr>
        <w:t xml:space="preserve"> le document ITH/15/10.COM/15.c, </w:t>
      </w:r>
    </w:p>
    <w:p w:rsidR="00D70C22" w:rsidRDefault="00D70C22" w:rsidP="00297354">
      <w:pPr>
        <w:numPr>
          <w:ilvl w:val="0"/>
          <w:numId w:val="10"/>
        </w:numPr>
        <w:autoSpaceDE w:val="0"/>
        <w:autoSpaceDN w:val="0"/>
        <w:adjustRightInd w:val="0"/>
        <w:spacing w:before="120" w:after="120"/>
        <w:ind w:left="1134" w:hanging="567"/>
        <w:jc w:val="both"/>
        <w:rPr>
          <w:rFonts w:ascii="Arial" w:hAnsi="Arial" w:cs="Arial"/>
          <w:sz w:val="22"/>
          <w:szCs w:val="22"/>
          <w:u w:val="single"/>
        </w:rPr>
      </w:pPr>
      <w:r>
        <w:rPr>
          <w:rFonts w:ascii="Arial" w:hAnsi="Arial"/>
          <w:sz w:val="22"/>
          <w:u w:val="single"/>
        </w:rPr>
        <w:t>Rappelant</w:t>
      </w:r>
      <w:r>
        <w:rPr>
          <w:rFonts w:ascii="Arial" w:hAnsi="Arial"/>
          <w:sz w:val="22"/>
        </w:rPr>
        <w:t xml:space="preserve"> les documents </w:t>
      </w:r>
      <w:hyperlink r:id="rId33" w:history="1">
        <w:r w:rsidRPr="00571548">
          <w:rPr>
            <w:rStyle w:val="Hyperlink"/>
            <w:rFonts w:ascii="Arial" w:hAnsi="Arial"/>
            <w:sz w:val="22"/>
          </w:rPr>
          <w:t>IOS/EVS/PI/129</w:t>
        </w:r>
        <w:r w:rsidR="00571548" w:rsidRPr="00571548">
          <w:rPr>
            <w:rStyle w:val="Hyperlink"/>
            <w:rFonts w:ascii="Arial" w:hAnsi="Arial"/>
            <w:sz w:val="22"/>
          </w:rPr>
          <w:t xml:space="preserve"> REV.</w:t>
        </w:r>
      </w:hyperlink>
      <w:r>
        <w:rPr>
          <w:rFonts w:ascii="Arial" w:hAnsi="Arial"/>
          <w:sz w:val="22"/>
        </w:rPr>
        <w:t xml:space="preserve"> et </w:t>
      </w:r>
      <w:hyperlink r:id="rId34" w:history="1">
        <w:r w:rsidRPr="00B95496">
          <w:rPr>
            <w:rStyle w:val="Hyperlink"/>
            <w:rFonts w:ascii="Arial" w:hAnsi="Arial"/>
            <w:sz w:val="23"/>
          </w:rPr>
          <w:t>IOS/AUD/2013/06</w:t>
        </w:r>
      </w:hyperlink>
      <w:r>
        <w:rPr>
          <w:rFonts w:ascii="Arial" w:hAnsi="Arial"/>
          <w:sz w:val="22"/>
        </w:rPr>
        <w:t xml:space="preserve">, et </w:t>
      </w:r>
      <w:r w:rsidR="00DB3F53">
        <w:rPr>
          <w:rFonts w:ascii="Arial" w:hAnsi="Arial"/>
          <w:sz w:val="22"/>
        </w:rPr>
        <w:t>les d</w:t>
      </w:r>
      <w:r>
        <w:rPr>
          <w:rFonts w:ascii="Arial" w:hAnsi="Arial"/>
          <w:sz w:val="22"/>
        </w:rPr>
        <w:t>écisions 8.COM 5.c.1, 8.COM 5.c.</w:t>
      </w:r>
      <w:r w:rsidR="004E467D">
        <w:rPr>
          <w:rFonts w:ascii="Arial" w:hAnsi="Arial"/>
          <w:sz w:val="22"/>
        </w:rPr>
        <w:t>2</w:t>
      </w:r>
      <w:r>
        <w:rPr>
          <w:rFonts w:ascii="Arial" w:hAnsi="Arial"/>
          <w:sz w:val="22"/>
        </w:rPr>
        <w:t>, 9 COM 13.e, 9 COM 13.f, 9 COM 13.g, et 9 COM 13.h</w:t>
      </w:r>
      <w:r>
        <w:rPr>
          <w:rFonts w:ascii="Arial" w:hAnsi="Arial"/>
          <w:sz w:val="22"/>
          <w:u w:val="single"/>
        </w:rPr>
        <w:t>,</w:t>
      </w:r>
    </w:p>
    <w:p w:rsidR="00D70C22" w:rsidRPr="00A76B7D" w:rsidRDefault="00D70C22" w:rsidP="00297354">
      <w:pPr>
        <w:numPr>
          <w:ilvl w:val="0"/>
          <w:numId w:val="10"/>
        </w:numPr>
        <w:autoSpaceDE w:val="0"/>
        <w:autoSpaceDN w:val="0"/>
        <w:adjustRightInd w:val="0"/>
        <w:spacing w:before="120" w:after="120"/>
        <w:ind w:left="1134" w:hanging="567"/>
        <w:jc w:val="both"/>
        <w:rPr>
          <w:rFonts w:ascii="Arial" w:hAnsi="Arial" w:cs="Arial"/>
          <w:sz w:val="22"/>
          <w:szCs w:val="22"/>
          <w:u w:val="single"/>
        </w:rPr>
      </w:pPr>
      <w:r>
        <w:rPr>
          <w:rFonts w:ascii="Arial" w:hAnsi="Arial"/>
          <w:sz w:val="22"/>
          <w:u w:val="single"/>
        </w:rPr>
        <w:t>Reconnaît avec satisfaction</w:t>
      </w:r>
      <w:r>
        <w:rPr>
          <w:rFonts w:ascii="Arial" w:hAnsi="Arial"/>
          <w:sz w:val="22"/>
        </w:rPr>
        <w:t xml:space="preserve"> que le Secrétariat a fait beaucoup de progrès pour répondre aux recommandations des évaluations et audits ainsi qu</w:t>
      </w:r>
      <w:r w:rsidR="00E26E2A">
        <w:rPr>
          <w:rFonts w:ascii="Arial" w:hAnsi="Arial"/>
          <w:sz w:val="22"/>
        </w:rPr>
        <w:t>’</w:t>
      </w:r>
      <w:r>
        <w:rPr>
          <w:rFonts w:ascii="Arial" w:hAnsi="Arial"/>
          <w:sz w:val="22"/>
        </w:rPr>
        <w:t>aux décisions correspondantes et souhaite que ces efforts se poursuivent comme prévu ;</w:t>
      </w:r>
    </w:p>
    <w:p w:rsidR="00D70C22" w:rsidRDefault="00D70C22" w:rsidP="00297354">
      <w:pPr>
        <w:pStyle w:val="COMParaDecision"/>
        <w:rPr>
          <w:u w:val="none"/>
        </w:rPr>
      </w:pPr>
      <w:r>
        <w:t>Recommande</w:t>
      </w:r>
      <w:r>
        <w:rPr>
          <w:u w:val="none"/>
        </w:rPr>
        <w:t xml:space="preserve"> à l</w:t>
      </w:r>
      <w:r w:rsidR="00E26E2A">
        <w:rPr>
          <w:u w:val="none"/>
        </w:rPr>
        <w:t>’</w:t>
      </w:r>
      <w:r>
        <w:rPr>
          <w:u w:val="none"/>
        </w:rPr>
        <w:t>Assemblée Générale d</w:t>
      </w:r>
      <w:r w:rsidR="00E26E2A">
        <w:rPr>
          <w:u w:val="none"/>
        </w:rPr>
        <w:t>’</w:t>
      </w:r>
      <w:r>
        <w:rPr>
          <w:u w:val="none"/>
        </w:rPr>
        <w:t xml:space="preserve">approuver </w:t>
      </w:r>
      <w:r w:rsidR="004E467D">
        <w:rPr>
          <w:u w:val="none"/>
        </w:rPr>
        <w:t>les amendements</w:t>
      </w:r>
      <w:r>
        <w:rPr>
          <w:u w:val="none"/>
        </w:rPr>
        <w:t xml:space="preserve"> de tous les paragraphes pertinents des </w:t>
      </w:r>
      <w:r w:rsidR="004E467D">
        <w:rPr>
          <w:u w:val="none"/>
        </w:rPr>
        <w:t xml:space="preserve">Directives </w:t>
      </w:r>
      <w:r>
        <w:rPr>
          <w:u w:val="none"/>
        </w:rPr>
        <w:t xml:space="preserve">opérationnelles pour faire passer les demandes </w:t>
      </w:r>
      <w:r w:rsidR="004E467D">
        <w:rPr>
          <w:u w:val="none"/>
        </w:rPr>
        <w:t>d</w:t>
      </w:r>
      <w:r w:rsidR="00E26E2A">
        <w:rPr>
          <w:u w:val="none"/>
        </w:rPr>
        <w:t>’</w:t>
      </w:r>
      <w:r w:rsidR="004E467D">
        <w:rPr>
          <w:u w:val="none"/>
        </w:rPr>
        <w:t>assistance i</w:t>
      </w:r>
      <w:r>
        <w:rPr>
          <w:u w:val="none"/>
        </w:rPr>
        <w:t xml:space="preserve">nternationale pouvant être approuvées par le Bureau du Comité de 25 000 dollars </w:t>
      </w:r>
      <w:r w:rsidR="004E467D">
        <w:rPr>
          <w:u w:val="none"/>
        </w:rPr>
        <w:t xml:space="preserve">des États-Unis </w:t>
      </w:r>
      <w:r>
        <w:rPr>
          <w:u w:val="none"/>
        </w:rPr>
        <w:t xml:space="preserve">à 100 000 dollars </w:t>
      </w:r>
      <w:r w:rsidR="004E467D">
        <w:rPr>
          <w:u w:val="none"/>
        </w:rPr>
        <w:t>des États-Unis</w:t>
      </w:r>
      <w:r w:rsidR="00DB3F53">
        <w:rPr>
          <w:u w:val="none"/>
        </w:rPr>
        <w:t> ;</w:t>
      </w:r>
    </w:p>
    <w:p w:rsidR="00D70C22" w:rsidRPr="00D61C0A" w:rsidRDefault="004E467D" w:rsidP="00297354">
      <w:pPr>
        <w:pStyle w:val="COMParaDecision"/>
      </w:pPr>
      <w:r>
        <w:t>Félicite</w:t>
      </w:r>
      <w:r>
        <w:rPr>
          <w:u w:val="none"/>
        </w:rPr>
        <w:t xml:space="preserve"> </w:t>
      </w:r>
      <w:r w:rsidR="00D70C22">
        <w:rPr>
          <w:u w:val="none"/>
        </w:rPr>
        <w:t xml:space="preserve">la Chine pour sa généreuse </w:t>
      </w:r>
      <w:r>
        <w:rPr>
          <w:u w:val="none"/>
        </w:rPr>
        <w:t xml:space="preserve">offre </w:t>
      </w:r>
      <w:r w:rsidR="00D70C22">
        <w:rPr>
          <w:u w:val="none"/>
        </w:rPr>
        <w:t>de contribution volontaire supplémentaire au Fonds du patrimoine culturel immatériel en vue de soutenir l</w:t>
      </w:r>
      <w:r w:rsidR="00E26E2A">
        <w:rPr>
          <w:u w:val="none"/>
        </w:rPr>
        <w:t>’</w:t>
      </w:r>
      <w:r w:rsidR="00D70C22">
        <w:rPr>
          <w:u w:val="none"/>
        </w:rPr>
        <w:t>organisation d</w:t>
      </w:r>
      <w:r w:rsidR="00E26E2A">
        <w:rPr>
          <w:u w:val="none"/>
        </w:rPr>
        <w:t>’</w:t>
      </w:r>
      <w:r w:rsidR="00D70C22">
        <w:rPr>
          <w:u w:val="none"/>
        </w:rPr>
        <w:t>une réunion d</w:t>
      </w:r>
      <w:r w:rsidR="00E26E2A">
        <w:rPr>
          <w:u w:val="none"/>
        </w:rPr>
        <w:t>’</w:t>
      </w:r>
      <w:r w:rsidR="00D70C22">
        <w:rPr>
          <w:u w:val="none"/>
        </w:rPr>
        <w:t>experts sur l</w:t>
      </w:r>
      <w:r w:rsidR="00E26E2A">
        <w:rPr>
          <w:u w:val="none"/>
        </w:rPr>
        <w:t>’</w:t>
      </w:r>
      <w:r w:rsidR="00D70C22">
        <w:rPr>
          <w:u w:val="none"/>
        </w:rPr>
        <w:t>élaboration d</w:t>
      </w:r>
      <w:r w:rsidR="00E26E2A">
        <w:rPr>
          <w:u w:val="none"/>
        </w:rPr>
        <w:t>’</w:t>
      </w:r>
      <w:r w:rsidR="00D70C22">
        <w:rPr>
          <w:u w:val="none"/>
        </w:rPr>
        <w:t>un cadre général de résultats pour la Convention ;</w:t>
      </w:r>
    </w:p>
    <w:p w:rsidR="00D70C22" w:rsidRPr="00A76B7D" w:rsidRDefault="00D70C22" w:rsidP="00297354">
      <w:pPr>
        <w:pStyle w:val="COMParaDecision"/>
      </w:pPr>
      <w:r>
        <w:t>Reconnaît</w:t>
      </w:r>
      <w:r>
        <w:rPr>
          <w:u w:val="none"/>
        </w:rPr>
        <w:t xml:space="preserve"> le recours croissant de l</w:t>
      </w:r>
      <w:r w:rsidR="00E26E2A">
        <w:rPr>
          <w:u w:val="none"/>
        </w:rPr>
        <w:t>’</w:t>
      </w:r>
      <w:r>
        <w:rPr>
          <w:u w:val="none"/>
        </w:rPr>
        <w:t xml:space="preserve">Organisation aux contributions </w:t>
      </w:r>
      <w:r w:rsidRPr="001E3D6D">
        <w:rPr>
          <w:u w:val="none"/>
        </w:rPr>
        <w:t>extrabudgétaires et</w:t>
      </w:r>
      <w:r>
        <w:rPr>
          <w:u w:val="none"/>
        </w:rPr>
        <w:t xml:space="preserve"> </w:t>
      </w:r>
      <w:r>
        <w:t>demande</w:t>
      </w:r>
      <w:r>
        <w:rPr>
          <w:u w:val="none"/>
        </w:rPr>
        <w:t xml:space="preserve"> au Secrétariat de soumettre la stratégie coordonnée de collecte de fonds proposée pour sa considération</w:t>
      </w:r>
      <w:r w:rsidR="004E467D">
        <w:rPr>
          <w:u w:val="none"/>
        </w:rPr>
        <w:t> ;</w:t>
      </w:r>
    </w:p>
    <w:p w:rsidR="00D70C22" w:rsidRPr="00FA2450" w:rsidRDefault="00D70C22" w:rsidP="00297354">
      <w:pPr>
        <w:pStyle w:val="COMParaDecision"/>
      </w:pPr>
      <w:r>
        <w:t xml:space="preserve">Demande </w:t>
      </w:r>
      <w:r w:rsidR="004E467D">
        <w:t>en outre</w:t>
      </w:r>
      <w:r w:rsidR="004E467D">
        <w:rPr>
          <w:u w:val="none"/>
        </w:rPr>
        <w:t xml:space="preserve"> </w:t>
      </w:r>
      <w:r>
        <w:rPr>
          <w:u w:val="none"/>
        </w:rPr>
        <w:t xml:space="preserve">au Secrétariat de </w:t>
      </w:r>
      <w:r w:rsidR="004E467D">
        <w:rPr>
          <w:u w:val="none"/>
        </w:rPr>
        <w:t xml:space="preserve">faire rapport sur </w:t>
      </w:r>
      <w:r>
        <w:rPr>
          <w:u w:val="none"/>
        </w:rPr>
        <w:t>les progrès réalisés dans le suivi des audits et des évaluations pour examen par le Comité, lors de sa onzième session en 2016.</w:t>
      </w:r>
    </w:p>
    <w:sectPr w:rsidR="00D70C22" w:rsidRPr="00FA2450" w:rsidSect="00655736">
      <w:headerReference w:type="even" r:id="rId35"/>
      <w:headerReference w:type="default" r:id="rId36"/>
      <w:headerReference w:type="first" r:id="rId3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43E" w:rsidRDefault="00B4043E" w:rsidP="00655736">
      <w:r>
        <w:separator/>
      </w:r>
    </w:p>
    <w:p w:rsidR="00B4043E" w:rsidRDefault="00B4043E"/>
    <w:p w:rsidR="00B4043E" w:rsidRDefault="00B4043E" w:rsidP="002E58D4"/>
    <w:p w:rsidR="00B4043E" w:rsidRDefault="00B4043E" w:rsidP="002E58D4"/>
    <w:p w:rsidR="00B4043E" w:rsidRDefault="00B4043E" w:rsidP="002E58D4"/>
  </w:endnote>
  <w:endnote w:type="continuationSeparator" w:id="0">
    <w:p w:rsidR="00B4043E" w:rsidRDefault="00B4043E" w:rsidP="00655736">
      <w:r>
        <w:continuationSeparator/>
      </w:r>
    </w:p>
    <w:p w:rsidR="00B4043E" w:rsidRDefault="00B4043E"/>
    <w:p w:rsidR="00B4043E" w:rsidRDefault="00B4043E" w:rsidP="002E58D4"/>
    <w:p w:rsidR="00B4043E" w:rsidRDefault="00B4043E" w:rsidP="002E58D4"/>
    <w:p w:rsidR="00B4043E" w:rsidRDefault="00B4043E"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A2" w:rsidRDefault="00531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A2" w:rsidRDefault="00531B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A2" w:rsidRDefault="00531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43E" w:rsidRDefault="00B4043E" w:rsidP="00655736">
      <w:r>
        <w:separator/>
      </w:r>
    </w:p>
    <w:p w:rsidR="00B4043E" w:rsidRDefault="00B4043E"/>
    <w:p w:rsidR="00B4043E" w:rsidRDefault="00B4043E" w:rsidP="002E58D4"/>
    <w:p w:rsidR="00B4043E" w:rsidRDefault="00B4043E" w:rsidP="002E58D4"/>
    <w:p w:rsidR="00B4043E" w:rsidRDefault="00B4043E" w:rsidP="002E58D4"/>
  </w:footnote>
  <w:footnote w:type="continuationSeparator" w:id="0">
    <w:p w:rsidR="00B4043E" w:rsidRDefault="00B4043E" w:rsidP="00655736">
      <w:r>
        <w:continuationSeparator/>
      </w:r>
    </w:p>
    <w:p w:rsidR="00B4043E" w:rsidRDefault="00B4043E"/>
    <w:p w:rsidR="00B4043E" w:rsidRDefault="00B4043E" w:rsidP="002E58D4"/>
    <w:p w:rsidR="00B4043E" w:rsidRDefault="00B4043E" w:rsidP="002E58D4"/>
    <w:p w:rsidR="00B4043E" w:rsidRDefault="00B4043E" w:rsidP="002E58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3E" w:rsidRPr="00C23A97" w:rsidRDefault="00B4043E">
    <w:pPr>
      <w:pStyle w:val="Header"/>
      <w:rPr>
        <w:rFonts w:ascii="Arial" w:hAnsi="Arial" w:cs="Arial"/>
      </w:rPr>
    </w:pPr>
    <w:r>
      <w:rPr>
        <w:rFonts w:ascii="Arial" w:hAnsi="Arial"/>
        <w:sz w:val="20"/>
      </w:rPr>
      <w:t xml:space="preserve">ITH/15/10.COM/15.c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531BA2">
      <w:rPr>
        <w:rStyle w:val="PageNumber"/>
        <w:rFonts w:ascii="Arial" w:hAnsi="Arial" w:cs="Arial"/>
        <w:noProof/>
        <w:sz w:val="20"/>
        <w:szCs w:val="20"/>
      </w:rPr>
      <w:t>4</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3E" w:rsidRPr="0063300C" w:rsidRDefault="00B4043E" w:rsidP="0060296F">
    <w:pPr>
      <w:pStyle w:val="Header"/>
      <w:jc w:val="right"/>
      <w:rPr>
        <w:rFonts w:ascii="Arial" w:hAnsi="Arial" w:cs="Arial"/>
      </w:rPr>
    </w:pPr>
    <w:r>
      <w:rPr>
        <w:rFonts w:ascii="Arial" w:hAnsi="Arial"/>
        <w:sz w:val="20"/>
      </w:rPr>
      <w:t xml:space="preserve">ITH/15/10.COM/15.c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531BA2">
      <w:rPr>
        <w:rStyle w:val="PageNumber"/>
        <w:rFonts w:ascii="Arial" w:hAnsi="Arial" w:cs="Arial"/>
        <w:noProof/>
        <w:sz w:val="20"/>
        <w:szCs w:val="20"/>
      </w:rPr>
      <w:t>5</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3E" w:rsidRPr="00F32C23" w:rsidRDefault="00B4043E">
    <w:pPr>
      <w:pStyle w:val="Header"/>
    </w:pPr>
    <w:r>
      <w:rPr>
        <w:noProof/>
        <w:lang w:eastAsia="zh-CN"/>
      </w:rPr>
      <w:drawing>
        <wp:anchor distT="0" distB="0" distL="114300" distR="114300" simplePos="0" relativeHeight="251659264" behindDoc="0" locked="0" layoutInCell="1" allowOverlap="1" wp14:anchorId="557D86EC" wp14:editId="4BADF1DC">
          <wp:simplePos x="0" y="0"/>
          <wp:positionH relativeFrom="column">
            <wp:posOffset>-377190</wp:posOffset>
          </wp:positionH>
          <wp:positionV relativeFrom="paragraph">
            <wp:posOffset>-71120</wp:posOffset>
          </wp:positionV>
          <wp:extent cx="2038350" cy="152908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043E" w:rsidRPr="00B17E75" w:rsidRDefault="00B4043E" w:rsidP="00655736">
    <w:pPr>
      <w:pStyle w:val="Header"/>
      <w:spacing w:after="520"/>
      <w:jc w:val="right"/>
      <w:rPr>
        <w:rFonts w:ascii="Arial" w:hAnsi="Arial" w:cs="Arial"/>
        <w:b/>
        <w:sz w:val="44"/>
        <w:szCs w:val="44"/>
        <w:lang w:val="pt-BR"/>
      </w:rPr>
    </w:pPr>
    <w:r w:rsidRPr="00B17E75">
      <w:rPr>
        <w:rFonts w:ascii="Arial" w:hAnsi="Arial"/>
        <w:b/>
        <w:sz w:val="44"/>
        <w:lang w:val="pt-BR"/>
      </w:rPr>
      <w:t>10 COM</w:t>
    </w:r>
  </w:p>
  <w:p w:rsidR="00B4043E" w:rsidRPr="00B17E75" w:rsidRDefault="00B4043E" w:rsidP="00655736">
    <w:pPr>
      <w:jc w:val="right"/>
      <w:rPr>
        <w:rFonts w:ascii="Arial" w:hAnsi="Arial" w:cs="Arial"/>
        <w:b/>
        <w:sz w:val="22"/>
        <w:szCs w:val="22"/>
        <w:lang w:val="pt-BR"/>
      </w:rPr>
    </w:pPr>
    <w:r w:rsidRPr="00B17E75">
      <w:rPr>
        <w:rFonts w:ascii="Arial" w:hAnsi="Arial"/>
        <w:b/>
        <w:sz w:val="22"/>
        <w:lang w:val="pt-BR"/>
      </w:rPr>
      <w:t>ITH/15/10.COM/</w:t>
    </w:r>
    <w:r>
      <w:rPr>
        <w:rFonts w:ascii="Arial" w:hAnsi="Arial"/>
        <w:b/>
        <w:sz w:val="22"/>
        <w:lang w:val="pt-BR"/>
      </w:rPr>
      <w:t>15.c</w:t>
    </w:r>
  </w:p>
  <w:p w:rsidR="00B4043E" w:rsidRPr="00B17E75" w:rsidRDefault="00B4043E" w:rsidP="00655736">
    <w:pPr>
      <w:jc w:val="right"/>
      <w:rPr>
        <w:rFonts w:ascii="Arial" w:hAnsi="Arial" w:cs="Arial"/>
        <w:b/>
        <w:sz w:val="22"/>
        <w:szCs w:val="22"/>
        <w:lang w:val="pt-BR"/>
      </w:rPr>
    </w:pPr>
    <w:r w:rsidRPr="00B17E75">
      <w:rPr>
        <w:rFonts w:ascii="Arial" w:hAnsi="Arial"/>
        <w:b/>
        <w:sz w:val="22"/>
        <w:lang w:val="pt-BR"/>
      </w:rPr>
      <w:t xml:space="preserve">Paris, </w:t>
    </w:r>
    <w:proofErr w:type="spellStart"/>
    <w:r w:rsidRPr="00B17E75">
      <w:rPr>
        <w:rFonts w:ascii="Arial" w:hAnsi="Arial"/>
        <w:b/>
        <w:sz w:val="22"/>
        <w:lang w:val="pt-BR"/>
      </w:rPr>
      <w:t>le</w:t>
    </w:r>
    <w:proofErr w:type="spellEnd"/>
    <w:r w:rsidRPr="00B17E75">
      <w:rPr>
        <w:rFonts w:ascii="Arial" w:hAnsi="Arial"/>
        <w:b/>
        <w:sz w:val="22"/>
        <w:lang w:val="pt-BR"/>
      </w:rPr>
      <w:t xml:space="preserve"> </w:t>
    </w:r>
    <w:r>
      <w:rPr>
        <w:rFonts w:ascii="Arial" w:hAnsi="Arial"/>
        <w:b/>
        <w:sz w:val="22"/>
        <w:lang w:val="pt-BR"/>
      </w:rPr>
      <w:t xml:space="preserve">2 </w:t>
    </w:r>
    <w:proofErr w:type="spellStart"/>
    <w:r>
      <w:rPr>
        <w:rFonts w:ascii="Arial" w:hAnsi="Arial"/>
        <w:b/>
        <w:sz w:val="22"/>
        <w:lang w:val="pt-BR"/>
      </w:rPr>
      <w:t>novembre</w:t>
    </w:r>
    <w:proofErr w:type="spellEnd"/>
    <w:r w:rsidRPr="00B17E75">
      <w:rPr>
        <w:rFonts w:ascii="Arial" w:hAnsi="Arial"/>
        <w:b/>
        <w:sz w:val="22"/>
        <w:lang w:val="pt-BR"/>
      </w:rPr>
      <w:t xml:space="preserve"> 2015</w:t>
    </w:r>
  </w:p>
  <w:p w:rsidR="00B4043E" w:rsidRPr="00F32C23" w:rsidRDefault="00B4043E" w:rsidP="00FD5402">
    <w:pPr>
      <w:jc w:val="right"/>
    </w:pPr>
    <w:r>
      <w:rPr>
        <w:rFonts w:ascii="Arial" w:hAnsi="Arial"/>
        <w:b/>
        <w:sz w:val="22"/>
      </w:rPr>
      <w:t>Original : anglais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3E" w:rsidRPr="00EE3CE8" w:rsidRDefault="00B4043E">
    <w:pPr>
      <w:pStyle w:val="Header"/>
      <w:rPr>
        <w:rFonts w:ascii="Arial" w:hAnsi="Arial" w:cs="Arial"/>
      </w:rPr>
    </w:pPr>
    <w:r>
      <w:rPr>
        <w:rFonts w:ascii="Arial" w:hAnsi="Arial"/>
        <w:sz w:val="20"/>
      </w:rPr>
      <w:t xml:space="preserve">ITH/15/10.COM/15.c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531BA2">
      <w:rPr>
        <w:rStyle w:val="PageNumber"/>
        <w:rFonts w:ascii="Arial" w:hAnsi="Arial" w:cs="Arial"/>
        <w:noProof/>
        <w:sz w:val="20"/>
        <w:szCs w:val="20"/>
      </w:rPr>
      <w:t>3</w:t>
    </w:r>
    <w:r w:rsidRPr="00C23A97">
      <w:rPr>
        <w:rStyle w:val="PageNumber"/>
        <w:rFonts w:ascii="Arial" w:hAnsi="Arial" w:cs="Arial"/>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3E" w:rsidRPr="002E58D4" w:rsidRDefault="00B4043E" w:rsidP="002E58D4">
    <w:pPr>
      <w:pStyle w:val="Header"/>
      <w:rPr>
        <w:rFonts w:ascii="Arial" w:hAnsi="Arial" w:cs="Arial"/>
        <w:lang w:val="en-US"/>
      </w:rPr>
    </w:pPr>
    <w:r>
      <w:rPr>
        <w:rFonts w:ascii="Arial" w:hAnsi="Arial" w:cs="Arial"/>
        <w:sz w:val="20"/>
        <w:szCs w:val="20"/>
        <w:lang w:val="en-US"/>
      </w:rPr>
      <w:t>ITH/15/10.COM/</w:t>
    </w:r>
    <w:r w:rsidRPr="0057439C">
      <w:rPr>
        <w:rFonts w:ascii="Arial" w:hAnsi="Arial" w:cs="Arial"/>
        <w:sz w:val="20"/>
        <w:szCs w:val="20"/>
        <w:highlight w:val="yellow"/>
        <w:lang w:val="en-US"/>
      </w:rPr>
      <w:t>xxx</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Pr>
        <w:rStyle w:val="PageNumber"/>
        <w:rFonts w:ascii="Arial" w:hAnsi="Arial" w:cs="Arial"/>
        <w:noProof/>
        <w:sz w:val="20"/>
        <w:szCs w:val="20"/>
        <w:lang w:val="en-US"/>
      </w:rPr>
      <w:t>2</w:t>
    </w:r>
    <w:r w:rsidRPr="00EF563B">
      <w:rPr>
        <w:rStyle w:val="PageNumber"/>
        <w:rFonts w:ascii="Arial" w:hAnsi="Arial" w:cs="Arial"/>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3E" w:rsidRPr="00BC3420" w:rsidRDefault="00B4043E" w:rsidP="00BC3420">
    <w:pPr>
      <w:pStyle w:val="Header"/>
      <w:jc w:val="right"/>
      <w:rPr>
        <w:rFonts w:ascii="Arial" w:hAnsi="Arial" w:cs="Arial"/>
        <w:lang w:val="en-US"/>
      </w:rPr>
    </w:pPr>
    <w:r>
      <w:rPr>
        <w:rFonts w:ascii="Arial" w:hAnsi="Arial" w:cs="Arial"/>
        <w:sz w:val="20"/>
        <w:szCs w:val="20"/>
        <w:lang w:val="en-US"/>
      </w:rPr>
      <w:t>ITH/15/10.COM/</w:t>
    </w:r>
    <w:r w:rsidRPr="0057439C">
      <w:rPr>
        <w:rFonts w:ascii="Arial" w:hAnsi="Arial" w:cs="Arial"/>
        <w:sz w:val="20"/>
        <w:szCs w:val="20"/>
        <w:highlight w:val="yellow"/>
        <w:lang w:val="en-US"/>
      </w:rPr>
      <w:t>xxx</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Pr>
        <w:rStyle w:val="PageNumber"/>
        <w:rFonts w:ascii="Arial" w:hAnsi="Arial" w:cs="Arial"/>
        <w:noProof/>
        <w:sz w:val="20"/>
        <w:szCs w:val="20"/>
        <w:lang w:val="en-US"/>
      </w:rPr>
      <w:t>3</w:t>
    </w:r>
    <w:r w:rsidRPr="00EF563B">
      <w:rPr>
        <w:rStyle w:val="PageNumber"/>
        <w:rFonts w:ascii="Arial" w:hAnsi="Arial" w:cs="Arial"/>
        <w:sz w:val="20"/>
        <w:szCs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3E" w:rsidRPr="00B17E75" w:rsidRDefault="00B4043E" w:rsidP="00B17E75">
    <w:pPr>
      <w:tabs>
        <w:tab w:val="center" w:pos="4536"/>
        <w:tab w:val="right" w:pos="9072"/>
      </w:tabs>
      <w:rPr>
        <w:rFonts w:ascii="Arial" w:hAnsi="Arial" w:cs="Arial"/>
      </w:rPr>
    </w:pPr>
    <w:r w:rsidRPr="00B17E75">
      <w:rPr>
        <w:rFonts w:ascii="Arial" w:hAnsi="Arial"/>
        <w:sz w:val="20"/>
      </w:rPr>
      <w:t xml:space="preserve">ITH/15/10.COM/15.c – page </w:t>
    </w:r>
    <w:r w:rsidRPr="00B17E75">
      <w:rPr>
        <w:rFonts w:ascii="Arial" w:hAnsi="Arial" w:cs="Arial"/>
        <w:sz w:val="20"/>
        <w:szCs w:val="20"/>
      </w:rPr>
      <w:fldChar w:fldCharType="begin"/>
    </w:r>
    <w:r w:rsidRPr="00B17E75">
      <w:rPr>
        <w:rFonts w:ascii="Arial" w:hAnsi="Arial" w:cs="Arial"/>
        <w:sz w:val="20"/>
        <w:szCs w:val="20"/>
      </w:rPr>
      <w:instrText xml:space="preserve"> PAGE </w:instrText>
    </w:r>
    <w:r w:rsidRPr="00B17E75">
      <w:rPr>
        <w:rFonts w:ascii="Arial" w:hAnsi="Arial" w:cs="Arial"/>
        <w:sz w:val="20"/>
        <w:szCs w:val="20"/>
      </w:rPr>
      <w:fldChar w:fldCharType="separate"/>
    </w:r>
    <w:r w:rsidR="00A45197">
      <w:rPr>
        <w:rFonts w:ascii="Arial" w:hAnsi="Arial" w:cs="Arial"/>
        <w:noProof/>
        <w:sz w:val="20"/>
        <w:szCs w:val="20"/>
      </w:rPr>
      <w:t>25</w:t>
    </w:r>
    <w:r w:rsidRPr="00B17E75">
      <w:rPr>
        <w:rFonts w:ascii="Arial" w:hAnsi="Arial" w:cs="Arial"/>
        <w:sz w:val="20"/>
        <w:szCs w:val="20"/>
      </w:rPr>
      <w:fldChar w:fldCharType="end"/>
    </w:r>
  </w:p>
  <w:p w:rsidR="00B4043E" w:rsidRPr="0057439C" w:rsidRDefault="00B404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785"/>
    <w:multiLevelType w:val="hybridMultilevel"/>
    <w:tmpl w:val="F3860446"/>
    <w:lvl w:ilvl="0" w:tplc="42E600F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F114B2"/>
    <w:multiLevelType w:val="hybridMultilevel"/>
    <w:tmpl w:val="4F28107C"/>
    <w:lvl w:ilvl="0" w:tplc="040C0001">
      <w:start w:val="1"/>
      <w:numFmt w:val="bullet"/>
      <w:lvlText w:val=""/>
      <w:lvlJc w:val="left"/>
      <w:pPr>
        <w:ind w:left="720" w:hanging="360"/>
      </w:pPr>
      <w:rPr>
        <w:rFonts w:ascii="Symbol" w:hAnsi="Symbol" w:hint="default"/>
      </w:rPr>
    </w:lvl>
    <w:lvl w:ilvl="1" w:tplc="42E600FC">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CC0459"/>
    <w:multiLevelType w:val="hybridMultilevel"/>
    <w:tmpl w:val="21702FA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nsid w:val="10C46DCA"/>
    <w:multiLevelType w:val="hybridMultilevel"/>
    <w:tmpl w:val="6890E5B4"/>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5">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32786873"/>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8855951"/>
    <w:multiLevelType w:val="hybridMultilevel"/>
    <w:tmpl w:val="4D64783C"/>
    <w:lvl w:ilvl="0" w:tplc="3C062358">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C756EDD"/>
    <w:multiLevelType w:val="hybridMultilevel"/>
    <w:tmpl w:val="E0B040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7"/>
  </w:num>
  <w:num w:numId="5">
    <w:abstractNumId w:val="15"/>
  </w:num>
  <w:num w:numId="6">
    <w:abstractNumId w:val="3"/>
  </w:num>
  <w:num w:numId="7">
    <w:abstractNumId w:val="6"/>
  </w:num>
  <w:num w:numId="8">
    <w:abstractNumId w:val="13"/>
  </w:num>
  <w:num w:numId="9">
    <w:abstractNumId w:val="10"/>
  </w:num>
  <w:num w:numId="10">
    <w:abstractNumId w:val="12"/>
  </w:num>
  <w:num w:numId="11">
    <w:abstractNumId w:val="9"/>
  </w:num>
  <w:num w:numId="12">
    <w:abstractNumId w:val="7"/>
  </w:num>
  <w:num w:numId="13">
    <w:abstractNumId w:val="8"/>
  </w:num>
  <w:num w:numId="14">
    <w:abstractNumId w:val="2"/>
  </w:num>
  <w:num w:numId="15">
    <w:abstractNumId w:val="16"/>
  </w:num>
  <w:num w:numId="16">
    <w:abstractNumId w:val="18"/>
  </w:num>
  <w:num w:numId="17">
    <w:abstractNumId w:val="0"/>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50"/>
    <w:rsid w:val="00020BFC"/>
    <w:rsid w:val="00022428"/>
    <w:rsid w:val="000263BA"/>
    <w:rsid w:val="0003530D"/>
    <w:rsid w:val="0005176E"/>
    <w:rsid w:val="00063291"/>
    <w:rsid w:val="00075682"/>
    <w:rsid w:val="00077AB7"/>
    <w:rsid w:val="00081CD8"/>
    <w:rsid w:val="0008329C"/>
    <w:rsid w:val="000A73CB"/>
    <w:rsid w:val="000A7F0E"/>
    <w:rsid w:val="000E6CD7"/>
    <w:rsid w:val="000F3A3F"/>
    <w:rsid w:val="000F49D8"/>
    <w:rsid w:val="00164D56"/>
    <w:rsid w:val="00165170"/>
    <w:rsid w:val="00167B10"/>
    <w:rsid w:val="0019264E"/>
    <w:rsid w:val="00196C1B"/>
    <w:rsid w:val="001A766C"/>
    <w:rsid w:val="001B0F73"/>
    <w:rsid w:val="001E3198"/>
    <w:rsid w:val="001E3D6D"/>
    <w:rsid w:val="0020150F"/>
    <w:rsid w:val="00222A2D"/>
    <w:rsid w:val="002407AF"/>
    <w:rsid w:val="00280D62"/>
    <w:rsid w:val="002904A8"/>
    <w:rsid w:val="0029136B"/>
    <w:rsid w:val="00297354"/>
    <w:rsid w:val="002A6C11"/>
    <w:rsid w:val="002A6F73"/>
    <w:rsid w:val="002B5854"/>
    <w:rsid w:val="002C0D14"/>
    <w:rsid w:val="002E3D25"/>
    <w:rsid w:val="002E58D4"/>
    <w:rsid w:val="003845BE"/>
    <w:rsid w:val="003C1678"/>
    <w:rsid w:val="003C46FE"/>
    <w:rsid w:val="003D069C"/>
    <w:rsid w:val="003D3396"/>
    <w:rsid w:val="003E07D8"/>
    <w:rsid w:val="003E2A08"/>
    <w:rsid w:val="003F113A"/>
    <w:rsid w:val="00400FB4"/>
    <w:rsid w:val="004239C7"/>
    <w:rsid w:val="00437B87"/>
    <w:rsid w:val="00440F9B"/>
    <w:rsid w:val="004421E5"/>
    <w:rsid w:val="00443880"/>
    <w:rsid w:val="00452284"/>
    <w:rsid w:val="00473128"/>
    <w:rsid w:val="00486948"/>
    <w:rsid w:val="00495066"/>
    <w:rsid w:val="0049705E"/>
    <w:rsid w:val="00497B01"/>
    <w:rsid w:val="004A0099"/>
    <w:rsid w:val="004A4158"/>
    <w:rsid w:val="004E467D"/>
    <w:rsid w:val="004F6E13"/>
    <w:rsid w:val="00514835"/>
    <w:rsid w:val="00520C2F"/>
    <w:rsid w:val="00526B7B"/>
    <w:rsid w:val="005308CE"/>
    <w:rsid w:val="00531BA2"/>
    <w:rsid w:val="005402DA"/>
    <w:rsid w:val="00560920"/>
    <w:rsid w:val="00571548"/>
    <w:rsid w:val="0057439C"/>
    <w:rsid w:val="005B0127"/>
    <w:rsid w:val="005C094D"/>
    <w:rsid w:val="005C4B73"/>
    <w:rsid w:val="005D4DFC"/>
    <w:rsid w:val="005D6289"/>
    <w:rsid w:val="00600D93"/>
    <w:rsid w:val="0060296F"/>
    <w:rsid w:val="006141EE"/>
    <w:rsid w:val="00617454"/>
    <w:rsid w:val="00627C5C"/>
    <w:rsid w:val="00655736"/>
    <w:rsid w:val="00663B8D"/>
    <w:rsid w:val="006923BD"/>
    <w:rsid w:val="00696C8D"/>
    <w:rsid w:val="006A2AC2"/>
    <w:rsid w:val="006A3617"/>
    <w:rsid w:val="006B5001"/>
    <w:rsid w:val="006D21D9"/>
    <w:rsid w:val="006D2536"/>
    <w:rsid w:val="006D6B8A"/>
    <w:rsid w:val="006E46E4"/>
    <w:rsid w:val="006F569D"/>
    <w:rsid w:val="007135EC"/>
    <w:rsid w:val="007173C0"/>
    <w:rsid w:val="00717DBD"/>
    <w:rsid w:val="00726AF7"/>
    <w:rsid w:val="00764CF9"/>
    <w:rsid w:val="00772AF9"/>
    <w:rsid w:val="00784B8C"/>
    <w:rsid w:val="007939BD"/>
    <w:rsid w:val="007D40A4"/>
    <w:rsid w:val="007E6E58"/>
    <w:rsid w:val="00803F1B"/>
    <w:rsid w:val="008064F0"/>
    <w:rsid w:val="008215A5"/>
    <w:rsid w:val="00823A11"/>
    <w:rsid w:val="00824EF7"/>
    <w:rsid w:val="008273F6"/>
    <w:rsid w:val="008371C2"/>
    <w:rsid w:val="0085414A"/>
    <w:rsid w:val="0086269D"/>
    <w:rsid w:val="00863302"/>
    <w:rsid w:val="008712A2"/>
    <w:rsid w:val="00871C8F"/>
    <w:rsid w:val="008724E5"/>
    <w:rsid w:val="00884A9D"/>
    <w:rsid w:val="008A3237"/>
    <w:rsid w:val="008A4E1E"/>
    <w:rsid w:val="008C296C"/>
    <w:rsid w:val="008D4305"/>
    <w:rsid w:val="008E4A7A"/>
    <w:rsid w:val="00913D86"/>
    <w:rsid w:val="009163A7"/>
    <w:rsid w:val="00922E3E"/>
    <w:rsid w:val="00933C6B"/>
    <w:rsid w:val="00950F68"/>
    <w:rsid w:val="00961906"/>
    <w:rsid w:val="00962119"/>
    <w:rsid w:val="00973B8A"/>
    <w:rsid w:val="00974249"/>
    <w:rsid w:val="009877B0"/>
    <w:rsid w:val="00987A01"/>
    <w:rsid w:val="00994D09"/>
    <w:rsid w:val="009A18CD"/>
    <w:rsid w:val="009C4FFB"/>
    <w:rsid w:val="009E1B50"/>
    <w:rsid w:val="009E2AB5"/>
    <w:rsid w:val="00A07997"/>
    <w:rsid w:val="00A12558"/>
    <w:rsid w:val="00A13903"/>
    <w:rsid w:val="00A34D3E"/>
    <w:rsid w:val="00A34ED5"/>
    <w:rsid w:val="00A370C9"/>
    <w:rsid w:val="00A45197"/>
    <w:rsid w:val="00A45DBF"/>
    <w:rsid w:val="00A61C6E"/>
    <w:rsid w:val="00A755A2"/>
    <w:rsid w:val="00A90761"/>
    <w:rsid w:val="00AB2C36"/>
    <w:rsid w:val="00AC026D"/>
    <w:rsid w:val="00AD1A86"/>
    <w:rsid w:val="00AE103E"/>
    <w:rsid w:val="00AE3162"/>
    <w:rsid w:val="00AF0A07"/>
    <w:rsid w:val="00AF5AE5"/>
    <w:rsid w:val="00AF625E"/>
    <w:rsid w:val="00AF721B"/>
    <w:rsid w:val="00B152B1"/>
    <w:rsid w:val="00B17E75"/>
    <w:rsid w:val="00B4043E"/>
    <w:rsid w:val="00B43974"/>
    <w:rsid w:val="00B90701"/>
    <w:rsid w:val="00B95496"/>
    <w:rsid w:val="00BB5865"/>
    <w:rsid w:val="00BC3420"/>
    <w:rsid w:val="00BD52C9"/>
    <w:rsid w:val="00BE1355"/>
    <w:rsid w:val="00BE6354"/>
    <w:rsid w:val="00BE6F9C"/>
    <w:rsid w:val="00C14008"/>
    <w:rsid w:val="00C243DA"/>
    <w:rsid w:val="00C33860"/>
    <w:rsid w:val="00C358C4"/>
    <w:rsid w:val="00C377F5"/>
    <w:rsid w:val="00C53B5E"/>
    <w:rsid w:val="00C70EA7"/>
    <w:rsid w:val="00C7516E"/>
    <w:rsid w:val="00CA0C40"/>
    <w:rsid w:val="00D10DE5"/>
    <w:rsid w:val="00D17488"/>
    <w:rsid w:val="00D2257D"/>
    <w:rsid w:val="00D24877"/>
    <w:rsid w:val="00D70C22"/>
    <w:rsid w:val="00D75D42"/>
    <w:rsid w:val="00DA36ED"/>
    <w:rsid w:val="00DB3F53"/>
    <w:rsid w:val="00DB4A84"/>
    <w:rsid w:val="00DE34F1"/>
    <w:rsid w:val="00DF2D39"/>
    <w:rsid w:val="00DF4942"/>
    <w:rsid w:val="00E04DDF"/>
    <w:rsid w:val="00E22288"/>
    <w:rsid w:val="00E26E2A"/>
    <w:rsid w:val="00E40F44"/>
    <w:rsid w:val="00E542AA"/>
    <w:rsid w:val="00E627B1"/>
    <w:rsid w:val="00E62B4C"/>
    <w:rsid w:val="00E76FB1"/>
    <w:rsid w:val="00E9376C"/>
    <w:rsid w:val="00EF2B3A"/>
    <w:rsid w:val="00F134B7"/>
    <w:rsid w:val="00F307D8"/>
    <w:rsid w:val="00F31760"/>
    <w:rsid w:val="00F4728C"/>
    <w:rsid w:val="00F55CED"/>
    <w:rsid w:val="00F576CB"/>
    <w:rsid w:val="00FA2450"/>
    <w:rsid w:val="00FA45B6"/>
    <w:rsid w:val="00FC2940"/>
    <w:rsid w:val="00FC4715"/>
    <w:rsid w:val="00FD1226"/>
    <w:rsid w:val="00FD5402"/>
    <w:rsid w:val="00FE39F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customStyle="1" w:styleId="COMPara">
    <w:name w:val="COM Para"/>
    <w:qFormat/>
    <w:rsid w:val="00D70C22"/>
    <w:pPr>
      <w:spacing w:after="120"/>
    </w:pPr>
    <w:rPr>
      <w:rFonts w:ascii="Arial" w:eastAsia="Times New Roman" w:hAnsi="Arial" w:cs="Arial"/>
      <w:snapToGrid w:val="0"/>
      <w:sz w:val="22"/>
      <w:szCs w:val="22"/>
      <w:lang w:bidi="fr-FR"/>
    </w:rPr>
  </w:style>
  <w:style w:type="paragraph" w:customStyle="1" w:styleId="COMTitleDecision">
    <w:name w:val="COM Title Decision"/>
    <w:basedOn w:val="Normal"/>
    <w:qFormat/>
    <w:rsid w:val="00D70C22"/>
    <w:pPr>
      <w:keepNext/>
      <w:spacing w:before="240" w:after="120"/>
      <w:ind w:left="567"/>
      <w:jc w:val="both"/>
    </w:pPr>
    <w:rPr>
      <w:rFonts w:ascii="Arial" w:hAnsi="Arial" w:cs="Arial"/>
      <w:b/>
      <w:sz w:val="22"/>
      <w:szCs w:val="22"/>
      <w:lang w:bidi="fr-FR"/>
    </w:rPr>
  </w:style>
  <w:style w:type="paragraph" w:customStyle="1" w:styleId="COMPreambulaDecisions">
    <w:name w:val="COM Preambula Decisions"/>
    <w:basedOn w:val="Normal"/>
    <w:qFormat/>
    <w:rsid w:val="00D70C22"/>
    <w:pPr>
      <w:keepNext/>
      <w:spacing w:after="120"/>
      <w:ind w:left="567"/>
      <w:jc w:val="both"/>
    </w:pPr>
    <w:rPr>
      <w:rFonts w:ascii="Arial" w:hAnsi="Arial" w:cs="Arial"/>
      <w:sz w:val="22"/>
      <w:szCs w:val="22"/>
      <w:lang w:bidi="fr-FR"/>
    </w:rPr>
  </w:style>
  <w:style w:type="paragraph" w:customStyle="1" w:styleId="Default">
    <w:name w:val="Default"/>
    <w:link w:val="DefaultChar"/>
    <w:rsid w:val="00D70C22"/>
    <w:pPr>
      <w:autoSpaceDE w:val="0"/>
      <w:autoSpaceDN w:val="0"/>
      <w:adjustRightInd w:val="0"/>
    </w:pPr>
    <w:rPr>
      <w:rFonts w:ascii="Arial" w:hAnsi="Arial" w:cs="Arial"/>
      <w:color w:val="000000"/>
      <w:sz w:val="24"/>
      <w:szCs w:val="24"/>
      <w:lang w:bidi="fr-FR"/>
    </w:rPr>
  </w:style>
  <w:style w:type="character" w:customStyle="1" w:styleId="DefaultChar">
    <w:name w:val="Default Char"/>
    <w:link w:val="Default"/>
    <w:rsid w:val="00D70C22"/>
    <w:rPr>
      <w:rFonts w:ascii="Arial" w:hAnsi="Arial" w:cs="Arial"/>
      <w:color w:val="000000"/>
      <w:sz w:val="24"/>
      <w:szCs w:val="24"/>
      <w:lang w:bidi="fr-FR"/>
    </w:rPr>
  </w:style>
  <w:style w:type="character" w:styleId="Hyperlink">
    <w:name w:val="Hyperlink"/>
    <w:uiPriority w:val="99"/>
    <w:unhideWhenUsed/>
    <w:rsid w:val="00D70C22"/>
    <w:rPr>
      <w:color w:val="0000FF"/>
      <w:u w:val="single"/>
    </w:rPr>
  </w:style>
  <w:style w:type="paragraph" w:styleId="ListParagraph">
    <w:name w:val="List Paragraph"/>
    <w:basedOn w:val="Normal"/>
    <w:uiPriority w:val="34"/>
    <w:rsid w:val="00D70C22"/>
    <w:pPr>
      <w:ind w:left="720"/>
      <w:contextualSpacing/>
    </w:pPr>
    <w:rPr>
      <w:lang w:bidi="fr-FR"/>
    </w:rPr>
  </w:style>
  <w:style w:type="character" w:styleId="CommentReference">
    <w:name w:val="annotation reference"/>
    <w:basedOn w:val="DefaultParagraphFont"/>
    <w:uiPriority w:val="99"/>
    <w:semiHidden/>
    <w:unhideWhenUsed/>
    <w:rsid w:val="00617454"/>
    <w:rPr>
      <w:sz w:val="16"/>
      <w:szCs w:val="16"/>
    </w:rPr>
  </w:style>
  <w:style w:type="paragraph" w:styleId="CommentText">
    <w:name w:val="annotation text"/>
    <w:basedOn w:val="Normal"/>
    <w:link w:val="CommentTextChar"/>
    <w:uiPriority w:val="99"/>
    <w:semiHidden/>
    <w:unhideWhenUsed/>
    <w:rsid w:val="00617454"/>
    <w:rPr>
      <w:sz w:val="20"/>
      <w:szCs w:val="20"/>
    </w:rPr>
  </w:style>
  <w:style w:type="character" w:customStyle="1" w:styleId="CommentTextChar">
    <w:name w:val="Comment Text Char"/>
    <w:basedOn w:val="DefaultParagraphFont"/>
    <w:link w:val="CommentText"/>
    <w:uiPriority w:val="99"/>
    <w:semiHidden/>
    <w:rsid w:val="0061745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17454"/>
    <w:rPr>
      <w:b/>
      <w:bCs/>
    </w:rPr>
  </w:style>
  <w:style w:type="character" w:customStyle="1" w:styleId="CommentSubjectChar">
    <w:name w:val="Comment Subject Char"/>
    <w:basedOn w:val="CommentTextChar"/>
    <w:link w:val="CommentSubject"/>
    <w:uiPriority w:val="99"/>
    <w:semiHidden/>
    <w:rsid w:val="00617454"/>
    <w:rPr>
      <w:rFonts w:ascii="Times New Roman" w:eastAsia="Times New Roman" w:hAnsi="Times New Roman"/>
      <w:b/>
      <w:bCs/>
    </w:rPr>
  </w:style>
  <w:style w:type="character" w:styleId="FollowedHyperlink">
    <w:name w:val="FollowedHyperlink"/>
    <w:basedOn w:val="DefaultParagraphFont"/>
    <w:uiPriority w:val="99"/>
    <w:semiHidden/>
    <w:unhideWhenUsed/>
    <w:rsid w:val="009C4F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customStyle="1" w:styleId="COMPara">
    <w:name w:val="COM Para"/>
    <w:qFormat/>
    <w:rsid w:val="00D70C22"/>
    <w:pPr>
      <w:spacing w:after="120"/>
    </w:pPr>
    <w:rPr>
      <w:rFonts w:ascii="Arial" w:eastAsia="Times New Roman" w:hAnsi="Arial" w:cs="Arial"/>
      <w:snapToGrid w:val="0"/>
      <w:sz w:val="22"/>
      <w:szCs w:val="22"/>
      <w:lang w:bidi="fr-FR"/>
    </w:rPr>
  </w:style>
  <w:style w:type="paragraph" w:customStyle="1" w:styleId="COMTitleDecision">
    <w:name w:val="COM Title Decision"/>
    <w:basedOn w:val="Normal"/>
    <w:qFormat/>
    <w:rsid w:val="00D70C22"/>
    <w:pPr>
      <w:keepNext/>
      <w:spacing w:before="240" w:after="120"/>
      <w:ind w:left="567"/>
      <w:jc w:val="both"/>
    </w:pPr>
    <w:rPr>
      <w:rFonts w:ascii="Arial" w:hAnsi="Arial" w:cs="Arial"/>
      <w:b/>
      <w:sz w:val="22"/>
      <w:szCs w:val="22"/>
      <w:lang w:bidi="fr-FR"/>
    </w:rPr>
  </w:style>
  <w:style w:type="paragraph" w:customStyle="1" w:styleId="COMPreambulaDecisions">
    <w:name w:val="COM Preambula Decisions"/>
    <w:basedOn w:val="Normal"/>
    <w:qFormat/>
    <w:rsid w:val="00D70C22"/>
    <w:pPr>
      <w:keepNext/>
      <w:spacing w:after="120"/>
      <w:ind w:left="567"/>
      <w:jc w:val="both"/>
    </w:pPr>
    <w:rPr>
      <w:rFonts w:ascii="Arial" w:hAnsi="Arial" w:cs="Arial"/>
      <w:sz w:val="22"/>
      <w:szCs w:val="22"/>
      <w:lang w:bidi="fr-FR"/>
    </w:rPr>
  </w:style>
  <w:style w:type="paragraph" w:customStyle="1" w:styleId="Default">
    <w:name w:val="Default"/>
    <w:link w:val="DefaultChar"/>
    <w:rsid w:val="00D70C22"/>
    <w:pPr>
      <w:autoSpaceDE w:val="0"/>
      <w:autoSpaceDN w:val="0"/>
      <w:adjustRightInd w:val="0"/>
    </w:pPr>
    <w:rPr>
      <w:rFonts w:ascii="Arial" w:hAnsi="Arial" w:cs="Arial"/>
      <w:color w:val="000000"/>
      <w:sz w:val="24"/>
      <w:szCs w:val="24"/>
      <w:lang w:bidi="fr-FR"/>
    </w:rPr>
  </w:style>
  <w:style w:type="character" w:customStyle="1" w:styleId="DefaultChar">
    <w:name w:val="Default Char"/>
    <w:link w:val="Default"/>
    <w:rsid w:val="00D70C22"/>
    <w:rPr>
      <w:rFonts w:ascii="Arial" w:hAnsi="Arial" w:cs="Arial"/>
      <w:color w:val="000000"/>
      <w:sz w:val="24"/>
      <w:szCs w:val="24"/>
      <w:lang w:bidi="fr-FR"/>
    </w:rPr>
  </w:style>
  <w:style w:type="character" w:styleId="Hyperlink">
    <w:name w:val="Hyperlink"/>
    <w:uiPriority w:val="99"/>
    <w:unhideWhenUsed/>
    <w:rsid w:val="00D70C22"/>
    <w:rPr>
      <w:color w:val="0000FF"/>
      <w:u w:val="single"/>
    </w:rPr>
  </w:style>
  <w:style w:type="paragraph" w:styleId="ListParagraph">
    <w:name w:val="List Paragraph"/>
    <w:basedOn w:val="Normal"/>
    <w:uiPriority w:val="34"/>
    <w:rsid w:val="00D70C22"/>
    <w:pPr>
      <w:ind w:left="720"/>
      <w:contextualSpacing/>
    </w:pPr>
    <w:rPr>
      <w:lang w:bidi="fr-FR"/>
    </w:rPr>
  </w:style>
  <w:style w:type="character" w:styleId="CommentReference">
    <w:name w:val="annotation reference"/>
    <w:basedOn w:val="DefaultParagraphFont"/>
    <w:uiPriority w:val="99"/>
    <w:semiHidden/>
    <w:unhideWhenUsed/>
    <w:rsid w:val="00617454"/>
    <w:rPr>
      <w:sz w:val="16"/>
      <w:szCs w:val="16"/>
    </w:rPr>
  </w:style>
  <w:style w:type="paragraph" w:styleId="CommentText">
    <w:name w:val="annotation text"/>
    <w:basedOn w:val="Normal"/>
    <w:link w:val="CommentTextChar"/>
    <w:uiPriority w:val="99"/>
    <w:semiHidden/>
    <w:unhideWhenUsed/>
    <w:rsid w:val="00617454"/>
    <w:rPr>
      <w:sz w:val="20"/>
      <w:szCs w:val="20"/>
    </w:rPr>
  </w:style>
  <w:style w:type="character" w:customStyle="1" w:styleId="CommentTextChar">
    <w:name w:val="Comment Text Char"/>
    <w:basedOn w:val="DefaultParagraphFont"/>
    <w:link w:val="CommentText"/>
    <w:uiPriority w:val="99"/>
    <w:semiHidden/>
    <w:rsid w:val="0061745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17454"/>
    <w:rPr>
      <w:b/>
      <w:bCs/>
    </w:rPr>
  </w:style>
  <w:style w:type="character" w:customStyle="1" w:styleId="CommentSubjectChar">
    <w:name w:val="Comment Subject Char"/>
    <w:basedOn w:val="CommentTextChar"/>
    <w:link w:val="CommentSubject"/>
    <w:uiPriority w:val="99"/>
    <w:semiHidden/>
    <w:rsid w:val="00617454"/>
    <w:rPr>
      <w:rFonts w:ascii="Times New Roman" w:eastAsia="Times New Roman" w:hAnsi="Times New Roman"/>
      <w:b/>
      <w:bCs/>
    </w:rPr>
  </w:style>
  <w:style w:type="character" w:styleId="FollowedHyperlink">
    <w:name w:val="FollowedHyperlink"/>
    <w:basedOn w:val="DefaultParagraphFont"/>
    <w:uiPriority w:val="99"/>
    <w:semiHidden/>
    <w:unhideWhenUsed/>
    <w:rsid w:val="009C4F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unesco.org/culture/ich/doc/src/ITH-13-8.COM-5.c-FR.doc" TargetMode="External"/><Relationship Id="rId26" Type="http://schemas.openxmlformats.org/officeDocument/2006/relationships/hyperlink" Target="http://www.unesco.org/culture/ich/doc/src/ITH-14-5.GA-5.1-FR.doc" TargetMode="External"/><Relationship Id="rId39" Type="http://schemas.openxmlformats.org/officeDocument/2006/relationships/theme" Target="theme/theme1.xml"/><Relationship Id="rId21" Type="http://schemas.openxmlformats.org/officeDocument/2006/relationships/hyperlink" Target="http://www.unesco.org/culture/ich/doc/src/ITH-14-9.COM-13.d-FR.doc" TargetMode="External"/><Relationship Id="rId34" Type="http://schemas.openxmlformats.org/officeDocument/2006/relationships/hyperlink" Target="http://unesdoc.unesco.org/images/0022/002232/223256f.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unesdoc.unesco.org/images/0022/002268/226876e.pdf" TargetMode="External"/><Relationship Id="rId25" Type="http://schemas.openxmlformats.org/officeDocument/2006/relationships/hyperlink" Target="http://www.unesco.org/culture/ich/doc/src/ITH-14-9.COM-13.h-FR.doc" TargetMode="External"/><Relationship Id="rId33" Type="http://schemas.openxmlformats.org/officeDocument/2006/relationships/hyperlink" Target="http://unesdoc.unesco.org/images/0022/002230/223095f.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nesdoc.unesco.org/images/0022/002224/222446e.pdf" TargetMode="External"/><Relationship Id="rId20" Type="http://schemas.openxmlformats.org/officeDocument/2006/relationships/hyperlink" Target="http://www.unesco.org/culture/ich/doc/src/ITH-15-10.COM-14.a_FR.docx" TargetMode="External"/><Relationship Id="rId29" Type="http://schemas.openxmlformats.org/officeDocument/2006/relationships/hyperlink" Target="http://www.unesco.org/culture/ich/doc/src/ITH-14-9.COM-13.f-FR.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unesco.org/culture/ich/doc/src/ITH-14-9.COM-13.h-FR.doc" TargetMode="External"/><Relationship Id="rId32" Type="http://schemas.openxmlformats.org/officeDocument/2006/relationships/hyperlink" Target="http://manual-part1.hq.int.unesco.org/FR/Chap5/Pages/Item5.9.aspx" TargetMode="External"/><Relationship Id="rId37"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unesdoc.unesco.org/images/0022/002230/223095e.pdf" TargetMode="External"/><Relationship Id="rId23" Type="http://schemas.openxmlformats.org/officeDocument/2006/relationships/hyperlink" Target="http://www.unesco.org/culture/ich/doc/src/ITH-15-10.COM-8_FR.docx" TargetMode="External"/><Relationship Id="rId28" Type="http://schemas.openxmlformats.org/officeDocument/2006/relationships/hyperlink" Target="http://www.unesco.org/culture/ich/doc/src/ITH-13-8.COM-5.c-FR.doc"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www.unesco.org/culture/ich/doc/src/ITH-15-10.COM-9_FR.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unesco.org/culture/ich/doc/src/ITH-13-8.COM-5.c-FR.doc" TargetMode="External"/><Relationship Id="rId27" Type="http://schemas.openxmlformats.org/officeDocument/2006/relationships/hyperlink" Target="http://unesdoc.unesco.org/images/0022/002232/223256f.pdf" TargetMode="External"/><Relationship Id="rId30" Type="http://schemas.openxmlformats.org/officeDocument/2006/relationships/hyperlink" Target="http://www.unesco.org/culture/ich/doc/src/ITH-14-9.COM-13.g-FR_.doc" TargetMode="External"/><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565E-4A6B-4AB9-86BE-E2584C87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7445</Words>
  <Characters>40948</Characters>
  <Application>Microsoft Office Word</Application>
  <DocSecurity>0</DocSecurity>
  <Lines>341</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2015-11-02T14:22:00Z</dcterms:created>
  <dcterms:modified xsi:type="dcterms:W3CDTF">2015-11-02T17:44:00Z</dcterms:modified>
</cp:coreProperties>
</file>