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5CD" w:rsidRDefault="00C405CD" w:rsidP="00BC3420">
      <w:pPr>
        <w:rPr>
          <w:rFonts w:ascii="Arial" w:hAnsi="Arial"/>
          <w:b/>
          <w:sz w:val="22"/>
          <w:szCs w:val="22"/>
          <w:highlight w:val="yellow"/>
        </w:rPr>
      </w:pPr>
    </w:p>
    <w:p w:rsidR="00BC3420" w:rsidRPr="00AC30C6" w:rsidRDefault="00BC3420" w:rsidP="001B0AF7">
      <w:pPr>
        <w:spacing w:before="1200"/>
        <w:jc w:val="center"/>
        <w:rPr>
          <w:rFonts w:ascii="Arial" w:hAnsi="Arial" w:cs="Arial"/>
          <w:b/>
          <w:sz w:val="22"/>
          <w:szCs w:val="22"/>
        </w:rPr>
      </w:pPr>
      <w:r w:rsidRPr="00AC30C6">
        <w:rPr>
          <w:rFonts w:ascii="Arial" w:hAnsi="Arial" w:cs="Arial"/>
          <w:b/>
          <w:sz w:val="22"/>
          <w:szCs w:val="22"/>
        </w:rPr>
        <w:t>CONVENTION POUR LA SAUVEGARDE DU</w:t>
      </w:r>
      <w:r w:rsidRPr="00AC30C6">
        <w:rPr>
          <w:rFonts w:ascii="Arial" w:hAnsi="Arial" w:cs="Arial"/>
          <w:b/>
          <w:sz w:val="22"/>
          <w:szCs w:val="22"/>
        </w:rPr>
        <w:br/>
        <w:t>PATRIMOINE CULTUREL IMMATÉRIEL</w:t>
      </w:r>
    </w:p>
    <w:p w:rsidR="00BC3420" w:rsidRPr="00AC30C6" w:rsidRDefault="00BC3420" w:rsidP="00BC3420">
      <w:pPr>
        <w:spacing w:before="1200"/>
        <w:jc w:val="center"/>
        <w:rPr>
          <w:rFonts w:ascii="Arial" w:hAnsi="Arial" w:cs="Arial"/>
          <w:b/>
          <w:sz w:val="22"/>
          <w:szCs w:val="22"/>
        </w:rPr>
      </w:pPr>
      <w:r w:rsidRPr="00AC30C6">
        <w:rPr>
          <w:rFonts w:ascii="Arial" w:hAnsi="Arial" w:cs="Arial"/>
          <w:b/>
          <w:sz w:val="22"/>
          <w:szCs w:val="22"/>
        </w:rPr>
        <w:t>COMITÉ INTERGOUVERNEMENTAL DE SAUVEGARDE</w:t>
      </w:r>
      <w:r w:rsidRPr="00AC30C6">
        <w:rPr>
          <w:rFonts w:ascii="Arial" w:hAnsi="Arial" w:cs="Arial"/>
          <w:b/>
          <w:sz w:val="22"/>
          <w:szCs w:val="22"/>
        </w:rPr>
        <w:br/>
        <w:t>DU PATRIMOINE CULTUREL IMMATÉRIEL</w:t>
      </w:r>
    </w:p>
    <w:p w:rsidR="00BC3420" w:rsidRPr="00AC30C6" w:rsidRDefault="00165170" w:rsidP="00BC3420">
      <w:pPr>
        <w:spacing w:before="840"/>
        <w:jc w:val="center"/>
        <w:rPr>
          <w:rFonts w:ascii="Arial" w:hAnsi="Arial" w:cs="Arial"/>
          <w:b/>
          <w:sz w:val="22"/>
          <w:szCs w:val="22"/>
        </w:rPr>
      </w:pPr>
      <w:r w:rsidRPr="00AC30C6">
        <w:rPr>
          <w:rFonts w:ascii="Arial" w:hAnsi="Arial" w:cs="Arial"/>
          <w:b/>
          <w:sz w:val="22"/>
          <w:szCs w:val="22"/>
        </w:rPr>
        <w:t>Dixième</w:t>
      </w:r>
      <w:r w:rsidR="00BC3420" w:rsidRPr="00AC30C6">
        <w:rPr>
          <w:rFonts w:ascii="Arial" w:hAnsi="Arial" w:cs="Arial"/>
          <w:b/>
          <w:sz w:val="22"/>
          <w:szCs w:val="22"/>
        </w:rPr>
        <w:t xml:space="preserve"> session</w:t>
      </w:r>
    </w:p>
    <w:p w:rsidR="00A61C6E" w:rsidRPr="00AC30C6" w:rsidRDefault="00F134B7" w:rsidP="00871C8F">
      <w:pPr>
        <w:jc w:val="center"/>
        <w:rPr>
          <w:rFonts w:ascii="Arial" w:hAnsi="Arial" w:cs="Arial"/>
          <w:b/>
          <w:sz w:val="22"/>
          <w:szCs w:val="22"/>
        </w:rPr>
      </w:pPr>
      <w:r w:rsidRPr="00AC30C6">
        <w:rPr>
          <w:rFonts w:ascii="Arial" w:hAnsi="Arial" w:cs="Arial"/>
          <w:b/>
          <w:sz w:val="22"/>
          <w:szCs w:val="22"/>
        </w:rPr>
        <w:t>Windhoek</w:t>
      </w:r>
      <w:r w:rsidR="00FC4715" w:rsidRPr="00AC30C6">
        <w:rPr>
          <w:rFonts w:ascii="Arial" w:hAnsi="Arial" w:cs="Arial"/>
          <w:b/>
          <w:sz w:val="22"/>
          <w:szCs w:val="22"/>
        </w:rPr>
        <w:t>, Namibie</w:t>
      </w:r>
    </w:p>
    <w:p w:rsidR="00BC3420" w:rsidRPr="00AC30C6" w:rsidRDefault="00764CF9" w:rsidP="00BC3420">
      <w:pPr>
        <w:jc w:val="center"/>
        <w:rPr>
          <w:rFonts w:ascii="Arial" w:hAnsi="Arial" w:cs="Arial"/>
          <w:b/>
          <w:sz w:val="22"/>
          <w:szCs w:val="22"/>
        </w:rPr>
      </w:pPr>
      <w:r w:rsidRPr="00AC30C6">
        <w:rPr>
          <w:rFonts w:ascii="Arial" w:hAnsi="Arial" w:cs="Arial"/>
          <w:b/>
          <w:sz w:val="22"/>
          <w:szCs w:val="22"/>
        </w:rPr>
        <w:t>30</w:t>
      </w:r>
      <w:r w:rsidR="00165170" w:rsidRPr="00AC30C6">
        <w:rPr>
          <w:rFonts w:ascii="Arial" w:hAnsi="Arial" w:cs="Arial"/>
          <w:b/>
          <w:sz w:val="22"/>
          <w:szCs w:val="22"/>
        </w:rPr>
        <w:t xml:space="preserve"> novembre</w:t>
      </w:r>
      <w:r w:rsidR="00BC3420" w:rsidRPr="00AC30C6">
        <w:rPr>
          <w:rFonts w:ascii="Arial" w:hAnsi="Arial" w:cs="Arial"/>
          <w:b/>
          <w:sz w:val="22"/>
          <w:szCs w:val="22"/>
        </w:rPr>
        <w:t xml:space="preserve"> – </w:t>
      </w:r>
      <w:r w:rsidR="00165170" w:rsidRPr="00AC30C6">
        <w:rPr>
          <w:rFonts w:ascii="Arial" w:hAnsi="Arial" w:cs="Arial"/>
          <w:b/>
          <w:sz w:val="22"/>
          <w:szCs w:val="22"/>
        </w:rPr>
        <w:t>4</w:t>
      </w:r>
      <w:r w:rsidR="00BC3420" w:rsidRPr="00AC30C6">
        <w:rPr>
          <w:rFonts w:ascii="Arial" w:hAnsi="Arial" w:cs="Arial"/>
          <w:b/>
          <w:sz w:val="22"/>
          <w:szCs w:val="22"/>
        </w:rPr>
        <w:t xml:space="preserve"> </w:t>
      </w:r>
      <w:r w:rsidR="00165170" w:rsidRPr="00AC30C6">
        <w:rPr>
          <w:rFonts w:ascii="Arial" w:hAnsi="Arial" w:cs="Arial"/>
          <w:b/>
          <w:sz w:val="22"/>
          <w:szCs w:val="22"/>
        </w:rPr>
        <w:t>décembre</w:t>
      </w:r>
      <w:r w:rsidRPr="00AC30C6">
        <w:rPr>
          <w:rFonts w:ascii="Arial" w:hAnsi="Arial" w:cs="Arial"/>
          <w:b/>
          <w:sz w:val="22"/>
          <w:szCs w:val="22"/>
        </w:rPr>
        <w:t xml:space="preserve"> 2015</w:t>
      </w:r>
    </w:p>
    <w:p w:rsidR="00BC3420" w:rsidRPr="00AC30C6" w:rsidRDefault="00BC3420" w:rsidP="00A87C65">
      <w:pPr>
        <w:pStyle w:val="Sansinterligne2"/>
        <w:spacing w:before="840"/>
        <w:jc w:val="center"/>
        <w:rPr>
          <w:rFonts w:ascii="Arial" w:hAnsi="Arial" w:cs="Arial"/>
          <w:b/>
          <w:sz w:val="22"/>
          <w:szCs w:val="22"/>
        </w:rPr>
      </w:pPr>
      <w:r w:rsidRPr="00AC30C6">
        <w:rPr>
          <w:rFonts w:ascii="Arial" w:hAnsi="Arial" w:cs="Arial"/>
          <w:b/>
          <w:sz w:val="22"/>
          <w:szCs w:val="22"/>
          <w:u w:val="single"/>
        </w:rPr>
        <w:t xml:space="preserve">Point </w:t>
      </w:r>
      <w:r w:rsidR="004A3E88">
        <w:rPr>
          <w:rFonts w:ascii="Arial" w:hAnsi="Arial" w:cs="Arial"/>
          <w:b/>
          <w:sz w:val="22"/>
          <w:szCs w:val="22"/>
          <w:u w:val="single"/>
        </w:rPr>
        <w:t>14</w:t>
      </w:r>
      <w:r w:rsidR="00C81057" w:rsidRPr="00AC30C6">
        <w:rPr>
          <w:rFonts w:ascii="Arial" w:hAnsi="Arial" w:cs="Arial"/>
          <w:b/>
          <w:sz w:val="22"/>
          <w:szCs w:val="22"/>
          <w:u w:val="single"/>
        </w:rPr>
        <w:t>.b</w:t>
      </w:r>
      <w:r w:rsidRPr="00AC30C6">
        <w:rPr>
          <w:rFonts w:ascii="Arial" w:hAnsi="Arial" w:cs="Arial"/>
          <w:b/>
          <w:sz w:val="22"/>
          <w:szCs w:val="22"/>
          <w:u w:val="single"/>
        </w:rPr>
        <w:t xml:space="preserve"> l’ordre du jour provisoire </w:t>
      </w:r>
      <w:r w:rsidRPr="00AC30C6">
        <w:rPr>
          <w:rFonts w:ascii="Arial" w:hAnsi="Arial" w:cs="Arial"/>
          <w:b/>
          <w:sz w:val="22"/>
          <w:szCs w:val="22"/>
        </w:rPr>
        <w:t>:</w:t>
      </w:r>
    </w:p>
    <w:p w:rsidR="00D80DC4" w:rsidRPr="00AC30C6" w:rsidRDefault="00D80DC4" w:rsidP="00DB658C">
      <w:pPr>
        <w:pStyle w:val="NoSpacing"/>
        <w:spacing w:after="1200"/>
        <w:jc w:val="center"/>
        <w:rPr>
          <w:rFonts w:ascii="Arial" w:hAnsi="Arial" w:cs="Arial"/>
          <w:b/>
          <w:sz w:val="22"/>
          <w:szCs w:val="22"/>
        </w:rPr>
      </w:pPr>
      <w:r w:rsidRPr="00360C05">
        <w:rPr>
          <w:rFonts w:ascii="Arial" w:hAnsi="Arial" w:cs="Arial"/>
          <w:b/>
          <w:sz w:val="22"/>
          <w:szCs w:val="22"/>
        </w:rPr>
        <w:t xml:space="preserve">Projet d’amendement </w:t>
      </w:r>
      <w:r w:rsidR="00827D81" w:rsidRPr="00360C05">
        <w:rPr>
          <w:rFonts w:ascii="Arial" w:hAnsi="Arial" w:cs="Arial"/>
          <w:b/>
          <w:sz w:val="22"/>
          <w:szCs w:val="22"/>
        </w:rPr>
        <w:t>des</w:t>
      </w:r>
      <w:r w:rsidRPr="00360C05">
        <w:rPr>
          <w:rFonts w:ascii="Arial" w:hAnsi="Arial" w:cs="Arial"/>
          <w:b/>
          <w:sz w:val="22"/>
          <w:szCs w:val="22"/>
        </w:rPr>
        <w:t xml:space="preserve"> Directives opérationnelles concernant l’option </w:t>
      </w:r>
      <w:r w:rsidR="00C54C16" w:rsidRPr="00360C05">
        <w:rPr>
          <w:rFonts w:ascii="Arial" w:hAnsi="Arial" w:cs="Arial"/>
          <w:b/>
          <w:sz w:val="22"/>
          <w:szCs w:val="22"/>
        </w:rPr>
        <w:t>de renvoi</w:t>
      </w:r>
    </w:p>
    <w:tbl>
      <w:tblPr>
        <w:tblW w:w="60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tblGrid>
      <w:tr w:rsidR="00BC3420" w:rsidRPr="00AC30C6" w:rsidTr="00DB658C">
        <w:trPr>
          <w:jc w:val="center"/>
        </w:trPr>
        <w:tc>
          <w:tcPr>
            <w:tcW w:w="6096" w:type="dxa"/>
            <w:vAlign w:val="center"/>
          </w:tcPr>
          <w:p w:rsidR="00BC3420" w:rsidRPr="00AC30C6" w:rsidRDefault="00BC3420" w:rsidP="00A87C65">
            <w:pPr>
              <w:pStyle w:val="Sansinterligne1"/>
              <w:spacing w:before="200" w:after="200"/>
              <w:jc w:val="center"/>
              <w:rPr>
                <w:rFonts w:ascii="Arial" w:hAnsi="Arial" w:cs="Arial"/>
                <w:b/>
                <w:sz w:val="22"/>
                <w:szCs w:val="22"/>
              </w:rPr>
            </w:pPr>
            <w:r w:rsidRPr="00AC30C6">
              <w:rPr>
                <w:rFonts w:ascii="Arial" w:hAnsi="Arial" w:cs="Arial"/>
                <w:b/>
                <w:sz w:val="22"/>
                <w:szCs w:val="22"/>
              </w:rPr>
              <w:t>Résumé</w:t>
            </w:r>
          </w:p>
          <w:p w:rsidR="00BC3420" w:rsidRPr="00AC30C6" w:rsidRDefault="00807197" w:rsidP="0019264E">
            <w:pPr>
              <w:pStyle w:val="Sansinterligne1"/>
              <w:jc w:val="both"/>
              <w:rPr>
                <w:rFonts w:ascii="Arial" w:hAnsi="Arial" w:cs="Arial"/>
                <w:sz w:val="22"/>
                <w:szCs w:val="22"/>
              </w:rPr>
            </w:pPr>
            <w:r w:rsidRPr="00360C05">
              <w:rPr>
                <w:rFonts w:ascii="Arial" w:hAnsi="Arial" w:cs="Arial"/>
                <w:sz w:val="22"/>
                <w:szCs w:val="22"/>
              </w:rPr>
              <w:t xml:space="preserve">Lors de sa troisième session, l’Assemblée générale des </w:t>
            </w:r>
            <w:r w:rsidR="00AC30C6" w:rsidRPr="00360C05">
              <w:rPr>
                <w:rFonts w:ascii="Arial" w:hAnsi="Arial" w:cs="Arial"/>
                <w:sz w:val="22"/>
                <w:szCs w:val="22"/>
              </w:rPr>
              <w:t>États</w:t>
            </w:r>
            <w:r w:rsidRPr="00360C05">
              <w:rPr>
                <w:rFonts w:ascii="Arial" w:hAnsi="Arial" w:cs="Arial"/>
                <w:sz w:val="22"/>
                <w:szCs w:val="22"/>
              </w:rPr>
              <w:t xml:space="preserve"> parties a introduit dans les Directives opérationnelles</w:t>
            </w:r>
            <w:r w:rsidR="00BE50A5" w:rsidRPr="00360C05">
              <w:rPr>
                <w:rFonts w:ascii="Arial" w:hAnsi="Arial" w:cs="Arial"/>
                <w:sz w:val="22"/>
                <w:szCs w:val="22"/>
              </w:rPr>
              <w:t xml:space="preserve"> l’option de renvoi pour les candidatures à la Liste représentative du patrimoine culturel immatériel de l’humanité</w:t>
            </w:r>
            <w:r w:rsidR="00C81057" w:rsidRPr="00360C05">
              <w:rPr>
                <w:rFonts w:ascii="Arial" w:hAnsi="Arial" w:cs="Arial"/>
                <w:sz w:val="22"/>
                <w:szCs w:val="22"/>
              </w:rPr>
              <w:t xml:space="preserve"> (</w:t>
            </w:r>
            <w:r w:rsidR="00BE50A5" w:rsidRPr="00360C05">
              <w:rPr>
                <w:rFonts w:ascii="Arial" w:hAnsi="Arial" w:cs="Arial"/>
                <w:sz w:val="22"/>
                <w:szCs w:val="22"/>
              </w:rPr>
              <w:t>juin</w:t>
            </w:r>
            <w:r w:rsidR="00C81057" w:rsidRPr="00360C05">
              <w:rPr>
                <w:rFonts w:ascii="Arial" w:hAnsi="Arial" w:cs="Arial"/>
                <w:sz w:val="22"/>
                <w:szCs w:val="22"/>
              </w:rPr>
              <w:t xml:space="preserve"> 2010). </w:t>
            </w:r>
            <w:r w:rsidR="00BE50A5" w:rsidRPr="00360C05">
              <w:rPr>
                <w:rFonts w:ascii="Arial" w:hAnsi="Arial" w:cs="Arial"/>
                <w:sz w:val="22"/>
                <w:szCs w:val="22"/>
              </w:rPr>
              <w:t>Lors de sa neuvième session, le Comité a décidé que l’option de renvoi devait être é</w:t>
            </w:r>
            <w:r w:rsidR="005B65CA" w:rsidRPr="00360C05">
              <w:rPr>
                <w:rFonts w:ascii="Arial" w:hAnsi="Arial" w:cs="Arial"/>
                <w:sz w:val="22"/>
                <w:szCs w:val="22"/>
              </w:rPr>
              <w:t>largi</w:t>
            </w:r>
            <w:r w:rsidR="00BE50A5" w:rsidRPr="00360C05">
              <w:rPr>
                <w:rFonts w:ascii="Arial" w:hAnsi="Arial" w:cs="Arial"/>
                <w:sz w:val="22"/>
                <w:szCs w:val="22"/>
              </w:rPr>
              <w:t xml:space="preserve">e aux candidatures à la Liste du patrimoine culturel immatériel nécessitant une sauvegarde urgente (décision </w:t>
            </w:r>
            <w:r w:rsidR="00C81057" w:rsidRPr="00360C05">
              <w:rPr>
                <w:rFonts w:ascii="Arial" w:hAnsi="Arial" w:cs="Arial"/>
                <w:sz w:val="22"/>
                <w:szCs w:val="22"/>
              </w:rPr>
              <w:t>9 COM 13.c). I</w:t>
            </w:r>
            <w:r w:rsidR="005B65CA" w:rsidRPr="00360C05">
              <w:rPr>
                <w:rFonts w:ascii="Arial" w:hAnsi="Arial" w:cs="Arial"/>
                <w:sz w:val="22"/>
                <w:szCs w:val="22"/>
              </w:rPr>
              <w:t xml:space="preserve">l a également décidé de supprimer l’interdiction de </w:t>
            </w:r>
            <w:r w:rsidR="005416D7" w:rsidRPr="00360C05">
              <w:rPr>
                <w:rFonts w:ascii="Arial" w:hAnsi="Arial" w:cs="Arial"/>
                <w:sz w:val="22"/>
                <w:szCs w:val="22"/>
              </w:rPr>
              <w:t>re</w:t>
            </w:r>
            <w:r w:rsidR="005B65CA" w:rsidRPr="00360C05">
              <w:rPr>
                <w:rFonts w:ascii="Arial" w:hAnsi="Arial" w:cs="Arial"/>
                <w:sz w:val="22"/>
                <w:szCs w:val="22"/>
              </w:rPr>
              <w:t>soumettre un</w:t>
            </w:r>
            <w:r w:rsidR="005416D7" w:rsidRPr="00360C05">
              <w:rPr>
                <w:rFonts w:ascii="Arial" w:hAnsi="Arial" w:cs="Arial"/>
                <w:sz w:val="22"/>
                <w:szCs w:val="22"/>
              </w:rPr>
              <w:t>e</w:t>
            </w:r>
            <w:r w:rsidR="005B65CA" w:rsidRPr="00360C05">
              <w:rPr>
                <w:rFonts w:ascii="Arial" w:hAnsi="Arial" w:cs="Arial"/>
                <w:sz w:val="22"/>
                <w:szCs w:val="22"/>
              </w:rPr>
              <w:t xml:space="preserve"> </w:t>
            </w:r>
            <w:r w:rsidR="005416D7" w:rsidRPr="00360C05">
              <w:rPr>
                <w:rFonts w:ascii="Arial" w:hAnsi="Arial" w:cs="Arial"/>
                <w:sz w:val="22"/>
                <w:szCs w:val="22"/>
              </w:rPr>
              <w:t xml:space="preserve">candidature à </w:t>
            </w:r>
            <w:r w:rsidR="005B65CA" w:rsidRPr="00360C05">
              <w:rPr>
                <w:rFonts w:ascii="Arial" w:hAnsi="Arial" w:cs="Arial"/>
                <w:sz w:val="22"/>
                <w:szCs w:val="22"/>
              </w:rPr>
              <w:t xml:space="preserve">la Liste représentative pendant quatre ans après </w:t>
            </w:r>
            <w:r w:rsidR="00827D81" w:rsidRPr="00360C05">
              <w:rPr>
                <w:rFonts w:ascii="Arial" w:hAnsi="Arial" w:cs="Arial"/>
                <w:sz w:val="22"/>
                <w:szCs w:val="22"/>
              </w:rPr>
              <w:t>une</w:t>
            </w:r>
            <w:r w:rsidR="005B65CA" w:rsidRPr="00360C05">
              <w:rPr>
                <w:rFonts w:ascii="Arial" w:hAnsi="Arial" w:cs="Arial"/>
                <w:sz w:val="22"/>
                <w:szCs w:val="22"/>
              </w:rPr>
              <w:t xml:space="preserve"> décision de n</w:t>
            </w:r>
            <w:r w:rsidR="00827D81" w:rsidRPr="00360C05">
              <w:rPr>
                <w:rFonts w:ascii="Arial" w:hAnsi="Arial" w:cs="Arial"/>
                <w:sz w:val="22"/>
                <w:szCs w:val="22"/>
              </w:rPr>
              <w:t>on-inscription</w:t>
            </w:r>
            <w:r w:rsidR="00C81057" w:rsidRPr="00360C05">
              <w:rPr>
                <w:rFonts w:ascii="Arial" w:hAnsi="Arial" w:cs="Arial"/>
                <w:sz w:val="22"/>
                <w:szCs w:val="22"/>
              </w:rPr>
              <w:t xml:space="preserve">. </w:t>
            </w:r>
            <w:r w:rsidR="00827D81" w:rsidRPr="00360C05">
              <w:rPr>
                <w:rFonts w:ascii="Arial" w:hAnsi="Arial" w:cs="Arial"/>
                <w:sz w:val="22"/>
                <w:szCs w:val="22"/>
              </w:rPr>
              <w:t>Le présent document propose un projet de texte d’amendement des Directives opérationnelles dans ce sens.</w:t>
            </w:r>
          </w:p>
          <w:p w:rsidR="00BC3420" w:rsidRPr="00AC30C6" w:rsidRDefault="00BC3420" w:rsidP="00B252DE">
            <w:pPr>
              <w:pStyle w:val="Sansinterligne2"/>
              <w:spacing w:before="200" w:after="200"/>
              <w:ind w:right="284"/>
              <w:jc w:val="both"/>
              <w:rPr>
                <w:rFonts w:ascii="Arial" w:hAnsi="Arial" w:cs="Arial"/>
                <w:b/>
                <w:sz w:val="22"/>
                <w:szCs w:val="22"/>
              </w:rPr>
            </w:pPr>
            <w:r w:rsidRPr="00AC30C6">
              <w:rPr>
                <w:rFonts w:ascii="Arial" w:hAnsi="Arial" w:cs="Arial"/>
                <w:b/>
                <w:sz w:val="22"/>
                <w:szCs w:val="22"/>
              </w:rPr>
              <w:t xml:space="preserve">Décision requise : </w:t>
            </w:r>
            <w:r w:rsidRPr="00AC30C6">
              <w:rPr>
                <w:rFonts w:ascii="Arial" w:hAnsi="Arial" w:cs="Arial"/>
                <w:bCs/>
                <w:sz w:val="22"/>
                <w:szCs w:val="22"/>
              </w:rPr>
              <w:t xml:space="preserve">paragraphe </w:t>
            </w:r>
            <w:r w:rsidR="00B252DE" w:rsidRPr="00AC30C6">
              <w:rPr>
                <w:rFonts w:ascii="Arial" w:hAnsi="Arial" w:cs="Arial"/>
                <w:bCs/>
                <w:sz w:val="22"/>
                <w:szCs w:val="22"/>
              </w:rPr>
              <w:t>8</w:t>
            </w:r>
          </w:p>
        </w:tc>
      </w:tr>
    </w:tbl>
    <w:p w:rsidR="00BC3420" w:rsidRPr="00AC30C6" w:rsidRDefault="00BC3420" w:rsidP="00B754D5">
      <w:pPr>
        <w:pStyle w:val="COMParabodytext"/>
        <w:rPr>
          <w:lang w:val="fr-FR"/>
        </w:rPr>
      </w:pPr>
      <w:r w:rsidRPr="00AC30C6">
        <w:rPr>
          <w:lang w:val="fr-FR"/>
        </w:rPr>
        <w:br w:type="page"/>
      </w:r>
      <w:r w:rsidR="00AC30C6" w:rsidRPr="00AC30C6">
        <w:rPr>
          <w:lang w:val="fr-FR"/>
        </w:rPr>
        <w:lastRenderedPageBreak/>
        <w:t>L’option de renvoi, valable jusqu’à présent uniquement pour les candidatures à la Liste représentative du patrimoine culturel immatériel de l’humanité, a été introduite dans les Directives opérationnelles par l’Assemblée générale lors de sa troisième session en juin 2010 (</w:t>
      </w:r>
      <w:r w:rsidR="00AC30C6">
        <w:rPr>
          <w:lang w:val="fr-FR"/>
        </w:rPr>
        <w:t>ré</w:t>
      </w:r>
      <w:r w:rsidR="00AC30C6" w:rsidRPr="00AC30C6">
        <w:rPr>
          <w:lang w:val="fr-FR"/>
        </w:rPr>
        <w:t xml:space="preserve">solution 3 GA 5). </w:t>
      </w:r>
      <w:r w:rsidR="00D670F2" w:rsidRPr="00AC30C6">
        <w:rPr>
          <w:lang w:val="fr-FR"/>
        </w:rPr>
        <w:t xml:space="preserve">Lors de sa quatrième </w:t>
      </w:r>
      <w:r w:rsidR="00B252DE" w:rsidRPr="00AC30C6">
        <w:rPr>
          <w:lang w:val="fr-FR"/>
        </w:rPr>
        <w:t xml:space="preserve">session </w:t>
      </w:r>
      <w:r w:rsidR="00D670F2" w:rsidRPr="00AC30C6">
        <w:rPr>
          <w:lang w:val="fr-FR"/>
        </w:rPr>
        <w:t>e</w:t>
      </w:r>
      <w:r w:rsidR="00B252DE" w:rsidRPr="00AC30C6">
        <w:rPr>
          <w:lang w:val="fr-FR"/>
        </w:rPr>
        <w:t xml:space="preserve">n </w:t>
      </w:r>
      <w:r w:rsidR="00D670F2" w:rsidRPr="00AC30C6">
        <w:rPr>
          <w:lang w:val="fr-FR"/>
        </w:rPr>
        <w:t>juin</w:t>
      </w:r>
      <w:r w:rsidR="00B252DE" w:rsidRPr="00AC30C6">
        <w:rPr>
          <w:lang w:val="fr-FR"/>
        </w:rPr>
        <w:t xml:space="preserve"> 2012, </w:t>
      </w:r>
      <w:r w:rsidR="00D670F2" w:rsidRPr="00AC30C6">
        <w:rPr>
          <w:lang w:val="fr-FR"/>
        </w:rPr>
        <w:t xml:space="preserve">l’Assemblée a demandé au Comité </w:t>
      </w:r>
      <w:r w:rsidR="005416D7" w:rsidRPr="00AC30C6">
        <w:rPr>
          <w:lang w:val="fr-FR"/>
        </w:rPr>
        <w:t>d’en</w:t>
      </w:r>
      <w:r w:rsidR="005416D7">
        <w:rPr>
          <w:lang w:val="fr-FR"/>
        </w:rPr>
        <w:t>tamer</w:t>
      </w:r>
      <w:r w:rsidR="005416D7" w:rsidRPr="00AC30C6">
        <w:rPr>
          <w:lang w:val="fr-FR"/>
        </w:rPr>
        <w:t xml:space="preserve"> </w:t>
      </w:r>
      <w:r w:rsidR="00D670F2" w:rsidRPr="00AC30C6">
        <w:rPr>
          <w:lang w:val="fr-FR"/>
        </w:rPr>
        <w:t>un</w:t>
      </w:r>
      <w:r w:rsidR="005416D7">
        <w:rPr>
          <w:lang w:val="fr-FR"/>
        </w:rPr>
        <w:t xml:space="preserve"> processus de</w:t>
      </w:r>
      <w:r w:rsidR="00D670F2" w:rsidRPr="00AC30C6">
        <w:rPr>
          <w:lang w:val="fr-FR"/>
        </w:rPr>
        <w:t xml:space="preserve"> réflexion sur l</w:t>
      </w:r>
      <w:r w:rsidR="005416D7">
        <w:rPr>
          <w:lang w:val="fr-FR"/>
        </w:rPr>
        <w:t xml:space="preserve">es </w:t>
      </w:r>
      <w:r w:rsidR="00D670F2" w:rsidRPr="00AC30C6">
        <w:rPr>
          <w:lang w:val="fr-FR"/>
        </w:rPr>
        <w:t>expérience</w:t>
      </w:r>
      <w:r w:rsidR="005416D7">
        <w:rPr>
          <w:lang w:val="fr-FR"/>
        </w:rPr>
        <w:t>s</w:t>
      </w:r>
      <w:r w:rsidR="00D670F2" w:rsidRPr="00AC30C6">
        <w:rPr>
          <w:lang w:val="fr-FR"/>
        </w:rPr>
        <w:t xml:space="preserve"> acquise</w:t>
      </w:r>
      <w:r w:rsidR="005416D7">
        <w:rPr>
          <w:lang w:val="fr-FR"/>
        </w:rPr>
        <w:t>s</w:t>
      </w:r>
      <w:r w:rsidR="00D670F2" w:rsidRPr="00AC30C6">
        <w:rPr>
          <w:lang w:val="fr-FR"/>
        </w:rPr>
        <w:t xml:space="preserve"> dans la mise en œuvre de l’option de renvoi et </w:t>
      </w:r>
      <w:r w:rsidR="009C05B6" w:rsidRPr="00AC30C6">
        <w:rPr>
          <w:lang w:val="fr-FR"/>
        </w:rPr>
        <w:t>d’en faire rapport (ré</w:t>
      </w:r>
      <w:r w:rsidR="00B252DE" w:rsidRPr="00AC30C6">
        <w:rPr>
          <w:lang w:val="fr-FR"/>
        </w:rPr>
        <w:t xml:space="preserve">solution 4.GA 5). </w:t>
      </w:r>
      <w:r w:rsidR="009C05B6" w:rsidRPr="00AC30C6">
        <w:rPr>
          <w:lang w:val="fr-FR"/>
        </w:rPr>
        <w:t>L</w:t>
      </w:r>
      <w:r w:rsidR="00B252DE" w:rsidRPr="00AC30C6">
        <w:rPr>
          <w:lang w:val="fr-FR"/>
        </w:rPr>
        <w:t>e Comit</w:t>
      </w:r>
      <w:r w:rsidR="009C05B6" w:rsidRPr="00AC30C6">
        <w:rPr>
          <w:lang w:val="fr-FR"/>
        </w:rPr>
        <w:t>é</w:t>
      </w:r>
      <w:r w:rsidR="00B252DE" w:rsidRPr="00AC30C6">
        <w:rPr>
          <w:lang w:val="fr-FR"/>
        </w:rPr>
        <w:t xml:space="preserve"> </w:t>
      </w:r>
      <w:r w:rsidR="009C05B6" w:rsidRPr="00AC30C6">
        <w:rPr>
          <w:lang w:val="fr-FR"/>
        </w:rPr>
        <w:t xml:space="preserve">a engagé cette réflexion lors de sa septième </w:t>
      </w:r>
      <w:r w:rsidR="00B252DE" w:rsidRPr="00AC30C6">
        <w:rPr>
          <w:lang w:val="fr-FR"/>
        </w:rPr>
        <w:t>session (</w:t>
      </w:r>
      <w:hyperlink r:id="rId8" w:history="1">
        <w:r w:rsidR="009C05B6" w:rsidRPr="00360C05">
          <w:rPr>
            <w:rStyle w:val="Hyperlink"/>
            <w:lang w:val="fr-FR"/>
          </w:rPr>
          <w:t>d</w:t>
        </w:r>
        <w:r w:rsidR="00B252DE" w:rsidRPr="00360C05">
          <w:rPr>
            <w:rStyle w:val="Hyperlink"/>
            <w:lang w:val="fr-FR"/>
          </w:rPr>
          <w:t>ocument ITH/12/7.COM 13.a</w:t>
        </w:r>
      </w:hyperlink>
      <w:r w:rsidR="00B252DE" w:rsidRPr="00AC30C6">
        <w:rPr>
          <w:lang w:val="fr-FR"/>
        </w:rPr>
        <w:t xml:space="preserve">) </w:t>
      </w:r>
      <w:r w:rsidR="009C05B6" w:rsidRPr="00AC30C6">
        <w:rPr>
          <w:lang w:val="fr-FR"/>
        </w:rPr>
        <w:t xml:space="preserve">et l’a poursuivi à ses huitième </w:t>
      </w:r>
      <w:r w:rsidR="00B252DE" w:rsidRPr="00AC30C6">
        <w:rPr>
          <w:lang w:val="fr-FR"/>
        </w:rPr>
        <w:t>(</w:t>
      </w:r>
      <w:hyperlink r:id="rId9" w:history="1">
        <w:r w:rsidR="009C05B6" w:rsidRPr="00360C05">
          <w:rPr>
            <w:rStyle w:val="Hyperlink"/>
            <w:lang w:val="fr-FR"/>
          </w:rPr>
          <w:t>d</w:t>
        </w:r>
        <w:r w:rsidR="00B252DE" w:rsidRPr="00360C05">
          <w:rPr>
            <w:rStyle w:val="Hyperlink"/>
            <w:lang w:val="fr-FR"/>
          </w:rPr>
          <w:t>ocument ITH/13/8.COM 13.b</w:t>
        </w:r>
      </w:hyperlink>
      <w:r w:rsidR="00B252DE" w:rsidRPr="00AC30C6">
        <w:rPr>
          <w:lang w:val="fr-FR"/>
        </w:rPr>
        <w:t xml:space="preserve">) </w:t>
      </w:r>
      <w:r w:rsidR="009C05B6" w:rsidRPr="00AC30C6">
        <w:rPr>
          <w:lang w:val="fr-FR"/>
        </w:rPr>
        <w:t>et neuvième</w:t>
      </w:r>
      <w:r w:rsidR="00B252DE" w:rsidRPr="00AC30C6">
        <w:rPr>
          <w:lang w:val="fr-FR"/>
        </w:rPr>
        <w:t xml:space="preserve"> sessions (</w:t>
      </w:r>
      <w:hyperlink r:id="rId10" w:history="1">
        <w:r w:rsidR="009C05B6" w:rsidRPr="00360C05">
          <w:rPr>
            <w:rStyle w:val="Hyperlink"/>
            <w:lang w:val="fr-FR"/>
          </w:rPr>
          <w:t>d</w:t>
        </w:r>
        <w:r w:rsidR="00B252DE" w:rsidRPr="00360C05">
          <w:rPr>
            <w:rStyle w:val="Hyperlink"/>
            <w:lang w:val="fr-FR"/>
          </w:rPr>
          <w:t>ocument</w:t>
        </w:r>
        <w:r w:rsidR="00360C05" w:rsidRPr="00360C05">
          <w:rPr>
            <w:rStyle w:val="Hyperlink"/>
            <w:lang w:val="fr-FR"/>
          </w:rPr>
          <w:t> </w:t>
        </w:r>
        <w:r w:rsidR="00B252DE" w:rsidRPr="00360C05">
          <w:rPr>
            <w:rStyle w:val="Hyperlink"/>
            <w:lang w:val="fr-FR"/>
          </w:rPr>
          <w:t>ITH/14/9.COM 13.c</w:t>
        </w:r>
      </w:hyperlink>
      <w:r w:rsidR="00B252DE" w:rsidRPr="00AC30C6">
        <w:rPr>
          <w:lang w:val="fr-FR"/>
        </w:rPr>
        <w:t>).</w:t>
      </w:r>
    </w:p>
    <w:p w:rsidR="008D47FF" w:rsidRPr="00AC30C6" w:rsidRDefault="008D47FF" w:rsidP="00B754D5">
      <w:pPr>
        <w:pStyle w:val="COMParabodytext"/>
        <w:rPr>
          <w:lang w:val="fr-FR"/>
        </w:rPr>
      </w:pPr>
      <w:r w:rsidRPr="00AC30C6">
        <w:rPr>
          <w:lang w:val="fr-FR"/>
        </w:rPr>
        <w:t xml:space="preserve">Comme l’ont souligné à de nombreuses reprises les organes d’évaluation et le Comité lui-même, les candidatures aux listes de la Convention sont évaluées et examinées exclusivement sur la base des informations fournies dans le dossier de candidature et </w:t>
      </w:r>
      <w:r w:rsidR="00B754D5">
        <w:rPr>
          <w:lang w:val="fr-FR"/>
        </w:rPr>
        <w:t>l</w:t>
      </w:r>
      <w:r w:rsidRPr="00AC30C6">
        <w:rPr>
          <w:lang w:val="fr-FR"/>
        </w:rPr>
        <w:t xml:space="preserve">es annexes </w:t>
      </w:r>
      <w:r w:rsidR="00B754D5">
        <w:rPr>
          <w:lang w:val="fr-FR"/>
        </w:rPr>
        <w:t>requises</w:t>
      </w:r>
      <w:r w:rsidR="003B077D" w:rsidRPr="00AC30C6">
        <w:rPr>
          <w:lang w:val="fr-FR"/>
        </w:rPr>
        <w:t>,</w:t>
      </w:r>
      <w:r w:rsidRPr="00AC30C6">
        <w:rPr>
          <w:lang w:val="fr-FR"/>
        </w:rPr>
        <w:t xml:space="preserve"> telles que vidéos et photographies, </w:t>
      </w:r>
      <w:r w:rsidR="00A73085" w:rsidRPr="00AC30C6">
        <w:rPr>
          <w:lang w:val="fr-FR"/>
        </w:rPr>
        <w:t xml:space="preserve">accompagnés de la preuve du consentement libre, préalable et </w:t>
      </w:r>
      <w:r w:rsidR="00B754D5">
        <w:rPr>
          <w:lang w:val="fr-FR"/>
        </w:rPr>
        <w:t>inform</w:t>
      </w:r>
      <w:r w:rsidR="00A73085" w:rsidRPr="00AC30C6">
        <w:rPr>
          <w:lang w:val="fr-FR"/>
        </w:rPr>
        <w:t>é de la communauté et d’un inventaire </w:t>
      </w:r>
      <w:r w:rsidRPr="00AC30C6">
        <w:rPr>
          <w:lang w:val="fr-FR"/>
        </w:rPr>
        <w:t xml:space="preserve">; </w:t>
      </w:r>
      <w:r w:rsidR="00A73085" w:rsidRPr="00AC30C6">
        <w:rPr>
          <w:lang w:val="fr-FR"/>
        </w:rPr>
        <w:t xml:space="preserve">les organes et le Comité ne portent aucun jugement sur l’élément </w:t>
      </w:r>
      <w:r w:rsidR="00CF79E7">
        <w:rPr>
          <w:lang w:val="fr-FR"/>
        </w:rPr>
        <w:t xml:space="preserve">concerné par </w:t>
      </w:r>
      <w:r w:rsidR="00A73085" w:rsidRPr="00AC30C6">
        <w:rPr>
          <w:lang w:val="fr-FR"/>
        </w:rPr>
        <w:t>la candidature</w:t>
      </w:r>
      <w:r w:rsidRPr="00AC30C6">
        <w:rPr>
          <w:lang w:val="fr-FR"/>
        </w:rPr>
        <w:t xml:space="preserve">. </w:t>
      </w:r>
      <w:r w:rsidR="00A73085" w:rsidRPr="00AC30C6">
        <w:rPr>
          <w:lang w:val="fr-FR"/>
        </w:rPr>
        <w:t xml:space="preserve">Il est demandé aux </w:t>
      </w:r>
      <w:r w:rsidR="00AC30C6" w:rsidRPr="00AC30C6">
        <w:rPr>
          <w:lang w:val="fr-FR"/>
        </w:rPr>
        <w:t>États</w:t>
      </w:r>
      <w:r w:rsidR="00A73085" w:rsidRPr="00AC30C6">
        <w:rPr>
          <w:lang w:val="fr-FR"/>
        </w:rPr>
        <w:t xml:space="preserve"> qui soumettent une candidature de montrer que les critères </w:t>
      </w:r>
      <w:r w:rsidR="00DA3BEF" w:rsidRPr="00AC30C6">
        <w:rPr>
          <w:lang w:val="fr-FR"/>
        </w:rPr>
        <w:t>applicables</w:t>
      </w:r>
      <w:r w:rsidR="00A73085" w:rsidRPr="00AC30C6">
        <w:rPr>
          <w:lang w:val="fr-FR"/>
        </w:rPr>
        <w:t xml:space="preserve"> sont remplis</w:t>
      </w:r>
      <w:r w:rsidRPr="00AC30C6">
        <w:rPr>
          <w:lang w:val="fr-FR"/>
        </w:rPr>
        <w:t xml:space="preserve">. </w:t>
      </w:r>
      <w:r w:rsidR="0064726A" w:rsidRPr="00AC30C6">
        <w:rPr>
          <w:lang w:val="fr-FR"/>
        </w:rPr>
        <w:t>C’est ainsi que</w:t>
      </w:r>
      <w:r w:rsidR="00DA3BEF" w:rsidRPr="00AC30C6">
        <w:rPr>
          <w:lang w:val="fr-FR"/>
        </w:rPr>
        <w:t>, dans la vaste majorité des cas où un élément n’a pu être inscrit, les organes d’évaluation et le Comité ont conclu que les informations fournies ne permettaient pas de démontrer que les critères étaient remplis</w:t>
      </w:r>
      <w:r w:rsidRPr="00AC30C6">
        <w:rPr>
          <w:lang w:val="fr-FR"/>
        </w:rPr>
        <w:t>.</w:t>
      </w:r>
    </w:p>
    <w:p w:rsidR="0057439C" w:rsidRPr="00AC30C6" w:rsidRDefault="0064726A" w:rsidP="00B754D5">
      <w:pPr>
        <w:pStyle w:val="COMParabodytext"/>
        <w:rPr>
          <w:lang w:val="fr-FR"/>
        </w:rPr>
      </w:pPr>
      <w:r w:rsidRPr="00AC30C6">
        <w:rPr>
          <w:lang w:val="fr-FR"/>
        </w:rPr>
        <w:t>Néanmoins, l’insuffisance d’</w:t>
      </w:r>
      <w:r w:rsidR="00DA3BEF" w:rsidRPr="00AC30C6">
        <w:rPr>
          <w:lang w:val="fr-FR"/>
        </w:rPr>
        <w:t xml:space="preserve">informations </w:t>
      </w:r>
      <w:r w:rsidRPr="00AC30C6">
        <w:rPr>
          <w:lang w:val="fr-FR"/>
        </w:rPr>
        <w:t xml:space="preserve">dans les dossiers </w:t>
      </w:r>
      <w:r w:rsidR="00D9120A" w:rsidRPr="00AC30C6">
        <w:rPr>
          <w:lang w:val="fr-FR"/>
        </w:rPr>
        <w:t>a</w:t>
      </w:r>
      <w:r w:rsidRPr="00AC30C6">
        <w:rPr>
          <w:lang w:val="fr-FR"/>
        </w:rPr>
        <w:t xml:space="preserve"> eu des conséquences </w:t>
      </w:r>
      <w:r w:rsidR="00DA3BEF" w:rsidRPr="00AC30C6">
        <w:rPr>
          <w:lang w:val="fr-FR"/>
        </w:rPr>
        <w:t>différent</w:t>
      </w:r>
      <w:r w:rsidRPr="00AC30C6">
        <w:rPr>
          <w:lang w:val="fr-FR"/>
        </w:rPr>
        <w:t>e</w:t>
      </w:r>
      <w:r w:rsidR="00DA3BEF" w:rsidRPr="00AC30C6">
        <w:rPr>
          <w:lang w:val="fr-FR"/>
        </w:rPr>
        <w:t xml:space="preserve">s </w:t>
      </w:r>
      <w:r w:rsidR="00D9120A" w:rsidRPr="00AC30C6">
        <w:rPr>
          <w:lang w:val="fr-FR"/>
        </w:rPr>
        <w:t>pour les deux listes</w:t>
      </w:r>
      <w:r w:rsidR="008D47FF" w:rsidRPr="00AC30C6">
        <w:rPr>
          <w:lang w:val="fr-FR"/>
        </w:rPr>
        <w:t xml:space="preserve">. </w:t>
      </w:r>
      <w:r w:rsidR="00DA3BEF" w:rsidRPr="00AC30C6">
        <w:rPr>
          <w:lang w:val="fr-FR"/>
        </w:rPr>
        <w:t xml:space="preserve">Dans le cas des candidatures à la Liste du patrimoine culturel immatériel nécessitant une sauvegarde urgente, cette conclusion </w:t>
      </w:r>
      <w:r w:rsidR="00D9120A" w:rsidRPr="00AC30C6">
        <w:rPr>
          <w:lang w:val="fr-FR"/>
        </w:rPr>
        <w:t>s’est traduite par</w:t>
      </w:r>
      <w:r w:rsidR="00DA3BEF" w:rsidRPr="00AC30C6">
        <w:rPr>
          <w:lang w:val="fr-FR"/>
        </w:rPr>
        <w:t xml:space="preserve"> la décision de ne pas inscrire l’élément, tandis que dans le cas des candidatures à la Liste </w:t>
      </w:r>
      <w:r w:rsidR="00685A4A" w:rsidRPr="00AC30C6">
        <w:rPr>
          <w:lang w:val="fr-FR"/>
        </w:rPr>
        <w:t xml:space="preserve">représentative du patrimoine culturel immatériel de l’humanité, des circonstances similaires </w:t>
      </w:r>
      <w:r w:rsidR="00D9120A" w:rsidRPr="00AC30C6">
        <w:rPr>
          <w:lang w:val="fr-FR"/>
        </w:rPr>
        <w:t>on</w:t>
      </w:r>
      <w:r w:rsidR="00685A4A" w:rsidRPr="00AC30C6">
        <w:rPr>
          <w:lang w:val="fr-FR"/>
        </w:rPr>
        <w:t xml:space="preserve">t </w:t>
      </w:r>
      <w:r w:rsidR="00D9120A" w:rsidRPr="00AC30C6">
        <w:rPr>
          <w:lang w:val="fr-FR"/>
        </w:rPr>
        <w:t>eu pour effet</w:t>
      </w:r>
      <w:r w:rsidR="00685A4A" w:rsidRPr="00AC30C6">
        <w:rPr>
          <w:lang w:val="fr-FR"/>
        </w:rPr>
        <w:t xml:space="preserve"> soit la décision de ne pas inscrire l’élément, soit </w:t>
      </w:r>
      <w:r w:rsidR="00D9120A" w:rsidRPr="00AC30C6">
        <w:rPr>
          <w:lang w:val="fr-FR"/>
        </w:rPr>
        <w:t xml:space="preserve">celle </w:t>
      </w:r>
      <w:r w:rsidR="00685A4A" w:rsidRPr="00AC30C6">
        <w:rPr>
          <w:lang w:val="fr-FR"/>
        </w:rPr>
        <w:t>de renvoyer la candidature à l’</w:t>
      </w:r>
      <w:r w:rsidR="00AC30C6" w:rsidRPr="00AC30C6">
        <w:rPr>
          <w:lang w:val="fr-FR"/>
        </w:rPr>
        <w:t>État</w:t>
      </w:r>
      <w:r w:rsidR="00685A4A" w:rsidRPr="00AC30C6">
        <w:rPr>
          <w:lang w:val="fr-FR"/>
        </w:rPr>
        <w:t xml:space="preserve"> pour </w:t>
      </w:r>
      <w:r w:rsidR="00D9120A" w:rsidRPr="00AC30C6">
        <w:rPr>
          <w:lang w:val="fr-FR"/>
        </w:rPr>
        <w:t>un complément d’information</w:t>
      </w:r>
      <w:r w:rsidR="008D47FF" w:rsidRPr="00AC30C6">
        <w:rPr>
          <w:lang w:val="fr-FR"/>
        </w:rPr>
        <w:t>.</w:t>
      </w:r>
    </w:p>
    <w:p w:rsidR="0057439C" w:rsidRPr="00AC30C6" w:rsidRDefault="00685A4A" w:rsidP="00B754D5">
      <w:pPr>
        <w:pStyle w:val="COMParabodytext"/>
        <w:rPr>
          <w:lang w:val="fr-FR"/>
        </w:rPr>
      </w:pPr>
      <w:r w:rsidRPr="00AC30C6">
        <w:rPr>
          <w:lang w:val="fr-FR"/>
        </w:rPr>
        <w:t xml:space="preserve">Lors de sa neuvième </w:t>
      </w:r>
      <w:r w:rsidR="00B252DE" w:rsidRPr="00AC30C6">
        <w:rPr>
          <w:lang w:val="fr-FR"/>
        </w:rPr>
        <w:t xml:space="preserve">session, </w:t>
      </w:r>
      <w:r w:rsidRPr="00AC30C6">
        <w:rPr>
          <w:lang w:val="fr-FR"/>
        </w:rPr>
        <w:t>l</w:t>
      </w:r>
      <w:r w:rsidR="00B252DE" w:rsidRPr="00AC30C6">
        <w:rPr>
          <w:lang w:val="fr-FR"/>
        </w:rPr>
        <w:t>e Comit</w:t>
      </w:r>
      <w:r w:rsidRPr="00AC30C6">
        <w:rPr>
          <w:lang w:val="fr-FR"/>
        </w:rPr>
        <w:t>é</w:t>
      </w:r>
      <w:r w:rsidR="00B252DE" w:rsidRPr="00AC30C6">
        <w:rPr>
          <w:lang w:val="fr-FR"/>
        </w:rPr>
        <w:t xml:space="preserve"> </w:t>
      </w:r>
      <w:r w:rsidRPr="00AC30C6">
        <w:rPr>
          <w:lang w:val="fr-FR"/>
        </w:rPr>
        <w:t>a examiné des propositions visant à supprimer l’option de n</w:t>
      </w:r>
      <w:r w:rsidR="00793AF0" w:rsidRPr="00AC30C6">
        <w:rPr>
          <w:lang w:val="fr-FR"/>
        </w:rPr>
        <w:t>on-inscription de</w:t>
      </w:r>
      <w:r w:rsidRPr="00AC30C6">
        <w:rPr>
          <w:lang w:val="fr-FR"/>
        </w:rPr>
        <w:t xml:space="preserve"> </w:t>
      </w:r>
      <w:r w:rsidR="000C3FC4" w:rsidRPr="00AC30C6">
        <w:rPr>
          <w:lang w:val="fr-FR"/>
        </w:rPr>
        <w:t xml:space="preserve">l’élément sur la Liste représentative et </w:t>
      </w:r>
      <w:r w:rsidR="00793AF0" w:rsidRPr="00AC30C6">
        <w:rPr>
          <w:lang w:val="fr-FR"/>
        </w:rPr>
        <w:t xml:space="preserve">à </w:t>
      </w:r>
      <w:r w:rsidR="000C3FC4" w:rsidRPr="00AC30C6">
        <w:rPr>
          <w:lang w:val="fr-FR"/>
        </w:rPr>
        <w:t>élargir l’option de renvoi à la Liste de sauvegarde urgente</w:t>
      </w:r>
      <w:r w:rsidR="00B252DE" w:rsidRPr="00AC30C6">
        <w:rPr>
          <w:lang w:val="fr-FR"/>
        </w:rPr>
        <w:t>. I</w:t>
      </w:r>
      <w:r w:rsidR="000C3FC4" w:rsidRPr="00AC30C6">
        <w:rPr>
          <w:lang w:val="fr-FR"/>
        </w:rPr>
        <w:t>l a été proposé dans le d</w:t>
      </w:r>
      <w:r w:rsidR="00B252DE" w:rsidRPr="00AC30C6">
        <w:rPr>
          <w:lang w:val="fr-FR"/>
        </w:rPr>
        <w:t xml:space="preserve">ocument 9.COM 13.c </w:t>
      </w:r>
      <w:r w:rsidR="000C3FC4" w:rsidRPr="00AC30C6">
        <w:rPr>
          <w:lang w:val="fr-FR"/>
        </w:rPr>
        <w:t>que</w:t>
      </w:r>
      <w:r w:rsidR="00793AF0" w:rsidRPr="00AC30C6">
        <w:rPr>
          <w:lang w:val="fr-FR"/>
        </w:rPr>
        <w:t>,</w:t>
      </w:r>
      <w:r w:rsidR="000C3FC4" w:rsidRPr="00AC30C6">
        <w:rPr>
          <w:lang w:val="fr-FR"/>
        </w:rPr>
        <w:t xml:space="preserve"> dans les deux cas</w:t>
      </w:r>
      <w:r w:rsidR="00B252DE" w:rsidRPr="00AC30C6">
        <w:rPr>
          <w:lang w:val="fr-FR"/>
        </w:rPr>
        <w:t xml:space="preserve">, </w:t>
      </w:r>
      <w:r w:rsidR="000C3FC4" w:rsidRPr="00AC30C6">
        <w:rPr>
          <w:lang w:val="fr-FR"/>
        </w:rPr>
        <w:t>l</w:t>
      </w:r>
      <w:r w:rsidR="00B252DE" w:rsidRPr="00AC30C6">
        <w:rPr>
          <w:lang w:val="fr-FR"/>
        </w:rPr>
        <w:t>e Comit</w:t>
      </w:r>
      <w:r w:rsidR="000C3FC4" w:rsidRPr="00AC30C6">
        <w:rPr>
          <w:lang w:val="fr-FR"/>
        </w:rPr>
        <w:t>é décide soit d’inscrire l’élément sur la liste concerné</w:t>
      </w:r>
      <w:r w:rsidR="00793AF0" w:rsidRPr="00AC30C6">
        <w:rPr>
          <w:lang w:val="fr-FR"/>
        </w:rPr>
        <w:t>e</w:t>
      </w:r>
      <w:r w:rsidR="000C3FC4" w:rsidRPr="00AC30C6">
        <w:rPr>
          <w:lang w:val="fr-FR"/>
        </w:rPr>
        <w:t>, soit de renvoyer la candidature à l’</w:t>
      </w:r>
      <w:r w:rsidR="00AC30C6" w:rsidRPr="00AC30C6">
        <w:rPr>
          <w:lang w:val="fr-FR"/>
        </w:rPr>
        <w:t>État</w:t>
      </w:r>
      <w:r w:rsidR="00793AF0" w:rsidRPr="00AC30C6">
        <w:rPr>
          <w:lang w:val="fr-FR"/>
        </w:rPr>
        <w:t xml:space="preserve"> </w:t>
      </w:r>
      <w:r w:rsidR="005416D7">
        <w:rPr>
          <w:lang w:val="fr-FR"/>
        </w:rPr>
        <w:t>soumissionnaire</w:t>
      </w:r>
      <w:r w:rsidR="00B252DE" w:rsidRPr="00AC30C6">
        <w:rPr>
          <w:lang w:val="fr-FR"/>
        </w:rPr>
        <w:t xml:space="preserve">. </w:t>
      </w:r>
      <w:r w:rsidR="000C3FC4" w:rsidRPr="00AC30C6">
        <w:rPr>
          <w:lang w:val="fr-FR"/>
        </w:rPr>
        <w:t>En même temps que la suppression de l’option de n</w:t>
      </w:r>
      <w:r w:rsidR="003227F8" w:rsidRPr="00AC30C6">
        <w:rPr>
          <w:lang w:val="fr-FR"/>
        </w:rPr>
        <w:t>on-inscription de</w:t>
      </w:r>
      <w:r w:rsidR="000C3FC4" w:rsidRPr="00AC30C6">
        <w:rPr>
          <w:lang w:val="fr-FR"/>
        </w:rPr>
        <w:t xml:space="preserve"> l’élément, le document proposait de supprimer le délai de quatre ans </w:t>
      </w:r>
      <w:r w:rsidR="005416D7">
        <w:rPr>
          <w:lang w:val="fr-FR"/>
        </w:rPr>
        <w:t>en cas de non-inscription</w:t>
      </w:r>
      <w:r w:rsidR="0078292C" w:rsidRPr="00AC30C6">
        <w:rPr>
          <w:lang w:val="fr-FR"/>
        </w:rPr>
        <w:t xml:space="preserve"> avant de </w:t>
      </w:r>
      <w:r w:rsidR="005416D7">
        <w:rPr>
          <w:lang w:val="fr-FR"/>
        </w:rPr>
        <w:t>re</w:t>
      </w:r>
      <w:r w:rsidR="0078292C" w:rsidRPr="00AC30C6">
        <w:rPr>
          <w:lang w:val="fr-FR"/>
        </w:rPr>
        <w:t xml:space="preserve">soumettre </w:t>
      </w:r>
      <w:r w:rsidR="005416D7">
        <w:rPr>
          <w:lang w:val="fr-FR"/>
        </w:rPr>
        <w:t xml:space="preserve">la </w:t>
      </w:r>
      <w:r w:rsidR="0078292C" w:rsidRPr="00AC30C6">
        <w:rPr>
          <w:lang w:val="fr-FR"/>
        </w:rPr>
        <w:t>candidature à la Liste représentative</w:t>
      </w:r>
      <w:r w:rsidR="00B252DE" w:rsidRPr="00AC30C6">
        <w:rPr>
          <w:lang w:val="fr-FR"/>
        </w:rPr>
        <w:t>.</w:t>
      </w:r>
    </w:p>
    <w:p w:rsidR="0057439C" w:rsidRPr="00AC30C6" w:rsidRDefault="0078292C" w:rsidP="00B754D5">
      <w:pPr>
        <w:pStyle w:val="COMParabodytext"/>
        <w:rPr>
          <w:lang w:val="fr-FR"/>
        </w:rPr>
      </w:pPr>
      <w:r w:rsidRPr="00AC30C6">
        <w:rPr>
          <w:lang w:val="fr-FR"/>
        </w:rPr>
        <w:t xml:space="preserve">Sachant que les candidatures à la Liste représentative </w:t>
      </w:r>
      <w:r w:rsidR="003227F8" w:rsidRPr="00AC30C6">
        <w:rPr>
          <w:lang w:val="fr-FR"/>
        </w:rPr>
        <w:t xml:space="preserve">et </w:t>
      </w:r>
      <w:r w:rsidRPr="00AC30C6">
        <w:rPr>
          <w:lang w:val="fr-FR"/>
        </w:rPr>
        <w:t xml:space="preserve">à la Liste de sauvegarde urgente sont </w:t>
      </w:r>
      <w:r w:rsidR="003227F8" w:rsidRPr="00AC30C6">
        <w:rPr>
          <w:lang w:val="fr-FR"/>
        </w:rPr>
        <w:t>désormais</w:t>
      </w:r>
      <w:r w:rsidRPr="00AC30C6">
        <w:rPr>
          <w:lang w:val="fr-FR"/>
        </w:rPr>
        <w:t xml:space="preserve"> évaluées par un seul </w:t>
      </w:r>
      <w:r w:rsidR="00620BD2" w:rsidRPr="00AC30C6">
        <w:rPr>
          <w:lang w:val="fr-FR"/>
        </w:rPr>
        <w:t>et unique O</w:t>
      </w:r>
      <w:r w:rsidRPr="00AC30C6">
        <w:rPr>
          <w:lang w:val="fr-FR"/>
        </w:rPr>
        <w:t>rgane d’évaluation, il a paru judicieux au Comité d’harmoniser les procédures pour les deux listes</w:t>
      </w:r>
      <w:r w:rsidR="00B252DE" w:rsidRPr="00AC30C6">
        <w:rPr>
          <w:lang w:val="fr-FR"/>
        </w:rPr>
        <w:t xml:space="preserve">. </w:t>
      </w:r>
      <w:r w:rsidRPr="00AC30C6">
        <w:rPr>
          <w:lang w:val="fr-FR"/>
        </w:rPr>
        <w:t>L</w:t>
      </w:r>
      <w:r w:rsidR="00B252DE" w:rsidRPr="00AC30C6">
        <w:rPr>
          <w:lang w:val="fr-FR"/>
        </w:rPr>
        <w:t>e Comit</w:t>
      </w:r>
      <w:r w:rsidRPr="00AC30C6">
        <w:rPr>
          <w:lang w:val="fr-FR"/>
        </w:rPr>
        <w:t>é</w:t>
      </w:r>
      <w:r w:rsidR="00B252DE" w:rsidRPr="00AC30C6">
        <w:rPr>
          <w:lang w:val="fr-FR"/>
        </w:rPr>
        <w:t xml:space="preserve"> </w:t>
      </w:r>
      <w:r w:rsidRPr="00AC30C6">
        <w:rPr>
          <w:lang w:val="fr-FR"/>
        </w:rPr>
        <w:t>a tou</w:t>
      </w:r>
      <w:r w:rsidR="00A5707F" w:rsidRPr="00AC30C6">
        <w:rPr>
          <w:lang w:val="fr-FR"/>
        </w:rPr>
        <w:t>t</w:t>
      </w:r>
      <w:r w:rsidRPr="00AC30C6">
        <w:rPr>
          <w:lang w:val="fr-FR"/>
        </w:rPr>
        <w:t>e</w:t>
      </w:r>
      <w:r w:rsidR="00A5707F" w:rsidRPr="00AC30C6">
        <w:rPr>
          <w:lang w:val="fr-FR"/>
        </w:rPr>
        <w:t>fois décidé de se réserver l’option de n</w:t>
      </w:r>
      <w:r w:rsidR="00620BD2" w:rsidRPr="00AC30C6">
        <w:rPr>
          <w:lang w:val="fr-FR"/>
        </w:rPr>
        <w:t xml:space="preserve">e pas inscrire un </w:t>
      </w:r>
      <w:r w:rsidR="00A5707F" w:rsidRPr="00AC30C6">
        <w:rPr>
          <w:lang w:val="fr-FR"/>
        </w:rPr>
        <w:t xml:space="preserve">élément </w:t>
      </w:r>
      <w:r w:rsidR="00620BD2" w:rsidRPr="00AC30C6">
        <w:rPr>
          <w:lang w:val="fr-FR"/>
        </w:rPr>
        <w:t>lorsque</w:t>
      </w:r>
      <w:r w:rsidR="00A5707F" w:rsidRPr="00AC30C6">
        <w:rPr>
          <w:lang w:val="fr-FR"/>
        </w:rPr>
        <w:t xml:space="preserve"> la candidature apporte </w:t>
      </w:r>
      <w:r w:rsidRPr="00AC30C6">
        <w:rPr>
          <w:lang w:val="fr-FR"/>
        </w:rPr>
        <w:t xml:space="preserve">suffisamment </w:t>
      </w:r>
      <w:r w:rsidR="00A5707F" w:rsidRPr="00AC30C6">
        <w:rPr>
          <w:lang w:val="fr-FR"/>
        </w:rPr>
        <w:t>de</w:t>
      </w:r>
      <w:r w:rsidRPr="00AC30C6">
        <w:rPr>
          <w:lang w:val="fr-FR"/>
        </w:rPr>
        <w:t xml:space="preserve"> preuves </w:t>
      </w:r>
      <w:r w:rsidR="00A5707F" w:rsidRPr="00AC30C6">
        <w:rPr>
          <w:lang w:val="fr-FR"/>
        </w:rPr>
        <w:t>que le critère concerné n’est pas rempli</w:t>
      </w:r>
      <w:r w:rsidR="00B252DE" w:rsidRPr="00AC30C6">
        <w:rPr>
          <w:lang w:val="fr-FR"/>
        </w:rPr>
        <w:t>.</w:t>
      </w:r>
    </w:p>
    <w:p w:rsidR="0057439C" w:rsidRPr="00AC30C6" w:rsidRDefault="00A5707F" w:rsidP="00B754D5">
      <w:pPr>
        <w:pStyle w:val="COMParabodytext"/>
        <w:rPr>
          <w:lang w:val="fr-FR"/>
        </w:rPr>
      </w:pPr>
      <w:r w:rsidRPr="00AC30C6">
        <w:rPr>
          <w:lang w:val="fr-FR"/>
        </w:rPr>
        <w:t xml:space="preserve">Le Comité a </w:t>
      </w:r>
      <w:r w:rsidR="00663824" w:rsidRPr="00AC30C6">
        <w:rPr>
          <w:lang w:val="fr-FR"/>
        </w:rPr>
        <w:t>ainsi</w:t>
      </w:r>
      <w:r w:rsidRPr="00AC30C6">
        <w:rPr>
          <w:lang w:val="fr-FR"/>
        </w:rPr>
        <w:t xml:space="preserve"> décidé, lors de sa neuvième </w:t>
      </w:r>
      <w:r w:rsidR="00B252DE" w:rsidRPr="00AC30C6">
        <w:rPr>
          <w:lang w:val="fr-FR"/>
        </w:rPr>
        <w:t>session</w:t>
      </w:r>
      <w:r w:rsidR="00A30AEE" w:rsidRPr="00AC30C6">
        <w:rPr>
          <w:lang w:val="fr-FR"/>
        </w:rPr>
        <w:t>,</w:t>
      </w:r>
      <w:r w:rsidR="00B252DE" w:rsidRPr="00AC30C6">
        <w:rPr>
          <w:lang w:val="fr-FR"/>
        </w:rPr>
        <w:t xml:space="preserve"> </w:t>
      </w:r>
      <w:r w:rsidRPr="00AC30C6">
        <w:rPr>
          <w:lang w:val="fr-FR"/>
        </w:rPr>
        <w:t>qu</w:t>
      </w:r>
      <w:r w:rsidR="00663824" w:rsidRPr="00AC30C6">
        <w:rPr>
          <w:lang w:val="fr-FR"/>
        </w:rPr>
        <w:t xml:space="preserve">’il convenait d’étendre </w:t>
      </w:r>
      <w:r w:rsidRPr="00AC30C6">
        <w:rPr>
          <w:lang w:val="fr-FR"/>
        </w:rPr>
        <w:t xml:space="preserve">l’option de renvoi </w:t>
      </w:r>
      <w:r w:rsidR="00663824" w:rsidRPr="00AC30C6">
        <w:rPr>
          <w:lang w:val="fr-FR"/>
        </w:rPr>
        <w:t>à</w:t>
      </w:r>
      <w:r w:rsidRPr="00AC30C6">
        <w:rPr>
          <w:lang w:val="fr-FR"/>
        </w:rPr>
        <w:t xml:space="preserve"> la Liste du patrimoine culturel immatériel nécessitant une sauvegarde urgente et </w:t>
      </w:r>
      <w:r w:rsidR="00663824" w:rsidRPr="00AC30C6">
        <w:rPr>
          <w:lang w:val="fr-FR"/>
        </w:rPr>
        <w:t>de supprimer</w:t>
      </w:r>
      <w:r w:rsidRPr="00AC30C6">
        <w:rPr>
          <w:lang w:val="fr-FR"/>
        </w:rPr>
        <w:t xml:space="preserve"> l</w:t>
      </w:r>
      <w:r w:rsidR="00663824" w:rsidRPr="00AC30C6">
        <w:rPr>
          <w:lang w:val="fr-FR"/>
        </w:rPr>
        <w:t>e délai d’attente de quatre ans</w:t>
      </w:r>
      <w:r w:rsidRPr="00AC30C6">
        <w:rPr>
          <w:lang w:val="fr-FR"/>
        </w:rPr>
        <w:t xml:space="preserve">, tout en </w:t>
      </w:r>
      <w:r w:rsidR="00663824" w:rsidRPr="00AC30C6">
        <w:rPr>
          <w:lang w:val="fr-FR"/>
        </w:rPr>
        <w:t>mainten</w:t>
      </w:r>
      <w:r w:rsidRPr="00AC30C6">
        <w:rPr>
          <w:lang w:val="fr-FR"/>
        </w:rPr>
        <w:t>ant la possibilité de ne pas inscrire un élément</w:t>
      </w:r>
      <w:r w:rsidR="00B252DE" w:rsidRPr="00AC30C6">
        <w:rPr>
          <w:lang w:val="fr-FR"/>
        </w:rPr>
        <w:t xml:space="preserve">. </w:t>
      </w:r>
      <w:r w:rsidR="00C70FF2" w:rsidRPr="00AC30C6">
        <w:rPr>
          <w:lang w:val="fr-FR"/>
        </w:rPr>
        <w:t xml:space="preserve">Il a </w:t>
      </w:r>
      <w:r w:rsidR="00242490" w:rsidRPr="00AC30C6">
        <w:rPr>
          <w:lang w:val="fr-FR"/>
        </w:rPr>
        <w:t>en conséquence</w:t>
      </w:r>
      <w:r w:rsidR="00C70FF2" w:rsidRPr="00AC30C6">
        <w:rPr>
          <w:lang w:val="fr-FR"/>
        </w:rPr>
        <w:t xml:space="preserve"> demandé au S</w:t>
      </w:r>
      <w:r w:rsidR="00B252DE" w:rsidRPr="00AC30C6">
        <w:rPr>
          <w:lang w:val="fr-FR"/>
        </w:rPr>
        <w:t>ecr</w:t>
      </w:r>
      <w:r w:rsidR="00C70FF2" w:rsidRPr="00AC30C6">
        <w:rPr>
          <w:lang w:val="fr-FR"/>
        </w:rPr>
        <w:t>é</w:t>
      </w:r>
      <w:r w:rsidR="00B252DE" w:rsidRPr="00AC30C6">
        <w:rPr>
          <w:lang w:val="fr-FR"/>
        </w:rPr>
        <w:t xml:space="preserve">tariat </w:t>
      </w:r>
      <w:r w:rsidR="00C70FF2" w:rsidRPr="00AC30C6">
        <w:rPr>
          <w:lang w:val="fr-FR"/>
        </w:rPr>
        <w:t>de proposer un projet de texte d’amendement des Directives opérationnelles dans ce sens</w:t>
      </w:r>
      <w:r w:rsidR="00B252DE" w:rsidRPr="00AC30C6">
        <w:rPr>
          <w:lang w:val="fr-FR"/>
        </w:rPr>
        <w:t xml:space="preserve"> (</w:t>
      </w:r>
      <w:r w:rsidR="00C70FF2" w:rsidRPr="00AC30C6">
        <w:rPr>
          <w:lang w:val="fr-FR"/>
        </w:rPr>
        <w:t>dé</w:t>
      </w:r>
      <w:r w:rsidR="00B252DE" w:rsidRPr="00AC30C6">
        <w:rPr>
          <w:lang w:val="fr-FR"/>
        </w:rPr>
        <w:t xml:space="preserve">cision 9.COM 13.c). </w:t>
      </w:r>
      <w:r w:rsidR="00C70FF2" w:rsidRPr="00AC30C6">
        <w:rPr>
          <w:lang w:val="fr-FR"/>
        </w:rPr>
        <w:t xml:space="preserve">Une proposition d’amendement est </w:t>
      </w:r>
      <w:r w:rsidR="00A30AEE" w:rsidRPr="00AC30C6">
        <w:rPr>
          <w:lang w:val="fr-FR"/>
        </w:rPr>
        <w:t>jointe</w:t>
      </w:r>
      <w:r w:rsidR="00C70FF2" w:rsidRPr="00AC30C6">
        <w:rPr>
          <w:lang w:val="fr-FR"/>
        </w:rPr>
        <w:t xml:space="preserve"> en Annexe au présent document</w:t>
      </w:r>
      <w:r w:rsidR="00B252DE" w:rsidRPr="00AC30C6">
        <w:rPr>
          <w:lang w:val="fr-FR"/>
        </w:rPr>
        <w:t xml:space="preserve">. </w:t>
      </w:r>
      <w:r w:rsidR="00C70FF2" w:rsidRPr="00AC30C6">
        <w:rPr>
          <w:lang w:val="fr-FR"/>
        </w:rPr>
        <w:t>En même temps, le Comité a insisté sur le fait que la décision de renvoyer une candidature à l’</w:t>
      </w:r>
      <w:r w:rsidR="00AC30C6" w:rsidRPr="00AC30C6">
        <w:rPr>
          <w:lang w:val="fr-FR"/>
        </w:rPr>
        <w:t>État</w:t>
      </w:r>
      <w:r w:rsidR="00C70FF2" w:rsidRPr="00AC30C6">
        <w:rPr>
          <w:lang w:val="fr-FR"/>
        </w:rPr>
        <w:t xml:space="preserve"> concerné ne saurait en aucun cas être interprétée comme impliquant ou garantissant </w:t>
      </w:r>
      <w:r w:rsidR="00A30AEE" w:rsidRPr="00AC30C6">
        <w:rPr>
          <w:lang w:val="fr-FR"/>
        </w:rPr>
        <w:t>l’inscription de l’élément dans le futur</w:t>
      </w:r>
      <w:r w:rsidR="00B252DE" w:rsidRPr="00AC30C6">
        <w:rPr>
          <w:lang w:val="fr-FR"/>
        </w:rPr>
        <w:t>.</w:t>
      </w:r>
    </w:p>
    <w:p w:rsidR="00825186" w:rsidRPr="00AC30C6" w:rsidRDefault="00A30AEE" w:rsidP="00B754D5">
      <w:pPr>
        <w:pStyle w:val="COMParabodytext"/>
        <w:rPr>
          <w:lang w:val="fr-FR"/>
        </w:rPr>
      </w:pPr>
      <w:r w:rsidRPr="00AC30C6">
        <w:rPr>
          <w:rFonts w:eastAsia="SimSun"/>
          <w:lang w:val="fr-FR"/>
        </w:rPr>
        <w:t>Outre les révisions spécifiquement demandées par le Comité, d’autres révisions sont proposées pour étendre l’option de renvoi aux propositions pour le Registre des meilleures pratiques de sauvegarde ainsi qu’aux demandes d’assistance internationale, par souci de cohérence et de simplicité</w:t>
      </w:r>
      <w:r w:rsidR="00825186" w:rsidRPr="00AC30C6">
        <w:rPr>
          <w:rFonts w:eastAsia="SimSun"/>
          <w:lang w:val="fr-FR"/>
        </w:rPr>
        <w:t>.</w:t>
      </w:r>
    </w:p>
    <w:p w:rsidR="0057439C" w:rsidRPr="00AC30C6" w:rsidRDefault="009E1B50" w:rsidP="00DB658C">
      <w:pPr>
        <w:pStyle w:val="COMParabodytext"/>
        <w:pageBreakBefore/>
        <w:rPr>
          <w:lang w:val="fr-FR"/>
        </w:rPr>
      </w:pPr>
      <w:r w:rsidRPr="00AC30C6">
        <w:rPr>
          <w:rFonts w:eastAsia="SimSun"/>
          <w:lang w:val="fr-FR"/>
        </w:rPr>
        <w:t>Le Comité souhaitera peut-être adopter la décision suivante</w:t>
      </w:r>
      <w:r w:rsidR="00B90701" w:rsidRPr="00AC30C6">
        <w:rPr>
          <w:rFonts w:eastAsia="SimSun"/>
          <w:lang w:val="fr-FR"/>
        </w:rPr>
        <w:t> </w:t>
      </w:r>
      <w:r w:rsidR="00962119" w:rsidRPr="00AC30C6">
        <w:rPr>
          <w:rFonts w:eastAsia="SimSun"/>
          <w:lang w:val="fr-FR"/>
        </w:rPr>
        <w:t>:</w:t>
      </w:r>
    </w:p>
    <w:p w:rsidR="0057439C" w:rsidRPr="00AC30C6" w:rsidRDefault="009E1B50" w:rsidP="00B754D5">
      <w:pPr>
        <w:pStyle w:val="GATitleResolution"/>
      </w:pPr>
      <w:r w:rsidRPr="00AC30C6">
        <w:lastRenderedPageBreak/>
        <w:t>PROJET DE DÉCIS</w:t>
      </w:r>
      <w:r w:rsidR="00165170" w:rsidRPr="00AC30C6">
        <w:t>ION 10</w:t>
      </w:r>
      <w:r w:rsidR="00BC3420" w:rsidRPr="00AC30C6">
        <w:t>.COM</w:t>
      </w:r>
      <w:r w:rsidR="00962119" w:rsidRPr="00AC30C6">
        <w:t xml:space="preserve"> </w:t>
      </w:r>
      <w:r w:rsidR="004A3E88" w:rsidRPr="00DB658C">
        <w:t>14</w:t>
      </w:r>
      <w:r w:rsidR="00690148" w:rsidRPr="00DB658C">
        <w:t>.</w:t>
      </w:r>
      <w:r w:rsidR="00690148" w:rsidRPr="00DB658C">
        <w:rPr>
          <w:caps w:val="0"/>
        </w:rPr>
        <w:t>b</w:t>
      </w:r>
    </w:p>
    <w:p w:rsidR="0057439C" w:rsidRPr="00AC30C6" w:rsidRDefault="00E62B4C" w:rsidP="00B754D5">
      <w:pPr>
        <w:pStyle w:val="COMPreambulaDecision"/>
      </w:pPr>
      <w:r w:rsidRPr="00AC30C6">
        <w:t>Le Comité</w:t>
      </w:r>
      <w:r w:rsidR="00962119" w:rsidRPr="00AC30C6">
        <w:t>,</w:t>
      </w:r>
    </w:p>
    <w:p w:rsidR="0057439C" w:rsidRPr="00AC30C6" w:rsidRDefault="00DB4A84" w:rsidP="00B754D5">
      <w:pPr>
        <w:pStyle w:val="COMParaDecision"/>
      </w:pPr>
      <w:r w:rsidRPr="00AC30C6">
        <w:t>Ayant examiné</w:t>
      </w:r>
      <w:r w:rsidRPr="00AC30C6">
        <w:rPr>
          <w:u w:val="none"/>
        </w:rPr>
        <w:t xml:space="preserve"> le document</w:t>
      </w:r>
      <w:r w:rsidR="00764CF9" w:rsidRPr="00AC30C6">
        <w:rPr>
          <w:u w:val="none"/>
        </w:rPr>
        <w:t xml:space="preserve"> ITH/15/10</w:t>
      </w:r>
      <w:r w:rsidR="00BC3420" w:rsidRPr="00AC30C6">
        <w:rPr>
          <w:u w:val="none"/>
        </w:rPr>
        <w:t>.COM</w:t>
      </w:r>
      <w:r w:rsidR="0057439C" w:rsidRPr="00AC30C6">
        <w:rPr>
          <w:u w:val="none"/>
        </w:rPr>
        <w:t>/</w:t>
      </w:r>
      <w:r w:rsidR="004A3E88">
        <w:rPr>
          <w:u w:val="none"/>
        </w:rPr>
        <w:t>14</w:t>
      </w:r>
      <w:r w:rsidR="00825186" w:rsidRPr="00AC30C6">
        <w:rPr>
          <w:u w:val="none"/>
        </w:rPr>
        <w:t>.b,</w:t>
      </w:r>
    </w:p>
    <w:p w:rsidR="0057439C" w:rsidRPr="00AC30C6" w:rsidRDefault="00DB4A84" w:rsidP="00B754D5">
      <w:pPr>
        <w:pStyle w:val="COMParaDecision"/>
      </w:pPr>
      <w:r w:rsidRPr="00AC30C6">
        <w:t>Rappelant</w:t>
      </w:r>
      <w:r w:rsidRPr="00AC30C6">
        <w:rPr>
          <w:u w:val="none"/>
        </w:rPr>
        <w:t xml:space="preserve"> </w:t>
      </w:r>
      <w:r w:rsidR="004B7523" w:rsidRPr="00AC30C6">
        <w:rPr>
          <w:u w:val="none"/>
        </w:rPr>
        <w:t>la ré</w:t>
      </w:r>
      <w:r w:rsidR="006F67FF">
        <w:rPr>
          <w:u w:val="none"/>
        </w:rPr>
        <w:t>solution 4.GA</w:t>
      </w:r>
      <w:r w:rsidR="006F67FF" w:rsidRPr="00AC30C6">
        <w:rPr>
          <w:u w:val="none"/>
        </w:rPr>
        <w:t> </w:t>
      </w:r>
      <w:r w:rsidR="00825186" w:rsidRPr="00AC30C6">
        <w:rPr>
          <w:u w:val="none"/>
        </w:rPr>
        <w:t xml:space="preserve">5 </w:t>
      </w:r>
      <w:r w:rsidR="004B7523" w:rsidRPr="00AC30C6">
        <w:rPr>
          <w:u w:val="none"/>
        </w:rPr>
        <w:t>et les dé</w:t>
      </w:r>
      <w:r w:rsidR="006F67FF">
        <w:rPr>
          <w:u w:val="none"/>
        </w:rPr>
        <w:t>cisions 7.COM</w:t>
      </w:r>
      <w:r w:rsidR="006F67FF" w:rsidRPr="00AC30C6">
        <w:rPr>
          <w:u w:val="none"/>
        </w:rPr>
        <w:t> </w:t>
      </w:r>
      <w:r w:rsidR="006F67FF">
        <w:rPr>
          <w:u w:val="none"/>
        </w:rPr>
        <w:t>13.a, 8.COM</w:t>
      </w:r>
      <w:r w:rsidR="006F67FF" w:rsidRPr="00AC30C6">
        <w:rPr>
          <w:u w:val="none"/>
        </w:rPr>
        <w:t> </w:t>
      </w:r>
      <w:r w:rsidR="00825186" w:rsidRPr="00AC30C6">
        <w:rPr>
          <w:u w:val="none"/>
        </w:rPr>
        <w:t xml:space="preserve">13.b </w:t>
      </w:r>
      <w:r w:rsidR="004B7523" w:rsidRPr="00AC30C6">
        <w:rPr>
          <w:u w:val="none"/>
        </w:rPr>
        <w:t>et</w:t>
      </w:r>
      <w:r w:rsidR="00825186" w:rsidRPr="00AC30C6">
        <w:rPr>
          <w:u w:val="none"/>
        </w:rPr>
        <w:t xml:space="preserve"> 9.COM 13.c,</w:t>
      </w:r>
    </w:p>
    <w:p w:rsidR="009764B9" w:rsidRPr="00AC30C6" w:rsidRDefault="004B7523" w:rsidP="00B754D5">
      <w:pPr>
        <w:pStyle w:val="COMParaDecision"/>
        <w:rPr>
          <w:u w:val="none"/>
        </w:rPr>
      </w:pPr>
      <w:r w:rsidRPr="00AC30C6">
        <w:t>Recomma</w:t>
      </w:r>
      <w:r w:rsidR="00825186" w:rsidRPr="00AC30C6">
        <w:t>nd</w:t>
      </w:r>
      <w:r w:rsidRPr="00AC30C6">
        <w:t>e</w:t>
      </w:r>
      <w:r w:rsidR="00825186" w:rsidRPr="00AC30C6">
        <w:rPr>
          <w:u w:val="none"/>
        </w:rPr>
        <w:t xml:space="preserve"> </w:t>
      </w:r>
      <w:r w:rsidRPr="00AC30C6">
        <w:rPr>
          <w:u w:val="none"/>
        </w:rPr>
        <w:t>à l’Assemblée générale d’approuver les amendements des Directives opérationnelle</w:t>
      </w:r>
      <w:r w:rsidR="00242490" w:rsidRPr="00AC30C6">
        <w:rPr>
          <w:u w:val="none"/>
        </w:rPr>
        <w:t>s</w:t>
      </w:r>
      <w:r w:rsidRPr="00AC30C6">
        <w:rPr>
          <w:u w:val="none"/>
        </w:rPr>
        <w:t xml:space="preserve">, tels </w:t>
      </w:r>
      <w:r w:rsidR="005416D7" w:rsidRPr="00AC30C6">
        <w:rPr>
          <w:u w:val="none"/>
        </w:rPr>
        <w:t>qu</w:t>
      </w:r>
      <w:r w:rsidR="00EF0645">
        <w:rPr>
          <w:u w:val="none"/>
        </w:rPr>
        <w:t xml:space="preserve">e </w:t>
      </w:r>
      <w:r w:rsidR="005416D7">
        <w:rPr>
          <w:u w:val="none"/>
        </w:rPr>
        <w:t>présentés</w:t>
      </w:r>
      <w:r w:rsidR="005416D7" w:rsidRPr="00AC30C6">
        <w:rPr>
          <w:u w:val="none"/>
        </w:rPr>
        <w:t xml:space="preserve"> </w:t>
      </w:r>
      <w:r w:rsidRPr="00AC30C6">
        <w:rPr>
          <w:u w:val="none"/>
        </w:rPr>
        <w:t>en annexe à la présente décision</w:t>
      </w:r>
      <w:r w:rsidR="00825186" w:rsidRPr="00AC30C6">
        <w:rPr>
          <w:u w:val="none"/>
        </w:rPr>
        <w:t>.</w:t>
      </w:r>
    </w:p>
    <w:p w:rsidR="000D5895" w:rsidRPr="00AC30C6" w:rsidRDefault="000D5895" w:rsidP="009764B9">
      <w:pPr>
        <w:pStyle w:val="COMParaDecision"/>
        <w:numPr>
          <w:ilvl w:val="0"/>
          <w:numId w:val="0"/>
        </w:numPr>
        <w:ind w:left="567"/>
        <w:jc w:val="left"/>
        <w:rPr>
          <w:u w:val="none"/>
        </w:rPr>
        <w:sectPr w:rsidR="000D5895" w:rsidRPr="00AC30C6" w:rsidSect="00A87C65">
          <w:headerReference w:type="even" r:id="rId11"/>
          <w:headerReference w:type="default" r:id="rId12"/>
          <w:headerReference w:type="first" r:id="rId13"/>
          <w:pgSz w:w="11906" w:h="16838" w:code="9"/>
          <w:pgMar w:top="1418" w:right="1134" w:bottom="1134" w:left="1134" w:header="397" w:footer="284" w:gutter="0"/>
          <w:cols w:space="708"/>
          <w:titlePg/>
          <w:docGrid w:linePitch="360"/>
        </w:sectPr>
      </w:pPr>
    </w:p>
    <w:tbl>
      <w:tblPr>
        <w:tblW w:w="15308" w:type="dxa"/>
        <w:tblInd w:w="-743" w:type="dxa"/>
        <w:tblLayout w:type="fixed"/>
        <w:tblCellMar>
          <w:top w:w="57" w:type="dxa"/>
          <w:bottom w:w="57" w:type="dxa"/>
        </w:tblCellMar>
        <w:tblLook w:val="04A0" w:firstRow="1" w:lastRow="0" w:firstColumn="1" w:lastColumn="0" w:noHBand="0" w:noVBand="1"/>
      </w:tblPr>
      <w:tblGrid>
        <w:gridCol w:w="1083"/>
        <w:gridCol w:w="6714"/>
        <w:gridCol w:w="850"/>
        <w:gridCol w:w="6661"/>
      </w:tblGrid>
      <w:tr w:rsidR="000D5895" w:rsidRPr="00AC30C6" w:rsidTr="00DC3A18">
        <w:trPr>
          <w:cantSplit/>
        </w:trPr>
        <w:tc>
          <w:tcPr>
            <w:tcW w:w="1083" w:type="dxa"/>
            <w:shd w:val="clear" w:color="auto" w:fill="auto"/>
          </w:tcPr>
          <w:p w:rsidR="000D5895" w:rsidRPr="00AC30C6" w:rsidRDefault="000D5895" w:rsidP="000D5895">
            <w:pPr>
              <w:pStyle w:val="COMParaDecision"/>
              <w:numPr>
                <w:ilvl w:val="0"/>
                <w:numId w:val="0"/>
              </w:numPr>
              <w:ind w:left="360"/>
              <w:jc w:val="left"/>
              <w:rPr>
                <w:b/>
                <w:bCs/>
              </w:rPr>
            </w:pPr>
          </w:p>
        </w:tc>
        <w:tc>
          <w:tcPr>
            <w:tcW w:w="6714" w:type="dxa"/>
            <w:shd w:val="clear" w:color="auto" w:fill="auto"/>
          </w:tcPr>
          <w:p w:rsidR="000D5895" w:rsidRPr="00AC30C6" w:rsidRDefault="009D4968" w:rsidP="009D4968">
            <w:pPr>
              <w:pStyle w:val="COMParaDecision"/>
              <w:numPr>
                <w:ilvl w:val="0"/>
                <w:numId w:val="0"/>
              </w:numPr>
              <w:ind w:left="86"/>
              <w:jc w:val="left"/>
              <w:rPr>
                <w:b/>
                <w:bCs/>
              </w:rPr>
            </w:pPr>
            <w:r w:rsidRPr="00AC30C6">
              <w:rPr>
                <w:b/>
                <w:bCs/>
              </w:rPr>
              <w:t>Texte actuel des Directives opérationnelles</w:t>
            </w:r>
          </w:p>
        </w:tc>
        <w:tc>
          <w:tcPr>
            <w:tcW w:w="850" w:type="dxa"/>
          </w:tcPr>
          <w:p w:rsidR="000D5895" w:rsidRPr="00AC30C6" w:rsidRDefault="000D5895" w:rsidP="00F47EA7">
            <w:pPr>
              <w:pStyle w:val="COMParaDecision"/>
              <w:numPr>
                <w:ilvl w:val="0"/>
                <w:numId w:val="0"/>
              </w:numPr>
              <w:tabs>
                <w:tab w:val="left" w:pos="16"/>
              </w:tabs>
              <w:ind w:left="314"/>
              <w:jc w:val="left"/>
              <w:rPr>
                <w:b/>
                <w:bCs/>
              </w:rPr>
            </w:pPr>
          </w:p>
        </w:tc>
        <w:tc>
          <w:tcPr>
            <w:tcW w:w="6661" w:type="dxa"/>
          </w:tcPr>
          <w:p w:rsidR="000D5895" w:rsidRPr="00AC30C6" w:rsidRDefault="007D3779" w:rsidP="007D3779">
            <w:pPr>
              <w:pStyle w:val="COMParaDecision"/>
              <w:numPr>
                <w:ilvl w:val="0"/>
                <w:numId w:val="0"/>
              </w:numPr>
              <w:ind w:left="31" w:right="-393"/>
              <w:jc w:val="left"/>
            </w:pPr>
            <w:r w:rsidRPr="00AC30C6">
              <w:rPr>
                <w:b/>
                <w:bCs/>
              </w:rPr>
              <w:t>Amendements proposés</w:t>
            </w:r>
            <w:r w:rsidR="000D5895" w:rsidRPr="00AC30C6">
              <w:rPr>
                <w:b/>
                <w:bCs/>
              </w:rPr>
              <w:t xml:space="preserve"> </w:t>
            </w:r>
          </w:p>
        </w:tc>
      </w:tr>
      <w:tr w:rsidR="000D5895" w:rsidRPr="00AC30C6" w:rsidTr="00DC3A18">
        <w:trPr>
          <w:cantSplit/>
        </w:trPr>
        <w:tc>
          <w:tcPr>
            <w:tcW w:w="1083" w:type="dxa"/>
            <w:shd w:val="clear" w:color="auto" w:fill="auto"/>
          </w:tcPr>
          <w:p w:rsidR="000D5895" w:rsidRPr="00AC30C6" w:rsidRDefault="000D5895" w:rsidP="00DB658C">
            <w:pPr>
              <w:pStyle w:val="COMParaDecision"/>
              <w:numPr>
                <w:ilvl w:val="0"/>
                <w:numId w:val="0"/>
              </w:numPr>
              <w:ind w:left="360"/>
              <w:jc w:val="right"/>
              <w:rPr>
                <w:u w:val="none"/>
              </w:rPr>
            </w:pPr>
            <w:r w:rsidRPr="00AC30C6">
              <w:rPr>
                <w:u w:val="none"/>
              </w:rPr>
              <w:t>30.</w:t>
            </w:r>
          </w:p>
        </w:tc>
        <w:tc>
          <w:tcPr>
            <w:tcW w:w="6714" w:type="dxa"/>
            <w:shd w:val="clear" w:color="auto" w:fill="auto"/>
          </w:tcPr>
          <w:p w:rsidR="000D5895" w:rsidRPr="00AC30C6" w:rsidRDefault="007D3779" w:rsidP="001133F7">
            <w:pPr>
              <w:pStyle w:val="COMParaDecision"/>
              <w:numPr>
                <w:ilvl w:val="0"/>
                <w:numId w:val="0"/>
              </w:numPr>
              <w:ind w:left="86"/>
              <w:jc w:val="left"/>
              <w:rPr>
                <w:u w:val="none"/>
              </w:rPr>
            </w:pPr>
            <w:r w:rsidRPr="00AC30C6">
              <w:rPr>
                <w:u w:val="none"/>
              </w:rPr>
              <w:t>L’Organe d’évaluation soumet</w:t>
            </w:r>
            <w:r w:rsidR="00075A79" w:rsidRPr="00AC30C6">
              <w:rPr>
                <w:u w:val="none"/>
              </w:rPr>
              <w:t xml:space="preserve"> </w:t>
            </w:r>
            <w:r w:rsidRPr="00AC30C6">
              <w:rPr>
                <w:u w:val="none"/>
              </w:rPr>
              <w:t xml:space="preserve">au Comité un rapport d’évaluation </w:t>
            </w:r>
            <w:r w:rsidR="00075A79" w:rsidRPr="00AC30C6">
              <w:rPr>
                <w:u w:val="none"/>
              </w:rPr>
              <w:t>comprenant</w:t>
            </w:r>
            <w:r w:rsidRPr="00AC30C6">
              <w:rPr>
                <w:u w:val="none"/>
              </w:rPr>
              <w:t xml:space="preserve"> une recommandation </w:t>
            </w:r>
            <w:r w:rsidR="000D5895" w:rsidRPr="00AC30C6">
              <w:rPr>
                <w:u w:val="none"/>
              </w:rPr>
              <w:t>:</w:t>
            </w:r>
          </w:p>
          <w:p w:rsidR="000D5895" w:rsidRPr="00AC30C6" w:rsidRDefault="00075A79" w:rsidP="001133F7">
            <w:pPr>
              <w:pStyle w:val="COMParaDecision"/>
              <w:numPr>
                <w:ilvl w:val="0"/>
                <w:numId w:val="16"/>
              </w:numPr>
              <w:ind w:left="370"/>
              <w:jc w:val="left"/>
              <w:rPr>
                <w:u w:val="none"/>
              </w:rPr>
            </w:pPr>
            <w:r w:rsidRPr="00AC30C6">
              <w:rPr>
                <w:u w:val="none"/>
              </w:rPr>
              <w:t>d’inscription ou de non-inscription de l’élément proposé sur la Liste du patrimoine culturel immatériel nécessitant une sauvegarde urgente </w:t>
            </w:r>
            <w:r w:rsidR="000D5895" w:rsidRPr="00AC30C6">
              <w:rPr>
                <w:u w:val="none"/>
              </w:rPr>
              <w:t>;</w:t>
            </w:r>
          </w:p>
          <w:p w:rsidR="000D5895" w:rsidRPr="00AC30C6" w:rsidRDefault="00075A79" w:rsidP="001133F7">
            <w:pPr>
              <w:pStyle w:val="COMParaDecision"/>
              <w:numPr>
                <w:ilvl w:val="0"/>
                <w:numId w:val="16"/>
              </w:numPr>
              <w:ind w:left="370"/>
              <w:jc w:val="left"/>
              <w:rPr>
                <w:u w:val="none"/>
              </w:rPr>
            </w:pPr>
            <w:r w:rsidRPr="00AC30C6">
              <w:rPr>
                <w:u w:val="none"/>
              </w:rPr>
              <w:t>d’inscription ou de non-inscription de l’élément proposé sur la Liste représentative du patrimoine culturel immatériel de l’humanité ou de renvoi de la candidature à l’(aux) État(s) soumissionnaire(s) pour complément d’information </w:t>
            </w:r>
            <w:r w:rsidR="000D5895" w:rsidRPr="00AC30C6">
              <w:rPr>
                <w:u w:val="none"/>
              </w:rPr>
              <w:t>;</w:t>
            </w:r>
          </w:p>
          <w:p w:rsidR="000D5895" w:rsidRPr="00AC30C6" w:rsidRDefault="00075A79" w:rsidP="001133F7">
            <w:pPr>
              <w:pStyle w:val="COMParaDecision"/>
              <w:numPr>
                <w:ilvl w:val="0"/>
                <w:numId w:val="16"/>
              </w:numPr>
              <w:ind w:left="370"/>
              <w:jc w:val="left"/>
              <w:rPr>
                <w:u w:val="none"/>
              </w:rPr>
            </w:pPr>
            <w:r w:rsidRPr="00AC30C6">
              <w:rPr>
                <w:u w:val="none"/>
              </w:rPr>
              <w:t>de sélection ou de non-sélection de la proposition de programme, projet ou activité ; ou</w:t>
            </w:r>
          </w:p>
          <w:p w:rsidR="000D5895" w:rsidRPr="00AC30C6" w:rsidRDefault="00075A79" w:rsidP="00650A46">
            <w:pPr>
              <w:pStyle w:val="COMParaDecision"/>
              <w:numPr>
                <w:ilvl w:val="0"/>
                <w:numId w:val="16"/>
              </w:numPr>
              <w:ind w:left="370"/>
              <w:jc w:val="left"/>
            </w:pPr>
            <w:r w:rsidRPr="00AC30C6">
              <w:rPr>
                <w:u w:val="none"/>
              </w:rPr>
              <w:t>d’approbation ou non-approbation de la demande d’assistance</w:t>
            </w:r>
            <w:r w:rsidR="000D5895" w:rsidRPr="00AC30C6">
              <w:rPr>
                <w:u w:val="none"/>
              </w:rPr>
              <w:t>.</w:t>
            </w:r>
          </w:p>
        </w:tc>
        <w:tc>
          <w:tcPr>
            <w:tcW w:w="850" w:type="dxa"/>
          </w:tcPr>
          <w:p w:rsidR="000D5895" w:rsidRPr="00AC30C6" w:rsidRDefault="000D5895" w:rsidP="00F47EA7">
            <w:pPr>
              <w:pStyle w:val="COMParaDecision"/>
              <w:numPr>
                <w:ilvl w:val="0"/>
                <w:numId w:val="0"/>
              </w:numPr>
              <w:tabs>
                <w:tab w:val="left" w:pos="16"/>
              </w:tabs>
              <w:ind w:left="314"/>
              <w:jc w:val="left"/>
              <w:rPr>
                <w:u w:val="none"/>
              </w:rPr>
            </w:pPr>
            <w:r w:rsidRPr="00AC30C6">
              <w:rPr>
                <w:u w:val="none"/>
              </w:rPr>
              <w:t>30</w:t>
            </w:r>
            <w:r w:rsidR="00F47EA7" w:rsidRPr="00AC30C6">
              <w:rPr>
                <w:u w:val="none"/>
              </w:rPr>
              <w:t>.</w:t>
            </w:r>
          </w:p>
        </w:tc>
        <w:tc>
          <w:tcPr>
            <w:tcW w:w="6661" w:type="dxa"/>
          </w:tcPr>
          <w:p w:rsidR="000D5895" w:rsidRPr="00AC30C6" w:rsidRDefault="00FE0AFD" w:rsidP="00DC3A18">
            <w:pPr>
              <w:pStyle w:val="COMParaDecision"/>
              <w:numPr>
                <w:ilvl w:val="0"/>
                <w:numId w:val="0"/>
              </w:numPr>
              <w:ind w:left="31" w:right="-390"/>
              <w:jc w:val="left"/>
              <w:rPr>
                <w:u w:val="none"/>
              </w:rPr>
            </w:pPr>
            <w:r w:rsidRPr="00AC30C6">
              <w:rPr>
                <w:u w:val="none"/>
              </w:rPr>
              <w:t>L’Organe d’évaluation soumet au Comité un rapport d’évaluation comprenant une recommandation </w:t>
            </w:r>
            <w:r w:rsidR="000D5895" w:rsidRPr="00AC30C6">
              <w:rPr>
                <w:u w:val="none"/>
              </w:rPr>
              <w:t>:</w:t>
            </w:r>
          </w:p>
          <w:p w:rsidR="000D5895" w:rsidRPr="00AC30C6" w:rsidRDefault="00FE0AFD" w:rsidP="00640EE5">
            <w:pPr>
              <w:pStyle w:val="COMParaDecision"/>
              <w:numPr>
                <w:ilvl w:val="0"/>
                <w:numId w:val="17"/>
              </w:numPr>
              <w:ind w:left="318" w:hanging="287"/>
              <w:jc w:val="left"/>
              <w:rPr>
                <w:strike/>
                <w:u w:val="none"/>
              </w:rPr>
            </w:pPr>
            <w:r w:rsidRPr="00AC30C6">
              <w:rPr>
                <w:strike/>
                <w:u w:val="none"/>
              </w:rPr>
              <w:t>d’inscription ou de non-inscription de l’élément proposé sur la Liste du patrimoine culturel immatériel nécessitant une sauvegarde urgente </w:t>
            </w:r>
            <w:r w:rsidR="000D5895" w:rsidRPr="00AC30C6">
              <w:rPr>
                <w:strike/>
                <w:u w:val="none"/>
              </w:rPr>
              <w:t>;</w:t>
            </w:r>
          </w:p>
          <w:p w:rsidR="000D5895" w:rsidRPr="00AC30C6" w:rsidRDefault="00FE0AFD" w:rsidP="00F47EA7">
            <w:pPr>
              <w:pStyle w:val="COMParaDecision"/>
              <w:numPr>
                <w:ilvl w:val="0"/>
                <w:numId w:val="17"/>
              </w:numPr>
              <w:ind w:left="391"/>
              <w:jc w:val="left"/>
              <w:rPr>
                <w:strike/>
                <w:u w:val="none"/>
              </w:rPr>
            </w:pPr>
            <w:r w:rsidRPr="00AC30C6">
              <w:rPr>
                <w:strike/>
                <w:u w:val="none"/>
              </w:rPr>
              <w:t>d’inscription ou de non-inscription de l’élément proposé sur la Liste représentative du patrimoine culturel immatériel de l’humanité ou de renvoi de la candidature à l’(aux) État(s) soumissionnaire(s) pour complément d’information </w:t>
            </w:r>
            <w:r w:rsidR="000D5895" w:rsidRPr="00AC30C6">
              <w:rPr>
                <w:strike/>
                <w:u w:val="none"/>
              </w:rPr>
              <w:t>;</w:t>
            </w:r>
          </w:p>
          <w:p w:rsidR="000D5895" w:rsidRPr="00AC30C6" w:rsidRDefault="00731ECB" w:rsidP="00F47EA7">
            <w:pPr>
              <w:pStyle w:val="COMParaDecision"/>
              <w:numPr>
                <w:ilvl w:val="0"/>
                <w:numId w:val="18"/>
              </w:numPr>
              <w:ind w:left="391"/>
              <w:jc w:val="left"/>
              <w:rPr>
                <w:u w:val="none"/>
              </w:rPr>
            </w:pPr>
            <w:r w:rsidRPr="00AC30C6">
              <w:rPr>
                <w:b/>
                <w:u w:val="none"/>
              </w:rPr>
              <w:t>d’inscription ou de non-inscription de l’élément proposé sur la Liste du patrimoine culturel immatériel nécessitant une sauvegarde urgente ou sur la Liste représentative du patrimoine culturel immatériel de l’humanité, ou de renvo</w:t>
            </w:r>
            <w:r w:rsidR="009E17EF" w:rsidRPr="00AC30C6">
              <w:rPr>
                <w:b/>
                <w:u w:val="none"/>
              </w:rPr>
              <w:t xml:space="preserve">i de </w:t>
            </w:r>
            <w:r w:rsidRPr="00AC30C6">
              <w:rPr>
                <w:b/>
                <w:u w:val="none"/>
              </w:rPr>
              <w:t xml:space="preserve">la candidature à l’(aux) </w:t>
            </w:r>
            <w:r w:rsidR="00AC30C6" w:rsidRPr="00AC30C6">
              <w:rPr>
                <w:b/>
                <w:u w:val="none"/>
              </w:rPr>
              <w:t>État</w:t>
            </w:r>
            <w:r w:rsidRPr="00AC30C6">
              <w:rPr>
                <w:b/>
                <w:u w:val="none"/>
              </w:rPr>
              <w:t xml:space="preserve">(s) </w:t>
            </w:r>
            <w:r w:rsidR="005416D7">
              <w:rPr>
                <w:b/>
                <w:u w:val="none"/>
              </w:rPr>
              <w:t>soumissionnaire</w:t>
            </w:r>
            <w:r w:rsidR="009E17EF" w:rsidRPr="00AC30C6">
              <w:rPr>
                <w:b/>
                <w:u w:val="none"/>
              </w:rPr>
              <w:t>(s) pour complément d’information </w:t>
            </w:r>
            <w:r w:rsidR="000D5895" w:rsidRPr="00AC30C6">
              <w:rPr>
                <w:u w:val="none"/>
              </w:rPr>
              <w:t>;</w:t>
            </w:r>
          </w:p>
          <w:p w:rsidR="000D5895" w:rsidRPr="00AC30C6" w:rsidRDefault="00FE0AFD" w:rsidP="00F47EA7">
            <w:pPr>
              <w:pStyle w:val="COMParaDecision"/>
              <w:numPr>
                <w:ilvl w:val="0"/>
                <w:numId w:val="18"/>
              </w:numPr>
              <w:ind w:left="391"/>
              <w:jc w:val="left"/>
              <w:rPr>
                <w:b/>
                <w:bCs/>
                <w:u w:val="none"/>
              </w:rPr>
            </w:pPr>
            <w:r w:rsidRPr="00AC30C6">
              <w:rPr>
                <w:u w:val="none"/>
              </w:rPr>
              <w:t xml:space="preserve">de sélection ou de non-sélection de la proposition de programme, projet ou activité, </w:t>
            </w:r>
            <w:r w:rsidRPr="00AC30C6">
              <w:rPr>
                <w:b/>
                <w:u w:val="none"/>
              </w:rPr>
              <w:t>ou</w:t>
            </w:r>
            <w:r w:rsidRPr="00AC30C6">
              <w:rPr>
                <w:b/>
                <w:bCs/>
                <w:u w:val="none"/>
              </w:rPr>
              <w:t xml:space="preserve"> </w:t>
            </w:r>
            <w:r w:rsidR="009E17EF" w:rsidRPr="00AC30C6">
              <w:rPr>
                <w:b/>
                <w:bCs/>
                <w:u w:val="none"/>
              </w:rPr>
              <w:t xml:space="preserve">de renvoi </w:t>
            </w:r>
            <w:r w:rsidR="00191D15" w:rsidRPr="00AC30C6">
              <w:rPr>
                <w:b/>
                <w:bCs/>
                <w:u w:val="none"/>
              </w:rPr>
              <w:t>de la proposition à l</w:t>
            </w:r>
            <w:r w:rsidR="001C652A" w:rsidRPr="00AC30C6">
              <w:rPr>
                <w:b/>
                <w:bCs/>
                <w:u w:val="none"/>
              </w:rPr>
              <w:t>’</w:t>
            </w:r>
            <w:r w:rsidR="00191D15" w:rsidRPr="00AC30C6">
              <w:rPr>
                <w:b/>
                <w:bCs/>
                <w:u w:val="none"/>
              </w:rPr>
              <w:t xml:space="preserve">(aux) </w:t>
            </w:r>
            <w:r w:rsidR="00AC30C6" w:rsidRPr="00AC30C6">
              <w:rPr>
                <w:b/>
                <w:bCs/>
                <w:u w:val="none"/>
              </w:rPr>
              <w:t>État</w:t>
            </w:r>
            <w:r w:rsidR="00191D15" w:rsidRPr="00AC30C6">
              <w:rPr>
                <w:b/>
                <w:bCs/>
                <w:u w:val="none"/>
              </w:rPr>
              <w:t xml:space="preserve">(s) </w:t>
            </w:r>
            <w:r w:rsidR="005416D7">
              <w:rPr>
                <w:b/>
                <w:bCs/>
                <w:u w:val="none"/>
              </w:rPr>
              <w:t>soumissionnaire</w:t>
            </w:r>
            <w:r w:rsidR="00191D15" w:rsidRPr="00AC30C6">
              <w:rPr>
                <w:b/>
                <w:bCs/>
                <w:u w:val="none"/>
              </w:rPr>
              <w:t>(s) pour complément d’information </w:t>
            </w:r>
            <w:r w:rsidR="000D5895" w:rsidRPr="00AC30C6">
              <w:rPr>
                <w:b/>
                <w:bCs/>
                <w:u w:val="none"/>
              </w:rPr>
              <w:t>; o</w:t>
            </w:r>
            <w:r w:rsidR="00191D15" w:rsidRPr="00AC30C6">
              <w:rPr>
                <w:b/>
                <w:bCs/>
                <w:u w:val="none"/>
              </w:rPr>
              <w:t>u</w:t>
            </w:r>
          </w:p>
          <w:p w:rsidR="000D5895" w:rsidRPr="00AC30C6" w:rsidRDefault="00FE0AFD" w:rsidP="004E1F76">
            <w:pPr>
              <w:pStyle w:val="COMParaDecision"/>
              <w:numPr>
                <w:ilvl w:val="0"/>
                <w:numId w:val="18"/>
              </w:numPr>
              <w:ind w:left="391"/>
              <w:jc w:val="left"/>
            </w:pPr>
            <w:r w:rsidRPr="00AC30C6">
              <w:rPr>
                <w:u w:val="none"/>
              </w:rPr>
              <w:t>d’approbation ou non-approbation de la demande d’assistance,</w:t>
            </w:r>
            <w:r w:rsidRPr="00AC30C6">
              <w:rPr>
                <w:b/>
                <w:bCs/>
                <w:u w:val="none"/>
              </w:rPr>
              <w:t xml:space="preserve"> </w:t>
            </w:r>
            <w:r w:rsidR="000D5895" w:rsidRPr="00AC30C6">
              <w:rPr>
                <w:b/>
                <w:bCs/>
                <w:u w:val="none"/>
              </w:rPr>
              <w:t>o</w:t>
            </w:r>
            <w:r w:rsidR="00191D15" w:rsidRPr="00AC30C6">
              <w:rPr>
                <w:b/>
                <w:bCs/>
                <w:u w:val="none"/>
              </w:rPr>
              <w:t xml:space="preserve">u de renvoi de la demande à l’(aux) </w:t>
            </w:r>
            <w:r w:rsidR="00AC30C6" w:rsidRPr="00AC30C6">
              <w:rPr>
                <w:b/>
                <w:bCs/>
                <w:u w:val="none"/>
              </w:rPr>
              <w:t>État</w:t>
            </w:r>
            <w:r w:rsidR="00191D15" w:rsidRPr="00AC30C6">
              <w:rPr>
                <w:b/>
                <w:bCs/>
                <w:u w:val="none"/>
              </w:rPr>
              <w:t xml:space="preserve">(s) </w:t>
            </w:r>
            <w:r w:rsidR="005416D7">
              <w:rPr>
                <w:b/>
                <w:bCs/>
                <w:u w:val="none"/>
              </w:rPr>
              <w:t>soumissionnaire</w:t>
            </w:r>
            <w:r w:rsidR="00191D15" w:rsidRPr="00AC30C6">
              <w:rPr>
                <w:b/>
                <w:bCs/>
                <w:u w:val="none"/>
              </w:rPr>
              <w:t>(s) pour complément d’information</w:t>
            </w:r>
            <w:r w:rsidR="000D5895" w:rsidRPr="00AC30C6">
              <w:rPr>
                <w:b/>
                <w:bCs/>
                <w:u w:val="none"/>
              </w:rPr>
              <w:t>.</w:t>
            </w:r>
          </w:p>
        </w:tc>
      </w:tr>
      <w:tr w:rsidR="000D5895" w:rsidRPr="00AC30C6" w:rsidTr="00DC3A18">
        <w:trPr>
          <w:cantSplit/>
        </w:trPr>
        <w:tc>
          <w:tcPr>
            <w:tcW w:w="1083" w:type="dxa"/>
            <w:shd w:val="clear" w:color="auto" w:fill="auto"/>
          </w:tcPr>
          <w:p w:rsidR="000D5895" w:rsidRPr="00AC30C6" w:rsidRDefault="000D5895" w:rsidP="00640EE5">
            <w:pPr>
              <w:pStyle w:val="COMParaDecision"/>
              <w:numPr>
                <w:ilvl w:val="0"/>
                <w:numId w:val="0"/>
              </w:numPr>
              <w:ind w:left="720"/>
              <w:jc w:val="left"/>
            </w:pPr>
          </w:p>
        </w:tc>
        <w:tc>
          <w:tcPr>
            <w:tcW w:w="6714" w:type="dxa"/>
            <w:shd w:val="clear" w:color="auto" w:fill="auto"/>
          </w:tcPr>
          <w:p w:rsidR="000D5895" w:rsidRPr="00AC30C6" w:rsidRDefault="000D5895" w:rsidP="00640EE5">
            <w:pPr>
              <w:pStyle w:val="COMParaDecision"/>
              <w:numPr>
                <w:ilvl w:val="0"/>
                <w:numId w:val="0"/>
              </w:numPr>
              <w:ind w:left="720"/>
              <w:jc w:val="left"/>
            </w:pPr>
          </w:p>
        </w:tc>
        <w:tc>
          <w:tcPr>
            <w:tcW w:w="850" w:type="dxa"/>
          </w:tcPr>
          <w:p w:rsidR="000D5895" w:rsidRPr="00AC30C6" w:rsidRDefault="000D5895" w:rsidP="00DB658C">
            <w:pPr>
              <w:pStyle w:val="COMParaDecision"/>
              <w:numPr>
                <w:ilvl w:val="0"/>
                <w:numId w:val="0"/>
              </w:numPr>
              <w:tabs>
                <w:tab w:val="left" w:pos="16"/>
              </w:tabs>
              <w:ind w:left="34"/>
              <w:jc w:val="right"/>
            </w:pPr>
            <w:r w:rsidRPr="00AC30C6">
              <w:t>[</w:t>
            </w:r>
            <w:r w:rsidRPr="00AC30C6">
              <w:rPr>
                <w:u w:val="none"/>
              </w:rPr>
              <w:t xml:space="preserve">31 </w:t>
            </w:r>
            <w:r w:rsidR="00650A46" w:rsidRPr="00AC30C6">
              <w:rPr>
                <w:u w:val="none"/>
              </w:rPr>
              <w:t>à</w:t>
            </w:r>
            <w:r w:rsidRPr="00AC30C6">
              <w:rPr>
                <w:u w:val="none"/>
              </w:rPr>
              <w:t xml:space="preserve"> 34]</w:t>
            </w:r>
          </w:p>
        </w:tc>
        <w:tc>
          <w:tcPr>
            <w:tcW w:w="6661" w:type="dxa"/>
          </w:tcPr>
          <w:p w:rsidR="000D5895" w:rsidRPr="00AC30C6" w:rsidRDefault="000D5895" w:rsidP="00650A46">
            <w:pPr>
              <w:pStyle w:val="COMParaDecision"/>
              <w:numPr>
                <w:ilvl w:val="0"/>
                <w:numId w:val="0"/>
              </w:numPr>
              <w:ind w:left="360"/>
              <w:jc w:val="left"/>
            </w:pPr>
            <w:r w:rsidRPr="00AC30C6">
              <w:t>[</w:t>
            </w:r>
            <w:r w:rsidR="00650A46" w:rsidRPr="00AC30C6">
              <w:t>inchangé</w:t>
            </w:r>
            <w:r w:rsidRPr="00AC30C6">
              <w:t>]</w:t>
            </w:r>
          </w:p>
        </w:tc>
      </w:tr>
      <w:tr w:rsidR="000D5895" w:rsidRPr="00AC30C6" w:rsidTr="00DC3A18">
        <w:trPr>
          <w:cantSplit/>
        </w:trPr>
        <w:tc>
          <w:tcPr>
            <w:tcW w:w="1083" w:type="dxa"/>
            <w:shd w:val="clear" w:color="auto" w:fill="auto"/>
          </w:tcPr>
          <w:p w:rsidR="000D5895" w:rsidRPr="00AC30C6" w:rsidRDefault="000D5895" w:rsidP="00DB658C">
            <w:pPr>
              <w:pStyle w:val="COMParaDecision"/>
              <w:numPr>
                <w:ilvl w:val="0"/>
                <w:numId w:val="0"/>
              </w:numPr>
              <w:ind w:left="360"/>
              <w:jc w:val="right"/>
              <w:rPr>
                <w:u w:val="none"/>
              </w:rPr>
            </w:pPr>
            <w:r w:rsidRPr="00AC30C6">
              <w:rPr>
                <w:u w:val="none"/>
              </w:rPr>
              <w:t>35.</w:t>
            </w:r>
          </w:p>
        </w:tc>
        <w:tc>
          <w:tcPr>
            <w:tcW w:w="6714" w:type="dxa"/>
            <w:shd w:val="clear" w:color="auto" w:fill="auto"/>
          </w:tcPr>
          <w:p w:rsidR="000D5895" w:rsidRPr="00AC30C6" w:rsidRDefault="00731ECB" w:rsidP="00640EE5">
            <w:pPr>
              <w:pStyle w:val="COMParaDecision"/>
              <w:numPr>
                <w:ilvl w:val="0"/>
                <w:numId w:val="0"/>
              </w:numPr>
              <w:ind w:left="360"/>
              <w:jc w:val="left"/>
              <w:rPr>
                <w:u w:val="none"/>
              </w:rPr>
            </w:pPr>
            <w:r w:rsidRPr="00AC30C6">
              <w:rPr>
                <w:u w:val="none"/>
              </w:rPr>
              <w:t>Après examen, le Comité décide si un élément doit ou non être inscrit sur la Liste du patrimoine culturel immatériel nécessitant une sauvegarde urgente, si un élément doit ou non être inscrit sur la Liste représentative du patrimoine culturel immatériel de l’humanité, ou si la candidature doit être renvoyée à l’État soumissionnaire pour complément d’information, si un programme, projet ou activité doit être sélectionné comme meilleure pratique de sauvegarde, ou si une demande d’assistance internationale supérieure à 25 000 dollars des États-Unis doit être accordée.</w:t>
            </w:r>
          </w:p>
        </w:tc>
        <w:tc>
          <w:tcPr>
            <w:tcW w:w="850" w:type="dxa"/>
          </w:tcPr>
          <w:p w:rsidR="000D5895" w:rsidRPr="00AC30C6" w:rsidRDefault="000D5895" w:rsidP="00DB658C">
            <w:pPr>
              <w:pStyle w:val="COMParaDecision"/>
              <w:numPr>
                <w:ilvl w:val="0"/>
                <w:numId w:val="0"/>
              </w:numPr>
              <w:tabs>
                <w:tab w:val="left" w:pos="16"/>
              </w:tabs>
              <w:ind w:left="-46"/>
              <w:jc w:val="right"/>
              <w:rPr>
                <w:u w:val="none"/>
              </w:rPr>
            </w:pPr>
            <w:r w:rsidRPr="00AC30C6">
              <w:rPr>
                <w:u w:val="none"/>
              </w:rPr>
              <w:t>35.</w:t>
            </w:r>
          </w:p>
        </w:tc>
        <w:tc>
          <w:tcPr>
            <w:tcW w:w="6661" w:type="dxa"/>
          </w:tcPr>
          <w:p w:rsidR="000D5895" w:rsidRPr="00AC30C6" w:rsidRDefault="000D5895" w:rsidP="0095193F">
            <w:pPr>
              <w:pStyle w:val="COMParaDecision"/>
              <w:numPr>
                <w:ilvl w:val="0"/>
                <w:numId w:val="0"/>
              </w:numPr>
              <w:ind w:left="34"/>
              <w:jc w:val="left"/>
              <w:rPr>
                <w:u w:val="none"/>
              </w:rPr>
            </w:pPr>
            <w:r w:rsidRPr="00AC30C6">
              <w:rPr>
                <w:u w:val="none"/>
              </w:rPr>
              <w:t>A</w:t>
            </w:r>
            <w:r w:rsidR="001C652A" w:rsidRPr="00AC30C6">
              <w:rPr>
                <w:u w:val="none"/>
              </w:rPr>
              <w:t>près examen, le Comité décide </w:t>
            </w:r>
            <w:r w:rsidRPr="00AC30C6">
              <w:rPr>
                <w:b/>
                <w:u w:val="none"/>
              </w:rPr>
              <w:t>:</w:t>
            </w:r>
          </w:p>
          <w:p w:rsidR="000D5895" w:rsidRPr="00AC30C6" w:rsidRDefault="001C652A" w:rsidP="0095193F">
            <w:pPr>
              <w:pStyle w:val="COMParaDecision"/>
              <w:numPr>
                <w:ilvl w:val="0"/>
                <w:numId w:val="19"/>
              </w:numPr>
              <w:jc w:val="left"/>
              <w:rPr>
                <w:b/>
                <w:u w:val="none"/>
              </w:rPr>
            </w:pPr>
            <w:r w:rsidRPr="00AC30C6">
              <w:rPr>
                <w:u w:val="none"/>
              </w:rPr>
              <w:t xml:space="preserve">si un élément doit ou non être inscrit sur la Liste du patrimoine culturel immatériel nécessitant une sauvegarde urgente </w:t>
            </w:r>
            <w:r w:rsidRPr="00AC30C6">
              <w:rPr>
                <w:strike/>
                <w:u w:val="none"/>
              </w:rPr>
              <w:t xml:space="preserve">si un élément doit ou non être inscrit </w:t>
            </w:r>
            <w:r w:rsidR="000D5895" w:rsidRPr="00AC30C6">
              <w:rPr>
                <w:b/>
                <w:bCs/>
              </w:rPr>
              <w:t>o</w:t>
            </w:r>
            <w:r w:rsidRPr="00AC30C6">
              <w:rPr>
                <w:b/>
                <w:bCs/>
              </w:rPr>
              <w:t>u</w:t>
            </w:r>
            <w:r w:rsidR="000D5895" w:rsidRPr="00AC30C6">
              <w:rPr>
                <w:b/>
                <w:bCs/>
              </w:rPr>
              <w:t xml:space="preserve"> </w:t>
            </w:r>
            <w:r w:rsidR="00D221A9" w:rsidRPr="00AC30C6">
              <w:rPr>
                <w:u w:val="none"/>
              </w:rPr>
              <w:t>sur la</w:t>
            </w:r>
            <w:r w:rsidRPr="00AC30C6">
              <w:rPr>
                <w:u w:val="none"/>
              </w:rPr>
              <w:t xml:space="preserve"> Liste représentative du patrimoine culturel immatériel de l’humanité</w:t>
            </w:r>
            <w:r w:rsidR="000D5895" w:rsidRPr="00AC30C6">
              <w:rPr>
                <w:u w:val="none"/>
              </w:rPr>
              <w:t xml:space="preserve"> o</w:t>
            </w:r>
            <w:r w:rsidRPr="00AC30C6">
              <w:rPr>
                <w:u w:val="none"/>
              </w:rPr>
              <w:t>u si la candidature doit être renvoyée à l’</w:t>
            </w:r>
            <w:r w:rsidR="00AC30C6" w:rsidRPr="00AC30C6">
              <w:rPr>
                <w:u w:val="none"/>
              </w:rPr>
              <w:t>État</w:t>
            </w:r>
            <w:r w:rsidRPr="00AC30C6">
              <w:rPr>
                <w:u w:val="none"/>
              </w:rPr>
              <w:t xml:space="preserve"> </w:t>
            </w:r>
            <w:r w:rsidR="00D221A9" w:rsidRPr="00AC30C6">
              <w:rPr>
                <w:u w:val="none"/>
              </w:rPr>
              <w:t>soumissionnaire</w:t>
            </w:r>
            <w:r w:rsidRPr="00AC30C6">
              <w:rPr>
                <w:u w:val="none"/>
              </w:rPr>
              <w:t xml:space="preserve"> pour </w:t>
            </w:r>
            <w:r w:rsidR="004F3C71" w:rsidRPr="00AC30C6">
              <w:rPr>
                <w:u w:val="none"/>
              </w:rPr>
              <w:t>complément d’information</w:t>
            </w:r>
            <w:r w:rsidR="000D5895" w:rsidRPr="00AC30C6">
              <w:rPr>
                <w:u w:val="none"/>
              </w:rPr>
              <w:t>,</w:t>
            </w:r>
          </w:p>
          <w:p w:rsidR="000D5895" w:rsidRPr="00AC30C6" w:rsidRDefault="004F3C71" w:rsidP="0095193F">
            <w:pPr>
              <w:pStyle w:val="COMParaDecision"/>
              <w:numPr>
                <w:ilvl w:val="0"/>
                <w:numId w:val="19"/>
              </w:numPr>
              <w:jc w:val="left"/>
              <w:rPr>
                <w:b/>
                <w:u w:val="none"/>
              </w:rPr>
            </w:pPr>
            <w:r w:rsidRPr="00AC30C6">
              <w:rPr>
                <w:u w:val="none"/>
              </w:rPr>
              <w:t xml:space="preserve">si un </w:t>
            </w:r>
            <w:r w:rsidR="000D5895" w:rsidRPr="00AC30C6">
              <w:rPr>
                <w:u w:val="none"/>
              </w:rPr>
              <w:t>programme, projet o</w:t>
            </w:r>
            <w:r w:rsidRPr="00AC30C6">
              <w:rPr>
                <w:u w:val="none"/>
              </w:rPr>
              <w:t>u activité doit être sélectionné comme meilleure pratique de sauvegarde</w:t>
            </w:r>
            <w:r w:rsidR="000D5895" w:rsidRPr="00AC30C6">
              <w:rPr>
                <w:u w:val="none"/>
              </w:rPr>
              <w:t xml:space="preserve"> </w:t>
            </w:r>
            <w:r w:rsidR="000D5895" w:rsidRPr="00AC30C6">
              <w:rPr>
                <w:b/>
              </w:rPr>
              <w:t>o</w:t>
            </w:r>
            <w:r w:rsidRPr="00AC30C6">
              <w:rPr>
                <w:b/>
              </w:rPr>
              <w:t>u si la proposition doit être renvoyée à l’</w:t>
            </w:r>
            <w:r w:rsidR="00AC30C6" w:rsidRPr="00AC30C6">
              <w:rPr>
                <w:b/>
              </w:rPr>
              <w:t>État</w:t>
            </w:r>
            <w:r w:rsidRPr="00AC30C6">
              <w:rPr>
                <w:b/>
              </w:rPr>
              <w:t xml:space="preserve"> </w:t>
            </w:r>
            <w:r w:rsidR="00D221A9" w:rsidRPr="00AC30C6">
              <w:rPr>
                <w:b/>
              </w:rPr>
              <w:t>soumissionnaire</w:t>
            </w:r>
            <w:r w:rsidRPr="00AC30C6">
              <w:rPr>
                <w:b/>
              </w:rPr>
              <w:t xml:space="preserve"> pour complément d’information ;</w:t>
            </w:r>
          </w:p>
          <w:p w:rsidR="000D5895" w:rsidRPr="00AC30C6" w:rsidRDefault="000D5895" w:rsidP="005416D7">
            <w:pPr>
              <w:pStyle w:val="COMParaDecision"/>
              <w:numPr>
                <w:ilvl w:val="0"/>
                <w:numId w:val="19"/>
              </w:numPr>
              <w:jc w:val="left"/>
              <w:rPr>
                <w:u w:val="none"/>
              </w:rPr>
            </w:pPr>
            <w:r w:rsidRPr="00AC30C6">
              <w:rPr>
                <w:u w:val="none"/>
              </w:rPr>
              <w:t>o</w:t>
            </w:r>
            <w:r w:rsidR="004F3C71" w:rsidRPr="00AC30C6">
              <w:rPr>
                <w:u w:val="none"/>
              </w:rPr>
              <w:t xml:space="preserve">u si une demande d’assistance internationale supérieure à 25 000 dollars des </w:t>
            </w:r>
            <w:r w:rsidR="00AC30C6" w:rsidRPr="00AC30C6">
              <w:rPr>
                <w:u w:val="none"/>
              </w:rPr>
              <w:t>États-Unis</w:t>
            </w:r>
            <w:r w:rsidR="004F3C71" w:rsidRPr="00AC30C6">
              <w:rPr>
                <w:u w:val="none"/>
              </w:rPr>
              <w:t xml:space="preserve"> doit être accordée</w:t>
            </w:r>
            <w:r w:rsidRPr="00AC30C6">
              <w:rPr>
                <w:u w:val="none"/>
              </w:rPr>
              <w:t xml:space="preserve"> </w:t>
            </w:r>
            <w:r w:rsidRPr="00AC30C6">
              <w:rPr>
                <w:b/>
              </w:rPr>
              <w:t>o</w:t>
            </w:r>
            <w:r w:rsidR="00BE5C6A" w:rsidRPr="00AC30C6">
              <w:rPr>
                <w:b/>
              </w:rPr>
              <w:t xml:space="preserve">u si la </w:t>
            </w:r>
            <w:r w:rsidR="005416D7">
              <w:rPr>
                <w:b/>
              </w:rPr>
              <w:t>demande</w:t>
            </w:r>
            <w:r w:rsidR="005416D7" w:rsidRPr="00AC30C6">
              <w:rPr>
                <w:b/>
              </w:rPr>
              <w:t xml:space="preserve"> </w:t>
            </w:r>
            <w:r w:rsidR="00BE5C6A" w:rsidRPr="00AC30C6">
              <w:rPr>
                <w:b/>
              </w:rPr>
              <w:t>doit être renvoyée à l’</w:t>
            </w:r>
            <w:r w:rsidR="00AC30C6" w:rsidRPr="00AC30C6">
              <w:rPr>
                <w:b/>
              </w:rPr>
              <w:t>État</w:t>
            </w:r>
            <w:r w:rsidR="00BE5C6A" w:rsidRPr="00AC30C6">
              <w:rPr>
                <w:b/>
              </w:rPr>
              <w:t xml:space="preserve"> </w:t>
            </w:r>
            <w:r w:rsidR="00573242" w:rsidRPr="00AC30C6">
              <w:rPr>
                <w:b/>
              </w:rPr>
              <w:t>soumissionnaire</w:t>
            </w:r>
            <w:r w:rsidR="00BE5C6A" w:rsidRPr="00AC30C6">
              <w:rPr>
                <w:b/>
              </w:rPr>
              <w:t xml:space="preserve"> pour complément d’information</w:t>
            </w:r>
            <w:r w:rsidRPr="00AC30C6">
              <w:rPr>
                <w:b/>
              </w:rPr>
              <w:t>.</w:t>
            </w:r>
          </w:p>
        </w:tc>
      </w:tr>
      <w:tr w:rsidR="000D5895" w:rsidRPr="00AC30C6" w:rsidTr="00DC3A18">
        <w:trPr>
          <w:cantSplit/>
        </w:trPr>
        <w:tc>
          <w:tcPr>
            <w:tcW w:w="1083" w:type="dxa"/>
            <w:shd w:val="clear" w:color="auto" w:fill="auto"/>
          </w:tcPr>
          <w:p w:rsidR="000D5895" w:rsidRPr="00AC30C6" w:rsidRDefault="000D5895" w:rsidP="00DB658C">
            <w:pPr>
              <w:pStyle w:val="COMParaDecision"/>
              <w:numPr>
                <w:ilvl w:val="0"/>
                <w:numId w:val="0"/>
              </w:numPr>
              <w:ind w:left="360"/>
              <w:rPr>
                <w:u w:val="none"/>
              </w:rPr>
            </w:pPr>
            <w:r w:rsidRPr="00AC30C6">
              <w:rPr>
                <w:u w:val="none"/>
              </w:rPr>
              <w:t>36.</w:t>
            </w:r>
          </w:p>
        </w:tc>
        <w:tc>
          <w:tcPr>
            <w:tcW w:w="6714" w:type="dxa"/>
            <w:shd w:val="clear" w:color="auto" w:fill="auto"/>
          </w:tcPr>
          <w:p w:rsidR="000D5895" w:rsidRPr="00AC30C6" w:rsidRDefault="00731ECB" w:rsidP="00640EE5">
            <w:pPr>
              <w:pStyle w:val="COMParaDecision"/>
              <w:numPr>
                <w:ilvl w:val="0"/>
                <w:numId w:val="0"/>
              </w:numPr>
              <w:ind w:left="360"/>
              <w:jc w:val="left"/>
              <w:rPr>
                <w:u w:val="none"/>
              </w:rPr>
            </w:pPr>
            <w:r w:rsidRPr="00AC30C6">
              <w:rPr>
                <w:u w:val="none"/>
              </w:rPr>
              <w:t>Les candidatures à la Liste représentative du patrimoine culturel immatériel de l’humanité que le Comité décide de renvoyer à l’État soumissionnaire pour complément d’information peuvent être soumises de nouveau au Comité pour examen au cours d’un cycle suivant, après avoir été actualisées et complétées</w:t>
            </w:r>
            <w:r w:rsidR="000D5895" w:rsidRPr="00AC30C6">
              <w:rPr>
                <w:u w:val="none"/>
              </w:rPr>
              <w:t>.</w:t>
            </w:r>
          </w:p>
        </w:tc>
        <w:tc>
          <w:tcPr>
            <w:tcW w:w="850" w:type="dxa"/>
          </w:tcPr>
          <w:p w:rsidR="000D5895" w:rsidRPr="00AC30C6" w:rsidRDefault="000D5895" w:rsidP="00DB658C">
            <w:pPr>
              <w:pStyle w:val="COMParaDecision"/>
              <w:numPr>
                <w:ilvl w:val="0"/>
                <w:numId w:val="0"/>
              </w:numPr>
              <w:tabs>
                <w:tab w:val="left" w:pos="16"/>
              </w:tabs>
              <w:ind w:left="-46"/>
              <w:jc w:val="right"/>
              <w:rPr>
                <w:u w:val="none"/>
              </w:rPr>
            </w:pPr>
            <w:r w:rsidRPr="00AC30C6">
              <w:rPr>
                <w:u w:val="none"/>
              </w:rPr>
              <w:t>36.</w:t>
            </w:r>
          </w:p>
        </w:tc>
        <w:tc>
          <w:tcPr>
            <w:tcW w:w="6661" w:type="dxa"/>
          </w:tcPr>
          <w:p w:rsidR="000D5895" w:rsidRPr="00AC30C6" w:rsidRDefault="00BE5C6A" w:rsidP="005416D7">
            <w:pPr>
              <w:pStyle w:val="COMParaDecision"/>
              <w:numPr>
                <w:ilvl w:val="0"/>
                <w:numId w:val="0"/>
              </w:numPr>
              <w:ind w:left="34"/>
              <w:jc w:val="left"/>
              <w:rPr>
                <w:u w:val="none"/>
              </w:rPr>
            </w:pPr>
            <w:r w:rsidRPr="00AC30C6">
              <w:rPr>
                <w:u w:val="none"/>
              </w:rPr>
              <w:t>Les candidatures</w:t>
            </w:r>
            <w:r w:rsidR="000D5895" w:rsidRPr="00AC30C6">
              <w:rPr>
                <w:u w:val="none"/>
              </w:rPr>
              <w:t xml:space="preserve"> </w:t>
            </w:r>
            <w:r w:rsidRPr="00AC30C6">
              <w:rPr>
                <w:strike/>
                <w:u w:val="none"/>
              </w:rPr>
              <w:t>à la Liste représentative du patrimoine culturel immatériel de l’humanité</w:t>
            </w:r>
            <w:r w:rsidR="000D5895" w:rsidRPr="00AC30C6">
              <w:rPr>
                <w:b/>
                <w:bCs/>
                <w:u w:val="none"/>
              </w:rPr>
              <w:t xml:space="preserve">, </w:t>
            </w:r>
            <w:r w:rsidR="000D5895" w:rsidRPr="00AC30C6">
              <w:rPr>
                <w:b/>
              </w:rPr>
              <w:t>propos</w:t>
            </w:r>
            <w:r w:rsidRPr="00AC30C6">
              <w:rPr>
                <w:b/>
              </w:rPr>
              <w:t>itions ou demandes</w:t>
            </w:r>
            <w:r w:rsidR="000D5895" w:rsidRPr="00AC30C6">
              <w:rPr>
                <w:u w:val="none"/>
              </w:rPr>
              <w:t xml:space="preserve"> </w:t>
            </w:r>
            <w:r w:rsidRPr="00AC30C6">
              <w:rPr>
                <w:u w:val="none"/>
              </w:rPr>
              <w:t xml:space="preserve">que le Comité décide de </w:t>
            </w:r>
            <w:r w:rsidR="000D5895" w:rsidRPr="00AC30C6">
              <w:rPr>
                <w:b/>
              </w:rPr>
              <w:t>n</w:t>
            </w:r>
            <w:r w:rsidRPr="00AC30C6">
              <w:rPr>
                <w:b/>
              </w:rPr>
              <w:t>e pas inscrire</w:t>
            </w:r>
            <w:r w:rsidR="000D5895" w:rsidRPr="00AC30C6">
              <w:rPr>
                <w:b/>
              </w:rPr>
              <w:t>, s</w:t>
            </w:r>
            <w:r w:rsidR="00D221A9" w:rsidRPr="00AC30C6">
              <w:rPr>
                <w:b/>
              </w:rPr>
              <w:t>é</w:t>
            </w:r>
            <w:r w:rsidR="000D5895" w:rsidRPr="00AC30C6">
              <w:rPr>
                <w:b/>
              </w:rPr>
              <w:t>lect</w:t>
            </w:r>
            <w:r w:rsidR="00D221A9" w:rsidRPr="00AC30C6">
              <w:rPr>
                <w:b/>
              </w:rPr>
              <w:t>ionner ou accorder</w:t>
            </w:r>
            <w:r w:rsidR="000D5895" w:rsidRPr="00AC30C6">
              <w:rPr>
                <w:b/>
              </w:rPr>
              <w:t>, o</w:t>
            </w:r>
            <w:r w:rsidR="00D221A9" w:rsidRPr="00AC30C6">
              <w:rPr>
                <w:b/>
              </w:rPr>
              <w:t>u</w:t>
            </w:r>
            <w:r w:rsidR="000D5895" w:rsidRPr="00AC30C6">
              <w:rPr>
                <w:u w:val="none"/>
              </w:rPr>
              <w:t xml:space="preserve"> </w:t>
            </w:r>
            <w:r w:rsidR="00D221A9" w:rsidRPr="00AC30C6">
              <w:rPr>
                <w:u w:val="none"/>
              </w:rPr>
              <w:t>de renvoyer à l’</w:t>
            </w:r>
            <w:r w:rsidR="00AC30C6" w:rsidRPr="00AC30C6">
              <w:rPr>
                <w:u w:val="none"/>
              </w:rPr>
              <w:t>État</w:t>
            </w:r>
            <w:r w:rsidR="00D221A9" w:rsidRPr="00AC30C6">
              <w:rPr>
                <w:u w:val="none"/>
              </w:rPr>
              <w:t xml:space="preserve"> </w:t>
            </w:r>
            <w:r w:rsidR="005A0587" w:rsidRPr="00AC30C6">
              <w:rPr>
                <w:u w:val="none"/>
              </w:rPr>
              <w:t>soumissionnaire</w:t>
            </w:r>
            <w:r w:rsidR="00D221A9" w:rsidRPr="00AC30C6">
              <w:rPr>
                <w:u w:val="none"/>
              </w:rPr>
              <w:t xml:space="preserve"> pour complément d’information peuvent être </w:t>
            </w:r>
            <w:r w:rsidR="005416D7">
              <w:rPr>
                <w:u w:val="none"/>
              </w:rPr>
              <w:t>re</w:t>
            </w:r>
            <w:r w:rsidR="00D221A9" w:rsidRPr="00AC30C6">
              <w:rPr>
                <w:u w:val="none"/>
              </w:rPr>
              <w:t>soumises au Comité pour examen au cours d’un cycle suivant, après avoir été actualisées et complétées</w:t>
            </w:r>
            <w:r w:rsidR="000D5895" w:rsidRPr="00AC30C6">
              <w:rPr>
                <w:u w:val="none"/>
              </w:rPr>
              <w:t>.</w:t>
            </w:r>
          </w:p>
        </w:tc>
      </w:tr>
      <w:tr w:rsidR="000D5895" w:rsidRPr="00AC30C6" w:rsidTr="00DC3A18">
        <w:trPr>
          <w:cantSplit/>
        </w:trPr>
        <w:tc>
          <w:tcPr>
            <w:tcW w:w="1083" w:type="dxa"/>
            <w:shd w:val="clear" w:color="auto" w:fill="auto"/>
          </w:tcPr>
          <w:p w:rsidR="000D5895" w:rsidRPr="00AC30C6" w:rsidRDefault="000D5895" w:rsidP="00DB658C">
            <w:pPr>
              <w:pStyle w:val="COMParaDecision"/>
              <w:numPr>
                <w:ilvl w:val="0"/>
                <w:numId w:val="0"/>
              </w:numPr>
              <w:ind w:left="360"/>
              <w:jc w:val="right"/>
              <w:rPr>
                <w:u w:val="none"/>
              </w:rPr>
            </w:pPr>
            <w:r w:rsidRPr="00AC30C6">
              <w:rPr>
                <w:u w:val="none"/>
              </w:rPr>
              <w:t>37.</w:t>
            </w:r>
          </w:p>
        </w:tc>
        <w:tc>
          <w:tcPr>
            <w:tcW w:w="6714" w:type="dxa"/>
            <w:shd w:val="clear" w:color="auto" w:fill="auto"/>
          </w:tcPr>
          <w:p w:rsidR="000D5895" w:rsidRPr="00AC30C6" w:rsidRDefault="00731ECB" w:rsidP="00640EE5">
            <w:pPr>
              <w:pStyle w:val="COMParaDecision"/>
              <w:numPr>
                <w:ilvl w:val="0"/>
                <w:numId w:val="0"/>
              </w:numPr>
              <w:ind w:left="360"/>
              <w:jc w:val="left"/>
              <w:rPr>
                <w:u w:val="none"/>
              </w:rPr>
            </w:pPr>
            <w:r w:rsidRPr="00AC30C6">
              <w:rPr>
                <w:u w:val="none"/>
              </w:rPr>
              <w:t>Si le Comité décide qu’un élément ne doit pas être inscrit sur la Liste représentative du patrimoine culturel immatériel de l’humanité, la candidature ne pourra être resoumise au Comité pour inscription sur cette liste qu’après un délai de quatre ans</w:t>
            </w:r>
            <w:r w:rsidR="000D5895" w:rsidRPr="00AC30C6">
              <w:rPr>
                <w:u w:val="none"/>
              </w:rPr>
              <w:t>.</w:t>
            </w:r>
          </w:p>
        </w:tc>
        <w:tc>
          <w:tcPr>
            <w:tcW w:w="850" w:type="dxa"/>
          </w:tcPr>
          <w:p w:rsidR="000D5895" w:rsidRPr="00AC30C6" w:rsidRDefault="000D5895" w:rsidP="00DB658C">
            <w:pPr>
              <w:pStyle w:val="COMParaDecision"/>
              <w:numPr>
                <w:ilvl w:val="0"/>
                <w:numId w:val="0"/>
              </w:numPr>
              <w:tabs>
                <w:tab w:val="left" w:pos="16"/>
              </w:tabs>
              <w:ind w:left="-46"/>
              <w:jc w:val="right"/>
              <w:rPr>
                <w:u w:val="none"/>
              </w:rPr>
            </w:pPr>
            <w:r w:rsidRPr="00AC30C6">
              <w:rPr>
                <w:u w:val="none"/>
              </w:rPr>
              <w:t>37.</w:t>
            </w:r>
          </w:p>
        </w:tc>
        <w:tc>
          <w:tcPr>
            <w:tcW w:w="6661" w:type="dxa"/>
          </w:tcPr>
          <w:p w:rsidR="000D5895" w:rsidRPr="004E1F76" w:rsidRDefault="005A0587" w:rsidP="00444ABA">
            <w:pPr>
              <w:pStyle w:val="COMParaDecision"/>
              <w:numPr>
                <w:ilvl w:val="0"/>
                <w:numId w:val="0"/>
              </w:numPr>
              <w:ind w:left="34"/>
              <w:jc w:val="left"/>
              <w:rPr>
                <w:strike/>
                <w:u w:val="none"/>
              </w:rPr>
            </w:pPr>
            <w:r w:rsidRPr="004E1F76">
              <w:rPr>
                <w:strike/>
                <w:u w:val="none"/>
              </w:rPr>
              <w:t>Si le Comité décide qu’un élément ne doit pas être inscrit sur la Liste représentative du patrimoine culturel immatériel de l’humanité, la candidature ne pourra être resoumise au Comité pour inscription sur cette liste qu’après un délai de quatre ans</w:t>
            </w:r>
            <w:r w:rsidR="000D5895" w:rsidRPr="004E1F76">
              <w:rPr>
                <w:strike/>
                <w:u w:val="none"/>
              </w:rPr>
              <w:t>.</w:t>
            </w:r>
          </w:p>
          <w:p w:rsidR="000D5895" w:rsidRPr="00AC30C6" w:rsidRDefault="005A0587" w:rsidP="004E1F76">
            <w:pPr>
              <w:pStyle w:val="COMParaDecision"/>
              <w:numPr>
                <w:ilvl w:val="0"/>
                <w:numId w:val="0"/>
              </w:numPr>
              <w:ind w:left="34"/>
              <w:jc w:val="left"/>
              <w:rPr>
                <w:b/>
                <w:u w:val="none"/>
              </w:rPr>
            </w:pPr>
            <w:r w:rsidRPr="00AC30C6">
              <w:rPr>
                <w:b/>
                <w:u w:val="none"/>
              </w:rPr>
              <w:t>La décision du Comité de renvoyer une candidature, proposition ou demande à l’</w:t>
            </w:r>
            <w:r w:rsidR="00AC30C6" w:rsidRPr="00AC30C6">
              <w:rPr>
                <w:b/>
                <w:u w:val="none"/>
              </w:rPr>
              <w:t>État</w:t>
            </w:r>
            <w:r w:rsidRPr="00AC30C6">
              <w:rPr>
                <w:b/>
                <w:u w:val="none"/>
              </w:rPr>
              <w:t xml:space="preserve"> soumissionnaire pour complément d’information ne saurait impliquer ou garantir que l’élément sera inscrit, la proposition sélectionnée ou la demande a</w:t>
            </w:r>
            <w:r w:rsidR="00CC3602" w:rsidRPr="00AC30C6">
              <w:rPr>
                <w:b/>
                <w:u w:val="none"/>
              </w:rPr>
              <w:t>pprouv</w:t>
            </w:r>
            <w:r w:rsidRPr="00AC30C6">
              <w:rPr>
                <w:b/>
                <w:u w:val="none"/>
              </w:rPr>
              <w:t>ée dans le futur</w:t>
            </w:r>
            <w:r w:rsidR="000D5895" w:rsidRPr="00AC30C6">
              <w:rPr>
                <w:b/>
                <w:u w:val="none"/>
              </w:rPr>
              <w:t xml:space="preserve">. </w:t>
            </w:r>
            <w:r w:rsidR="000178C0" w:rsidRPr="00AC30C6">
              <w:rPr>
                <w:b/>
                <w:u w:val="none"/>
              </w:rPr>
              <w:t xml:space="preserve">Toute </w:t>
            </w:r>
            <w:r w:rsidR="005416D7">
              <w:rPr>
                <w:b/>
                <w:u w:val="none"/>
              </w:rPr>
              <w:t>re</w:t>
            </w:r>
            <w:r w:rsidR="000178C0" w:rsidRPr="00AC30C6">
              <w:rPr>
                <w:b/>
                <w:u w:val="none"/>
              </w:rPr>
              <w:t xml:space="preserve">soumission ultérieure doit </w:t>
            </w:r>
            <w:r w:rsidR="005416D7">
              <w:rPr>
                <w:b/>
                <w:u w:val="none"/>
              </w:rPr>
              <w:t>démontrer</w:t>
            </w:r>
            <w:r w:rsidR="000178C0" w:rsidRPr="00AC30C6">
              <w:rPr>
                <w:b/>
                <w:u w:val="none"/>
              </w:rPr>
              <w:t xml:space="preserve"> que les critères </w:t>
            </w:r>
            <w:r w:rsidR="005416D7">
              <w:rPr>
                <w:b/>
                <w:u w:val="none"/>
              </w:rPr>
              <w:t>d</w:t>
            </w:r>
            <w:r w:rsidR="00CC3602" w:rsidRPr="00AC30C6">
              <w:rPr>
                <w:b/>
                <w:u w:val="none"/>
              </w:rPr>
              <w:t xml:space="preserve">’inscription, </w:t>
            </w:r>
            <w:r w:rsidR="005416D7">
              <w:rPr>
                <w:b/>
                <w:u w:val="none"/>
              </w:rPr>
              <w:t>de</w:t>
            </w:r>
            <w:r w:rsidR="005416D7" w:rsidRPr="00AC30C6">
              <w:rPr>
                <w:b/>
                <w:u w:val="none"/>
              </w:rPr>
              <w:t xml:space="preserve"> </w:t>
            </w:r>
            <w:r w:rsidR="00CC3602" w:rsidRPr="00AC30C6">
              <w:rPr>
                <w:b/>
                <w:u w:val="none"/>
              </w:rPr>
              <w:t xml:space="preserve">sélection ou </w:t>
            </w:r>
            <w:r w:rsidR="005416D7">
              <w:rPr>
                <w:b/>
                <w:u w:val="none"/>
              </w:rPr>
              <w:t>d</w:t>
            </w:r>
            <w:r w:rsidR="00CC3602" w:rsidRPr="00AC30C6">
              <w:rPr>
                <w:b/>
                <w:u w:val="none"/>
              </w:rPr>
              <w:t>’approbation sont satisfaits</w:t>
            </w:r>
            <w:r w:rsidR="000D5895" w:rsidRPr="00AC30C6">
              <w:rPr>
                <w:b/>
                <w:u w:val="none"/>
              </w:rPr>
              <w:t>.</w:t>
            </w:r>
          </w:p>
        </w:tc>
      </w:tr>
    </w:tbl>
    <w:p w:rsidR="00443880" w:rsidRPr="00AC30C6" w:rsidRDefault="00443880" w:rsidP="00DB658C">
      <w:pPr>
        <w:pStyle w:val="COMParaDecision"/>
        <w:numPr>
          <w:ilvl w:val="0"/>
          <w:numId w:val="0"/>
        </w:numPr>
        <w:spacing w:after="0" w:line="20" w:lineRule="exact"/>
        <w:jc w:val="left"/>
        <w:rPr>
          <w:u w:val="none"/>
        </w:rPr>
      </w:pPr>
      <w:bookmarkStart w:id="0" w:name="_GoBack"/>
      <w:bookmarkEnd w:id="0"/>
    </w:p>
    <w:sectPr w:rsidR="00443880" w:rsidRPr="00AC30C6" w:rsidSect="00F91168">
      <w:pgSz w:w="16838" w:h="11906" w:orient="landscape" w:code="9"/>
      <w:pgMar w:top="1134" w:right="1418" w:bottom="1134" w:left="1134" w:header="39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AF4" w:rsidRDefault="00297AF4" w:rsidP="00655736">
      <w:r>
        <w:separator/>
      </w:r>
    </w:p>
    <w:p w:rsidR="00297AF4" w:rsidRDefault="00297AF4"/>
    <w:p w:rsidR="00297AF4" w:rsidRDefault="00297AF4" w:rsidP="002E58D4"/>
    <w:p w:rsidR="00297AF4" w:rsidRDefault="00297AF4" w:rsidP="002E58D4"/>
    <w:p w:rsidR="00297AF4" w:rsidRDefault="00297AF4" w:rsidP="002E58D4"/>
  </w:endnote>
  <w:endnote w:type="continuationSeparator" w:id="0">
    <w:p w:rsidR="00297AF4" w:rsidRDefault="00297AF4" w:rsidP="00655736">
      <w:r>
        <w:continuationSeparator/>
      </w:r>
    </w:p>
    <w:p w:rsidR="00297AF4" w:rsidRDefault="00297AF4"/>
    <w:p w:rsidR="00297AF4" w:rsidRDefault="00297AF4" w:rsidP="002E58D4"/>
    <w:p w:rsidR="00297AF4" w:rsidRDefault="00297AF4" w:rsidP="002E58D4"/>
    <w:p w:rsidR="00297AF4" w:rsidRDefault="00297AF4"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AF4" w:rsidRDefault="00297AF4" w:rsidP="00655736">
      <w:r>
        <w:separator/>
      </w:r>
    </w:p>
    <w:p w:rsidR="00297AF4" w:rsidRDefault="00297AF4"/>
    <w:p w:rsidR="00297AF4" w:rsidRDefault="00297AF4" w:rsidP="002E58D4"/>
    <w:p w:rsidR="00297AF4" w:rsidRDefault="00297AF4" w:rsidP="002E58D4"/>
    <w:p w:rsidR="00297AF4" w:rsidRDefault="00297AF4" w:rsidP="002E58D4"/>
  </w:footnote>
  <w:footnote w:type="continuationSeparator" w:id="0">
    <w:p w:rsidR="00297AF4" w:rsidRDefault="00297AF4" w:rsidP="00655736">
      <w:r>
        <w:continuationSeparator/>
      </w:r>
    </w:p>
    <w:p w:rsidR="00297AF4" w:rsidRDefault="00297AF4"/>
    <w:p w:rsidR="00297AF4" w:rsidRDefault="00297AF4" w:rsidP="002E58D4"/>
    <w:p w:rsidR="00297AF4" w:rsidRDefault="00297AF4" w:rsidP="002E58D4"/>
    <w:p w:rsidR="00297AF4" w:rsidRDefault="00297AF4" w:rsidP="002E58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001" w:rsidRPr="002E58D4" w:rsidRDefault="00E9376C" w:rsidP="002E58D4">
    <w:pPr>
      <w:pStyle w:val="Header"/>
      <w:rPr>
        <w:rFonts w:ascii="Arial" w:hAnsi="Arial" w:cs="Arial"/>
        <w:lang w:val="en-US"/>
      </w:rPr>
    </w:pPr>
    <w:r>
      <w:rPr>
        <w:rFonts w:ascii="Arial" w:hAnsi="Arial" w:cs="Arial"/>
        <w:sz w:val="20"/>
        <w:szCs w:val="20"/>
        <w:lang w:val="en-US"/>
      </w:rPr>
      <w:t>ITH/1</w:t>
    </w:r>
    <w:r w:rsidR="00165170">
      <w:rPr>
        <w:rFonts w:ascii="Arial" w:hAnsi="Arial" w:cs="Arial"/>
        <w:sz w:val="20"/>
        <w:szCs w:val="20"/>
        <w:lang w:val="en-US"/>
      </w:rPr>
      <w:t>5/10</w:t>
    </w:r>
    <w:r w:rsidR="00BC3420">
      <w:rPr>
        <w:rFonts w:ascii="Arial" w:hAnsi="Arial" w:cs="Arial"/>
        <w:sz w:val="20"/>
        <w:szCs w:val="20"/>
        <w:lang w:val="en-US"/>
      </w:rPr>
      <w:t>.COM</w:t>
    </w:r>
    <w:r>
      <w:rPr>
        <w:rFonts w:ascii="Arial" w:hAnsi="Arial" w:cs="Arial"/>
        <w:sz w:val="20"/>
        <w:szCs w:val="20"/>
        <w:lang w:val="en-US"/>
      </w:rPr>
      <w:t>/</w:t>
    </w:r>
    <w:r w:rsidR="004A3E88">
      <w:rPr>
        <w:rFonts w:ascii="Arial" w:hAnsi="Arial" w:cs="Arial"/>
        <w:sz w:val="20"/>
        <w:szCs w:val="20"/>
        <w:lang w:val="en-US"/>
      </w:rPr>
      <w:t>14</w:t>
    </w:r>
    <w:r w:rsidR="00690148">
      <w:rPr>
        <w:rFonts w:ascii="Arial" w:hAnsi="Arial" w:cs="Arial"/>
        <w:sz w:val="20"/>
        <w:szCs w:val="20"/>
        <w:lang w:val="en-US"/>
      </w:rPr>
      <w:t>.b</w:t>
    </w:r>
    <w:r w:rsidRPr="00EF563B">
      <w:rPr>
        <w:rFonts w:ascii="Arial" w:hAnsi="Arial" w:cs="Arial"/>
        <w:sz w:val="20"/>
        <w:szCs w:val="20"/>
        <w:lang w:val="en-US"/>
      </w:rPr>
      <w:t xml:space="preserve"> – page </w:t>
    </w:r>
    <w:r w:rsidRPr="00EF563B">
      <w:rPr>
        <w:rStyle w:val="PageNumber"/>
        <w:rFonts w:ascii="Arial" w:hAnsi="Arial" w:cs="Arial"/>
        <w:sz w:val="20"/>
        <w:szCs w:val="20"/>
      </w:rPr>
      <w:fldChar w:fldCharType="begin"/>
    </w:r>
    <w:r w:rsidRPr="00EF563B">
      <w:rPr>
        <w:rStyle w:val="PageNumber"/>
        <w:rFonts w:ascii="Arial" w:hAnsi="Arial" w:cs="Arial"/>
        <w:sz w:val="20"/>
        <w:szCs w:val="20"/>
        <w:lang w:val="en-US"/>
      </w:rPr>
      <w:instrText xml:space="preserve"> </w:instrText>
    </w:r>
    <w:r>
      <w:rPr>
        <w:rStyle w:val="PageNumber"/>
        <w:rFonts w:ascii="Arial" w:hAnsi="Arial" w:cs="Arial"/>
        <w:sz w:val="20"/>
        <w:szCs w:val="20"/>
        <w:lang w:val="en-US"/>
      </w:rPr>
      <w:instrText>PAGE</w:instrText>
    </w:r>
    <w:r w:rsidRPr="00EF563B">
      <w:rPr>
        <w:rStyle w:val="PageNumber"/>
        <w:rFonts w:ascii="Arial" w:hAnsi="Arial" w:cs="Arial"/>
        <w:sz w:val="20"/>
        <w:szCs w:val="20"/>
        <w:lang w:val="en-US"/>
      </w:rPr>
      <w:instrText xml:space="preserve"> </w:instrText>
    </w:r>
    <w:r w:rsidRPr="00EF563B">
      <w:rPr>
        <w:rStyle w:val="PageNumber"/>
        <w:rFonts w:ascii="Arial" w:hAnsi="Arial" w:cs="Arial"/>
        <w:sz w:val="20"/>
        <w:szCs w:val="20"/>
      </w:rPr>
      <w:fldChar w:fldCharType="separate"/>
    </w:r>
    <w:r w:rsidR="00DB658C">
      <w:rPr>
        <w:rStyle w:val="PageNumber"/>
        <w:rFonts w:ascii="Arial" w:hAnsi="Arial" w:cs="Arial"/>
        <w:noProof/>
        <w:sz w:val="20"/>
        <w:szCs w:val="20"/>
        <w:lang w:val="en-US"/>
      </w:rPr>
      <w:t>4</w:t>
    </w:r>
    <w:r w:rsidRPr="00EF563B">
      <w:rPr>
        <w:rStyle w:val="PageNumber"/>
        <w:rFonts w:ascii="Arial" w:hAnsi="Arial" w:cs="Arial"/>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001" w:rsidRPr="00BC3420" w:rsidRDefault="00165170" w:rsidP="00BC3420">
    <w:pPr>
      <w:pStyle w:val="Header"/>
      <w:jc w:val="right"/>
      <w:rPr>
        <w:rFonts w:ascii="Arial" w:hAnsi="Arial" w:cs="Arial"/>
        <w:lang w:val="en-US"/>
      </w:rPr>
    </w:pPr>
    <w:r>
      <w:rPr>
        <w:rFonts w:ascii="Arial" w:hAnsi="Arial" w:cs="Arial"/>
        <w:sz w:val="20"/>
        <w:szCs w:val="20"/>
        <w:lang w:val="en-US"/>
      </w:rPr>
      <w:t>ITH/15/10</w:t>
    </w:r>
    <w:r w:rsidR="00BC3420">
      <w:rPr>
        <w:rFonts w:ascii="Arial" w:hAnsi="Arial" w:cs="Arial"/>
        <w:sz w:val="20"/>
        <w:szCs w:val="20"/>
        <w:lang w:val="en-US"/>
      </w:rPr>
      <w:t>.COM</w:t>
    </w:r>
    <w:r w:rsidR="002C0D14">
      <w:rPr>
        <w:rFonts w:ascii="Arial" w:hAnsi="Arial" w:cs="Arial"/>
        <w:sz w:val="20"/>
        <w:szCs w:val="20"/>
        <w:lang w:val="en-US"/>
      </w:rPr>
      <w:t>/</w:t>
    </w:r>
    <w:r w:rsidR="004A3E88">
      <w:rPr>
        <w:rFonts w:ascii="Arial" w:hAnsi="Arial" w:cs="Arial"/>
        <w:sz w:val="20"/>
        <w:szCs w:val="20"/>
        <w:lang w:val="en-US"/>
      </w:rPr>
      <w:t>14</w:t>
    </w:r>
    <w:r w:rsidR="00690148">
      <w:rPr>
        <w:rFonts w:ascii="Arial" w:hAnsi="Arial" w:cs="Arial"/>
        <w:sz w:val="20"/>
        <w:szCs w:val="20"/>
        <w:lang w:val="en-US"/>
      </w:rPr>
      <w:t>.b</w:t>
    </w:r>
    <w:r w:rsidR="002C0D14" w:rsidRPr="00EF563B">
      <w:rPr>
        <w:rFonts w:ascii="Arial" w:hAnsi="Arial" w:cs="Arial"/>
        <w:sz w:val="20"/>
        <w:szCs w:val="20"/>
        <w:lang w:val="en-US"/>
      </w:rPr>
      <w:t xml:space="preserve"> – page </w:t>
    </w:r>
    <w:r w:rsidR="002C0D14" w:rsidRPr="00EF563B">
      <w:rPr>
        <w:rStyle w:val="PageNumber"/>
        <w:rFonts w:ascii="Arial" w:hAnsi="Arial" w:cs="Arial"/>
        <w:sz w:val="20"/>
        <w:szCs w:val="20"/>
      </w:rPr>
      <w:fldChar w:fldCharType="begin"/>
    </w:r>
    <w:r w:rsidR="002C0D14" w:rsidRPr="00EF563B">
      <w:rPr>
        <w:rStyle w:val="PageNumber"/>
        <w:rFonts w:ascii="Arial" w:hAnsi="Arial" w:cs="Arial"/>
        <w:sz w:val="20"/>
        <w:szCs w:val="20"/>
        <w:lang w:val="en-US"/>
      </w:rPr>
      <w:instrText xml:space="preserve"> </w:instrText>
    </w:r>
    <w:r w:rsidR="002C0D14">
      <w:rPr>
        <w:rStyle w:val="PageNumber"/>
        <w:rFonts w:ascii="Arial" w:hAnsi="Arial" w:cs="Arial"/>
        <w:sz w:val="20"/>
        <w:szCs w:val="20"/>
        <w:lang w:val="en-US"/>
      </w:rPr>
      <w:instrText>PAGE</w:instrText>
    </w:r>
    <w:r w:rsidR="002C0D14" w:rsidRPr="00EF563B">
      <w:rPr>
        <w:rStyle w:val="PageNumber"/>
        <w:rFonts w:ascii="Arial" w:hAnsi="Arial" w:cs="Arial"/>
        <w:sz w:val="20"/>
        <w:szCs w:val="20"/>
        <w:lang w:val="en-US"/>
      </w:rPr>
      <w:instrText xml:space="preserve"> </w:instrText>
    </w:r>
    <w:r w:rsidR="002C0D14" w:rsidRPr="00EF563B">
      <w:rPr>
        <w:rStyle w:val="PageNumber"/>
        <w:rFonts w:ascii="Arial" w:hAnsi="Arial" w:cs="Arial"/>
        <w:sz w:val="20"/>
        <w:szCs w:val="20"/>
      </w:rPr>
      <w:fldChar w:fldCharType="separate"/>
    </w:r>
    <w:r w:rsidR="00DB658C">
      <w:rPr>
        <w:rStyle w:val="PageNumber"/>
        <w:rFonts w:ascii="Arial" w:hAnsi="Arial" w:cs="Arial"/>
        <w:noProof/>
        <w:sz w:val="20"/>
        <w:szCs w:val="20"/>
        <w:lang w:val="en-US"/>
      </w:rPr>
      <w:t>5</w:t>
    </w:r>
    <w:r w:rsidR="002C0D14"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371" w:rsidRPr="00D75371" w:rsidRDefault="00D75371" w:rsidP="00D75371">
    <w:pPr>
      <w:pStyle w:val="Header"/>
      <w:tabs>
        <w:tab w:val="clear" w:pos="4536"/>
      </w:tabs>
      <w:rPr>
        <w:rFonts w:ascii="Arial" w:hAnsi="Arial" w:cs="Arial"/>
        <w:b/>
        <w:sz w:val="18"/>
        <w:szCs w:val="18"/>
        <w:lang w:val="en-US"/>
      </w:rPr>
    </w:pPr>
  </w:p>
  <w:p w:rsidR="00AF7465" w:rsidRPr="004A3E88" w:rsidRDefault="00AF7465" w:rsidP="001114B1">
    <w:pPr>
      <w:pStyle w:val="Header"/>
      <w:tabs>
        <w:tab w:val="clear" w:pos="4536"/>
      </w:tabs>
      <w:spacing w:before="240" w:after="520"/>
      <w:jc w:val="right"/>
      <w:rPr>
        <w:rFonts w:ascii="Arial" w:hAnsi="Arial" w:cs="Arial"/>
        <w:b/>
        <w:sz w:val="44"/>
        <w:szCs w:val="44"/>
        <w:lang w:val="pt-BR"/>
      </w:rPr>
    </w:pPr>
    <w:r>
      <w:rPr>
        <w:noProof/>
      </w:rPr>
      <w:drawing>
        <wp:anchor distT="0" distB="0" distL="114300" distR="114300" simplePos="0" relativeHeight="251658240" behindDoc="0" locked="0" layoutInCell="1" allowOverlap="1" wp14:anchorId="2B68A913" wp14:editId="692B16C4">
          <wp:simplePos x="0" y="0"/>
          <wp:positionH relativeFrom="margin">
            <wp:posOffset>-415290</wp:posOffset>
          </wp:positionH>
          <wp:positionV relativeFrom="margin">
            <wp:posOffset>-1508125</wp:posOffset>
          </wp:positionV>
          <wp:extent cx="2083435" cy="156210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3435" cy="1562100"/>
                  </a:xfrm>
                  <a:prstGeom prst="rect">
                    <a:avLst/>
                  </a:prstGeom>
                  <a:noFill/>
                </pic:spPr>
              </pic:pic>
            </a:graphicData>
          </a:graphic>
          <wp14:sizeRelH relativeFrom="margin">
            <wp14:pctWidth>0</wp14:pctWidth>
          </wp14:sizeRelH>
          <wp14:sizeRelV relativeFrom="margin">
            <wp14:pctHeight>0</wp14:pctHeight>
          </wp14:sizeRelV>
        </wp:anchor>
      </w:drawing>
    </w:r>
    <w:r w:rsidRPr="004A3E88">
      <w:rPr>
        <w:rFonts w:ascii="Arial" w:hAnsi="Arial" w:cs="Arial"/>
        <w:b/>
        <w:sz w:val="44"/>
        <w:szCs w:val="44"/>
        <w:lang w:val="pt-BR"/>
      </w:rPr>
      <w:t>10 COM</w:t>
    </w:r>
  </w:p>
  <w:p w:rsidR="00AF7465" w:rsidRPr="004A3E88" w:rsidRDefault="00AF7465" w:rsidP="00AF7465">
    <w:pPr>
      <w:jc w:val="right"/>
      <w:rPr>
        <w:rFonts w:ascii="Arial" w:hAnsi="Arial" w:cs="Arial"/>
        <w:b/>
        <w:sz w:val="22"/>
        <w:szCs w:val="22"/>
        <w:lang w:val="pt-BR"/>
      </w:rPr>
    </w:pPr>
    <w:r w:rsidRPr="004A3E88">
      <w:rPr>
        <w:rFonts w:ascii="Arial" w:hAnsi="Arial" w:cs="Arial"/>
        <w:b/>
        <w:sz w:val="22"/>
        <w:szCs w:val="22"/>
        <w:lang w:val="pt-BR"/>
      </w:rPr>
      <w:t>ITH/15/10.COM/</w:t>
    </w:r>
    <w:r w:rsidR="004A3E88" w:rsidRPr="004A3E88">
      <w:rPr>
        <w:rFonts w:ascii="Arial" w:hAnsi="Arial" w:cs="Arial"/>
        <w:b/>
        <w:sz w:val="22"/>
        <w:szCs w:val="22"/>
        <w:lang w:val="pt-BR"/>
      </w:rPr>
      <w:t>14</w:t>
    </w:r>
    <w:r w:rsidR="00A87C65" w:rsidRPr="004A3E88">
      <w:rPr>
        <w:rFonts w:ascii="Arial" w:hAnsi="Arial" w:cs="Arial"/>
        <w:b/>
        <w:sz w:val="22"/>
        <w:szCs w:val="22"/>
        <w:lang w:val="pt-BR"/>
      </w:rPr>
      <w:t>.b</w:t>
    </w:r>
  </w:p>
  <w:p w:rsidR="00AF7465" w:rsidRPr="004A3E88" w:rsidRDefault="00AF7465" w:rsidP="00AF7465">
    <w:pPr>
      <w:jc w:val="right"/>
      <w:rPr>
        <w:rFonts w:ascii="Arial" w:hAnsi="Arial" w:cs="Arial"/>
        <w:b/>
        <w:sz w:val="22"/>
        <w:szCs w:val="22"/>
        <w:lang w:val="pt-BR"/>
      </w:rPr>
    </w:pPr>
    <w:r w:rsidRPr="004A3E88">
      <w:rPr>
        <w:rFonts w:ascii="Arial" w:hAnsi="Arial" w:cs="Arial"/>
        <w:b/>
        <w:sz w:val="22"/>
        <w:szCs w:val="22"/>
        <w:lang w:val="pt-BR"/>
      </w:rPr>
      <w:t xml:space="preserve">Paris, le </w:t>
    </w:r>
    <w:r w:rsidR="00360C05">
      <w:rPr>
        <w:rFonts w:ascii="Arial" w:hAnsi="Arial" w:cs="Arial"/>
        <w:b/>
        <w:sz w:val="22"/>
        <w:szCs w:val="22"/>
        <w:lang w:val="pt-BR"/>
      </w:rPr>
      <w:t>octobre</w:t>
    </w:r>
    <w:r w:rsidRPr="004A3E88">
      <w:rPr>
        <w:rFonts w:ascii="Arial" w:hAnsi="Arial" w:cs="Arial"/>
        <w:b/>
        <w:sz w:val="22"/>
        <w:szCs w:val="22"/>
        <w:lang w:val="pt-BR"/>
      </w:rPr>
      <w:t xml:space="preserve"> 2015</w:t>
    </w:r>
  </w:p>
  <w:p w:rsidR="00AF7465" w:rsidRPr="004A3E88" w:rsidRDefault="00AF7465" w:rsidP="00AF7465">
    <w:pPr>
      <w:jc w:val="right"/>
      <w:rPr>
        <w:rFonts w:ascii="Arial" w:hAnsi="Arial" w:cs="Arial"/>
        <w:b/>
        <w:sz w:val="22"/>
        <w:szCs w:val="22"/>
        <w:lang w:val="pt-BR"/>
      </w:rPr>
    </w:pPr>
    <w:r w:rsidRPr="004A3E88">
      <w:rPr>
        <w:rFonts w:ascii="Arial" w:hAnsi="Arial" w:cs="Arial"/>
        <w:b/>
        <w:sz w:val="22"/>
        <w:szCs w:val="22"/>
        <w:lang w:val="pt-BR"/>
      </w:rPr>
      <w:t xml:space="preserve">Original : </w:t>
    </w:r>
    <w:r w:rsidR="00A87C65" w:rsidRPr="004A3E88">
      <w:rPr>
        <w:rFonts w:ascii="Arial" w:hAnsi="Arial" w:cs="Arial"/>
        <w:b/>
        <w:sz w:val="22"/>
        <w:szCs w:val="22"/>
        <w:lang w:val="pt-BR"/>
      </w:rPr>
      <w:t>anglais</w:t>
    </w:r>
  </w:p>
  <w:p w:rsidR="002672B6" w:rsidRPr="004A3E88" w:rsidRDefault="002672B6" w:rsidP="00AF7465">
    <w:pPr>
      <w:jc w:val="right"/>
      <w:rPr>
        <w:rFonts w:ascii="Arial" w:hAnsi="Arial" w:cs="Arial"/>
        <w:b/>
        <w:sz w:val="22"/>
        <w:szCs w:val="22"/>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BDD1E92"/>
    <w:multiLevelType w:val="hybridMultilevel"/>
    <w:tmpl w:val="7BA03476"/>
    <w:lvl w:ilvl="0" w:tplc="0C44E864">
      <w:start w:val="1"/>
      <w:numFmt w:val="bullet"/>
      <w:lvlText w:val=""/>
      <w:lvlJc w:val="left"/>
      <w:pPr>
        <w:ind w:left="720" w:hanging="360"/>
      </w:pPr>
      <w:rPr>
        <w:rFonts w:ascii="Symbol" w:hAnsi="Symbol" w:hint="default"/>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FC448E1"/>
    <w:multiLevelType w:val="hybridMultilevel"/>
    <w:tmpl w:val="69FE8C82"/>
    <w:lvl w:ilvl="0" w:tplc="42E600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15:restartNumberingAfterBreak="0">
    <w:nsid w:val="27FC3647"/>
    <w:multiLevelType w:val="hybridMultilevel"/>
    <w:tmpl w:val="0864567E"/>
    <w:lvl w:ilvl="0" w:tplc="D1D0C9D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4E47B5"/>
    <w:multiLevelType w:val="hybridMultilevel"/>
    <w:tmpl w:val="68FE4832"/>
    <w:lvl w:ilvl="0" w:tplc="1BC24516">
      <w:start w:val="1"/>
      <w:numFmt w:val="upperRoman"/>
      <w:pStyle w:val="Heading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5F07BFE"/>
    <w:multiLevelType w:val="hybridMultilevel"/>
    <w:tmpl w:val="9AA42328"/>
    <w:lvl w:ilvl="0" w:tplc="190AEA10">
      <w:start w:val="1"/>
      <w:numFmt w:val="decimal"/>
      <w:pStyle w:val="COMParabodytext"/>
      <w:lvlText w:val="%1."/>
      <w:lvlJc w:val="left"/>
      <w:pPr>
        <w:ind w:left="720" w:hanging="360"/>
      </w:pPr>
      <w:rPr>
        <w:lang w:val="fr-FR"/>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97A4DB1"/>
    <w:multiLevelType w:val="hybridMultilevel"/>
    <w:tmpl w:val="E63086C6"/>
    <w:lvl w:ilvl="0" w:tplc="BA10AD9C">
      <w:start w:val="1"/>
      <w:numFmt w:val="decimal"/>
      <w:pStyle w:val="COMParaDecision"/>
      <w:lvlText w:val="%1."/>
      <w:lvlJc w:val="left"/>
      <w:pPr>
        <w:ind w:left="720" w:hanging="360"/>
      </w:pPr>
      <w:rPr>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3A42E1D"/>
    <w:multiLevelType w:val="hybridMultilevel"/>
    <w:tmpl w:val="A5900FB6"/>
    <w:lvl w:ilvl="0" w:tplc="D1D0C9D2">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3" w15:restartNumberingAfterBreak="0">
    <w:nsid w:val="58562729"/>
    <w:multiLevelType w:val="hybridMultilevel"/>
    <w:tmpl w:val="17AC6F1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5" w15:restartNumberingAfterBreak="0">
    <w:nsid w:val="5F5747E0"/>
    <w:multiLevelType w:val="hybridMultilevel"/>
    <w:tmpl w:val="4E50AC24"/>
    <w:lvl w:ilvl="0" w:tplc="D1D0C9D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A230A00"/>
    <w:multiLevelType w:val="hybridMultilevel"/>
    <w:tmpl w:val="774406B6"/>
    <w:lvl w:ilvl="0" w:tplc="B6CC4FA4">
      <w:start w:val="1"/>
      <w:numFmt w:val="bullet"/>
      <w:lvlText w:val=""/>
      <w:lvlJc w:val="left"/>
      <w:pPr>
        <w:ind w:left="394" w:hanging="360"/>
      </w:pPr>
      <w:rPr>
        <w:rFonts w:ascii="Symbol" w:hAnsi="Symbol" w:hint="default"/>
        <w:lang w:val="fr-FR"/>
      </w:rPr>
    </w:lvl>
    <w:lvl w:ilvl="1" w:tplc="040C0003" w:tentative="1">
      <w:start w:val="1"/>
      <w:numFmt w:val="bullet"/>
      <w:lvlText w:val="o"/>
      <w:lvlJc w:val="left"/>
      <w:pPr>
        <w:ind w:left="1114" w:hanging="360"/>
      </w:pPr>
      <w:rPr>
        <w:rFonts w:ascii="Courier New" w:hAnsi="Courier New" w:cs="Courier New" w:hint="default"/>
      </w:rPr>
    </w:lvl>
    <w:lvl w:ilvl="2" w:tplc="040C0005" w:tentative="1">
      <w:start w:val="1"/>
      <w:numFmt w:val="bullet"/>
      <w:lvlText w:val=""/>
      <w:lvlJc w:val="left"/>
      <w:pPr>
        <w:ind w:left="1834" w:hanging="360"/>
      </w:pPr>
      <w:rPr>
        <w:rFonts w:ascii="Wingdings" w:hAnsi="Wingdings" w:hint="default"/>
      </w:rPr>
    </w:lvl>
    <w:lvl w:ilvl="3" w:tplc="040C0001" w:tentative="1">
      <w:start w:val="1"/>
      <w:numFmt w:val="bullet"/>
      <w:lvlText w:val=""/>
      <w:lvlJc w:val="left"/>
      <w:pPr>
        <w:ind w:left="2554" w:hanging="360"/>
      </w:pPr>
      <w:rPr>
        <w:rFonts w:ascii="Symbol" w:hAnsi="Symbol" w:hint="default"/>
      </w:rPr>
    </w:lvl>
    <w:lvl w:ilvl="4" w:tplc="040C0003" w:tentative="1">
      <w:start w:val="1"/>
      <w:numFmt w:val="bullet"/>
      <w:lvlText w:val="o"/>
      <w:lvlJc w:val="left"/>
      <w:pPr>
        <w:ind w:left="3274" w:hanging="360"/>
      </w:pPr>
      <w:rPr>
        <w:rFonts w:ascii="Courier New" w:hAnsi="Courier New" w:cs="Courier New" w:hint="default"/>
      </w:rPr>
    </w:lvl>
    <w:lvl w:ilvl="5" w:tplc="040C0005" w:tentative="1">
      <w:start w:val="1"/>
      <w:numFmt w:val="bullet"/>
      <w:lvlText w:val=""/>
      <w:lvlJc w:val="left"/>
      <w:pPr>
        <w:ind w:left="3994" w:hanging="360"/>
      </w:pPr>
      <w:rPr>
        <w:rFonts w:ascii="Wingdings" w:hAnsi="Wingdings" w:hint="default"/>
      </w:rPr>
    </w:lvl>
    <w:lvl w:ilvl="6" w:tplc="040C0001" w:tentative="1">
      <w:start w:val="1"/>
      <w:numFmt w:val="bullet"/>
      <w:lvlText w:val=""/>
      <w:lvlJc w:val="left"/>
      <w:pPr>
        <w:ind w:left="4714" w:hanging="360"/>
      </w:pPr>
      <w:rPr>
        <w:rFonts w:ascii="Symbol" w:hAnsi="Symbol" w:hint="default"/>
      </w:rPr>
    </w:lvl>
    <w:lvl w:ilvl="7" w:tplc="040C0003" w:tentative="1">
      <w:start w:val="1"/>
      <w:numFmt w:val="bullet"/>
      <w:lvlText w:val="o"/>
      <w:lvlJc w:val="left"/>
      <w:pPr>
        <w:ind w:left="5434" w:hanging="360"/>
      </w:pPr>
      <w:rPr>
        <w:rFonts w:ascii="Courier New" w:hAnsi="Courier New" w:cs="Courier New" w:hint="default"/>
      </w:rPr>
    </w:lvl>
    <w:lvl w:ilvl="8" w:tplc="040C0005" w:tentative="1">
      <w:start w:val="1"/>
      <w:numFmt w:val="bullet"/>
      <w:lvlText w:val=""/>
      <w:lvlJc w:val="left"/>
      <w:pPr>
        <w:ind w:left="6154" w:hanging="360"/>
      </w:pPr>
      <w:rPr>
        <w:rFonts w:ascii="Wingdings" w:hAnsi="Wingdings" w:hint="default"/>
      </w:rPr>
    </w:lvl>
  </w:abstractNum>
  <w:abstractNum w:abstractNumId="18"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9"/>
  </w:num>
  <w:num w:numId="3">
    <w:abstractNumId w:val="2"/>
  </w:num>
  <w:num w:numId="4">
    <w:abstractNumId w:val="18"/>
  </w:num>
  <w:num w:numId="5">
    <w:abstractNumId w:val="16"/>
  </w:num>
  <w:num w:numId="6">
    <w:abstractNumId w:val="0"/>
  </w:num>
  <w:num w:numId="7">
    <w:abstractNumId w:val="3"/>
  </w:num>
  <w:num w:numId="8">
    <w:abstractNumId w:val="12"/>
  </w:num>
  <w:num w:numId="9">
    <w:abstractNumId w:val="8"/>
  </w:num>
  <w:num w:numId="10">
    <w:abstractNumId w:val="10"/>
  </w:num>
  <w:num w:numId="11">
    <w:abstractNumId w:val="7"/>
  </w:num>
  <w:num w:numId="12">
    <w:abstractNumId w:val="5"/>
  </w:num>
  <w:num w:numId="13">
    <w:abstractNumId w:val="4"/>
  </w:num>
  <w:num w:numId="14">
    <w:abstractNumId w:val="11"/>
  </w:num>
  <w:num w:numId="15">
    <w:abstractNumId w:val="13"/>
  </w:num>
  <w:num w:numId="16">
    <w:abstractNumId w:val="1"/>
  </w:num>
  <w:num w:numId="17">
    <w:abstractNumId w:val="15"/>
  </w:num>
  <w:num w:numId="18">
    <w:abstractNumId w:val="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057"/>
    <w:rsid w:val="0001277F"/>
    <w:rsid w:val="000178C0"/>
    <w:rsid w:val="00020BFC"/>
    <w:rsid w:val="00022428"/>
    <w:rsid w:val="000263BA"/>
    <w:rsid w:val="0003530D"/>
    <w:rsid w:val="0005176E"/>
    <w:rsid w:val="00075A79"/>
    <w:rsid w:val="00077AB7"/>
    <w:rsid w:val="00081CD8"/>
    <w:rsid w:val="0008329C"/>
    <w:rsid w:val="000A7F0E"/>
    <w:rsid w:val="000C3FC4"/>
    <w:rsid w:val="000D5895"/>
    <w:rsid w:val="000E6CD7"/>
    <w:rsid w:val="000F3A3F"/>
    <w:rsid w:val="00102EDB"/>
    <w:rsid w:val="001114B1"/>
    <w:rsid w:val="001133F7"/>
    <w:rsid w:val="00164D56"/>
    <w:rsid w:val="00165170"/>
    <w:rsid w:val="00167B10"/>
    <w:rsid w:val="00191D15"/>
    <w:rsid w:val="0019264E"/>
    <w:rsid w:val="00196C1B"/>
    <w:rsid w:val="001A266E"/>
    <w:rsid w:val="001A766C"/>
    <w:rsid w:val="001B0AF7"/>
    <w:rsid w:val="001B0F73"/>
    <w:rsid w:val="001C652A"/>
    <w:rsid w:val="0020150F"/>
    <w:rsid w:val="00222A2D"/>
    <w:rsid w:val="002407AF"/>
    <w:rsid w:val="00242490"/>
    <w:rsid w:val="002672B6"/>
    <w:rsid w:val="00280D62"/>
    <w:rsid w:val="00297AF4"/>
    <w:rsid w:val="002A6C11"/>
    <w:rsid w:val="002A6F73"/>
    <w:rsid w:val="002C0D14"/>
    <w:rsid w:val="002D2156"/>
    <w:rsid w:val="002E3D25"/>
    <w:rsid w:val="002E58D4"/>
    <w:rsid w:val="003227F8"/>
    <w:rsid w:val="00360C05"/>
    <w:rsid w:val="003845BE"/>
    <w:rsid w:val="003B077D"/>
    <w:rsid w:val="003C1678"/>
    <w:rsid w:val="003D069C"/>
    <w:rsid w:val="003E07D8"/>
    <w:rsid w:val="003E2A08"/>
    <w:rsid w:val="003F113A"/>
    <w:rsid w:val="004239C7"/>
    <w:rsid w:val="00440F9B"/>
    <w:rsid w:val="004421E5"/>
    <w:rsid w:val="00443880"/>
    <w:rsid w:val="00444ABA"/>
    <w:rsid w:val="00452284"/>
    <w:rsid w:val="00486948"/>
    <w:rsid w:val="0049705E"/>
    <w:rsid w:val="004A3E88"/>
    <w:rsid w:val="004B7523"/>
    <w:rsid w:val="004E1F76"/>
    <w:rsid w:val="004F3C71"/>
    <w:rsid w:val="00525A72"/>
    <w:rsid w:val="00526B7B"/>
    <w:rsid w:val="005308CE"/>
    <w:rsid w:val="005416D7"/>
    <w:rsid w:val="00573242"/>
    <w:rsid w:val="0057439C"/>
    <w:rsid w:val="005A0587"/>
    <w:rsid w:val="005B0127"/>
    <w:rsid w:val="005B65CA"/>
    <w:rsid w:val="005C094D"/>
    <w:rsid w:val="005C4B73"/>
    <w:rsid w:val="00600D93"/>
    <w:rsid w:val="006123A1"/>
    <w:rsid w:val="00620BD2"/>
    <w:rsid w:val="00627C5C"/>
    <w:rsid w:val="00640EE5"/>
    <w:rsid w:val="0064726A"/>
    <w:rsid w:val="00650A46"/>
    <w:rsid w:val="00655736"/>
    <w:rsid w:val="00663824"/>
    <w:rsid w:val="00663B8D"/>
    <w:rsid w:val="00685A4A"/>
    <w:rsid w:val="00690148"/>
    <w:rsid w:val="006923BD"/>
    <w:rsid w:val="00696C8D"/>
    <w:rsid w:val="006A2AC2"/>
    <w:rsid w:val="006A3617"/>
    <w:rsid w:val="006B5001"/>
    <w:rsid w:val="006D21D9"/>
    <w:rsid w:val="006D2536"/>
    <w:rsid w:val="006D30D6"/>
    <w:rsid w:val="006E46E4"/>
    <w:rsid w:val="006F67FF"/>
    <w:rsid w:val="00717DBD"/>
    <w:rsid w:val="00731ECB"/>
    <w:rsid w:val="00764CF9"/>
    <w:rsid w:val="0078292C"/>
    <w:rsid w:val="00784B8C"/>
    <w:rsid w:val="00793AF0"/>
    <w:rsid w:val="007D3779"/>
    <w:rsid w:val="00801344"/>
    <w:rsid w:val="008064F0"/>
    <w:rsid w:val="00807197"/>
    <w:rsid w:val="00823A11"/>
    <w:rsid w:val="00824EF7"/>
    <w:rsid w:val="00825186"/>
    <w:rsid w:val="00827D81"/>
    <w:rsid w:val="0085414A"/>
    <w:rsid w:val="0086269D"/>
    <w:rsid w:val="00863302"/>
    <w:rsid w:val="008712A2"/>
    <w:rsid w:val="00871C8F"/>
    <w:rsid w:val="008724E5"/>
    <w:rsid w:val="008829C2"/>
    <w:rsid w:val="00884A9D"/>
    <w:rsid w:val="008A4E1E"/>
    <w:rsid w:val="008C296C"/>
    <w:rsid w:val="008D4305"/>
    <w:rsid w:val="008D47FF"/>
    <w:rsid w:val="008F0435"/>
    <w:rsid w:val="00913D86"/>
    <w:rsid w:val="009163A7"/>
    <w:rsid w:val="00922E3E"/>
    <w:rsid w:val="00933C6B"/>
    <w:rsid w:val="00950F68"/>
    <w:rsid w:val="0095193F"/>
    <w:rsid w:val="00962119"/>
    <w:rsid w:val="00974249"/>
    <w:rsid w:val="009764B9"/>
    <w:rsid w:val="009A18CD"/>
    <w:rsid w:val="009B05A4"/>
    <w:rsid w:val="009C05B6"/>
    <w:rsid w:val="009D4968"/>
    <w:rsid w:val="009E17EF"/>
    <w:rsid w:val="009E1B50"/>
    <w:rsid w:val="00A12558"/>
    <w:rsid w:val="00A13903"/>
    <w:rsid w:val="00A30AEE"/>
    <w:rsid w:val="00A34ED5"/>
    <w:rsid w:val="00A45DBF"/>
    <w:rsid w:val="00A5707F"/>
    <w:rsid w:val="00A61C6E"/>
    <w:rsid w:val="00A73085"/>
    <w:rsid w:val="00A755A2"/>
    <w:rsid w:val="00A87C65"/>
    <w:rsid w:val="00A90761"/>
    <w:rsid w:val="00AB2C36"/>
    <w:rsid w:val="00AC30C6"/>
    <w:rsid w:val="00AD1A86"/>
    <w:rsid w:val="00AE103E"/>
    <w:rsid w:val="00AF0A07"/>
    <w:rsid w:val="00AF5AE5"/>
    <w:rsid w:val="00AF625E"/>
    <w:rsid w:val="00AF721B"/>
    <w:rsid w:val="00AF7465"/>
    <w:rsid w:val="00B152B1"/>
    <w:rsid w:val="00B252DE"/>
    <w:rsid w:val="00B42251"/>
    <w:rsid w:val="00B43974"/>
    <w:rsid w:val="00B754D5"/>
    <w:rsid w:val="00B90701"/>
    <w:rsid w:val="00BC3420"/>
    <w:rsid w:val="00BD485C"/>
    <w:rsid w:val="00BD52C9"/>
    <w:rsid w:val="00BE50A5"/>
    <w:rsid w:val="00BE5C6A"/>
    <w:rsid w:val="00BE6354"/>
    <w:rsid w:val="00C1430C"/>
    <w:rsid w:val="00C358C4"/>
    <w:rsid w:val="00C377F5"/>
    <w:rsid w:val="00C405CD"/>
    <w:rsid w:val="00C54C16"/>
    <w:rsid w:val="00C70EA7"/>
    <w:rsid w:val="00C70FF2"/>
    <w:rsid w:val="00C7516E"/>
    <w:rsid w:val="00C81057"/>
    <w:rsid w:val="00CC3602"/>
    <w:rsid w:val="00CF79E7"/>
    <w:rsid w:val="00D221A9"/>
    <w:rsid w:val="00D24877"/>
    <w:rsid w:val="00D670F2"/>
    <w:rsid w:val="00D75371"/>
    <w:rsid w:val="00D75D42"/>
    <w:rsid w:val="00D80DC4"/>
    <w:rsid w:val="00D9120A"/>
    <w:rsid w:val="00DA36ED"/>
    <w:rsid w:val="00DA3BEF"/>
    <w:rsid w:val="00DB4A84"/>
    <w:rsid w:val="00DB658C"/>
    <w:rsid w:val="00DC3A18"/>
    <w:rsid w:val="00DE34F1"/>
    <w:rsid w:val="00DF4942"/>
    <w:rsid w:val="00E22288"/>
    <w:rsid w:val="00E627B1"/>
    <w:rsid w:val="00E62B4C"/>
    <w:rsid w:val="00E9376C"/>
    <w:rsid w:val="00EC509E"/>
    <w:rsid w:val="00EF0645"/>
    <w:rsid w:val="00F134B7"/>
    <w:rsid w:val="00F34BF8"/>
    <w:rsid w:val="00F47EA7"/>
    <w:rsid w:val="00F576CB"/>
    <w:rsid w:val="00F831D3"/>
    <w:rsid w:val="00F95FB1"/>
    <w:rsid w:val="00FC2940"/>
    <w:rsid w:val="00FC4715"/>
    <w:rsid w:val="00FD1226"/>
    <w:rsid w:val="00FE0A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76E3601D-5D08-45DB-98C1-0AB05FDE3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C3420"/>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numPr>
        <w:numId w:val="9"/>
      </w:numPr>
      <w:spacing w:after="120"/>
      <w:ind w:left="567" w:hanging="567"/>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NoSpacing">
    <w:name w:val="No Spacing"/>
    <w:uiPriority w:val="1"/>
    <w:qFormat/>
    <w:rsid w:val="00BC3420"/>
    <w:rPr>
      <w:rFonts w:ascii="Times New Roman" w:eastAsia="Times New Roman" w:hAnsi="Times New Roman"/>
      <w:sz w:val="24"/>
      <w:szCs w:val="24"/>
    </w:rPr>
  </w:style>
  <w:style w:type="character" w:styleId="Hyperlink">
    <w:name w:val="Hyperlink"/>
    <w:basedOn w:val="DefaultParagraphFont"/>
    <w:uiPriority w:val="99"/>
    <w:unhideWhenUsed/>
    <w:rsid w:val="00360C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esco.org/culture/ich/doc/src/ITH-12-7.COM-13.a-FR.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nesco.org/culture/ich/doc/src/ITH-14-9.COM-13.c-FR.doc" TargetMode="External"/><Relationship Id="rId4" Type="http://schemas.openxmlformats.org/officeDocument/2006/relationships/settings" Target="settings.xml"/><Relationship Id="rId9" Type="http://schemas.openxmlformats.org/officeDocument/2006/relationships/hyperlink" Target="http://www.unesco.org/culture/ich/doc/src/ITH-13-8.COM-13.b-FR.doc"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Brigitte\Documents\Clients\UNESCO\Patrimoine%20immat&#233;riel\10%20COM_Working%20document_FR_0707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F214A-F7AB-45A5-84D7-2B244050E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document_FR_070715</Template>
  <TotalTime>54</TotalTime>
  <Pages>5</Pages>
  <Words>1655</Words>
  <Characters>9108</Characters>
  <Application>Microsoft Office Word</Application>
  <DocSecurity>0</DocSecurity>
  <Lines>75</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10742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Brigitte Guérin</dc:creator>
  <cp:lastModifiedBy>c_duvelle</cp:lastModifiedBy>
  <cp:revision>12</cp:revision>
  <cp:lastPrinted>2015-09-18T09:29:00Z</cp:lastPrinted>
  <dcterms:created xsi:type="dcterms:W3CDTF">2015-09-18T10:52:00Z</dcterms:created>
  <dcterms:modified xsi:type="dcterms:W3CDTF">2015-10-29T17:23:00Z</dcterms:modified>
</cp:coreProperties>
</file>