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420" w:rsidRPr="00F31C71" w:rsidRDefault="00BC3420" w:rsidP="00DA511D">
      <w:pPr>
        <w:spacing w:before="1080"/>
        <w:jc w:val="center"/>
        <w:rPr>
          <w:rFonts w:ascii="Arial" w:hAnsi="Arial" w:cs="Arial"/>
          <w:b/>
          <w:sz w:val="22"/>
          <w:szCs w:val="22"/>
        </w:rPr>
      </w:pPr>
      <w:r w:rsidRPr="00F31C71">
        <w:rPr>
          <w:rFonts w:ascii="Arial" w:hAnsi="Arial" w:cs="Arial"/>
          <w:b/>
          <w:sz w:val="22"/>
          <w:szCs w:val="22"/>
        </w:rPr>
        <w:t>CONVENTION POUR LA SAUVEGARDE DU</w:t>
      </w:r>
      <w:r w:rsidRPr="00F31C71">
        <w:rPr>
          <w:rFonts w:ascii="Arial" w:hAnsi="Arial" w:cs="Arial"/>
          <w:b/>
          <w:sz w:val="22"/>
          <w:szCs w:val="22"/>
        </w:rPr>
        <w:br/>
        <w:t>PATRIMOINE CULTUREL IMMATÉRIEL</w:t>
      </w:r>
    </w:p>
    <w:p w:rsidR="00BC3420" w:rsidRPr="00F31C71" w:rsidRDefault="00BC3420" w:rsidP="00BC3420">
      <w:pPr>
        <w:spacing w:before="1200"/>
        <w:jc w:val="center"/>
        <w:rPr>
          <w:rFonts w:ascii="Arial" w:hAnsi="Arial" w:cs="Arial"/>
          <w:b/>
          <w:sz w:val="22"/>
          <w:szCs w:val="22"/>
        </w:rPr>
      </w:pPr>
      <w:r w:rsidRPr="00F31C71">
        <w:rPr>
          <w:rFonts w:ascii="Arial" w:hAnsi="Arial" w:cs="Arial"/>
          <w:b/>
          <w:sz w:val="22"/>
          <w:szCs w:val="22"/>
        </w:rPr>
        <w:t>COMITÉ INTERGOUVERNEMENTAL DE SAUVEGARDE</w:t>
      </w:r>
      <w:r w:rsidRPr="00F31C71">
        <w:rPr>
          <w:rFonts w:ascii="Arial" w:hAnsi="Arial" w:cs="Arial"/>
          <w:b/>
          <w:sz w:val="22"/>
          <w:szCs w:val="22"/>
        </w:rPr>
        <w:br/>
        <w:t>DU PATRIMOINE CULTUREL IMMATÉRIEL</w:t>
      </w:r>
    </w:p>
    <w:p w:rsidR="00BC3420" w:rsidRPr="00F31C71" w:rsidRDefault="00165170" w:rsidP="00BC3420">
      <w:pPr>
        <w:spacing w:before="840"/>
        <w:jc w:val="center"/>
        <w:rPr>
          <w:rFonts w:ascii="Arial" w:hAnsi="Arial" w:cs="Arial"/>
          <w:b/>
          <w:sz w:val="22"/>
          <w:szCs w:val="22"/>
        </w:rPr>
      </w:pPr>
      <w:r w:rsidRPr="00F31C71">
        <w:rPr>
          <w:rFonts w:ascii="Arial" w:hAnsi="Arial" w:cs="Arial"/>
          <w:b/>
          <w:sz w:val="22"/>
          <w:szCs w:val="22"/>
        </w:rPr>
        <w:t>Dixième</w:t>
      </w:r>
      <w:r w:rsidR="00BC3420" w:rsidRPr="00F31C71">
        <w:rPr>
          <w:rFonts w:ascii="Arial" w:hAnsi="Arial" w:cs="Arial"/>
          <w:b/>
          <w:sz w:val="22"/>
          <w:szCs w:val="22"/>
        </w:rPr>
        <w:t xml:space="preserve"> session</w:t>
      </w:r>
    </w:p>
    <w:p w:rsidR="00A61C6E" w:rsidRPr="00F31C71" w:rsidRDefault="00F134B7" w:rsidP="00871C8F">
      <w:pPr>
        <w:jc w:val="center"/>
        <w:rPr>
          <w:rFonts w:ascii="Arial" w:hAnsi="Arial" w:cs="Arial"/>
          <w:b/>
          <w:sz w:val="22"/>
          <w:szCs w:val="22"/>
        </w:rPr>
      </w:pPr>
      <w:r w:rsidRPr="00F31C71">
        <w:rPr>
          <w:rFonts w:ascii="Arial" w:hAnsi="Arial" w:cs="Arial"/>
          <w:b/>
          <w:sz w:val="22"/>
          <w:szCs w:val="22"/>
        </w:rPr>
        <w:t>Windhoek</w:t>
      </w:r>
      <w:r w:rsidR="00FC4715" w:rsidRPr="00F31C71">
        <w:rPr>
          <w:rFonts w:ascii="Arial" w:hAnsi="Arial" w:cs="Arial"/>
          <w:b/>
          <w:sz w:val="22"/>
          <w:szCs w:val="22"/>
        </w:rPr>
        <w:t>, Namibie</w:t>
      </w:r>
    </w:p>
    <w:p w:rsidR="00BC3420" w:rsidRPr="00F31C71" w:rsidRDefault="00764CF9" w:rsidP="00BC3420">
      <w:pPr>
        <w:jc w:val="center"/>
        <w:rPr>
          <w:rFonts w:ascii="Arial" w:hAnsi="Arial" w:cs="Arial"/>
          <w:b/>
          <w:sz w:val="22"/>
          <w:szCs w:val="22"/>
        </w:rPr>
      </w:pPr>
      <w:r w:rsidRPr="00F31C71">
        <w:rPr>
          <w:rFonts w:ascii="Arial" w:hAnsi="Arial" w:cs="Arial"/>
          <w:b/>
          <w:sz w:val="22"/>
          <w:szCs w:val="22"/>
        </w:rPr>
        <w:t>30</w:t>
      </w:r>
      <w:r w:rsidR="00165170" w:rsidRPr="00F31C71">
        <w:rPr>
          <w:rFonts w:ascii="Arial" w:hAnsi="Arial" w:cs="Arial"/>
          <w:b/>
          <w:sz w:val="22"/>
          <w:szCs w:val="22"/>
        </w:rPr>
        <w:t xml:space="preserve"> novembre</w:t>
      </w:r>
      <w:r w:rsidR="00BC3420" w:rsidRPr="00F31C71">
        <w:rPr>
          <w:rFonts w:ascii="Arial" w:hAnsi="Arial" w:cs="Arial"/>
          <w:b/>
          <w:sz w:val="22"/>
          <w:szCs w:val="22"/>
        </w:rPr>
        <w:t xml:space="preserve"> – </w:t>
      </w:r>
      <w:r w:rsidR="00165170" w:rsidRPr="00F31C71">
        <w:rPr>
          <w:rFonts w:ascii="Arial" w:hAnsi="Arial" w:cs="Arial"/>
          <w:b/>
          <w:sz w:val="22"/>
          <w:szCs w:val="22"/>
        </w:rPr>
        <w:t>4</w:t>
      </w:r>
      <w:r w:rsidR="00BC3420" w:rsidRPr="00F31C71">
        <w:rPr>
          <w:rFonts w:ascii="Arial" w:hAnsi="Arial" w:cs="Arial"/>
          <w:b/>
          <w:sz w:val="22"/>
          <w:szCs w:val="22"/>
        </w:rPr>
        <w:t xml:space="preserve"> </w:t>
      </w:r>
      <w:r w:rsidR="00165170" w:rsidRPr="00F31C71">
        <w:rPr>
          <w:rFonts w:ascii="Arial" w:hAnsi="Arial" w:cs="Arial"/>
          <w:b/>
          <w:sz w:val="22"/>
          <w:szCs w:val="22"/>
        </w:rPr>
        <w:t>décembre</w:t>
      </w:r>
      <w:r w:rsidRPr="00F31C71">
        <w:rPr>
          <w:rFonts w:ascii="Arial" w:hAnsi="Arial" w:cs="Arial"/>
          <w:b/>
          <w:sz w:val="22"/>
          <w:szCs w:val="22"/>
        </w:rPr>
        <w:t xml:space="preserve"> 2015</w:t>
      </w:r>
    </w:p>
    <w:p w:rsidR="00BC3420" w:rsidRPr="00F31C71" w:rsidRDefault="00BC3420" w:rsidP="00DA511D">
      <w:pPr>
        <w:pStyle w:val="Sansinterligne2"/>
        <w:spacing w:before="960"/>
        <w:jc w:val="center"/>
        <w:rPr>
          <w:rFonts w:ascii="Arial" w:hAnsi="Arial" w:cs="Arial"/>
          <w:b/>
          <w:sz w:val="22"/>
          <w:szCs w:val="22"/>
        </w:rPr>
      </w:pPr>
      <w:r w:rsidRPr="00F31C71">
        <w:rPr>
          <w:rFonts w:ascii="Arial" w:hAnsi="Arial" w:cs="Arial"/>
          <w:b/>
          <w:sz w:val="22"/>
          <w:szCs w:val="22"/>
          <w:u w:val="single"/>
        </w:rPr>
        <w:t xml:space="preserve">Point </w:t>
      </w:r>
      <w:r w:rsidR="00DE45D2">
        <w:rPr>
          <w:rFonts w:ascii="Arial" w:hAnsi="Arial" w:cs="Arial"/>
          <w:b/>
          <w:sz w:val="22"/>
          <w:szCs w:val="22"/>
          <w:u w:val="single"/>
        </w:rPr>
        <w:t>13</w:t>
      </w:r>
      <w:r w:rsidRPr="00F31C71">
        <w:rPr>
          <w:rFonts w:ascii="Arial" w:hAnsi="Arial" w:cs="Arial"/>
          <w:b/>
          <w:sz w:val="22"/>
          <w:szCs w:val="22"/>
          <w:u w:val="single"/>
        </w:rPr>
        <w:t xml:space="preserve"> de l’ordre du jour provisoire </w:t>
      </w:r>
      <w:r w:rsidRPr="00F31C71">
        <w:rPr>
          <w:rFonts w:ascii="Arial" w:hAnsi="Arial" w:cs="Arial"/>
          <w:b/>
          <w:sz w:val="22"/>
          <w:szCs w:val="22"/>
        </w:rPr>
        <w:t>:</w:t>
      </w:r>
    </w:p>
    <w:p w:rsidR="00BC3420" w:rsidRPr="00F31C71" w:rsidRDefault="00DA511D" w:rsidP="00BC3420">
      <w:pPr>
        <w:pStyle w:val="NoSpacing"/>
        <w:spacing w:after="1200"/>
        <w:jc w:val="center"/>
        <w:rPr>
          <w:rFonts w:ascii="Arial" w:hAnsi="Arial" w:cs="Arial"/>
          <w:b/>
          <w:sz w:val="22"/>
          <w:szCs w:val="22"/>
        </w:rPr>
      </w:pPr>
      <w:r w:rsidRPr="00F31C71">
        <w:rPr>
          <w:rFonts w:ascii="Arial" w:hAnsi="Arial" w:cs="Arial"/>
          <w:b/>
          <w:sz w:val="22"/>
          <w:szCs w:val="22"/>
        </w:rPr>
        <w:t>Nombre de dossiers soumis pour le cycle 2016</w:t>
      </w:r>
      <w:r w:rsidRPr="00F31C71">
        <w:rPr>
          <w:rFonts w:ascii="Arial" w:hAnsi="Arial" w:cs="Arial"/>
          <w:b/>
          <w:sz w:val="22"/>
          <w:szCs w:val="22"/>
        </w:rPr>
        <w:br/>
        <w:t xml:space="preserve">et nombre de dossiers </w:t>
      </w:r>
      <w:r w:rsidR="001E5521" w:rsidRPr="00F31C71">
        <w:rPr>
          <w:rFonts w:ascii="Arial" w:hAnsi="Arial" w:cs="Arial"/>
          <w:b/>
          <w:sz w:val="22"/>
          <w:szCs w:val="22"/>
        </w:rPr>
        <w:t xml:space="preserve">pouvant </w:t>
      </w:r>
      <w:r w:rsidRPr="00F31C71">
        <w:rPr>
          <w:rFonts w:ascii="Arial" w:hAnsi="Arial" w:cs="Arial"/>
          <w:b/>
          <w:sz w:val="22"/>
          <w:szCs w:val="22"/>
        </w:rPr>
        <w:t xml:space="preserve">être traités </w:t>
      </w:r>
      <w:r w:rsidR="00F126C2">
        <w:rPr>
          <w:rFonts w:ascii="Arial" w:hAnsi="Arial" w:cs="Arial"/>
          <w:b/>
          <w:sz w:val="22"/>
          <w:szCs w:val="22"/>
        </w:rPr>
        <w:t>pour les</w:t>
      </w:r>
      <w:r w:rsidRPr="00F31C71">
        <w:rPr>
          <w:rFonts w:ascii="Arial" w:hAnsi="Arial" w:cs="Arial"/>
          <w:b/>
          <w:sz w:val="22"/>
          <w:szCs w:val="22"/>
        </w:rPr>
        <w:t xml:space="preserve"> cycles 2017 et 2018</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3420" w:rsidRPr="00F31C71" w:rsidTr="0019264E">
        <w:trPr>
          <w:jc w:val="center"/>
        </w:trPr>
        <w:tc>
          <w:tcPr>
            <w:tcW w:w="7825" w:type="dxa"/>
            <w:vAlign w:val="center"/>
          </w:tcPr>
          <w:p w:rsidR="00BC3420" w:rsidRPr="00F31C71" w:rsidRDefault="00BC3420" w:rsidP="0019264E">
            <w:pPr>
              <w:pStyle w:val="Sansinterligne1"/>
              <w:spacing w:before="200" w:after="200"/>
              <w:jc w:val="center"/>
              <w:rPr>
                <w:rFonts w:ascii="Arial" w:hAnsi="Arial" w:cs="Arial"/>
                <w:b/>
                <w:sz w:val="22"/>
                <w:szCs w:val="22"/>
              </w:rPr>
            </w:pPr>
            <w:r w:rsidRPr="00F31C71">
              <w:rPr>
                <w:rFonts w:ascii="Arial" w:hAnsi="Arial" w:cs="Arial"/>
                <w:b/>
                <w:sz w:val="22"/>
                <w:szCs w:val="22"/>
              </w:rPr>
              <w:t>Résumé</w:t>
            </w:r>
          </w:p>
          <w:p w:rsidR="00BC3420" w:rsidRPr="00F31C71" w:rsidRDefault="009521DF" w:rsidP="0019264E">
            <w:pPr>
              <w:pStyle w:val="Sansinterligne1"/>
              <w:jc w:val="both"/>
              <w:rPr>
                <w:rFonts w:ascii="Arial" w:hAnsi="Arial" w:cs="Arial"/>
                <w:bCs/>
                <w:sz w:val="22"/>
                <w:szCs w:val="22"/>
              </w:rPr>
            </w:pPr>
            <w:r w:rsidRPr="00F31C71">
              <w:rPr>
                <w:rFonts w:ascii="Arial" w:hAnsi="Arial" w:cs="Arial"/>
                <w:sz w:val="22"/>
                <w:szCs w:val="22"/>
              </w:rPr>
              <w:t xml:space="preserve">Conformément au </w:t>
            </w:r>
            <w:r w:rsidR="00DA511D" w:rsidRPr="00F31C71">
              <w:rPr>
                <w:rFonts w:ascii="Arial" w:hAnsi="Arial" w:cs="Arial"/>
                <w:sz w:val="22"/>
                <w:szCs w:val="22"/>
              </w:rPr>
              <w:t>paragraph</w:t>
            </w:r>
            <w:r w:rsidRPr="00F31C71">
              <w:rPr>
                <w:rFonts w:ascii="Arial" w:hAnsi="Arial" w:cs="Arial"/>
                <w:sz w:val="22"/>
                <w:szCs w:val="22"/>
              </w:rPr>
              <w:t>e</w:t>
            </w:r>
            <w:r w:rsidR="00DA511D" w:rsidRPr="00F31C71">
              <w:rPr>
                <w:rFonts w:ascii="Arial" w:hAnsi="Arial" w:cs="Arial"/>
                <w:sz w:val="22"/>
                <w:szCs w:val="22"/>
              </w:rPr>
              <w:t xml:space="preserve"> 33 </w:t>
            </w:r>
            <w:r w:rsidRPr="00F31C71">
              <w:rPr>
                <w:rFonts w:ascii="Arial" w:hAnsi="Arial" w:cs="Arial"/>
                <w:sz w:val="22"/>
                <w:szCs w:val="22"/>
              </w:rPr>
              <w:t>des</w:t>
            </w:r>
            <w:r w:rsidR="00DA511D" w:rsidRPr="00F31C71">
              <w:rPr>
                <w:rFonts w:ascii="Arial" w:hAnsi="Arial" w:cs="Arial"/>
                <w:sz w:val="22"/>
                <w:szCs w:val="22"/>
              </w:rPr>
              <w:t xml:space="preserve"> Directives</w:t>
            </w:r>
            <w:r w:rsidRPr="00F31C71">
              <w:rPr>
                <w:rFonts w:ascii="Arial" w:hAnsi="Arial" w:cs="Arial"/>
                <w:sz w:val="22"/>
                <w:szCs w:val="22"/>
              </w:rPr>
              <w:t xml:space="preserve"> opérationnelles</w:t>
            </w:r>
            <w:r w:rsidR="00DA511D" w:rsidRPr="00F31C71">
              <w:rPr>
                <w:rFonts w:ascii="Arial" w:hAnsi="Arial" w:cs="Arial"/>
                <w:sz w:val="22"/>
                <w:szCs w:val="22"/>
              </w:rPr>
              <w:t xml:space="preserve">, </w:t>
            </w:r>
            <w:r w:rsidRPr="00F31C71">
              <w:rPr>
                <w:rFonts w:ascii="Arial" w:hAnsi="Arial" w:cs="Arial"/>
                <w:sz w:val="22"/>
                <w:szCs w:val="22"/>
              </w:rPr>
              <w:t>l</w:t>
            </w:r>
            <w:r w:rsidR="00DA511D" w:rsidRPr="00F31C71">
              <w:rPr>
                <w:rFonts w:ascii="Arial" w:hAnsi="Arial" w:cs="Arial"/>
                <w:sz w:val="22"/>
                <w:szCs w:val="22"/>
              </w:rPr>
              <w:t xml:space="preserve">e </w:t>
            </w:r>
            <w:r w:rsidR="00DA511D" w:rsidRPr="00F31C71">
              <w:rPr>
                <w:rFonts w:ascii="Arial" w:hAnsi="Arial" w:cs="Arial"/>
                <w:bCs/>
                <w:noProof/>
                <w:sz w:val="22"/>
                <w:szCs w:val="22"/>
              </w:rPr>
              <w:t>Comit</w:t>
            </w:r>
            <w:r w:rsidRPr="00F31C71">
              <w:rPr>
                <w:rFonts w:ascii="Arial" w:hAnsi="Arial" w:cs="Arial"/>
                <w:bCs/>
                <w:noProof/>
                <w:sz w:val="22"/>
                <w:szCs w:val="22"/>
              </w:rPr>
              <w:t xml:space="preserve">é doit déterminer deux ans à l’avance, </w:t>
            </w:r>
            <w:r w:rsidR="00E0730E">
              <w:rPr>
                <w:rFonts w:ascii="Arial" w:hAnsi="Arial" w:cs="Arial"/>
                <w:bCs/>
                <w:noProof/>
                <w:sz w:val="22"/>
                <w:szCs w:val="22"/>
              </w:rPr>
              <w:t>selon l</w:t>
            </w:r>
            <w:r w:rsidRPr="00F31C71">
              <w:rPr>
                <w:rFonts w:ascii="Arial" w:hAnsi="Arial" w:cs="Arial"/>
                <w:bCs/>
                <w:noProof/>
                <w:sz w:val="22"/>
                <w:szCs w:val="22"/>
              </w:rPr>
              <w:t xml:space="preserve">es ressources </w:t>
            </w:r>
            <w:r w:rsidR="00E0730E" w:rsidRPr="00F31C71">
              <w:rPr>
                <w:rFonts w:ascii="Arial" w:hAnsi="Arial" w:cs="Arial"/>
                <w:bCs/>
                <w:noProof/>
                <w:sz w:val="22"/>
                <w:szCs w:val="22"/>
              </w:rPr>
              <w:t xml:space="preserve">disponibles </w:t>
            </w:r>
            <w:r w:rsidRPr="00F31C71">
              <w:rPr>
                <w:rFonts w:ascii="Arial" w:hAnsi="Arial" w:cs="Arial"/>
                <w:bCs/>
                <w:noProof/>
                <w:sz w:val="22"/>
                <w:szCs w:val="22"/>
              </w:rPr>
              <w:t xml:space="preserve">et </w:t>
            </w:r>
            <w:r w:rsidR="00E0730E">
              <w:rPr>
                <w:rFonts w:ascii="Arial" w:hAnsi="Arial" w:cs="Arial"/>
                <w:bCs/>
                <w:noProof/>
                <w:sz w:val="22"/>
                <w:szCs w:val="22"/>
              </w:rPr>
              <w:t xml:space="preserve">ses </w:t>
            </w:r>
            <w:r w:rsidRPr="00F31C71">
              <w:rPr>
                <w:rFonts w:ascii="Arial" w:hAnsi="Arial" w:cs="Arial"/>
                <w:bCs/>
                <w:noProof/>
                <w:sz w:val="22"/>
                <w:szCs w:val="22"/>
              </w:rPr>
              <w:t>capacités, le nombre de dossiers qui p</w:t>
            </w:r>
            <w:r w:rsidR="00E0730E">
              <w:rPr>
                <w:rFonts w:ascii="Arial" w:hAnsi="Arial" w:cs="Arial"/>
                <w:bCs/>
                <w:noProof/>
                <w:sz w:val="22"/>
                <w:szCs w:val="22"/>
              </w:rPr>
              <w:t>ourro</w:t>
            </w:r>
            <w:r w:rsidRPr="00F31C71">
              <w:rPr>
                <w:rFonts w:ascii="Arial" w:hAnsi="Arial" w:cs="Arial"/>
                <w:bCs/>
                <w:noProof/>
                <w:sz w:val="22"/>
                <w:szCs w:val="22"/>
              </w:rPr>
              <w:t xml:space="preserve">nt </w:t>
            </w:r>
            <w:r w:rsidR="00046030" w:rsidRPr="00F31C71">
              <w:rPr>
                <w:rFonts w:ascii="Arial" w:hAnsi="Arial" w:cs="Arial"/>
                <w:bCs/>
                <w:noProof/>
                <w:sz w:val="22"/>
                <w:szCs w:val="22"/>
              </w:rPr>
              <w:t>ê</w:t>
            </w:r>
            <w:r w:rsidRPr="00F31C71">
              <w:rPr>
                <w:rFonts w:ascii="Arial" w:hAnsi="Arial" w:cs="Arial"/>
                <w:bCs/>
                <w:noProof/>
                <w:sz w:val="22"/>
                <w:szCs w:val="22"/>
              </w:rPr>
              <w:t xml:space="preserve">tre traités </w:t>
            </w:r>
            <w:r w:rsidR="00046030" w:rsidRPr="00F31C71">
              <w:rPr>
                <w:rFonts w:ascii="Arial" w:hAnsi="Arial" w:cs="Arial"/>
                <w:bCs/>
                <w:noProof/>
                <w:sz w:val="22"/>
                <w:szCs w:val="22"/>
              </w:rPr>
              <w:t>au cours des</w:t>
            </w:r>
            <w:r w:rsidRPr="00F31C71">
              <w:rPr>
                <w:rFonts w:ascii="Arial" w:hAnsi="Arial" w:cs="Arial"/>
                <w:bCs/>
                <w:noProof/>
                <w:sz w:val="22"/>
                <w:szCs w:val="22"/>
              </w:rPr>
              <w:t xml:space="preserve"> deux cycles suivants</w:t>
            </w:r>
            <w:r w:rsidR="00DA511D" w:rsidRPr="00F31C71">
              <w:rPr>
                <w:rFonts w:ascii="Arial" w:hAnsi="Arial" w:cs="Arial"/>
                <w:sz w:val="22"/>
                <w:szCs w:val="22"/>
              </w:rPr>
              <w:t xml:space="preserve">. </w:t>
            </w:r>
            <w:r w:rsidR="00046030" w:rsidRPr="00F31C71">
              <w:rPr>
                <w:rFonts w:ascii="Arial" w:hAnsi="Arial" w:cs="Arial"/>
                <w:sz w:val="22"/>
                <w:szCs w:val="22"/>
              </w:rPr>
              <w:t xml:space="preserve">Le présent </w:t>
            </w:r>
            <w:r w:rsidR="00DA511D" w:rsidRPr="00F31C71">
              <w:rPr>
                <w:rFonts w:ascii="Arial" w:hAnsi="Arial" w:cs="Arial"/>
                <w:sz w:val="22"/>
                <w:szCs w:val="22"/>
              </w:rPr>
              <w:t xml:space="preserve">document </w:t>
            </w:r>
            <w:r w:rsidR="00046030" w:rsidRPr="00F31C71">
              <w:rPr>
                <w:rFonts w:ascii="Arial" w:hAnsi="Arial" w:cs="Arial"/>
                <w:sz w:val="22"/>
                <w:szCs w:val="22"/>
              </w:rPr>
              <w:t xml:space="preserve">informe également le Comité de la répartition des dossiers soumis pour le </w:t>
            </w:r>
            <w:r w:rsidR="00F31C71" w:rsidRPr="00F31C71">
              <w:rPr>
                <w:rFonts w:ascii="Arial" w:hAnsi="Arial" w:cs="Arial"/>
                <w:sz w:val="22"/>
                <w:szCs w:val="22"/>
              </w:rPr>
              <w:t>cycle</w:t>
            </w:r>
            <w:r w:rsidR="00046030" w:rsidRPr="00F31C71">
              <w:rPr>
                <w:rFonts w:ascii="Arial" w:hAnsi="Arial" w:cs="Arial"/>
                <w:sz w:val="22"/>
                <w:szCs w:val="22"/>
              </w:rPr>
              <w:t xml:space="preserve"> </w:t>
            </w:r>
            <w:r w:rsidR="00DA511D" w:rsidRPr="00F31C71">
              <w:rPr>
                <w:rFonts w:ascii="Arial" w:hAnsi="Arial" w:cs="Arial"/>
                <w:sz w:val="22"/>
                <w:szCs w:val="22"/>
              </w:rPr>
              <w:t>2016.</w:t>
            </w:r>
          </w:p>
          <w:p w:rsidR="00BC3420" w:rsidRPr="00F31C71" w:rsidRDefault="00BC3420" w:rsidP="00DA511D">
            <w:pPr>
              <w:pStyle w:val="Sansinterligne2"/>
              <w:spacing w:before="200" w:after="200"/>
              <w:ind w:right="284"/>
              <w:jc w:val="both"/>
              <w:rPr>
                <w:rFonts w:ascii="Arial" w:hAnsi="Arial" w:cs="Arial"/>
                <w:b/>
                <w:sz w:val="22"/>
                <w:szCs w:val="22"/>
              </w:rPr>
            </w:pPr>
            <w:r w:rsidRPr="00F31C71">
              <w:rPr>
                <w:rFonts w:ascii="Arial" w:hAnsi="Arial" w:cs="Arial"/>
                <w:b/>
                <w:sz w:val="22"/>
                <w:szCs w:val="22"/>
              </w:rPr>
              <w:t xml:space="preserve">Décision requise : </w:t>
            </w:r>
            <w:r w:rsidRPr="00F31C71">
              <w:rPr>
                <w:rFonts w:ascii="Arial" w:hAnsi="Arial" w:cs="Arial"/>
                <w:bCs/>
                <w:sz w:val="22"/>
                <w:szCs w:val="22"/>
              </w:rPr>
              <w:t xml:space="preserve">paragraphe </w:t>
            </w:r>
            <w:r w:rsidR="00DA511D" w:rsidRPr="00F31C71">
              <w:rPr>
                <w:rFonts w:ascii="Arial" w:hAnsi="Arial" w:cs="Arial"/>
                <w:bCs/>
                <w:sz w:val="22"/>
                <w:szCs w:val="22"/>
              </w:rPr>
              <w:t>14</w:t>
            </w:r>
          </w:p>
        </w:tc>
      </w:tr>
    </w:tbl>
    <w:p w:rsidR="00BC3420" w:rsidRPr="00F31C71" w:rsidRDefault="00BC3420" w:rsidP="008B2A47">
      <w:pPr>
        <w:pStyle w:val="COMParabodytext"/>
        <w:rPr>
          <w:lang w:val="fr-FR"/>
        </w:rPr>
      </w:pPr>
      <w:r w:rsidRPr="00F31C71">
        <w:rPr>
          <w:lang w:val="fr-FR"/>
        </w:rPr>
        <w:br w:type="page"/>
      </w:r>
      <w:r w:rsidR="00046030" w:rsidRPr="00F31C71">
        <w:rPr>
          <w:lang w:val="fr-FR"/>
        </w:rPr>
        <w:lastRenderedPageBreak/>
        <w:t>Le p</w:t>
      </w:r>
      <w:r w:rsidR="00FD1C98" w:rsidRPr="00F31C71">
        <w:rPr>
          <w:lang w:val="fr-FR"/>
        </w:rPr>
        <w:t>aragraph</w:t>
      </w:r>
      <w:r w:rsidR="00046030" w:rsidRPr="00F31C71">
        <w:rPr>
          <w:lang w:val="fr-FR"/>
        </w:rPr>
        <w:t>e</w:t>
      </w:r>
      <w:r w:rsidR="00FD1C98" w:rsidRPr="00F31C71">
        <w:rPr>
          <w:lang w:val="fr-FR"/>
        </w:rPr>
        <w:t xml:space="preserve"> 33 </w:t>
      </w:r>
      <w:r w:rsidR="00046030" w:rsidRPr="00F31C71">
        <w:rPr>
          <w:lang w:val="fr-FR"/>
        </w:rPr>
        <w:t>des</w:t>
      </w:r>
      <w:r w:rsidR="00FD1C98" w:rsidRPr="00F31C71">
        <w:rPr>
          <w:lang w:val="fr-FR"/>
        </w:rPr>
        <w:t xml:space="preserve"> Directives </w:t>
      </w:r>
      <w:r w:rsidR="00046030" w:rsidRPr="00F31C71">
        <w:rPr>
          <w:lang w:val="fr-FR"/>
        </w:rPr>
        <w:t xml:space="preserve">opérationnelles indique que </w:t>
      </w:r>
      <w:r w:rsidR="00D33531" w:rsidRPr="00F31C71">
        <w:rPr>
          <w:lang w:val="fr-FR"/>
        </w:rPr>
        <w:t>« l</w:t>
      </w:r>
      <w:r w:rsidR="00D33531" w:rsidRPr="00F31C71">
        <w:rPr>
          <w:snapToGrid/>
          <w:lang w:val="fr-FR" w:eastAsia="fr-FR"/>
        </w:rPr>
        <w:t>e Comité détermine deux ans à l’avance, selon les ressources disponibles et ses capacités, le nombre de dossiers qui pourront être traités au cours des deux cycles suivants</w:t>
      </w:r>
      <w:r w:rsidR="00FD1C98" w:rsidRPr="00F31C71">
        <w:rPr>
          <w:lang w:val="fr-FR"/>
        </w:rPr>
        <w:t xml:space="preserve">. </w:t>
      </w:r>
      <w:r w:rsidR="00D33531" w:rsidRPr="00F31C71">
        <w:rPr>
          <w:snapToGrid/>
          <w:lang w:val="fr-FR" w:eastAsia="fr-FR"/>
        </w:rPr>
        <w:t>Ce plafond s’applique à l’ensemble des dossiers constitué par les candidatures à la Liste du patrimoine culturel immatériel nécessitant une sauvegarde urgente et à la Liste représentative du patrimoine culturel immatériel de l’humanité, les propositions de programmes, projets et activités reflétant le mieux les principes et objectifs de la Convention et les demandes d’assistance internationale supérieures à 25</w:t>
      </w:r>
      <w:r w:rsidR="00D33531" w:rsidRPr="00F31C71">
        <w:rPr>
          <w:snapToGrid/>
          <w:lang w:val="fr-FR" w:eastAsia="zh-CN"/>
        </w:rPr>
        <w:t> </w:t>
      </w:r>
      <w:r w:rsidR="00D33531" w:rsidRPr="00F31C71">
        <w:rPr>
          <w:snapToGrid/>
          <w:lang w:val="fr-FR" w:eastAsia="fr-FR"/>
        </w:rPr>
        <w:t>000</w:t>
      </w:r>
      <w:r w:rsidR="00D33531" w:rsidRPr="00F31C71">
        <w:rPr>
          <w:snapToGrid/>
          <w:lang w:val="fr-FR" w:eastAsia="zh-CN"/>
        </w:rPr>
        <w:t> </w:t>
      </w:r>
      <w:r w:rsidR="00D33531" w:rsidRPr="00F31C71">
        <w:rPr>
          <w:snapToGrid/>
          <w:lang w:val="fr-FR" w:eastAsia="fr-FR"/>
        </w:rPr>
        <w:t>dollars des États-Unis.</w:t>
      </w:r>
      <w:r w:rsidR="0022696E" w:rsidRPr="00F31C71">
        <w:rPr>
          <w:snapToGrid/>
          <w:lang w:val="fr-FR" w:eastAsia="fr-FR"/>
        </w:rPr>
        <w:t> »</w:t>
      </w:r>
      <w:r w:rsidR="00FD1C98" w:rsidRPr="00F31C71">
        <w:rPr>
          <w:lang w:val="fr-FR"/>
        </w:rPr>
        <w:t xml:space="preserve"> </w:t>
      </w:r>
      <w:r w:rsidR="0022696E" w:rsidRPr="00F31C71">
        <w:rPr>
          <w:lang w:val="fr-FR"/>
        </w:rPr>
        <w:t>L</w:t>
      </w:r>
      <w:r w:rsidR="00FD1C98" w:rsidRPr="00F31C71">
        <w:rPr>
          <w:lang w:val="fr-FR"/>
        </w:rPr>
        <w:t>e Comit</w:t>
      </w:r>
      <w:r w:rsidR="0022696E" w:rsidRPr="00F31C71">
        <w:rPr>
          <w:lang w:val="fr-FR"/>
        </w:rPr>
        <w:t>é est donc invité à déterminer le nombre de dossiers qui peuvent être traités au cours des deux cycles suivants</w:t>
      </w:r>
      <w:r w:rsidR="00FD1C98" w:rsidRPr="00F31C71">
        <w:rPr>
          <w:lang w:val="fr-FR"/>
        </w:rPr>
        <w:t xml:space="preserve">. </w:t>
      </w:r>
      <w:r w:rsidR="00D016D4" w:rsidRPr="00F31C71">
        <w:rPr>
          <w:lang w:val="fr-FR"/>
        </w:rPr>
        <w:t>Ce faisant</w:t>
      </w:r>
      <w:r w:rsidR="00CC25A1" w:rsidRPr="00F31C71">
        <w:rPr>
          <w:lang w:val="fr-FR"/>
        </w:rPr>
        <w:t xml:space="preserve">, il </w:t>
      </w:r>
      <w:r w:rsidR="0022696E" w:rsidRPr="00F31C71">
        <w:rPr>
          <w:lang w:val="fr-FR"/>
        </w:rPr>
        <w:t>souhaiter</w:t>
      </w:r>
      <w:r w:rsidR="00CC25A1" w:rsidRPr="00F31C71">
        <w:rPr>
          <w:lang w:val="fr-FR"/>
        </w:rPr>
        <w:t>a peut-être</w:t>
      </w:r>
      <w:r w:rsidR="0022696E" w:rsidRPr="00F31C71">
        <w:rPr>
          <w:lang w:val="fr-FR"/>
        </w:rPr>
        <w:t xml:space="preserve"> confirmer le nombre déjà fixé </w:t>
      </w:r>
      <w:r w:rsidR="00D016D4" w:rsidRPr="00F31C71">
        <w:rPr>
          <w:lang w:val="fr-FR"/>
        </w:rPr>
        <w:t xml:space="preserve">pour 2017 </w:t>
      </w:r>
      <w:r w:rsidR="0022696E" w:rsidRPr="00F31C71">
        <w:rPr>
          <w:lang w:val="fr-FR"/>
        </w:rPr>
        <w:t>dans sa dé</w:t>
      </w:r>
      <w:r w:rsidR="00FD1C98" w:rsidRPr="00F31C71">
        <w:rPr>
          <w:lang w:val="fr-FR"/>
        </w:rPr>
        <w:t xml:space="preserve">cision 9.COM 12, </w:t>
      </w:r>
      <w:r w:rsidR="008B2A47" w:rsidRPr="00F31C71">
        <w:rPr>
          <w:lang w:val="fr-FR"/>
        </w:rPr>
        <w:t>tandis</w:t>
      </w:r>
      <w:r w:rsidR="00F519D3" w:rsidRPr="00F31C71">
        <w:rPr>
          <w:lang w:val="fr-FR"/>
        </w:rPr>
        <w:t xml:space="preserve"> qu’il</w:t>
      </w:r>
      <w:r w:rsidR="0022696E" w:rsidRPr="00F31C71">
        <w:rPr>
          <w:lang w:val="fr-FR"/>
        </w:rPr>
        <w:t xml:space="preserve"> détermin</w:t>
      </w:r>
      <w:r w:rsidR="00F519D3" w:rsidRPr="00F31C71">
        <w:rPr>
          <w:lang w:val="fr-FR"/>
        </w:rPr>
        <w:t>er</w:t>
      </w:r>
      <w:r w:rsidR="0022696E" w:rsidRPr="00F31C71">
        <w:rPr>
          <w:lang w:val="fr-FR"/>
        </w:rPr>
        <w:t xml:space="preserve">a le nombre de dossiers </w:t>
      </w:r>
      <w:r w:rsidR="00CC25A1" w:rsidRPr="00F31C71">
        <w:rPr>
          <w:lang w:val="fr-FR"/>
        </w:rPr>
        <w:t>pou</w:t>
      </w:r>
      <w:r w:rsidR="008B2A47" w:rsidRPr="00F31C71">
        <w:rPr>
          <w:lang w:val="fr-FR"/>
        </w:rPr>
        <w:t>va</w:t>
      </w:r>
      <w:r w:rsidR="00CC25A1" w:rsidRPr="00F31C71">
        <w:rPr>
          <w:lang w:val="fr-FR"/>
        </w:rPr>
        <w:t>nt</w:t>
      </w:r>
      <w:r w:rsidR="0022696E" w:rsidRPr="00F31C71">
        <w:rPr>
          <w:lang w:val="fr-FR"/>
        </w:rPr>
        <w:t xml:space="preserve"> être traités en</w:t>
      </w:r>
      <w:r w:rsidR="00FD1C98" w:rsidRPr="00F31C71">
        <w:rPr>
          <w:lang w:val="fr-FR"/>
        </w:rPr>
        <w:t xml:space="preserve"> 2018.</w:t>
      </w:r>
    </w:p>
    <w:p w:rsidR="0057439C" w:rsidRPr="00F31C71" w:rsidRDefault="0022696E" w:rsidP="001E5521">
      <w:pPr>
        <w:pStyle w:val="COMParabodytext"/>
        <w:rPr>
          <w:lang w:val="fr-FR"/>
        </w:rPr>
      </w:pPr>
      <w:r w:rsidRPr="00F31C71">
        <w:rPr>
          <w:lang w:val="fr-FR"/>
        </w:rPr>
        <w:t>La déc</w:t>
      </w:r>
      <w:r w:rsidR="00ED6087">
        <w:rPr>
          <w:lang w:val="fr-FR"/>
        </w:rPr>
        <w:t>ision 9.COM</w:t>
      </w:r>
      <w:r w:rsidR="00ED6087" w:rsidRPr="00F31C71">
        <w:rPr>
          <w:lang w:val="fr-FR"/>
        </w:rPr>
        <w:t> </w:t>
      </w:r>
      <w:r w:rsidR="00FD1C98" w:rsidRPr="00F31C71">
        <w:rPr>
          <w:lang w:val="fr-FR"/>
        </w:rPr>
        <w:t xml:space="preserve">12 </w:t>
      </w:r>
      <w:r w:rsidRPr="00F31C71">
        <w:rPr>
          <w:lang w:val="fr-FR"/>
        </w:rPr>
        <w:t>fixe un</w:t>
      </w:r>
      <w:r w:rsidR="00E77678" w:rsidRPr="00F31C71">
        <w:rPr>
          <w:lang w:val="fr-FR"/>
        </w:rPr>
        <w:t xml:space="preserve"> plafond</w:t>
      </w:r>
      <w:r w:rsidRPr="00F31C71">
        <w:rPr>
          <w:lang w:val="fr-FR"/>
        </w:rPr>
        <w:t xml:space="preserve"> de </w:t>
      </w:r>
      <w:r w:rsidR="00FD1C98" w:rsidRPr="00F31C71">
        <w:rPr>
          <w:lang w:val="fr-FR"/>
        </w:rPr>
        <w:t xml:space="preserve">50 </w:t>
      </w:r>
      <w:r w:rsidRPr="00F31C71">
        <w:rPr>
          <w:lang w:val="fr-FR"/>
        </w:rPr>
        <w:t xml:space="preserve">dossiers par </w:t>
      </w:r>
      <w:r w:rsidR="00FD1C98" w:rsidRPr="00F31C71">
        <w:rPr>
          <w:lang w:val="fr-FR"/>
        </w:rPr>
        <w:t xml:space="preserve">cycle </w:t>
      </w:r>
      <w:r w:rsidR="00A72032" w:rsidRPr="00F31C71">
        <w:rPr>
          <w:lang w:val="fr-FR"/>
        </w:rPr>
        <w:t xml:space="preserve">pour les cycles </w:t>
      </w:r>
      <w:r w:rsidR="00FD1C98" w:rsidRPr="00F31C71">
        <w:rPr>
          <w:lang w:val="fr-FR"/>
        </w:rPr>
        <w:t xml:space="preserve">2016 </w:t>
      </w:r>
      <w:r w:rsidR="00A72032" w:rsidRPr="00F31C71">
        <w:rPr>
          <w:lang w:val="fr-FR"/>
        </w:rPr>
        <w:t>et</w:t>
      </w:r>
      <w:r w:rsidR="00FD1C98" w:rsidRPr="00F31C71">
        <w:rPr>
          <w:lang w:val="fr-FR"/>
        </w:rPr>
        <w:t xml:space="preserve"> 2017, </w:t>
      </w:r>
      <w:r w:rsidR="00A72032" w:rsidRPr="00F31C71">
        <w:rPr>
          <w:lang w:val="fr-FR"/>
        </w:rPr>
        <w:t xml:space="preserve">en </w:t>
      </w:r>
      <w:r w:rsidR="00261B03" w:rsidRPr="00F31C71">
        <w:rPr>
          <w:lang w:val="fr-FR"/>
        </w:rPr>
        <w:t>ajoutant</w:t>
      </w:r>
      <w:r w:rsidR="00A72032" w:rsidRPr="00F31C71">
        <w:rPr>
          <w:lang w:val="fr-FR"/>
        </w:rPr>
        <w:t xml:space="preserve"> </w:t>
      </w:r>
      <w:r w:rsidR="00E77678" w:rsidRPr="00F31C71">
        <w:rPr>
          <w:lang w:val="fr-FR"/>
        </w:rPr>
        <w:t>« </w:t>
      </w:r>
      <w:r w:rsidR="00E77678" w:rsidRPr="00F31C71">
        <w:rPr>
          <w:snapToGrid/>
          <w:lang w:val="fr-FR" w:eastAsia="fr-FR"/>
        </w:rPr>
        <w:t>qu’au moins un dossier par État soumissionnaire doit être traité au cours de la période de deux ans 2016-2017, dans les limites du nombre convenu de candidatures par biennium »</w:t>
      </w:r>
      <w:r w:rsidR="00FD1C98" w:rsidRPr="00F31C71">
        <w:rPr>
          <w:lang w:val="fr-FR"/>
        </w:rPr>
        <w:t>. I</w:t>
      </w:r>
      <w:r w:rsidR="00E77678" w:rsidRPr="00F31C71">
        <w:rPr>
          <w:lang w:val="fr-FR"/>
        </w:rPr>
        <w:t xml:space="preserve">l invite également les </w:t>
      </w:r>
      <w:r w:rsidR="00F31C71" w:rsidRPr="00F31C71">
        <w:rPr>
          <w:lang w:val="fr-FR"/>
        </w:rPr>
        <w:t>États</w:t>
      </w:r>
      <w:r w:rsidR="00E77678" w:rsidRPr="00F31C71">
        <w:rPr>
          <w:lang w:val="fr-FR"/>
        </w:rPr>
        <w:t xml:space="preserve"> pa</w:t>
      </w:r>
      <w:r w:rsidR="001B16B7" w:rsidRPr="00F31C71">
        <w:rPr>
          <w:lang w:val="fr-FR"/>
        </w:rPr>
        <w:t>r</w:t>
      </w:r>
      <w:r w:rsidR="00E77678" w:rsidRPr="00F31C71">
        <w:rPr>
          <w:lang w:val="fr-FR"/>
        </w:rPr>
        <w:t xml:space="preserve">ties </w:t>
      </w:r>
      <w:r w:rsidR="005C3B70" w:rsidRPr="00F31C71">
        <w:rPr>
          <w:lang w:val="fr-FR"/>
        </w:rPr>
        <w:t>« à tenir compte de la présente décision lors de la soumission de dossiers pour le cycle 2016 et 2017 »</w:t>
      </w:r>
      <w:r w:rsidR="00FD1C98" w:rsidRPr="00F31C71">
        <w:rPr>
          <w:lang w:val="fr-FR"/>
        </w:rPr>
        <w:t xml:space="preserve"> </w:t>
      </w:r>
      <w:r w:rsidR="005C3B70" w:rsidRPr="00F31C71">
        <w:rPr>
          <w:lang w:val="fr-FR"/>
        </w:rPr>
        <w:t>et demande au</w:t>
      </w:r>
      <w:r w:rsidR="00FD1C98" w:rsidRPr="00F31C71">
        <w:rPr>
          <w:lang w:val="fr-FR"/>
        </w:rPr>
        <w:t xml:space="preserve"> Secr</w:t>
      </w:r>
      <w:r w:rsidR="005C3B70" w:rsidRPr="00F31C71">
        <w:rPr>
          <w:lang w:val="fr-FR"/>
        </w:rPr>
        <w:t>é</w:t>
      </w:r>
      <w:r w:rsidR="00FD1C98" w:rsidRPr="00F31C71">
        <w:rPr>
          <w:lang w:val="fr-FR"/>
        </w:rPr>
        <w:t xml:space="preserve">tariat </w:t>
      </w:r>
      <w:r w:rsidR="005C3B70" w:rsidRPr="00F31C71">
        <w:rPr>
          <w:lang w:val="fr-FR"/>
        </w:rPr>
        <w:t>« de lui rendre compte du nombre de dossiers soumis pour le cycle 2016 et de son expérience dans l’application des Directives opérationnelles et de la présente décision à sa dixième session. »</w:t>
      </w:r>
    </w:p>
    <w:p w:rsidR="00FD1C98" w:rsidRPr="00F31C71" w:rsidRDefault="00FD1C98" w:rsidP="001E5521">
      <w:pPr>
        <w:pStyle w:val="COMParabodytext"/>
        <w:numPr>
          <w:ilvl w:val="0"/>
          <w:numId w:val="0"/>
        </w:numPr>
        <w:rPr>
          <w:b/>
          <w:lang w:val="fr-FR"/>
        </w:rPr>
      </w:pPr>
      <w:r w:rsidRPr="00F31C71">
        <w:rPr>
          <w:b/>
          <w:lang w:val="fr-FR"/>
        </w:rPr>
        <w:t>R</w:t>
      </w:r>
      <w:r w:rsidR="005C3B70" w:rsidRPr="00F31C71">
        <w:rPr>
          <w:b/>
          <w:lang w:val="fr-FR"/>
        </w:rPr>
        <w:t>ap</w:t>
      </w:r>
      <w:r w:rsidRPr="00F31C71">
        <w:rPr>
          <w:b/>
          <w:lang w:val="fr-FR"/>
        </w:rPr>
        <w:t xml:space="preserve">port </w:t>
      </w:r>
      <w:r w:rsidR="005C3B70" w:rsidRPr="00F31C71">
        <w:rPr>
          <w:b/>
          <w:lang w:val="fr-FR"/>
        </w:rPr>
        <w:t>concernant le cycle</w:t>
      </w:r>
      <w:r w:rsidRPr="00F31C71">
        <w:rPr>
          <w:b/>
          <w:lang w:val="fr-FR"/>
        </w:rPr>
        <w:t xml:space="preserve"> 2016</w:t>
      </w:r>
    </w:p>
    <w:p w:rsidR="00FD1C98" w:rsidRPr="00F31C71" w:rsidRDefault="005C3B70" w:rsidP="001E5521">
      <w:pPr>
        <w:pStyle w:val="COMParabodytext"/>
        <w:rPr>
          <w:lang w:val="fr-FR"/>
        </w:rPr>
      </w:pPr>
      <w:r w:rsidRPr="00F31C71">
        <w:rPr>
          <w:lang w:val="fr-FR"/>
        </w:rPr>
        <w:t>À la date limite du 31 mar</w:t>
      </w:r>
      <w:r w:rsidR="00FD1C98" w:rsidRPr="00F31C71">
        <w:rPr>
          <w:lang w:val="fr-FR"/>
        </w:rPr>
        <w:t xml:space="preserve">s 2015, </w:t>
      </w:r>
      <w:r w:rsidRPr="00F31C71">
        <w:rPr>
          <w:lang w:val="fr-FR"/>
        </w:rPr>
        <w:t>l</w:t>
      </w:r>
      <w:r w:rsidR="00FD1C98" w:rsidRPr="00F31C71">
        <w:rPr>
          <w:lang w:val="fr-FR"/>
        </w:rPr>
        <w:t>e Secr</w:t>
      </w:r>
      <w:r w:rsidRPr="00F31C71">
        <w:rPr>
          <w:lang w:val="fr-FR"/>
        </w:rPr>
        <w:t>é</w:t>
      </w:r>
      <w:r w:rsidR="00FD1C98" w:rsidRPr="00F31C71">
        <w:rPr>
          <w:lang w:val="fr-FR"/>
        </w:rPr>
        <w:t xml:space="preserve">tariat </w:t>
      </w:r>
      <w:r w:rsidRPr="00F31C71">
        <w:rPr>
          <w:lang w:val="fr-FR"/>
        </w:rPr>
        <w:t xml:space="preserve">avait reçu </w:t>
      </w:r>
      <w:r w:rsidR="00FD1C98" w:rsidRPr="00F31C71">
        <w:rPr>
          <w:lang w:val="fr-FR"/>
        </w:rPr>
        <w:t>58 n</w:t>
      </w:r>
      <w:r w:rsidRPr="00F31C71">
        <w:rPr>
          <w:lang w:val="fr-FR"/>
        </w:rPr>
        <w:t>ouveaux dossiers</w:t>
      </w:r>
      <w:r w:rsidR="00FD1C98" w:rsidRPr="00F31C71">
        <w:rPr>
          <w:lang w:val="fr-FR"/>
        </w:rPr>
        <w:t xml:space="preserve"> (5 </w:t>
      </w:r>
      <w:r w:rsidRPr="00F31C71">
        <w:rPr>
          <w:lang w:val="fr-FR"/>
        </w:rPr>
        <w:t xml:space="preserve">dossiers multinationaux et </w:t>
      </w:r>
      <w:r w:rsidR="00FD1C98" w:rsidRPr="00F31C71">
        <w:rPr>
          <w:lang w:val="fr-FR"/>
        </w:rPr>
        <w:t xml:space="preserve">53 </w:t>
      </w:r>
      <w:r w:rsidRPr="00F31C71">
        <w:rPr>
          <w:lang w:val="fr-FR"/>
        </w:rPr>
        <w:t xml:space="preserve">dossiers </w:t>
      </w:r>
      <w:r w:rsidR="00FD1C98" w:rsidRPr="00F31C71">
        <w:rPr>
          <w:lang w:val="fr-FR"/>
        </w:rPr>
        <w:t>nationa</w:t>
      </w:r>
      <w:r w:rsidRPr="00F31C71">
        <w:rPr>
          <w:lang w:val="fr-FR"/>
        </w:rPr>
        <w:t>ux</w:t>
      </w:r>
      <w:r w:rsidR="00FD1C98" w:rsidRPr="00F31C71">
        <w:rPr>
          <w:lang w:val="fr-FR"/>
        </w:rPr>
        <w:t xml:space="preserve">), </w:t>
      </w:r>
      <w:r w:rsidRPr="00F31C71">
        <w:rPr>
          <w:lang w:val="fr-FR"/>
        </w:rPr>
        <w:t xml:space="preserve">en plus des </w:t>
      </w:r>
      <w:r w:rsidR="00FD1C98" w:rsidRPr="00F31C71">
        <w:rPr>
          <w:lang w:val="fr-FR"/>
        </w:rPr>
        <w:t xml:space="preserve">140 </w:t>
      </w:r>
      <w:r w:rsidRPr="00F31C71">
        <w:rPr>
          <w:lang w:val="fr-FR"/>
        </w:rPr>
        <w:t xml:space="preserve">dossiers </w:t>
      </w:r>
      <w:r w:rsidR="00FD1C98" w:rsidRPr="00F31C71">
        <w:rPr>
          <w:lang w:val="fr-FR"/>
        </w:rPr>
        <w:t>nationa</w:t>
      </w:r>
      <w:r w:rsidRPr="00F31C71">
        <w:rPr>
          <w:lang w:val="fr-FR"/>
        </w:rPr>
        <w:t>ux soumis lors de cycles antérieurs et qui n’avaient pas encore été traités</w:t>
      </w:r>
      <w:r w:rsidR="00FD1C98" w:rsidRPr="00F31C71">
        <w:rPr>
          <w:lang w:val="fr-FR"/>
        </w:rPr>
        <w:t xml:space="preserve">. </w:t>
      </w:r>
      <w:r w:rsidRPr="00F31C71">
        <w:rPr>
          <w:lang w:val="fr-FR"/>
        </w:rPr>
        <w:t xml:space="preserve">Sur ce total de </w:t>
      </w:r>
      <w:r w:rsidR="00FD1C98" w:rsidRPr="00F31C71">
        <w:rPr>
          <w:lang w:val="fr-FR"/>
        </w:rPr>
        <w:t xml:space="preserve">198 </w:t>
      </w:r>
      <w:r w:rsidRPr="00F31C71">
        <w:rPr>
          <w:lang w:val="fr-FR"/>
        </w:rPr>
        <w:t xml:space="preserve">dossiers </w:t>
      </w:r>
      <w:r w:rsidR="00FD1C98" w:rsidRPr="00F31C71">
        <w:rPr>
          <w:lang w:val="fr-FR"/>
        </w:rPr>
        <w:t>recevable</w:t>
      </w:r>
      <w:r w:rsidR="000C2AA8" w:rsidRPr="00F31C71">
        <w:rPr>
          <w:lang w:val="fr-FR"/>
        </w:rPr>
        <w:t>s</w:t>
      </w:r>
      <w:r w:rsidR="00FD1C98" w:rsidRPr="00F31C71">
        <w:rPr>
          <w:lang w:val="fr-FR"/>
        </w:rPr>
        <w:t xml:space="preserve">, </w:t>
      </w:r>
      <w:r w:rsidR="000C2AA8" w:rsidRPr="00F31C71">
        <w:rPr>
          <w:lang w:val="fr-FR"/>
        </w:rPr>
        <w:t>le</w:t>
      </w:r>
      <w:r w:rsidR="00FD1C98" w:rsidRPr="00F31C71">
        <w:rPr>
          <w:lang w:val="fr-FR"/>
        </w:rPr>
        <w:t xml:space="preserve"> Secr</w:t>
      </w:r>
      <w:r w:rsidR="000C2AA8" w:rsidRPr="00F31C71">
        <w:rPr>
          <w:lang w:val="fr-FR"/>
        </w:rPr>
        <w:t>é</w:t>
      </w:r>
      <w:r w:rsidR="00FD1C98" w:rsidRPr="00F31C71">
        <w:rPr>
          <w:lang w:val="fr-FR"/>
        </w:rPr>
        <w:t xml:space="preserve">tariat </w:t>
      </w:r>
      <w:r w:rsidR="00352616">
        <w:rPr>
          <w:lang w:val="fr-FR"/>
        </w:rPr>
        <w:t>devait donc</w:t>
      </w:r>
      <w:r w:rsidR="000C2AA8" w:rsidRPr="00F31C71">
        <w:rPr>
          <w:lang w:val="fr-FR"/>
        </w:rPr>
        <w:t xml:space="preserve"> déterminer les 50 dossiers qui </w:t>
      </w:r>
      <w:r w:rsidR="005D755A">
        <w:rPr>
          <w:lang w:val="fr-FR"/>
        </w:rPr>
        <w:t>seraient</w:t>
      </w:r>
      <w:r w:rsidR="000C2AA8" w:rsidRPr="00F31C71">
        <w:rPr>
          <w:lang w:val="fr-FR"/>
        </w:rPr>
        <w:t xml:space="preserve"> traités pour le cycle</w:t>
      </w:r>
      <w:r w:rsidR="00FD1C98" w:rsidRPr="00F31C71">
        <w:rPr>
          <w:lang w:val="fr-FR"/>
        </w:rPr>
        <w:t xml:space="preserve"> 2016. </w:t>
      </w:r>
      <w:r w:rsidR="00896EBD" w:rsidRPr="00F31C71">
        <w:rPr>
          <w:lang w:val="fr-FR"/>
        </w:rPr>
        <w:t>L</w:t>
      </w:r>
      <w:r w:rsidR="008214E8" w:rsidRPr="00F31C71">
        <w:rPr>
          <w:lang w:val="fr-FR"/>
        </w:rPr>
        <w:t xml:space="preserve">es résultats de ce processus </w:t>
      </w:r>
      <w:r w:rsidR="00896EBD" w:rsidRPr="00F31C71">
        <w:rPr>
          <w:lang w:val="fr-FR"/>
        </w:rPr>
        <w:t xml:space="preserve">sont présentés </w:t>
      </w:r>
      <w:r w:rsidR="005D755A">
        <w:rPr>
          <w:lang w:val="fr-FR"/>
        </w:rPr>
        <w:t>en</w:t>
      </w:r>
      <w:r w:rsidR="005D755A" w:rsidRPr="00F31C71">
        <w:rPr>
          <w:lang w:val="fr-FR"/>
        </w:rPr>
        <w:t xml:space="preserve"> </w:t>
      </w:r>
      <w:r w:rsidR="008214E8" w:rsidRPr="00F31C71">
        <w:rPr>
          <w:lang w:val="fr-FR"/>
        </w:rPr>
        <w:t>annexe au présent document</w:t>
      </w:r>
      <w:r w:rsidR="00896EBD" w:rsidRPr="00F31C71">
        <w:rPr>
          <w:lang w:val="fr-FR"/>
        </w:rPr>
        <w:t>,</w:t>
      </w:r>
      <w:r w:rsidR="008214E8" w:rsidRPr="00F31C71">
        <w:rPr>
          <w:lang w:val="fr-FR"/>
        </w:rPr>
        <w:t xml:space="preserve"> </w:t>
      </w:r>
      <w:r w:rsidR="005D755A">
        <w:rPr>
          <w:lang w:val="fr-FR"/>
        </w:rPr>
        <w:t>et affichés sur</w:t>
      </w:r>
      <w:r w:rsidR="008214E8" w:rsidRPr="00F31C71">
        <w:rPr>
          <w:lang w:val="fr-FR"/>
        </w:rPr>
        <w:t xml:space="preserve"> une page dédiée du site Web de la </w:t>
      </w:r>
      <w:r w:rsidR="00FD1C98" w:rsidRPr="00F31C71">
        <w:rPr>
          <w:lang w:val="fr-FR"/>
        </w:rPr>
        <w:t>Convention</w:t>
      </w:r>
      <w:r w:rsidR="00FD1C98" w:rsidRPr="00F31C71">
        <w:rPr>
          <w:rStyle w:val="FootnoteReference"/>
          <w:lang w:val="fr-FR"/>
        </w:rPr>
        <w:footnoteReference w:id="1"/>
      </w:r>
      <w:r w:rsidR="008214E8" w:rsidRPr="00F31C71">
        <w:rPr>
          <w:lang w:val="fr-FR"/>
        </w:rPr>
        <w:t>.</w:t>
      </w:r>
    </w:p>
    <w:p w:rsidR="0057439C" w:rsidRPr="00F31C71" w:rsidRDefault="00352616" w:rsidP="001E5521">
      <w:pPr>
        <w:pStyle w:val="COMParabodytext"/>
        <w:rPr>
          <w:lang w:val="fr-FR"/>
        </w:rPr>
      </w:pPr>
      <w:r>
        <w:rPr>
          <w:lang w:val="fr-FR"/>
        </w:rPr>
        <w:t>Conformément à</w:t>
      </w:r>
      <w:r w:rsidR="008214E8" w:rsidRPr="00F31C71">
        <w:rPr>
          <w:lang w:val="fr-FR"/>
        </w:rPr>
        <w:t xml:space="preserve"> la décision 8.COM 10 du Comité demandant qu’au moins un dossier par </w:t>
      </w:r>
      <w:r w:rsidR="00F31C71" w:rsidRPr="00F31C71">
        <w:rPr>
          <w:lang w:val="fr-FR"/>
        </w:rPr>
        <w:t>État</w:t>
      </w:r>
      <w:r w:rsidR="008214E8" w:rsidRPr="00F31C71">
        <w:rPr>
          <w:lang w:val="fr-FR"/>
        </w:rPr>
        <w:t xml:space="preserve"> </w:t>
      </w:r>
      <w:r w:rsidR="005D755A">
        <w:rPr>
          <w:lang w:val="fr-FR"/>
        </w:rPr>
        <w:t>soumissionnaire</w:t>
      </w:r>
      <w:r w:rsidR="005D755A" w:rsidRPr="00F31C71">
        <w:rPr>
          <w:lang w:val="fr-FR"/>
        </w:rPr>
        <w:t xml:space="preserve"> </w:t>
      </w:r>
      <w:r w:rsidR="00A26969" w:rsidRPr="00F31C71">
        <w:rPr>
          <w:lang w:val="fr-FR"/>
        </w:rPr>
        <w:t xml:space="preserve">soit traité au cours des deux cycles </w:t>
      </w:r>
      <w:r w:rsidR="00D77D64" w:rsidRPr="00F31C71">
        <w:rPr>
          <w:lang w:val="fr-FR"/>
        </w:rPr>
        <w:t xml:space="preserve">2015 </w:t>
      </w:r>
      <w:r w:rsidR="00A26969" w:rsidRPr="00F31C71">
        <w:rPr>
          <w:lang w:val="fr-FR"/>
        </w:rPr>
        <w:t>et</w:t>
      </w:r>
      <w:r w:rsidR="00D77D64" w:rsidRPr="00F31C71">
        <w:rPr>
          <w:lang w:val="fr-FR"/>
        </w:rPr>
        <w:t xml:space="preserve"> 2016, </w:t>
      </w:r>
      <w:r w:rsidR="00A26969" w:rsidRPr="00F31C71">
        <w:rPr>
          <w:lang w:val="fr-FR"/>
        </w:rPr>
        <w:t>les 11 premiers dossiers</w:t>
      </w:r>
      <w:r w:rsidR="00334191">
        <w:rPr>
          <w:lang w:val="fr-FR"/>
        </w:rPr>
        <w:t xml:space="preserve"> </w:t>
      </w:r>
      <w:r w:rsidR="00D12DCD">
        <w:rPr>
          <w:lang w:val="fr-FR"/>
        </w:rPr>
        <w:t xml:space="preserve">classés en </w:t>
      </w:r>
      <w:r w:rsidR="00334191">
        <w:rPr>
          <w:lang w:val="fr-FR"/>
        </w:rPr>
        <w:t>priorité (0)</w:t>
      </w:r>
      <w:r w:rsidR="00D77D64" w:rsidRPr="00F31C71">
        <w:rPr>
          <w:lang w:val="fr-FR"/>
        </w:rPr>
        <w:t xml:space="preserve"> </w:t>
      </w:r>
      <w:r w:rsidR="00D12DCD">
        <w:rPr>
          <w:lang w:val="fr-FR"/>
        </w:rPr>
        <w:t>proviennent</w:t>
      </w:r>
      <w:r w:rsidR="00D12DCD" w:rsidRPr="00F31C71">
        <w:rPr>
          <w:lang w:val="fr-FR"/>
        </w:rPr>
        <w:t xml:space="preserve"> </w:t>
      </w:r>
      <w:r w:rsidR="00A26969" w:rsidRPr="00F31C71">
        <w:rPr>
          <w:lang w:val="fr-FR"/>
        </w:rPr>
        <w:t>d’</w:t>
      </w:r>
      <w:r w:rsidR="00F31C71" w:rsidRPr="00F31C71">
        <w:rPr>
          <w:lang w:val="fr-FR"/>
        </w:rPr>
        <w:t>États</w:t>
      </w:r>
      <w:r w:rsidR="00A26969" w:rsidRPr="00F31C71">
        <w:rPr>
          <w:lang w:val="fr-FR"/>
        </w:rPr>
        <w:t xml:space="preserve"> dont les dossiers nationaux n’avaient pu être traités en </w:t>
      </w:r>
      <w:r w:rsidR="00D77D64" w:rsidRPr="00F31C71">
        <w:rPr>
          <w:lang w:val="fr-FR"/>
        </w:rPr>
        <w:t>2015.</w:t>
      </w:r>
    </w:p>
    <w:p w:rsidR="0057439C" w:rsidRPr="00F31C71" w:rsidRDefault="00A26969" w:rsidP="001E5521">
      <w:pPr>
        <w:pStyle w:val="COMParabodytext"/>
        <w:rPr>
          <w:lang w:val="fr-FR"/>
        </w:rPr>
      </w:pPr>
      <w:r w:rsidRPr="00F31C71">
        <w:rPr>
          <w:lang w:val="fr-FR"/>
        </w:rPr>
        <w:t xml:space="preserve">Ensuite, les dossiers sont classés </w:t>
      </w:r>
      <w:r w:rsidR="00D12DCD">
        <w:rPr>
          <w:lang w:val="fr-FR"/>
        </w:rPr>
        <w:t>en fonction des critères</w:t>
      </w:r>
      <w:r w:rsidRPr="00F31C71">
        <w:rPr>
          <w:lang w:val="fr-FR"/>
        </w:rPr>
        <w:t xml:space="preserve"> de priorité indiqué</w:t>
      </w:r>
      <w:r w:rsidR="00740BD4" w:rsidRPr="00F31C71">
        <w:rPr>
          <w:lang w:val="fr-FR"/>
        </w:rPr>
        <w:t>s</w:t>
      </w:r>
      <w:r w:rsidRPr="00F31C71">
        <w:rPr>
          <w:lang w:val="fr-FR"/>
        </w:rPr>
        <w:t xml:space="preserve"> au paragraphe</w:t>
      </w:r>
      <w:r w:rsidR="00C84EEB">
        <w:rPr>
          <w:lang w:val="fr-FR"/>
        </w:rPr>
        <w:t> </w:t>
      </w:r>
      <w:r w:rsidR="00D77D64" w:rsidRPr="00F31C71">
        <w:rPr>
          <w:lang w:val="fr-FR"/>
        </w:rPr>
        <w:t xml:space="preserve">34 </w:t>
      </w:r>
      <w:r w:rsidRPr="00F31C71">
        <w:rPr>
          <w:lang w:val="fr-FR"/>
        </w:rPr>
        <w:t xml:space="preserve">des </w:t>
      </w:r>
      <w:r w:rsidR="00D77D64" w:rsidRPr="00F31C71">
        <w:rPr>
          <w:lang w:val="fr-FR"/>
        </w:rPr>
        <w:t>Directives</w:t>
      </w:r>
      <w:r w:rsidRPr="00F31C71">
        <w:rPr>
          <w:lang w:val="fr-FR"/>
        </w:rPr>
        <w:t xml:space="preserve"> opérationnelles</w:t>
      </w:r>
      <w:r w:rsidR="00D77D64" w:rsidRPr="00F31C71">
        <w:rPr>
          <w:lang w:val="fr-FR"/>
        </w:rPr>
        <w:t xml:space="preserve">. </w:t>
      </w:r>
      <w:r w:rsidR="001172E0" w:rsidRPr="00F31C71">
        <w:rPr>
          <w:lang w:val="fr-FR"/>
        </w:rPr>
        <w:t xml:space="preserve">Les dossiers </w:t>
      </w:r>
      <w:r w:rsidR="00D12DCD">
        <w:rPr>
          <w:lang w:val="fr-FR"/>
        </w:rPr>
        <w:t>classés en</w:t>
      </w:r>
      <w:r w:rsidR="001172E0" w:rsidRPr="00F31C71">
        <w:rPr>
          <w:lang w:val="fr-FR"/>
        </w:rPr>
        <w:t xml:space="preserve"> priorité</w:t>
      </w:r>
      <w:r w:rsidR="00D77D64" w:rsidRPr="00F31C71">
        <w:rPr>
          <w:lang w:val="fr-FR"/>
        </w:rPr>
        <w:t xml:space="preserve"> (i) </w:t>
      </w:r>
      <w:r w:rsidR="001172E0" w:rsidRPr="00F31C71">
        <w:rPr>
          <w:lang w:val="fr-FR"/>
        </w:rPr>
        <w:t>proviennent d’</w:t>
      </w:r>
      <w:r w:rsidR="00F31C71" w:rsidRPr="00F31C71">
        <w:rPr>
          <w:lang w:val="fr-FR"/>
        </w:rPr>
        <w:t>État</w:t>
      </w:r>
      <w:r w:rsidR="006F54BE">
        <w:rPr>
          <w:lang w:val="fr-FR"/>
        </w:rPr>
        <w:t>s</w:t>
      </w:r>
      <w:r w:rsidR="001172E0" w:rsidRPr="00F31C71">
        <w:rPr>
          <w:lang w:val="fr-FR"/>
        </w:rPr>
        <w:t xml:space="preserve"> </w:t>
      </w:r>
      <w:r w:rsidR="00740BD4" w:rsidRPr="00F31C71">
        <w:rPr>
          <w:lang w:val="fr-FR"/>
        </w:rPr>
        <w:t>qui n’ont</w:t>
      </w:r>
      <w:r w:rsidR="001172E0" w:rsidRPr="00F31C71">
        <w:rPr>
          <w:lang w:val="fr-FR"/>
        </w:rPr>
        <w:t xml:space="preserve"> pas d’éléments inscrits, de meilleures pratiques de sauvegarde sélectionnées ou de demandes d’assistance internationale de plus de 25 000 dollars des États-Unis accordées </w:t>
      </w:r>
      <w:r w:rsidR="00D77D64" w:rsidRPr="00F31C71">
        <w:rPr>
          <w:lang w:val="fr-FR"/>
        </w:rPr>
        <w:t xml:space="preserve">(12 </w:t>
      </w:r>
      <w:r w:rsidR="002B412A" w:rsidRPr="00F31C71">
        <w:rPr>
          <w:lang w:val="fr-FR"/>
        </w:rPr>
        <w:t>dossiers</w:t>
      </w:r>
      <w:r w:rsidR="00D77D64" w:rsidRPr="00F31C71">
        <w:rPr>
          <w:lang w:val="fr-FR"/>
        </w:rPr>
        <w:t>)</w:t>
      </w:r>
      <w:r w:rsidR="00740BD4" w:rsidRPr="00F31C71">
        <w:rPr>
          <w:lang w:val="fr-FR"/>
        </w:rPr>
        <w:t> ;</w:t>
      </w:r>
      <w:r w:rsidR="00BA55C6">
        <w:rPr>
          <w:lang w:val="fr-FR"/>
        </w:rPr>
        <w:t xml:space="preserve"> </w:t>
      </w:r>
      <w:r w:rsidR="00D77D64" w:rsidRPr="00F31C71">
        <w:rPr>
          <w:lang w:val="fr-FR"/>
        </w:rPr>
        <w:t xml:space="preserve">six </w:t>
      </w:r>
      <w:r w:rsidR="00352616">
        <w:rPr>
          <w:lang w:val="fr-FR"/>
        </w:rPr>
        <w:t xml:space="preserve">de ces </w:t>
      </w:r>
      <w:r w:rsidR="00124225">
        <w:rPr>
          <w:lang w:val="fr-FR"/>
        </w:rPr>
        <w:t xml:space="preserve">douze </w:t>
      </w:r>
      <w:r w:rsidR="002B412A" w:rsidRPr="00F31C71">
        <w:rPr>
          <w:lang w:val="fr-FR"/>
        </w:rPr>
        <w:t xml:space="preserve">candidatures </w:t>
      </w:r>
      <w:r w:rsidR="00352616">
        <w:rPr>
          <w:lang w:val="fr-FR"/>
        </w:rPr>
        <w:t xml:space="preserve">ont été soumis </w:t>
      </w:r>
      <w:r w:rsidR="002B412A" w:rsidRPr="00F31C71">
        <w:rPr>
          <w:lang w:val="fr-FR"/>
        </w:rPr>
        <w:t>pour inscription sur la Liste du patrimoine culturel immatériel nécessitant une sauvegarde urgente</w:t>
      </w:r>
      <w:r w:rsidR="00D77D64" w:rsidRPr="00F31C71">
        <w:rPr>
          <w:lang w:val="fr-FR"/>
        </w:rPr>
        <w:t xml:space="preserve">. </w:t>
      </w:r>
      <w:r w:rsidR="002B412A" w:rsidRPr="00F31C71">
        <w:rPr>
          <w:lang w:val="fr-FR"/>
        </w:rPr>
        <w:t>Deux dossiers</w:t>
      </w:r>
      <w:r w:rsidR="00D77D64" w:rsidRPr="00F31C71">
        <w:rPr>
          <w:lang w:val="fr-FR"/>
        </w:rPr>
        <w:t xml:space="preserve"> multinationa</w:t>
      </w:r>
      <w:r w:rsidR="002B412A" w:rsidRPr="00F31C71">
        <w:rPr>
          <w:lang w:val="fr-FR"/>
        </w:rPr>
        <w:t xml:space="preserve">ux sont soumis par au moins un </w:t>
      </w:r>
      <w:r w:rsidR="00F31C71" w:rsidRPr="00F31C71">
        <w:rPr>
          <w:lang w:val="fr-FR"/>
        </w:rPr>
        <w:t>État</w:t>
      </w:r>
      <w:r w:rsidR="002B412A" w:rsidRPr="00F31C71">
        <w:rPr>
          <w:lang w:val="fr-FR"/>
        </w:rPr>
        <w:t xml:space="preserve"> n’ayant pas d’éléments inscrits</w:t>
      </w:r>
      <w:r w:rsidR="00D77D64" w:rsidRPr="00F31C71">
        <w:rPr>
          <w:lang w:val="fr-FR"/>
        </w:rPr>
        <w:t>.</w:t>
      </w:r>
    </w:p>
    <w:p w:rsidR="0057439C" w:rsidRPr="00F31C71" w:rsidRDefault="00124225" w:rsidP="001E5521">
      <w:pPr>
        <w:pStyle w:val="COMParabodytext"/>
        <w:rPr>
          <w:lang w:val="fr-FR"/>
        </w:rPr>
      </w:pPr>
      <w:r>
        <w:rPr>
          <w:lang w:val="fr-FR"/>
        </w:rPr>
        <w:t>L</w:t>
      </w:r>
      <w:r w:rsidR="00032D82" w:rsidRPr="00F31C71">
        <w:rPr>
          <w:lang w:val="fr-FR"/>
        </w:rPr>
        <w:t>es</w:t>
      </w:r>
      <w:r w:rsidR="005F3215" w:rsidRPr="00F31C71">
        <w:rPr>
          <w:lang w:val="fr-FR"/>
        </w:rPr>
        <w:t xml:space="preserve"> trois</w:t>
      </w:r>
      <w:r>
        <w:rPr>
          <w:lang w:val="fr-FR"/>
        </w:rPr>
        <w:t xml:space="preserve"> autres</w:t>
      </w:r>
      <w:r w:rsidR="005F3215" w:rsidRPr="00F31C71">
        <w:rPr>
          <w:lang w:val="fr-FR"/>
        </w:rPr>
        <w:t xml:space="preserve"> dossiers multinationaux </w:t>
      </w:r>
      <w:r w:rsidR="00D77D64" w:rsidRPr="00F31C71">
        <w:rPr>
          <w:lang w:val="fr-FR"/>
        </w:rPr>
        <w:t>(</w:t>
      </w:r>
      <w:r w:rsidR="005F3215" w:rsidRPr="00F31C71">
        <w:rPr>
          <w:lang w:val="fr-FR"/>
        </w:rPr>
        <w:t xml:space="preserve">c’est-à-dire ceux pour lesquels tous les </w:t>
      </w:r>
      <w:r w:rsidR="00F31C71" w:rsidRPr="00F31C71">
        <w:rPr>
          <w:lang w:val="fr-FR"/>
        </w:rPr>
        <w:t>États</w:t>
      </w:r>
      <w:r w:rsidR="005F3215" w:rsidRPr="00F31C71">
        <w:rPr>
          <w:lang w:val="fr-FR"/>
        </w:rPr>
        <w:t xml:space="preserve"> </w:t>
      </w:r>
      <w:r>
        <w:rPr>
          <w:lang w:val="fr-FR"/>
        </w:rPr>
        <w:t>soumissionnaires</w:t>
      </w:r>
      <w:r w:rsidRPr="00F31C71">
        <w:rPr>
          <w:lang w:val="fr-FR"/>
        </w:rPr>
        <w:t xml:space="preserve"> </w:t>
      </w:r>
      <w:r w:rsidR="005F3215" w:rsidRPr="00F31C71">
        <w:rPr>
          <w:lang w:val="fr-FR"/>
        </w:rPr>
        <w:t>ont au moins un élément déjà inscrit</w:t>
      </w:r>
      <w:r w:rsidR="00D77D64" w:rsidRPr="00F31C71">
        <w:rPr>
          <w:lang w:val="fr-FR"/>
        </w:rPr>
        <w:t>)</w:t>
      </w:r>
      <w:r>
        <w:rPr>
          <w:lang w:val="fr-FR"/>
        </w:rPr>
        <w:t xml:space="preserve"> relève de l</w:t>
      </w:r>
      <w:r w:rsidRPr="00F31C71">
        <w:rPr>
          <w:lang w:val="fr-FR"/>
        </w:rPr>
        <w:t>a priorité (ii)</w:t>
      </w:r>
      <w:r w:rsidR="00D77D64" w:rsidRPr="00F31C71">
        <w:rPr>
          <w:lang w:val="fr-FR"/>
        </w:rPr>
        <w:t xml:space="preserve">. </w:t>
      </w:r>
      <w:r w:rsidR="005F3215" w:rsidRPr="00F31C71">
        <w:rPr>
          <w:lang w:val="fr-FR"/>
        </w:rPr>
        <w:t>L’application de la dé</w:t>
      </w:r>
      <w:r w:rsidR="00D77D64" w:rsidRPr="00F31C71">
        <w:rPr>
          <w:lang w:val="fr-FR"/>
        </w:rPr>
        <w:t xml:space="preserve">cision 8.COM 10 </w:t>
      </w:r>
      <w:r w:rsidR="005F3215" w:rsidRPr="00F31C71">
        <w:rPr>
          <w:lang w:val="fr-FR"/>
        </w:rPr>
        <w:t>ainsi que des priorités</w:t>
      </w:r>
      <w:r w:rsidR="00D77D64" w:rsidRPr="00F31C71">
        <w:rPr>
          <w:lang w:val="fr-FR"/>
        </w:rPr>
        <w:t xml:space="preserve"> (i) </w:t>
      </w:r>
      <w:r w:rsidR="005F3215" w:rsidRPr="00F31C71">
        <w:rPr>
          <w:lang w:val="fr-FR"/>
        </w:rPr>
        <w:t>et</w:t>
      </w:r>
      <w:r w:rsidR="00D77D64" w:rsidRPr="00F31C71">
        <w:rPr>
          <w:lang w:val="fr-FR"/>
        </w:rPr>
        <w:t xml:space="preserve"> (ii) </w:t>
      </w:r>
      <w:r w:rsidR="005F3215" w:rsidRPr="00F31C71">
        <w:rPr>
          <w:lang w:val="fr-FR"/>
        </w:rPr>
        <w:t>du</w:t>
      </w:r>
      <w:r w:rsidR="00D77D64" w:rsidRPr="00F31C71">
        <w:rPr>
          <w:lang w:val="fr-FR"/>
        </w:rPr>
        <w:t xml:space="preserve"> paragraph</w:t>
      </w:r>
      <w:r w:rsidR="005F3215" w:rsidRPr="00F31C71">
        <w:rPr>
          <w:lang w:val="fr-FR"/>
        </w:rPr>
        <w:t>e</w:t>
      </w:r>
      <w:r w:rsidR="00D77D64" w:rsidRPr="00F31C71">
        <w:rPr>
          <w:lang w:val="fr-FR"/>
        </w:rPr>
        <w:t xml:space="preserve"> 34 </w:t>
      </w:r>
      <w:r w:rsidR="005F3215" w:rsidRPr="00F31C71">
        <w:rPr>
          <w:lang w:val="fr-FR"/>
        </w:rPr>
        <w:t xml:space="preserve">des Directives opérationnelles </w:t>
      </w:r>
      <w:r w:rsidR="00AE71A5" w:rsidRPr="00F31C71">
        <w:rPr>
          <w:lang w:val="fr-FR"/>
        </w:rPr>
        <w:t>a</w:t>
      </w:r>
      <w:r w:rsidR="005F3215" w:rsidRPr="00F31C71">
        <w:rPr>
          <w:lang w:val="fr-FR"/>
        </w:rPr>
        <w:t xml:space="preserve"> </w:t>
      </w:r>
      <w:r>
        <w:rPr>
          <w:lang w:val="fr-FR"/>
        </w:rPr>
        <w:t>donc</w:t>
      </w:r>
      <w:r w:rsidRPr="00F31C71">
        <w:rPr>
          <w:lang w:val="fr-FR"/>
        </w:rPr>
        <w:t xml:space="preserve"> </w:t>
      </w:r>
      <w:r>
        <w:rPr>
          <w:lang w:val="fr-FR"/>
        </w:rPr>
        <w:t>permis de remplir</w:t>
      </w:r>
      <w:r w:rsidRPr="00F31C71">
        <w:rPr>
          <w:lang w:val="fr-FR"/>
        </w:rPr>
        <w:t xml:space="preserve"> </w:t>
      </w:r>
      <w:r w:rsidR="00D77D64" w:rsidRPr="00F31C71">
        <w:rPr>
          <w:lang w:val="fr-FR"/>
        </w:rPr>
        <w:t xml:space="preserve">32 </w:t>
      </w:r>
      <w:r w:rsidR="005F3215" w:rsidRPr="00F31C71">
        <w:rPr>
          <w:lang w:val="fr-FR"/>
        </w:rPr>
        <w:t xml:space="preserve">des </w:t>
      </w:r>
      <w:r w:rsidR="00D77D64" w:rsidRPr="00F31C71">
        <w:rPr>
          <w:lang w:val="fr-FR"/>
        </w:rPr>
        <w:t xml:space="preserve">50 </w:t>
      </w:r>
      <w:r>
        <w:rPr>
          <w:lang w:val="fr-FR"/>
        </w:rPr>
        <w:t>places</w:t>
      </w:r>
      <w:r w:rsidRPr="00F31C71">
        <w:rPr>
          <w:lang w:val="fr-FR"/>
        </w:rPr>
        <w:t xml:space="preserve"> </w:t>
      </w:r>
      <w:r>
        <w:rPr>
          <w:lang w:val="fr-FR"/>
        </w:rPr>
        <w:t>vacantes</w:t>
      </w:r>
      <w:r w:rsidR="00D77D64" w:rsidRPr="00F31C71">
        <w:rPr>
          <w:lang w:val="fr-FR"/>
        </w:rPr>
        <w:t>.</w:t>
      </w:r>
    </w:p>
    <w:p w:rsidR="0057439C" w:rsidRPr="00F31C71" w:rsidRDefault="00371D4A" w:rsidP="001E5521">
      <w:pPr>
        <w:pStyle w:val="COMParabodytext"/>
        <w:rPr>
          <w:lang w:val="fr-FR"/>
        </w:rPr>
      </w:pPr>
      <w:r w:rsidRPr="00F31C71">
        <w:rPr>
          <w:lang w:val="fr-FR"/>
        </w:rPr>
        <w:t>La priorité</w:t>
      </w:r>
      <w:r w:rsidR="00D77D64" w:rsidRPr="00F31C71">
        <w:rPr>
          <w:lang w:val="fr-FR"/>
        </w:rPr>
        <w:t xml:space="preserve"> (iii) a</w:t>
      </w:r>
      <w:r w:rsidRPr="00F31C71">
        <w:rPr>
          <w:lang w:val="fr-FR"/>
        </w:rPr>
        <w:t xml:space="preserve"> été ensuite </w:t>
      </w:r>
      <w:r w:rsidR="00124225">
        <w:rPr>
          <w:lang w:val="fr-FR"/>
        </w:rPr>
        <w:t>accordée</w:t>
      </w:r>
      <w:r w:rsidR="00124225" w:rsidRPr="00F31C71">
        <w:rPr>
          <w:lang w:val="fr-FR"/>
        </w:rPr>
        <w:t xml:space="preserve"> </w:t>
      </w:r>
      <w:r w:rsidRPr="00F31C71">
        <w:rPr>
          <w:lang w:val="fr-FR"/>
        </w:rPr>
        <w:t xml:space="preserve">aux dossiers restants, </w:t>
      </w:r>
      <w:r w:rsidR="00124225">
        <w:rPr>
          <w:lang w:val="fr-FR"/>
        </w:rPr>
        <w:t>dans</w:t>
      </w:r>
      <w:r w:rsidR="00124225" w:rsidRPr="00F31C71">
        <w:rPr>
          <w:lang w:val="fr-FR"/>
        </w:rPr>
        <w:t xml:space="preserve"> </w:t>
      </w:r>
      <w:r w:rsidR="00124225">
        <w:rPr>
          <w:lang w:val="fr-FR"/>
        </w:rPr>
        <w:t>l’</w:t>
      </w:r>
      <w:r w:rsidRPr="00F31C71">
        <w:rPr>
          <w:lang w:val="fr-FR"/>
        </w:rPr>
        <w:t xml:space="preserve">ordre croissant du nombre d’éléments </w:t>
      </w:r>
      <w:r w:rsidR="00124225">
        <w:rPr>
          <w:lang w:val="fr-FR"/>
        </w:rPr>
        <w:t>précédemment</w:t>
      </w:r>
      <w:r w:rsidR="00124225" w:rsidRPr="00F31C71">
        <w:rPr>
          <w:lang w:val="fr-FR"/>
        </w:rPr>
        <w:t xml:space="preserve"> </w:t>
      </w:r>
      <w:r w:rsidRPr="00F31C71">
        <w:rPr>
          <w:lang w:val="fr-FR"/>
        </w:rPr>
        <w:t>inscrits, de</w:t>
      </w:r>
      <w:r w:rsidR="00124225">
        <w:rPr>
          <w:lang w:val="fr-FR"/>
        </w:rPr>
        <w:t>s</w:t>
      </w:r>
      <w:r w:rsidRPr="00F31C71">
        <w:rPr>
          <w:lang w:val="fr-FR"/>
        </w:rPr>
        <w:t xml:space="preserve"> meilleures pratiques de sauvegarde sélectionnées ou de</w:t>
      </w:r>
      <w:r w:rsidR="00124225">
        <w:rPr>
          <w:lang w:val="fr-FR"/>
        </w:rPr>
        <w:t>s</w:t>
      </w:r>
      <w:r w:rsidRPr="00F31C71">
        <w:rPr>
          <w:lang w:val="fr-FR"/>
        </w:rPr>
        <w:t xml:space="preserve"> demandes d’assistance internationale accordées </w:t>
      </w:r>
      <w:r w:rsidR="00124225">
        <w:rPr>
          <w:lang w:val="fr-FR"/>
        </w:rPr>
        <w:t>en comparaison</w:t>
      </w:r>
      <w:r w:rsidR="00124225" w:rsidRPr="00F31C71">
        <w:rPr>
          <w:lang w:val="fr-FR"/>
        </w:rPr>
        <w:t xml:space="preserve"> </w:t>
      </w:r>
      <w:r w:rsidR="00124225">
        <w:rPr>
          <w:lang w:val="fr-FR"/>
        </w:rPr>
        <w:t xml:space="preserve">avec les </w:t>
      </w:r>
      <w:r w:rsidRPr="00F31C71">
        <w:rPr>
          <w:lang w:val="fr-FR"/>
        </w:rPr>
        <w:t xml:space="preserve">autres </w:t>
      </w:r>
      <w:r w:rsidR="00F31C71" w:rsidRPr="00F31C71">
        <w:rPr>
          <w:lang w:val="fr-FR"/>
        </w:rPr>
        <w:t>États</w:t>
      </w:r>
      <w:r w:rsidRPr="00F31C71">
        <w:rPr>
          <w:lang w:val="fr-FR"/>
        </w:rPr>
        <w:t xml:space="preserve"> </w:t>
      </w:r>
      <w:r w:rsidR="00EA1EFE" w:rsidRPr="00F31C71">
        <w:rPr>
          <w:lang w:val="fr-FR"/>
        </w:rPr>
        <w:t>ayant soumis des dossiers</w:t>
      </w:r>
      <w:r w:rsidRPr="00F31C71">
        <w:rPr>
          <w:lang w:val="fr-FR"/>
        </w:rPr>
        <w:t xml:space="preserve"> </w:t>
      </w:r>
      <w:r w:rsidR="00124225">
        <w:rPr>
          <w:lang w:val="fr-FR"/>
        </w:rPr>
        <w:t>au cours</w:t>
      </w:r>
      <w:r w:rsidR="00124225" w:rsidRPr="00F31C71">
        <w:rPr>
          <w:lang w:val="fr-FR"/>
        </w:rPr>
        <w:t xml:space="preserve"> </w:t>
      </w:r>
      <w:r w:rsidR="00124225">
        <w:rPr>
          <w:lang w:val="fr-FR"/>
        </w:rPr>
        <w:t>du</w:t>
      </w:r>
      <w:r w:rsidR="00124225" w:rsidRPr="00F31C71">
        <w:rPr>
          <w:lang w:val="fr-FR"/>
        </w:rPr>
        <w:t xml:space="preserve"> </w:t>
      </w:r>
      <w:r w:rsidRPr="00F31C71">
        <w:rPr>
          <w:lang w:val="fr-FR"/>
        </w:rPr>
        <w:t>même cycle</w:t>
      </w:r>
      <w:r w:rsidR="00D77D64" w:rsidRPr="00F31C71">
        <w:rPr>
          <w:lang w:val="fr-FR"/>
        </w:rPr>
        <w:t xml:space="preserve">. </w:t>
      </w:r>
      <w:r w:rsidRPr="00F31C71">
        <w:rPr>
          <w:lang w:val="fr-FR"/>
        </w:rPr>
        <w:t xml:space="preserve">Conformément à la </w:t>
      </w:r>
      <w:r w:rsidRPr="00F31C71">
        <w:rPr>
          <w:lang w:val="fr-FR"/>
        </w:rPr>
        <w:lastRenderedPageBreak/>
        <w:t>dé</w:t>
      </w:r>
      <w:r w:rsidR="00D77D64" w:rsidRPr="00F31C71">
        <w:rPr>
          <w:lang w:val="fr-FR"/>
        </w:rPr>
        <w:t>cision 9.COM 12 (</w:t>
      </w:r>
      <w:r w:rsidR="00261D77" w:rsidRPr="00F31C71">
        <w:rPr>
          <w:lang w:val="fr-FR"/>
        </w:rPr>
        <w:t>« le Secrétariat pourra exercer une certaine flexibilité, si cela permet une plus grande équité entre les États soumissionnaires ayant le même niveau de priorité en vertu du paragraphe</w:t>
      </w:r>
      <w:r w:rsidR="00261D77" w:rsidRPr="00F31C71" w:rsidDel="00EC456E">
        <w:rPr>
          <w:lang w:val="fr-FR"/>
        </w:rPr>
        <w:t xml:space="preserve"> </w:t>
      </w:r>
      <w:r w:rsidR="00261D77" w:rsidRPr="00F31C71">
        <w:rPr>
          <w:lang w:val="fr-FR"/>
        </w:rPr>
        <w:t>34 des Directives opérationnelles »</w:t>
      </w:r>
      <w:r w:rsidR="00D77D64" w:rsidRPr="00F31C71">
        <w:rPr>
          <w:lang w:val="fr-FR"/>
        </w:rPr>
        <w:t xml:space="preserve">), </w:t>
      </w:r>
      <w:r w:rsidR="00261D77" w:rsidRPr="00F31C71">
        <w:rPr>
          <w:lang w:val="fr-FR"/>
        </w:rPr>
        <w:t>l</w:t>
      </w:r>
      <w:r w:rsidR="00D77D64" w:rsidRPr="00F31C71">
        <w:rPr>
          <w:lang w:val="fr-FR"/>
        </w:rPr>
        <w:t>e Secr</w:t>
      </w:r>
      <w:r w:rsidR="00261D77" w:rsidRPr="00F31C71">
        <w:rPr>
          <w:lang w:val="fr-FR"/>
        </w:rPr>
        <w:t>é</w:t>
      </w:r>
      <w:r w:rsidR="00D77D64" w:rsidRPr="00F31C71">
        <w:rPr>
          <w:lang w:val="fr-FR"/>
        </w:rPr>
        <w:t xml:space="preserve">tariat </w:t>
      </w:r>
      <w:r w:rsidR="00261D77" w:rsidRPr="00F31C71">
        <w:rPr>
          <w:lang w:val="fr-FR"/>
        </w:rPr>
        <w:t xml:space="preserve">a inclus un lot de </w:t>
      </w:r>
      <w:r w:rsidR="00D77D64" w:rsidRPr="00F31C71">
        <w:rPr>
          <w:lang w:val="fr-FR"/>
        </w:rPr>
        <w:t xml:space="preserve">6 </w:t>
      </w:r>
      <w:r w:rsidR="00261D77" w:rsidRPr="00F31C71">
        <w:rPr>
          <w:lang w:val="fr-FR"/>
        </w:rPr>
        <w:t>dossiers ayant le même niveau de priorité</w:t>
      </w:r>
      <w:r w:rsidR="00D77D64" w:rsidRPr="00F31C71">
        <w:rPr>
          <w:lang w:val="fr-FR"/>
        </w:rPr>
        <w:t xml:space="preserve"> (tr</w:t>
      </w:r>
      <w:r w:rsidR="00261D77" w:rsidRPr="00F31C71">
        <w:rPr>
          <w:lang w:val="fr-FR"/>
        </w:rPr>
        <w:t>ois dossiers déjà inscrits, sélectionnés ou approuvés</w:t>
      </w:r>
      <w:r w:rsidR="00D77D64" w:rsidRPr="00F31C71">
        <w:rPr>
          <w:lang w:val="fr-FR"/>
        </w:rPr>
        <w:t xml:space="preserve">) </w:t>
      </w:r>
      <w:r w:rsidR="00261D77" w:rsidRPr="00F31C71">
        <w:rPr>
          <w:lang w:val="fr-FR"/>
        </w:rPr>
        <w:t xml:space="preserve">et a traité </w:t>
      </w:r>
      <w:r w:rsidR="00EA1EFE" w:rsidRPr="00F31C71">
        <w:rPr>
          <w:lang w:val="fr-FR"/>
        </w:rPr>
        <w:t xml:space="preserve">au total </w:t>
      </w:r>
      <w:r w:rsidR="00D77D64" w:rsidRPr="00F31C71">
        <w:rPr>
          <w:lang w:val="fr-FR"/>
        </w:rPr>
        <w:t xml:space="preserve">51 </w:t>
      </w:r>
      <w:r w:rsidR="00261D77" w:rsidRPr="00F31C71">
        <w:rPr>
          <w:lang w:val="fr-FR"/>
        </w:rPr>
        <w:t>dossiers</w:t>
      </w:r>
      <w:r w:rsidR="00EA1EFE" w:rsidRPr="00F31C71">
        <w:rPr>
          <w:lang w:val="fr-FR"/>
        </w:rPr>
        <w:t xml:space="preserve"> pour le cycle 2016</w:t>
      </w:r>
      <w:r w:rsidR="00D77D64" w:rsidRPr="00F31C71">
        <w:rPr>
          <w:lang w:val="fr-FR"/>
        </w:rPr>
        <w:t>, s</w:t>
      </w:r>
      <w:r w:rsidR="00261D77" w:rsidRPr="00F31C71">
        <w:rPr>
          <w:lang w:val="fr-FR"/>
        </w:rPr>
        <w:t>o</w:t>
      </w:r>
      <w:r w:rsidR="00D77D64" w:rsidRPr="00F31C71">
        <w:rPr>
          <w:lang w:val="fr-FR"/>
        </w:rPr>
        <w:t>umi</w:t>
      </w:r>
      <w:r w:rsidR="00261D77" w:rsidRPr="00F31C71">
        <w:rPr>
          <w:lang w:val="fr-FR"/>
        </w:rPr>
        <w:t xml:space="preserve">s par </w:t>
      </w:r>
      <w:r w:rsidR="00D77D64" w:rsidRPr="00F31C71">
        <w:rPr>
          <w:lang w:val="fr-FR"/>
        </w:rPr>
        <w:t xml:space="preserve">62 </w:t>
      </w:r>
      <w:r w:rsidR="00F31C71" w:rsidRPr="00F31C71">
        <w:rPr>
          <w:lang w:val="fr-FR"/>
        </w:rPr>
        <w:t>États</w:t>
      </w:r>
      <w:r w:rsidR="00261D77" w:rsidRPr="00F31C71">
        <w:rPr>
          <w:lang w:val="fr-FR"/>
        </w:rPr>
        <w:t xml:space="preserve"> parties</w:t>
      </w:r>
      <w:r w:rsidR="00D77D64" w:rsidRPr="00F31C71">
        <w:rPr>
          <w:lang w:val="fr-FR"/>
        </w:rPr>
        <w:t>.</w:t>
      </w:r>
    </w:p>
    <w:p w:rsidR="00D77D64" w:rsidRPr="00F31C71" w:rsidRDefault="00CC21DA" w:rsidP="001E5521">
      <w:pPr>
        <w:pStyle w:val="COMParabodytext"/>
        <w:rPr>
          <w:lang w:val="fr-FR"/>
        </w:rPr>
      </w:pPr>
      <w:r w:rsidRPr="00F31C71">
        <w:rPr>
          <w:lang w:val="fr-FR"/>
        </w:rPr>
        <w:t xml:space="preserve">Les autres </w:t>
      </w:r>
      <w:r w:rsidR="00F31C71" w:rsidRPr="00F31C71">
        <w:rPr>
          <w:lang w:val="fr-FR"/>
        </w:rPr>
        <w:t>États</w:t>
      </w:r>
      <w:r w:rsidRPr="00F31C71">
        <w:rPr>
          <w:lang w:val="fr-FR"/>
        </w:rPr>
        <w:t xml:space="preserve"> ayant au moins quatre inscriptions, sélections ou approbations </w:t>
      </w:r>
      <w:r w:rsidR="00124225">
        <w:rPr>
          <w:lang w:val="fr-FR"/>
        </w:rPr>
        <w:t>préalables</w:t>
      </w:r>
      <w:r w:rsidR="00124225" w:rsidRPr="00F31C71">
        <w:rPr>
          <w:lang w:val="fr-FR"/>
        </w:rPr>
        <w:t xml:space="preserve"> </w:t>
      </w:r>
      <w:r w:rsidRPr="00F31C71">
        <w:rPr>
          <w:lang w:val="fr-FR"/>
        </w:rPr>
        <w:t>n’ont</w:t>
      </w:r>
      <w:r w:rsidR="00B947EF" w:rsidRPr="00F31C71">
        <w:rPr>
          <w:lang w:val="fr-FR"/>
        </w:rPr>
        <w:t xml:space="preserve"> </w:t>
      </w:r>
      <w:r w:rsidRPr="00F31C71">
        <w:rPr>
          <w:lang w:val="fr-FR"/>
        </w:rPr>
        <w:t xml:space="preserve">par conséquent pas pu être traités pour le cycle </w:t>
      </w:r>
      <w:r w:rsidR="00D77D64" w:rsidRPr="00F31C71">
        <w:rPr>
          <w:lang w:val="fr-FR"/>
        </w:rPr>
        <w:t xml:space="preserve">2016. </w:t>
      </w:r>
      <w:r w:rsidRPr="00F31C71">
        <w:rPr>
          <w:lang w:val="fr-FR"/>
        </w:rPr>
        <w:t>La dé</w:t>
      </w:r>
      <w:r w:rsidR="00D77D64" w:rsidRPr="00F31C71">
        <w:rPr>
          <w:lang w:val="fr-FR"/>
        </w:rPr>
        <w:t xml:space="preserve">cision 9.COM 12, </w:t>
      </w:r>
      <w:r w:rsidRPr="00F31C71">
        <w:rPr>
          <w:lang w:val="fr-FR"/>
        </w:rPr>
        <w:t xml:space="preserve">comme </w:t>
      </w:r>
      <w:r w:rsidR="007D064F">
        <w:rPr>
          <w:lang w:val="fr-FR"/>
        </w:rPr>
        <w:t>déjà</w:t>
      </w:r>
      <w:r w:rsidR="007D064F" w:rsidRPr="00F31C71">
        <w:rPr>
          <w:lang w:val="fr-FR"/>
        </w:rPr>
        <w:t xml:space="preserve"> mentionné</w:t>
      </w:r>
      <w:r w:rsidRPr="00F31C71">
        <w:rPr>
          <w:lang w:val="fr-FR"/>
        </w:rPr>
        <w:t xml:space="preserve"> plus haut, indique </w:t>
      </w:r>
      <w:r w:rsidR="00D23EA2" w:rsidRPr="00F31C71">
        <w:rPr>
          <w:lang w:val="fr-FR"/>
        </w:rPr>
        <w:t>« qu’au moins un dossier par État soumissionnaire doit être traité au cours de la période de deux ans 2016-2017 »</w:t>
      </w:r>
      <w:r w:rsidR="00D77D64" w:rsidRPr="00F31C71">
        <w:rPr>
          <w:lang w:val="fr-FR"/>
        </w:rPr>
        <w:t xml:space="preserve">. </w:t>
      </w:r>
      <w:r w:rsidR="00D23EA2" w:rsidRPr="00F31C71">
        <w:rPr>
          <w:lang w:val="fr-FR"/>
        </w:rPr>
        <w:t xml:space="preserve">Ces </w:t>
      </w:r>
      <w:r w:rsidR="00D77D64" w:rsidRPr="00F31C71">
        <w:rPr>
          <w:lang w:val="fr-FR"/>
        </w:rPr>
        <w:t xml:space="preserve">12 </w:t>
      </w:r>
      <w:r w:rsidR="00F31C71" w:rsidRPr="00F31C71">
        <w:rPr>
          <w:lang w:val="fr-FR"/>
        </w:rPr>
        <w:t>États</w:t>
      </w:r>
      <w:r w:rsidR="00D23EA2" w:rsidRPr="00F31C71">
        <w:rPr>
          <w:lang w:val="fr-FR"/>
        </w:rPr>
        <w:t xml:space="preserve"> ont donc été informés que leurs dossiers seraient considérés comme prioritaires </w:t>
      </w:r>
      <w:r w:rsidR="0047556A">
        <w:rPr>
          <w:lang w:val="fr-FR"/>
        </w:rPr>
        <w:t>pour le</w:t>
      </w:r>
      <w:r w:rsidR="00D23EA2" w:rsidRPr="00F31C71">
        <w:rPr>
          <w:lang w:val="fr-FR"/>
        </w:rPr>
        <w:t xml:space="preserve"> cycle </w:t>
      </w:r>
      <w:r w:rsidR="00D77D64" w:rsidRPr="00F31C71">
        <w:rPr>
          <w:lang w:val="fr-FR"/>
        </w:rPr>
        <w:t>2017</w:t>
      </w:r>
      <w:r w:rsidR="0080362D" w:rsidRPr="00F31C71">
        <w:rPr>
          <w:lang w:val="fr-FR"/>
        </w:rPr>
        <w:t>.</w:t>
      </w:r>
    </w:p>
    <w:p w:rsidR="0080362D" w:rsidRPr="00F31C71" w:rsidRDefault="0080362D" w:rsidP="001E5521">
      <w:pPr>
        <w:pStyle w:val="COMParabodytext"/>
        <w:numPr>
          <w:ilvl w:val="0"/>
          <w:numId w:val="0"/>
        </w:numPr>
        <w:rPr>
          <w:lang w:val="fr-FR"/>
        </w:rPr>
      </w:pPr>
      <w:r w:rsidRPr="00F31C71">
        <w:rPr>
          <w:b/>
          <w:bCs/>
          <w:lang w:val="fr-FR"/>
        </w:rPr>
        <w:t>N</w:t>
      </w:r>
      <w:r w:rsidR="00D23EA2" w:rsidRPr="00F31C71">
        <w:rPr>
          <w:b/>
          <w:bCs/>
          <w:lang w:val="fr-FR"/>
        </w:rPr>
        <w:t>omb</w:t>
      </w:r>
      <w:r w:rsidRPr="00F31C71">
        <w:rPr>
          <w:b/>
          <w:bCs/>
          <w:lang w:val="fr-FR"/>
        </w:rPr>
        <w:t>r</w:t>
      </w:r>
      <w:r w:rsidR="00D23EA2" w:rsidRPr="00F31C71">
        <w:rPr>
          <w:b/>
          <w:bCs/>
          <w:lang w:val="fr-FR"/>
        </w:rPr>
        <w:t>e</w:t>
      </w:r>
      <w:r w:rsidRPr="00F31C71">
        <w:rPr>
          <w:b/>
          <w:bCs/>
          <w:lang w:val="fr-FR"/>
        </w:rPr>
        <w:t xml:space="preserve"> </w:t>
      </w:r>
      <w:r w:rsidR="00D23EA2" w:rsidRPr="00F31C71">
        <w:rPr>
          <w:b/>
          <w:bCs/>
          <w:lang w:val="fr-FR"/>
        </w:rPr>
        <w:t xml:space="preserve">de dossiers pour les cycles </w:t>
      </w:r>
      <w:r w:rsidRPr="00F31C71">
        <w:rPr>
          <w:b/>
          <w:bCs/>
          <w:lang w:val="fr-FR"/>
        </w:rPr>
        <w:t xml:space="preserve">2017 </w:t>
      </w:r>
      <w:r w:rsidR="00D23EA2" w:rsidRPr="00F31C71">
        <w:rPr>
          <w:b/>
          <w:bCs/>
          <w:lang w:val="fr-FR"/>
        </w:rPr>
        <w:t>et</w:t>
      </w:r>
      <w:r w:rsidRPr="00F31C71">
        <w:rPr>
          <w:b/>
          <w:bCs/>
          <w:lang w:val="fr-FR"/>
        </w:rPr>
        <w:t xml:space="preserve"> 2018</w:t>
      </w:r>
    </w:p>
    <w:p w:rsidR="0080362D" w:rsidRPr="00F31C71" w:rsidRDefault="00646B8D" w:rsidP="001E5521">
      <w:pPr>
        <w:pStyle w:val="COMParabodytext"/>
        <w:rPr>
          <w:lang w:val="fr-FR"/>
        </w:rPr>
      </w:pPr>
      <w:r w:rsidRPr="00F31C71">
        <w:rPr>
          <w:lang w:val="fr-FR"/>
        </w:rPr>
        <w:t xml:space="preserve">Comme </w:t>
      </w:r>
      <w:r w:rsidR="0047556A">
        <w:rPr>
          <w:lang w:val="fr-FR"/>
        </w:rPr>
        <w:t>c’était</w:t>
      </w:r>
      <w:r w:rsidRPr="00F31C71">
        <w:rPr>
          <w:lang w:val="fr-FR"/>
        </w:rPr>
        <w:t xml:space="preserve"> le cas </w:t>
      </w:r>
      <w:r w:rsidR="0047556A">
        <w:rPr>
          <w:lang w:val="fr-FR"/>
        </w:rPr>
        <w:t>dans</w:t>
      </w:r>
      <w:r w:rsidR="0047556A" w:rsidRPr="00F31C71">
        <w:rPr>
          <w:lang w:val="fr-FR"/>
        </w:rPr>
        <w:t xml:space="preserve"> </w:t>
      </w:r>
      <w:r w:rsidR="0047556A">
        <w:rPr>
          <w:lang w:val="fr-FR"/>
        </w:rPr>
        <w:t>l</w:t>
      </w:r>
      <w:r w:rsidRPr="00F31C71">
        <w:rPr>
          <w:lang w:val="fr-FR"/>
        </w:rPr>
        <w:t>es cycles précédents</w:t>
      </w:r>
      <w:r w:rsidR="0080362D" w:rsidRPr="00F31C71">
        <w:rPr>
          <w:lang w:val="fr-FR"/>
        </w:rPr>
        <w:t xml:space="preserve">, </w:t>
      </w:r>
      <w:r w:rsidRPr="00F31C71">
        <w:rPr>
          <w:lang w:val="fr-FR"/>
        </w:rPr>
        <w:t>l</w:t>
      </w:r>
      <w:r w:rsidR="0080362D" w:rsidRPr="00F31C71">
        <w:rPr>
          <w:lang w:val="fr-FR"/>
        </w:rPr>
        <w:t>e Comit</w:t>
      </w:r>
      <w:r w:rsidRPr="00F31C71">
        <w:rPr>
          <w:lang w:val="fr-FR"/>
        </w:rPr>
        <w:t>é</w:t>
      </w:r>
      <w:r w:rsidR="0080362D" w:rsidRPr="00F31C71">
        <w:rPr>
          <w:lang w:val="fr-FR"/>
        </w:rPr>
        <w:t xml:space="preserve"> </w:t>
      </w:r>
      <w:r w:rsidR="00B944C7" w:rsidRPr="00F31C71">
        <w:rPr>
          <w:lang w:val="fr-FR"/>
        </w:rPr>
        <w:t xml:space="preserve">ne peut prévoir la répartition des dossiers entre les deux listes, le registre des meilleures pratiques de sauvegarde et l’assistance internationale </w:t>
      </w:r>
      <w:r w:rsidR="0047556A">
        <w:rPr>
          <w:lang w:val="fr-FR"/>
        </w:rPr>
        <w:t>pour l</w:t>
      </w:r>
      <w:r w:rsidR="00B944C7" w:rsidRPr="00F31C71">
        <w:rPr>
          <w:lang w:val="fr-FR"/>
        </w:rPr>
        <w:t>es</w:t>
      </w:r>
      <w:r w:rsidR="0080362D" w:rsidRPr="00F31C71">
        <w:rPr>
          <w:lang w:val="fr-FR"/>
        </w:rPr>
        <w:t xml:space="preserve"> cycles </w:t>
      </w:r>
      <w:r w:rsidR="00B944C7" w:rsidRPr="00F31C71">
        <w:rPr>
          <w:lang w:val="fr-FR"/>
        </w:rPr>
        <w:t xml:space="preserve">postérieurs à </w:t>
      </w:r>
      <w:r w:rsidR="0080362D" w:rsidRPr="00F31C71">
        <w:rPr>
          <w:lang w:val="fr-FR"/>
        </w:rPr>
        <w:t>2016. I</w:t>
      </w:r>
      <w:r w:rsidR="00B944C7" w:rsidRPr="00F31C71">
        <w:rPr>
          <w:lang w:val="fr-FR"/>
        </w:rPr>
        <w:t xml:space="preserve">l </w:t>
      </w:r>
      <w:r w:rsidR="0047556A">
        <w:rPr>
          <w:lang w:val="fr-FR"/>
        </w:rPr>
        <w:t>est donc</w:t>
      </w:r>
      <w:r w:rsidR="0047556A" w:rsidRPr="00F31C71">
        <w:rPr>
          <w:lang w:val="fr-FR"/>
        </w:rPr>
        <w:t xml:space="preserve"> </w:t>
      </w:r>
      <w:r w:rsidR="0047556A">
        <w:rPr>
          <w:lang w:val="fr-FR"/>
        </w:rPr>
        <w:t>appelé à</w:t>
      </w:r>
      <w:r w:rsidR="00BA55C6">
        <w:rPr>
          <w:lang w:val="fr-FR"/>
        </w:rPr>
        <w:t xml:space="preserve"> </w:t>
      </w:r>
      <w:r w:rsidR="00B944C7" w:rsidRPr="00F31C71">
        <w:rPr>
          <w:lang w:val="fr-FR"/>
        </w:rPr>
        <w:t xml:space="preserve">confirmer </w:t>
      </w:r>
      <w:r w:rsidR="0047556A">
        <w:rPr>
          <w:lang w:val="fr-FR"/>
        </w:rPr>
        <w:t>un</w:t>
      </w:r>
      <w:r w:rsidR="00B944C7" w:rsidRPr="00F31C71">
        <w:rPr>
          <w:lang w:val="fr-FR"/>
        </w:rPr>
        <w:t xml:space="preserve"> nombre global de dossiers à traiter</w:t>
      </w:r>
      <w:r w:rsidR="0080362D" w:rsidRPr="00F31C71">
        <w:rPr>
          <w:lang w:val="fr-FR"/>
        </w:rPr>
        <w:t>. I</w:t>
      </w:r>
      <w:r w:rsidR="00B944C7" w:rsidRPr="00F31C71">
        <w:rPr>
          <w:lang w:val="fr-FR"/>
        </w:rPr>
        <w:t xml:space="preserve">l </w:t>
      </w:r>
      <w:r w:rsidR="00B947EF" w:rsidRPr="00F31C71">
        <w:rPr>
          <w:lang w:val="fr-FR"/>
        </w:rPr>
        <w:t>souhaitera peut-être</w:t>
      </w:r>
      <w:r w:rsidR="00B944C7" w:rsidRPr="00F31C71">
        <w:rPr>
          <w:lang w:val="fr-FR"/>
        </w:rPr>
        <w:t xml:space="preserve"> également </w:t>
      </w:r>
      <w:r w:rsidR="0047556A">
        <w:rPr>
          <w:lang w:val="fr-FR"/>
        </w:rPr>
        <w:t>tenir</w:t>
      </w:r>
      <w:r w:rsidR="00B944C7" w:rsidRPr="00F31C71">
        <w:rPr>
          <w:lang w:val="fr-FR"/>
        </w:rPr>
        <w:t xml:space="preserve"> compte </w:t>
      </w:r>
      <w:r w:rsidR="0047556A">
        <w:rPr>
          <w:lang w:val="fr-FR"/>
        </w:rPr>
        <w:t>du</w:t>
      </w:r>
      <w:r w:rsidR="00B944C7" w:rsidRPr="00F31C71">
        <w:rPr>
          <w:lang w:val="fr-FR"/>
        </w:rPr>
        <w:t xml:space="preserve"> nombre </w:t>
      </w:r>
      <w:r w:rsidR="0047556A">
        <w:rPr>
          <w:lang w:val="fr-FR"/>
        </w:rPr>
        <w:t>prévisionnel</w:t>
      </w:r>
      <w:r w:rsidR="0047556A" w:rsidRPr="00F31C71">
        <w:rPr>
          <w:lang w:val="fr-FR"/>
        </w:rPr>
        <w:t xml:space="preserve"> </w:t>
      </w:r>
      <w:r w:rsidR="00B944C7" w:rsidRPr="00F31C71">
        <w:rPr>
          <w:lang w:val="fr-FR"/>
        </w:rPr>
        <w:t>de dossiers qu’il examinera chaque année pour d’autres processus</w:t>
      </w:r>
      <w:r w:rsidR="0080362D" w:rsidRPr="00F31C71">
        <w:rPr>
          <w:lang w:val="fr-FR"/>
        </w:rPr>
        <w:t xml:space="preserve">, </w:t>
      </w:r>
      <w:r w:rsidR="00B306C6" w:rsidRPr="00F31C71">
        <w:rPr>
          <w:lang w:val="fr-FR"/>
        </w:rPr>
        <w:t xml:space="preserve">tels que les rapports périodiques des </w:t>
      </w:r>
      <w:r w:rsidR="00F31C71" w:rsidRPr="00F31C71">
        <w:rPr>
          <w:lang w:val="fr-FR"/>
        </w:rPr>
        <w:t>États</w:t>
      </w:r>
      <w:r w:rsidR="00B306C6" w:rsidRPr="00F31C71">
        <w:rPr>
          <w:lang w:val="fr-FR"/>
        </w:rPr>
        <w:t xml:space="preserve"> parties sur l</w:t>
      </w:r>
      <w:r w:rsidR="0047556A">
        <w:rPr>
          <w:lang w:val="fr-FR"/>
        </w:rPr>
        <w:t>a</w:t>
      </w:r>
      <w:r w:rsidR="00B306C6" w:rsidRPr="00F31C71">
        <w:rPr>
          <w:lang w:val="fr-FR"/>
        </w:rPr>
        <w:t xml:space="preserve"> mise en </w:t>
      </w:r>
      <w:r w:rsidR="00DE0433" w:rsidRPr="00F31C71">
        <w:rPr>
          <w:lang w:val="fr-FR"/>
        </w:rPr>
        <w:t xml:space="preserve">œuvre </w:t>
      </w:r>
      <w:r w:rsidR="00B306C6" w:rsidRPr="00F31C71">
        <w:rPr>
          <w:lang w:val="fr-FR"/>
        </w:rPr>
        <w:t xml:space="preserve">de la </w:t>
      </w:r>
      <w:r w:rsidR="0080362D" w:rsidRPr="00F31C71">
        <w:rPr>
          <w:lang w:val="fr-FR"/>
        </w:rPr>
        <w:t xml:space="preserve">Convention </w:t>
      </w:r>
      <w:r w:rsidR="00B306C6" w:rsidRPr="00F31C71">
        <w:rPr>
          <w:lang w:val="fr-FR"/>
        </w:rPr>
        <w:t xml:space="preserve">et l’état d’éléments inscrits sur la Liste représentative, </w:t>
      </w:r>
      <w:r w:rsidR="0047556A">
        <w:rPr>
          <w:lang w:val="fr-FR"/>
        </w:rPr>
        <w:t>ainsi</w:t>
      </w:r>
      <w:r w:rsidR="00B306C6" w:rsidRPr="00F31C71">
        <w:rPr>
          <w:lang w:val="fr-FR"/>
        </w:rPr>
        <w:t xml:space="preserve"> que leurs rapports périodiques sur l’état d’éléments inscrits sur la Liste de sauvegarde urgente</w:t>
      </w:r>
      <w:r w:rsidR="0080362D" w:rsidRPr="00F31C71">
        <w:rPr>
          <w:lang w:val="fr-FR"/>
        </w:rPr>
        <w:t xml:space="preserve">. </w:t>
      </w:r>
      <w:r w:rsidR="00B306C6" w:rsidRPr="00F31C71">
        <w:rPr>
          <w:lang w:val="fr-FR"/>
        </w:rPr>
        <w:t xml:space="preserve">Cette année, le Comité a commencé à examiner le renouvellement ou le non-renouvellement des relations avec </w:t>
      </w:r>
      <w:r w:rsidR="0080362D" w:rsidRPr="00F31C71">
        <w:rPr>
          <w:lang w:val="fr-FR"/>
        </w:rPr>
        <w:t xml:space="preserve">97 </w:t>
      </w:r>
      <w:r w:rsidR="00B306C6" w:rsidRPr="00F31C71">
        <w:rPr>
          <w:lang w:val="fr-FR"/>
        </w:rPr>
        <w:t xml:space="preserve">organisations </w:t>
      </w:r>
      <w:r w:rsidR="0080362D" w:rsidRPr="00F31C71">
        <w:rPr>
          <w:lang w:val="fr-FR"/>
        </w:rPr>
        <w:t>non</w:t>
      </w:r>
      <w:r w:rsidR="00B306C6" w:rsidRPr="00F31C71">
        <w:rPr>
          <w:lang w:val="fr-FR"/>
        </w:rPr>
        <w:t xml:space="preserve"> </w:t>
      </w:r>
      <w:r w:rsidR="0080362D" w:rsidRPr="00F31C71">
        <w:rPr>
          <w:lang w:val="fr-FR"/>
        </w:rPr>
        <w:t>go</w:t>
      </w:r>
      <w:r w:rsidR="00B306C6" w:rsidRPr="00F31C71">
        <w:rPr>
          <w:lang w:val="fr-FR"/>
        </w:rPr>
        <w:t>u</w:t>
      </w:r>
      <w:r w:rsidR="0080362D" w:rsidRPr="00F31C71">
        <w:rPr>
          <w:lang w:val="fr-FR"/>
        </w:rPr>
        <w:t>vern</w:t>
      </w:r>
      <w:r w:rsidR="00B306C6" w:rsidRPr="00F31C71">
        <w:rPr>
          <w:lang w:val="fr-FR"/>
        </w:rPr>
        <w:t>e</w:t>
      </w:r>
      <w:r w:rsidR="0080362D" w:rsidRPr="00F31C71">
        <w:rPr>
          <w:lang w:val="fr-FR"/>
        </w:rPr>
        <w:t>mental</w:t>
      </w:r>
      <w:r w:rsidR="00B306C6" w:rsidRPr="00F31C71">
        <w:rPr>
          <w:lang w:val="fr-FR"/>
        </w:rPr>
        <w:t xml:space="preserve">es accréditées par l’Assemblée générale en </w:t>
      </w:r>
      <w:r w:rsidR="0080362D" w:rsidRPr="00F31C71">
        <w:rPr>
          <w:lang w:val="fr-FR"/>
        </w:rPr>
        <w:t xml:space="preserve">2010, </w:t>
      </w:r>
      <w:r w:rsidR="00035186" w:rsidRPr="00F31C71">
        <w:rPr>
          <w:lang w:val="fr-FR"/>
        </w:rPr>
        <w:t xml:space="preserve">conformément au </w:t>
      </w:r>
      <w:r w:rsidR="0080362D" w:rsidRPr="00F31C71">
        <w:rPr>
          <w:lang w:val="fr-FR"/>
        </w:rPr>
        <w:t>paragraph</w:t>
      </w:r>
      <w:r w:rsidR="00035186" w:rsidRPr="00F31C71">
        <w:rPr>
          <w:lang w:val="fr-FR"/>
        </w:rPr>
        <w:t>e 94 des</w:t>
      </w:r>
      <w:r w:rsidR="0080362D" w:rsidRPr="00F31C71">
        <w:rPr>
          <w:lang w:val="fr-FR"/>
        </w:rPr>
        <w:t xml:space="preserve"> Directives</w:t>
      </w:r>
      <w:r w:rsidR="00035186" w:rsidRPr="00F31C71">
        <w:rPr>
          <w:lang w:val="fr-FR"/>
        </w:rPr>
        <w:t xml:space="preserve"> opérationnelles</w:t>
      </w:r>
      <w:r w:rsidR="0080362D" w:rsidRPr="00F31C71">
        <w:rPr>
          <w:lang w:val="fr-FR"/>
        </w:rPr>
        <w:t xml:space="preserve">. </w:t>
      </w:r>
      <w:r w:rsidR="00035186" w:rsidRPr="00F31C71">
        <w:rPr>
          <w:lang w:val="fr-FR"/>
        </w:rPr>
        <w:t>E</w:t>
      </w:r>
      <w:r w:rsidR="0080362D" w:rsidRPr="00F31C71">
        <w:rPr>
          <w:lang w:val="fr-FR"/>
        </w:rPr>
        <w:t>n 2017, i</w:t>
      </w:r>
      <w:r w:rsidR="00035186" w:rsidRPr="00F31C71">
        <w:rPr>
          <w:lang w:val="fr-FR"/>
        </w:rPr>
        <w:t xml:space="preserve">l examinera </w:t>
      </w:r>
      <w:r w:rsidR="00B75BE2">
        <w:rPr>
          <w:lang w:val="fr-FR"/>
        </w:rPr>
        <w:t>également</w:t>
      </w:r>
      <w:r w:rsidR="00035186" w:rsidRPr="00F31C71">
        <w:rPr>
          <w:lang w:val="fr-FR"/>
        </w:rPr>
        <w:t xml:space="preserve"> ses relations avec </w:t>
      </w:r>
      <w:r w:rsidR="0080362D" w:rsidRPr="00F31C71">
        <w:rPr>
          <w:lang w:val="fr-FR"/>
        </w:rPr>
        <w:t xml:space="preserve">59 </w:t>
      </w:r>
      <w:r w:rsidR="00035186" w:rsidRPr="00F31C71">
        <w:rPr>
          <w:lang w:val="fr-FR"/>
        </w:rPr>
        <w:t xml:space="preserve">organisations </w:t>
      </w:r>
      <w:r w:rsidR="0080362D" w:rsidRPr="00F31C71">
        <w:rPr>
          <w:lang w:val="fr-FR"/>
        </w:rPr>
        <w:t>non</w:t>
      </w:r>
      <w:r w:rsidR="00035186" w:rsidRPr="00F31C71">
        <w:rPr>
          <w:lang w:val="fr-FR"/>
        </w:rPr>
        <w:t xml:space="preserve"> </w:t>
      </w:r>
      <w:r w:rsidR="0080362D" w:rsidRPr="00F31C71">
        <w:rPr>
          <w:lang w:val="fr-FR"/>
        </w:rPr>
        <w:t>go</w:t>
      </w:r>
      <w:r w:rsidR="00035186" w:rsidRPr="00F31C71">
        <w:rPr>
          <w:lang w:val="fr-FR"/>
        </w:rPr>
        <w:t>u</w:t>
      </w:r>
      <w:r w:rsidR="0080362D" w:rsidRPr="00F31C71">
        <w:rPr>
          <w:lang w:val="fr-FR"/>
        </w:rPr>
        <w:t>vern</w:t>
      </w:r>
      <w:r w:rsidR="00035186" w:rsidRPr="00F31C71">
        <w:rPr>
          <w:lang w:val="fr-FR"/>
        </w:rPr>
        <w:t>e</w:t>
      </w:r>
      <w:r w:rsidR="0080362D" w:rsidRPr="00F31C71">
        <w:rPr>
          <w:lang w:val="fr-FR"/>
        </w:rPr>
        <w:t>mental</w:t>
      </w:r>
      <w:r w:rsidR="00035186" w:rsidRPr="00F31C71">
        <w:rPr>
          <w:lang w:val="fr-FR"/>
        </w:rPr>
        <w:t xml:space="preserve">es accréditées par l’Assemblée générale en </w:t>
      </w:r>
      <w:r w:rsidR="0080362D" w:rsidRPr="00F31C71">
        <w:rPr>
          <w:lang w:val="fr-FR"/>
        </w:rPr>
        <w:t>2012.</w:t>
      </w:r>
    </w:p>
    <w:p w:rsidR="0080362D" w:rsidRPr="00F31C71" w:rsidRDefault="00035186" w:rsidP="001E5521">
      <w:pPr>
        <w:pStyle w:val="COMParabodytext"/>
        <w:rPr>
          <w:rFonts w:eastAsia="SimSun"/>
          <w:lang w:val="fr-FR"/>
        </w:rPr>
      </w:pPr>
      <w:r w:rsidRPr="00F31C71">
        <w:rPr>
          <w:lang w:val="fr-FR"/>
        </w:rPr>
        <w:t>La</w:t>
      </w:r>
      <w:r w:rsidR="0080362D" w:rsidRPr="00F31C71">
        <w:rPr>
          <w:lang w:val="fr-FR"/>
        </w:rPr>
        <w:t xml:space="preserve"> situation </w:t>
      </w:r>
      <w:r w:rsidRPr="00F31C71">
        <w:rPr>
          <w:lang w:val="fr-FR"/>
        </w:rPr>
        <w:t xml:space="preserve">des sessions récentes et </w:t>
      </w:r>
      <w:r w:rsidR="00B75BE2">
        <w:rPr>
          <w:lang w:val="fr-FR"/>
        </w:rPr>
        <w:t>à venir</w:t>
      </w:r>
      <w:r w:rsidR="00B75BE2" w:rsidRPr="00F31C71">
        <w:rPr>
          <w:lang w:val="fr-FR"/>
        </w:rPr>
        <w:t xml:space="preserve"> </w:t>
      </w:r>
      <w:r w:rsidRPr="00F31C71">
        <w:rPr>
          <w:lang w:val="fr-FR"/>
        </w:rPr>
        <w:t xml:space="preserve">peut être résumée </w:t>
      </w:r>
      <w:r w:rsidR="00B75BE2">
        <w:rPr>
          <w:lang w:val="fr-FR"/>
        </w:rPr>
        <w:t>de la manière suivante</w:t>
      </w:r>
      <w:r w:rsidR="0080362D" w:rsidRPr="00F31C71">
        <w:rPr>
          <w:rStyle w:val="FootnoteReference"/>
          <w:lang w:val="fr-FR"/>
        </w:rPr>
        <w:footnoteReference w:id="2"/>
      </w:r>
      <w:r w:rsidRPr="00F31C71">
        <w:rPr>
          <w:lang w:val="fr-FR"/>
        </w:rPr>
        <w:t> </w:t>
      </w:r>
      <w:r w:rsidR="0080362D" w:rsidRPr="00F31C71">
        <w:rPr>
          <w:lang w:val="fr-FR"/>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934"/>
        <w:gridCol w:w="935"/>
        <w:gridCol w:w="935"/>
        <w:gridCol w:w="935"/>
        <w:gridCol w:w="934"/>
        <w:gridCol w:w="935"/>
        <w:gridCol w:w="935"/>
        <w:gridCol w:w="935"/>
      </w:tblGrid>
      <w:tr w:rsidR="00393517" w:rsidRPr="00F31C71" w:rsidTr="00393517">
        <w:trPr>
          <w:cantSplit/>
          <w:tblHeader/>
        </w:trPr>
        <w:tc>
          <w:tcPr>
            <w:tcW w:w="1701" w:type="dxa"/>
            <w:tcBorders>
              <w:top w:val="single" w:sz="2" w:space="0" w:color="000000"/>
              <w:left w:val="single" w:sz="2" w:space="0" w:color="000000"/>
              <w:bottom w:val="single" w:sz="4" w:space="0" w:color="000000"/>
              <w:right w:val="single" w:sz="4" w:space="0" w:color="000000"/>
            </w:tcBorders>
            <w:shd w:val="clear" w:color="auto" w:fill="D9D9D9"/>
          </w:tcPr>
          <w:p w:rsidR="00393517" w:rsidRPr="00F31C71" w:rsidRDefault="00393517" w:rsidP="00393517">
            <w:pPr>
              <w:tabs>
                <w:tab w:val="left" w:pos="567"/>
              </w:tabs>
              <w:snapToGrid w:val="0"/>
              <w:spacing w:before="120" w:after="120"/>
              <w:rPr>
                <w:rFonts w:ascii="Arial" w:hAnsi="Arial" w:cs="Arial"/>
                <w:b/>
                <w:snapToGrid w:val="0"/>
                <w:sz w:val="20"/>
                <w:szCs w:val="20"/>
                <w:lang w:eastAsia="en-US"/>
              </w:rPr>
            </w:pPr>
          </w:p>
        </w:tc>
        <w:tc>
          <w:tcPr>
            <w:tcW w:w="934" w:type="dxa"/>
            <w:tcBorders>
              <w:top w:val="single" w:sz="2" w:space="0" w:color="000000"/>
              <w:left w:val="single" w:sz="4" w:space="0" w:color="000000"/>
              <w:bottom w:val="single" w:sz="4" w:space="0" w:color="000000"/>
              <w:right w:val="single" w:sz="4" w:space="0" w:color="000000"/>
            </w:tcBorders>
            <w:shd w:val="clear" w:color="auto" w:fill="D9D9D9"/>
            <w:hideMark/>
          </w:tcPr>
          <w:p w:rsidR="00393517" w:rsidRPr="00F31C71" w:rsidRDefault="00393517" w:rsidP="00393517">
            <w:pPr>
              <w:tabs>
                <w:tab w:val="left" w:pos="567"/>
              </w:tabs>
              <w:snapToGrid w:val="0"/>
              <w:spacing w:before="120" w:after="120"/>
              <w:jc w:val="center"/>
              <w:rPr>
                <w:rFonts w:ascii="Arial" w:hAnsi="Arial" w:cs="Arial"/>
                <w:b/>
                <w:snapToGrid w:val="0"/>
                <w:sz w:val="18"/>
                <w:szCs w:val="20"/>
                <w:lang w:eastAsia="en-US"/>
              </w:rPr>
            </w:pPr>
            <w:r w:rsidRPr="00F31C71">
              <w:rPr>
                <w:rFonts w:ascii="Arial" w:hAnsi="Arial" w:cs="Arial"/>
                <w:b/>
                <w:snapToGrid w:val="0"/>
                <w:sz w:val="18"/>
                <w:szCs w:val="20"/>
                <w:lang w:eastAsia="en-US"/>
              </w:rPr>
              <w:t>6.COM (2011)</w:t>
            </w:r>
          </w:p>
        </w:tc>
        <w:tc>
          <w:tcPr>
            <w:tcW w:w="935" w:type="dxa"/>
            <w:tcBorders>
              <w:top w:val="single" w:sz="2" w:space="0" w:color="000000"/>
              <w:left w:val="single" w:sz="4" w:space="0" w:color="000000"/>
              <w:bottom w:val="single" w:sz="4" w:space="0" w:color="000000"/>
              <w:right w:val="single" w:sz="4" w:space="0" w:color="000000"/>
            </w:tcBorders>
            <w:shd w:val="clear" w:color="auto" w:fill="D9D9D9"/>
            <w:hideMark/>
          </w:tcPr>
          <w:p w:rsidR="00393517" w:rsidRPr="00F31C71" w:rsidRDefault="00393517" w:rsidP="00393517">
            <w:pPr>
              <w:tabs>
                <w:tab w:val="left" w:pos="567"/>
              </w:tabs>
              <w:snapToGrid w:val="0"/>
              <w:spacing w:before="120" w:after="120"/>
              <w:jc w:val="center"/>
              <w:rPr>
                <w:rFonts w:ascii="Arial" w:hAnsi="Arial" w:cs="Arial"/>
                <w:b/>
                <w:snapToGrid w:val="0"/>
                <w:sz w:val="18"/>
                <w:szCs w:val="20"/>
                <w:lang w:eastAsia="en-US"/>
              </w:rPr>
            </w:pPr>
            <w:r w:rsidRPr="00F31C71">
              <w:rPr>
                <w:rFonts w:ascii="Arial" w:hAnsi="Arial" w:cs="Arial"/>
                <w:b/>
                <w:snapToGrid w:val="0"/>
                <w:sz w:val="18"/>
                <w:szCs w:val="20"/>
                <w:lang w:eastAsia="en-US"/>
              </w:rPr>
              <w:t>7.COM (2012)</w:t>
            </w:r>
          </w:p>
        </w:tc>
        <w:tc>
          <w:tcPr>
            <w:tcW w:w="935" w:type="dxa"/>
            <w:tcBorders>
              <w:top w:val="single" w:sz="2" w:space="0" w:color="000000"/>
              <w:left w:val="single" w:sz="4" w:space="0" w:color="000000"/>
              <w:bottom w:val="single" w:sz="4" w:space="0" w:color="000000"/>
              <w:right w:val="single" w:sz="4" w:space="0" w:color="000000"/>
            </w:tcBorders>
            <w:shd w:val="clear" w:color="auto" w:fill="D9D9D9"/>
            <w:hideMark/>
          </w:tcPr>
          <w:p w:rsidR="00393517" w:rsidRPr="00F31C71" w:rsidRDefault="00393517" w:rsidP="00393517">
            <w:pPr>
              <w:tabs>
                <w:tab w:val="left" w:pos="567"/>
              </w:tabs>
              <w:snapToGrid w:val="0"/>
              <w:spacing w:before="120" w:after="120"/>
              <w:jc w:val="center"/>
              <w:rPr>
                <w:rFonts w:ascii="Arial" w:hAnsi="Arial" w:cs="Arial"/>
                <w:b/>
                <w:snapToGrid w:val="0"/>
                <w:sz w:val="18"/>
                <w:szCs w:val="20"/>
                <w:lang w:eastAsia="en-US"/>
              </w:rPr>
            </w:pPr>
            <w:r w:rsidRPr="00F31C71">
              <w:rPr>
                <w:rFonts w:ascii="Arial" w:hAnsi="Arial" w:cs="Arial"/>
                <w:b/>
                <w:snapToGrid w:val="0"/>
                <w:sz w:val="18"/>
                <w:szCs w:val="20"/>
                <w:lang w:eastAsia="en-US"/>
              </w:rPr>
              <w:t>8.COM (2013)</w:t>
            </w:r>
          </w:p>
        </w:tc>
        <w:tc>
          <w:tcPr>
            <w:tcW w:w="935" w:type="dxa"/>
            <w:tcBorders>
              <w:top w:val="single" w:sz="2" w:space="0" w:color="000000"/>
              <w:left w:val="single" w:sz="4" w:space="0" w:color="000000"/>
              <w:bottom w:val="single" w:sz="4" w:space="0" w:color="auto"/>
              <w:right w:val="single" w:sz="4" w:space="0" w:color="000000"/>
            </w:tcBorders>
            <w:shd w:val="clear" w:color="auto" w:fill="D9D9D9"/>
            <w:hideMark/>
          </w:tcPr>
          <w:p w:rsidR="00393517" w:rsidRPr="00F31C71" w:rsidRDefault="00393517" w:rsidP="00393517">
            <w:pPr>
              <w:tabs>
                <w:tab w:val="left" w:pos="567"/>
              </w:tabs>
              <w:snapToGrid w:val="0"/>
              <w:spacing w:before="120" w:after="120"/>
              <w:jc w:val="center"/>
              <w:rPr>
                <w:rFonts w:ascii="Arial" w:hAnsi="Arial" w:cs="Arial"/>
                <w:b/>
                <w:snapToGrid w:val="0"/>
                <w:sz w:val="18"/>
                <w:szCs w:val="20"/>
                <w:lang w:eastAsia="en-US"/>
              </w:rPr>
            </w:pPr>
            <w:r w:rsidRPr="00F31C71">
              <w:rPr>
                <w:rFonts w:ascii="Arial" w:hAnsi="Arial" w:cs="Arial"/>
                <w:b/>
                <w:snapToGrid w:val="0"/>
                <w:sz w:val="18"/>
                <w:szCs w:val="20"/>
                <w:lang w:eastAsia="en-US"/>
              </w:rPr>
              <w:t>9.COM (2014)</w:t>
            </w:r>
          </w:p>
        </w:tc>
        <w:tc>
          <w:tcPr>
            <w:tcW w:w="934" w:type="dxa"/>
            <w:tcBorders>
              <w:top w:val="single" w:sz="2" w:space="0" w:color="000000"/>
              <w:left w:val="single" w:sz="4" w:space="0" w:color="000000"/>
              <w:bottom w:val="single" w:sz="4" w:space="0" w:color="auto"/>
              <w:right w:val="single" w:sz="4" w:space="0" w:color="000000"/>
            </w:tcBorders>
            <w:shd w:val="clear" w:color="auto" w:fill="D9D9D9"/>
            <w:hideMark/>
          </w:tcPr>
          <w:p w:rsidR="00393517" w:rsidRPr="00F31C71" w:rsidRDefault="00393517" w:rsidP="00393517">
            <w:pPr>
              <w:tabs>
                <w:tab w:val="left" w:pos="567"/>
              </w:tabs>
              <w:snapToGrid w:val="0"/>
              <w:spacing w:before="120" w:after="120"/>
              <w:jc w:val="center"/>
              <w:rPr>
                <w:rFonts w:ascii="Arial" w:hAnsi="Arial" w:cs="Arial"/>
                <w:b/>
                <w:snapToGrid w:val="0"/>
                <w:sz w:val="18"/>
                <w:szCs w:val="20"/>
                <w:lang w:eastAsia="en-US"/>
              </w:rPr>
            </w:pPr>
            <w:r w:rsidRPr="00F31C71">
              <w:rPr>
                <w:rFonts w:ascii="Arial" w:hAnsi="Arial" w:cs="Arial"/>
                <w:b/>
                <w:snapToGrid w:val="0"/>
                <w:sz w:val="18"/>
                <w:szCs w:val="20"/>
                <w:lang w:eastAsia="en-US"/>
              </w:rPr>
              <w:t>10</w:t>
            </w:r>
            <w:r w:rsidRPr="00F31C71">
              <w:rPr>
                <w:rFonts w:ascii="Arial" w:hAnsi="Arial" w:cs="Arial"/>
                <w:b/>
                <w:sz w:val="18"/>
                <w:szCs w:val="20"/>
              </w:rPr>
              <w:t>.COM</w:t>
            </w:r>
            <w:r w:rsidRPr="00F31C71">
              <w:rPr>
                <w:rFonts w:ascii="Arial" w:hAnsi="Arial" w:cs="Arial"/>
                <w:b/>
                <w:snapToGrid w:val="0"/>
                <w:sz w:val="18"/>
                <w:szCs w:val="20"/>
                <w:lang w:eastAsia="en-US"/>
              </w:rPr>
              <w:t xml:space="preserve"> (2015)</w:t>
            </w:r>
          </w:p>
        </w:tc>
        <w:tc>
          <w:tcPr>
            <w:tcW w:w="935" w:type="dxa"/>
            <w:tcBorders>
              <w:top w:val="single" w:sz="2" w:space="0" w:color="000000"/>
              <w:left w:val="single" w:sz="4" w:space="0" w:color="000000"/>
              <w:bottom w:val="single" w:sz="2" w:space="0" w:color="auto"/>
              <w:right w:val="single" w:sz="4" w:space="0" w:color="000000"/>
            </w:tcBorders>
            <w:shd w:val="clear" w:color="auto" w:fill="D9D9D9"/>
            <w:hideMark/>
          </w:tcPr>
          <w:p w:rsidR="00393517" w:rsidRPr="00F31C71" w:rsidRDefault="00393517" w:rsidP="00393517">
            <w:pPr>
              <w:tabs>
                <w:tab w:val="left" w:pos="567"/>
              </w:tabs>
              <w:snapToGrid w:val="0"/>
              <w:spacing w:before="120" w:after="120"/>
              <w:jc w:val="center"/>
              <w:rPr>
                <w:rFonts w:ascii="Arial" w:hAnsi="Arial" w:cs="Arial"/>
                <w:b/>
                <w:snapToGrid w:val="0"/>
                <w:sz w:val="18"/>
                <w:szCs w:val="20"/>
                <w:lang w:eastAsia="en-US"/>
              </w:rPr>
            </w:pPr>
            <w:r w:rsidRPr="00F31C71">
              <w:rPr>
                <w:rFonts w:ascii="Arial" w:hAnsi="Arial" w:cs="Arial"/>
                <w:b/>
                <w:snapToGrid w:val="0"/>
                <w:sz w:val="18"/>
                <w:szCs w:val="20"/>
                <w:lang w:eastAsia="en-US"/>
              </w:rPr>
              <w:t>11.COM (2016)</w:t>
            </w:r>
          </w:p>
        </w:tc>
        <w:tc>
          <w:tcPr>
            <w:tcW w:w="935" w:type="dxa"/>
            <w:tcBorders>
              <w:top w:val="single" w:sz="4" w:space="0" w:color="000000"/>
              <w:left w:val="single" w:sz="4" w:space="0" w:color="000000"/>
              <w:bottom w:val="single" w:sz="4" w:space="0" w:color="000000"/>
              <w:right w:val="single" w:sz="4" w:space="0" w:color="000000"/>
            </w:tcBorders>
            <w:shd w:val="clear" w:color="auto" w:fill="D9D9D9"/>
            <w:hideMark/>
          </w:tcPr>
          <w:p w:rsidR="00393517" w:rsidRPr="00F31C71" w:rsidRDefault="00393517" w:rsidP="00393517">
            <w:pPr>
              <w:tabs>
                <w:tab w:val="left" w:pos="567"/>
              </w:tabs>
              <w:snapToGrid w:val="0"/>
              <w:spacing w:before="120" w:after="120"/>
              <w:jc w:val="center"/>
              <w:rPr>
                <w:rFonts w:ascii="Arial" w:hAnsi="Arial" w:cs="Arial"/>
                <w:b/>
                <w:snapToGrid w:val="0"/>
                <w:sz w:val="18"/>
                <w:szCs w:val="20"/>
                <w:lang w:eastAsia="en-US"/>
              </w:rPr>
            </w:pPr>
            <w:r w:rsidRPr="00F31C71">
              <w:rPr>
                <w:rFonts w:ascii="Arial" w:hAnsi="Arial" w:cs="Arial"/>
                <w:b/>
                <w:snapToGrid w:val="0"/>
                <w:sz w:val="18"/>
                <w:szCs w:val="20"/>
                <w:lang w:eastAsia="en-US"/>
              </w:rPr>
              <w:t>12.COM (2017)</w:t>
            </w:r>
          </w:p>
        </w:tc>
        <w:tc>
          <w:tcPr>
            <w:tcW w:w="935" w:type="dxa"/>
            <w:tcBorders>
              <w:top w:val="single" w:sz="4" w:space="0" w:color="000000"/>
              <w:left w:val="single" w:sz="4" w:space="0" w:color="000000"/>
              <w:bottom w:val="single" w:sz="4" w:space="0" w:color="000000"/>
              <w:right w:val="single" w:sz="4" w:space="0" w:color="000000"/>
            </w:tcBorders>
            <w:shd w:val="clear" w:color="auto" w:fill="D9D9D9"/>
            <w:hideMark/>
          </w:tcPr>
          <w:p w:rsidR="00393517" w:rsidRPr="00F31C71" w:rsidRDefault="00393517" w:rsidP="00393517">
            <w:pPr>
              <w:tabs>
                <w:tab w:val="left" w:pos="567"/>
              </w:tabs>
              <w:snapToGrid w:val="0"/>
              <w:spacing w:before="120" w:after="120"/>
              <w:jc w:val="center"/>
              <w:rPr>
                <w:rFonts w:ascii="Arial" w:hAnsi="Arial" w:cs="Arial"/>
                <w:b/>
                <w:snapToGrid w:val="0"/>
                <w:sz w:val="18"/>
                <w:szCs w:val="20"/>
                <w:lang w:eastAsia="en-US"/>
              </w:rPr>
            </w:pPr>
            <w:r w:rsidRPr="00F31C71">
              <w:rPr>
                <w:rFonts w:ascii="Arial" w:hAnsi="Arial" w:cs="Arial"/>
                <w:b/>
                <w:snapToGrid w:val="0"/>
                <w:sz w:val="18"/>
                <w:szCs w:val="20"/>
                <w:lang w:eastAsia="en-US"/>
              </w:rPr>
              <w:t>13.COM (2018)</w:t>
            </w: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hideMark/>
          </w:tcPr>
          <w:p w:rsidR="00393517" w:rsidRPr="00F31C71" w:rsidRDefault="00035186" w:rsidP="00B75BE2">
            <w:pPr>
              <w:tabs>
                <w:tab w:val="left" w:pos="567"/>
              </w:tabs>
              <w:snapToGrid w:val="0"/>
              <w:spacing w:before="120" w:after="120"/>
              <w:rPr>
                <w:rFonts w:ascii="Arial" w:hAnsi="Arial" w:cs="Arial"/>
                <w:snapToGrid w:val="0"/>
                <w:sz w:val="20"/>
                <w:szCs w:val="20"/>
                <w:lang w:eastAsia="en-US"/>
              </w:rPr>
            </w:pPr>
            <w:r w:rsidRPr="00F31C71">
              <w:rPr>
                <w:rFonts w:ascii="Arial" w:hAnsi="Arial" w:cs="Arial"/>
                <w:snapToGrid w:val="0"/>
                <w:sz w:val="20"/>
                <w:szCs w:val="20"/>
                <w:lang w:eastAsia="en-US"/>
              </w:rPr>
              <w:t xml:space="preserve">Candidatures </w:t>
            </w:r>
            <w:r w:rsidR="00B75BE2">
              <w:rPr>
                <w:rFonts w:ascii="Arial" w:hAnsi="Arial" w:cs="Arial"/>
                <w:snapToGrid w:val="0"/>
                <w:sz w:val="20"/>
                <w:szCs w:val="20"/>
                <w:lang w:eastAsia="en-US"/>
              </w:rPr>
              <w:t>à</w:t>
            </w:r>
            <w:r w:rsidR="00B75BE2" w:rsidRPr="00F31C71">
              <w:rPr>
                <w:rFonts w:ascii="Arial" w:hAnsi="Arial" w:cs="Arial"/>
                <w:snapToGrid w:val="0"/>
                <w:sz w:val="20"/>
                <w:szCs w:val="20"/>
                <w:lang w:eastAsia="en-US"/>
              </w:rPr>
              <w:t xml:space="preserve"> </w:t>
            </w:r>
            <w:r w:rsidRPr="00F31C71">
              <w:rPr>
                <w:rFonts w:ascii="Arial" w:hAnsi="Arial" w:cs="Arial"/>
                <w:snapToGrid w:val="0"/>
                <w:sz w:val="20"/>
                <w:szCs w:val="20"/>
                <w:lang w:eastAsia="en-US"/>
              </w:rPr>
              <w:t>la Liste de sauvegarde urgente</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23</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8</w:t>
            </w:r>
          </w:p>
        </w:tc>
        <w:tc>
          <w:tcPr>
            <w:tcW w:w="935" w:type="dxa"/>
            <w:tcBorders>
              <w:top w:val="single" w:sz="4" w:space="0" w:color="000000"/>
              <w:left w:val="single" w:sz="4" w:space="0" w:color="000000"/>
              <w:bottom w:val="single" w:sz="4" w:space="0" w:color="000000"/>
              <w:right w:val="single" w:sz="4" w:space="0" w:color="auto"/>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12</w:t>
            </w:r>
          </w:p>
        </w:tc>
        <w:tc>
          <w:tcPr>
            <w:tcW w:w="935"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8</w:t>
            </w:r>
          </w:p>
        </w:tc>
        <w:tc>
          <w:tcPr>
            <w:tcW w:w="934" w:type="dxa"/>
            <w:tcBorders>
              <w:top w:val="single" w:sz="4" w:space="0" w:color="auto"/>
              <w:left w:val="single" w:sz="4" w:space="0" w:color="auto"/>
              <w:bottom w:val="single" w:sz="4" w:space="0" w:color="auto"/>
              <w:right w:val="single" w:sz="2" w:space="0" w:color="auto"/>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9</w:t>
            </w:r>
          </w:p>
        </w:tc>
        <w:tc>
          <w:tcPr>
            <w:tcW w:w="935" w:type="dxa"/>
            <w:tcBorders>
              <w:top w:val="single" w:sz="2" w:space="0" w:color="auto"/>
              <w:left w:val="single" w:sz="2" w:space="0" w:color="auto"/>
              <w:bottom w:val="single" w:sz="2" w:space="0" w:color="auto"/>
              <w:right w:val="single" w:sz="18" w:space="0" w:color="000000"/>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6</w:t>
            </w:r>
            <w:r w:rsidRPr="00F31C71">
              <w:rPr>
                <w:rFonts w:ascii="Arial" w:hAnsi="Arial" w:cs="Arial"/>
                <w:snapToGrid w:val="0"/>
                <w:sz w:val="18"/>
                <w:szCs w:val="20"/>
                <w:vertAlign w:val="superscript"/>
                <w:lang w:eastAsia="en-US"/>
              </w:rPr>
              <w:footnoteReference w:id="3"/>
            </w: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hideMark/>
          </w:tcPr>
          <w:p w:rsidR="00393517" w:rsidRPr="00F31C71" w:rsidRDefault="00393517" w:rsidP="00A26BD4">
            <w:pPr>
              <w:tabs>
                <w:tab w:val="left" w:pos="567"/>
              </w:tabs>
              <w:snapToGrid w:val="0"/>
              <w:spacing w:before="120" w:after="120"/>
              <w:rPr>
                <w:rFonts w:ascii="Arial" w:hAnsi="Arial" w:cs="Arial"/>
                <w:snapToGrid w:val="0"/>
                <w:sz w:val="20"/>
                <w:szCs w:val="20"/>
                <w:lang w:eastAsia="en-US"/>
              </w:rPr>
            </w:pPr>
            <w:r w:rsidRPr="00F31C71">
              <w:rPr>
                <w:rFonts w:ascii="Arial" w:hAnsi="Arial" w:cs="Arial"/>
                <w:snapToGrid w:val="0"/>
                <w:sz w:val="20"/>
                <w:szCs w:val="20"/>
                <w:lang w:eastAsia="en-US"/>
              </w:rPr>
              <w:t>Propos</w:t>
            </w:r>
            <w:r w:rsidR="00A26BD4" w:rsidRPr="00F31C71">
              <w:rPr>
                <w:rFonts w:ascii="Arial" w:hAnsi="Arial" w:cs="Arial"/>
                <w:snapToGrid w:val="0"/>
                <w:sz w:val="20"/>
                <w:szCs w:val="20"/>
                <w:lang w:eastAsia="en-US"/>
              </w:rPr>
              <w:t>itions de meilleures pratiques de sauvegarde</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12</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2</w:t>
            </w:r>
          </w:p>
        </w:tc>
        <w:tc>
          <w:tcPr>
            <w:tcW w:w="935" w:type="dxa"/>
            <w:tcBorders>
              <w:top w:val="single" w:sz="4" w:space="0" w:color="000000"/>
              <w:left w:val="single" w:sz="4" w:space="0" w:color="000000"/>
              <w:bottom w:val="single" w:sz="4" w:space="0" w:color="000000"/>
              <w:right w:val="single" w:sz="4" w:space="0" w:color="auto"/>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2</w:t>
            </w:r>
          </w:p>
        </w:tc>
        <w:tc>
          <w:tcPr>
            <w:tcW w:w="935"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4</w:t>
            </w:r>
          </w:p>
        </w:tc>
        <w:tc>
          <w:tcPr>
            <w:tcW w:w="934" w:type="dxa"/>
            <w:tcBorders>
              <w:top w:val="single" w:sz="4" w:space="0" w:color="auto"/>
              <w:left w:val="single" w:sz="4" w:space="0" w:color="auto"/>
              <w:bottom w:val="single" w:sz="4" w:space="0" w:color="auto"/>
              <w:right w:val="single" w:sz="2" w:space="0" w:color="auto"/>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w:t>
            </w:r>
          </w:p>
        </w:tc>
        <w:tc>
          <w:tcPr>
            <w:tcW w:w="935" w:type="dxa"/>
            <w:tcBorders>
              <w:top w:val="single" w:sz="2" w:space="0" w:color="auto"/>
              <w:left w:val="single" w:sz="2" w:space="0" w:color="auto"/>
              <w:bottom w:val="single" w:sz="2" w:space="0" w:color="auto"/>
              <w:right w:val="single" w:sz="18" w:space="0" w:color="000000"/>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7</w:t>
            </w: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hideMark/>
          </w:tcPr>
          <w:p w:rsidR="00393517" w:rsidRPr="00F31C71" w:rsidRDefault="00A26BD4" w:rsidP="00A26BD4">
            <w:pPr>
              <w:tabs>
                <w:tab w:val="left" w:pos="567"/>
              </w:tabs>
              <w:snapToGrid w:val="0"/>
              <w:spacing w:before="120" w:after="120"/>
              <w:rPr>
                <w:rFonts w:ascii="Arial" w:hAnsi="Arial" w:cs="Arial"/>
                <w:snapToGrid w:val="0"/>
                <w:sz w:val="20"/>
                <w:szCs w:val="20"/>
                <w:lang w:eastAsia="en-US"/>
              </w:rPr>
            </w:pPr>
            <w:r w:rsidRPr="00F31C71">
              <w:rPr>
                <w:rFonts w:ascii="Arial" w:hAnsi="Arial" w:cs="Arial"/>
                <w:snapToGrid w:val="0"/>
                <w:sz w:val="20"/>
                <w:szCs w:val="20"/>
                <w:lang w:eastAsia="en-US"/>
              </w:rPr>
              <w:t>Demandes d’assistance internationale</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4</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10</w:t>
            </w:r>
          </w:p>
        </w:tc>
        <w:tc>
          <w:tcPr>
            <w:tcW w:w="935" w:type="dxa"/>
            <w:tcBorders>
              <w:top w:val="single" w:sz="4" w:space="0" w:color="000000"/>
              <w:left w:val="single" w:sz="4" w:space="0" w:color="000000"/>
              <w:bottom w:val="single" w:sz="4" w:space="0" w:color="000000"/>
              <w:right w:val="single" w:sz="4" w:space="0" w:color="auto"/>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w:t>
            </w:r>
          </w:p>
        </w:tc>
        <w:tc>
          <w:tcPr>
            <w:tcW w:w="935"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2</w:t>
            </w:r>
          </w:p>
        </w:tc>
        <w:tc>
          <w:tcPr>
            <w:tcW w:w="934" w:type="dxa"/>
            <w:tcBorders>
              <w:top w:val="single" w:sz="4" w:space="0" w:color="auto"/>
              <w:left w:val="single" w:sz="4" w:space="0" w:color="auto"/>
              <w:bottom w:val="single" w:sz="4" w:space="0" w:color="auto"/>
              <w:right w:val="single" w:sz="2" w:space="0" w:color="auto"/>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2</w:t>
            </w:r>
          </w:p>
        </w:tc>
        <w:tc>
          <w:tcPr>
            <w:tcW w:w="935" w:type="dxa"/>
            <w:tcBorders>
              <w:top w:val="single" w:sz="2" w:space="0" w:color="auto"/>
              <w:left w:val="single" w:sz="2" w:space="0" w:color="auto"/>
              <w:bottom w:val="single" w:sz="2" w:space="0" w:color="auto"/>
              <w:right w:val="single" w:sz="18" w:space="0" w:color="000000"/>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hideMark/>
          </w:tcPr>
          <w:p w:rsidR="00393517" w:rsidRPr="00F31C71" w:rsidRDefault="00A26BD4" w:rsidP="00406860">
            <w:pPr>
              <w:tabs>
                <w:tab w:val="left" w:pos="567"/>
              </w:tabs>
              <w:snapToGrid w:val="0"/>
              <w:spacing w:before="120" w:after="120"/>
              <w:rPr>
                <w:rFonts w:ascii="Arial" w:hAnsi="Arial" w:cs="Arial"/>
                <w:snapToGrid w:val="0"/>
                <w:sz w:val="20"/>
                <w:szCs w:val="20"/>
                <w:lang w:eastAsia="en-US"/>
              </w:rPr>
            </w:pPr>
            <w:r w:rsidRPr="00F31C71">
              <w:rPr>
                <w:rFonts w:ascii="Arial" w:hAnsi="Arial" w:cs="Arial"/>
                <w:snapToGrid w:val="0"/>
                <w:sz w:val="20"/>
                <w:szCs w:val="20"/>
                <w:lang w:eastAsia="en-US"/>
              </w:rPr>
              <w:t xml:space="preserve">Candidatures </w:t>
            </w:r>
            <w:r w:rsidR="00406860">
              <w:rPr>
                <w:rFonts w:ascii="Arial" w:hAnsi="Arial" w:cs="Arial"/>
                <w:snapToGrid w:val="0"/>
                <w:sz w:val="20"/>
                <w:szCs w:val="20"/>
                <w:lang w:eastAsia="en-US"/>
              </w:rPr>
              <w:t>à</w:t>
            </w:r>
            <w:r w:rsidR="00406860" w:rsidRPr="00F31C71">
              <w:rPr>
                <w:rFonts w:ascii="Arial" w:hAnsi="Arial" w:cs="Arial"/>
                <w:snapToGrid w:val="0"/>
                <w:sz w:val="20"/>
                <w:szCs w:val="20"/>
                <w:lang w:eastAsia="en-US"/>
              </w:rPr>
              <w:t xml:space="preserve"> </w:t>
            </w:r>
            <w:r w:rsidRPr="00F31C71">
              <w:rPr>
                <w:rFonts w:ascii="Arial" w:hAnsi="Arial" w:cs="Arial"/>
                <w:snapToGrid w:val="0"/>
                <w:sz w:val="20"/>
                <w:szCs w:val="20"/>
                <w:lang w:eastAsia="en-US"/>
              </w:rPr>
              <w:t>la Liste représentative</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49</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36</w:t>
            </w:r>
          </w:p>
        </w:tc>
        <w:tc>
          <w:tcPr>
            <w:tcW w:w="935" w:type="dxa"/>
            <w:tcBorders>
              <w:top w:val="single" w:sz="4" w:space="0" w:color="000000"/>
              <w:left w:val="single" w:sz="4" w:space="0" w:color="000000"/>
              <w:bottom w:val="single" w:sz="4" w:space="0" w:color="000000"/>
              <w:right w:val="single" w:sz="4" w:space="0" w:color="auto"/>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31</w:t>
            </w:r>
          </w:p>
        </w:tc>
        <w:tc>
          <w:tcPr>
            <w:tcW w:w="935" w:type="dxa"/>
            <w:tcBorders>
              <w:top w:val="single" w:sz="4" w:space="0" w:color="000000"/>
              <w:left w:val="single" w:sz="4" w:space="0" w:color="auto"/>
              <w:bottom w:val="single" w:sz="4" w:space="0" w:color="auto"/>
              <w:right w:val="single" w:sz="4" w:space="0" w:color="auto"/>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46</w:t>
            </w:r>
          </w:p>
        </w:tc>
        <w:tc>
          <w:tcPr>
            <w:tcW w:w="934" w:type="dxa"/>
            <w:tcBorders>
              <w:top w:val="single" w:sz="4" w:space="0" w:color="auto"/>
              <w:left w:val="single" w:sz="4" w:space="0" w:color="auto"/>
              <w:bottom w:val="single" w:sz="4" w:space="0" w:color="auto"/>
              <w:right w:val="single" w:sz="2" w:space="0" w:color="auto"/>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38</w:t>
            </w:r>
          </w:p>
        </w:tc>
        <w:tc>
          <w:tcPr>
            <w:tcW w:w="935" w:type="dxa"/>
            <w:tcBorders>
              <w:top w:val="single" w:sz="2" w:space="0" w:color="auto"/>
              <w:left w:val="single" w:sz="2" w:space="0" w:color="auto"/>
              <w:bottom w:val="single" w:sz="2" w:space="0" w:color="auto"/>
              <w:right w:val="single" w:sz="18" w:space="0" w:color="000000"/>
            </w:tcBorders>
            <w:shd w:val="clear" w:color="auto" w:fill="FFFFFF"/>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38</w:t>
            </w:r>
          </w:p>
        </w:tc>
        <w:tc>
          <w:tcPr>
            <w:tcW w:w="935" w:type="dxa"/>
            <w:tcBorders>
              <w:top w:val="single" w:sz="4" w:space="0" w:color="000000"/>
              <w:left w:val="single" w:sz="18" w:space="0" w:color="000000"/>
              <w:bottom w:val="single" w:sz="18" w:space="0" w:color="000000"/>
              <w:right w:val="single" w:sz="18" w:space="0" w:color="000000"/>
            </w:tcBorders>
            <w:shd w:val="clear" w:color="auto" w:fill="FFFFFF"/>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p>
        </w:tc>
        <w:tc>
          <w:tcPr>
            <w:tcW w:w="935" w:type="dxa"/>
            <w:tcBorders>
              <w:top w:val="single" w:sz="4" w:space="0" w:color="000000"/>
              <w:left w:val="single" w:sz="18" w:space="0" w:color="000000"/>
              <w:bottom w:val="single" w:sz="18" w:space="0" w:color="000000"/>
              <w:right w:val="single" w:sz="18" w:space="0" w:color="000000"/>
            </w:tcBorders>
            <w:shd w:val="clear" w:color="auto" w:fill="FFFFFF"/>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shd w:val="clear" w:color="auto" w:fill="D9D9D9"/>
            <w:hideMark/>
          </w:tcPr>
          <w:p w:rsidR="00393517" w:rsidRPr="00F31C71" w:rsidRDefault="00393517" w:rsidP="00A26BD4">
            <w:pPr>
              <w:tabs>
                <w:tab w:val="left" w:pos="567"/>
              </w:tabs>
              <w:snapToGrid w:val="0"/>
              <w:spacing w:before="120" w:after="120"/>
              <w:rPr>
                <w:rFonts w:ascii="Arial" w:hAnsi="Arial" w:cs="Arial"/>
                <w:b/>
                <w:bCs/>
                <w:snapToGrid w:val="0"/>
                <w:sz w:val="20"/>
                <w:szCs w:val="20"/>
                <w:lang w:eastAsia="en-US"/>
              </w:rPr>
            </w:pPr>
            <w:r w:rsidRPr="00F31C71">
              <w:rPr>
                <w:rFonts w:ascii="Arial" w:hAnsi="Arial" w:cs="Arial"/>
                <w:b/>
                <w:bCs/>
                <w:snapToGrid w:val="0"/>
                <w:sz w:val="20"/>
                <w:szCs w:val="20"/>
                <w:lang w:eastAsia="en-US"/>
              </w:rPr>
              <w:t>S</w:t>
            </w:r>
            <w:r w:rsidR="00A26BD4" w:rsidRPr="00F31C71">
              <w:rPr>
                <w:rFonts w:ascii="Arial" w:hAnsi="Arial" w:cs="Arial"/>
                <w:b/>
                <w:bCs/>
                <w:snapToGrid w:val="0"/>
                <w:sz w:val="20"/>
                <w:szCs w:val="20"/>
                <w:lang w:eastAsia="en-US"/>
              </w:rPr>
              <w:t>ous-</w:t>
            </w:r>
            <w:r w:rsidRPr="00F31C71">
              <w:rPr>
                <w:rFonts w:ascii="Arial" w:hAnsi="Arial" w:cs="Arial"/>
                <w:b/>
                <w:bCs/>
                <w:snapToGrid w:val="0"/>
                <w:sz w:val="20"/>
                <w:szCs w:val="20"/>
                <w:lang w:eastAsia="en-US"/>
              </w:rPr>
              <w:t xml:space="preserve">total, </w:t>
            </w:r>
            <w:r w:rsidR="00A26BD4" w:rsidRPr="00F31C71">
              <w:rPr>
                <w:rFonts w:ascii="Arial" w:hAnsi="Arial" w:cs="Arial"/>
                <w:b/>
                <w:bCs/>
                <w:snapToGrid w:val="0"/>
                <w:sz w:val="20"/>
                <w:szCs w:val="20"/>
                <w:lang w:eastAsia="en-US"/>
              </w:rPr>
              <w:t>candidatures</w:t>
            </w:r>
          </w:p>
        </w:tc>
        <w:tc>
          <w:tcPr>
            <w:tcW w:w="9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88</w:t>
            </w:r>
          </w:p>
        </w:tc>
        <w:tc>
          <w:tcPr>
            <w:tcW w:w="9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56</w:t>
            </w:r>
          </w:p>
        </w:tc>
        <w:tc>
          <w:tcPr>
            <w:tcW w:w="935"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46</w:t>
            </w:r>
          </w:p>
        </w:tc>
        <w:tc>
          <w:tcPr>
            <w:tcW w:w="935" w:type="dxa"/>
            <w:tcBorders>
              <w:top w:val="single" w:sz="4" w:space="0" w:color="auto"/>
              <w:left w:val="single" w:sz="4" w:space="0" w:color="auto"/>
              <w:bottom w:val="single" w:sz="4" w:space="0" w:color="auto"/>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60</w:t>
            </w:r>
          </w:p>
        </w:tc>
        <w:tc>
          <w:tcPr>
            <w:tcW w:w="934" w:type="dxa"/>
            <w:tcBorders>
              <w:top w:val="single" w:sz="4" w:space="0" w:color="auto"/>
              <w:left w:val="single" w:sz="4" w:space="0" w:color="000000"/>
              <w:bottom w:val="single" w:sz="4" w:space="0" w:color="000000"/>
              <w:right w:val="single" w:sz="2" w:space="0" w:color="auto"/>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50</w:t>
            </w:r>
          </w:p>
        </w:tc>
        <w:tc>
          <w:tcPr>
            <w:tcW w:w="935"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51</w:t>
            </w:r>
          </w:p>
        </w:tc>
        <w:tc>
          <w:tcPr>
            <w:tcW w:w="935" w:type="dxa"/>
            <w:tcBorders>
              <w:top w:val="single" w:sz="18" w:space="0" w:color="000000"/>
              <w:left w:val="single" w:sz="2" w:space="0" w:color="auto"/>
              <w:bottom w:val="single" w:sz="2" w:space="0" w:color="000000"/>
              <w:right w:val="single" w:sz="18"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50</w:t>
            </w:r>
          </w:p>
        </w:tc>
        <w:tc>
          <w:tcPr>
            <w:tcW w:w="935" w:type="dxa"/>
            <w:tcBorders>
              <w:top w:val="single" w:sz="18" w:space="0" w:color="000000"/>
              <w:left w:val="single" w:sz="18" w:space="0" w:color="auto"/>
              <w:bottom w:val="single" w:sz="18" w:space="0" w:color="000000"/>
              <w:right w:val="single" w:sz="18" w:space="0" w:color="000000"/>
            </w:tcBorders>
            <w:shd w:val="clear" w:color="auto" w:fill="D9D9D9"/>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hideMark/>
          </w:tcPr>
          <w:p w:rsidR="00393517" w:rsidRPr="00F31C71" w:rsidRDefault="00A26BD4" w:rsidP="00A26BD4">
            <w:pPr>
              <w:tabs>
                <w:tab w:val="left" w:pos="567"/>
              </w:tabs>
              <w:snapToGrid w:val="0"/>
              <w:spacing w:before="120" w:after="120"/>
              <w:rPr>
                <w:rFonts w:ascii="Arial" w:hAnsi="Arial" w:cs="Arial"/>
                <w:snapToGrid w:val="0"/>
                <w:sz w:val="20"/>
                <w:szCs w:val="20"/>
                <w:lang w:eastAsia="en-US"/>
              </w:rPr>
            </w:pPr>
            <w:r w:rsidRPr="00F31C71">
              <w:rPr>
                <w:rFonts w:ascii="Arial" w:hAnsi="Arial" w:cs="Arial"/>
                <w:snapToGrid w:val="0"/>
                <w:sz w:val="20"/>
                <w:szCs w:val="20"/>
                <w:lang w:eastAsia="en-US"/>
              </w:rPr>
              <w:t xml:space="preserve">Rapports périodiques des </w:t>
            </w:r>
            <w:r w:rsidR="00F31C71" w:rsidRPr="00F31C71">
              <w:rPr>
                <w:rFonts w:ascii="Arial" w:hAnsi="Arial" w:cs="Arial"/>
                <w:snapToGrid w:val="0"/>
                <w:sz w:val="20"/>
                <w:szCs w:val="20"/>
                <w:lang w:eastAsia="en-US"/>
              </w:rPr>
              <w:t>États</w:t>
            </w:r>
            <w:r w:rsidRPr="00F31C71">
              <w:rPr>
                <w:rFonts w:ascii="Arial" w:hAnsi="Arial" w:cs="Arial"/>
                <w:snapToGrid w:val="0"/>
                <w:sz w:val="20"/>
                <w:szCs w:val="20"/>
                <w:lang w:eastAsia="en-US"/>
              </w:rPr>
              <w:t xml:space="preserve"> parties</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5</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16</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10</w:t>
            </w:r>
          </w:p>
        </w:tc>
        <w:tc>
          <w:tcPr>
            <w:tcW w:w="935" w:type="dxa"/>
            <w:tcBorders>
              <w:top w:val="single" w:sz="4" w:space="0" w:color="auto"/>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27</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25</w:t>
            </w:r>
          </w:p>
        </w:tc>
        <w:tc>
          <w:tcPr>
            <w:tcW w:w="935" w:type="dxa"/>
            <w:tcBorders>
              <w:top w:val="single" w:sz="2" w:space="0" w:color="auto"/>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37</w:t>
            </w:r>
          </w:p>
        </w:tc>
        <w:tc>
          <w:tcPr>
            <w:tcW w:w="935" w:type="dxa"/>
            <w:tcBorders>
              <w:top w:val="single" w:sz="2"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21</w:t>
            </w:r>
          </w:p>
        </w:tc>
        <w:tc>
          <w:tcPr>
            <w:tcW w:w="935" w:type="dxa"/>
            <w:tcBorders>
              <w:top w:val="single" w:sz="18"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30</w:t>
            </w: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hideMark/>
          </w:tcPr>
          <w:p w:rsidR="00393517" w:rsidRPr="00F31C71" w:rsidRDefault="00A26BD4" w:rsidP="00A26BD4">
            <w:pPr>
              <w:tabs>
                <w:tab w:val="left" w:pos="567"/>
              </w:tabs>
              <w:snapToGrid w:val="0"/>
              <w:spacing w:before="120" w:after="120"/>
              <w:rPr>
                <w:rFonts w:ascii="Arial" w:hAnsi="Arial" w:cs="Arial"/>
                <w:snapToGrid w:val="0"/>
                <w:sz w:val="20"/>
                <w:szCs w:val="20"/>
                <w:lang w:eastAsia="en-US"/>
              </w:rPr>
            </w:pPr>
            <w:r w:rsidRPr="00F31C71">
              <w:rPr>
                <w:rFonts w:ascii="Arial" w:hAnsi="Arial" w:cs="Arial"/>
                <w:snapToGrid w:val="0"/>
                <w:sz w:val="20"/>
                <w:szCs w:val="20"/>
                <w:lang w:eastAsia="en-US"/>
              </w:rPr>
              <w:t xml:space="preserve">Rapports sur </w:t>
            </w:r>
            <w:r w:rsidR="00F07384">
              <w:rPr>
                <w:rFonts w:ascii="Arial" w:hAnsi="Arial" w:cs="Arial"/>
                <w:snapToGrid w:val="0"/>
                <w:sz w:val="20"/>
                <w:szCs w:val="20"/>
                <w:lang w:eastAsia="en-US"/>
              </w:rPr>
              <w:t>l</w:t>
            </w:r>
            <w:r w:rsidRPr="00F31C71">
              <w:rPr>
                <w:rFonts w:ascii="Arial" w:hAnsi="Arial" w:cs="Arial"/>
                <w:snapToGrid w:val="0"/>
                <w:sz w:val="20"/>
                <w:szCs w:val="20"/>
                <w:lang w:eastAsia="en-US"/>
              </w:rPr>
              <w:t>es éléments de la Liste de sauvegarde urgente</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8</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3</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18</w:t>
            </w:r>
          </w:p>
        </w:tc>
        <w:tc>
          <w:tcPr>
            <w:tcW w:w="935" w:type="dxa"/>
            <w:tcBorders>
              <w:top w:val="single" w:sz="4" w:space="0" w:color="000000"/>
              <w:left w:val="single" w:sz="4" w:space="0" w:color="000000"/>
              <w:bottom w:val="single" w:sz="18" w:space="0" w:color="auto"/>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4</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4</w:t>
            </w: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hideMark/>
          </w:tcPr>
          <w:p w:rsidR="00393517" w:rsidRPr="00F31C71" w:rsidRDefault="00A26BD4" w:rsidP="00A26BD4">
            <w:pPr>
              <w:tabs>
                <w:tab w:val="left" w:pos="567"/>
              </w:tabs>
              <w:snapToGrid w:val="0"/>
              <w:spacing w:before="120" w:after="120"/>
              <w:rPr>
                <w:rFonts w:ascii="Arial" w:hAnsi="Arial" w:cs="Arial"/>
                <w:snapToGrid w:val="0"/>
                <w:sz w:val="20"/>
                <w:szCs w:val="20"/>
                <w:lang w:eastAsia="en-US"/>
              </w:rPr>
            </w:pPr>
            <w:r w:rsidRPr="00F31C71">
              <w:rPr>
                <w:rFonts w:ascii="Arial" w:hAnsi="Arial" w:cs="Arial"/>
                <w:snapToGrid w:val="0"/>
                <w:sz w:val="20"/>
                <w:szCs w:val="20"/>
                <w:lang w:eastAsia="en-US"/>
              </w:rPr>
              <w:t>Accréditation d’O</w:t>
            </w:r>
            <w:r w:rsidR="00393517" w:rsidRPr="00F31C71">
              <w:rPr>
                <w:rFonts w:ascii="Arial" w:hAnsi="Arial" w:cs="Arial"/>
                <w:snapToGrid w:val="0"/>
                <w:sz w:val="20"/>
                <w:szCs w:val="20"/>
                <w:lang w:eastAsia="en-US"/>
              </w:rPr>
              <w:t>NG</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45</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29</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34</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r w:rsidRPr="00F31C71">
              <w:rPr>
                <w:rFonts w:ascii="Arial" w:hAnsi="Arial" w:cs="Arial"/>
                <w:snapToGrid w:val="0"/>
                <w:sz w:val="18"/>
                <w:szCs w:val="20"/>
                <w:vertAlign w:val="superscript"/>
                <w:lang w:eastAsia="en-US"/>
              </w:rPr>
              <w:footnoteReference w:id="4"/>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54</w:t>
            </w:r>
          </w:p>
        </w:tc>
        <w:tc>
          <w:tcPr>
            <w:tcW w:w="935" w:type="dxa"/>
            <w:tcBorders>
              <w:top w:val="single" w:sz="4" w:space="0" w:color="000000"/>
              <w:left w:val="single" w:sz="4" w:space="0" w:color="000000"/>
              <w:bottom w:val="single" w:sz="4" w:space="0" w:color="000000"/>
              <w:right w:val="single" w:sz="18" w:space="0" w:color="auto"/>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r w:rsidRPr="00F31C71">
              <w:rPr>
                <w:rFonts w:ascii="Arial" w:hAnsi="Arial" w:cs="Arial"/>
                <w:snapToGrid w:val="0"/>
                <w:sz w:val="18"/>
                <w:szCs w:val="20"/>
                <w:vertAlign w:val="superscript"/>
                <w:lang w:eastAsia="en-US"/>
              </w:rPr>
              <w:t>4</w:t>
            </w:r>
          </w:p>
        </w:tc>
        <w:tc>
          <w:tcPr>
            <w:tcW w:w="935" w:type="dxa"/>
            <w:tcBorders>
              <w:top w:val="single" w:sz="18" w:space="0" w:color="auto"/>
              <w:left w:val="single" w:sz="18" w:space="0" w:color="auto"/>
              <w:bottom w:val="single" w:sz="18" w:space="0" w:color="auto"/>
              <w:right w:val="single" w:sz="18" w:space="0" w:color="auto"/>
            </w:tcBorders>
            <w:vAlign w:val="center"/>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p>
        </w:tc>
        <w:tc>
          <w:tcPr>
            <w:tcW w:w="935" w:type="dxa"/>
            <w:tcBorders>
              <w:top w:val="single" w:sz="4" w:space="0" w:color="000000"/>
              <w:left w:val="single" w:sz="18" w:space="0" w:color="auto"/>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r w:rsidRPr="00F31C71">
              <w:rPr>
                <w:rFonts w:ascii="Arial" w:hAnsi="Arial" w:cs="Arial"/>
                <w:snapToGrid w:val="0"/>
                <w:sz w:val="18"/>
                <w:szCs w:val="20"/>
                <w:vertAlign w:val="superscript"/>
                <w:lang w:eastAsia="en-US"/>
              </w:rPr>
              <w:t>4</w:t>
            </w: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hideMark/>
          </w:tcPr>
          <w:p w:rsidR="00393517" w:rsidRPr="00F31C71" w:rsidRDefault="00393517" w:rsidP="00A26BD4">
            <w:pPr>
              <w:tabs>
                <w:tab w:val="left" w:pos="567"/>
              </w:tabs>
              <w:snapToGrid w:val="0"/>
              <w:spacing w:before="120" w:after="120"/>
              <w:rPr>
                <w:rFonts w:ascii="Arial" w:hAnsi="Arial" w:cs="Arial"/>
                <w:snapToGrid w:val="0"/>
                <w:sz w:val="20"/>
                <w:szCs w:val="20"/>
                <w:lang w:eastAsia="en-US"/>
              </w:rPr>
            </w:pPr>
            <w:r w:rsidRPr="00F31C71">
              <w:rPr>
                <w:rFonts w:ascii="Arial" w:hAnsi="Arial" w:cs="Arial"/>
                <w:snapToGrid w:val="0"/>
                <w:sz w:val="20"/>
                <w:szCs w:val="20"/>
                <w:lang w:eastAsia="en-US"/>
              </w:rPr>
              <w:t>Ren</w:t>
            </w:r>
            <w:r w:rsidR="00A26BD4" w:rsidRPr="00F31C71">
              <w:rPr>
                <w:rFonts w:ascii="Arial" w:hAnsi="Arial" w:cs="Arial"/>
                <w:snapToGrid w:val="0"/>
                <w:sz w:val="20"/>
                <w:szCs w:val="20"/>
                <w:lang w:eastAsia="en-US"/>
              </w:rPr>
              <w:t>ouvellement des relations avec les O</w:t>
            </w:r>
            <w:r w:rsidRPr="00F31C71">
              <w:rPr>
                <w:rFonts w:ascii="Arial" w:hAnsi="Arial" w:cs="Arial"/>
                <w:snapToGrid w:val="0"/>
                <w:sz w:val="20"/>
                <w:szCs w:val="20"/>
                <w:lang w:eastAsia="en-US"/>
              </w:rPr>
              <w:t>NG</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green"/>
                <w:lang w:eastAsia="en-US"/>
              </w:rPr>
            </w:pPr>
            <w:r w:rsidRPr="00F31C71">
              <w:rPr>
                <w:rFonts w:ascii="Arial" w:hAnsi="Arial" w:cs="Arial"/>
                <w:snapToGrid w:val="0"/>
                <w:sz w:val="18"/>
                <w:szCs w:val="20"/>
                <w:lang w:eastAsia="en-US"/>
              </w:rPr>
              <w:t>0</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97</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p>
        </w:tc>
        <w:tc>
          <w:tcPr>
            <w:tcW w:w="935" w:type="dxa"/>
            <w:tcBorders>
              <w:top w:val="single" w:sz="18" w:space="0" w:color="auto"/>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59</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0</w:t>
            </w: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shd w:val="clear" w:color="auto" w:fill="D9D9D9"/>
            <w:hideMark/>
          </w:tcPr>
          <w:p w:rsidR="00393517" w:rsidRPr="00F31C71" w:rsidRDefault="00393517" w:rsidP="00A26BD4">
            <w:pPr>
              <w:tabs>
                <w:tab w:val="left" w:pos="567"/>
              </w:tabs>
              <w:snapToGrid w:val="0"/>
              <w:spacing w:before="120" w:after="120"/>
              <w:rPr>
                <w:rFonts w:ascii="Arial" w:hAnsi="Arial" w:cs="Arial"/>
                <w:b/>
                <w:bCs/>
                <w:snapToGrid w:val="0"/>
                <w:sz w:val="20"/>
                <w:szCs w:val="20"/>
                <w:lang w:eastAsia="en-US"/>
              </w:rPr>
            </w:pPr>
            <w:r w:rsidRPr="00F31C71">
              <w:rPr>
                <w:rFonts w:ascii="Arial" w:hAnsi="Arial" w:cs="Arial"/>
                <w:b/>
                <w:bCs/>
                <w:snapToGrid w:val="0"/>
                <w:sz w:val="20"/>
                <w:szCs w:val="20"/>
                <w:lang w:eastAsia="en-US"/>
              </w:rPr>
              <w:t>S</w:t>
            </w:r>
            <w:r w:rsidR="00A26BD4" w:rsidRPr="00F31C71">
              <w:rPr>
                <w:rFonts w:ascii="Arial" w:hAnsi="Arial" w:cs="Arial"/>
                <w:b/>
                <w:bCs/>
                <w:snapToGrid w:val="0"/>
                <w:sz w:val="20"/>
                <w:szCs w:val="20"/>
                <w:lang w:eastAsia="en-US"/>
              </w:rPr>
              <w:t>ous-t</w:t>
            </w:r>
            <w:r w:rsidRPr="00F31C71">
              <w:rPr>
                <w:rFonts w:ascii="Arial" w:hAnsi="Arial" w:cs="Arial"/>
                <w:b/>
                <w:bCs/>
                <w:snapToGrid w:val="0"/>
                <w:sz w:val="20"/>
                <w:szCs w:val="20"/>
                <w:lang w:eastAsia="en-US"/>
              </w:rPr>
              <w:t>otal, r</w:t>
            </w:r>
            <w:r w:rsidR="00A26BD4" w:rsidRPr="00F31C71">
              <w:rPr>
                <w:rFonts w:ascii="Arial" w:hAnsi="Arial" w:cs="Arial"/>
                <w:b/>
                <w:bCs/>
                <w:snapToGrid w:val="0"/>
                <w:sz w:val="20"/>
                <w:szCs w:val="20"/>
                <w:lang w:eastAsia="en-US"/>
              </w:rPr>
              <w:t>ap</w:t>
            </w:r>
            <w:r w:rsidRPr="00F31C71">
              <w:rPr>
                <w:rFonts w:ascii="Arial" w:hAnsi="Arial" w:cs="Arial"/>
                <w:b/>
                <w:bCs/>
                <w:snapToGrid w:val="0"/>
                <w:sz w:val="20"/>
                <w:szCs w:val="20"/>
                <w:lang w:eastAsia="en-US"/>
              </w:rPr>
              <w:t xml:space="preserve">ports, </w:t>
            </w:r>
            <w:r w:rsidR="00A26BD4" w:rsidRPr="00F31C71">
              <w:rPr>
                <w:rFonts w:ascii="Arial" w:hAnsi="Arial" w:cs="Arial"/>
                <w:b/>
                <w:bCs/>
                <w:snapToGrid w:val="0"/>
                <w:sz w:val="20"/>
                <w:szCs w:val="20"/>
                <w:lang w:eastAsia="en-US"/>
              </w:rPr>
              <w:t>O</w:t>
            </w:r>
            <w:r w:rsidRPr="00F31C71">
              <w:rPr>
                <w:rFonts w:ascii="Arial" w:hAnsi="Arial" w:cs="Arial"/>
                <w:b/>
                <w:bCs/>
                <w:snapToGrid w:val="0"/>
                <w:sz w:val="20"/>
                <w:szCs w:val="20"/>
                <w:lang w:eastAsia="en-US"/>
              </w:rPr>
              <w:t>NG</w:t>
            </w:r>
          </w:p>
        </w:tc>
        <w:tc>
          <w:tcPr>
            <w:tcW w:w="9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50</w:t>
            </w:r>
          </w:p>
        </w:tc>
        <w:tc>
          <w:tcPr>
            <w:tcW w:w="9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45</w:t>
            </w:r>
          </w:p>
        </w:tc>
        <w:tc>
          <w:tcPr>
            <w:tcW w:w="9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45</w:t>
            </w:r>
          </w:p>
        </w:tc>
        <w:tc>
          <w:tcPr>
            <w:tcW w:w="935"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35</w:t>
            </w:r>
          </w:p>
        </w:tc>
        <w:tc>
          <w:tcPr>
            <w:tcW w:w="9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179</w:t>
            </w:r>
          </w:p>
        </w:tc>
        <w:tc>
          <w:tcPr>
            <w:tcW w:w="935" w:type="dxa"/>
            <w:tcBorders>
              <w:top w:val="single" w:sz="4" w:space="0" w:color="000000"/>
              <w:left w:val="single" w:sz="4" w:space="0" w:color="000000"/>
              <w:bottom w:val="single" w:sz="2" w:space="0" w:color="auto"/>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55</w:t>
            </w:r>
          </w:p>
        </w:tc>
        <w:tc>
          <w:tcPr>
            <w:tcW w:w="9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84</w:t>
            </w:r>
          </w:p>
        </w:tc>
        <w:tc>
          <w:tcPr>
            <w:tcW w:w="935" w:type="dxa"/>
            <w:tcBorders>
              <w:top w:val="single" w:sz="4" w:space="0" w:color="000000"/>
              <w:left w:val="single" w:sz="4" w:space="0" w:color="000000"/>
              <w:bottom w:val="single" w:sz="18"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34</w:t>
            </w:r>
          </w:p>
        </w:tc>
      </w:tr>
      <w:tr w:rsidR="00393517" w:rsidRPr="00F31C71" w:rsidTr="00393517">
        <w:trPr>
          <w:cantSplit/>
        </w:trPr>
        <w:tc>
          <w:tcPr>
            <w:tcW w:w="1701" w:type="dxa"/>
            <w:tcBorders>
              <w:top w:val="single" w:sz="4" w:space="0" w:color="000000"/>
              <w:left w:val="single" w:sz="2" w:space="0" w:color="000000"/>
              <w:bottom w:val="single" w:sz="4" w:space="0" w:color="000000"/>
              <w:right w:val="single" w:sz="4" w:space="0" w:color="000000"/>
            </w:tcBorders>
            <w:shd w:val="clear" w:color="auto" w:fill="D9D9D9"/>
            <w:hideMark/>
          </w:tcPr>
          <w:p w:rsidR="00393517" w:rsidRPr="00F31C71" w:rsidRDefault="00845A54" w:rsidP="00845A54">
            <w:pPr>
              <w:tabs>
                <w:tab w:val="left" w:pos="567"/>
              </w:tabs>
              <w:snapToGrid w:val="0"/>
              <w:spacing w:before="120" w:after="120"/>
              <w:rPr>
                <w:rFonts w:ascii="Arial" w:hAnsi="Arial" w:cs="Arial"/>
                <w:b/>
                <w:bCs/>
                <w:snapToGrid w:val="0"/>
                <w:sz w:val="20"/>
                <w:szCs w:val="20"/>
                <w:lang w:eastAsia="en-US"/>
              </w:rPr>
            </w:pPr>
            <w:r w:rsidRPr="00F31C71">
              <w:rPr>
                <w:rFonts w:ascii="Arial" w:hAnsi="Arial" w:cs="Arial"/>
                <w:b/>
                <w:bCs/>
                <w:snapToGrid w:val="0"/>
                <w:sz w:val="20"/>
                <w:szCs w:val="20"/>
                <w:lang w:eastAsia="en-US"/>
              </w:rPr>
              <w:t>Nombre t</w:t>
            </w:r>
            <w:r w:rsidR="00393517" w:rsidRPr="00F31C71">
              <w:rPr>
                <w:rFonts w:ascii="Arial" w:hAnsi="Arial" w:cs="Arial"/>
                <w:b/>
                <w:bCs/>
                <w:snapToGrid w:val="0"/>
                <w:sz w:val="20"/>
                <w:szCs w:val="20"/>
                <w:lang w:eastAsia="en-US"/>
              </w:rPr>
              <w:t xml:space="preserve">otal </w:t>
            </w:r>
            <w:r w:rsidRPr="00F31C71">
              <w:rPr>
                <w:rFonts w:ascii="Arial" w:hAnsi="Arial" w:cs="Arial"/>
                <w:b/>
                <w:bCs/>
                <w:snapToGrid w:val="0"/>
                <w:sz w:val="20"/>
                <w:szCs w:val="20"/>
                <w:lang w:eastAsia="en-US"/>
              </w:rPr>
              <w:t>de dossiers</w:t>
            </w:r>
          </w:p>
        </w:tc>
        <w:tc>
          <w:tcPr>
            <w:tcW w:w="9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138</w:t>
            </w:r>
          </w:p>
        </w:tc>
        <w:tc>
          <w:tcPr>
            <w:tcW w:w="9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101</w:t>
            </w:r>
          </w:p>
        </w:tc>
        <w:tc>
          <w:tcPr>
            <w:tcW w:w="935" w:type="dxa"/>
            <w:tcBorders>
              <w:top w:val="single" w:sz="4" w:space="0" w:color="000000"/>
              <w:left w:val="single" w:sz="4" w:space="0" w:color="000000"/>
              <w:bottom w:val="single" w:sz="4" w:space="0" w:color="auto"/>
              <w:right w:val="single" w:sz="4" w:space="0" w:color="auto"/>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91</w:t>
            </w:r>
          </w:p>
        </w:tc>
        <w:tc>
          <w:tcPr>
            <w:tcW w:w="935" w:type="dxa"/>
            <w:tcBorders>
              <w:top w:val="single" w:sz="4" w:space="0" w:color="auto"/>
              <w:left w:val="single" w:sz="4" w:space="0" w:color="auto"/>
              <w:bottom w:val="single" w:sz="4" w:space="0" w:color="auto"/>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95</w:t>
            </w:r>
          </w:p>
        </w:tc>
        <w:tc>
          <w:tcPr>
            <w:tcW w:w="934" w:type="dxa"/>
            <w:tcBorders>
              <w:top w:val="single" w:sz="4" w:space="0" w:color="000000"/>
              <w:left w:val="single" w:sz="4" w:space="0" w:color="000000"/>
              <w:bottom w:val="single" w:sz="4" w:space="0" w:color="000000"/>
              <w:right w:val="single" w:sz="2" w:space="0" w:color="auto"/>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229</w:t>
            </w:r>
          </w:p>
        </w:tc>
        <w:tc>
          <w:tcPr>
            <w:tcW w:w="935" w:type="dxa"/>
            <w:tcBorders>
              <w:top w:val="single" w:sz="2" w:space="0" w:color="auto"/>
              <w:left w:val="single" w:sz="2" w:space="0" w:color="auto"/>
              <w:bottom w:val="single" w:sz="18"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106</w:t>
            </w:r>
          </w:p>
        </w:tc>
        <w:tc>
          <w:tcPr>
            <w:tcW w:w="935" w:type="dxa"/>
            <w:tcBorders>
              <w:top w:val="single" w:sz="4" w:space="0" w:color="000000"/>
              <w:left w:val="single" w:sz="4" w:space="0" w:color="000000"/>
              <w:bottom w:val="single" w:sz="18" w:space="0" w:color="000000"/>
              <w:right w:val="single" w:sz="18"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134</w:t>
            </w:r>
          </w:p>
        </w:tc>
        <w:tc>
          <w:tcPr>
            <w:tcW w:w="935" w:type="dxa"/>
            <w:tcBorders>
              <w:top w:val="single" w:sz="18" w:space="0" w:color="000000"/>
              <w:left w:val="single" w:sz="18" w:space="0" w:color="000000"/>
              <w:bottom w:val="single" w:sz="18" w:space="0" w:color="000000"/>
              <w:right w:val="single" w:sz="18" w:space="0" w:color="000000"/>
            </w:tcBorders>
            <w:shd w:val="clear" w:color="auto" w:fill="D9D9D9"/>
            <w:vAlign w:val="center"/>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p>
        </w:tc>
      </w:tr>
      <w:tr w:rsidR="00393517" w:rsidRPr="00F31C71" w:rsidTr="00393517">
        <w:trPr>
          <w:cantSplit/>
        </w:trPr>
        <w:tc>
          <w:tcPr>
            <w:tcW w:w="1701" w:type="dxa"/>
            <w:tcBorders>
              <w:top w:val="single" w:sz="4" w:space="0" w:color="000000"/>
              <w:left w:val="single" w:sz="2" w:space="0" w:color="000000"/>
              <w:bottom w:val="single" w:sz="2" w:space="0" w:color="000000"/>
              <w:right w:val="single" w:sz="4" w:space="0" w:color="000000"/>
            </w:tcBorders>
            <w:shd w:val="clear" w:color="auto" w:fill="D9D9D9"/>
            <w:hideMark/>
          </w:tcPr>
          <w:p w:rsidR="00393517" w:rsidRPr="00F31C71" w:rsidRDefault="00845A54" w:rsidP="00845A54">
            <w:pPr>
              <w:tabs>
                <w:tab w:val="left" w:pos="567"/>
              </w:tabs>
              <w:snapToGrid w:val="0"/>
              <w:spacing w:before="120" w:after="120"/>
              <w:rPr>
                <w:rFonts w:ascii="Arial" w:hAnsi="Arial" w:cs="Arial"/>
                <w:b/>
                <w:bCs/>
                <w:snapToGrid w:val="0"/>
                <w:sz w:val="20"/>
                <w:szCs w:val="20"/>
                <w:lang w:eastAsia="en-US"/>
              </w:rPr>
            </w:pPr>
            <w:r w:rsidRPr="00F31C71">
              <w:rPr>
                <w:rFonts w:ascii="Arial" w:hAnsi="Arial" w:cs="Arial"/>
                <w:b/>
                <w:bCs/>
                <w:snapToGrid w:val="0"/>
                <w:sz w:val="20"/>
                <w:szCs w:val="20"/>
                <w:lang w:eastAsia="en-US"/>
              </w:rPr>
              <w:t xml:space="preserve">Nombre de jours des réunions du </w:t>
            </w:r>
            <w:r w:rsidR="00393517" w:rsidRPr="00F31C71">
              <w:rPr>
                <w:rFonts w:ascii="Arial" w:hAnsi="Arial" w:cs="Arial"/>
                <w:b/>
                <w:bCs/>
                <w:snapToGrid w:val="0"/>
                <w:sz w:val="20"/>
                <w:szCs w:val="20"/>
                <w:lang w:eastAsia="en-US"/>
              </w:rPr>
              <w:t>C</w:t>
            </w:r>
            <w:r w:rsidRPr="00F31C71">
              <w:rPr>
                <w:rFonts w:ascii="Arial" w:hAnsi="Arial" w:cs="Arial"/>
                <w:b/>
                <w:bCs/>
                <w:snapToGrid w:val="0"/>
                <w:sz w:val="20"/>
                <w:szCs w:val="20"/>
                <w:lang w:eastAsia="en-US"/>
              </w:rPr>
              <w:t>omité</w:t>
            </w:r>
            <w:r w:rsidR="00393517" w:rsidRPr="00F31C71">
              <w:rPr>
                <w:rFonts w:ascii="Arial" w:hAnsi="Arial" w:cs="Arial"/>
                <w:b/>
                <w:bCs/>
                <w:snapToGrid w:val="0"/>
                <w:sz w:val="20"/>
                <w:szCs w:val="20"/>
                <w:lang w:eastAsia="en-US"/>
              </w:rPr>
              <w:t xml:space="preserve"> </w:t>
            </w:r>
          </w:p>
        </w:tc>
        <w:tc>
          <w:tcPr>
            <w:tcW w:w="934" w:type="dxa"/>
            <w:tcBorders>
              <w:top w:val="single" w:sz="4" w:space="0" w:color="000000"/>
              <w:left w:val="single" w:sz="4" w:space="0" w:color="000000"/>
              <w:bottom w:val="single" w:sz="2"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7</w:t>
            </w:r>
          </w:p>
        </w:tc>
        <w:tc>
          <w:tcPr>
            <w:tcW w:w="935" w:type="dxa"/>
            <w:tcBorders>
              <w:top w:val="single" w:sz="4" w:space="0" w:color="000000"/>
              <w:left w:val="single" w:sz="4" w:space="0" w:color="000000"/>
              <w:bottom w:val="single" w:sz="2" w:space="0" w:color="000000"/>
              <w:right w:val="single" w:sz="4" w:space="0" w:color="auto"/>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5</w:t>
            </w:r>
          </w:p>
        </w:tc>
        <w:tc>
          <w:tcPr>
            <w:tcW w:w="935" w:type="dxa"/>
            <w:tcBorders>
              <w:top w:val="single" w:sz="4" w:space="0" w:color="auto"/>
              <w:left w:val="single" w:sz="4" w:space="0" w:color="auto"/>
              <w:bottom w:val="single" w:sz="2" w:space="0" w:color="000000"/>
              <w:right w:val="single" w:sz="4" w:space="0" w:color="auto"/>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r w:rsidRPr="00F31C71">
              <w:rPr>
                <w:rFonts w:ascii="Arial" w:hAnsi="Arial" w:cs="Arial"/>
                <w:snapToGrid w:val="0"/>
                <w:sz w:val="18"/>
                <w:szCs w:val="20"/>
                <w:lang w:eastAsia="en-US"/>
              </w:rPr>
              <w:t>6</w:t>
            </w:r>
          </w:p>
        </w:tc>
        <w:tc>
          <w:tcPr>
            <w:tcW w:w="935" w:type="dxa"/>
            <w:tcBorders>
              <w:top w:val="single" w:sz="4" w:space="0" w:color="auto"/>
              <w:left w:val="single" w:sz="4" w:space="0" w:color="auto"/>
              <w:bottom w:val="single" w:sz="2" w:space="0" w:color="000000"/>
              <w:right w:val="single" w:sz="4"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r w:rsidRPr="00F31C71">
              <w:rPr>
                <w:rFonts w:ascii="Arial" w:hAnsi="Arial" w:cs="Arial"/>
                <w:snapToGrid w:val="0"/>
                <w:sz w:val="18"/>
                <w:szCs w:val="20"/>
                <w:lang w:eastAsia="en-US"/>
              </w:rPr>
              <w:t>5</w:t>
            </w:r>
          </w:p>
        </w:tc>
        <w:tc>
          <w:tcPr>
            <w:tcW w:w="934" w:type="dxa"/>
            <w:tcBorders>
              <w:top w:val="single" w:sz="4" w:space="0" w:color="000000"/>
              <w:left w:val="single" w:sz="4" w:space="0" w:color="000000"/>
              <w:bottom w:val="single" w:sz="4" w:space="0" w:color="000000"/>
              <w:right w:val="single" w:sz="18" w:space="0" w:color="000000"/>
            </w:tcBorders>
            <w:shd w:val="clear" w:color="auto" w:fill="D9D9D9"/>
            <w:vAlign w:val="center"/>
            <w:hideMark/>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r w:rsidRPr="00F31C71">
              <w:rPr>
                <w:rFonts w:ascii="Arial" w:hAnsi="Arial" w:cs="Arial"/>
                <w:snapToGrid w:val="0"/>
                <w:sz w:val="18"/>
                <w:szCs w:val="20"/>
                <w:lang w:eastAsia="en-US"/>
              </w:rPr>
              <w:t>5</w:t>
            </w:r>
          </w:p>
        </w:tc>
        <w:tc>
          <w:tcPr>
            <w:tcW w:w="935" w:type="dxa"/>
            <w:tcBorders>
              <w:top w:val="single" w:sz="18" w:space="0" w:color="000000"/>
              <w:left w:val="single" w:sz="18" w:space="0" w:color="000000"/>
              <w:bottom w:val="single" w:sz="18" w:space="0" w:color="000000"/>
              <w:right w:val="single" w:sz="18" w:space="0" w:color="000000"/>
            </w:tcBorders>
            <w:shd w:val="clear" w:color="auto" w:fill="D9D9D9"/>
            <w:vAlign w:val="center"/>
          </w:tcPr>
          <w:p w:rsidR="00393517" w:rsidRPr="00F31C71" w:rsidRDefault="00393517" w:rsidP="00393517">
            <w:pPr>
              <w:tabs>
                <w:tab w:val="left" w:pos="567"/>
              </w:tabs>
              <w:snapToGrid w:val="0"/>
              <w:spacing w:before="120" w:after="120"/>
              <w:jc w:val="center"/>
              <w:rPr>
                <w:rFonts w:ascii="Arial" w:hAnsi="Arial" w:cs="Arial"/>
                <w:snapToGrid w:val="0"/>
                <w:sz w:val="18"/>
                <w:szCs w:val="20"/>
                <w:highlight w:val="yellow"/>
                <w:lang w:eastAsia="en-US"/>
              </w:rPr>
            </w:pPr>
          </w:p>
        </w:tc>
        <w:tc>
          <w:tcPr>
            <w:tcW w:w="935" w:type="dxa"/>
            <w:tcBorders>
              <w:top w:val="single" w:sz="18" w:space="0" w:color="000000"/>
              <w:left w:val="single" w:sz="18" w:space="0" w:color="000000"/>
              <w:bottom w:val="single" w:sz="18" w:space="0" w:color="000000"/>
              <w:right w:val="single" w:sz="18" w:space="0" w:color="000000"/>
            </w:tcBorders>
            <w:shd w:val="clear" w:color="auto" w:fill="D9D9D9"/>
            <w:vAlign w:val="center"/>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p>
        </w:tc>
        <w:tc>
          <w:tcPr>
            <w:tcW w:w="935" w:type="dxa"/>
            <w:tcBorders>
              <w:top w:val="single" w:sz="18" w:space="0" w:color="000000"/>
              <w:left w:val="single" w:sz="18" w:space="0" w:color="000000"/>
              <w:bottom w:val="single" w:sz="18" w:space="0" w:color="000000"/>
              <w:right w:val="single" w:sz="18" w:space="0" w:color="000000"/>
            </w:tcBorders>
            <w:shd w:val="clear" w:color="auto" w:fill="D9D9D9"/>
            <w:vAlign w:val="center"/>
          </w:tcPr>
          <w:p w:rsidR="00393517" w:rsidRPr="00F31C71" w:rsidRDefault="00393517" w:rsidP="00393517">
            <w:pPr>
              <w:tabs>
                <w:tab w:val="left" w:pos="567"/>
              </w:tabs>
              <w:snapToGrid w:val="0"/>
              <w:spacing w:before="120" w:after="120"/>
              <w:jc w:val="center"/>
              <w:rPr>
                <w:rFonts w:ascii="Arial" w:hAnsi="Arial" w:cs="Arial"/>
                <w:snapToGrid w:val="0"/>
                <w:sz w:val="18"/>
                <w:szCs w:val="20"/>
                <w:lang w:eastAsia="en-US"/>
              </w:rPr>
            </w:pPr>
          </w:p>
        </w:tc>
      </w:tr>
    </w:tbl>
    <w:p w:rsidR="0080362D" w:rsidRPr="00F31C71" w:rsidRDefault="00F07384" w:rsidP="001A070E">
      <w:pPr>
        <w:pStyle w:val="COMParabodytext"/>
        <w:spacing w:before="240"/>
        <w:rPr>
          <w:lang w:val="fr-FR"/>
        </w:rPr>
      </w:pPr>
      <w:r>
        <w:rPr>
          <w:lang w:val="fr-FR"/>
        </w:rPr>
        <w:t>Conformément au</w:t>
      </w:r>
      <w:r w:rsidRPr="00F31C71">
        <w:rPr>
          <w:lang w:val="fr-FR"/>
        </w:rPr>
        <w:t xml:space="preserve"> </w:t>
      </w:r>
      <w:r w:rsidR="007C2127" w:rsidRPr="00F31C71">
        <w:rPr>
          <w:lang w:val="fr-FR"/>
        </w:rPr>
        <w:t>p</w:t>
      </w:r>
      <w:r w:rsidR="00393517" w:rsidRPr="00F31C71">
        <w:rPr>
          <w:lang w:val="fr-FR"/>
        </w:rPr>
        <w:t>aragraph</w:t>
      </w:r>
      <w:r w:rsidR="007C2127" w:rsidRPr="00F31C71">
        <w:rPr>
          <w:lang w:val="fr-FR"/>
        </w:rPr>
        <w:t>e</w:t>
      </w:r>
      <w:r w:rsidR="00393517" w:rsidRPr="00F31C71">
        <w:rPr>
          <w:lang w:val="fr-FR"/>
        </w:rPr>
        <w:t xml:space="preserve"> 33 </w:t>
      </w:r>
      <w:r w:rsidR="007C2127" w:rsidRPr="00F31C71">
        <w:rPr>
          <w:lang w:val="fr-FR"/>
        </w:rPr>
        <w:t xml:space="preserve">des </w:t>
      </w:r>
      <w:r w:rsidR="00393517" w:rsidRPr="00F31C71">
        <w:rPr>
          <w:lang w:val="fr-FR"/>
        </w:rPr>
        <w:t xml:space="preserve">Directives </w:t>
      </w:r>
      <w:r w:rsidR="007C2127" w:rsidRPr="00F31C71">
        <w:rPr>
          <w:lang w:val="fr-FR"/>
        </w:rPr>
        <w:t>opérationnelles</w:t>
      </w:r>
      <w:r>
        <w:rPr>
          <w:lang w:val="fr-FR"/>
        </w:rPr>
        <w:t>,</w:t>
      </w:r>
      <w:r w:rsidR="007C2127" w:rsidRPr="00F31C71">
        <w:rPr>
          <w:lang w:val="fr-FR"/>
        </w:rPr>
        <w:t xml:space="preserve"> </w:t>
      </w:r>
      <w:r>
        <w:rPr>
          <w:lang w:val="fr-FR"/>
        </w:rPr>
        <w:t>il appartient</w:t>
      </w:r>
      <w:r w:rsidRPr="00F31C71">
        <w:rPr>
          <w:lang w:val="fr-FR"/>
        </w:rPr>
        <w:t xml:space="preserve"> </w:t>
      </w:r>
      <w:r w:rsidR="007C2127" w:rsidRPr="00F31C71">
        <w:rPr>
          <w:lang w:val="fr-FR"/>
        </w:rPr>
        <w:t xml:space="preserve">au Comité de déterminer le nombre de dossiers </w:t>
      </w:r>
      <w:r>
        <w:rPr>
          <w:lang w:val="fr-FR"/>
        </w:rPr>
        <w:t>selon</w:t>
      </w:r>
      <w:r w:rsidR="007C2127" w:rsidRPr="00F31C71">
        <w:rPr>
          <w:lang w:val="fr-FR"/>
        </w:rPr>
        <w:t xml:space="preserve"> </w:t>
      </w:r>
      <w:r>
        <w:rPr>
          <w:lang w:val="fr-FR"/>
        </w:rPr>
        <w:t>l</w:t>
      </w:r>
      <w:r w:rsidR="007C2127" w:rsidRPr="00F31C71">
        <w:rPr>
          <w:lang w:val="fr-FR"/>
        </w:rPr>
        <w:t>es ressources et ses capacités</w:t>
      </w:r>
      <w:r w:rsidR="00393517" w:rsidRPr="00F31C71">
        <w:rPr>
          <w:lang w:val="fr-FR"/>
        </w:rPr>
        <w:t xml:space="preserve">. </w:t>
      </w:r>
      <w:r w:rsidR="00374739">
        <w:rPr>
          <w:lang w:val="fr-FR"/>
        </w:rPr>
        <w:t>A s</w:t>
      </w:r>
      <w:r>
        <w:rPr>
          <w:lang w:val="fr-FR"/>
        </w:rPr>
        <w:t>a septième session, l</w:t>
      </w:r>
      <w:r w:rsidR="007C2127" w:rsidRPr="00F31C71">
        <w:rPr>
          <w:lang w:val="fr-FR"/>
        </w:rPr>
        <w:t xml:space="preserve">e </w:t>
      </w:r>
      <w:r w:rsidR="00393517" w:rsidRPr="00F31C71">
        <w:rPr>
          <w:lang w:val="fr-FR"/>
        </w:rPr>
        <w:t>Comit</w:t>
      </w:r>
      <w:r w:rsidR="007C2127" w:rsidRPr="00F31C71">
        <w:rPr>
          <w:lang w:val="fr-FR"/>
        </w:rPr>
        <w:t>é</w:t>
      </w:r>
      <w:r w:rsidR="00393517" w:rsidRPr="00F31C71">
        <w:rPr>
          <w:lang w:val="fr-FR"/>
        </w:rPr>
        <w:t xml:space="preserve"> </w:t>
      </w:r>
      <w:r w:rsidR="007C2127" w:rsidRPr="00F31C71">
        <w:rPr>
          <w:lang w:val="fr-FR"/>
        </w:rPr>
        <w:t xml:space="preserve">a </w:t>
      </w:r>
      <w:r w:rsidR="00857D79" w:rsidRPr="00F31C71">
        <w:rPr>
          <w:lang w:val="fr-FR"/>
        </w:rPr>
        <w:t xml:space="preserve">traité tous les points </w:t>
      </w:r>
      <w:r>
        <w:rPr>
          <w:lang w:val="fr-FR"/>
        </w:rPr>
        <w:t>à l’</w:t>
      </w:r>
      <w:r w:rsidR="00857D79" w:rsidRPr="00F31C71">
        <w:rPr>
          <w:lang w:val="fr-FR"/>
        </w:rPr>
        <w:t>ordre du jour en cinq jours</w:t>
      </w:r>
      <w:r w:rsidR="00393517" w:rsidRPr="00F31C71">
        <w:rPr>
          <w:lang w:val="fr-FR"/>
        </w:rPr>
        <w:t xml:space="preserve">, </w:t>
      </w:r>
      <w:r>
        <w:rPr>
          <w:lang w:val="fr-FR"/>
        </w:rPr>
        <w:t>tandis</w:t>
      </w:r>
      <w:r w:rsidRPr="00F31C71">
        <w:rPr>
          <w:lang w:val="fr-FR"/>
        </w:rPr>
        <w:t xml:space="preserve"> </w:t>
      </w:r>
      <w:r w:rsidR="00857D79" w:rsidRPr="00F31C71">
        <w:rPr>
          <w:lang w:val="fr-FR"/>
        </w:rPr>
        <w:t>qu</w:t>
      </w:r>
      <w:r w:rsidR="008310FA" w:rsidRPr="00F31C71">
        <w:rPr>
          <w:lang w:val="fr-FR"/>
        </w:rPr>
        <w:t>’</w:t>
      </w:r>
      <w:r w:rsidR="00857D79" w:rsidRPr="00F31C71">
        <w:rPr>
          <w:lang w:val="fr-FR"/>
        </w:rPr>
        <w:t xml:space="preserve">il a fallu </w:t>
      </w:r>
      <w:r w:rsidR="00393517" w:rsidRPr="00F31C71">
        <w:rPr>
          <w:lang w:val="fr-FR"/>
        </w:rPr>
        <w:t xml:space="preserve">six </w:t>
      </w:r>
      <w:r w:rsidR="00857D79" w:rsidRPr="00F31C71">
        <w:rPr>
          <w:lang w:val="fr-FR"/>
        </w:rPr>
        <w:t xml:space="preserve">jours pour </w:t>
      </w:r>
      <w:r>
        <w:rPr>
          <w:lang w:val="fr-FR"/>
        </w:rPr>
        <w:t>le faire à la huitième session</w:t>
      </w:r>
      <w:r w:rsidR="00393517" w:rsidRPr="00F31C71">
        <w:rPr>
          <w:lang w:val="fr-FR"/>
        </w:rPr>
        <w:t xml:space="preserve">. </w:t>
      </w:r>
      <w:r w:rsidR="004E60F7">
        <w:rPr>
          <w:lang w:val="fr-FR"/>
        </w:rPr>
        <w:t>À</w:t>
      </w:r>
      <w:r>
        <w:rPr>
          <w:lang w:val="fr-FR"/>
        </w:rPr>
        <w:t xml:space="preserve"> s</w:t>
      </w:r>
      <w:r w:rsidRPr="00F31C71">
        <w:rPr>
          <w:lang w:val="fr-FR"/>
        </w:rPr>
        <w:t xml:space="preserve">a </w:t>
      </w:r>
      <w:r w:rsidR="00857D79" w:rsidRPr="00F31C71">
        <w:rPr>
          <w:lang w:val="fr-FR"/>
        </w:rPr>
        <w:t xml:space="preserve">neuvième </w:t>
      </w:r>
      <w:r w:rsidR="00393517" w:rsidRPr="00F31C71">
        <w:rPr>
          <w:lang w:val="fr-FR"/>
        </w:rPr>
        <w:t>session</w:t>
      </w:r>
      <w:r w:rsidR="009717A7">
        <w:rPr>
          <w:lang w:val="fr-FR"/>
        </w:rPr>
        <w:t>,</w:t>
      </w:r>
      <w:r w:rsidR="00393517" w:rsidRPr="00F31C71">
        <w:rPr>
          <w:lang w:val="fr-FR"/>
        </w:rPr>
        <w:t xml:space="preserve"> </w:t>
      </w:r>
      <w:r w:rsidR="009717A7">
        <w:rPr>
          <w:lang w:val="fr-FR"/>
        </w:rPr>
        <w:t>le</w:t>
      </w:r>
      <w:r w:rsidR="00857D79" w:rsidRPr="00F31C71">
        <w:rPr>
          <w:lang w:val="fr-FR"/>
        </w:rPr>
        <w:t xml:space="preserve"> Comité a </w:t>
      </w:r>
      <w:r w:rsidR="009717A7">
        <w:rPr>
          <w:lang w:val="fr-FR"/>
        </w:rPr>
        <w:t xml:space="preserve">dû </w:t>
      </w:r>
      <w:r w:rsidR="00857D79" w:rsidRPr="00F31C71">
        <w:rPr>
          <w:lang w:val="fr-FR"/>
        </w:rPr>
        <w:t>report</w:t>
      </w:r>
      <w:r w:rsidR="009717A7">
        <w:rPr>
          <w:lang w:val="fr-FR"/>
        </w:rPr>
        <w:t>er</w:t>
      </w:r>
      <w:r w:rsidR="00857D79" w:rsidRPr="00F31C71">
        <w:rPr>
          <w:lang w:val="fr-FR"/>
        </w:rPr>
        <w:t xml:space="preserve"> l’accréditation des organisations </w:t>
      </w:r>
      <w:r w:rsidR="00780305" w:rsidRPr="00F31C71">
        <w:rPr>
          <w:lang w:val="fr-FR"/>
        </w:rPr>
        <w:t xml:space="preserve">non gouvernementales à </w:t>
      </w:r>
      <w:r w:rsidR="00436400">
        <w:rPr>
          <w:lang w:val="fr-FR"/>
        </w:rPr>
        <w:t>l</w:t>
      </w:r>
      <w:r w:rsidR="00780305" w:rsidRPr="00F31C71">
        <w:rPr>
          <w:lang w:val="fr-FR"/>
        </w:rPr>
        <w:t>a dixième session</w:t>
      </w:r>
      <w:r w:rsidR="00714483">
        <w:rPr>
          <w:lang w:val="fr-FR"/>
        </w:rPr>
        <w:t> ;</w:t>
      </w:r>
      <w:r w:rsidR="00393517" w:rsidRPr="00F31C71">
        <w:rPr>
          <w:lang w:val="fr-FR"/>
        </w:rPr>
        <w:t xml:space="preserve"> </w:t>
      </w:r>
      <w:r w:rsidR="00780305" w:rsidRPr="00F31C71">
        <w:rPr>
          <w:rFonts w:eastAsia="SimSun"/>
          <w:lang w:val="fr-FR" w:eastAsia="zh-CN"/>
        </w:rPr>
        <w:t xml:space="preserve">cinq jours </w:t>
      </w:r>
      <w:r w:rsidR="00436400">
        <w:rPr>
          <w:rFonts w:eastAsia="SimSun"/>
          <w:lang w:val="fr-FR" w:eastAsia="zh-CN"/>
        </w:rPr>
        <w:t xml:space="preserve">étaient quand-même nécessaires </w:t>
      </w:r>
      <w:r w:rsidR="00780305" w:rsidRPr="00F31C71">
        <w:rPr>
          <w:rFonts w:eastAsia="SimSun"/>
          <w:lang w:val="fr-FR" w:eastAsia="zh-CN"/>
        </w:rPr>
        <w:t xml:space="preserve">pour </w:t>
      </w:r>
      <w:r w:rsidR="008310FA" w:rsidRPr="00F31C71">
        <w:rPr>
          <w:rFonts w:eastAsia="SimSun"/>
          <w:lang w:val="fr-FR" w:eastAsia="zh-CN"/>
        </w:rPr>
        <w:t>traiter</w:t>
      </w:r>
      <w:r w:rsidR="00780305" w:rsidRPr="00F31C71">
        <w:rPr>
          <w:rFonts w:eastAsia="SimSun"/>
          <w:lang w:val="fr-FR" w:eastAsia="zh-CN"/>
        </w:rPr>
        <w:t xml:space="preserve"> tous les points d</w:t>
      </w:r>
      <w:r w:rsidR="008310FA" w:rsidRPr="00F31C71">
        <w:rPr>
          <w:rFonts w:eastAsia="SimSun"/>
          <w:lang w:val="fr-FR" w:eastAsia="zh-CN"/>
        </w:rPr>
        <w:t>e son</w:t>
      </w:r>
      <w:r w:rsidR="00780305" w:rsidRPr="00F31C71">
        <w:rPr>
          <w:rFonts w:eastAsia="SimSun"/>
          <w:lang w:val="fr-FR" w:eastAsia="zh-CN"/>
        </w:rPr>
        <w:t xml:space="preserve"> ordre du jour</w:t>
      </w:r>
      <w:r w:rsidR="008310FA" w:rsidRPr="00F31C71">
        <w:rPr>
          <w:rFonts w:eastAsia="SimSun"/>
          <w:lang w:val="fr-FR" w:eastAsia="zh-CN"/>
        </w:rPr>
        <w:t>,</w:t>
      </w:r>
      <w:r w:rsidR="00780305" w:rsidRPr="00F31C71">
        <w:rPr>
          <w:rFonts w:eastAsia="SimSun"/>
          <w:lang w:val="fr-FR" w:eastAsia="zh-CN"/>
        </w:rPr>
        <w:t xml:space="preserve"> particulièrement chargé</w:t>
      </w:r>
      <w:r w:rsidR="00393517" w:rsidRPr="00F31C71">
        <w:rPr>
          <w:lang w:val="fr-FR"/>
        </w:rPr>
        <w:t xml:space="preserve">. </w:t>
      </w:r>
      <w:r w:rsidR="00780305" w:rsidRPr="00F31C71">
        <w:rPr>
          <w:lang w:val="fr-FR"/>
        </w:rPr>
        <w:t>L</w:t>
      </w:r>
      <w:r w:rsidR="00393517" w:rsidRPr="00F31C71">
        <w:rPr>
          <w:lang w:val="fr-FR"/>
        </w:rPr>
        <w:t>e Comit</w:t>
      </w:r>
      <w:r w:rsidR="00780305" w:rsidRPr="00F31C71">
        <w:rPr>
          <w:lang w:val="fr-FR"/>
        </w:rPr>
        <w:t>é</w:t>
      </w:r>
      <w:r w:rsidR="00393517" w:rsidRPr="00F31C71">
        <w:rPr>
          <w:lang w:val="fr-FR"/>
        </w:rPr>
        <w:t xml:space="preserve"> </w:t>
      </w:r>
      <w:r w:rsidR="008310FA" w:rsidRPr="00F31C71">
        <w:rPr>
          <w:lang w:val="fr-FR"/>
        </w:rPr>
        <w:t xml:space="preserve">souhaitera peut-être </w:t>
      </w:r>
      <w:r w:rsidR="00780305" w:rsidRPr="00F31C71">
        <w:rPr>
          <w:lang w:val="fr-FR"/>
        </w:rPr>
        <w:t xml:space="preserve">également </w:t>
      </w:r>
      <w:r w:rsidR="00B233E0" w:rsidRPr="00F31C71">
        <w:rPr>
          <w:lang w:val="fr-FR"/>
        </w:rPr>
        <w:t xml:space="preserve">tenir </w:t>
      </w:r>
      <w:r w:rsidR="00780305" w:rsidRPr="00F31C71">
        <w:rPr>
          <w:lang w:val="fr-FR"/>
        </w:rPr>
        <w:t xml:space="preserve">compte </w:t>
      </w:r>
      <w:r w:rsidR="00B233E0" w:rsidRPr="00F31C71">
        <w:rPr>
          <w:lang w:val="fr-FR"/>
        </w:rPr>
        <w:t>du</w:t>
      </w:r>
      <w:r w:rsidR="00780305" w:rsidRPr="00F31C71">
        <w:rPr>
          <w:lang w:val="fr-FR"/>
        </w:rPr>
        <w:t xml:space="preserve"> fait que d’autres affaires continueront à </w:t>
      </w:r>
      <w:r w:rsidR="00436400">
        <w:rPr>
          <w:lang w:val="fr-FR"/>
        </w:rPr>
        <w:t>réclamer</w:t>
      </w:r>
      <w:r w:rsidR="00436400" w:rsidRPr="00F31C71">
        <w:rPr>
          <w:lang w:val="fr-FR"/>
        </w:rPr>
        <w:t xml:space="preserve"> </w:t>
      </w:r>
      <w:r w:rsidR="00780305" w:rsidRPr="00F31C71">
        <w:rPr>
          <w:lang w:val="fr-FR"/>
        </w:rPr>
        <w:t>une attention croissante au cours de ses sessions</w:t>
      </w:r>
      <w:r w:rsidR="00393517" w:rsidRPr="00F31C71">
        <w:rPr>
          <w:lang w:val="fr-FR"/>
        </w:rPr>
        <w:t>.</w:t>
      </w:r>
    </w:p>
    <w:p w:rsidR="00393517" w:rsidRPr="00F31C71" w:rsidRDefault="001B6C88" w:rsidP="009E1B50">
      <w:pPr>
        <w:pStyle w:val="COMParabodytext"/>
        <w:rPr>
          <w:lang w:val="fr-FR"/>
        </w:rPr>
      </w:pPr>
      <w:r w:rsidRPr="00F31C71">
        <w:rPr>
          <w:lang w:val="fr-FR"/>
        </w:rPr>
        <w:t xml:space="preserve">Le Comité doit </w:t>
      </w:r>
      <w:r w:rsidR="00436400">
        <w:rPr>
          <w:lang w:val="fr-FR"/>
        </w:rPr>
        <w:t>également baser</w:t>
      </w:r>
      <w:r w:rsidRPr="00F31C71">
        <w:rPr>
          <w:lang w:val="fr-FR"/>
        </w:rPr>
        <w:t xml:space="preserve"> sa décision </w:t>
      </w:r>
      <w:r w:rsidR="00436400">
        <w:rPr>
          <w:lang w:val="fr-FR"/>
        </w:rPr>
        <w:t>sur l</w:t>
      </w:r>
      <w:r w:rsidRPr="00F31C71">
        <w:rPr>
          <w:lang w:val="fr-FR"/>
        </w:rPr>
        <w:t xml:space="preserve">es </w:t>
      </w:r>
      <w:r w:rsidR="00B233E0" w:rsidRPr="00F31C71">
        <w:rPr>
          <w:lang w:val="fr-FR"/>
        </w:rPr>
        <w:t>« </w:t>
      </w:r>
      <w:r w:rsidRPr="00F31C71">
        <w:rPr>
          <w:lang w:val="fr-FR"/>
        </w:rPr>
        <w:t>ressources disponibles</w:t>
      </w:r>
      <w:r w:rsidR="00B233E0" w:rsidRPr="00F31C71">
        <w:rPr>
          <w:lang w:val="fr-FR"/>
        </w:rPr>
        <w:t> »</w:t>
      </w:r>
      <w:r w:rsidRPr="00F31C71">
        <w:rPr>
          <w:lang w:val="fr-FR"/>
        </w:rPr>
        <w:t xml:space="preserve">. </w:t>
      </w:r>
      <w:r w:rsidR="00F20969" w:rsidRPr="00F31C71">
        <w:rPr>
          <w:lang w:val="fr-FR"/>
        </w:rPr>
        <w:t>Dans le contexte de</w:t>
      </w:r>
      <w:r w:rsidR="00B233E0" w:rsidRPr="00F31C71">
        <w:rPr>
          <w:lang w:val="fr-FR"/>
        </w:rPr>
        <w:t>s</w:t>
      </w:r>
      <w:r w:rsidR="00F20969" w:rsidRPr="00F31C71">
        <w:rPr>
          <w:lang w:val="fr-FR"/>
        </w:rPr>
        <w:t xml:space="preserve"> contraintes financières </w:t>
      </w:r>
      <w:r w:rsidR="00436400">
        <w:rPr>
          <w:lang w:val="fr-FR"/>
        </w:rPr>
        <w:t>imposées à</w:t>
      </w:r>
      <w:r w:rsidR="00436400" w:rsidRPr="00F31C71">
        <w:rPr>
          <w:lang w:val="fr-FR"/>
        </w:rPr>
        <w:t xml:space="preserve"> </w:t>
      </w:r>
      <w:r w:rsidR="00F20969" w:rsidRPr="00F31C71">
        <w:rPr>
          <w:lang w:val="fr-FR"/>
        </w:rPr>
        <w:t>l’Organisation, le</w:t>
      </w:r>
      <w:r w:rsidRPr="00F31C71">
        <w:rPr>
          <w:lang w:val="fr-FR"/>
        </w:rPr>
        <w:t>s activités et le</w:t>
      </w:r>
      <w:r w:rsidR="00436400">
        <w:rPr>
          <w:lang w:val="fr-FR"/>
        </w:rPr>
        <w:t>s</w:t>
      </w:r>
      <w:r w:rsidR="00F20969" w:rsidRPr="00F31C71">
        <w:rPr>
          <w:lang w:val="fr-FR"/>
        </w:rPr>
        <w:t xml:space="preserve"> </w:t>
      </w:r>
      <w:r w:rsidR="00436400">
        <w:rPr>
          <w:lang w:val="fr-FR"/>
        </w:rPr>
        <w:t>effectifs</w:t>
      </w:r>
      <w:r w:rsidR="00436400" w:rsidRPr="00F31C71">
        <w:rPr>
          <w:lang w:val="fr-FR"/>
        </w:rPr>
        <w:t xml:space="preserve"> </w:t>
      </w:r>
      <w:r w:rsidRPr="00F31C71">
        <w:rPr>
          <w:lang w:val="fr-FR"/>
        </w:rPr>
        <w:t>du Secrétariat de la Convention du patrimoine culturel immatériel continue</w:t>
      </w:r>
      <w:r w:rsidR="00436400">
        <w:rPr>
          <w:lang w:val="fr-FR"/>
        </w:rPr>
        <w:t>ro</w:t>
      </w:r>
      <w:r w:rsidRPr="00F31C71">
        <w:rPr>
          <w:lang w:val="fr-FR"/>
        </w:rPr>
        <w:t>nt d</w:t>
      </w:r>
      <w:r w:rsidR="004B3764" w:rsidRPr="00F31C71">
        <w:rPr>
          <w:lang w:val="fr-FR"/>
        </w:rPr>
        <w:t>’êtr</w:t>
      </w:r>
      <w:r w:rsidR="00F20969" w:rsidRPr="00F31C71">
        <w:rPr>
          <w:lang w:val="fr-FR"/>
        </w:rPr>
        <w:t xml:space="preserve">e </w:t>
      </w:r>
      <w:r w:rsidR="00436400">
        <w:rPr>
          <w:lang w:val="fr-FR"/>
        </w:rPr>
        <w:t>sérieusement touchés</w:t>
      </w:r>
      <w:r w:rsidR="00393517" w:rsidRPr="00F31C71">
        <w:rPr>
          <w:lang w:val="fr-FR"/>
        </w:rPr>
        <w:t>.</w:t>
      </w:r>
    </w:p>
    <w:p w:rsidR="00393517" w:rsidRPr="00F31C71" w:rsidRDefault="004B315F" w:rsidP="009E1B50">
      <w:pPr>
        <w:pStyle w:val="COMParabodytext"/>
        <w:rPr>
          <w:lang w:val="fr-FR"/>
        </w:rPr>
      </w:pPr>
      <w:r w:rsidRPr="00F31C71">
        <w:rPr>
          <w:lang w:val="fr-FR"/>
        </w:rPr>
        <w:t>Par conséquent, l</w:t>
      </w:r>
      <w:r w:rsidR="00393517" w:rsidRPr="00F31C71">
        <w:rPr>
          <w:lang w:val="fr-FR"/>
        </w:rPr>
        <w:t>e Comit</w:t>
      </w:r>
      <w:r w:rsidR="004B3764" w:rsidRPr="00F31C71">
        <w:rPr>
          <w:lang w:val="fr-FR"/>
        </w:rPr>
        <w:t xml:space="preserve">é </w:t>
      </w:r>
      <w:r w:rsidRPr="00F31C71">
        <w:rPr>
          <w:lang w:val="fr-FR"/>
        </w:rPr>
        <w:t>souhaitera peut-être</w:t>
      </w:r>
      <w:r w:rsidR="004B3764" w:rsidRPr="00F31C71">
        <w:rPr>
          <w:lang w:val="fr-FR"/>
        </w:rPr>
        <w:t xml:space="preserve"> reconfirmer le nombre de dossiers à traiter </w:t>
      </w:r>
      <w:r w:rsidR="00436400">
        <w:rPr>
          <w:lang w:val="fr-FR"/>
        </w:rPr>
        <w:t>durant le</w:t>
      </w:r>
      <w:r w:rsidR="004B3764" w:rsidRPr="00F31C71">
        <w:rPr>
          <w:lang w:val="fr-FR"/>
        </w:rPr>
        <w:t xml:space="preserve"> cycle </w:t>
      </w:r>
      <w:r w:rsidR="00393517" w:rsidRPr="00F31C71">
        <w:rPr>
          <w:lang w:val="fr-FR"/>
        </w:rPr>
        <w:t xml:space="preserve">2017 </w:t>
      </w:r>
      <w:r w:rsidR="004B3764" w:rsidRPr="00F31C71">
        <w:rPr>
          <w:lang w:val="fr-FR"/>
        </w:rPr>
        <w:t xml:space="preserve">et fixer le même nombre de dossiers pour le </w:t>
      </w:r>
      <w:r w:rsidR="00393517" w:rsidRPr="00F31C71">
        <w:rPr>
          <w:lang w:val="fr-FR"/>
        </w:rPr>
        <w:t xml:space="preserve">cycle 2018, </w:t>
      </w:r>
      <w:r w:rsidR="004B3764" w:rsidRPr="00F31C71">
        <w:rPr>
          <w:lang w:val="fr-FR"/>
        </w:rPr>
        <w:t xml:space="preserve">tout en </w:t>
      </w:r>
      <w:r w:rsidR="00BD10FC" w:rsidRPr="00F31C71">
        <w:rPr>
          <w:lang w:val="fr-FR"/>
        </w:rPr>
        <w:t xml:space="preserve">continuant à </w:t>
      </w:r>
      <w:r w:rsidRPr="00F31C71">
        <w:rPr>
          <w:lang w:val="fr-FR"/>
        </w:rPr>
        <w:t>respecter le</w:t>
      </w:r>
      <w:r w:rsidR="00BD10FC" w:rsidRPr="00F31C71">
        <w:rPr>
          <w:lang w:val="fr-FR"/>
        </w:rPr>
        <w:t xml:space="preserve"> principe d’un dossier p</w:t>
      </w:r>
      <w:r w:rsidR="00436400">
        <w:rPr>
          <w:lang w:val="fr-FR"/>
        </w:rPr>
        <w:t>a</w:t>
      </w:r>
      <w:r w:rsidR="00BD10FC" w:rsidRPr="00F31C71">
        <w:rPr>
          <w:lang w:val="fr-FR"/>
        </w:rPr>
        <w:t xml:space="preserve">r </w:t>
      </w:r>
      <w:r w:rsidR="00F31C71" w:rsidRPr="00F31C71">
        <w:rPr>
          <w:lang w:val="fr-FR"/>
        </w:rPr>
        <w:t>État</w:t>
      </w:r>
      <w:r w:rsidR="00BD10FC" w:rsidRPr="00F31C71">
        <w:rPr>
          <w:lang w:val="fr-FR"/>
        </w:rPr>
        <w:t xml:space="preserve"> soumissionnaire pendant chaque période de deux ans</w:t>
      </w:r>
      <w:r w:rsidR="00393517" w:rsidRPr="00F31C71">
        <w:rPr>
          <w:lang w:val="fr-FR"/>
        </w:rPr>
        <w:t>.</w:t>
      </w:r>
      <w:r w:rsidR="00393517" w:rsidRPr="00F31C71">
        <w:rPr>
          <w:rFonts w:eastAsia="SimSun"/>
          <w:lang w:val="fr-FR" w:eastAsia="en-GB"/>
        </w:rPr>
        <w:t xml:space="preserve"> I</w:t>
      </w:r>
      <w:r w:rsidR="00BD10FC" w:rsidRPr="00F31C71">
        <w:rPr>
          <w:rFonts w:eastAsia="SimSun"/>
          <w:lang w:val="fr-FR" w:eastAsia="en-GB"/>
        </w:rPr>
        <w:t xml:space="preserve">l pourrait également </w:t>
      </w:r>
      <w:r w:rsidR="00BF0543" w:rsidRPr="00F31C71">
        <w:rPr>
          <w:rFonts w:eastAsia="SimSun"/>
          <w:lang w:val="fr-FR" w:eastAsia="en-GB"/>
        </w:rPr>
        <w:t xml:space="preserve">renouveler sa </w:t>
      </w:r>
      <w:r w:rsidR="00BD10FC" w:rsidRPr="00F31C71">
        <w:rPr>
          <w:rFonts w:eastAsia="SimSun"/>
          <w:lang w:val="fr-FR" w:eastAsia="en-GB"/>
        </w:rPr>
        <w:t xml:space="preserve">demande que le </w:t>
      </w:r>
      <w:r w:rsidR="00393517" w:rsidRPr="00F31C71">
        <w:rPr>
          <w:lang w:val="fr-FR"/>
        </w:rPr>
        <w:t>Secr</w:t>
      </w:r>
      <w:r w:rsidR="00BD10FC" w:rsidRPr="00F31C71">
        <w:rPr>
          <w:lang w:val="fr-FR"/>
        </w:rPr>
        <w:t>é</w:t>
      </w:r>
      <w:r w:rsidR="00393517" w:rsidRPr="00F31C71">
        <w:rPr>
          <w:lang w:val="fr-FR"/>
        </w:rPr>
        <w:t xml:space="preserve">tariat exerce </w:t>
      </w:r>
      <w:r w:rsidR="00BD10FC" w:rsidRPr="00F31C71">
        <w:rPr>
          <w:lang w:val="fr-FR"/>
        </w:rPr>
        <w:t xml:space="preserve">une certaine </w:t>
      </w:r>
      <w:r w:rsidR="00393517" w:rsidRPr="00F31C71">
        <w:rPr>
          <w:lang w:val="fr-FR"/>
        </w:rPr>
        <w:t>flexibilit</w:t>
      </w:r>
      <w:r w:rsidR="00BD10FC" w:rsidRPr="00F31C71">
        <w:rPr>
          <w:lang w:val="fr-FR"/>
        </w:rPr>
        <w:t>é</w:t>
      </w:r>
      <w:r w:rsidR="00393517" w:rsidRPr="00F31C71">
        <w:rPr>
          <w:lang w:val="fr-FR"/>
        </w:rPr>
        <w:t xml:space="preserve"> </w:t>
      </w:r>
      <w:r w:rsidR="00BD10FC" w:rsidRPr="00F31C71">
        <w:rPr>
          <w:lang w:val="fr-FR"/>
        </w:rPr>
        <w:t>dans l’application de ce</w:t>
      </w:r>
      <w:r w:rsidR="00BF0543" w:rsidRPr="00F31C71">
        <w:rPr>
          <w:lang w:val="fr-FR"/>
        </w:rPr>
        <w:t>s limites</w:t>
      </w:r>
      <w:r w:rsidR="00BD10FC" w:rsidRPr="00F31C71">
        <w:rPr>
          <w:lang w:val="fr-FR"/>
        </w:rPr>
        <w:t>, afin d</w:t>
      </w:r>
      <w:r w:rsidR="00436400">
        <w:rPr>
          <w:lang w:val="fr-FR"/>
        </w:rPr>
        <w:t>’offrir</w:t>
      </w:r>
      <w:r w:rsidR="00714483">
        <w:rPr>
          <w:lang w:val="fr-FR"/>
        </w:rPr>
        <w:t xml:space="preserve"> </w:t>
      </w:r>
      <w:r w:rsidR="00BD10FC" w:rsidRPr="00F31C71">
        <w:rPr>
          <w:lang w:val="fr-FR"/>
        </w:rPr>
        <w:t xml:space="preserve">une plus grande équité entre </w:t>
      </w:r>
      <w:r w:rsidR="00F31C71" w:rsidRPr="00F31C71">
        <w:rPr>
          <w:lang w:val="fr-FR"/>
        </w:rPr>
        <w:t>États</w:t>
      </w:r>
      <w:r w:rsidR="00BD10FC" w:rsidRPr="00F31C71">
        <w:rPr>
          <w:lang w:val="fr-FR"/>
        </w:rPr>
        <w:t xml:space="preserve"> soumissionnaires </w:t>
      </w:r>
      <w:r w:rsidR="00436400">
        <w:rPr>
          <w:lang w:val="fr-FR"/>
        </w:rPr>
        <w:t>bénéficiant du même degré</w:t>
      </w:r>
      <w:r w:rsidR="006C6ADC" w:rsidRPr="00F31C71">
        <w:rPr>
          <w:lang w:val="fr-FR"/>
        </w:rPr>
        <w:t xml:space="preserve"> de priorité</w:t>
      </w:r>
      <w:r w:rsidR="00393517" w:rsidRPr="00F31C71">
        <w:rPr>
          <w:lang w:val="fr-FR"/>
        </w:rPr>
        <w:t>.</w:t>
      </w:r>
    </w:p>
    <w:p w:rsidR="0057439C" w:rsidRPr="00F31C71" w:rsidRDefault="009E1B50" w:rsidP="001A070E">
      <w:pPr>
        <w:pStyle w:val="COMParabodytext"/>
        <w:pageBreakBefore/>
        <w:rPr>
          <w:lang w:val="fr-FR"/>
        </w:rPr>
      </w:pPr>
      <w:bookmarkStart w:id="0" w:name="_GoBack"/>
      <w:bookmarkEnd w:id="0"/>
      <w:r w:rsidRPr="00F31C71">
        <w:rPr>
          <w:rFonts w:eastAsia="SimSun"/>
          <w:lang w:val="fr-FR"/>
        </w:rPr>
        <w:t>Le Comité souhaitera peut-être adopter la décision suivante</w:t>
      </w:r>
      <w:r w:rsidR="00B90701" w:rsidRPr="00F31C71">
        <w:rPr>
          <w:rFonts w:eastAsia="SimSun"/>
          <w:lang w:val="fr-FR"/>
        </w:rPr>
        <w:t> </w:t>
      </w:r>
      <w:r w:rsidR="00962119" w:rsidRPr="00F31C71">
        <w:rPr>
          <w:rFonts w:eastAsia="SimSun"/>
          <w:lang w:val="fr-FR"/>
        </w:rPr>
        <w:t>:</w:t>
      </w:r>
    </w:p>
    <w:p w:rsidR="0057439C" w:rsidRPr="00F31C71" w:rsidRDefault="009E1B50" w:rsidP="001A766C">
      <w:pPr>
        <w:pStyle w:val="GATitleResolution"/>
      </w:pPr>
      <w:r w:rsidRPr="00F31C71">
        <w:t>PROJET DE DÉCIS</w:t>
      </w:r>
      <w:r w:rsidR="00165170" w:rsidRPr="00F31C71">
        <w:t>ION 10</w:t>
      </w:r>
      <w:r w:rsidR="00BC3420" w:rsidRPr="00F31C71">
        <w:t>.COM</w:t>
      </w:r>
      <w:r w:rsidR="00962119" w:rsidRPr="00F31C71">
        <w:t xml:space="preserve"> </w:t>
      </w:r>
      <w:r w:rsidR="00DE45D2">
        <w:t>13</w:t>
      </w:r>
    </w:p>
    <w:p w:rsidR="0057439C" w:rsidRPr="00F31C71" w:rsidRDefault="00E62B4C" w:rsidP="001E5521">
      <w:pPr>
        <w:pStyle w:val="COMPreambulaDecision"/>
      </w:pPr>
      <w:r w:rsidRPr="00F31C71">
        <w:t>Le Comité</w:t>
      </w:r>
      <w:r w:rsidR="00962119" w:rsidRPr="00F31C71">
        <w:t>,</w:t>
      </w:r>
    </w:p>
    <w:p w:rsidR="0057439C" w:rsidRPr="00F31C71" w:rsidRDefault="00DB4A84" w:rsidP="001E5521">
      <w:pPr>
        <w:pStyle w:val="COMParaDecision"/>
      </w:pPr>
      <w:r w:rsidRPr="00F31C71">
        <w:t>Ayant examiné</w:t>
      </w:r>
      <w:r w:rsidRPr="00F31C71">
        <w:rPr>
          <w:u w:val="none"/>
        </w:rPr>
        <w:t xml:space="preserve"> le document</w:t>
      </w:r>
      <w:r w:rsidR="00764CF9" w:rsidRPr="00F31C71">
        <w:rPr>
          <w:u w:val="none"/>
        </w:rPr>
        <w:t xml:space="preserve"> ITH/15/10</w:t>
      </w:r>
      <w:r w:rsidR="00BC3420" w:rsidRPr="00F31C71">
        <w:rPr>
          <w:u w:val="none"/>
        </w:rPr>
        <w:t>.COM</w:t>
      </w:r>
      <w:r w:rsidR="0057439C" w:rsidRPr="00F31C71">
        <w:rPr>
          <w:u w:val="none"/>
        </w:rPr>
        <w:t>/</w:t>
      </w:r>
      <w:r w:rsidR="00393517" w:rsidRPr="006016A7">
        <w:rPr>
          <w:u w:val="none"/>
        </w:rPr>
        <w:t>1</w:t>
      </w:r>
      <w:r w:rsidR="00DE45D2">
        <w:rPr>
          <w:u w:val="none"/>
        </w:rPr>
        <w:t>3</w:t>
      </w:r>
    </w:p>
    <w:p w:rsidR="0057439C" w:rsidRPr="00F31C71" w:rsidRDefault="00DB4A84" w:rsidP="001E5521">
      <w:pPr>
        <w:pStyle w:val="COMParaDecision"/>
        <w:rPr>
          <w:u w:val="none"/>
        </w:rPr>
      </w:pPr>
      <w:r w:rsidRPr="00F31C71">
        <w:t>Rappelant</w:t>
      </w:r>
      <w:r w:rsidRPr="00F31C71">
        <w:rPr>
          <w:u w:val="none"/>
        </w:rPr>
        <w:t xml:space="preserve"> </w:t>
      </w:r>
      <w:r w:rsidR="00845A54" w:rsidRPr="00F31C71">
        <w:rPr>
          <w:u w:val="none"/>
        </w:rPr>
        <w:t xml:space="preserve">les </w:t>
      </w:r>
      <w:r w:rsidR="001C18E7" w:rsidRPr="00F31C71">
        <w:rPr>
          <w:rFonts w:eastAsia="SimSun"/>
          <w:u w:val="none"/>
        </w:rPr>
        <w:t>paragraph</w:t>
      </w:r>
      <w:r w:rsidR="00845A54" w:rsidRPr="00F31C71">
        <w:rPr>
          <w:rFonts w:eastAsia="SimSun"/>
          <w:u w:val="none"/>
        </w:rPr>
        <w:t>e</w:t>
      </w:r>
      <w:r w:rsidR="001C18E7" w:rsidRPr="00F31C71">
        <w:rPr>
          <w:rFonts w:eastAsia="SimSun"/>
          <w:u w:val="none"/>
        </w:rPr>
        <w:t xml:space="preserve">s 33 </w:t>
      </w:r>
      <w:r w:rsidR="00845A54" w:rsidRPr="00F31C71">
        <w:rPr>
          <w:rFonts w:eastAsia="SimSun"/>
          <w:u w:val="none"/>
        </w:rPr>
        <w:t>et</w:t>
      </w:r>
      <w:r w:rsidR="001C18E7" w:rsidRPr="00F31C71">
        <w:rPr>
          <w:rFonts w:eastAsia="SimSun"/>
          <w:u w:val="none"/>
        </w:rPr>
        <w:t xml:space="preserve"> 34 </w:t>
      </w:r>
      <w:r w:rsidR="00845A54" w:rsidRPr="00F31C71">
        <w:rPr>
          <w:rFonts w:eastAsia="SimSun"/>
          <w:u w:val="none"/>
        </w:rPr>
        <w:t>des</w:t>
      </w:r>
      <w:r w:rsidR="001C18E7" w:rsidRPr="00F31C71">
        <w:rPr>
          <w:rFonts w:eastAsia="SimSun"/>
          <w:u w:val="none"/>
        </w:rPr>
        <w:t xml:space="preserve"> Directives</w:t>
      </w:r>
      <w:r w:rsidR="00845A54" w:rsidRPr="00F31C71">
        <w:rPr>
          <w:rFonts w:eastAsia="SimSun"/>
          <w:u w:val="none"/>
        </w:rPr>
        <w:t xml:space="preserve"> opérationnelles ainsi que sa dé</w:t>
      </w:r>
      <w:r w:rsidR="001C18E7" w:rsidRPr="00F31C71">
        <w:rPr>
          <w:rFonts w:eastAsia="SimSun"/>
          <w:u w:val="none"/>
        </w:rPr>
        <w:t>cision 9.COM 12,</w:t>
      </w:r>
    </w:p>
    <w:p w:rsidR="001C18E7" w:rsidRPr="00F31C71" w:rsidRDefault="00436400" w:rsidP="001E5521">
      <w:pPr>
        <w:pStyle w:val="COMParaDecision"/>
      </w:pPr>
      <w:r>
        <w:t>Prenant n</w:t>
      </w:r>
      <w:r w:rsidR="001C18E7" w:rsidRPr="00F31C71">
        <w:t>ot</w:t>
      </w:r>
      <w:r>
        <w:t>e</w:t>
      </w:r>
      <w:r w:rsidR="001C18E7" w:rsidRPr="00F31C71">
        <w:t xml:space="preserve"> </w:t>
      </w:r>
      <w:r w:rsidR="00845A54" w:rsidRPr="00F31C71">
        <w:rPr>
          <w:rFonts w:eastAsia="SimSun"/>
          <w:snapToGrid w:val="0"/>
          <w:u w:val="none"/>
          <w:lang w:eastAsia="en-US"/>
        </w:rPr>
        <w:t xml:space="preserve">que le nombre de dossiers traités pour le cycle </w:t>
      </w:r>
      <w:r w:rsidR="001C18E7" w:rsidRPr="00F31C71">
        <w:rPr>
          <w:rFonts w:eastAsia="SimSun"/>
          <w:snapToGrid w:val="0"/>
          <w:u w:val="none"/>
          <w:lang w:eastAsia="en-US"/>
        </w:rPr>
        <w:t xml:space="preserve">2016 </w:t>
      </w:r>
      <w:r w:rsidR="00845A54" w:rsidRPr="00F31C71">
        <w:rPr>
          <w:rFonts w:eastAsia="SimSun"/>
          <w:snapToGrid w:val="0"/>
          <w:u w:val="none"/>
          <w:lang w:eastAsia="en-US"/>
        </w:rPr>
        <w:t>est de</w:t>
      </w:r>
      <w:r w:rsidR="001C18E7" w:rsidRPr="00F31C71">
        <w:rPr>
          <w:rFonts w:eastAsia="SimSun"/>
          <w:snapToGrid w:val="0"/>
          <w:u w:val="none"/>
          <w:lang w:eastAsia="en-US"/>
        </w:rPr>
        <w:t xml:space="preserve"> 51, repr</w:t>
      </w:r>
      <w:r w:rsidR="00845A54" w:rsidRPr="00F31C71">
        <w:rPr>
          <w:rFonts w:eastAsia="SimSun"/>
          <w:snapToGrid w:val="0"/>
          <w:u w:val="none"/>
          <w:lang w:eastAsia="en-US"/>
        </w:rPr>
        <w:t>é</w:t>
      </w:r>
      <w:r w:rsidR="001C18E7" w:rsidRPr="00F31C71">
        <w:rPr>
          <w:rFonts w:eastAsia="SimSun"/>
          <w:snapToGrid w:val="0"/>
          <w:u w:val="none"/>
          <w:lang w:eastAsia="en-US"/>
        </w:rPr>
        <w:t>sent</w:t>
      </w:r>
      <w:r w:rsidR="00845A54" w:rsidRPr="00F31C71">
        <w:rPr>
          <w:rFonts w:eastAsia="SimSun"/>
          <w:snapToGrid w:val="0"/>
          <w:u w:val="none"/>
          <w:lang w:eastAsia="en-US"/>
        </w:rPr>
        <w:t>a</w:t>
      </w:r>
      <w:r w:rsidR="001C18E7" w:rsidRPr="00F31C71">
        <w:rPr>
          <w:rFonts w:eastAsia="SimSun"/>
          <w:snapToGrid w:val="0"/>
          <w:u w:val="none"/>
          <w:lang w:eastAsia="en-US"/>
        </w:rPr>
        <w:t>n</w:t>
      </w:r>
      <w:r w:rsidR="00845A54" w:rsidRPr="00F31C71">
        <w:rPr>
          <w:rFonts w:eastAsia="SimSun"/>
          <w:snapToGrid w:val="0"/>
          <w:u w:val="none"/>
          <w:lang w:eastAsia="en-US"/>
        </w:rPr>
        <w:t>t</w:t>
      </w:r>
      <w:r w:rsidR="001C18E7" w:rsidRPr="00F31C71">
        <w:rPr>
          <w:rFonts w:eastAsia="SimSun"/>
          <w:snapToGrid w:val="0"/>
          <w:u w:val="none"/>
          <w:lang w:eastAsia="en-US"/>
        </w:rPr>
        <w:t xml:space="preserve"> 62 </w:t>
      </w:r>
      <w:r w:rsidR="00F31C71" w:rsidRPr="00F31C71">
        <w:rPr>
          <w:rFonts w:eastAsia="SimSun"/>
          <w:snapToGrid w:val="0"/>
          <w:u w:val="none"/>
          <w:lang w:eastAsia="en-US"/>
        </w:rPr>
        <w:t>États</w:t>
      </w:r>
      <w:r w:rsidR="00845A54" w:rsidRPr="00F31C71">
        <w:rPr>
          <w:rFonts w:eastAsia="SimSun"/>
          <w:snapToGrid w:val="0"/>
          <w:u w:val="none"/>
          <w:lang w:eastAsia="en-US"/>
        </w:rPr>
        <w:t xml:space="preserve"> soumissionnaires,</w:t>
      </w:r>
    </w:p>
    <w:p w:rsidR="001C18E7" w:rsidRPr="00F31C71" w:rsidRDefault="001C18E7" w:rsidP="001E5521">
      <w:pPr>
        <w:pStyle w:val="COMParaDecision"/>
      </w:pPr>
      <w:r w:rsidRPr="00F31C71">
        <w:t>Considérant</w:t>
      </w:r>
      <w:r w:rsidRPr="00F31C71">
        <w:rPr>
          <w:u w:val="none"/>
        </w:rPr>
        <w:t xml:space="preserve"> </w:t>
      </w:r>
      <w:r w:rsidR="00845A54" w:rsidRPr="00F31C71">
        <w:rPr>
          <w:u w:val="none"/>
        </w:rPr>
        <w:t>que</w:t>
      </w:r>
      <w:r w:rsidRPr="00F31C71">
        <w:rPr>
          <w:rFonts w:eastAsia="SimSun"/>
          <w:snapToGrid w:val="0"/>
          <w:u w:val="none"/>
          <w:lang w:eastAsia="en-US"/>
        </w:rPr>
        <w:t xml:space="preserve"> s</w:t>
      </w:r>
      <w:r w:rsidR="006E4573" w:rsidRPr="00F31C71">
        <w:rPr>
          <w:rFonts w:eastAsia="SimSun"/>
          <w:snapToGrid w:val="0"/>
          <w:u w:val="none"/>
          <w:lang w:eastAsia="en-US"/>
        </w:rPr>
        <w:t>es</w:t>
      </w:r>
      <w:r w:rsidRPr="00F31C71">
        <w:rPr>
          <w:rFonts w:eastAsia="SimSun"/>
          <w:snapToGrid w:val="0"/>
          <w:u w:val="none"/>
          <w:lang w:eastAsia="en-US"/>
        </w:rPr>
        <w:t xml:space="preserve"> capacit</w:t>
      </w:r>
      <w:r w:rsidR="006E4573" w:rsidRPr="00F31C71">
        <w:rPr>
          <w:rFonts w:eastAsia="SimSun"/>
          <w:snapToGrid w:val="0"/>
          <w:u w:val="none"/>
          <w:lang w:eastAsia="en-US"/>
        </w:rPr>
        <w:t>és</w:t>
      </w:r>
      <w:r w:rsidRPr="00F31C71">
        <w:rPr>
          <w:rFonts w:eastAsia="SimSun"/>
          <w:snapToGrid w:val="0"/>
          <w:u w:val="none"/>
          <w:lang w:eastAsia="en-US"/>
        </w:rPr>
        <w:t xml:space="preserve"> </w:t>
      </w:r>
      <w:r w:rsidR="006E4573" w:rsidRPr="00F31C71">
        <w:rPr>
          <w:rFonts w:eastAsia="SimSun"/>
          <w:snapToGrid w:val="0"/>
          <w:u w:val="none"/>
          <w:lang w:eastAsia="en-US"/>
        </w:rPr>
        <w:t>d’exam</w:t>
      </w:r>
      <w:r w:rsidR="00436400">
        <w:rPr>
          <w:rFonts w:eastAsia="SimSun"/>
          <w:snapToGrid w:val="0"/>
          <w:u w:val="none"/>
          <w:lang w:eastAsia="en-US"/>
        </w:rPr>
        <w:t>iner</w:t>
      </w:r>
      <w:r w:rsidR="006E4573" w:rsidRPr="00F31C71">
        <w:rPr>
          <w:rFonts w:eastAsia="SimSun"/>
          <w:snapToGrid w:val="0"/>
          <w:u w:val="none"/>
          <w:lang w:eastAsia="en-US"/>
        </w:rPr>
        <w:t xml:space="preserve"> </w:t>
      </w:r>
      <w:r w:rsidR="00436400">
        <w:rPr>
          <w:rFonts w:eastAsia="SimSun"/>
          <w:snapToGrid w:val="0"/>
          <w:u w:val="none"/>
          <w:lang w:eastAsia="en-US"/>
        </w:rPr>
        <w:t>l</w:t>
      </w:r>
      <w:r w:rsidR="006E4573" w:rsidRPr="00F31C71">
        <w:rPr>
          <w:rFonts w:eastAsia="SimSun"/>
          <w:snapToGrid w:val="0"/>
          <w:u w:val="none"/>
          <w:lang w:eastAsia="en-US"/>
        </w:rPr>
        <w:t xml:space="preserve">es dossiers </w:t>
      </w:r>
      <w:r w:rsidR="00436400">
        <w:rPr>
          <w:rFonts w:eastAsia="SimSun"/>
          <w:snapToGrid w:val="0"/>
          <w:u w:val="none"/>
          <w:lang w:eastAsia="en-US"/>
        </w:rPr>
        <w:t>lors</w:t>
      </w:r>
      <w:r w:rsidR="006E4573" w:rsidRPr="00F31C71">
        <w:rPr>
          <w:rFonts w:eastAsia="SimSun"/>
          <w:snapToGrid w:val="0"/>
          <w:u w:val="none"/>
          <w:lang w:eastAsia="en-US"/>
        </w:rPr>
        <w:t xml:space="preserve"> d’une </w:t>
      </w:r>
      <w:r w:rsidRPr="00F31C71">
        <w:rPr>
          <w:rFonts w:eastAsia="SimSun"/>
          <w:snapToGrid w:val="0"/>
          <w:u w:val="none"/>
          <w:lang w:eastAsia="en-US"/>
        </w:rPr>
        <w:t xml:space="preserve">session </w:t>
      </w:r>
      <w:r w:rsidR="006E4573" w:rsidRPr="00F31C71">
        <w:rPr>
          <w:rFonts w:eastAsia="SimSun"/>
          <w:snapToGrid w:val="0"/>
          <w:u w:val="none"/>
          <w:lang w:eastAsia="en-US"/>
        </w:rPr>
        <w:t xml:space="preserve">restent limitées, </w:t>
      </w:r>
      <w:r w:rsidR="00436400">
        <w:rPr>
          <w:rFonts w:eastAsia="SimSun"/>
          <w:snapToGrid w:val="0"/>
          <w:u w:val="none"/>
          <w:lang w:eastAsia="en-US"/>
        </w:rPr>
        <w:t>de</w:t>
      </w:r>
      <w:r w:rsidR="00436400" w:rsidRPr="00F31C71">
        <w:rPr>
          <w:rFonts w:eastAsia="SimSun"/>
          <w:snapToGrid w:val="0"/>
          <w:u w:val="none"/>
          <w:lang w:eastAsia="en-US"/>
        </w:rPr>
        <w:t xml:space="preserve"> </w:t>
      </w:r>
      <w:r w:rsidR="00437961" w:rsidRPr="00F31C71">
        <w:rPr>
          <w:rFonts w:eastAsia="SimSun"/>
          <w:snapToGrid w:val="0"/>
          <w:u w:val="none"/>
          <w:lang w:eastAsia="en-US"/>
        </w:rPr>
        <w:t>même que</w:t>
      </w:r>
      <w:r w:rsidR="006E4573" w:rsidRPr="00F31C71">
        <w:rPr>
          <w:rFonts w:eastAsia="SimSun"/>
          <w:snapToGrid w:val="0"/>
          <w:u w:val="none"/>
          <w:lang w:eastAsia="en-US"/>
        </w:rPr>
        <w:t xml:space="preserve"> les capacités et les ressources humaines du </w:t>
      </w:r>
      <w:r w:rsidRPr="00F31C71">
        <w:rPr>
          <w:rFonts w:eastAsia="SimSun"/>
          <w:snapToGrid w:val="0"/>
          <w:u w:val="none"/>
          <w:lang w:eastAsia="en-US"/>
        </w:rPr>
        <w:t>Secr</w:t>
      </w:r>
      <w:r w:rsidR="006E4573" w:rsidRPr="00F31C71">
        <w:rPr>
          <w:rFonts w:eastAsia="SimSun"/>
          <w:snapToGrid w:val="0"/>
          <w:u w:val="none"/>
          <w:lang w:eastAsia="en-US"/>
        </w:rPr>
        <w:t>é</w:t>
      </w:r>
      <w:r w:rsidRPr="00F31C71">
        <w:rPr>
          <w:rFonts w:eastAsia="SimSun"/>
          <w:snapToGrid w:val="0"/>
          <w:u w:val="none"/>
          <w:lang w:eastAsia="en-US"/>
        </w:rPr>
        <w:t>tariat,</w:t>
      </w:r>
    </w:p>
    <w:p w:rsidR="00573F5F" w:rsidRPr="00F31C71" w:rsidRDefault="00573F5F" w:rsidP="001E5521">
      <w:pPr>
        <w:pStyle w:val="COMParaDecision"/>
      </w:pPr>
      <w:r w:rsidRPr="00F31C71">
        <w:rPr>
          <w:rFonts w:eastAsia="SimSun"/>
        </w:rPr>
        <w:t>R</w:t>
      </w:r>
      <w:r w:rsidR="006E4573" w:rsidRPr="00F31C71">
        <w:rPr>
          <w:rFonts w:eastAsia="SimSun"/>
        </w:rPr>
        <w:t>é</w:t>
      </w:r>
      <w:r w:rsidRPr="00F31C71">
        <w:rPr>
          <w:rFonts w:eastAsia="SimSun"/>
        </w:rPr>
        <w:t>affirm</w:t>
      </w:r>
      <w:r w:rsidR="006E4573" w:rsidRPr="00F31C71">
        <w:rPr>
          <w:rFonts w:eastAsia="SimSun"/>
        </w:rPr>
        <w:t>e</w:t>
      </w:r>
      <w:r w:rsidR="006E4573" w:rsidRPr="00F31C71">
        <w:rPr>
          <w:rFonts w:eastAsia="SimSun"/>
          <w:u w:val="none"/>
        </w:rPr>
        <w:t xml:space="preserve"> que les </w:t>
      </w:r>
      <w:r w:rsidR="00F31C71" w:rsidRPr="00F31C71">
        <w:rPr>
          <w:rFonts w:eastAsia="SimSun"/>
          <w:u w:val="none"/>
        </w:rPr>
        <w:t>États</w:t>
      </w:r>
      <w:r w:rsidR="006E4573" w:rsidRPr="00F31C71">
        <w:rPr>
          <w:rFonts w:eastAsia="SimSun"/>
          <w:u w:val="none"/>
        </w:rPr>
        <w:t xml:space="preserve"> parties </w:t>
      </w:r>
      <w:r w:rsidR="00E0730E">
        <w:rPr>
          <w:rFonts w:eastAsia="SimSun"/>
          <w:u w:val="none"/>
        </w:rPr>
        <w:t>ayant</w:t>
      </w:r>
      <w:r w:rsidR="006E4573" w:rsidRPr="00F31C71">
        <w:rPr>
          <w:rFonts w:eastAsia="SimSun"/>
          <w:u w:val="none"/>
        </w:rPr>
        <w:t xml:space="preserve"> soumis des dossiers </w:t>
      </w:r>
      <w:r w:rsidR="00E0730E">
        <w:rPr>
          <w:rFonts w:eastAsia="SimSun"/>
          <w:u w:val="none"/>
        </w:rPr>
        <w:t>ne pouvant</w:t>
      </w:r>
      <w:r w:rsidR="006E4573" w:rsidRPr="00F31C71">
        <w:rPr>
          <w:rFonts w:eastAsia="SimSun"/>
          <w:u w:val="none"/>
        </w:rPr>
        <w:t xml:space="preserve"> être traités au cours du cycle </w:t>
      </w:r>
      <w:r w:rsidRPr="00F31C71">
        <w:rPr>
          <w:rFonts w:eastAsia="SimSun"/>
          <w:u w:val="none"/>
        </w:rPr>
        <w:t xml:space="preserve">2016 </w:t>
      </w:r>
      <w:r w:rsidR="006E4573" w:rsidRPr="00F31C71">
        <w:rPr>
          <w:rFonts w:eastAsia="SimSun"/>
          <w:u w:val="none"/>
        </w:rPr>
        <w:t>verront leurs dossiers examinés en priorité au cours du c</w:t>
      </w:r>
      <w:r w:rsidRPr="00F31C71">
        <w:rPr>
          <w:rFonts w:eastAsia="SimSun"/>
          <w:u w:val="none"/>
        </w:rPr>
        <w:t>ycle 2017</w:t>
      </w:r>
      <w:r w:rsidR="006E4573" w:rsidRPr="00F31C71">
        <w:rPr>
          <w:rFonts w:eastAsia="SimSun"/>
          <w:u w:val="none"/>
        </w:rPr>
        <w:t xml:space="preserve">, </w:t>
      </w:r>
      <w:r w:rsidR="00E0730E">
        <w:rPr>
          <w:rFonts w:eastAsia="SimSun"/>
          <w:u w:val="none"/>
        </w:rPr>
        <w:t>suivant</w:t>
      </w:r>
      <w:r w:rsidR="00E0730E" w:rsidRPr="00F31C71">
        <w:rPr>
          <w:rFonts w:eastAsia="SimSun"/>
          <w:u w:val="none"/>
        </w:rPr>
        <w:t xml:space="preserve"> </w:t>
      </w:r>
      <w:r w:rsidR="00437961" w:rsidRPr="00F31C71">
        <w:rPr>
          <w:rFonts w:eastAsia="SimSun"/>
          <w:u w:val="none"/>
        </w:rPr>
        <w:t>le</w:t>
      </w:r>
      <w:r w:rsidR="006E4573" w:rsidRPr="00F31C71">
        <w:rPr>
          <w:rFonts w:eastAsia="SimSun"/>
          <w:u w:val="none"/>
        </w:rPr>
        <w:t xml:space="preserve"> principe d’un dossier par </w:t>
      </w:r>
      <w:r w:rsidR="00F31C71" w:rsidRPr="00F31C71">
        <w:rPr>
          <w:rFonts w:eastAsia="SimSun"/>
          <w:u w:val="none"/>
        </w:rPr>
        <w:t>État</w:t>
      </w:r>
      <w:r w:rsidR="006E4573" w:rsidRPr="00F31C71">
        <w:rPr>
          <w:rFonts w:eastAsia="SimSun"/>
          <w:u w:val="none"/>
        </w:rPr>
        <w:t xml:space="preserve"> soumissionnaire </w:t>
      </w:r>
      <w:r w:rsidR="007C2127" w:rsidRPr="00F31C71">
        <w:rPr>
          <w:rFonts w:eastAsia="SimSun"/>
          <w:u w:val="none"/>
        </w:rPr>
        <w:t>au cours de la période de deux ans</w:t>
      </w:r>
      <w:r w:rsidRPr="00F31C71">
        <w:rPr>
          <w:rFonts w:eastAsia="SimSun"/>
          <w:u w:val="none"/>
        </w:rPr>
        <w:t xml:space="preserve"> (</w:t>
      </w:r>
      <w:r w:rsidR="007C2127" w:rsidRPr="00F31C71">
        <w:rPr>
          <w:rFonts w:eastAsia="SimSun"/>
          <w:u w:val="none"/>
        </w:rPr>
        <w:t>dé</w:t>
      </w:r>
      <w:r w:rsidRPr="00F31C71">
        <w:rPr>
          <w:rFonts w:eastAsia="SimSun"/>
          <w:u w:val="none"/>
        </w:rPr>
        <w:t>cision 9.COM 12);</w:t>
      </w:r>
    </w:p>
    <w:p w:rsidR="00443880" w:rsidRPr="00F31C71" w:rsidRDefault="00573F5F" w:rsidP="001E5521">
      <w:pPr>
        <w:pStyle w:val="COMParaDecision"/>
        <w:rPr>
          <w:u w:val="none"/>
        </w:rPr>
      </w:pPr>
      <w:r w:rsidRPr="00F31C71">
        <w:t>Décide</w:t>
      </w:r>
      <w:r w:rsidRPr="00F31C71">
        <w:rPr>
          <w:u w:val="none"/>
        </w:rPr>
        <w:t xml:space="preserve"> </w:t>
      </w:r>
      <w:r w:rsidR="00C076B2" w:rsidRPr="00F31C71">
        <w:rPr>
          <w:u w:val="none"/>
        </w:rPr>
        <w:t>qu’au cours des cycles</w:t>
      </w:r>
      <w:r w:rsidRPr="00F31C71">
        <w:rPr>
          <w:rFonts w:eastAsia="SimSun"/>
          <w:u w:val="none"/>
        </w:rPr>
        <w:t xml:space="preserve"> 2017 </w:t>
      </w:r>
      <w:r w:rsidR="00C076B2" w:rsidRPr="00F31C71">
        <w:rPr>
          <w:rFonts w:eastAsia="SimSun"/>
          <w:u w:val="none"/>
        </w:rPr>
        <w:t>et</w:t>
      </w:r>
      <w:r w:rsidRPr="00F31C71">
        <w:rPr>
          <w:rFonts w:eastAsia="SimSun"/>
          <w:u w:val="none"/>
        </w:rPr>
        <w:t xml:space="preserve"> 2018, </w:t>
      </w:r>
      <w:r w:rsidR="00C076B2" w:rsidRPr="00F31C71">
        <w:rPr>
          <w:rFonts w:eastAsia="SimSun"/>
          <w:u w:val="none"/>
        </w:rPr>
        <w:t>l</w:t>
      </w:r>
      <w:r w:rsidRPr="00F31C71">
        <w:rPr>
          <w:rFonts w:eastAsia="SimSun"/>
          <w:u w:val="none"/>
        </w:rPr>
        <w:t>e n</w:t>
      </w:r>
      <w:r w:rsidR="00C076B2" w:rsidRPr="00F31C71">
        <w:rPr>
          <w:rFonts w:eastAsia="SimSun"/>
          <w:u w:val="none"/>
        </w:rPr>
        <w:t>o</w:t>
      </w:r>
      <w:r w:rsidRPr="00F31C71">
        <w:rPr>
          <w:rFonts w:eastAsia="SimSun"/>
          <w:u w:val="none"/>
        </w:rPr>
        <w:t>mbr</w:t>
      </w:r>
      <w:r w:rsidR="00C076B2" w:rsidRPr="00F31C71">
        <w:rPr>
          <w:rFonts w:eastAsia="SimSun"/>
          <w:u w:val="none"/>
        </w:rPr>
        <w:t>e</w:t>
      </w:r>
      <w:r w:rsidRPr="00F31C71">
        <w:rPr>
          <w:rFonts w:eastAsia="SimSun"/>
          <w:u w:val="none"/>
        </w:rPr>
        <w:t xml:space="preserve"> </w:t>
      </w:r>
      <w:r w:rsidR="00C076B2" w:rsidRPr="00F31C71">
        <w:rPr>
          <w:rFonts w:eastAsia="SimSun"/>
          <w:u w:val="none"/>
        </w:rPr>
        <w:t xml:space="preserve">de candidatures </w:t>
      </w:r>
      <w:r w:rsidR="00E0730E">
        <w:rPr>
          <w:rFonts w:eastAsia="SimSun"/>
          <w:u w:val="none"/>
        </w:rPr>
        <w:t>à</w:t>
      </w:r>
      <w:r w:rsidR="00E0730E" w:rsidRPr="00F31C71">
        <w:rPr>
          <w:rFonts w:eastAsia="SimSun"/>
          <w:u w:val="none"/>
        </w:rPr>
        <w:t xml:space="preserve"> </w:t>
      </w:r>
      <w:r w:rsidR="00C076B2" w:rsidRPr="00F31C71">
        <w:rPr>
          <w:rFonts w:eastAsia="SimSun"/>
          <w:u w:val="none"/>
        </w:rPr>
        <w:t xml:space="preserve">la Liste du patrimoine culturel immatériel nécessitant une sauvegarde urgente et </w:t>
      </w:r>
      <w:r w:rsidR="00E0730E">
        <w:rPr>
          <w:rFonts w:eastAsia="SimSun"/>
          <w:u w:val="none"/>
        </w:rPr>
        <w:t>à</w:t>
      </w:r>
      <w:r w:rsidR="00E0730E" w:rsidRPr="00F31C71">
        <w:rPr>
          <w:rFonts w:eastAsia="SimSun"/>
          <w:u w:val="none"/>
        </w:rPr>
        <w:t xml:space="preserve"> </w:t>
      </w:r>
      <w:r w:rsidR="00C076B2" w:rsidRPr="00F31C71">
        <w:rPr>
          <w:rFonts w:eastAsia="SimSun"/>
          <w:u w:val="none"/>
        </w:rPr>
        <w:t>la Liste repré</w:t>
      </w:r>
      <w:r w:rsidRPr="00F31C71">
        <w:rPr>
          <w:rFonts w:eastAsia="SimSun"/>
          <w:u w:val="none"/>
        </w:rPr>
        <w:t xml:space="preserve">sentative </w:t>
      </w:r>
      <w:r w:rsidR="00C076B2" w:rsidRPr="00F31C71">
        <w:rPr>
          <w:rFonts w:eastAsia="SimSun"/>
          <w:u w:val="none"/>
        </w:rPr>
        <w:t>du patrimoine culturel immatériel de l’humanité</w:t>
      </w:r>
      <w:r w:rsidRPr="00F31C71">
        <w:rPr>
          <w:rFonts w:eastAsia="SimSun"/>
          <w:u w:val="none"/>
        </w:rPr>
        <w:t xml:space="preserve">, </w:t>
      </w:r>
      <w:r w:rsidR="00721912" w:rsidRPr="00F31C71">
        <w:rPr>
          <w:rFonts w:eastAsia="SimSun"/>
          <w:u w:val="none"/>
        </w:rPr>
        <w:t xml:space="preserve">les propositions de </w:t>
      </w:r>
      <w:r w:rsidRPr="00F31C71">
        <w:rPr>
          <w:rFonts w:eastAsia="SimSun"/>
          <w:u w:val="none"/>
        </w:rPr>
        <w:t xml:space="preserve">programmes, projets </w:t>
      </w:r>
      <w:r w:rsidR="00721912" w:rsidRPr="00F31C71">
        <w:rPr>
          <w:rFonts w:eastAsia="SimSun"/>
          <w:u w:val="none"/>
        </w:rPr>
        <w:t>et</w:t>
      </w:r>
      <w:r w:rsidRPr="00F31C71">
        <w:rPr>
          <w:rFonts w:eastAsia="SimSun"/>
          <w:u w:val="none"/>
        </w:rPr>
        <w:t xml:space="preserve"> activit</w:t>
      </w:r>
      <w:r w:rsidR="00721912" w:rsidRPr="00F31C71">
        <w:rPr>
          <w:rFonts w:eastAsia="SimSun"/>
          <w:u w:val="none"/>
        </w:rPr>
        <w:t>é</w:t>
      </w:r>
      <w:r w:rsidRPr="00F31C71">
        <w:rPr>
          <w:rFonts w:eastAsia="SimSun"/>
          <w:u w:val="none"/>
        </w:rPr>
        <w:t xml:space="preserve">s </w:t>
      </w:r>
      <w:r w:rsidR="00721912" w:rsidRPr="00F31C71">
        <w:rPr>
          <w:rFonts w:eastAsia="SimSun"/>
          <w:u w:val="none"/>
        </w:rPr>
        <w:t>refl</w:t>
      </w:r>
      <w:r w:rsidR="00D946B7">
        <w:rPr>
          <w:rFonts w:eastAsia="SimSun"/>
          <w:u w:val="none"/>
        </w:rPr>
        <w:t>é</w:t>
      </w:r>
      <w:r w:rsidR="00721912" w:rsidRPr="00F31C71">
        <w:rPr>
          <w:rFonts w:eastAsia="SimSun"/>
          <w:u w:val="none"/>
        </w:rPr>
        <w:t>t</w:t>
      </w:r>
      <w:r w:rsidR="00D946B7">
        <w:rPr>
          <w:rFonts w:eastAsia="SimSun"/>
          <w:u w:val="none"/>
        </w:rPr>
        <w:t>a</w:t>
      </w:r>
      <w:r w:rsidR="00721912" w:rsidRPr="00F31C71">
        <w:rPr>
          <w:rFonts w:eastAsia="SimSun"/>
          <w:u w:val="none"/>
        </w:rPr>
        <w:t xml:space="preserve">nt le mieux les principes et objectifs de la </w:t>
      </w:r>
      <w:r w:rsidRPr="00F31C71">
        <w:rPr>
          <w:rFonts w:eastAsia="SimSun"/>
          <w:u w:val="none"/>
        </w:rPr>
        <w:t xml:space="preserve">Convention </w:t>
      </w:r>
      <w:r w:rsidR="00721912" w:rsidRPr="00F31C71">
        <w:rPr>
          <w:rFonts w:eastAsia="SimSun"/>
          <w:u w:val="none"/>
        </w:rPr>
        <w:t xml:space="preserve">et les demandes d’assistance </w:t>
      </w:r>
      <w:r w:rsidRPr="00F31C71">
        <w:rPr>
          <w:rFonts w:eastAsia="SimSun"/>
          <w:u w:val="none"/>
        </w:rPr>
        <w:t>international</w:t>
      </w:r>
      <w:r w:rsidR="00721912" w:rsidRPr="00F31C71">
        <w:rPr>
          <w:rFonts w:eastAsia="SimSun"/>
          <w:u w:val="none"/>
        </w:rPr>
        <w:t xml:space="preserve">e supérieures à </w:t>
      </w:r>
      <w:r w:rsidRPr="00F31C71">
        <w:rPr>
          <w:rFonts w:eastAsia="SimSun"/>
          <w:u w:val="none"/>
        </w:rPr>
        <w:t>25</w:t>
      </w:r>
      <w:r w:rsidR="00721912" w:rsidRPr="00F31C71">
        <w:rPr>
          <w:rFonts w:eastAsia="SimSun"/>
          <w:u w:val="none"/>
        </w:rPr>
        <w:t> </w:t>
      </w:r>
      <w:r w:rsidRPr="00F31C71">
        <w:rPr>
          <w:rFonts w:eastAsia="SimSun"/>
          <w:u w:val="none"/>
        </w:rPr>
        <w:t>000</w:t>
      </w:r>
      <w:r w:rsidR="00721912" w:rsidRPr="00F31C71">
        <w:rPr>
          <w:rFonts w:eastAsia="SimSun"/>
          <w:u w:val="none"/>
        </w:rPr>
        <w:t xml:space="preserve"> dollars des </w:t>
      </w:r>
      <w:r w:rsidR="00F31C71" w:rsidRPr="00F31C71">
        <w:rPr>
          <w:rFonts w:eastAsia="SimSun"/>
          <w:u w:val="none"/>
        </w:rPr>
        <w:t>États-Unis</w:t>
      </w:r>
      <w:r w:rsidRPr="00F31C71">
        <w:rPr>
          <w:rFonts w:eastAsia="SimSun"/>
          <w:u w:val="none"/>
        </w:rPr>
        <w:t xml:space="preserve"> </w:t>
      </w:r>
      <w:r w:rsidR="00721912" w:rsidRPr="00F31C71">
        <w:rPr>
          <w:rFonts w:eastAsia="SimSun"/>
          <w:u w:val="none"/>
        </w:rPr>
        <w:t xml:space="preserve">qui peuvent être traités est fixé à </w:t>
      </w:r>
      <w:r w:rsidRPr="00F31C71">
        <w:rPr>
          <w:rFonts w:eastAsia="SimSun"/>
          <w:u w:val="none"/>
        </w:rPr>
        <w:t>50 p</w:t>
      </w:r>
      <w:r w:rsidR="00721912" w:rsidRPr="00F31C71">
        <w:rPr>
          <w:rFonts w:eastAsia="SimSun"/>
          <w:u w:val="none"/>
        </w:rPr>
        <w:t>a</w:t>
      </w:r>
      <w:r w:rsidRPr="00F31C71">
        <w:rPr>
          <w:rFonts w:eastAsia="SimSun"/>
          <w:u w:val="none"/>
        </w:rPr>
        <w:t>r cycle</w:t>
      </w:r>
      <w:r w:rsidR="00721912" w:rsidRPr="00F31C71">
        <w:rPr>
          <w:rFonts w:eastAsia="SimSun"/>
          <w:u w:val="none"/>
        </w:rPr>
        <w:t> </w:t>
      </w:r>
      <w:r w:rsidRPr="00F31C71">
        <w:rPr>
          <w:rFonts w:eastAsia="SimSun"/>
          <w:u w:val="none"/>
        </w:rPr>
        <w:t>;</w:t>
      </w:r>
    </w:p>
    <w:p w:rsidR="00443880" w:rsidRPr="00F31C71" w:rsidRDefault="00721912" w:rsidP="001E5521">
      <w:pPr>
        <w:pStyle w:val="COMParaDecision"/>
        <w:rPr>
          <w:u w:val="none"/>
        </w:rPr>
      </w:pPr>
      <w:r w:rsidRPr="00F31C71">
        <w:rPr>
          <w:rFonts w:eastAsia="SimSun"/>
        </w:rPr>
        <w:t>Décide en outre</w:t>
      </w:r>
      <w:r w:rsidRPr="00F31C71">
        <w:rPr>
          <w:rFonts w:eastAsia="SimSun"/>
          <w:u w:val="none"/>
        </w:rPr>
        <w:t xml:space="preserve"> qu’au moins un dossier par </w:t>
      </w:r>
      <w:r w:rsidR="00F31C71" w:rsidRPr="00F31C71">
        <w:rPr>
          <w:rFonts w:eastAsia="SimSun"/>
          <w:u w:val="none"/>
        </w:rPr>
        <w:t>État</w:t>
      </w:r>
      <w:r w:rsidRPr="00F31C71">
        <w:rPr>
          <w:rFonts w:eastAsia="SimSun"/>
          <w:u w:val="none"/>
        </w:rPr>
        <w:t xml:space="preserve"> soumissionnaire doit </w:t>
      </w:r>
      <w:r w:rsidR="00861AE5" w:rsidRPr="00F31C71">
        <w:rPr>
          <w:rFonts w:eastAsia="SimSun"/>
          <w:u w:val="none"/>
        </w:rPr>
        <w:t xml:space="preserve">être traité au cours de la période de deux ans </w:t>
      </w:r>
      <w:r w:rsidR="00573F5F" w:rsidRPr="00F31C71">
        <w:rPr>
          <w:rFonts w:eastAsia="SimSun"/>
          <w:u w:val="none"/>
        </w:rPr>
        <w:t xml:space="preserve">2017-2018, </w:t>
      </w:r>
      <w:r w:rsidR="00861AE5" w:rsidRPr="00F31C71">
        <w:rPr>
          <w:rFonts w:eastAsia="SimSun"/>
          <w:u w:val="none"/>
        </w:rPr>
        <w:t>dans la limite du nombre</w:t>
      </w:r>
      <w:r w:rsidR="00E0730E">
        <w:rPr>
          <w:rFonts w:eastAsia="SimSun"/>
          <w:u w:val="none"/>
        </w:rPr>
        <w:t xml:space="preserve"> convenu</w:t>
      </w:r>
      <w:r w:rsidR="00861AE5" w:rsidRPr="00F31C71">
        <w:rPr>
          <w:rFonts w:eastAsia="SimSun"/>
          <w:u w:val="none"/>
        </w:rPr>
        <w:t xml:space="preserve"> de candidatures </w:t>
      </w:r>
      <w:r w:rsidR="00E0730E">
        <w:rPr>
          <w:rFonts w:eastAsia="SimSun"/>
          <w:u w:val="none"/>
        </w:rPr>
        <w:t>par</w:t>
      </w:r>
      <w:r w:rsidR="00861AE5" w:rsidRPr="00F31C71">
        <w:rPr>
          <w:rFonts w:eastAsia="SimSun"/>
          <w:u w:val="none"/>
        </w:rPr>
        <w:t xml:space="preserve"> bienn</w:t>
      </w:r>
      <w:r w:rsidR="00E0730E">
        <w:rPr>
          <w:rFonts w:eastAsia="SimSun"/>
          <w:u w:val="none"/>
        </w:rPr>
        <w:t>ium</w:t>
      </w:r>
      <w:r w:rsidR="00861AE5" w:rsidRPr="00F31C71">
        <w:rPr>
          <w:rFonts w:eastAsia="SimSun"/>
          <w:u w:val="none"/>
        </w:rPr>
        <w:t xml:space="preserve">, conformément au </w:t>
      </w:r>
      <w:r w:rsidR="00573F5F" w:rsidRPr="00F31C71">
        <w:rPr>
          <w:rFonts w:eastAsia="SimSun"/>
          <w:u w:val="none"/>
        </w:rPr>
        <w:t>paragraph</w:t>
      </w:r>
      <w:r w:rsidR="00861AE5" w:rsidRPr="00F31C71">
        <w:rPr>
          <w:rFonts w:eastAsia="SimSun"/>
          <w:u w:val="none"/>
        </w:rPr>
        <w:t>e</w:t>
      </w:r>
      <w:r w:rsidR="00573F5F" w:rsidRPr="00F31C71">
        <w:rPr>
          <w:rFonts w:eastAsia="SimSun"/>
          <w:u w:val="none"/>
        </w:rPr>
        <w:t xml:space="preserve"> 34 </w:t>
      </w:r>
      <w:r w:rsidR="00861AE5" w:rsidRPr="00F31C71">
        <w:rPr>
          <w:rFonts w:eastAsia="SimSun"/>
          <w:u w:val="none"/>
        </w:rPr>
        <w:t xml:space="preserve">des </w:t>
      </w:r>
      <w:r w:rsidR="00573F5F" w:rsidRPr="00F31C71">
        <w:rPr>
          <w:rFonts w:eastAsia="SimSun"/>
          <w:u w:val="none"/>
        </w:rPr>
        <w:t>Directives</w:t>
      </w:r>
      <w:r w:rsidR="00861AE5" w:rsidRPr="00F31C71">
        <w:rPr>
          <w:rFonts w:eastAsia="SimSun"/>
          <w:u w:val="none"/>
        </w:rPr>
        <w:t xml:space="preserve"> opérationnelles </w:t>
      </w:r>
      <w:r w:rsidR="00573F5F" w:rsidRPr="00F31C71">
        <w:rPr>
          <w:rFonts w:eastAsia="SimSun"/>
          <w:u w:val="none"/>
        </w:rPr>
        <w:t>;</w:t>
      </w:r>
    </w:p>
    <w:p w:rsidR="00443880" w:rsidRPr="00F31C71" w:rsidRDefault="00861AE5" w:rsidP="001E5521">
      <w:pPr>
        <w:pStyle w:val="COMParaDecision"/>
        <w:rPr>
          <w:u w:val="none"/>
        </w:rPr>
      </w:pPr>
      <w:r w:rsidRPr="00F31C71">
        <w:rPr>
          <w:rFonts w:eastAsia="SimSun"/>
        </w:rPr>
        <w:t xml:space="preserve">Décide </w:t>
      </w:r>
      <w:r w:rsidR="00E0730E" w:rsidRPr="00374739">
        <w:rPr>
          <w:rFonts w:eastAsia="SimSun"/>
        </w:rPr>
        <w:t xml:space="preserve">en </w:t>
      </w:r>
      <w:r w:rsidR="00E0730E" w:rsidRPr="00D946B7">
        <w:rPr>
          <w:rFonts w:eastAsia="SimSun"/>
        </w:rPr>
        <w:t>outre</w:t>
      </w:r>
      <w:r w:rsidR="00E0730E" w:rsidRPr="00F31C71">
        <w:rPr>
          <w:rFonts w:eastAsia="SimSun"/>
          <w:u w:val="none"/>
        </w:rPr>
        <w:t xml:space="preserve"> </w:t>
      </w:r>
      <w:r w:rsidRPr="00F31C71">
        <w:rPr>
          <w:rFonts w:eastAsia="SimSun"/>
          <w:u w:val="none"/>
        </w:rPr>
        <w:t>que le</w:t>
      </w:r>
      <w:r w:rsidR="009850C5" w:rsidRPr="00F31C71">
        <w:rPr>
          <w:rFonts w:eastAsia="SimSun"/>
          <w:u w:val="none"/>
        </w:rPr>
        <w:t xml:space="preserve"> Secr</w:t>
      </w:r>
      <w:r w:rsidRPr="00F31C71">
        <w:rPr>
          <w:rFonts w:eastAsia="SimSun"/>
          <w:u w:val="none"/>
        </w:rPr>
        <w:t>é</w:t>
      </w:r>
      <w:r w:rsidR="009850C5" w:rsidRPr="00F31C71">
        <w:rPr>
          <w:rFonts w:eastAsia="SimSun"/>
          <w:u w:val="none"/>
        </w:rPr>
        <w:t xml:space="preserve">tariat </w:t>
      </w:r>
      <w:r w:rsidRPr="00F31C71">
        <w:rPr>
          <w:rFonts w:eastAsia="SimSun"/>
          <w:u w:val="none"/>
        </w:rPr>
        <w:t>p</w:t>
      </w:r>
      <w:r w:rsidR="00E0730E">
        <w:rPr>
          <w:rFonts w:eastAsia="SimSun"/>
          <w:u w:val="none"/>
        </w:rPr>
        <w:t>ourra</w:t>
      </w:r>
      <w:r w:rsidRPr="00F31C71">
        <w:rPr>
          <w:rFonts w:eastAsia="SimSun"/>
          <w:u w:val="none"/>
        </w:rPr>
        <w:t xml:space="preserve"> </w:t>
      </w:r>
      <w:r w:rsidR="009850C5" w:rsidRPr="00F31C71">
        <w:rPr>
          <w:rFonts w:eastAsia="SimSun"/>
          <w:u w:val="none"/>
        </w:rPr>
        <w:t>exerc</w:t>
      </w:r>
      <w:r w:rsidRPr="00F31C71">
        <w:rPr>
          <w:rFonts w:eastAsia="SimSun"/>
          <w:u w:val="none"/>
        </w:rPr>
        <w:t>er une certaine</w:t>
      </w:r>
      <w:r w:rsidR="009850C5" w:rsidRPr="00F31C71">
        <w:rPr>
          <w:rFonts w:eastAsia="SimSun"/>
          <w:u w:val="none"/>
        </w:rPr>
        <w:t xml:space="preserve"> flexibilit</w:t>
      </w:r>
      <w:r w:rsidRPr="00F31C71">
        <w:rPr>
          <w:rFonts w:eastAsia="SimSun"/>
          <w:u w:val="none"/>
        </w:rPr>
        <w:t>é</w:t>
      </w:r>
      <w:r w:rsidR="009850C5" w:rsidRPr="00F31C71">
        <w:rPr>
          <w:rFonts w:eastAsia="SimSun"/>
          <w:u w:val="none"/>
        </w:rPr>
        <w:t xml:space="preserve">, </w:t>
      </w:r>
      <w:r w:rsidR="001B16B7" w:rsidRPr="00F31C71">
        <w:rPr>
          <w:rFonts w:eastAsia="SimSun"/>
          <w:u w:val="none"/>
        </w:rPr>
        <w:t>si cela permet une plus grande équité entre les États soumissionnaires ayant le même niveau de priorité en vertu du paragraphe</w:t>
      </w:r>
      <w:r w:rsidR="001B16B7" w:rsidRPr="00F31C71" w:rsidDel="00EC456E">
        <w:rPr>
          <w:rFonts w:eastAsia="SimSun"/>
          <w:u w:val="none"/>
        </w:rPr>
        <w:t xml:space="preserve"> </w:t>
      </w:r>
      <w:r w:rsidR="001B16B7" w:rsidRPr="00F31C71">
        <w:rPr>
          <w:rFonts w:eastAsia="SimSun"/>
          <w:u w:val="none"/>
        </w:rPr>
        <w:t>34 des Directives opérationnelles</w:t>
      </w:r>
      <w:r w:rsidR="0058537C" w:rsidRPr="00F31C71">
        <w:rPr>
          <w:rFonts w:eastAsia="SimSun"/>
          <w:u w:val="none"/>
        </w:rPr>
        <w:t> </w:t>
      </w:r>
      <w:r w:rsidR="009850C5" w:rsidRPr="00F31C71">
        <w:rPr>
          <w:rFonts w:eastAsia="SimSun"/>
          <w:u w:val="none"/>
        </w:rPr>
        <w:t>;</w:t>
      </w:r>
    </w:p>
    <w:p w:rsidR="00443880" w:rsidRPr="00F31C71" w:rsidRDefault="009850C5" w:rsidP="001E5521">
      <w:pPr>
        <w:pStyle w:val="COMParaDecision"/>
        <w:rPr>
          <w:u w:val="none"/>
        </w:rPr>
      </w:pPr>
      <w:r w:rsidRPr="00F31C71">
        <w:rPr>
          <w:rFonts w:eastAsia="SimSun"/>
        </w:rPr>
        <w:t>Invite</w:t>
      </w:r>
      <w:r w:rsidRPr="00F31C71">
        <w:rPr>
          <w:rFonts w:eastAsia="SimSun"/>
          <w:u w:val="none"/>
        </w:rPr>
        <w:t xml:space="preserve"> </w:t>
      </w:r>
      <w:r w:rsidR="0058537C" w:rsidRPr="00F31C71">
        <w:rPr>
          <w:rFonts w:eastAsia="SimSun"/>
          <w:u w:val="none"/>
        </w:rPr>
        <w:t xml:space="preserve">les </w:t>
      </w:r>
      <w:r w:rsidR="00F31C71" w:rsidRPr="00F31C71">
        <w:rPr>
          <w:rFonts w:eastAsia="SimSun"/>
          <w:u w:val="none"/>
        </w:rPr>
        <w:t>États</w:t>
      </w:r>
      <w:r w:rsidR="0058537C" w:rsidRPr="00F31C71">
        <w:rPr>
          <w:rFonts w:eastAsia="SimSun"/>
          <w:u w:val="none"/>
        </w:rPr>
        <w:t xml:space="preserve"> parties à </w:t>
      </w:r>
      <w:r w:rsidR="00E0730E">
        <w:rPr>
          <w:rFonts w:eastAsia="SimSun"/>
          <w:u w:val="none"/>
        </w:rPr>
        <w:t>tenir</w:t>
      </w:r>
      <w:r w:rsidR="0058537C" w:rsidRPr="00F31C71">
        <w:rPr>
          <w:rFonts w:eastAsia="SimSun"/>
          <w:u w:val="none"/>
        </w:rPr>
        <w:t xml:space="preserve"> compte </w:t>
      </w:r>
      <w:r w:rsidR="00E0730E">
        <w:rPr>
          <w:rFonts w:eastAsia="SimSun"/>
          <w:u w:val="none"/>
        </w:rPr>
        <w:t xml:space="preserve">de </w:t>
      </w:r>
      <w:r w:rsidR="0058537C" w:rsidRPr="00F31C71">
        <w:rPr>
          <w:rFonts w:eastAsia="SimSun"/>
          <w:u w:val="none"/>
        </w:rPr>
        <w:t xml:space="preserve">la présente décision </w:t>
      </w:r>
      <w:r w:rsidR="00BB3456" w:rsidRPr="00F31C71">
        <w:rPr>
          <w:rFonts w:eastAsia="SimSun"/>
          <w:u w:val="none"/>
        </w:rPr>
        <w:t>lors de la soumission de</w:t>
      </w:r>
      <w:r w:rsidR="0058537C" w:rsidRPr="00F31C71">
        <w:rPr>
          <w:rFonts w:eastAsia="SimSun"/>
          <w:u w:val="none"/>
        </w:rPr>
        <w:t xml:space="preserve"> dossiers pour le</w:t>
      </w:r>
      <w:r w:rsidR="00BB3456" w:rsidRPr="00F31C71">
        <w:rPr>
          <w:rFonts w:eastAsia="SimSun"/>
          <w:u w:val="none"/>
        </w:rPr>
        <w:t>s</w:t>
      </w:r>
      <w:r w:rsidR="0058537C" w:rsidRPr="00F31C71">
        <w:rPr>
          <w:rFonts w:eastAsia="SimSun"/>
          <w:u w:val="none"/>
        </w:rPr>
        <w:t xml:space="preserve"> cycle</w:t>
      </w:r>
      <w:r w:rsidR="00BB3456" w:rsidRPr="00F31C71">
        <w:rPr>
          <w:rFonts w:eastAsia="SimSun"/>
          <w:u w:val="none"/>
        </w:rPr>
        <w:t>s</w:t>
      </w:r>
      <w:r w:rsidR="0058537C" w:rsidRPr="00F31C71">
        <w:rPr>
          <w:rFonts w:eastAsia="SimSun"/>
          <w:u w:val="none"/>
        </w:rPr>
        <w:t xml:space="preserve"> </w:t>
      </w:r>
      <w:r w:rsidRPr="00F31C71">
        <w:rPr>
          <w:rFonts w:eastAsia="SimSun"/>
          <w:u w:val="none"/>
        </w:rPr>
        <w:t xml:space="preserve">2017 </w:t>
      </w:r>
      <w:r w:rsidR="0058537C" w:rsidRPr="00F31C71">
        <w:rPr>
          <w:rFonts w:eastAsia="SimSun"/>
          <w:u w:val="none"/>
        </w:rPr>
        <w:t>et</w:t>
      </w:r>
      <w:r w:rsidRPr="00F31C71">
        <w:rPr>
          <w:rFonts w:eastAsia="SimSun"/>
          <w:u w:val="none"/>
        </w:rPr>
        <w:t xml:space="preserve"> 2018</w:t>
      </w:r>
      <w:r w:rsidR="0058537C" w:rsidRPr="00F31C71">
        <w:rPr>
          <w:rFonts w:eastAsia="SimSun"/>
          <w:u w:val="none"/>
        </w:rPr>
        <w:t> </w:t>
      </w:r>
      <w:r w:rsidRPr="00F31C71">
        <w:rPr>
          <w:rFonts w:eastAsia="SimSun"/>
          <w:u w:val="none"/>
        </w:rPr>
        <w:t>;</w:t>
      </w:r>
    </w:p>
    <w:p w:rsidR="00443880" w:rsidRPr="00F31C71" w:rsidRDefault="0058537C" w:rsidP="001E5521">
      <w:pPr>
        <w:pStyle w:val="COMParaDecision"/>
        <w:rPr>
          <w:u w:val="none"/>
        </w:rPr>
      </w:pPr>
      <w:r w:rsidRPr="00F31C71">
        <w:rPr>
          <w:rFonts w:eastAsia="SimSun"/>
        </w:rPr>
        <w:t>Demande</w:t>
      </w:r>
      <w:r w:rsidRPr="006016A7">
        <w:rPr>
          <w:rFonts w:eastAsia="SimSun"/>
          <w:u w:val="none"/>
        </w:rPr>
        <w:t xml:space="preserve"> </w:t>
      </w:r>
      <w:r w:rsidRPr="00F31C71">
        <w:rPr>
          <w:rFonts w:eastAsia="SimSun"/>
          <w:u w:val="none"/>
        </w:rPr>
        <w:t>au</w:t>
      </w:r>
      <w:r w:rsidR="009850C5" w:rsidRPr="00F31C71">
        <w:rPr>
          <w:rFonts w:eastAsia="SimSun"/>
          <w:u w:val="none"/>
        </w:rPr>
        <w:t xml:space="preserve"> Secr</w:t>
      </w:r>
      <w:r w:rsidRPr="00F31C71">
        <w:rPr>
          <w:rFonts w:eastAsia="SimSun"/>
          <w:u w:val="none"/>
        </w:rPr>
        <w:t>é</w:t>
      </w:r>
      <w:r w:rsidR="009850C5" w:rsidRPr="00F31C71">
        <w:rPr>
          <w:rFonts w:eastAsia="SimSun"/>
          <w:u w:val="none"/>
        </w:rPr>
        <w:t xml:space="preserve">tariat </w:t>
      </w:r>
      <w:r w:rsidRPr="00F31C71">
        <w:rPr>
          <w:rFonts w:eastAsia="SimSun"/>
          <w:u w:val="none"/>
        </w:rPr>
        <w:t xml:space="preserve">de lui rendre compte du nombre de dossiers soumis pour le cycle </w:t>
      </w:r>
      <w:r w:rsidR="009850C5" w:rsidRPr="00F31C71">
        <w:rPr>
          <w:rFonts w:eastAsia="SimSun"/>
          <w:u w:val="none"/>
        </w:rPr>
        <w:t xml:space="preserve">2017, </w:t>
      </w:r>
      <w:r w:rsidR="009A7CD7" w:rsidRPr="00F31C71">
        <w:rPr>
          <w:rFonts w:eastAsia="SimSun"/>
          <w:u w:val="none"/>
        </w:rPr>
        <w:t xml:space="preserve">et de son </w:t>
      </w:r>
      <w:r w:rsidR="009850C5" w:rsidRPr="00F31C71">
        <w:rPr>
          <w:rFonts w:eastAsia="SimSun"/>
          <w:u w:val="none"/>
        </w:rPr>
        <w:t>exp</w:t>
      </w:r>
      <w:r w:rsidR="009A7CD7" w:rsidRPr="00F31C71">
        <w:rPr>
          <w:rFonts w:eastAsia="SimSun"/>
          <w:u w:val="none"/>
        </w:rPr>
        <w:t>é</w:t>
      </w:r>
      <w:r w:rsidR="009850C5" w:rsidRPr="00F31C71">
        <w:rPr>
          <w:rFonts w:eastAsia="SimSun"/>
          <w:u w:val="none"/>
        </w:rPr>
        <w:t xml:space="preserve">rience </w:t>
      </w:r>
      <w:r w:rsidR="009A7CD7" w:rsidRPr="00F31C71">
        <w:rPr>
          <w:rFonts w:eastAsia="SimSun"/>
          <w:u w:val="none"/>
        </w:rPr>
        <w:t>d</w:t>
      </w:r>
      <w:r w:rsidR="00E0730E">
        <w:rPr>
          <w:rFonts w:eastAsia="SimSun"/>
          <w:u w:val="none"/>
        </w:rPr>
        <w:t>ans</w:t>
      </w:r>
      <w:r w:rsidR="009A7CD7" w:rsidRPr="00F31C71">
        <w:rPr>
          <w:rFonts w:eastAsia="SimSun"/>
          <w:u w:val="none"/>
        </w:rPr>
        <w:t xml:space="preserve"> l’application des </w:t>
      </w:r>
      <w:r w:rsidR="009850C5" w:rsidRPr="00F31C71">
        <w:rPr>
          <w:rFonts w:eastAsia="SimSun"/>
          <w:u w:val="none"/>
        </w:rPr>
        <w:t xml:space="preserve">Directives </w:t>
      </w:r>
      <w:r w:rsidR="009A7CD7" w:rsidRPr="00F31C71">
        <w:rPr>
          <w:rFonts w:eastAsia="SimSun"/>
          <w:u w:val="none"/>
        </w:rPr>
        <w:t xml:space="preserve">opérationnelles et de la présente décision </w:t>
      </w:r>
      <w:r w:rsidR="00E0730E">
        <w:rPr>
          <w:rFonts w:eastAsia="SimSun"/>
          <w:u w:val="none"/>
        </w:rPr>
        <w:t>à</w:t>
      </w:r>
      <w:r w:rsidR="009A7CD7" w:rsidRPr="00F31C71">
        <w:rPr>
          <w:rFonts w:eastAsia="SimSun"/>
          <w:u w:val="none"/>
        </w:rPr>
        <w:t xml:space="preserve"> sa onzième </w:t>
      </w:r>
      <w:r w:rsidR="009850C5" w:rsidRPr="00F31C71">
        <w:rPr>
          <w:rFonts w:eastAsia="SimSun"/>
          <w:u w:val="none"/>
        </w:rPr>
        <w:t>session.</w:t>
      </w:r>
    </w:p>
    <w:p w:rsidR="002E139A" w:rsidRPr="00F31C71" w:rsidRDefault="002E139A" w:rsidP="001E5521">
      <w:pPr>
        <w:jc w:val="both"/>
        <w:rPr>
          <w:rFonts w:ascii="Arial" w:hAnsi="Arial" w:cs="Arial"/>
          <w:sz w:val="22"/>
          <w:szCs w:val="22"/>
          <w:u w:val="single"/>
        </w:rPr>
      </w:pPr>
      <w:r w:rsidRPr="00F31C71">
        <w:br w:type="page"/>
      </w:r>
    </w:p>
    <w:p w:rsidR="002E139A" w:rsidRPr="00F31C71" w:rsidRDefault="002E139A" w:rsidP="002E139A">
      <w:pPr>
        <w:pStyle w:val="COMParaDecision"/>
        <w:numPr>
          <w:ilvl w:val="0"/>
          <w:numId w:val="0"/>
        </w:numPr>
        <w:ind w:left="1134" w:hanging="567"/>
        <w:jc w:val="left"/>
        <w:rPr>
          <w:u w:val="none"/>
        </w:rPr>
        <w:sectPr w:rsidR="002E139A" w:rsidRPr="00F31C71"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pPr>
    </w:p>
    <w:p w:rsidR="009521DF" w:rsidRPr="00F31C71" w:rsidRDefault="009521DF" w:rsidP="009521DF">
      <w:pPr>
        <w:autoSpaceDE w:val="0"/>
        <w:autoSpaceDN w:val="0"/>
        <w:adjustRightInd w:val="0"/>
        <w:spacing w:after="240"/>
        <w:ind w:left="567"/>
        <w:jc w:val="center"/>
        <w:rPr>
          <w:rFonts w:ascii="Arial" w:eastAsia="SimSun" w:hAnsi="Arial" w:cs="Arial"/>
          <w:sz w:val="22"/>
          <w:szCs w:val="22"/>
        </w:rPr>
      </w:pPr>
      <w:r w:rsidRPr="00F31C71">
        <w:rPr>
          <w:rFonts w:ascii="Arial" w:eastAsia="SimSun" w:hAnsi="Arial" w:cs="Arial"/>
          <w:sz w:val="22"/>
          <w:szCs w:val="22"/>
        </w:rPr>
        <w:t>ANNEX</w:t>
      </w:r>
      <w:r w:rsidR="007C2127" w:rsidRPr="00F31C71">
        <w:rPr>
          <w:rFonts w:ascii="Arial" w:eastAsia="SimSun" w:hAnsi="Arial" w:cs="Arial"/>
          <w:sz w:val="22"/>
          <w:szCs w:val="22"/>
        </w:rPr>
        <w:t>E</w:t>
      </w:r>
      <w:r w:rsidRPr="00F31C71">
        <w:rPr>
          <w:rFonts w:ascii="Arial" w:eastAsia="SimSun" w:hAnsi="Arial" w:cs="Arial"/>
          <w:sz w:val="22"/>
          <w:szCs w:val="22"/>
          <w:vertAlign w:val="superscript"/>
        </w:rPr>
        <w:footnoteReference w:id="5"/>
      </w:r>
      <w:r w:rsidR="007C2127" w:rsidRPr="00F31C71">
        <w:rPr>
          <w:rFonts w:ascii="Arial" w:eastAsia="SimSun" w:hAnsi="Arial" w:cs="Arial"/>
          <w:sz w:val="22"/>
          <w:szCs w:val="22"/>
        </w:rPr>
        <w:t> </w:t>
      </w:r>
      <w:r w:rsidRPr="00F31C71">
        <w:rPr>
          <w:rFonts w:ascii="Arial" w:eastAsia="SimSun" w:hAnsi="Arial" w:cs="Arial"/>
          <w:sz w:val="22"/>
          <w:szCs w:val="22"/>
        </w:rPr>
        <w:t xml:space="preserve">: </w:t>
      </w:r>
      <w:r w:rsidR="007C2127" w:rsidRPr="00F31C71">
        <w:rPr>
          <w:rFonts w:ascii="Arial" w:eastAsia="SimSun" w:hAnsi="Arial" w:cs="Arial"/>
          <w:sz w:val="22"/>
          <w:szCs w:val="22"/>
        </w:rPr>
        <w:t>Répartition des dossiers pour le cycle</w:t>
      </w:r>
      <w:r w:rsidRPr="00F31C71">
        <w:rPr>
          <w:rFonts w:ascii="Arial" w:eastAsia="SimSun" w:hAnsi="Arial" w:cs="Arial"/>
          <w:sz w:val="22"/>
          <w:szCs w:val="22"/>
        </w:rPr>
        <w:t xml:space="preserve"> 2016</w:t>
      </w:r>
    </w:p>
    <w:p w:rsidR="009521DF" w:rsidRPr="00F31C71" w:rsidRDefault="004F5F99" w:rsidP="001E5521">
      <w:pPr>
        <w:spacing w:after="120"/>
        <w:jc w:val="both"/>
        <w:rPr>
          <w:rFonts w:ascii="Arial" w:hAnsi="Arial" w:cs="Arial"/>
          <w:sz w:val="22"/>
          <w:szCs w:val="22"/>
        </w:rPr>
      </w:pPr>
      <w:r w:rsidRPr="00F31C71">
        <w:rPr>
          <w:rFonts w:ascii="Arial" w:hAnsi="Arial" w:cs="Arial"/>
          <w:sz w:val="22"/>
          <w:szCs w:val="22"/>
        </w:rPr>
        <w:t xml:space="preserve">Les dossiers soumis pour le cycle </w:t>
      </w:r>
      <w:r w:rsidR="009521DF" w:rsidRPr="00F31C71">
        <w:rPr>
          <w:rFonts w:ascii="Arial" w:hAnsi="Arial" w:cs="Arial"/>
          <w:sz w:val="22"/>
          <w:szCs w:val="22"/>
        </w:rPr>
        <w:t xml:space="preserve">2016 </w:t>
      </w:r>
      <w:r w:rsidRPr="00F31C71">
        <w:rPr>
          <w:rFonts w:ascii="Arial" w:hAnsi="Arial" w:cs="Arial"/>
          <w:sz w:val="22"/>
          <w:szCs w:val="22"/>
        </w:rPr>
        <w:t>sont présentés ci-dessous dans l’ordre de priorité</w:t>
      </w:r>
      <w:r w:rsidR="00D04B01">
        <w:rPr>
          <w:rFonts w:ascii="Arial" w:hAnsi="Arial" w:cs="Arial"/>
          <w:sz w:val="22"/>
          <w:szCs w:val="22"/>
        </w:rPr>
        <w:t xml:space="preserve"> </w:t>
      </w:r>
      <w:r w:rsidR="00F00740">
        <w:rPr>
          <w:rFonts w:ascii="Arial" w:hAnsi="Arial" w:cs="Arial"/>
          <w:sz w:val="22"/>
          <w:szCs w:val="22"/>
        </w:rPr>
        <w:t>en fonction des critères</w:t>
      </w:r>
      <w:r w:rsidRPr="00F31C71">
        <w:rPr>
          <w:rFonts w:ascii="Arial" w:hAnsi="Arial" w:cs="Arial"/>
          <w:sz w:val="22"/>
          <w:szCs w:val="22"/>
        </w:rPr>
        <w:t xml:space="preserve"> </w:t>
      </w:r>
      <w:r w:rsidR="00F00740">
        <w:rPr>
          <w:rFonts w:ascii="Arial" w:hAnsi="Arial" w:cs="Arial"/>
          <w:sz w:val="22"/>
          <w:szCs w:val="22"/>
        </w:rPr>
        <w:t>indiqués</w:t>
      </w:r>
      <w:r w:rsidR="00F00740" w:rsidRPr="00F31C71">
        <w:rPr>
          <w:rFonts w:ascii="Arial" w:hAnsi="Arial" w:cs="Arial"/>
          <w:sz w:val="22"/>
          <w:szCs w:val="22"/>
        </w:rPr>
        <w:t> </w:t>
      </w:r>
      <w:r w:rsidR="009521DF" w:rsidRPr="00F31C71">
        <w:rPr>
          <w:rFonts w:ascii="Arial" w:hAnsi="Arial" w:cs="Arial"/>
          <w:sz w:val="22"/>
          <w:szCs w:val="22"/>
        </w:rPr>
        <w:t>:</w:t>
      </w:r>
    </w:p>
    <w:p w:rsidR="009521DF" w:rsidRPr="00F31C71" w:rsidRDefault="00F00740" w:rsidP="001E5521">
      <w:pPr>
        <w:numPr>
          <w:ilvl w:val="0"/>
          <w:numId w:val="14"/>
        </w:numPr>
        <w:spacing w:after="120"/>
        <w:contextualSpacing/>
        <w:jc w:val="both"/>
        <w:rPr>
          <w:rFonts w:ascii="Arial" w:hAnsi="Arial" w:cs="Arial"/>
          <w:sz w:val="22"/>
          <w:szCs w:val="22"/>
        </w:rPr>
      </w:pPr>
      <w:r>
        <w:rPr>
          <w:rFonts w:ascii="Arial" w:hAnsi="Arial" w:cs="Arial"/>
          <w:sz w:val="22"/>
          <w:szCs w:val="22"/>
        </w:rPr>
        <w:t>dans</w:t>
      </w:r>
      <w:r w:rsidRPr="00F31C71">
        <w:rPr>
          <w:rFonts w:ascii="Arial" w:hAnsi="Arial" w:cs="Arial"/>
          <w:sz w:val="22"/>
          <w:szCs w:val="22"/>
        </w:rPr>
        <w:t xml:space="preserve"> </w:t>
      </w:r>
      <w:r w:rsidR="00DE2DA9" w:rsidRPr="00F31C71">
        <w:rPr>
          <w:rFonts w:ascii="Arial" w:hAnsi="Arial" w:cs="Arial"/>
          <w:sz w:val="22"/>
          <w:szCs w:val="22"/>
        </w:rPr>
        <w:t>l</w:t>
      </w:r>
      <w:r w:rsidR="004F5F99" w:rsidRPr="00F31C71">
        <w:rPr>
          <w:rFonts w:ascii="Arial" w:hAnsi="Arial" w:cs="Arial"/>
          <w:sz w:val="22"/>
          <w:szCs w:val="22"/>
        </w:rPr>
        <w:t xml:space="preserve">a décision 8.COM 10 du </w:t>
      </w:r>
      <w:r w:rsidR="009521DF" w:rsidRPr="00F31C71">
        <w:rPr>
          <w:rFonts w:ascii="Arial" w:hAnsi="Arial" w:cs="Arial"/>
          <w:sz w:val="22"/>
          <w:szCs w:val="22"/>
        </w:rPr>
        <w:t>Comit</w:t>
      </w:r>
      <w:r w:rsidR="004F5F99" w:rsidRPr="00F31C71">
        <w:rPr>
          <w:rFonts w:ascii="Arial" w:hAnsi="Arial" w:cs="Arial"/>
          <w:sz w:val="22"/>
          <w:szCs w:val="22"/>
        </w:rPr>
        <w:t>é</w:t>
      </w:r>
      <w:r w:rsidR="00BB3456" w:rsidRPr="00F31C71">
        <w:rPr>
          <w:rFonts w:ascii="Arial" w:hAnsi="Arial" w:cs="Arial"/>
          <w:sz w:val="22"/>
          <w:szCs w:val="22"/>
        </w:rPr>
        <w:t xml:space="preserve"> </w:t>
      </w:r>
      <w:r w:rsidR="00D04B01">
        <w:rPr>
          <w:rFonts w:ascii="Arial" w:hAnsi="Arial" w:cs="Arial"/>
          <w:sz w:val="22"/>
          <w:szCs w:val="22"/>
        </w:rPr>
        <w:t xml:space="preserve">qui </w:t>
      </w:r>
      <w:r w:rsidR="007D064F">
        <w:rPr>
          <w:rFonts w:ascii="Arial" w:hAnsi="Arial" w:cs="Arial"/>
          <w:sz w:val="22"/>
          <w:szCs w:val="22"/>
        </w:rPr>
        <w:t>demande</w:t>
      </w:r>
      <w:r>
        <w:rPr>
          <w:rFonts w:ascii="Arial" w:hAnsi="Arial" w:cs="Arial"/>
          <w:sz w:val="22"/>
          <w:szCs w:val="22"/>
        </w:rPr>
        <w:t xml:space="preserve"> </w:t>
      </w:r>
      <w:r w:rsidR="00BB3456" w:rsidRPr="00F31C71">
        <w:rPr>
          <w:rFonts w:ascii="Arial" w:hAnsi="Arial" w:cs="Arial"/>
          <w:sz w:val="22"/>
          <w:szCs w:val="22"/>
        </w:rPr>
        <w:t>qu’</w:t>
      </w:r>
      <w:r w:rsidR="004F5F99" w:rsidRPr="00F31C71">
        <w:rPr>
          <w:rFonts w:ascii="Arial" w:hAnsi="Arial" w:cs="Arial"/>
          <w:sz w:val="22"/>
          <w:szCs w:val="22"/>
        </w:rPr>
        <w:t xml:space="preserve">au moins un dossier par </w:t>
      </w:r>
      <w:r w:rsidR="00F31C71" w:rsidRPr="00F31C71">
        <w:rPr>
          <w:rFonts w:ascii="Arial" w:hAnsi="Arial" w:cs="Arial"/>
          <w:sz w:val="22"/>
          <w:szCs w:val="22"/>
        </w:rPr>
        <w:t>État</w:t>
      </w:r>
      <w:r w:rsidR="004F5F99" w:rsidRPr="00F31C71">
        <w:rPr>
          <w:rFonts w:ascii="Arial" w:hAnsi="Arial" w:cs="Arial"/>
          <w:sz w:val="22"/>
          <w:szCs w:val="22"/>
        </w:rPr>
        <w:t xml:space="preserve"> soumissionnaire </w:t>
      </w:r>
      <w:r w:rsidR="00BB3456" w:rsidRPr="00F31C71">
        <w:rPr>
          <w:rFonts w:ascii="Arial" w:hAnsi="Arial" w:cs="Arial"/>
          <w:sz w:val="22"/>
          <w:szCs w:val="22"/>
        </w:rPr>
        <w:t xml:space="preserve">soit </w:t>
      </w:r>
      <w:r w:rsidR="004F5F99" w:rsidRPr="00F31C71">
        <w:rPr>
          <w:rFonts w:ascii="Arial" w:hAnsi="Arial" w:cs="Arial"/>
          <w:sz w:val="22"/>
          <w:szCs w:val="22"/>
        </w:rPr>
        <w:t xml:space="preserve">traité au cours des deux cycles </w:t>
      </w:r>
      <w:r w:rsidR="009521DF" w:rsidRPr="00F31C71">
        <w:rPr>
          <w:rFonts w:ascii="Arial" w:hAnsi="Arial" w:cs="Arial"/>
          <w:sz w:val="22"/>
          <w:szCs w:val="22"/>
        </w:rPr>
        <w:t xml:space="preserve">2015 </w:t>
      </w:r>
      <w:r w:rsidR="004F5F99" w:rsidRPr="00F31C71">
        <w:rPr>
          <w:rFonts w:ascii="Arial" w:hAnsi="Arial" w:cs="Arial"/>
          <w:sz w:val="22"/>
          <w:szCs w:val="22"/>
        </w:rPr>
        <w:t>et</w:t>
      </w:r>
      <w:r w:rsidR="009521DF" w:rsidRPr="00F31C71">
        <w:rPr>
          <w:rFonts w:ascii="Arial" w:hAnsi="Arial" w:cs="Arial"/>
          <w:sz w:val="22"/>
          <w:szCs w:val="22"/>
        </w:rPr>
        <w:t xml:space="preserve"> 2016 (</w:t>
      </w:r>
      <w:r w:rsidR="004F5F99" w:rsidRPr="00F31C71">
        <w:rPr>
          <w:rFonts w:ascii="Arial" w:hAnsi="Arial" w:cs="Arial"/>
          <w:sz w:val="22"/>
          <w:szCs w:val="22"/>
        </w:rPr>
        <w:t xml:space="preserve">les </w:t>
      </w:r>
      <w:r w:rsidR="009521DF" w:rsidRPr="00F31C71">
        <w:rPr>
          <w:rFonts w:ascii="Arial" w:hAnsi="Arial" w:cs="Arial"/>
          <w:sz w:val="22"/>
          <w:szCs w:val="22"/>
        </w:rPr>
        <w:t xml:space="preserve">11 </w:t>
      </w:r>
      <w:r w:rsidR="004F5F99" w:rsidRPr="00F31C71">
        <w:rPr>
          <w:rFonts w:ascii="Arial" w:hAnsi="Arial" w:cs="Arial"/>
          <w:sz w:val="22"/>
          <w:szCs w:val="22"/>
        </w:rPr>
        <w:t xml:space="preserve">premiers </w:t>
      </w:r>
      <w:r w:rsidR="00F31C71" w:rsidRPr="00F31C71">
        <w:rPr>
          <w:rFonts w:ascii="Arial" w:hAnsi="Arial" w:cs="Arial"/>
          <w:sz w:val="22"/>
          <w:szCs w:val="22"/>
        </w:rPr>
        <w:t>États</w:t>
      </w:r>
      <w:r w:rsidR="004F5F99" w:rsidRPr="00F31C71">
        <w:rPr>
          <w:rFonts w:ascii="Arial" w:hAnsi="Arial" w:cs="Arial"/>
          <w:sz w:val="22"/>
          <w:szCs w:val="22"/>
        </w:rPr>
        <w:t xml:space="preserve"> n’ont pas pu avoir un dossier national traité en </w:t>
      </w:r>
      <w:r w:rsidR="009521DF" w:rsidRPr="00F31C71">
        <w:rPr>
          <w:rFonts w:ascii="Arial" w:hAnsi="Arial" w:cs="Arial"/>
          <w:sz w:val="22"/>
          <w:szCs w:val="22"/>
        </w:rPr>
        <w:t xml:space="preserve">2015) </w:t>
      </w:r>
      <w:r w:rsidR="004F5F99" w:rsidRPr="00F31C71">
        <w:rPr>
          <w:rFonts w:ascii="Arial" w:hAnsi="Arial" w:cs="Arial"/>
          <w:sz w:val="22"/>
          <w:szCs w:val="22"/>
        </w:rPr>
        <w:t>et</w:t>
      </w:r>
      <w:r w:rsidR="009521DF" w:rsidRPr="00F31C71">
        <w:rPr>
          <w:rFonts w:ascii="Arial" w:hAnsi="Arial" w:cs="Arial"/>
          <w:sz w:val="22"/>
          <w:szCs w:val="22"/>
        </w:rPr>
        <w:t xml:space="preserve"> </w:t>
      </w:r>
    </w:p>
    <w:p w:rsidR="009521DF" w:rsidRPr="00F31C71" w:rsidRDefault="007D064F" w:rsidP="001E5521">
      <w:pPr>
        <w:numPr>
          <w:ilvl w:val="0"/>
          <w:numId w:val="14"/>
        </w:numPr>
        <w:contextualSpacing/>
        <w:jc w:val="both"/>
        <w:rPr>
          <w:rFonts w:ascii="Arial" w:hAnsi="Arial" w:cs="Arial"/>
          <w:sz w:val="22"/>
          <w:szCs w:val="22"/>
        </w:rPr>
      </w:pPr>
      <w:r>
        <w:rPr>
          <w:rFonts w:ascii="Arial" w:hAnsi="Arial" w:cs="Arial"/>
          <w:sz w:val="22"/>
          <w:szCs w:val="22"/>
        </w:rPr>
        <w:t>dans les</w:t>
      </w:r>
      <w:r w:rsidRPr="00F31C71">
        <w:rPr>
          <w:rFonts w:ascii="Arial" w:hAnsi="Arial" w:cs="Arial"/>
          <w:sz w:val="22"/>
          <w:szCs w:val="22"/>
        </w:rPr>
        <w:t xml:space="preserve"> </w:t>
      </w:r>
      <w:r w:rsidR="004F5F99" w:rsidRPr="00F31C71">
        <w:rPr>
          <w:rFonts w:ascii="Arial" w:hAnsi="Arial" w:cs="Arial"/>
          <w:sz w:val="22"/>
          <w:szCs w:val="22"/>
        </w:rPr>
        <w:t xml:space="preserve">priorités </w:t>
      </w:r>
      <w:r w:rsidR="00DE2DA9" w:rsidRPr="00F31C71">
        <w:rPr>
          <w:rFonts w:ascii="Arial" w:hAnsi="Arial" w:cs="Arial"/>
          <w:sz w:val="22"/>
          <w:szCs w:val="22"/>
        </w:rPr>
        <w:t>énonc</w:t>
      </w:r>
      <w:r w:rsidR="004F5F99" w:rsidRPr="00F31C71">
        <w:rPr>
          <w:rFonts w:ascii="Arial" w:hAnsi="Arial" w:cs="Arial"/>
          <w:sz w:val="22"/>
          <w:szCs w:val="22"/>
        </w:rPr>
        <w:t xml:space="preserve">ées au </w:t>
      </w:r>
      <w:r w:rsidR="009521DF" w:rsidRPr="00F31C71">
        <w:rPr>
          <w:rFonts w:ascii="Arial" w:hAnsi="Arial" w:cs="Arial"/>
          <w:sz w:val="22"/>
          <w:szCs w:val="22"/>
        </w:rPr>
        <w:t>paragraph</w:t>
      </w:r>
      <w:r w:rsidR="004F5F99" w:rsidRPr="00F31C71">
        <w:rPr>
          <w:rFonts w:ascii="Arial" w:hAnsi="Arial" w:cs="Arial"/>
          <w:sz w:val="22"/>
          <w:szCs w:val="22"/>
        </w:rPr>
        <w:t>e</w:t>
      </w:r>
      <w:r w:rsidR="009521DF" w:rsidRPr="00F31C71">
        <w:rPr>
          <w:rFonts w:ascii="Arial" w:hAnsi="Arial" w:cs="Arial"/>
          <w:sz w:val="22"/>
          <w:szCs w:val="22"/>
        </w:rPr>
        <w:t xml:space="preserve"> 34 </w:t>
      </w:r>
      <w:r w:rsidR="004F5F99" w:rsidRPr="00F31C71">
        <w:rPr>
          <w:rFonts w:ascii="Arial" w:hAnsi="Arial" w:cs="Arial"/>
          <w:sz w:val="22"/>
          <w:szCs w:val="22"/>
        </w:rPr>
        <w:t>des</w:t>
      </w:r>
      <w:r w:rsidR="009521DF" w:rsidRPr="00F31C71">
        <w:rPr>
          <w:rFonts w:ascii="Arial" w:hAnsi="Arial" w:cs="Arial"/>
          <w:sz w:val="22"/>
          <w:szCs w:val="22"/>
        </w:rPr>
        <w:t xml:space="preserve"> Directives</w:t>
      </w:r>
      <w:r w:rsidR="004F5F99" w:rsidRPr="00F31C71">
        <w:rPr>
          <w:rFonts w:ascii="Arial" w:hAnsi="Arial" w:cs="Arial"/>
          <w:sz w:val="22"/>
          <w:szCs w:val="22"/>
        </w:rPr>
        <w:t xml:space="preserve"> opérationnelles </w:t>
      </w:r>
      <w:r w:rsidR="009521DF" w:rsidRPr="00F31C71">
        <w:rPr>
          <w:rFonts w:ascii="Arial" w:hAnsi="Arial" w:cs="Arial"/>
          <w:sz w:val="22"/>
          <w:szCs w:val="22"/>
        </w:rPr>
        <w:t>:</w:t>
      </w:r>
    </w:p>
    <w:p w:rsidR="009521DF" w:rsidRPr="00F31C71" w:rsidRDefault="009521DF" w:rsidP="001E5521">
      <w:pPr>
        <w:tabs>
          <w:tab w:val="left" w:pos="1134"/>
        </w:tabs>
        <w:ind w:left="1134" w:hanging="425"/>
        <w:jc w:val="both"/>
        <w:rPr>
          <w:rFonts w:ascii="Arial" w:hAnsi="Arial" w:cs="Arial"/>
          <w:sz w:val="22"/>
          <w:szCs w:val="22"/>
        </w:rPr>
      </w:pPr>
      <w:r w:rsidRPr="00F31C71">
        <w:rPr>
          <w:rFonts w:ascii="Arial" w:hAnsi="Arial" w:cs="Arial"/>
          <w:sz w:val="22"/>
          <w:szCs w:val="22"/>
        </w:rPr>
        <w:t>(i)</w:t>
      </w:r>
      <w:r w:rsidRPr="00F31C71">
        <w:rPr>
          <w:rFonts w:ascii="Arial" w:hAnsi="Arial" w:cs="Arial"/>
          <w:sz w:val="22"/>
          <w:szCs w:val="22"/>
        </w:rPr>
        <w:tab/>
      </w:r>
      <w:r w:rsidR="007D064F">
        <w:rPr>
          <w:rFonts w:ascii="Arial" w:hAnsi="Arial" w:cs="Arial"/>
          <w:sz w:val="22"/>
          <w:szCs w:val="22"/>
        </w:rPr>
        <w:t xml:space="preserve">les </w:t>
      </w:r>
      <w:r w:rsidR="00457DA1" w:rsidRPr="00F31C71">
        <w:rPr>
          <w:rFonts w:ascii="Arial" w:hAnsi="Arial" w:cs="Arial"/>
          <w:sz w:val="22"/>
          <w:szCs w:val="22"/>
        </w:rPr>
        <w:t xml:space="preserve">dossiers provenant d’États n’ayant pas d’éléments inscrits, de meilleures pratiques de sauvegarde sélectionnées ou de demandes d’assistance internationale de plus de 25 000 dollars des États-Unis accordées, et </w:t>
      </w:r>
      <w:r w:rsidR="00DE2DA9" w:rsidRPr="00F31C71">
        <w:rPr>
          <w:rFonts w:ascii="Arial" w:hAnsi="Arial" w:cs="Arial"/>
          <w:sz w:val="22"/>
          <w:szCs w:val="22"/>
        </w:rPr>
        <w:t>les</w:t>
      </w:r>
      <w:r w:rsidR="00457DA1" w:rsidRPr="00F31C71">
        <w:rPr>
          <w:rFonts w:ascii="Arial" w:hAnsi="Arial" w:cs="Arial"/>
          <w:sz w:val="22"/>
          <w:szCs w:val="22"/>
        </w:rPr>
        <w:t xml:space="preserve"> candidatures à la Liste du patrimoine culturel immatériel nécessitant une sauvegarde urgente </w:t>
      </w:r>
      <w:r w:rsidRPr="00F31C71">
        <w:rPr>
          <w:rFonts w:ascii="Arial" w:hAnsi="Arial" w:cs="Arial"/>
          <w:sz w:val="22"/>
          <w:szCs w:val="22"/>
        </w:rPr>
        <w:t xml:space="preserve">; </w:t>
      </w:r>
    </w:p>
    <w:p w:rsidR="009521DF" w:rsidRPr="00F31C71" w:rsidRDefault="009521DF" w:rsidP="001E5521">
      <w:pPr>
        <w:tabs>
          <w:tab w:val="left" w:pos="1134"/>
        </w:tabs>
        <w:ind w:left="1134" w:hanging="425"/>
        <w:jc w:val="both"/>
        <w:rPr>
          <w:rFonts w:ascii="Arial" w:hAnsi="Arial" w:cs="Arial"/>
          <w:sz w:val="22"/>
          <w:szCs w:val="22"/>
        </w:rPr>
      </w:pPr>
      <w:r w:rsidRPr="00F31C71">
        <w:rPr>
          <w:rFonts w:ascii="Arial" w:hAnsi="Arial" w:cs="Arial"/>
          <w:sz w:val="22"/>
          <w:szCs w:val="22"/>
        </w:rPr>
        <w:t>(ii)</w:t>
      </w:r>
      <w:r w:rsidRPr="00F31C71">
        <w:rPr>
          <w:rFonts w:ascii="Arial" w:hAnsi="Arial" w:cs="Arial"/>
          <w:sz w:val="22"/>
          <w:szCs w:val="22"/>
        </w:rPr>
        <w:tab/>
      </w:r>
      <w:r w:rsidR="007D064F">
        <w:rPr>
          <w:rFonts w:ascii="Arial" w:hAnsi="Arial" w:cs="Arial"/>
          <w:sz w:val="22"/>
          <w:szCs w:val="22"/>
        </w:rPr>
        <w:t xml:space="preserve">les </w:t>
      </w:r>
      <w:r w:rsidR="00457DA1" w:rsidRPr="00F31C71">
        <w:rPr>
          <w:rFonts w:ascii="Arial" w:hAnsi="Arial" w:cs="Arial"/>
          <w:sz w:val="22"/>
          <w:szCs w:val="22"/>
        </w:rPr>
        <w:t xml:space="preserve">dossiers </w:t>
      </w:r>
      <w:r w:rsidRPr="00F31C71">
        <w:rPr>
          <w:rFonts w:ascii="Arial" w:hAnsi="Arial" w:cs="Arial"/>
          <w:sz w:val="22"/>
          <w:szCs w:val="22"/>
        </w:rPr>
        <w:t>multinationa</w:t>
      </w:r>
      <w:r w:rsidR="00457DA1" w:rsidRPr="00F31C71">
        <w:rPr>
          <w:rFonts w:ascii="Arial" w:hAnsi="Arial" w:cs="Arial"/>
          <w:sz w:val="22"/>
          <w:szCs w:val="22"/>
        </w:rPr>
        <w:t>ux </w:t>
      </w:r>
      <w:r w:rsidRPr="00F31C71">
        <w:rPr>
          <w:rFonts w:ascii="Arial" w:hAnsi="Arial" w:cs="Arial"/>
          <w:sz w:val="22"/>
          <w:szCs w:val="22"/>
        </w:rPr>
        <w:t xml:space="preserve">; </w:t>
      </w:r>
    </w:p>
    <w:p w:rsidR="009521DF" w:rsidRPr="00F31C71" w:rsidRDefault="009521DF" w:rsidP="001E5521">
      <w:pPr>
        <w:tabs>
          <w:tab w:val="left" w:pos="1134"/>
        </w:tabs>
        <w:spacing w:after="240"/>
        <w:ind w:left="1134" w:hanging="425"/>
        <w:jc w:val="both"/>
        <w:rPr>
          <w:rFonts w:ascii="Arial" w:hAnsi="Arial" w:cs="Arial"/>
          <w:sz w:val="22"/>
          <w:szCs w:val="22"/>
        </w:rPr>
      </w:pPr>
      <w:r w:rsidRPr="00F31C71">
        <w:rPr>
          <w:rFonts w:ascii="Arial" w:hAnsi="Arial" w:cs="Arial"/>
          <w:sz w:val="22"/>
          <w:szCs w:val="22"/>
        </w:rPr>
        <w:t>(iii)</w:t>
      </w:r>
      <w:r w:rsidRPr="00F31C71">
        <w:rPr>
          <w:rFonts w:ascii="Arial" w:hAnsi="Arial" w:cs="Arial"/>
          <w:sz w:val="22"/>
          <w:szCs w:val="22"/>
        </w:rPr>
        <w:tab/>
      </w:r>
      <w:r w:rsidR="007D064F">
        <w:rPr>
          <w:rFonts w:ascii="Arial" w:hAnsi="Arial" w:cs="Arial"/>
          <w:sz w:val="22"/>
          <w:szCs w:val="22"/>
        </w:rPr>
        <w:t xml:space="preserve">les </w:t>
      </w:r>
      <w:r w:rsidR="00AE2FCE" w:rsidRPr="00F31C71">
        <w:rPr>
          <w:rFonts w:ascii="Arial" w:hAnsi="Arial" w:cs="Arial"/>
          <w:sz w:val="22"/>
          <w:szCs w:val="22"/>
        </w:rPr>
        <w:t>dossiers provenant d’États ayant le moins d’éléments inscrits, de meilleures pratiques de sauvegarde sélectionnées ou de demandes d’assistance international</w:t>
      </w:r>
      <w:r w:rsidR="007D064F">
        <w:rPr>
          <w:rFonts w:ascii="Arial" w:hAnsi="Arial" w:cs="Arial"/>
          <w:sz w:val="22"/>
          <w:szCs w:val="22"/>
        </w:rPr>
        <w:t>e</w:t>
      </w:r>
      <w:r w:rsidR="00AE2FCE" w:rsidRPr="00F31C71">
        <w:rPr>
          <w:rFonts w:ascii="Arial" w:hAnsi="Arial" w:cs="Arial"/>
          <w:sz w:val="22"/>
          <w:szCs w:val="22"/>
        </w:rPr>
        <w:t xml:space="preserve"> de plus de 25 000 dollars des États-Unis accordées par rapport aux autres États soumissionnaires au cours du même cycle</w:t>
      </w:r>
      <w:r w:rsidRPr="00F31C71">
        <w:rPr>
          <w:rFonts w:ascii="Arial" w:hAnsi="Arial" w:cs="Arial"/>
          <w:sz w:val="22"/>
          <w:szCs w:val="22"/>
        </w:rPr>
        <w:t>.</w:t>
      </w:r>
    </w:p>
    <w:tbl>
      <w:tblPr>
        <w:tblW w:w="14310" w:type="dxa"/>
        <w:tblBorders>
          <w:top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450"/>
        <w:gridCol w:w="3116"/>
        <w:gridCol w:w="709"/>
        <w:gridCol w:w="7509"/>
        <w:gridCol w:w="2526"/>
      </w:tblGrid>
      <w:tr w:rsidR="009521DF" w:rsidRPr="00F31C71" w:rsidTr="009521DF">
        <w:trPr>
          <w:cantSplit/>
          <w:tblHeader/>
        </w:trPr>
        <w:tc>
          <w:tcPr>
            <w:tcW w:w="3568" w:type="dxa"/>
            <w:gridSpan w:val="2"/>
            <w:tcBorders>
              <w:top w:val="single" w:sz="4" w:space="0" w:color="auto"/>
              <w:left w:val="nil"/>
              <w:bottom w:val="single" w:sz="4" w:space="0" w:color="auto"/>
              <w:right w:val="nil"/>
            </w:tcBorders>
            <w:shd w:val="clear" w:color="auto" w:fill="D9D9D9"/>
            <w:tcMar>
              <w:top w:w="0" w:type="dxa"/>
              <w:left w:w="28" w:type="dxa"/>
              <w:bottom w:w="15" w:type="dxa"/>
              <w:right w:w="28" w:type="dxa"/>
            </w:tcMar>
            <w:vAlign w:val="center"/>
            <w:hideMark/>
          </w:tcPr>
          <w:p w:rsidR="009521DF" w:rsidRPr="00F31C71" w:rsidRDefault="00AE2FCE" w:rsidP="00AE2FCE">
            <w:pPr>
              <w:jc w:val="center"/>
              <w:rPr>
                <w:rFonts w:ascii="Arial" w:hAnsi="Arial" w:cs="Arial"/>
                <w:b/>
                <w:bCs/>
                <w:sz w:val="20"/>
                <w:szCs w:val="20"/>
                <w:lang w:eastAsia="en-GB"/>
              </w:rPr>
            </w:pPr>
            <w:r w:rsidRPr="00F31C71">
              <w:rPr>
                <w:rFonts w:ascii="Arial" w:hAnsi="Arial" w:cs="Arial"/>
                <w:b/>
                <w:bCs/>
                <w:sz w:val="20"/>
                <w:szCs w:val="20"/>
                <w:lang w:eastAsia="en-GB"/>
              </w:rPr>
              <w:t>Pays</w:t>
            </w:r>
          </w:p>
        </w:tc>
        <w:tc>
          <w:tcPr>
            <w:tcW w:w="8222" w:type="dxa"/>
            <w:gridSpan w:val="2"/>
            <w:tcBorders>
              <w:top w:val="single" w:sz="4" w:space="0" w:color="auto"/>
              <w:left w:val="nil"/>
              <w:bottom w:val="single" w:sz="4" w:space="0" w:color="auto"/>
              <w:right w:val="nil"/>
            </w:tcBorders>
            <w:shd w:val="clear" w:color="auto" w:fill="D9D9D9"/>
            <w:tcMar>
              <w:top w:w="0" w:type="dxa"/>
              <w:left w:w="28" w:type="dxa"/>
              <w:bottom w:w="15" w:type="dxa"/>
              <w:right w:w="28" w:type="dxa"/>
            </w:tcMar>
            <w:vAlign w:val="center"/>
            <w:hideMark/>
          </w:tcPr>
          <w:p w:rsidR="009521DF" w:rsidRPr="00F31C71" w:rsidRDefault="00AE2FCE" w:rsidP="00AE2FCE">
            <w:pPr>
              <w:jc w:val="center"/>
              <w:rPr>
                <w:rFonts w:ascii="Arial" w:hAnsi="Arial" w:cs="Arial"/>
                <w:b/>
                <w:bCs/>
                <w:sz w:val="20"/>
                <w:szCs w:val="20"/>
                <w:lang w:eastAsia="en-GB"/>
              </w:rPr>
            </w:pPr>
            <w:r w:rsidRPr="00F31C71">
              <w:rPr>
                <w:rFonts w:ascii="Arial" w:hAnsi="Arial" w:cs="Arial"/>
                <w:b/>
                <w:bCs/>
                <w:sz w:val="20"/>
                <w:szCs w:val="20"/>
                <w:lang w:eastAsia="en-GB"/>
              </w:rPr>
              <w:t>Dossiers soumis</w:t>
            </w:r>
          </w:p>
        </w:tc>
        <w:tc>
          <w:tcPr>
            <w:tcW w:w="2527" w:type="dxa"/>
            <w:tcBorders>
              <w:top w:val="single" w:sz="4" w:space="0" w:color="auto"/>
              <w:left w:val="nil"/>
              <w:bottom w:val="single" w:sz="4" w:space="0" w:color="auto"/>
              <w:right w:val="nil"/>
            </w:tcBorders>
            <w:shd w:val="clear" w:color="auto" w:fill="D9D9D9"/>
            <w:tcMar>
              <w:top w:w="75" w:type="dxa"/>
              <w:left w:w="45" w:type="dxa"/>
              <w:bottom w:w="75" w:type="dxa"/>
              <w:right w:w="45" w:type="dxa"/>
            </w:tcMar>
            <w:vAlign w:val="center"/>
            <w:hideMark/>
          </w:tcPr>
          <w:p w:rsidR="009521DF" w:rsidRPr="00F31C71" w:rsidRDefault="00AE2FCE" w:rsidP="00AE2FCE">
            <w:pPr>
              <w:jc w:val="center"/>
              <w:rPr>
                <w:rFonts w:ascii="Arial" w:hAnsi="Arial" w:cs="Arial"/>
                <w:b/>
                <w:bCs/>
                <w:sz w:val="20"/>
                <w:szCs w:val="20"/>
                <w:lang w:eastAsia="en-GB"/>
              </w:rPr>
            </w:pPr>
            <w:r w:rsidRPr="00F31C71">
              <w:rPr>
                <w:rFonts w:ascii="Arial" w:hAnsi="Arial" w:cs="Arial"/>
                <w:b/>
                <w:bCs/>
                <w:sz w:val="20"/>
                <w:szCs w:val="20"/>
                <w:lang w:eastAsia="en-GB"/>
              </w:rPr>
              <w:t>Niveau de priorité</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E2FCE">
            <w:pPr>
              <w:rPr>
                <w:rFonts w:ascii="Arial" w:hAnsi="Arial" w:cs="Arial"/>
                <w:sz w:val="20"/>
                <w:szCs w:val="20"/>
                <w:lang w:eastAsia="en-GB"/>
              </w:rPr>
            </w:pPr>
            <w:r w:rsidRPr="00F31C71">
              <w:rPr>
                <w:rFonts w:ascii="Arial" w:hAnsi="Arial" w:cs="Arial"/>
                <w:sz w:val="20"/>
                <w:szCs w:val="20"/>
                <w:lang w:eastAsia="en-GB"/>
              </w:rPr>
              <w:t>Belgi</w:t>
            </w:r>
            <w:r w:rsidR="00AE2FCE" w:rsidRPr="00F31C71">
              <w:rPr>
                <w:rFonts w:ascii="Arial" w:hAnsi="Arial" w:cs="Arial"/>
                <w:sz w:val="20"/>
                <w:szCs w:val="20"/>
                <w:lang w:eastAsia="en-GB"/>
              </w:rPr>
              <w:t>q</w:t>
            </w:r>
            <w:r w:rsidRPr="00F31C71">
              <w:rPr>
                <w:rFonts w:ascii="Arial" w:hAnsi="Arial" w:cs="Arial"/>
                <w:sz w:val="20"/>
                <w:szCs w:val="20"/>
                <w:lang w:eastAsia="en-GB"/>
              </w:rPr>
              <w:t>u</w:t>
            </w:r>
            <w:r w:rsidR="00AE2FCE" w:rsidRPr="00F31C71">
              <w:rPr>
                <w:rFonts w:ascii="Arial" w:hAnsi="Arial" w:cs="Arial"/>
                <w:sz w:val="20"/>
                <w:szCs w:val="20"/>
                <w:lang w:eastAsia="en-GB"/>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La culture de la bière en Belgique (01062)</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052280">
            <w:pPr>
              <w:rPr>
                <w:rFonts w:ascii="Arial" w:hAnsi="Arial" w:cs="Arial"/>
                <w:sz w:val="20"/>
                <w:szCs w:val="20"/>
                <w:lang w:eastAsia="en-GB"/>
              </w:rPr>
            </w:pPr>
            <w:r w:rsidRPr="00F31C71">
              <w:rPr>
                <w:rFonts w:ascii="Arial" w:hAnsi="Arial" w:cs="Arial"/>
                <w:sz w:val="20"/>
                <w:szCs w:val="20"/>
                <w:lang w:eastAsia="en-GB"/>
              </w:rPr>
              <w:t xml:space="preserve">(0) </w:t>
            </w:r>
            <w:r w:rsidR="00052280" w:rsidRPr="00F31C71">
              <w:rPr>
                <w:rFonts w:ascii="Arial" w:hAnsi="Arial" w:cs="Arial"/>
                <w:sz w:val="20"/>
                <w:szCs w:val="20"/>
                <w:lang w:eastAsia="en-GB"/>
              </w:rPr>
              <w:t>u</w:t>
            </w:r>
            <w:r w:rsidRPr="00F31C71">
              <w:rPr>
                <w:rFonts w:ascii="Arial" w:hAnsi="Arial" w:cs="Arial"/>
                <w:sz w:val="20"/>
                <w:szCs w:val="20"/>
                <w:lang w:eastAsia="en-GB"/>
              </w:rPr>
              <w:t xml:space="preserve">n </w:t>
            </w:r>
            <w:r w:rsidR="00052280" w:rsidRPr="00F31C71">
              <w:rPr>
                <w:rFonts w:ascii="Arial" w:hAnsi="Arial" w:cs="Arial"/>
                <w:sz w:val="20"/>
                <w:szCs w:val="20"/>
                <w:lang w:eastAsia="en-GB"/>
              </w:rPr>
              <w:t>dossier pour</w:t>
            </w:r>
            <w:r w:rsidRPr="00F31C71">
              <w:rPr>
                <w:rFonts w:ascii="Arial" w:hAnsi="Arial" w:cs="Arial"/>
                <w:sz w:val="20"/>
                <w:szCs w:val="20"/>
                <w:lang w:eastAsia="en-GB"/>
              </w:rPr>
              <w:t xml:space="preserve">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E2FCE">
            <w:pPr>
              <w:rPr>
                <w:rFonts w:ascii="Arial" w:hAnsi="Arial" w:cs="Arial"/>
                <w:sz w:val="20"/>
                <w:szCs w:val="20"/>
                <w:lang w:eastAsia="en-GB"/>
              </w:rPr>
            </w:pPr>
            <w:r w:rsidRPr="00F31C71">
              <w:rPr>
                <w:rFonts w:ascii="Arial" w:hAnsi="Arial" w:cs="Arial"/>
                <w:sz w:val="20"/>
                <w:szCs w:val="20"/>
                <w:lang w:eastAsia="en-GB"/>
              </w:rPr>
              <w:t>Chin</w:t>
            </w:r>
            <w:r w:rsidR="00AE2FCE" w:rsidRPr="00F31C71">
              <w:rPr>
                <w:rFonts w:ascii="Arial" w:hAnsi="Arial" w:cs="Arial"/>
                <w:sz w:val="20"/>
                <w:szCs w:val="20"/>
                <w:lang w:eastAsia="en-GB"/>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E333C3" w:rsidP="001533A7">
            <w:pPr>
              <w:rPr>
                <w:rFonts w:ascii="Arial" w:hAnsi="Arial" w:cs="Arial"/>
                <w:sz w:val="20"/>
                <w:szCs w:val="20"/>
                <w:lang w:val="en-US" w:eastAsia="en-GB"/>
              </w:rPr>
            </w:pPr>
            <w:r w:rsidRPr="006016A7">
              <w:rPr>
                <w:rFonts w:ascii="Arial" w:hAnsi="Arial" w:cs="Arial"/>
                <w:sz w:val="20"/>
                <w:szCs w:val="20"/>
                <w:lang w:val="en-US" w:eastAsia="en-GB"/>
              </w:rPr>
              <w:t>The Twenty-Four Solar Terms, Chinese knowledge of time and practices developed through observation of the sun's annual motion (00647)</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(0) </w:t>
            </w:r>
            <w:r w:rsidR="00052280" w:rsidRPr="00F31C71">
              <w:rPr>
                <w:rFonts w:ascii="Arial" w:hAnsi="Arial" w:cs="Arial"/>
                <w:sz w:val="20"/>
                <w:szCs w:val="20"/>
                <w:lang w:eastAsia="en-GB"/>
              </w:rPr>
              <w:t>un dossier pour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E2FCE">
            <w:pPr>
              <w:rPr>
                <w:rFonts w:ascii="Arial" w:hAnsi="Arial" w:cs="Arial"/>
                <w:sz w:val="20"/>
                <w:szCs w:val="20"/>
                <w:lang w:eastAsia="en-GB"/>
              </w:rPr>
            </w:pPr>
            <w:r w:rsidRPr="00F31C71">
              <w:rPr>
                <w:rFonts w:ascii="Arial" w:hAnsi="Arial" w:cs="Arial"/>
                <w:sz w:val="20"/>
                <w:szCs w:val="20"/>
                <w:lang w:eastAsia="en-GB"/>
              </w:rPr>
              <w:t>Croati</w:t>
            </w:r>
            <w:r w:rsidR="00AE2FCE" w:rsidRPr="00F31C71">
              <w:rPr>
                <w:rFonts w:ascii="Arial" w:hAnsi="Arial" w:cs="Arial"/>
                <w:sz w:val="20"/>
                <w:szCs w:val="20"/>
                <w:lang w:eastAsia="en-GB"/>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BSP</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E333C3" w:rsidP="00857547">
            <w:pPr>
              <w:rPr>
                <w:rFonts w:ascii="Arial" w:hAnsi="Arial" w:cs="Arial"/>
                <w:sz w:val="20"/>
                <w:szCs w:val="20"/>
                <w:lang w:val="en-US" w:eastAsia="en-GB"/>
              </w:rPr>
            </w:pPr>
            <w:r w:rsidRPr="006016A7">
              <w:rPr>
                <w:rFonts w:ascii="Arial" w:hAnsi="Arial" w:cs="Arial"/>
                <w:sz w:val="20"/>
                <w:szCs w:val="20"/>
                <w:lang w:val="en-US" w:eastAsia="en-GB"/>
              </w:rPr>
              <w:t>Community project of safeguarding the living culture of Rovinj/Rovigno: the Batana Ecomuseum (01098)</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(0) </w:t>
            </w:r>
            <w:r w:rsidR="00052280" w:rsidRPr="00F31C71">
              <w:rPr>
                <w:rFonts w:ascii="Arial" w:hAnsi="Arial" w:cs="Arial"/>
                <w:sz w:val="20"/>
                <w:szCs w:val="20"/>
                <w:lang w:eastAsia="en-GB"/>
              </w:rPr>
              <w:t>un dossier pour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France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Le carnaval de Granville (01077)</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(0) </w:t>
            </w:r>
            <w:r w:rsidR="00052280" w:rsidRPr="00F31C71">
              <w:rPr>
                <w:rFonts w:ascii="Arial" w:hAnsi="Arial" w:cs="Arial"/>
                <w:sz w:val="20"/>
                <w:szCs w:val="20"/>
                <w:lang w:eastAsia="en-GB"/>
              </w:rPr>
              <w:t>un dossier pour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5</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E2FCE">
            <w:pPr>
              <w:rPr>
                <w:rFonts w:ascii="Arial" w:hAnsi="Arial" w:cs="Arial"/>
                <w:sz w:val="20"/>
                <w:szCs w:val="20"/>
                <w:lang w:eastAsia="en-GB"/>
              </w:rPr>
            </w:pPr>
            <w:r w:rsidRPr="00F31C71">
              <w:rPr>
                <w:rFonts w:ascii="Arial" w:hAnsi="Arial" w:cs="Arial"/>
                <w:sz w:val="20"/>
                <w:szCs w:val="20"/>
                <w:lang w:eastAsia="en-GB"/>
              </w:rPr>
              <w:t>Ind</w:t>
            </w:r>
            <w:r w:rsidR="00AE2FCE" w:rsidRPr="00F31C71">
              <w:rPr>
                <w:rFonts w:ascii="Arial" w:hAnsi="Arial" w:cs="Arial"/>
                <w:sz w:val="20"/>
                <w:szCs w:val="20"/>
                <w:lang w:eastAsia="en-GB"/>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E333C3" w:rsidP="00E333C3">
            <w:pPr>
              <w:rPr>
                <w:rFonts w:ascii="Arial" w:hAnsi="Arial" w:cs="Arial"/>
                <w:sz w:val="20"/>
                <w:szCs w:val="20"/>
                <w:lang w:eastAsia="en-GB"/>
              </w:rPr>
            </w:pPr>
            <w:r w:rsidRPr="00F31C71">
              <w:rPr>
                <w:rFonts w:ascii="Arial" w:hAnsi="Arial" w:cs="Arial"/>
                <w:sz w:val="20"/>
                <w:szCs w:val="20"/>
                <w:lang w:eastAsia="en-GB"/>
              </w:rPr>
              <w:t>Y</w:t>
            </w:r>
            <w:r w:rsidR="009521DF" w:rsidRPr="00F31C71">
              <w:rPr>
                <w:rFonts w:ascii="Arial" w:hAnsi="Arial" w:cs="Arial"/>
                <w:sz w:val="20"/>
                <w:szCs w:val="20"/>
                <w:lang w:eastAsia="en-GB"/>
              </w:rPr>
              <w:t>oga (01163)</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(0) </w:t>
            </w:r>
            <w:r w:rsidR="00052280" w:rsidRPr="00F31C71">
              <w:rPr>
                <w:rFonts w:ascii="Arial" w:hAnsi="Arial" w:cs="Arial"/>
                <w:sz w:val="20"/>
                <w:szCs w:val="20"/>
                <w:lang w:eastAsia="en-GB"/>
              </w:rPr>
              <w:t>un dossier pour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6</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E2FCE">
            <w:pPr>
              <w:rPr>
                <w:rFonts w:ascii="Arial" w:hAnsi="Arial" w:cs="Arial"/>
                <w:sz w:val="20"/>
                <w:szCs w:val="20"/>
                <w:lang w:eastAsia="en-GB"/>
              </w:rPr>
            </w:pPr>
            <w:r w:rsidRPr="00F31C71">
              <w:rPr>
                <w:rFonts w:ascii="Arial" w:hAnsi="Arial" w:cs="Arial"/>
                <w:sz w:val="20"/>
                <w:szCs w:val="20"/>
                <w:lang w:eastAsia="en-GB"/>
              </w:rPr>
              <w:t>Jap</w:t>
            </w:r>
            <w:r w:rsidR="00AE2FCE" w:rsidRPr="00F31C71">
              <w:rPr>
                <w:rFonts w:ascii="Arial" w:hAnsi="Arial" w:cs="Arial"/>
                <w:sz w:val="20"/>
                <w:szCs w:val="20"/>
                <w:lang w:eastAsia="en-GB"/>
              </w:rPr>
              <w:t>o</w:t>
            </w:r>
            <w:r w:rsidRPr="00F31C71">
              <w:rPr>
                <w:rFonts w:ascii="Arial" w:hAnsi="Arial" w:cs="Arial"/>
                <w:sz w:val="20"/>
                <w:szCs w:val="20"/>
                <w:lang w:eastAsia="en-GB"/>
              </w:rPr>
              <w:t>n</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9521DF" w:rsidP="007D064F">
            <w:pPr>
              <w:rPr>
                <w:rFonts w:ascii="Arial" w:hAnsi="Arial" w:cs="Arial"/>
                <w:sz w:val="20"/>
                <w:szCs w:val="20"/>
                <w:lang w:val="en-US" w:eastAsia="en-GB"/>
              </w:rPr>
            </w:pPr>
            <w:r w:rsidRPr="006016A7">
              <w:rPr>
                <w:rFonts w:ascii="Arial" w:hAnsi="Arial" w:cs="Arial"/>
                <w:sz w:val="20"/>
                <w:szCs w:val="20"/>
                <w:lang w:val="en-US" w:eastAsia="en-GB"/>
              </w:rPr>
              <w:t xml:space="preserve">Yama, Hoko, Yatai, </w:t>
            </w:r>
            <w:r w:rsidR="00E333C3" w:rsidRPr="006016A7">
              <w:rPr>
                <w:rFonts w:ascii="Arial" w:hAnsi="Arial" w:cs="Arial"/>
                <w:sz w:val="20"/>
                <w:szCs w:val="20"/>
                <w:lang w:val="en-US" w:eastAsia="en-GB"/>
              </w:rPr>
              <w:t xml:space="preserve">float festivals </w:t>
            </w:r>
            <w:r w:rsidR="007D064F">
              <w:rPr>
                <w:rFonts w:ascii="Arial" w:hAnsi="Arial" w:cs="Arial"/>
                <w:sz w:val="20"/>
                <w:szCs w:val="20"/>
                <w:lang w:val="en-US" w:eastAsia="en-GB"/>
              </w:rPr>
              <w:t>i</w:t>
            </w:r>
            <w:r w:rsidR="005D0B18">
              <w:rPr>
                <w:rFonts w:ascii="Arial" w:hAnsi="Arial" w:cs="Arial"/>
                <w:sz w:val="20"/>
                <w:szCs w:val="20"/>
                <w:lang w:val="en-US" w:eastAsia="en-GB"/>
              </w:rPr>
              <w:t>n</w:t>
            </w:r>
            <w:r w:rsidR="007D064F" w:rsidRPr="006016A7">
              <w:rPr>
                <w:rFonts w:ascii="Arial" w:hAnsi="Arial" w:cs="Arial"/>
                <w:sz w:val="20"/>
                <w:szCs w:val="20"/>
                <w:lang w:val="en-US" w:eastAsia="en-GB"/>
              </w:rPr>
              <w:t xml:space="preserve"> </w:t>
            </w:r>
            <w:r w:rsidR="00E333C3" w:rsidRPr="006016A7">
              <w:rPr>
                <w:rFonts w:ascii="Arial" w:hAnsi="Arial" w:cs="Arial"/>
                <w:sz w:val="20"/>
                <w:szCs w:val="20"/>
                <w:lang w:val="en-US" w:eastAsia="en-GB"/>
              </w:rPr>
              <w:t xml:space="preserve">Japan </w:t>
            </w:r>
            <w:r w:rsidRPr="006016A7">
              <w:rPr>
                <w:rFonts w:ascii="Arial" w:hAnsi="Arial" w:cs="Arial"/>
                <w:sz w:val="20"/>
                <w:szCs w:val="20"/>
                <w:lang w:val="en-US" w:eastAsia="en-GB"/>
              </w:rPr>
              <w:t>(01059)</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(0) </w:t>
            </w:r>
            <w:r w:rsidR="00052280" w:rsidRPr="00F31C71">
              <w:rPr>
                <w:rFonts w:ascii="Arial" w:hAnsi="Arial" w:cs="Arial"/>
                <w:sz w:val="20"/>
                <w:szCs w:val="20"/>
                <w:lang w:eastAsia="en-GB"/>
              </w:rPr>
              <w:t>un dossier pour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7</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AE2FCE" w:rsidP="00AE2FCE">
            <w:pPr>
              <w:rPr>
                <w:rFonts w:ascii="Arial" w:hAnsi="Arial" w:cs="Arial"/>
                <w:sz w:val="20"/>
                <w:szCs w:val="20"/>
                <w:lang w:eastAsia="en-GB"/>
              </w:rPr>
            </w:pPr>
            <w:r w:rsidRPr="00F31C71">
              <w:rPr>
                <w:rFonts w:ascii="Arial" w:hAnsi="Arial" w:cs="Arial"/>
                <w:sz w:val="20"/>
                <w:szCs w:val="20"/>
                <w:lang w:eastAsia="en-GB"/>
              </w:rPr>
              <w:t>Mexique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E333C3" w:rsidP="004E2073">
            <w:pPr>
              <w:rPr>
                <w:rFonts w:ascii="Arial" w:hAnsi="Arial" w:cs="Arial"/>
                <w:sz w:val="20"/>
                <w:szCs w:val="20"/>
                <w:lang w:eastAsia="en-GB"/>
              </w:rPr>
            </w:pPr>
            <w:r w:rsidRPr="00F31C71">
              <w:rPr>
                <w:rFonts w:ascii="Arial" w:hAnsi="Arial" w:cs="Arial"/>
                <w:sz w:val="20"/>
                <w:szCs w:val="20"/>
                <w:lang w:eastAsia="en-GB"/>
              </w:rPr>
              <w:t xml:space="preserve">Charrería, Mexican equestrian tradition </w:t>
            </w:r>
            <w:r w:rsidR="009521DF" w:rsidRPr="00F31C71">
              <w:rPr>
                <w:rFonts w:ascii="Arial" w:hAnsi="Arial" w:cs="Arial"/>
                <w:sz w:val="20"/>
                <w:szCs w:val="20"/>
                <w:lang w:eastAsia="en-GB"/>
              </w:rPr>
              <w:t>(01108)</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(0) </w:t>
            </w:r>
            <w:r w:rsidR="00052280" w:rsidRPr="00F31C71">
              <w:rPr>
                <w:rFonts w:ascii="Arial" w:hAnsi="Arial" w:cs="Arial"/>
                <w:sz w:val="20"/>
                <w:szCs w:val="20"/>
                <w:lang w:eastAsia="en-GB"/>
              </w:rPr>
              <w:t>un dossier pour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8</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E2FCE">
            <w:pPr>
              <w:rPr>
                <w:rFonts w:ascii="Arial" w:hAnsi="Arial" w:cs="Arial"/>
                <w:sz w:val="20"/>
                <w:szCs w:val="20"/>
                <w:lang w:eastAsia="en-GB"/>
              </w:rPr>
            </w:pPr>
            <w:r w:rsidRPr="00F31C71">
              <w:rPr>
                <w:rFonts w:ascii="Arial" w:hAnsi="Arial" w:cs="Arial"/>
                <w:sz w:val="20"/>
                <w:szCs w:val="20"/>
                <w:lang w:eastAsia="en-GB"/>
              </w:rPr>
              <w:t>R</w:t>
            </w:r>
            <w:r w:rsidR="00AE2FCE" w:rsidRPr="00F31C71">
              <w:rPr>
                <w:rFonts w:ascii="Arial" w:hAnsi="Arial" w:cs="Arial"/>
                <w:sz w:val="20"/>
                <w:szCs w:val="20"/>
                <w:lang w:eastAsia="en-GB"/>
              </w:rPr>
              <w:t>é</w:t>
            </w:r>
            <w:r w:rsidRPr="00F31C71">
              <w:rPr>
                <w:rFonts w:ascii="Arial" w:hAnsi="Arial" w:cs="Arial"/>
                <w:sz w:val="20"/>
                <w:szCs w:val="20"/>
                <w:lang w:eastAsia="en-GB"/>
              </w:rPr>
              <w:t>publi</w:t>
            </w:r>
            <w:r w:rsidR="00AE2FCE" w:rsidRPr="00F31C71">
              <w:rPr>
                <w:rFonts w:ascii="Arial" w:hAnsi="Arial" w:cs="Arial"/>
                <w:sz w:val="20"/>
                <w:szCs w:val="20"/>
                <w:lang w:eastAsia="en-GB"/>
              </w:rPr>
              <w:t>que de Corée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6A2EE8" w:rsidP="00F80404">
            <w:pPr>
              <w:rPr>
                <w:rFonts w:ascii="Arial" w:hAnsi="Arial" w:cs="Arial"/>
                <w:sz w:val="20"/>
                <w:szCs w:val="20"/>
                <w:lang w:val="en-US" w:eastAsia="en-GB"/>
              </w:rPr>
            </w:pPr>
            <w:r w:rsidRPr="006016A7">
              <w:rPr>
                <w:rFonts w:ascii="Arial" w:hAnsi="Arial" w:cs="Arial"/>
                <w:sz w:val="20"/>
                <w:szCs w:val="20"/>
                <w:lang w:val="en-US" w:eastAsia="en-GB"/>
              </w:rPr>
              <w:t xml:space="preserve">Culture of Jeju Haenyeo (women divers) </w:t>
            </w:r>
            <w:r w:rsidR="009521DF" w:rsidRPr="006016A7">
              <w:rPr>
                <w:rFonts w:ascii="Arial" w:hAnsi="Arial" w:cs="Arial"/>
                <w:sz w:val="20"/>
                <w:szCs w:val="20"/>
                <w:lang w:val="en-US" w:eastAsia="en-GB"/>
              </w:rPr>
              <w:t>(01068)</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(0) </w:t>
            </w:r>
            <w:r w:rsidR="00052280" w:rsidRPr="00F31C71">
              <w:rPr>
                <w:rFonts w:ascii="Arial" w:hAnsi="Arial" w:cs="Arial"/>
                <w:sz w:val="20"/>
                <w:szCs w:val="20"/>
                <w:lang w:eastAsia="en-GB"/>
              </w:rPr>
              <w:t>un dossier pour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9</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AE2FCE" w:rsidP="00AE2FCE">
            <w:pPr>
              <w:rPr>
                <w:rFonts w:ascii="Arial" w:hAnsi="Arial" w:cs="Arial"/>
                <w:sz w:val="20"/>
                <w:szCs w:val="20"/>
                <w:lang w:eastAsia="en-GB"/>
              </w:rPr>
            </w:pPr>
            <w:r w:rsidRPr="00F31C71">
              <w:rPr>
                <w:rFonts w:ascii="Arial" w:hAnsi="Arial" w:cs="Arial"/>
                <w:sz w:val="20"/>
                <w:szCs w:val="20"/>
                <w:lang w:eastAsia="en-GB"/>
              </w:rPr>
              <w:t>Es</w:t>
            </w:r>
            <w:r w:rsidR="009521DF" w:rsidRPr="00F31C71">
              <w:rPr>
                <w:rFonts w:ascii="Arial" w:hAnsi="Arial" w:cs="Arial"/>
                <w:sz w:val="20"/>
                <w:szCs w:val="20"/>
                <w:lang w:eastAsia="en-GB"/>
              </w:rPr>
              <w:t>pa</w:t>
            </w:r>
            <w:r w:rsidRPr="00F31C71">
              <w:rPr>
                <w:rFonts w:ascii="Arial" w:hAnsi="Arial" w:cs="Arial"/>
                <w:sz w:val="20"/>
                <w:szCs w:val="20"/>
                <w:lang w:eastAsia="en-GB"/>
              </w:rPr>
              <w:t>g</w:t>
            </w:r>
            <w:r w:rsidR="009521DF" w:rsidRPr="00F31C71">
              <w:rPr>
                <w:rFonts w:ascii="Arial" w:hAnsi="Arial" w:cs="Arial"/>
                <w:sz w:val="20"/>
                <w:szCs w:val="20"/>
                <w:lang w:eastAsia="en-GB"/>
              </w:rPr>
              <w:t>n</w:t>
            </w:r>
            <w:r w:rsidRPr="00F31C71">
              <w:rPr>
                <w:rFonts w:ascii="Arial" w:hAnsi="Arial" w:cs="Arial"/>
                <w:sz w:val="20"/>
                <w:szCs w:val="20"/>
                <w:lang w:eastAsia="en-GB"/>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6A2EE8" w:rsidP="00F80404">
            <w:pPr>
              <w:rPr>
                <w:rFonts w:ascii="Arial" w:hAnsi="Arial" w:cs="Arial"/>
                <w:sz w:val="20"/>
                <w:szCs w:val="20"/>
                <w:lang w:val="en-US" w:eastAsia="en-GB"/>
              </w:rPr>
            </w:pPr>
            <w:r w:rsidRPr="006016A7">
              <w:rPr>
                <w:rFonts w:ascii="Arial" w:hAnsi="Arial" w:cs="Arial"/>
                <w:sz w:val="20"/>
                <w:szCs w:val="20"/>
                <w:lang w:val="en-US" w:eastAsia="en-GB"/>
              </w:rPr>
              <w:t>Valencia Fallas festiv</w:t>
            </w:r>
            <w:r w:rsidR="000841F8">
              <w:rPr>
                <w:rFonts w:ascii="Arial" w:hAnsi="Arial" w:cs="Arial"/>
                <w:sz w:val="20"/>
                <w:szCs w:val="20"/>
                <w:lang w:val="en-US" w:eastAsia="en-GB"/>
              </w:rPr>
              <w:t>ity</w:t>
            </w:r>
            <w:r w:rsidRPr="006016A7">
              <w:rPr>
                <w:rFonts w:ascii="Arial" w:hAnsi="Arial" w:cs="Arial"/>
                <w:sz w:val="20"/>
                <w:szCs w:val="20"/>
                <w:lang w:val="en-US" w:eastAsia="en-GB"/>
              </w:rPr>
              <w:t xml:space="preserve"> </w:t>
            </w:r>
            <w:r w:rsidR="009521DF" w:rsidRPr="006016A7">
              <w:rPr>
                <w:rFonts w:ascii="Arial" w:hAnsi="Arial" w:cs="Arial"/>
                <w:sz w:val="20"/>
                <w:szCs w:val="20"/>
                <w:lang w:val="en-US" w:eastAsia="en-GB"/>
              </w:rPr>
              <w:t>(00859)</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(0) </w:t>
            </w:r>
            <w:r w:rsidR="00052280" w:rsidRPr="00F31C71">
              <w:rPr>
                <w:rFonts w:ascii="Arial" w:hAnsi="Arial" w:cs="Arial"/>
                <w:sz w:val="20"/>
                <w:szCs w:val="20"/>
                <w:lang w:eastAsia="en-GB"/>
              </w:rPr>
              <w:t>un dossier pour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10</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E2FCE">
            <w:pPr>
              <w:rPr>
                <w:rFonts w:ascii="Arial" w:hAnsi="Arial" w:cs="Arial"/>
                <w:sz w:val="20"/>
                <w:szCs w:val="20"/>
                <w:lang w:eastAsia="en-GB"/>
              </w:rPr>
            </w:pPr>
            <w:r w:rsidRPr="00F31C71">
              <w:rPr>
                <w:rFonts w:ascii="Arial" w:hAnsi="Arial" w:cs="Arial"/>
                <w:sz w:val="20"/>
                <w:szCs w:val="20"/>
                <w:lang w:eastAsia="en-GB"/>
              </w:rPr>
              <w:t>Tur</w:t>
            </w:r>
            <w:r w:rsidR="00AE2FCE" w:rsidRPr="00F31C71">
              <w:rPr>
                <w:rFonts w:ascii="Arial" w:hAnsi="Arial" w:cs="Arial"/>
                <w:sz w:val="20"/>
                <w:szCs w:val="20"/>
                <w:lang w:eastAsia="en-GB"/>
              </w:rPr>
              <w:t>quie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6A2EE8" w:rsidP="00863CED">
            <w:pPr>
              <w:rPr>
                <w:rFonts w:ascii="Arial" w:hAnsi="Arial" w:cs="Arial"/>
                <w:sz w:val="20"/>
                <w:szCs w:val="20"/>
                <w:lang w:val="en-US" w:eastAsia="en-GB"/>
              </w:rPr>
            </w:pPr>
            <w:r w:rsidRPr="006016A7">
              <w:rPr>
                <w:rFonts w:ascii="Arial" w:hAnsi="Arial" w:cs="Arial"/>
                <w:sz w:val="20"/>
                <w:szCs w:val="20"/>
                <w:lang w:val="en-US" w:eastAsia="en-GB"/>
              </w:rPr>
              <w:t xml:space="preserve">Traditional craftsmanship of Çini-making </w:t>
            </w:r>
            <w:r w:rsidR="009521DF" w:rsidRPr="006016A7">
              <w:rPr>
                <w:rFonts w:ascii="Arial" w:hAnsi="Arial" w:cs="Arial"/>
                <w:sz w:val="20"/>
                <w:szCs w:val="20"/>
                <w:lang w:val="en-US" w:eastAsia="en-GB"/>
              </w:rPr>
              <w:t>(01058)</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(0) </w:t>
            </w:r>
            <w:r w:rsidR="00052280" w:rsidRPr="00F31C71">
              <w:rPr>
                <w:rFonts w:ascii="Arial" w:hAnsi="Arial" w:cs="Arial"/>
                <w:sz w:val="20"/>
                <w:szCs w:val="20"/>
                <w:lang w:eastAsia="en-GB"/>
              </w:rPr>
              <w:t>un dossier pour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11</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Viet Nam</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6A2EE8" w:rsidP="008B45D4">
            <w:pPr>
              <w:rPr>
                <w:rFonts w:ascii="Arial" w:hAnsi="Arial" w:cs="Arial"/>
                <w:sz w:val="20"/>
                <w:szCs w:val="20"/>
                <w:lang w:val="en-US" w:eastAsia="en-GB"/>
              </w:rPr>
            </w:pPr>
            <w:r w:rsidRPr="006016A7">
              <w:rPr>
                <w:rFonts w:ascii="Arial" w:hAnsi="Arial" w:cs="Arial"/>
                <w:sz w:val="20"/>
                <w:szCs w:val="20"/>
                <w:lang w:val="en-US" w:eastAsia="en-GB"/>
              </w:rPr>
              <w:t xml:space="preserve">Viet beliefs in the Mother Goddesses of Three Realms </w:t>
            </w:r>
            <w:r w:rsidR="009521DF" w:rsidRPr="006016A7">
              <w:rPr>
                <w:rFonts w:ascii="Arial" w:hAnsi="Arial" w:cs="Arial"/>
                <w:sz w:val="20"/>
                <w:szCs w:val="20"/>
                <w:lang w:val="en-US" w:eastAsia="en-GB"/>
              </w:rPr>
              <w:t>(01064)</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2E3D7F">
            <w:pPr>
              <w:rPr>
                <w:rFonts w:ascii="Arial" w:hAnsi="Arial" w:cs="Arial"/>
                <w:sz w:val="20"/>
                <w:szCs w:val="20"/>
                <w:highlight w:val="yellow"/>
                <w:lang w:eastAsia="en-GB"/>
              </w:rPr>
            </w:pPr>
            <w:r w:rsidRPr="00F31C71">
              <w:rPr>
                <w:rFonts w:ascii="Arial" w:hAnsi="Arial" w:cs="Arial"/>
                <w:sz w:val="20"/>
                <w:szCs w:val="20"/>
                <w:lang w:eastAsia="en-GB"/>
              </w:rPr>
              <w:t xml:space="preserve">(0) </w:t>
            </w:r>
            <w:r w:rsidR="002E3D7F" w:rsidRPr="00F31C71">
              <w:rPr>
                <w:rFonts w:ascii="Arial" w:hAnsi="Arial" w:cs="Arial"/>
                <w:sz w:val="20"/>
                <w:szCs w:val="20"/>
                <w:lang w:eastAsia="en-GB"/>
              </w:rPr>
              <w:t>un dossier pour</w:t>
            </w:r>
            <w:r w:rsidRPr="00F31C71">
              <w:rPr>
                <w:rFonts w:ascii="Arial" w:hAnsi="Arial" w:cs="Arial"/>
                <w:sz w:val="20"/>
                <w:szCs w:val="20"/>
                <w:lang w:eastAsia="en-GB"/>
              </w:rPr>
              <w:t xml:space="preserve"> 2015-2016</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12</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E2FCE">
            <w:pPr>
              <w:rPr>
                <w:rFonts w:ascii="Arial" w:hAnsi="Arial" w:cs="Arial"/>
                <w:sz w:val="20"/>
                <w:szCs w:val="20"/>
                <w:lang w:eastAsia="en-GB"/>
              </w:rPr>
            </w:pPr>
            <w:r w:rsidRPr="00F31C71">
              <w:rPr>
                <w:rFonts w:ascii="Arial" w:hAnsi="Arial" w:cs="Arial"/>
                <w:sz w:val="20"/>
                <w:szCs w:val="20"/>
                <w:lang w:eastAsia="en-GB"/>
              </w:rPr>
              <w:t>Afghanistan</w:t>
            </w:r>
            <w:r w:rsidR="00AE2FCE" w:rsidRPr="00F31C71">
              <w:rPr>
                <w:rFonts w:ascii="Arial" w:hAnsi="Arial" w:cs="Arial"/>
                <w:sz w:val="20"/>
                <w:szCs w:val="20"/>
                <w:lang w:eastAsia="en-GB"/>
              </w:rPr>
              <w:t> </w:t>
            </w:r>
            <w:r w:rsidRPr="00F31C71">
              <w:rPr>
                <w:rFonts w:ascii="Arial" w:hAnsi="Arial" w:cs="Arial"/>
                <w:sz w:val="20"/>
                <w:szCs w:val="20"/>
                <w:lang w:eastAsia="en-GB"/>
              </w:rPr>
              <w:t>; Azerba</w:t>
            </w:r>
            <w:r w:rsidR="00AE2FCE" w:rsidRPr="00F31C71">
              <w:rPr>
                <w:rFonts w:ascii="Arial" w:hAnsi="Arial" w:cs="Arial"/>
                <w:sz w:val="20"/>
                <w:szCs w:val="20"/>
                <w:lang w:eastAsia="en-GB"/>
              </w:rPr>
              <w:t>ïd</w:t>
            </w:r>
            <w:r w:rsidRPr="00F31C71">
              <w:rPr>
                <w:rFonts w:ascii="Arial" w:hAnsi="Arial" w:cs="Arial"/>
                <w:sz w:val="20"/>
                <w:szCs w:val="20"/>
                <w:lang w:eastAsia="en-GB"/>
              </w:rPr>
              <w:t>jan</w:t>
            </w:r>
            <w:r w:rsidR="00AE2FCE" w:rsidRPr="00F31C71">
              <w:rPr>
                <w:rFonts w:ascii="Arial" w:hAnsi="Arial" w:cs="Arial"/>
                <w:sz w:val="20"/>
                <w:szCs w:val="20"/>
                <w:lang w:eastAsia="en-GB"/>
              </w:rPr>
              <w:t> </w:t>
            </w:r>
            <w:r w:rsidRPr="00F31C71">
              <w:rPr>
                <w:rFonts w:ascii="Arial" w:hAnsi="Arial" w:cs="Arial"/>
                <w:sz w:val="20"/>
                <w:szCs w:val="20"/>
                <w:lang w:eastAsia="en-GB"/>
              </w:rPr>
              <w:t>; Ind</w:t>
            </w:r>
            <w:r w:rsidR="00AE2FCE" w:rsidRPr="00F31C71">
              <w:rPr>
                <w:rFonts w:ascii="Arial" w:hAnsi="Arial" w:cs="Arial"/>
                <w:sz w:val="20"/>
                <w:szCs w:val="20"/>
                <w:lang w:eastAsia="en-GB"/>
              </w:rPr>
              <w:t>e </w:t>
            </w:r>
            <w:r w:rsidRPr="00F31C71">
              <w:rPr>
                <w:rFonts w:ascii="Arial" w:hAnsi="Arial" w:cs="Arial"/>
                <w:sz w:val="20"/>
                <w:szCs w:val="20"/>
                <w:lang w:eastAsia="en-GB"/>
              </w:rPr>
              <w:t>; Iran (</w:t>
            </w:r>
            <w:r w:rsidR="00AE2FCE" w:rsidRPr="00F31C71">
              <w:rPr>
                <w:rFonts w:ascii="Arial" w:hAnsi="Arial" w:cs="Arial"/>
                <w:sz w:val="20"/>
                <w:szCs w:val="20"/>
                <w:lang w:eastAsia="en-GB"/>
              </w:rPr>
              <w:t>République i</w:t>
            </w:r>
            <w:r w:rsidRPr="00F31C71">
              <w:rPr>
                <w:rFonts w:ascii="Arial" w:hAnsi="Arial" w:cs="Arial"/>
                <w:sz w:val="20"/>
                <w:szCs w:val="20"/>
                <w:lang w:eastAsia="en-GB"/>
              </w:rPr>
              <w:t>slami</w:t>
            </w:r>
            <w:r w:rsidR="00AE2FCE" w:rsidRPr="00F31C71">
              <w:rPr>
                <w:rFonts w:ascii="Arial" w:hAnsi="Arial" w:cs="Arial"/>
                <w:sz w:val="20"/>
                <w:szCs w:val="20"/>
                <w:lang w:eastAsia="en-GB"/>
              </w:rPr>
              <w:t>que d’</w:t>
            </w:r>
            <w:r w:rsidRPr="00F31C71">
              <w:rPr>
                <w:rFonts w:ascii="Arial" w:hAnsi="Arial" w:cs="Arial"/>
                <w:sz w:val="20"/>
                <w:szCs w:val="20"/>
                <w:lang w:eastAsia="en-GB"/>
              </w:rPr>
              <w:t>)</w:t>
            </w:r>
            <w:r w:rsidR="00AE2FCE" w:rsidRPr="00F31C71">
              <w:rPr>
                <w:rFonts w:ascii="Arial" w:hAnsi="Arial" w:cs="Arial"/>
                <w:sz w:val="20"/>
                <w:szCs w:val="20"/>
                <w:lang w:eastAsia="en-GB"/>
              </w:rPr>
              <w:t> </w:t>
            </w:r>
            <w:r w:rsidRPr="00F31C71">
              <w:rPr>
                <w:rFonts w:ascii="Arial" w:hAnsi="Arial" w:cs="Arial"/>
                <w:sz w:val="20"/>
                <w:szCs w:val="20"/>
                <w:lang w:eastAsia="en-GB"/>
              </w:rPr>
              <w:t>; Iraq</w:t>
            </w:r>
            <w:r w:rsidR="00AE2FCE" w:rsidRPr="00F31C71">
              <w:rPr>
                <w:rFonts w:ascii="Arial" w:hAnsi="Arial" w:cs="Arial"/>
                <w:sz w:val="20"/>
                <w:szCs w:val="20"/>
                <w:lang w:eastAsia="en-GB"/>
              </w:rPr>
              <w:t> </w:t>
            </w:r>
            <w:r w:rsidRPr="00F31C71">
              <w:rPr>
                <w:rFonts w:ascii="Arial" w:hAnsi="Arial" w:cs="Arial"/>
                <w:sz w:val="20"/>
                <w:szCs w:val="20"/>
                <w:lang w:eastAsia="en-GB"/>
              </w:rPr>
              <w:t>; Kazakhstan</w:t>
            </w:r>
            <w:r w:rsidR="00AE2FCE" w:rsidRPr="00F31C71">
              <w:rPr>
                <w:rFonts w:ascii="Arial" w:hAnsi="Arial" w:cs="Arial"/>
                <w:sz w:val="20"/>
                <w:szCs w:val="20"/>
                <w:lang w:eastAsia="en-GB"/>
              </w:rPr>
              <w:t xml:space="preserve"> ; </w:t>
            </w:r>
            <w:r w:rsidR="00F31C71" w:rsidRPr="00F31C71">
              <w:rPr>
                <w:rFonts w:ascii="Arial" w:hAnsi="Arial" w:cs="Arial"/>
                <w:sz w:val="20"/>
                <w:szCs w:val="20"/>
                <w:lang w:eastAsia="en-GB"/>
              </w:rPr>
              <w:t>K</w:t>
            </w:r>
            <w:r w:rsidR="00F31C71">
              <w:rPr>
                <w:rFonts w:ascii="Arial" w:hAnsi="Arial" w:cs="Arial"/>
                <w:sz w:val="20"/>
                <w:szCs w:val="20"/>
                <w:lang w:eastAsia="en-GB"/>
              </w:rPr>
              <w:t>irghi</w:t>
            </w:r>
            <w:r w:rsidR="00F31C71" w:rsidRPr="00F31C71">
              <w:rPr>
                <w:rFonts w:ascii="Arial" w:hAnsi="Arial" w:cs="Arial"/>
                <w:sz w:val="20"/>
                <w:szCs w:val="20"/>
                <w:lang w:eastAsia="en-GB"/>
              </w:rPr>
              <w:t>zstan</w:t>
            </w:r>
            <w:r w:rsidR="00AE2FCE" w:rsidRPr="00F31C71">
              <w:rPr>
                <w:rFonts w:ascii="Arial" w:hAnsi="Arial" w:cs="Arial"/>
                <w:sz w:val="20"/>
                <w:szCs w:val="20"/>
                <w:lang w:eastAsia="en-GB"/>
              </w:rPr>
              <w:t xml:space="preserve">; </w:t>
            </w:r>
            <w:r w:rsidR="00F31C71" w:rsidRPr="00F31C71">
              <w:rPr>
                <w:rFonts w:ascii="Arial" w:hAnsi="Arial" w:cs="Arial"/>
                <w:sz w:val="20"/>
                <w:szCs w:val="20"/>
                <w:lang w:eastAsia="en-GB"/>
              </w:rPr>
              <w:t>Ouzbékistan</w:t>
            </w:r>
            <w:r w:rsidR="00AE2FCE" w:rsidRPr="00F31C71">
              <w:rPr>
                <w:rFonts w:ascii="Arial" w:hAnsi="Arial" w:cs="Arial"/>
                <w:sz w:val="20"/>
                <w:szCs w:val="20"/>
                <w:lang w:eastAsia="en-GB"/>
              </w:rPr>
              <w:t> </w:t>
            </w:r>
            <w:r w:rsidRPr="00F31C71">
              <w:rPr>
                <w:rFonts w:ascii="Arial" w:hAnsi="Arial" w:cs="Arial"/>
                <w:sz w:val="20"/>
                <w:szCs w:val="20"/>
                <w:lang w:eastAsia="en-GB"/>
              </w:rPr>
              <w:t>; Pakistan</w:t>
            </w:r>
            <w:r w:rsidR="00AE2FCE" w:rsidRPr="00F31C71">
              <w:rPr>
                <w:rFonts w:ascii="Arial" w:hAnsi="Arial" w:cs="Arial"/>
                <w:sz w:val="20"/>
                <w:szCs w:val="20"/>
                <w:lang w:eastAsia="en-GB"/>
              </w:rPr>
              <w:t> </w:t>
            </w:r>
            <w:r w:rsidRPr="00F31C71">
              <w:rPr>
                <w:rFonts w:ascii="Arial" w:hAnsi="Arial" w:cs="Arial"/>
                <w:sz w:val="20"/>
                <w:szCs w:val="20"/>
                <w:lang w:eastAsia="en-GB"/>
              </w:rPr>
              <w:t>; Ta</w:t>
            </w:r>
            <w:r w:rsidR="00AE2FCE" w:rsidRPr="00F31C71">
              <w:rPr>
                <w:rFonts w:ascii="Arial" w:hAnsi="Arial" w:cs="Arial"/>
                <w:sz w:val="20"/>
                <w:szCs w:val="20"/>
                <w:lang w:eastAsia="en-GB"/>
              </w:rPr>
              <w:t>d</w:t>
            </w:r>
            <w:r w:rsidRPr="00F31C71">
              <w:rPr>
                <w:rFonts w:ascii="Arial" w:hAnsi="Arial" w:cs="Arial"/>
                <w:sz w:val="20"/>
                <w:szCs w:val="20"/>
                <w:lang w:eastAsia="en-GB"/>
              </w:rPr>
              <w:t>jikistan</w:t>
            </w:r>
            <w:r w:rsidR="00AE2FCE" w:rsidRPr="00F31C71">
              <w:rPr>
                <w:rFonts w:ascii="Arial" w:hAnsi="Arial" w:cs="Arial"/>
                <w:sz w:val="20"/>
                <w:szCs w:val="20"/>
                <w:lang w:eastAsia="en-GB"/>
              </w:rPr>
              <w:t> </w:t>
            </w:r>
            <w:r w:rsidRPr="00F31C71">
              <w:rPr>
                <w:rFonts w:ascii="Arial" w:hAnsi="Arial" w:cs="Arial"/>
                <w:sz w:val="20"/>
                <w:szCs w:val="20"/>
                <w:lang w:eastAsia="en-GB"/>
              </w:rPr>
              <w:t>; Turkm</w:t>
            </w:r>
            <w:r w:rsidR="00AE2FCE" w:rsidRPr="00F31C71">
              <w:rPr>
                <w:rFonts w:ascii="Arial" w:hAnsi="Arial" w:cs="Arial"/>
                <w:sz w:val="20"/>
                <w:szCs w:val="20"/>
                <w:lang w:eastAsia="en-GB"/>
              </w:rPr>
              <w:t>é</w:t>
            </w:r>
            <w:r w:rsidRPr="00F31C71">
              <w:rPr>
                <w:rFonts w:ascii="Arial" w:hAnsi="Arial" w:cs="Arial"/>
                <w:sz w:val="20"/>
                <w:szCs w:val="20"/>
                <w:lang w:eastAsia="en-GB"/>
              </w:rPr>
              <w:t>nistan</w:t>
            </w:r>
            <w:r w:rsidR="00AE2FCE" w:rsidRPr="00F31C71">
              <w:rPr>
                <w:rFonts w:ascii="Arial" w:hAnsi="Arial" w:cs="Arial"/>
                <w:sz w:val="20"/>
                <w:szCs w:val="20"/>
                <w:lang w:eastAsia="en-GB"/>
              </w:rPr>
              <w:t> </w:t>
            </w:r>
            <w:r w:rsidRPr="00F31C71">
              <w:rPr>
                <w:rFonts w:ascii="Arial" w:hAnsi="Arial" w:cs="Arial"/>
                <w:sz w:val="20"/>
                <w:szCs w:val="20"/>
                <w:lang w:eastAsia="en-GB"/>
              </w:rPr>
              <w:t>; Tur</w:t>
            </w:r>
            <w:r w:rsidR="00AE2FCE" w:rsidRPr="00F31C71">
              <w:rPr>
                <w:rFonts w:ascii="Arial" w:hAnsi="Arial" w:cs="Arial"/>
                <w:sz w:val="20"/>
                <w:szCs w:val="20"/>
                <w:lang w:eastAsia="en-GB"/>
              </w:rPr>
              <w:t>quie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Nawrouz, Novruz, Nowrouz, Nowrouz, Nawrouz, Nauryz, Nooruz, Nowruz, Navruz, Nevruz, Nowruz, Navruz (01161)</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2E3D7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 xml:space="preserve">dossier </w:t>
            </w:r>
            <w:r w:rsidRPr="00F31C71">
              <w:rPr>
                <w:rFonts w:ascii="Arial" w:hAnsi="Arial" w:cs="Arial"/>
                <w:sz w:val="20"/>
                <w:szCs w:val="20"/>
                <w:lang w:eastAsia="en-GB"/>
              </w:rPr>
              <w:t xml:space="preserve">multinational, </w:t>
            </w:r>
            <w:r w:rsidR="002E3D7F" w:rsidRPr="00F31C71">
              <w:rPr>
                <w:rFonts w:ascii="Arial" w:hAnsi="Arial" w:cs="Arial"/>
                <w:sz w:val="20"/>
                <w:szCs w:val="20"/>
                <w:lang w:eastAsia="en-GB"/>
              </w:rPr>
              <w:t>dont un pays n’ayant 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13</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BF3F51">
            <w:pPr>
              <w:rPr>
                <w:rFonts w:ascii="Arial" w:hAnsi="Arial" w:cs="Arial"/>
                <w:sz w:val="20"/>
                <w:szCs w:val="20"/>
                <w:lang w:eastAsia="en-GB"/>
              </w:rPr>
            </w:pPr>
            <w:r w:rsidRPr="00F31C71">
              <w:rPr>
                <w:rFonts w:ascii="Arial" w:hAnsi="Arial" w:cs="Arial"/>
                <w:sz w:val="20"/>
                <w:szCs w:val="20"/>
                <w:lang w:eastAsia="en-GB"/>
              </w:rPr>
              <w:t>Argentin</w:t>
            </w:r>
            <w:r w:rsidR="00BF3F51" w:rsidRPr="00F31C71">
              <w:rPr>
                <w:rFonts w:ascii="Arial" w:hAnsi="Arial" w:cs="Arial"/>
                <w:sz w:val="20"/>
                <w:szCs w:val="20"/>
                <w:lang w:eastAsia="en-GB"/>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BSP</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9521DF" w:rsidP="009521DF">
            <w:pPr>
              <w:rPr>
                <w:rFonts w:ascii="Arial" w:hAnsi="Arial" w:cs="Arial"/>
                <w:sz w:val="20"/>
                <w:szCs w:val="20"/>
                <w:lang w:val="en-US" w:eastAsia="en-GB"/>
              </w:rPr>
            </w:pPr>
            <w:r w:rsidRPr="006016A7">
              <w:rPr>
                <w:rFonts w:ascii="Arial" w:hAnsi="Arial" w:cs="Arial"/>
                <w:sz w:val="20"/>
                <w:szCs w:val="20"/>
                <w:lang w:val="en-US" w:eastAsia="en-GB"/>
              </w:rPr>
              <w:t>The Randas of time, a safeguarding model of textile art at El Cercado (01212)</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14</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Fi</w:t>
            </w:r>
            <w:r w:rsidR="00BF3F51" w:rsidRPr="00F31C71">
              <w:rPr>
                <w:rFonts w:ascii="Arial" w:hAnsi="Arial" w:cs="Arial"/>
                <w:sz w:val="20"/>
                <w:szCs w:val="20"/>
                <w:lang w:eastAsia="en-GB"/>
              </w:rPr>
              <w:t>d</w:t>
            </w:r>
            <w:r w:rsidRPr="00F31C71">
              <w:rPr>
                <w:rFonts w:ascii="Arial" w:hAnsi="Arial" w:cs="Arial"/>
                <w:sz w:val="20"/>
                <w:szCs w:val="20"/>
                <w:lang w:eastAsia="en-GB"/>
              </w:rPr>
              <w:t>ji</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BSP</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9521DF" w:rsidP="009521DF">
            <w:pPr>
              <w:rPr>
                <w:rFonts w:ascii="Arial" w:hAnsi="Arial" w:cs="Arial"/>
                <w:sz w:val="20"/>
                <w:szCs w:val="20"/>
                <w:lang w:val="en-US" w:eastAsia="en-GB"/>
              </w:rPr>
            </w:pPr>
            <w:r w:rsidRPr="006016A7">
              <w:rPr>
                <w:rFonts w:ascii="Arial" w:hAnsi="Arial" w:cs="Arial"/>
                <w:sz w:val="20"/>
                <w:szCs w:val="20"/>
                <w:lang w:val="en-US" w:eastAsia="en-GB"/>
              </w:rPr>
              <w:t>Cultural mapping, methodology for the safeguarding of iTaukei intangible cultural heritage (01195)</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15</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BF3F51" w:rsidP="00BF3F51">
            <w:pPr>
              <w:rPr>
                <w:rFonts w:ascii="Arial" w:hAnsi="Arial" w:cs="Arial"/>
                <w:sz w:val="20"/>
                <w:szCs w:val="20"/>
                <w:lang w:eastAsia="en-GB"/>
              </w:rPr>
            </w:pPr>
            <w:r w:rsidRPr="00F31C71">
              <w:rPr>
                <w:rFonts w:ascii="Arial" w:hAnsi="Arial" w:cs="Arial"/>
                <w:sz w:val="20"/>
                <w:szCs w:val="20"/>
                <w:lang w:eastAsia="en-GB"/>
              </w:rPr>
              <w:t>Allemagne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9521DF" w:rsidP="009521DF">
            <w:pPr>
              <w:rPr>
                <w:rFonts w:ascii="Arial" w:hAnsi="Arial" w:cs="Arial"/>
                <w:sz w:val="20"/>
                <w:szCs w:val="20"/>
                <w:lang w:val="en-US" w:eastAsia="en-GB"/>
              </w:rPr>
            </w:pPr>
            <w:r w:rsidRPr="006016A7">
              <w:rPr>
                <w:rFonts w:ascii="Arial" w:hAnsi="Arial" w:cs="Arial"/>
                <w:sz w:val="20"/>
                <w:szCs w:val="20"/>
                <w:lang w:val="en-US" w:eastAsia="en-GB"/>
              </w:rPr>
              <w:t>Idea and practice of organizing shared interests in cooperatives (01200)</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16</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BF3F51" w:rsidP="00BF3F51">
            <w:pPr>
              <w:rPr>
                <w:rFonts w:ascii="Arial" w:hAnsi="Arial" w:cs="Arial"/>
                <w:sz w:val="20"/>
                <w:szCs w:val="20"/>
                <w:lang w:eastAsia="en-GB"/>
              </w:rPr>
            </w:pPr>
            <w:r w:rsidRPr="00F31C71">
              <w:rPr>
                <w:rFonts w:ascii="Arial" w:hAnsi="Arial" w:cs="Arial"/>
                <w:sz w:val="20"/>
                <w:szCs w:val="20"/>
                <w:lang w:eastAsia="en-GB"/>
              </w:rPr>
              <w:t>Allemagne </w:t>
            </w:r>
            <w:r w:rsidR="009521DF" w:rsidRPr="00F31C71">
              <w:rPr>
                <w:rFonts w:ascii="Arial" w:hAnsi="Arial" w:cs="Arial"/>
                <w:sz w:val="20"/>
                <w:szCs w:val="20"/>
                <w:lang w:eastAsia="en-GB"/>
              </w:rPr>
              <w:t xml:space="preserve">; </w:t>
            </w:r>
            <w:r w:rsidRPr="00F31C71">
              <w:rPr>
                <w:rFonts w:ascii="Arial" w:hAnsi="Arial" w:cs="Arial"/>
                <w:sz w:val="20"/>
                <w:szCs w:val="20"/>
                <w:lang w:eastAsia="en-GB"/>
              </w:rPr>
              <w:t>Arabie saoudite </w:t>
            </w:r>
            <w:r w:rsidR="009521DF" w:rsidRPr="00F31C71">
              <w:rPr>
                <w:rFonts w:ascii="Arial" w:hAnsi="Arial" w:cs="Arial"/>
                <w:sz w:val="20"/>
                <w:szCs w:val="20"/>
                <w:lang w:eastAsia="en-GB"/>
              </w:rPr>
              <w:t>; Autri</w:t>
            </w:r>
            <w:r w:rsidRPr="00F31C71">
              <w:rPr>
                <w:rFonts w:ascii="Arial" w:hAnsi="Arial" w:cs="Arial"/>
                <w:sz w:val="20"/>
                <w:szCs w:val="20"/>
                <w:lang w:eastAsia="en-GB"/>
              </w:rPr>
              <w:t>che </w:t>
            </w:r>
            <w:r w:rsidR="009521DF" w:rsidRPr="00F31C71">
              <w:rPr>
                <w:rFonts w:ascii="Arial" w:hAnsi="Arial" w:cs="Arial"/>
                <w:sz w:val="20"/>
                <w:szCs w:val="20"/>
                <w:lang w:eastAsia="en-GB"/>
              </w:rPr>
              <w:t>; Belgi</w:t>
            </w:r>
            <w:r w:rsidRPr="00F31C71">
              <w:rPr>
                <w:rFonts w:ascii="Arial" w:hAnsi="Arial" w:cs="Arial"/>
                <w:sz w:val="20"/>
                <w:szCs w:val="20"/>
                <w:lang w:eastAsia="en-GB"/>
              </w:rPr>
              <w:t>q</w:t>
            </w:r>
            <w:r w:rsidR="009521DF" w:rsidRPr="00F31C71">
              <w:rPr>
                <w:rFonts w:ascii="Arial" w:hAnsi="Arial" w:cs="Arial"/>
                <w:sz w:val="20"/>
                <w:szCs w:val="20"/>
                <w:lang w:eastAsia="en-GB"/>
              </w:rPr>
              <w:t>u</w:t>
            </w:r>
            <w:r w:rsidRPr="00F31C71">
              <w:rPr>
                <w:rFonts w:ascii="Arial" w:hAnsi="Arial" w:cs="Arial"/>
                <w:sz w:val="20"/>
                <w:szCs w:val="20"/>
                <w:lang w:eastAsia="en-GB"/>
              </w:rPr>
              <w:t>e</w:t>
            </w:r>
            <w:r w:rsidR="009521DF" w:rsidRPr="00F31C71">
              <w:rPr>
                <w:rFonts w:ascii="Arial" w:hAnsi="Arial" w:cs="Arial"/>
                <w:sz w:val="20"/>
                <w:szCs w:val="20"/>
                <w:lang w:eastAsia="en-GB"/>
              </w:rPr>
              <w:t xml:space="preserve">; </w:t>
            </w:r>
            <w:r w:rsidR="00F31C71" w:rsidRPr="00F31C71">
              <w:rPr>
                <w:rFonts w:ascii="Arial" w:hAnsi="Arial" w:cs="Arial"/>
                <w:sz w:val="20"/>
                <w:szCs w:val="20"/>
                <w:lang w:eastAsia="en-GB"/>
              </w:rPr>
              <w:t>Émirats</w:t>
            </w:r>
            <w:r w:rsidRPr="00F31C71">
              <w:rPr>
                <w:rFonts w:ascii="Arial" w:hAnsi="Arial" w:cs="Arial"/>
                <w:sz w:val="20"/>
                <w:szCs w:val="20"/>
                <w:lang w:eastAsia="en-GB"/>
              </w:rPr>
              <w:t xml:space="preserve"> arabes unis </w:t>
            </w:r>
            <w:r w:rsidR="009521DF" w:rsidRPr="00F31C71">
              <w:rPr>
                <w:rFonts w:ascii="Arial" w:hAnsi="Arial" w:cs="Arial"/>
                <w:sz w:val="20"/>
                <w:szCs w:val="20"/>
                <w:lang w:eastAsia="en-GB"/>
              </w:rPr>
              <w:t xml:space="preserve">; </w:t>
            </w:r>
            <w:r w:rsidRPr="00F31C71">
              <w:rPr>
                <w:rFonts w:ascii="Arial" w:hAnsi="Arial" w:cs="Arial"/>
                <w:sz w:val="20"/>
                <w:szCs w:val="20"/>
                <w:lang w:eastAsia="en-GB"/>
              </w:rPr>
              <w:t>Espagne </w:t>
            </w:r>
            <w:r w:rsidR="009521DF" w:rsidRPr="00F31C71">
              <w:rPr>
                <w:rFonts w:ascii="Arial" w:hAnsi="Arial" w:cs="Arial"/>
                <w:sz w:val="20"/>
                <w:szCs w:val="20"/>
                <w:lang w:eastAsia="en-GB"/>
              </w:rPr>
              <w:t xml:space="preserve">; </w:t>
            </w:r>
            <w:r w:rsidRPr="00F31C71">
              <w:rPr>
                <w:rFonts w:ascii="Arial" w:hAnsi="Arial" w:cs="Arial"/>
                <w:sz w:val="20"/>
                <w:szCs w:val="20"/>
                <w:lang w:eastAsia="en-GB"/>
              </w:rPr>
              <w:t>France ; Ho</w:t>
            </w:r>
            <w:r w:rsidR="009521DF" w:rsidRPr="00F31C71">
              <w:rPr>
                <w:rFonts w:ascii="Arial" w:hAnsi="Arial" w:cs="Arial"/>
                <w:sz w:val="20"/>
                <w:szCs w:val="20"/>
                <w:lang w:eastAsia="en-GB"/>
              </w:rPr>
              <w:t>ngr</w:t>
            </w:r>
            <w:r w:rsidRPr="00F31C71">
              <w:rPr>
                <w:rFonts w:ascii="Arial" w:hAnsi="Arial" w:cs="Arial"/>
                <w:sz w:val="20"/>
                <w:szCs w:val="20"/>
                <w:lang w:eastAsia="en-GB"/>
              </w:rPr>
              <w:t>ie </w:t>
            </w:r>
            <w:r w:rsidR="009521DF" w:rsidRPr="00F31C71">
              <w:rPr>
                <w:rFonts w:ascii="Arial" w:hAnsi="Arial" w:cs="Arial"/>
                <w:sz w:val="20"/>
                <w:szCs w:val="20"/>
                <w:lang w:eastAsia="en-GB"/>
              </w:rPr>
              <w:t xml:space="preserve">; </w:t>
            </w:r>
            <w:r w:rsidRPr="00F31C71">
              <w:rPr>
                <w:rFonts w:ascii="Arial" w:hAnsi="Arial" w:cs="Arial"/>
                <w:sz w:val="20"/>
                <w:szCs w:val="20"/>
                <w:lang w:eastAsia="en-GB"/>
              </w:rPr>
              <w:t>Italie </w:t>
            </w:r>
            <w:r w:rsidR="009521DF" w:rsidRPr="00F31C71">
              <w:rPr>
                <w:rFonts w:ascii="Arial" w:hAnsi="Arial" w:cs="Arial"/>
                <w:sz w:val="20"/>
                <w:szCs w:val="20"/>
                <w:lang w:eastAsia="en-GB"/>
              </w:rPr>
              <w:t>; Kazakhstan</w:t>
            </w:r>
            <w:r w:rsidRPr="00F31C71">
              <w:rPr>
                <w:rFonts w:ascii="Arial" w:hAnsi="Arial" w:cs="Arial"/>
                <w:sz w:val="20"/>
                <w:szCs w:val="20"/>
                <w:lang w:eastAsia="en-GB"/>
              </w:rPr>
              <w:t> </w:t>
            </w:r>
            <w:r w:rsidR="009521DF" w:rsidRPr="00F31C71">
              <w:rPr>
                <w:rFonts w:ascii="Arial" w:hAnsi="Arial" w:cs="Arial"/>
                <w:sz w:val="20"/>
                <w:szCs w:val="20"/>
                <w:lang w:eastAsia="en-GB"/>
              </w:rPr>
              <w:t>; M</w:t>
            </w:r>
            <w:r w:rsidRPr="00F31C71">
              <w:rPr>
                <w:rFonts w:ascii="Arial" w:hAnsi="Arial" w:cs="Arial"/>
                <w:sz w:val="20"/>
                <w:szCs w:val="20"/>
                <w:lang w:eastAsia="en-GB"/>
              </w:rPr>
              <w:t>a</w:t>
            </w:r>
            <w:r w:rsidR="009521DF" w:rsidRPr="00F31C71">
              <w:rPr>
                <w:rFonts w:ascii="Arial" w:hAnsi="Arial" w:cs="Arial"/>
                <w:sz w:val="20"/>
                <w:szCs w:val="20"/>
                <w:lang w:eastAsia="en-GB"/>
              </w:rPr>
              <w:t>roc</w:t>
            </w:r>
            <w:r w:rsidRPr="00F31C71">
              <w:rPr>
                <w:rFonts w:ascii="Arial" w:hAnsi="Arial" w:cs="Arial"/>
                <w:sz w:val="20"/>
                <w:szCs w:val="20"/>
                <w:lang w:eastAsia="en-GB"/>
              </w:rPr>
              <w:t> </w:t>
            </w:r>
            <w:r w:rsidR="009521DF" w:rsidRPr="00F31C71">
              <w:rPr>
                <w:rFonts w:ascii="Arial" w:hAnsi="Arial" w:cs="Arial"/>
                <w:sz w:val="20"/>
                <w:szCs w:val="20"/>
                <w:lang w:eastAsia="en-GB"/>
              </w:rPr>
              <w:t>; Mongoli</w:t>
            </w:r>
            <w:r w:rsidRPr="00F31C71">
              <w:rPr>
                <w:rFonts w:ascii="Arial" w:hAnsi="Arial" w:cs="Arial"/>
                <w:sz w:val="20"/>
                <w:szCs w:val="20"/>
                <w:lang w:eastAsia="en-GB"/>
              </w:rPr>
              <w:t>e </w:t>
            </w:r>
            <w:r w:rsidR="009521DF" w:rsidRPr="00F31C71">
              <w:rPr>
                <w:rFonts w:ascii="Arial" w:hAnsi="Arial" w:cs="Arial"/>
                <w:sz w:val="20"/>
                <w:szCs w:val="20"/>
                <w:lang w:eastAsia="en-GB"/>
              </w:rPr>
              <w:t>; Pakistan</w:t>
            </w:r>
            <w:r w:rsidRPr="00F31C71">
              <w:rPr>
                <w:rFonts w:ascii="Arial" w:hAnsi="Arial" w:cs="Arial"/>
                <w:sz w:val="20"/>
                <w:szCs w:val="20"/>
                <w:lang w:eastAsia="en-GB"/>
              </w:rPr>
              <w:t> </w:t>
            </w:r>
            <w:r w:rsidR="009521DF" w:rsidRPr="00F31C71">
              <w:rPr>
                <w:rFonts w:ascii="Arial" w:hAnsi="Arial" w:cs="Arial"/>
                <w:sz w:val="20"/>
                <w:szCs w:val="20"/>
                <w:lang w:eastAsia="en-GB"/>
              </w:rPr>
              <w:t xml:space="preserve">; </w:t>
            </w:r>
            <w:r w:rsidRPr="00F31C71">
              <w:rPr>
                <w:rFonts w:ascii="Arial" w:hAnsi="Arial" w:cs="Arial"/>
                <w:sz w:val="20"/>
                <w:szCs w:val="20"/>
                <w:lang w:eastAsia="en-GB"/>
              </w:rPr>
              <w:t>Portugal </w:t>
            </w:r>
            <w:r w:rsidR="009521DF" w:rsidRPr="00F31C71">
              <w:rPr>
                <w:rFonts w:ascii="Arial" w:hAnsi="Arial" w:cs="Arial"/>
                <w:sz w:val="20"/>
                <w:szCs w:val="20"/>
                <w:lang w:eastAsia="en-GB"/>
              </w:rPr>
              <w:t>; Qatar</w:t>
            </w:r>
            <w:r w:rsidRPr="00F31C71">
              <w:rPr>
                <w:rFonts w:ascii="Arial" w:hAnsi="Arial" w:cs="Arial"/>
                <w:sz w:val="20"/>
                <w:szCs w:val="20"/>
                <w:lang w:eastAsia="en-GB"/>
              </w:rPr>
              <w:t> </w:t>
            </w:r>
            <w:r w:rsidR="009521DF" w:rsidRPr="00F31C71">
              <w:rPr>
                <w:rFonts w:ascii="Arial" w:hAnsi="Arial" w:cs="Arial"/>
                <w:sz w:val="20"/>
                <w:szCs w:val="20"/>
                <w:lang w:eastAsia="en-GB"/>
              </w:rPr>
              <w:t xml:space="preserve">; </w:t>
            </w:r>
            <w:r w:rsidRPr="00F31C71">
              <w:rPr>
                <w:rFonts w:ascii="Arial" w:hAnsi="Arial" w:cs="Arial"/>
                <w:sz w:val="20"/>
                <w:szCs w:val="20"/>
                <w:lang w:eastAsia="en-GB"/>
              </w:rPr>
              <w:t>République arabe syrienne </w:t>
            </w:r>
            <w:r w:rsidR="009521DF" w:rsidRPr="00F31C71">
              <w:rPr>
                <w:rFonts w:ascii="Arial" w:hAnsi="Arial" w:cs="Arial"/>
                <w:sz w:val="20"/>
                <w:szCs w:val="20"/>
                <w:lang w:eastAsia="en-GB"/>
              </w:rPr>
              <w:t>; R</w:t>
            </w:r>
            <w:r w:rsidRPr="00F31C71">
              <w:rPr>
                <w:rFonts w:ascii="Arial" w:hAnsi="Arial" w:cs="Arial"/>
                <w:sz w:val="20"/>
                <w:szCs w:val="20"/>
                <w:lang w:eastAsia="en-GB"/>
              </w:rPr>
              <w:t>é</w:t>
            </w:r>
            <w:r w:rsidR="009521DF" w:rsidRPr="00F31C71">
              <w:rPr>
                <w:rFonts w:ascii="Arial" w:hAnsi="Arial" w:cs="Arial"/>
                <w:sz w:val="20"/>
                <w:szCs w:val="20"/>
                <w:lang w:eastAsia="en-GB"/>
              </w:rPr>
              <w:t>publi</w:t>
            </w:r>
            <w:r w:rsidRPr="00F31C71">
              <w:rPr>
                <w:rFonts w:ascii="Arial" w:hAnsi="Arial" w:cs="Arial"/>
                <w:sz w:val="20"/>
                <w:szCs w:val="20"/>
                <w:lang w:eastAsia="en-GB"/>
              </w:rPr>
              <w:t>que de Corée </w:t>
            </w:r>
            <w:r w:rsidR="009521DF" w:rsidRPr="00F31C71">
              <w:rPr>
                <w:rFonts w:ascii="Arial" w:hAnsi="Arial" w:cs="Arial"/>
                <w:sz w:val="20"/>
                <w:szCs w:val="20"/>
                <w:lang w:eastAsia="en-GB"/>
              </w:rPr>
              <w:t xml:space="preserve">; </w:t>
            </w:r>
            <w:r w:rsidRPr="00F31C71">
              <w:rPr>
                <w:rFonts w:ascii="Arial" w:hAnsi="Arial" w:cs="Arial"/>
                <w:sz w:val="20"/>
                <w:szCs w:val="20"/>
                <w:lang w:eastAsia="en-GB"/>
              </w:rPr>
              <w:t>République tchèque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6A2EE8" w:rsidP="008B45D4">
            <w:pPr>
              <w:rPr>
                <w:rFonts w:ascii="Arial" w:hAnsi="Arial" w:cs="Arial"/>
                <w:sz w:val="20"/>
                <w:szCs w:val="20"/>
                <w:lang w:eastAsia="en-GB"/>
              </w:rPr>
            </w:pPr>
            <w:r w:rsidRPr="00F31C71">
              <w:rPr>
                <w:rFonts w:ascii="Arial" w:hAnsi="Arial" w:cs="Arial"/>
                <w:sz w:val="20"/>
                <w:szCs w:val="20"/>
                <w:lang w:eastAsia="en-GB"/>
              </w:rPr>
              <w:t xml:space="preserve">Falconry, a living tradition </w:t>
            </w:r>
            <w:r w:rsidR="009521DF" w:rsidRPr="00F31C71">
              <w:rPr>
                <w:rFonts w:ascii="Arial" w:hAnsi="Arial" w:cs="Arial"/>
                <w:sz w:val="20"/>
                <w:szCs w:val="20"/>
                <w:lang w:eastAsia="en-GB"/>
              </w:rPr>
              <w:t>(01209)</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dossier multinational, dont un pays n’ayant 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17</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A23265" w:rsidP="00A23265">
            <w:pPr>
              <w:rPr>
                <w:rFonts w:ascii="Arial" w:hAnsi="Arial" w:cs="Arial"/>
                <w:sz w:val="20"/>
                <w:szCs w:val="20"/>
                <w:lang w:eastAsia="en-GB"/>
              </w:rPr>
            </w:pPr>
            <w:r w:rsidRPr="00F31C71">
              <w:rPr>
                <w:rFonts w:ascii="Arial" w:hAnsi="Arial" w:cs="Arial"/>
                <w:sz w:val="20"/>
                <w:szCs w:val="20"/>
                <w:lang w:eastAsia="en-GB"/>
              </w:rPr>
              <w:t xml:space="preserve">République démocratique populaire </w:t>
            </w:r>
            <w:r w:rsidR="00DA049E">
              <w:rPr>
                <w:rFonts w:ascii="Arial" w:hAnsi="Arial" w:cs="Arial"/>
                <w:sz w:val="20"/>
                <w:szCs w:val="20"/>
                <w:lang w:eastAsia="en-GB"/>
              </w:rPr>
              <w:t>l</w:t>
            </w:r>
            <w:r w:rsidR="009521DF" w:rsidRPr="00F31C71">
              <w:rPr>
                <w:rFonts w:ascii="Arial" w:hAnsi="Arial" w:cs="Arial"/>
                <w:sz w:val="20"/>
                <w:szCs w:val="20"/>
                <w:lang w:eastAsia="en-GB"/>
              </w:rPr>
              <w:t xml:space="preserve">ao </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La musique du khène du peuple lao (01204)</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18</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Nor</w:t>
            </w:r>
            <w:r w:rsidR="00A23265" w:rsidRPr="00F31C71">
              <w:rPr>
                <w:rFonts w:ascii="Arial" w:hAnsi="Arial" w:cs="Arial"/>
                <w:sz w:val="20"/>
                <w:szCs w:val="20"/>
                <w:lang w:eastAsia="en-GB"/>
              </w:rPr>
              <w:t>vège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BSP</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066A71" w:rsidRDefault="009521DF" w:rsidP="009521DF">
            <w:pPr>
              <w:rPr>
                <w:rFonts w:ascii="Arial" w:hAnsi="Arial" w:cs="Arial"/>
                <w:sz w:val="20"/>
                <w:szCs w:val="20"/>
                <w:lang w:val="en-US" w:eastAsia="en-GB"/>
              </w:rPr>
            </w:pPr>
            <w:r w:rsidRPr="00066A71">
              <w:rPr>
                <w:rFonts w:ascii="Arial" w:hAnsi="Arial" w:cs="Arial"/>
                <w:sz w:val="20"/>
                <w:szCs w:val="20"/>
                <w:lang w:val="en-US" w:eastAsia="en-GB"/>
              </w:rPr>
              <w:t>Oselvar boat - reframing a traditional learning process of building and use to a modern context (01156)</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19</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A23265" w:rsidP="00A23265">
            <w:pPr>
              <w:rPr>
                <w:rFonts w:ascii="Arial" w:hAnsi="Arial" w:cs="Arial"/>
                <w:sz w:val="20"/>
                <w:szCs w:val="20"/>
                <w:lang w:eastAsia="en-GB"/>
              </w:rPr>
            </w:pPr>
            <w:r w:rsidRPr="00F31C71">
              <w:rPr>
                <w:rFonts w:ascii="Arial" w:hAnsi="Arial" w:cs="Arial"/>
                <w:sz w:val="20"/>
                <w:szCs w:val="20"/>
                <w:lang w:eastAsia="en-GB"/>
              </w:rPr>
              <w:t>Arabie saoudite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2008C5" w:rsidP="009A59CF">
            <w:pPr>
              <w:rPr>
                <w:rFonts w:ascii="Arial" w:hAnsi="Arial" w:cs="Arial"/>
                <w:sz w:val="20"/>
                <w:szCs w:val="20"/>
                <w:lang w:val="en-US" w:eastAsia="en-GB"/>
              </w:rPr>
            </w:pPr>
            <w:r w:rsidRPr="006016A7">
              <w:rPr>
                <w:rFonts w:ascii="Arial" w:hAnsi="Arial" w:cs="Arial"/>
                <w:sz w:val="20"/>
                <w:szCs w:val="20"/>
                <w:lang w:val="en-US" w:eastAsia="en-GB"/>
              </w:rPr>
              <w:t xml:space="preserve">Al Mezmar, drumming and dancing with sticks </w:t>
            </w:r>
            <w:r w:rsidR="009521DF" w:rsidRPr="006016A7">
              <w:rPr>
                <w:rFonts w:ascii="Arial" w:hAnsi="Arial" w:cs="Arial"/>
                <w:sz w:val="20"/>
                <w:szCs w:val="20"/>
                <w:lang w:val="en-US" w:eastAsia="en-GB"/>
              </w:rPr>
              <w:t>(01011)</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20</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Slov</w:t>
            </w:r>
            <w:r w:rsidR="00A23265" w:rsidRPr="00F31C71">
              <w:rPr>
                <w:rFonts w:ascii="Arial" w:hAnsi="Arial" w:cs="Arial"/>
                <w:sz w:val="20"/>
                <w:szCs w:val="20"/>
                <w:lang w:eastAsia="en-GB"/>
              </w:rPr>
              <w:t>é</w:t>
            </w:r>
            <w:r w:rsidRPr="00F31C71">
              <w:rPr>
                <w:rFonts w:ascii="Arial" w:hAnsi="Arial" w:cs="Arial"/>
                <w:sz w:val="20"/>
                <w:szCs w:val="20"/>
                <w:lang w:eastAsia="en-GB"/>
              </w:rPr>
              <w:t>ni</w:t>
            </w:r>
            <w:r w:rsidR="00A23265" w:rsidRPr="00F31C71">
              <w:rPr>
                <w:rFonts w:ascii="Arial" w:hAnsi="Arial" w:cs="Arial"/>
                <w:sz w:val="20"/>
                <w:szCs w:val="20"/>
                <w:lang w:eastAsia="en-GB"/>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2008C5" w:rsidP="009A59CF">
            <w:pPr>
              <w:rPr>
                <w:rFonts w:ascii="Arial" w:hAnsi="Arial" w:cs="Arial"/>
                <w:sz w:val="20"/>
                <w:szCs w:val="20"/>
                <w:lang w:eastAsia="en-GB"/>
              </w:rPr>
            </w:pPr>
            <w:r w:rsidRPr="00F31C71">
              <w:rPr>
                <w:rFonts w:ascii="Arial" w:hAnsi="Arial" w:cs="Arial"/>
                <w:sz w:val="20"/>
                <w:szCs w:val="20"/>
                <w:lang w:eastAsia="en-GB"/>
              </w:rPr>
              <w:t xml:space="preserve">Škofja Loka passion play </w:t>
            </w:r>
            <w:r w:rsidR="009521DF" w:rsidRPr="00F31C71">
              <w:rPr>
                <w:rFonts w:ascii="Arial" w:hAnsi="Arial" w:cs="Arial"/>
                <w:sz w:val="20"/>
                <w:szCs w:val="20"/>
                <w:lang w:eastAsia="en-GB"/>
              </w:rPr>
              <w:t>(01203)</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21</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Sri Lanka</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2008C5" w:rsidP="00B37679">
            <w:pPr>
              <w:rPr>
                <w:rFonts w:ascii="Arial" w:hAnsi="Arial" w:cs="Arial"/>
                <w:sz w:val="20"/>
                <w:szCs w:val="20"/>
                <w:lang w:val="en-US" w:eastAsia="en-GB"/>
              </w:rPr>
            </w:pPr>
            <w:r w:rsidRPr="006016A7">
              <w:rPr>
                <w:rFonts w:ascii="Arial" w:hAnsi="Arial" w:cs="Arial"/>
                <w:sz w:val="20"/>
                <w:szCs w:val="20"/>
                <w:lang w:val="en-US" w:eastAsia="en-GB"/>
              </w:rPr>
              <w:t xml:space="preserve">Traditional art of string puppetry </w:t>
            </w:r>
            <w:r w:rsidR="009521DF" w:rsidRPr="006016A7">
              <w:rPr>
                <w:rFonts w:ascii="Arial" w:hAnsi="Arial" w:cs="Arial"/>
                <w:sz w:val="20"/>
                <w:szCs w:val="20"/>
                <w:lang w:val="en-US" w:eastAsia="en-GB"/>
              </w:rPr>
              <w:t>(01171)</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22</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S</w:t>
            </w:r>
            <w:r w:rsidR="00A23265" w:rsidRPr="00F31C71">
              <w:rPr>
                <w:rFonts w:ascii="Arial" w:hAnsi="Arial" w:cs="Arial"/>
                <w:sz w:val="20"/>
                <w:szCs w:val="20"/>
                <w:lang w:eastAsia="en-GB"/>
              </w:rPr>
              <w:t>u</w:t>
            </w:r>
            <w:r w:rsidRPr="00F31C71">
              <w:rPr>
                <w:rFonts w:ascii="Arial" w:hAnsi="Arial" w:cs="Arial"/>
                <w:sz w:val="20"/>
                <w:szCs w:val="20"/>
                <w:lang w:eastAsia="en-GB"/>
              </w:rPr>
              <w:t>i</w:t>
            </w:r>
            <w:r w:rsidR="00A23265" w:rsidRPr="00F31C71">
              <w:rPr>
                <w:rFonts w:ascii="Arial" w:hAnsi="Arial" w:cs="Arial"/>
                <w:sz w:val="20"/>
                <w:szCs w:val="20"/>
                <w:lang w:eastAsia="en-GB"/>
              </w:rPr>
              <w:t>sse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5579C1" w:rsidP="00B37679">
            <w:pPr>
              <w:rPr>
                <w:rFonts w:ascii="Arial" w:hAnsi="Arial" w:cs="Arial"/>
                <w:sz w:val="20"/>
                <w:szCs w:val="20"/>
                <w:lang w:eastAsia="en-GB"/>
              </w:rPr>
            </w:pPr>
            <w:r w:rsidRPr="00F31C71">
              <w:rPr>
                <w:rFonts w:ascii="Arial" w:hAnsi="Arial" w:cs="Arial"/>
                <w:sz w:val="20"/>
                <w:szCs w:val="20"/>
                <w:lang w:eastAsia="en-GB"/>
              </w:rPr>
              <w:t>F</w:t>
            </w:r>
            <w:r w:rsidR="009521DF" w:rsidRPr="00F31C71">
              <w:rPr>
                <w:rFonts w:ascii="Arial" w:hAnsi="Arial" w:cs="Arial"/>
                <w:sz w:val="20"/>
                <w:szCs w:val="20"/>
                <w:lang w:eastAsia="en-GB"/>
              </w:rPr>
              <w:t>ête des vignerons de Vevey (01201)</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23</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Ta</w:t>
            </w:r>
            <w:r w:rsidR="00A23265" w:rsidRPr="00F31C71">
              <w:rPr>
                <w:rFonts w:ascii="Arial" w:hAnsi="Arial" w:cs="Arial"/>
                <w:sz w:val="20"/>
                <w:szCs w:val="20"/>
                <w:lang w:eastAsia="en-GB"/>
              </w:rPr>
              <w:t>d</w:t>
            </w:r>
            <w:r w:rsidRPr="00F31C71">
              <w:rPr>
                <w:rFonts w:ascii="Arial" w:hAnsi="Arial" w:cs="Arial"/>
                <w:sz w:val="20"/>
                <w:szCs w:val="20"/>
                <w:lang w:eastAsia="en-GB"/>
              </w:rPr>
              <w:t>jikistan</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5579C1" w:rsidP="009A59CF">
            <w:pPr>
              <w:rPr>
                <w:rFonts w:ascii="Arial" w:hAnsi="Arial" w:cs="Arial"/>
                <w:sz w:val="20"/>
                <w:szCs w:val="20"/>
                <w:lang w:val="en-US" w:eastAsia="en-GB"/>
              </w:rPr>
            </w:pPr>
            <w:r w:rsidRPr="006016A7">
              <w:rPr>
                <w:rFonts w:ascii="Arial" w:hAnsi="Arial" w:cs="Arial"/>
                <w:sz w:val="20"/>
                <w:szCs w:val="20"/>
                <w:lang w:val="en-US" w:eastAsia="en-GB"/>
              </w:rPr>
              <w:t xml:space="preserve">Oshi Palav, a traditional meal and its social and cultural contexts in Tajikistan </w:t>
            </w:r>
            <w:r w:rsidR="009521DF" w:rsidRPr="006016A7">
              <w:rPr>
                <w:rFonts w:ascii="Arial" w:hAnsi="Arial" w:cs="Arial"/>
                <w:sz w:val="20"/>
                <w:szCs w:val="20"/>
                <w:lang w:val="en-US" w:eastAsia="en-GB"/>
              </w:rPr>
              <w:t>(01191)</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pas d’élément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24</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Botswana</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USL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5579C1" w:rsidP="009A59CF">
            <w:pPr>
              <w:rPr>
                <w:rFonts w:ascii="Arial" w:hAnsi="Arial" w:cs="Arial"/>
                <w:sz w:val="20"/>
                <w:szCs w:val="20"/>
                <w:lang w:val="en-US" w:eastAsia="en-GB"/>
              </w:rPr>
            </w:pPr>
            <w:r w:rsidRPr="006016A7">
              <w:rPr>
                <w:rFonts w:ascii="Arial" w:hAnsi="Arial" w:cs="Arial"/>
                <w:sz w:val="20"/>
                <w:szCs w:val="20"/>
                <w:lang w:val="en-US" w:eastAsia="en-GB"/>
              </w:rPr>
              <w:t xml:space="preserve">The use of Moropa wa Bojale ba Bakgatla ba Kgafela and its associated practices </w:t>
            </w:r>
            <w:r w:rsidR="009521DF" w:rsidRPr="006016A7">
              <w:rPr>
                <w:rFonts w:ascii="Arial" w:hAnsi="Arial" w:cs="Arial"/>
                <w:sz w:val="20"/>
                <w:szCs w:val="20"/>
                <w:lang w:val="en-US" w:eastAsia="en-GB"/>
              </w:rPr>
              <w:t>(01183)</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2E3D7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candidature pour la LSU</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25</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Cambod</w:t>
            </w:r>
            <w:r w:rsidR="00A23265" w:rsidRPr="00F31C71">
              <w:rPr>
                <w:rFonts w:ascii="Arial" w:hAnsi="Arial" w:cs="Arial"/>
                <w:sz w:val="20"/>
                <w:szCs w:val="20"/>
                <w:lang w:eastAsia="en-GB"/>
              </w:rPr>
              <w:t>ge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USL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Chapei Dang Veng (01165)</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candidature pour la LSU</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26</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Kenya</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USL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5579C1">
            <w:pPr>
              <w:rPr>
                <w:rFonts w:ascii="Arial" w:hAnsi="Arial" w:cs="Arial"/>
                <w:sz w:val="20"/>
                <w:szCs w:val="20"/>
                <w:lang w:val="en-US" w:eastAsia="en-GB"/>
              </w:rPr>
            </w:pPr>
            <w:r w:rsidRPr="006016A7">
              <w:rPr>
                <w:rFonts w:ascii="Arial" w:hAnsi="Arial" w:cs="Arial"/>
                <w:sz w:val="20"/>
                <w:szCs w:val="20"/>
                <w:lang w:val="en-US" w:eastAsia="en-GB"/>
              </w:rPr>
              <w:t>Rituals and practices associated with Kit Mikayi Shrine (01180)</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candidature pour la LSU</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27</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Portugal</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USL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5579C1" w:rsidP="006529B5">
            <w:pPr>
              <w:rPr>
                <w:rFonts w:ascii="Arial" w:hAnsi="Arial" w:cs="Arial"/>
                <w:sz w:val="20"/>
                <w:szCs w:val="20"/>
                <w:lang w:val="en-US" w:eastAsia="en-GB"/>
              </w:rPr>
            </w:pPr>
            <w:r w:rsidRPr="006016A7">
              <w:rPr>
                <w:rFonts w:ascii="Arial" w:hAnsi="Arial" w:cs="Arial"/>
                <w:sz w:val="20"/>
                <w:szCs w:val="20"/>
                <w:lang w:val="en-US" w:eastAsia="en-GB"/>
              </w:rPr>
              <w:t xml:space="preserve">Bisalhães black pottery manufacturing process </w:t>
            </w:r>
            <w:r w:rsidR="009521DF" w:rsidRPr="006016A7">
              <w:rPr>
                <w:rFonts w:ascii="Arial" w:hAnsi="Arial" w:cs="Arial"/>
                <w:sz w:val="20"/>
                <w:szCs w:val="20"/>
                <w:lang w:val="en-US" w:eastAsia="en-GB"/>
              </w:rPr>
              <w:t>(01199)</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candidature pour la LSU</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28</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A23265" w:rsidP="009521DF">
            <w:pPr>
              <w:rPr>
                <w:rFonts w:ascii="Arial" w:hAnsi="Arial" w:cs="Arial"/>
                <w:sz w:val="20"/>
                <w:szCs w:val="20"/>
                <w:lang w:eastAsia="en-GB"/>
              </w:rPr>
            </w:pPr>
            <w:r w:rsidRPr="00F31C71">
              <w:rPr>
                <w:rFonts w:ascii="Arial" w:hAnsi="Arial" w:cs="Arial"/>
                <w:sz w:val="20"/>
                <w:szCs w:val="20"/>
                <w:lang w:eastAsia="en-GB"/>
              </w:rPr>
              <w:t>Ou</w:t>
            </w:r>
            <w:r w:rsidR="009521DF" w:rsidRPr="00F31C71">
              <w:rPr>
                <w:rFonts w:ascii="Arial" w:hAnsi="Arial" w:cs="Arial"/>
                <w:sz w:val="20"/>
                <w:szCs w:val="20"/>
                <w:lang w:eastAsia="en-GB"/>
              </w:rPr>
              <w:t>ganda</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USL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5579C1" w:rsidP="006529B5">
            <w:pPr>
              <w:rPr>
                <w:rFonts w:ascii="Arial" w:hAnsi="Arial" w:cs="Arial"/>
                <w:sz w:val="20"/>
                <w:szCs w:val="20"/>
                <w:lang w:val="en-US" w:eastAsia="en-GB"/>
              </w:rPr>
            </w:pPr>
            <w:r w:rsidRPr="006016A7">
              <w:rPr>
                <w:rFonts w:ascii="Arial" w:hAnsi="Arial" w:cs="Arial"/>
                <w:sz w:val="20"/>
                <w:szCs w:val="20"/>
                <w:lang w:val="en-US" w:eastAsia="en-GB"/>
              </w:rPr>
              <w:t xml:space="preserve">Ma'di bowl lyre music and dance </w:t>
            </w:r>
            <w:r w:rsidR="009521DF" w:rsidRPr="006016A7">
              <w:rPr>
                <w:rFonts w:ascii="Arial" w:hAnsi="Arial" w:cs="Arial"/>
                <w:sz w:val="20"/>
                <w:szCs w:val="20"/>
                <w:lang w:val="en-US" w:eastAsia="en-GB"/>
              </w:rPr>
              <w:t>(01187)</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candidature pour la LSU</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29</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Ukraine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USL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6370D8" w:rsidP="00E27B58">
            <w:pPr>
              <w:rPr>
                <w:rFonts w:ascii="Arial" w:hAnsi="Arial" w:cs="Arial"/>
                <w:sz w:val="20"/>
                <w:szCs w:val="20"/>
                <w:lang w:val="en-US" w:eastAsia="en-GB"/>
              </w:rPr>
            </w:pPr>
            <w:r w:rsidRPr="006016A7">
              <w:rPr>
                <w:rFonts w:ascii="Arial" w:hAnsi="Arial" w:cs="Arial"/>
                <w:sz w:val="20"/>
                <w:szCs w:val="20"/>
                <w:lang w:val="en-US" w:eastAsia="en-GB"/>
              </w:rPr>
              <w:t xml:space="preserve">Cossacks songs of Dnipropetrovsk Region </w:t>
            </w:r>
            <w:r w:rsidR="009521DF" w:rsidRPr="006016A7">
              <w:rPr>
                <w:rFonts w:ascii="Arial" w:hAnsi="Arial" w:cs="Arial"/>
                <w:sz w:val="20"/>
                <w:szCs w:val="20"/>
                <w:lang w:val="en-US" w:eastAsia="en-GB"/>
              </w:rPr>
              <w:t>(01194)</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 </w:t>
            </w:r>
            <w:r w:rsidR="002E3D7F" w:rsidRPr="00F31C71">
              <w:rPr>
                <w:rFonts w:ascii="Arial" w:hAnsi="Arial" w:cs="Arial"/>
                <w:sz w:val="20"/>
                <w:szCs w:val="20"/>
                <w:lang w:eastAsia="en-GB"/>
              </w:rPr>
              <w:t>candidature pour la LSU</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30</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Azerba</w:t>
            </w:r>
            <w:r w:rsidR="00A23265" w:rsidRPr="00F31C71">
              <w:rPr>
                <w:rFonts w:ascii="Arial" w:hAnsi="Arial" w:cs="Arial"/>
                <w:sz w:val="20"/>
                <w:szCs w:val="20"/>
                <w:lang w:eastAsia="en-GB"/>
              </w:rPr>
              <w:t>ïd</w:t>
            </w:r>
            <w:r w:rsidRPr="00F31C71">
              <w:rPr>
                <w:rFonts w:ascii="Arial" w:hAnsi="Arial" w:cs="Arial"/>
                <w:sz w:val="20"/>
                <w:szCs w:val="20"/>
                <w:lang w:eastAsia="en-GB"/>
              </w:rPr>
              <w:t>jan</w:t>
            </w:r>
            <w:r w:rsidR="00A23265" w:rsidRPr="00F31C71">
              <w:rPr>
                <w:rFonts w:ascii="Arial" w:hAnsi="Arial" w:cs="Arial"/>
                <w:sz w:val="20"/>
                <w:szCs w:val="20"/>
                <w:lang w:eastAsia="en-GB"/>
              </w:rPr>
              <w:t> </w:t>
            </w:r>
            <w:r w:rsidRPr="00F31C71">
              <w:rPr>
                <w:rFonts w:ascii="Arial" w:hAnsi="Arial" w:cs="Arial"/>
                <w:sz w:val="20"/>
                <w:szCs w:val="20"/>
                <w:lang w:eastAsia="en-GB"/>
              </w:rPr>
              <w:t>; Iran (</w:t>
            </w:r>
            <w:r w:rsidR="005D0B18">
              <w:rPr>
                <w:rFonts w:ascii="Arial" w:hAnsi="Arial" w:cs="Arial"/>
                <w:sz w:val="20"/>
                <w:szCs w:val="20"/>
                <w:lang w:eastAsia="en-GB"/>
              </w:rPr>
              <w:t>R</w:t>
            </w:r>
            <w:r w:rsidR="00A23265" w:rsidRPr="00F31C71">
              <w:rPr>
                <w:rFonts w:ascii="Arial" w:hAnsi="Arial" w:cs="Arial"/>
                <w:sz w:val="20"/>
                <w:szCs w:val="20"/>
                <w:lang w:eastAsia="en-GB"/>
              </w:rPr>
              <w:t>épublique i</w:t>
            </w:r>
            <w:r w:rsidRPr="00F31C71">
              <w:rPr>
                <w:rFonts w:ascii="Arial" w:hAnsi="Arial" w:cs="Arial"/>
                <w:sz w:val="20"/>
                <w:szCs w:val="20"/>
                <w:lang w:eastAsia="en-GB"/>
              </w:rPr>
              <w:t>slami</w:t>
            </w:r>
            <w:r w:rsidR="00A23265" w:rsidRPr="00F31C71">
              <w:rPr>
                <w:rFonts w:ascii="Arial" w:hAnsi="Arial" w:cs="Arial"/>
                <w:sz w:val="20"/>
                <w:szCs w:val="20"/>
                <w:lang w:eastAsia="en-GB"/>
              </w:rPr>
              <w:t>que d’</w:t>
            </w:r>
            <w:r w:rsidRPr="00F31C71">
              <w:rPr>
                <w:rFonts w:ascii="Arial" w:hAnsi="Arial" w:cs="Arial"/>
                <w:sz w:val="20"/>
                <w:szCs w:val="20"/>
                <w:lang w:eastAsia="en-GB"/>
              </w:rPr>
              <w:t>)</w:t>
            </w:r>
            <w:r w:rsidR="00A23265" w:rsidRPr="00F31C71">
              <w:rPr>
                <w:rFonts w:ascii="Arial" w:hAnsi="Arial" w:cs="Arial"/>
                <w:sz w:val="20"/>
                <w:szCs w:val="20"/>
                <w:lang w:eastAsia="en-GB"/>
              </w:rPr>
              <w:t> </w:t>
            </w:r>
            <w:r w:rsidRPr="00F31C71">
              <w:rPr>
                <w:rFonts w:ascii="Arial" w:hAnsi="Arial" w:cs="Arial"/>
                <w:sz w:val="20"/>
                <w:szCs w:val="20"/>
                <w:lang w:eastAsia="en-GB"/>
              </w:rPr>
              <w:t>; Kazakhstan</w:t>
            </w:r>
            <w:r w:rsidR="00A23265" w:rsidRPr="00F31C71">
              <w:rPr>
                <w:rFonts w:ascii="Arial" w:hAnsi="Arial" w:cs="Arial"/>
                <w:sz w:val="20"/>
                <w:szCs w:val="20"/>
                <w:lang w:eastAsia="en-GB"/>
              </w:rPr>
              <w:t> </w:t>
            </w:r>
            <w:r w:rsidRPr="00F31C71">
              <w:rPr>
                <w:rFonts w:ascii="Arial" w:hAnsi="Arial" w:cs="Arial"/>
                <w:sz w:val="20"/>
                <w:szCs w:val="20"/>
                <w:lang w:eastAsia="en-GB"/>
              </w:rPr>
              <w:t xml:space="preserve">; </w:t>
            </w:r>
            <w:r w:rsidR="00F31C71" w:rsidRPr="00F31C71">
              <w:rPr>
                <w:rFonts w:ascii="Arial" w:hAnsi="Arial" w:cs="Arial"/>
                <w:sz w:val="20"/>
                <w:szCs w:val="20"/>
                <w:lang w:eastAsia="en-GB"/>
              </w:rPr>
              <w:t>Kirghizstan</w:t>
            </w:r>
            <w:r w:rsidR="00A23265" w:rsidRPr="00F31C71">
              <w:rPr>
                <w:rFonts w:ascii="Arial" w:hAnsi="Arial" w:cs="Arial"/>
                <w:sz w:val="20"/>
                <w:szCs w:val="20"/>
                <w:lang w:eastAsia="en-GB"/>
              </w:rPr>
              <w:t> </w:t>
            </w:r>
            <w:r w:rsidRPr="00F31C71">
              <w:rPr>
                <w:rFonts w:ascii="Arial" w:hAnsi="Arial" w:cs="Arial"/>
                <w:sz w:val="20"/>
                <w:szCs w:val="20"/>
                <w:lang w:eastAsia="en-GB"/>
              </w:rPr>
              <w:t>; Tur</w:t>
            </w:r>
            <w:r w:rsidR="00A23265" w:rsidRPr="00F31C71">
              <w:rPr>
                <w:rFonts w:ascii="Arial" w:hAnsi="Arial" w:cs="Arial"/>
                <w:sz w:val="20"/>
                <w:szCs w:val="20"/>
                <w:lang w:eastAsia="en-GB"/>
              </w:rPr>
              <w:t>quie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6370D8" w:rsidP="003511E4">
            <w:pPr>
              <w:rPr>
                <w:rFonts w:ascii="Arial" w:hAnsi="Arial" w:cs="Arial"/>
                <w:sz w:val="20"/>
                <w:szCs w:val="20"/>
                <w:lang w:val="en-US" w:eastAsia="en-GB"/>
              </w:rPr>
            </w:pPr>
            <w:r w:rsidRPr="006016A7">
              <w:rPr>
                <w:rFonts w:ascii="Arial" w:hAnsi="Arial" w:cs="Arial"/>
                <w:sz w:val="20"/>
                <w:szCs w:val="20"/>
                <w:lang w:val="en-US" w:eastAsia="en-GB"/>
              </w:rPr>
              <w:t xml:space="preserve">Flatbread making and sharing culture: Lavash, Katryma, Jupka, Yufka </w:t>
            </w:r>
            <w:r w:rsidR="009521DF" w:rsidRPr="006016A7">
              <w:rPr>
                <w:rFonts w:ascii="Arial" w:hAnsi="Arial" w:cs="Arial"/>
                <w:sz w:val="20"/>
                <w:szCs w:val="20"/>
                <w:lang w:val="en-US" w:eastAsia="en-GB"/>
              </w:rPr>
              <w:t>(01181)</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2E3D7F">
            <w:pPr>
              <w:rPr>
                <w:rFonts w:ascii="Arial" w:hAnsi="Arial" w:cs="Arial"/>
                <w:sz w:val="20"/>
                <w:szCs w:val="20"/>
                <w:lang w:eastAsia="en-GB"/>
              </w:rPr>
            </w:pPr>
            <w:r w:rsidRPr="00F31C71">
              <w:rPr>
                <w:rFonts w:ascii="Arial" w:hAnsi="Arial" w:cs="Arial"/>
                <w:sz w:val="20"/>
                <w:szCs w:val="20"/>
                <w:lang w:eastAsia="en-GB"/>
              </w:rPr>
              <w:t xml:space="preserve">(ii) </w:t>
            </w:r>
            <w:r w:rsidR="002E3D7F" w:rsidRPr="00F31C71">
              <w:rPr>
                <w:rFonts w:ascii="Arial" w:hAnsi="Arial" w:cs="Arial"/>
                <w:sz w:val="20"/>
                <w:szCs w:val="20"/>
                <w:lang w:eastAsia="en-GB"/>
              </w:rPr>
              <w:t xml:space="preserve">candidature </w:t>
            </w:r>
            <w:r w:rsidRPr="00F31C71">
              <w:rPr>
                <w:rFonts w:ascii="Arial" w:hAnsi="Arial" w:cs="Arial"/>
                <w:sz w:val="20"/>
                <w:szCs w:val="20"/>
                <w:lang w:eastAsia="en-GB"/>
              </w:rPr>
              <w:t>multinational</w:t>
            </w:r>
            <w:r w:rsidR="002E3D7F" w:rsidRPr="00F31C71">
              <w:rPr>
                <w:rFonts w:ascii="Arial" w:hAnsi="Arial" w:cs="Arial"/>
                <w:sz w:val="20"/>
                <w:szCs w:val="20"/>
                <w:lang w:eastAsia="en-GB"/>
              </w:rPr>
              <w:t>e</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31</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Slova</w:t>
            </w:r>
            <w:r w:rsidR="00A23265" w:rsidRPr="00F31C71">
              <w:rPr>
                <w:rFonts w:ascii="Arial" w:hAnsi="Arial" w:cs="Arial"/>
                <w:sz w:val="20"/>
                <w:szCs w:val="20"/>
                <w:lang w:eastAsia="en-GB"/>
              </w:rPr>
              <w:t>quie </w:t>
            </w:r>
            <w:r w:rsidRPr="00F31C71">
              <w:rPr>
                <w:rFonts w:ascii="Arial" w:hAnsi="Arial" w:cs="Arial"/>
                <w:sz w:val="20"/>
                <w:szCs w:val="20"/>
                <w:lang w:eastAsia="en-GB"/>
              </w:rPr>
              <w:t xml:space="preserve">; </w:t>
            </w:r>
            <w:r w:rsidR="00A23265" w:rsidRPr="00F31C71">
              <w:rPr>
                <w:rFonts w:ascii="Arial" w:hAnsi="Arial" w:cs="Arial"/>
                <w:sz w:val="20"/>
                <w:szCs w:val="20"/>
                <w:lang w:eastAsia="en-GB"/>
              </w:rPr>
              <w:t>République tchèque</w:t>
            </w:r>
            <w:r w:rsidRPr="00F31C71">
              <w:rPr>
                <w:rFonts w:ascii="Arial" w:hAnsi="Arial" w:cs="Arial"/>
                <w:sz w:val="20"/>
                <w:szCs w:val="20"/>
                <w:lang w:eastAsia="en-GB"/>
              </w:rPr>
              <w:t xml:space="preserve"> </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6370D8" w:rsidP="00E27B58">
            <w:pPr>
              <w:rPr>
                <w:rFonts w:ascii="Arial" w:hAnsi="Arial" w:cs="Arial"/>
                <w:sz w:val="20"/>
                <w:szCs w:val="20"/>
                <w:lang w:eastAsia="en-GB"/>
              </w:rPr>
            </w:pPr>
            <w:r w:rsidRPr="00F31C71">
              <w:rPr>
                <w:rFonts w:ascii="Arial" w:hAnsi="Arial" w:cs="Arial"/>
                <w:sz w:val="20"/>
                <w:szCs w:val="20"/>
                <w:lang w:eastAsia="en-GB"/>
              </w:rPr>
              <w:t xml:space="preserve">Slovak and Czech puppetry </w:t>
            </w:r>
            <w:r w:rsidR="009521DF" w:rsidRPr="00F31C71">
              <w:rPr>
                <w:rFonts w:ascii="Arial" w:hAnsi="Arial" w:cs="Arial"/>
                <w:sz w:val="20"/>
                <w:szCs w:val="20"/>
                <w:lang w:eastAsia="en-GB"/>
              </w:rPr>
              <w:t>(01202)</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 </w:t>
            </w:r>
            <w:r w:rsidR="002E3D7F" w:rsidRPr="00F31C71">
              <w:rPr>
                <w:rFonts w:ascii="Arial" w:hAnsi="Arial" w:cs="Arial"/>
                <w:sz w:val="20"/>
                <w:szCs w:val="20"/>
                <w:lang w:eastAsia="en-GB"/>
              </w:rPr>
              <w:t>candidature multinationale</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32</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5D0B18">
            <w:pPr>
              <w:rPr>
                <w:rFonts w:ascii="Arial" w:hAnsi="Arial" w:cs="Arial"/>
                <w:sz w:val="20"/>
                <w:szCs w:val="20"/>
                <w:lang w:eastAsia="en-GB"/>
              </w:rPr>
            </w:pPr>
            <w:r w:rsidRPr="00F31C71">
              <w:rPr>
                <w:rFonts w:ascii="Arial" w:hAnsi="Arial" w:cs="Arial"/>
                <w:sz w:val="20"/>
                <w:szCs w:val="20"/>
                <w:lang w:eastAsia="en-GB"/>
              </w:rPr>
              <w:t>Ro</w:t>
            </w:r>
            <w:r w:rsidR="00A23265" w:rsidRPr="00F31C71">
              <w:rPr>
                <w:rFonts w:ascii="Arial" w:hAnsi="Arial" w:cs="Arial"/>
                <w:sz w:val="20"/>
                <w:szCs w:val="20"/>
                <w:lang w:eastAsia="en-GB"/>
              </w:rPr>
              <w:t>u</w:t>
            </w:r>
            <w:r w:rsidRPr="00F31C71">
              <w:rPr>
                <w:rFonts w:ascii="Arial" w:hAnsi="Arial" w:cs="Arial"/>
                <w:sz w:val="20"/>
                <w:szCs w:val="20"/>
                <w:lang w:eastAsia="en-GB"/>
              </w:rPr>
              <w:t>mani</w:t>
            </w:r>
            <w:r w:rsidR="00A23265" w:rsidRPr="00F31C71">
              <w:rPr>
                <w:rFonts w:ascii="Arial" w:hAnsi="Arial" w:cs="Arial"/>
                <w:sz w:val="20"/>
                <w:szCs w:val="20"/>
                <w:lang w:eastAsia="en-GB"/>
              </w:rPr>
              <w:t>e</w:t>
            </w:r>
            <w:r w:rsidR="003511E4" w:rsidRPr="00F31C71">
              <w:rPr>
                <w:rFonts w:ascii="Arial" w:hAnsi="Arial" w:cs="Arial"/>
                <w:sz w:val="20"/>
                <w:szCs w:val="20"/>
                <w:lang w:eastAsia="en-GB"/>
              </w:rPr>
              <w:t> ;</w:t>
            </w:r>
            <w:r w:rsidRPr="00F31C71">
              <w:rPr>
                <w:rFonts w:ascii="Arial" w:hAnsi="Arial" w:cs="Arial"/>
                <w:sz w:val="20"/>
                <w:szCs w:val="20"/>
                <w:lang w:eastAsia="en-GB"/>
              </w:rPr>
              <w:t xml:space="preserve"> R</w:t>
            </w:r>
            <w:r w:rsidR="00A23265" w:rsidRPr="00F31C71">
              <w:rPr>
                <w:rFonts w:ascii="Arial" w:hAnsi="Arial" w:cs="Arial"/>
                <w:sz w:val="20"/>
                <w:szCs w:val="20"/>
                <w:lang w:eastAsia="en-GB"/>
              </w:rPr>
              <w:t>é</w:t>
            </w:r>
            <w:r w:rsidRPr="00F31C71">
              <w:rPr>
                <w:rFonts w:ascii="Arial" w:hAnsi="Arial" w:cs="Arial"/>
                <w:sz w:val="20"/>
                <w:szCs w:val="20"/>
                <w:lang w:eastAsia="en-GB"/>
              </w:rPr>
              <w:t>publi</w:t>
            </w:r>
            <w:r w:rsidR="00A23265" w:rsidRPr="00F31C71">
              <w:rPr>
                <w:rFonts w:ascii="Arial" w:hAnsi="Arial" w:cs="Arial"/>
                <w:sz w:val="20"/>
                <w:szCs w:val="20"/>
                <w:lang w:eastAsia="en-GB"/>
              </w:rPr>
              <w:t>que de Mold</w:t>
            </w:r>
            <w:r w:rsidR="003511E4" w:rsidRPr="00F31C71">
              <w:rPr>
                <w:rFonts w:ascii="Arial" w:hAnsi="Arial" w:cs="Arial"/>
                <w:sz w:val="20"/>
                <w:szCs w:val="20"/>
                <w:lang w:eastAsia="en-GB"/>
              </w:rPr>
              <w:t>ov</w:t>
            </w:r>
            <w:r w:rsidR="00A23265" w:rsidRPr="00F31C71">
              <w:rPr>
                <w:rFonts w:ascii="Arial" w:hAnsi="Arial" w:cs="Arial"/>
                <w:sz w:val="20"/>
                <w:szCs w:val="20"/>
                <w:lang w:eastAsia="en-GB"/>
              </w:rPr>
              <w:t>a</w:t>
            </w:r>
            <w:r w:rsidRPr="00F31C71">
              <w:rPr>
                <w:rFonts w:ascii="Arial" w:hAnsi="Arial" w:cs="Arial"/>
                <w:sz w:val="20"/>
                <w:szCs w:val="20"/>
                <w:lang w:eastAsia="en-GB"/>
              </w:rPr>
              <w:t xml:space="preserve"> </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6370D8" w:rsidP="003511E4">
            <w:pPr>
              <w:rPr>
                <w:rFonts w:ascii="Arial" w:hAnsi="Arial" w:cs="Arial"/>
                <w:sz w:val="20"/>
                <w:szCs w:val="20"/>
                <w:lang w:val="en-US" w:eastAsia="en-GB"/>
              </w:rPr>
            </w:pPr>
            <w:r w:rsidRPr="006016A7">
              <w:rPr>
                <w:rFonts w:ascii="Arial" w:hAnsi="Arial" w:cs="Arial"/>
                <w:sz w:val="20"/>
                <w:szCs w:val="20"/>
                <w:lang w:val="en-US" w:eastAsia="en-GB"/>
              </w:rPr>
              <w:t>Traditional wall-carpet craftsmanship in Romania and the Republic of Moldova</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 </w:t>
            </w:r>
            <w:r w:rsidR="002E3D7F" w:rsidRPr="00F31C71">
              <w:rPr>
                <w:rFonts w:ascii="Arial" w:hAnsi="Arial" w:cs="Arial"/>
                <w:sz w:val="20"/>
                <w:szCs w:val="20"/>
                <w:lang w:eastAsia="en-GB"/>
              </w:rPr>
              <w:t>candidature multinationale</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33</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Autri</w:t>
            </w:r>
            <w:r w:rsidR="00A23265" w:rsidRPr="00F31C71">
              <w:rPr>
                <w:rFonts w:ascii="Arial" w:hAnsi="Arial" w:cs="Arial"/>
                <w:sz w:val="20"/>
                <w:szCs w:val="20"/>
                <w:lang w:eastAsia="en-GB"/>
              </w:rPr>
              <w:t>che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BSP</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6370D8" w:rsidP="00FE0F86">
            <w:pPr>
              <w:rPr>
                <w:rFonts w:ascii="Arial" w:hAnsi="Arial" w:cs="Arial"/>
                <w:sz w:val="20"/>
                <w:szCs w:val="20"/>
                <w:lang w:val="en-US" w:eastAsia="en-GB"/>
              </w:rPr>
            </w:pPr>
            <w:r w:rsidRPr="006016A7">
              <w:rPr>
                <w:rFonts w:ascii="Arial" w:hAnsi="Arial" w:cs="Arial"/>
                <w:sz w:val="20"/>
                <w:szCs w:val="20"/>
                <w:lang w:val="en-US" w:eastAsia="en-GB"/>
              </w:rPr>
              <w:t xml:space="preserve">Regional Centres for Craftsmanship: a strategy for safeguarding the cultural heritage </w:t>
            </w:r>
            <w:r w:rsidR="009521DF" w:rsidRPr="006016A7">
              <w:rPr>
                <w:rFonts w:ascii="Arial" w:hAnsi="Arial" w:cs="Arial"/>
                <w:sz w:val="20"/>
                <w:szCs w:val="20"/>
                <w:lang w:val="en-US" w:eastAsia="en-GB"/>
              </w:rPr>
              <w:t>(01169)</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2E3D7F">
            <w:pPr>
              <w:rPr>
                <w:rFonts w:ascii="Arial" w:hAnsi="Arial" w:cs="Arial"/>
                <w:sz w:val="20"/>
                <w:szCs w:val="20"/>
                <w:lang w:eastAsia="en-GB"/>
              </w:rPr>
            </w:pPr>
            <w:r w:rsidRPr="00F31C71">
              <w:rPr>
                <w:rFonts w:ascii="Arial" w:hAnsi="Arial" w:cs="Arial"/>
                <w:sz w:val="20"/>
                <w:szCs w:val="20"/>
                <w:lang w:eastAsia="en-GB"/>
              </w:rPr>
              <w:t xml:space="preserve">(iii) 1 </w:t>
            </w:r>
            <w:r w:rsidR="002E3D7F" w:rsidRPr="00F31C71">
              <w:rPr>
                <w:rFonts w:ascii="Arial" w:hAnsi="Arial" w:cs="Arial"/>
                <w:sz w:val="20"/>
                <w:szCs w:val="20"/>
                <w:lang w:eastAsia="en-GB"/>
              </w:rPr>
              <w:t>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34</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Cuba</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285ED5" w:rsidP="001D7FC5">
            <w:pPr>
              <w:rPr>
                <w:rFonts w:ascii="Arial" w:hAnsi="Arial" w:cs="Arial"/>
                <w:sz w:val="20"/>
                <w:szCs w:val="20"/>
                <w:lang w:val="en-US" w:eastAsia="en-GB"/>
              </w:rPr>
            </w:pPr>
            <w:r w:rsidRPr="00093137">
              <w:rPr>
                <w:rFonts w:ascii="Arial" w:hAnsi="Arial" w:cs="Arial"/>
                <w:sz w:val="20"/>
                <w:szCs w:val="20"/>
                <w:lang w:val="en-GB" w:eastAsia="en-GB"/>
              </w:rPr>
              <w:t>Cuban rumba, a festive combination of music and dances and all the practices associated (01185</w:t>
            </w:r>
            <w:r w:rsidR="00094A5D">
              <w:rPr>
                <w:rFonts w:ascii="Arial" w:hAnsi="Arial" w:cs="Arial"/>
                <w:sz w:val="20"/>
                <w:szCs w:val="20"/>
                <w:lang w:val="en-GB" w:eastAsia="en-GB"/>
              </w:rPr>
              <w:t>)</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1 </w:t>
            </w:r>
            <w:r w:rsidR="002E3D7F" w:rsidRPr="00F31C71">
              <w:rPr>
                <w:rFonts w:ascii="Arial" w:hAnsi="Arial" w:cs="Arial"/>
                <w:sz w:val="20"/>
                <w:szCs w:val="20"/>
                <w:lang w:eastAsia="en-GB"/>
              </w:rPr>
              <w:t>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35</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A23265" w:rsidP="00A23265">
            <w:pPr>
              <w:rPr>
                <w:rFonts w:ascii="Arial" w:hAnsi="Arial" w:cs="Arial"/>
                <w:sz w:val="20"/>
                <w:szCs w:val="20"/>
                <w:lang w:eastAsia="en-GB"/>
              </w:rPr>
            </w:pPr>
            <w:r w:rsidRPr="00F31C71">
              <w:rPr>
                <w:rFonts w:ascii="Arial" w:hAnsi="Arial" w:cs="Arial"/>
                <w:sz w:val="20"/>
                <w:szCs w:val="20"/>
                <w:lang w:eastAsia="en-GB"/>
              </w:rPr>
              <w:t>République démocratique populaire de Corée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F1063F" w:rsidP="001D7FC5">
            <w:pPr>
              <w:rPr>
                <w:rFonts w:ascii="Arial" w:hAnsi="Arial" w:cs="Arial"/>
                <w:sz w:val="20"/>
                <w:szCs w:val="20"/>
                <w:lang w:val="en-US" w:eastAsia="en-GB"/>
              </w:rPr>
            </w:pPr>
            <w:r w:rsidRPr="006016A7">
              <w:rPr>
                <w:rFonts w:ascii="Arial" w:hAnsi="Arial" w:cs="Arial"/>
                <w:sz w:val="20"/>
                <w:szCs w:val="20"/>
                <w:lang w:val="en-US" w:eastAsia="en-GB"/>
              </w:rPr>
              <w:t>Ssirum (wrestling)</w:t>
            </w:r>
            <w:r w:rsidR="00374739" w:rsidRPr="006016A7">
              <w:rPr>
                <w:rFonts w:ascii="Arial" w:hAnsi="Arial" w:cs="Arial"/>
                <w:sz w:val="20"/>
                <w:szCs w:val="20"/>
                <w:lang w:val="en-US" w:eastAsia="en-GB"/>
              </w:rPr>
              <w:t xml:space="preserve"> in the Democratic People’s Republic of Korea</w:t>
            </w:r>
            <w:r w:rsidRPr="006016A7">
              <w:rPr>
                <w:rFonts w:ascii="Arial" w:hAnsi="Arial" w:cs="Arial"/>
                <w:sz w:val="20"/>
                <w:szCs w:val="20"/>
                <w:lang w:val="en-US" w:eastAsia="en-GB"/>
              </w:rPr>
              <w:t xml:space="preserve"> </w:t>
            </w:r>
            <w:r w:rsidR="009521DF" w:rsidRPr="006016A7">
              <w:rPr>
                <w:rFonts w:ascii="Arial" w:hAnsi="Arial" w:cs="Arial"/>
                <w:sz w:val="20"/>
                <w:szCs w:val="20"/>
                <w:lang w:val="en-US" w:eastAsia="en-GB"/>
              </w:rPr>
              <w:t>(01160)</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1 </w:t>
            </w:r>
            <w:r w:rsidR="002E3D7F" w:rsidRPr="00F31C71">
              <w:rPr>
                <w:rFonts w:ascii="Arial" w:hAnsi="Arial" w:cs="Arial"/>
                <w:sz w:val="20"/>
                <w:szCs w:val="20"/>
                <w:lang w:eastAsia="en-GB"/>
              </w:rPr>
              <w:t>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36</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F31C71" w:rsidP="009521DF">
            <w:pPr>
              <w:rPr>
                <w:rFonts w:ascii="Arial" w:hAnsi="Arial" w:cs="Arial"/>
                <w:sz w:val="20"/>
                <w:szCs w:val="20"/>
                <w:lang w:eastAsia="en-GB"/>
              </w:rPr>
            </w:pPr>
            <w:r w:rsidRPr="00F31C71">
              <w:rPr>
                <w:rFonts w:ascii="Arial" w:hAnsi="Arial" w:cs="Arial"/>
                <w:sz w:val="20"/>
                <w:szCs w:val="20"/>
                <w:lang w:eastAsia="en-GB"/>
              </w:rPr>
              <w:t>Égypte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F1063F" w:rsidP="00FE0F86">
            <w:pPr>
              <w:rPr>
                <w:rFonts w:ascii="Arial" w:hAnsi="Arial" w:cs="Arial"/>
                <w:sz w:val="20"/>
                <w:szCs w:val="20"/>
                <w:lang w:eastAsia="en-GB"/>
              </w:rPr>
            </w:pPr>
            <w:r w:rsidRPr="00F31C71">
              <w:rPr>
                <w:rFonts w:ascii="Arial" w:hAnsi="Arial" w:cs="Arial"/>
                <w:sz w:val="20"/>
                <w:szCs w:val="20"/>
                <w:lang w:eastAsia="en-GB"/>
              </w:rPr>
              <w:t>Taht</w:t>
            </w:r>
            <w:r w:rsidR="009753AF">
              <w:rPr>
                <w:rFonts w:ascii="Arial" w:hAnsi="Arial" w:cs="Arial"/>
                <w:sz w:val="20"/>
                <w:szCs w:val="20"/>
                <w:lang w:eastAsia="en-GB"/>
              </w:rPr>
              <w:t>ee</w:t>
            </w:r>
            <w:r w:rsidRPr="00F31C71">
              <w:rPr>
                <w:rFonts w:ascii="Arial" w:hAnsi="Arial" w:cs="Arial"/>
                <w:sz w:val="20"/>
                <w:szCs w:val="20"/>
                <w:lang w:eastAsia="en-GB"/>
              </w:rPr>
              <w:t xml:space="preserve">b, stick game </w:t>
            </w:r>
            <w:r w:rsidR="009521DF" w:rsidRPr="00F31C71">
              <w:rPr>
                <w:rFonts w:ascii="Arial" w:hAnsi="Arial" w:cs="Arial"/>
                <w:sz w:val="20"/>
                <w:szCs w:val="20"/>
                <w:lang w:eastAsia="en-GB"/>
              </w:rPr>
              <w:t>01189)</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1 </w:t>
            </w:r>
            <w:r w:rsidR="002E3D7F" w:rsidRPr="00F31C71">
              <w:rPr>
                <w:rFonts w:ascii="Arial" w:hAnsi="Arial" w:cs="Arial"/>
                <w:sz w:val="20"/>
                <w:szCs w:val="20"/>
                <w:lang w:eastAsia="en-GB"/>
              </w:rPr>
              <w:t>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37</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F31C71" w:rsidP="00A23265">
            <w:pPr>
              <w:rPr>
                <w:rFonts w:ascii="Arial" w:hAnsi="Arial" w:cs="Arial"/>
                <w:sz w:val="20"/>
                <w:szCs w:val="20"/>
                <w:lang w:eastAsia="en-GB"/>
              </w:rPr>
            </w:pPr>
            <w:r w:rsidRPr="00F31C71">
              <w:rPr>
                <w:rFonts w:ascii="Arial" w:hAnsi="Arial" w:cs="Arial"/>
                <w:sz w:val="20"/>
                <w:szCs w:val="20"/>
                <w:lang w:eastAsia="en-GB"/>
              </w:rPr>
              <w:t>Éthiopie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F1063F" w:rsidP="001D7FC5">
            <w:pPr>
              <w:rPr>
                <w:rFonts w:ascii="Arial" w:hAnsi="Arial" w:cs="Arial"/>
                <w:sz w:val="20"/>
                <w:szCs w:val="20"/>
                <w:lang w:val="en-US" w:eastAsia="en-GB"/>
              </w:rPr>
            </w:pPr>
            <w:r w:rsidRPr="006016A7">
              <w:rPr>
                <w:rFonts w:ascii="Arial" w:hAnsi="Arial" w:cs="Arial"/>
                <w:sz w:val="20"/>
                <w:szCs w:val="20"/>
                <w:lang w:val="en-US" w:eastAsia="en-GB"/>
              </w:rPr>
              <w:t xml:space="preserve">Gada system, an indigenous democratic socio-political system of the Oromo </w:t>
            </w:r>
            <w:r w:rsidR="009521DF" w:rsidRPr="006016A7">
              <w:rPr>
                <w:rFonts w:ascii="Arial" w:hAnsi="Arial" w:cs="Arial"/>
                <w:sz w:val="20"/>
                <w:szCs w:val="20"/>
                <w:lang w:val="en-US" w:eastAsia="en-GB"/>
              </w:rPr>
              <w:t>(01164)</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1 </w:t>
            </w:r>
            <w:r w:rsidR="002E3D7F" w:rsidRPr="00F31C71">
              <w:rPr>
                <w:rFonts w:ascii="Arial" w:hAnsi="Arial" w:cs="Arial"/>
                <w:sz w:val="20"/>
                <w:szCs w:val="20"/>
                <w:lang w:eastAsia="en-GB"/>
              </w:rPr>
              <w:t>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38</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Gr</w:t>
            </w:r>
            <w:r w:rsidR="00A23265" w:rsidRPr="00F31C71">
              <w:rPr>
                <w:rFonts w:ascii="Arial" w:hAnsi="Arial" w:cs="Arial"/>
                <w:sz w:val="20"/>
                <w:szCs w:val="20"/>
                <w:lang w:eastAsia="en-GB"/>
              </w:rPr>
              <w:t>è</w:t>
            </w:r>
            <w:r w:rsidRPr="00F31C71">
              <w:rPr>
                <w:rFonts w:ascii="Arial" w:hAnsi="Arial" w:cs="Arial"/>
                <w:sz w:val="20"/>
                <w:szCs w:val="20"/>
                <w:lang w:eastAsia="en-GB"/>
              </w:rPr>
              <w:t>ce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7D6D47" w:rsidP="001801FA">
            <w:pPr>
              <w:rPr>
                <w:rFonts w:ascii="Arial" w:hAnsi="Arial" w:cs="Arial"/>
                <w:sz w:val="20"/>
                <w:szCs w:val="20"/>
                <w:lang w:val="en-US" w:eastAsia="en-GB"/>
              </w:rPr>
            </w:pPr>
            <w:r w:rsidRPr="006016A7">
              <w:rPr>
                <w:rFonts w:ascii="Arial" w:hAnsi="Arial" w:cs="Arial"/>
                <w:sz w:val="20"/>
                <w:szCs w:val="20"/>
                <w:lang w:val="en-US" w:eastAsia="en-GB"/>
              </w:rPr>
              <w:t xml:space="preserve">Momoeria, New Year's celebration in eight villages of Kozani area, West Macedonia, Greece </w:t>
            </w:r>
            <w:r w:rsidR="009521DF" w:rsidRPr="006016A7">
              <w:rPr>
                <w:rFonts w:ascii="Arial" w:hAnsi="Arial" w:cs="Arial"/>
                <w:sz w:val="20"/>
                <w:szCs w:val="20"/>
                <w:lang w:val="en-US" w:eastAsia="en-GB"/>
              </w:rPr>
              <w:t>(01184)</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1 </w:t>
            </w:r>
            <w:r w:rsidR="002E3D7F" w:rsidRPr="00F31C71">
              <w:rPr>
                <w:rFonts w:ascii="Arial" w:hAnsi="Arial" w:cs="Arial"/>
                <w:sz w:val="20"/>
                <w:szCs w:val="20"/>
                <w:lang w:eastAsia="en-GB"/>
              </w:rPr>
              <w:t>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39</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Iraq</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7D6D47" w:rsidP="004D4382">
            <w:pPr>
              <w:rPr>
                <w:rFonts w:ascii="Arial" w:hAnsi="Arial" w:cs="Arial"/>
                <w:sz w:val="20"/>
                <w:szCs w:val="20"/>
                <w:lang w:val="en-US" w:eastAsia="en-GB"/>
              </w:rPr>
            </w:pPr>
            <w:r w:rsidRPr="006016A7">
              <w:rPr>
                <w:rFonts w:ascii="Arial" w:hAnsi="Arial" w:cs="Arial"/>
                <w:sz w:val="20"/>
                <w:szCs w:val="20"/>
                <w:lang w:val="en-US" w:eastAsia="en-GB"/>
              </w:rPr>
              <w:t xml:space="preserve">Khidr Elias feast and its vows </w:t>
            </w:r>
            <w:r w:rsidR="009521DF" w:rsidRPr="006016A7">
              <w:rPr>
                <w:rFonts w:ascii="Arial" w:hAnsi="Arial" w:cs="Arial"/>
                <w:sz w:val="20"/>
                <w:szCs w:val="20"/>
                <w:lang w:val="en-US" w:eastAsia="en-GB"/>
              </w:rPr>
              <w:t>(01159)</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1 </w:t>
            </w:r>
            <w:r w:rsidR="002E3D7F" w:rsidRPr="00F31C71">
              <w:rPr>
                <w:rFonts w:ascii="Arial" w:hAnsi="Arial" w:cs="Arial"/>
                <w:sz w:val="20"/>
                <w:szCs w:val="20"/>
                <w:lang w:eastAsia="en-GB"/>
              </w:rPr>
              <w:t>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40</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Kazakhstan</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7D6D47" w:rsidP="001801FA">
            <w:pPr>
              <w:rPr>
                <w:rFonts w:ascii="Arial" w:hAnsi="Arial" w:cs="Arial"/>
                <w:sz w:val="20"/>
                <w:szCs w:val="20"/>
                <w:lang w:eastAsia="en-GB"/>
              </w:rPr>
            </w:pPr>
            <w:r w:rsidRPr="00F31C71">
              <w:rPr>
                <w:rFonts w:ascii="Arial" w:hAnsi="Arial" w:cs="Arial"/>
                <w:sz w:val="20"/>
                <w:szCs w:val="20"/>
                <w:lang w:eastAsia="en-GB"/>
              </w:rPr>
              <w:t xml:space="preserve">Kazakh Kuresi </w:t>
            </w:r>
            <w:r w:rsidR="009521DF" w:rsidRPr="00F31C71">
              <w:rPr>
                <w:rFonts w:ascii="Arial" w:hAnsi="Arial" w:cs="Arial"/>
                <w:sz w:val="20"/>
                <w:szCs w:val="20"/>
                <w:lang w:eastAsia="en-GB"/>
              </w:rPr>
              <w:t>(01085)</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1 </w:t>
            </w:r>
            <w:r w:rsidR="002E3D7F" w:rsidRPr="00F31C71">
              <w:rPr>
                <w:rFonts w:ascii="Arial" w:hAnsi="Arial" w:cs="Arial"/>
                <w:sz w:val="20"/>
                <w:szCs w:val="20"/>
                <w:lang w:eastAsia="en-GB"/>
              </w:rPr>
              <w:t>élément inscrit</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41</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Bangladesh</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Mangal Shobhajatra on Pahela Baishakh (01091)</w:t>
            </w:r>
            <w:r w:rsidR="007D6D47" w:rsidRPr="00F31C71">
              <w:rPr>
                <w:rFonts w:ascii="Arial" w:hAnsi="Arial" w:cs="Arial"/>
                <w:sz w:val="20"/>
                <w:szCs w:val="20"/>
                <w:lang w:eastAsia="en-GB"/>
              </w:rPr>
              <w:t xml:space="preserve"> </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2 </w:t>
            </w:r>
            <w:r w:rsidR="002E3D7F" w:rsidRPr="00F31C71">
              <w:rPr>
                <w:rFonts w:ascii="Arial" w:hAnsi="Arial" w:cs="Arial"/>
                <w:sz w:val="20"/>
                <w:szCs w:val="20"/>
                <w:lang w:eastAsia="en-GB"/>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42</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B</w:t>
            </w:r>
            <w:r w:rsidR="00C2291E">
              <w:rPr>
                <w:rFonts w:ascii="Arial" w:hAnsi="Arial" w:cs="Arial"/>
                <w:sz w:val="20"/>
                <w:szCs w:val="20"/>
                <w:lang w:eastAsia="en-GB"/>
              </w:rPr>
              <w:t>é</w:t>
            </w:r>
            <w:r w:rsidRPr="00F31C71">
              <w:rPr>
                <w:rFonts w:ascii="Arial" w:hAnsi="Arial" w:cs="Arial"/>
                <w:sz w:val="20"/>
                <w:szCs w:val="20"/>
                <w:lang w:eastAsia="en-GB"/>
              </w:rPr>
              <w:t>larus</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7D6D47" w:rsidP="001801FA">
            <w:pPr>
              <w:rPr>
                <w:rFonts w:ascii="Arial" w:hAnsi="Arial" w:cs="Arial"/>
                <w:sz w:val="20"/>
                <w:szCs w:val="20"/>
                <w:lang w:val="en-US" w:eastAsia="en-GB"/>
              </w:rPr>
            </w:pPr>
            <w:r w:rsidRPr="006016A7">
              <w:rPr>
                <w:rFonts w:ascii="Arial" w:hAnsi="Arial" w:cs="Arial"/>
                <w:sz w:val="20"/>
                <w:szCs w:val="20"/>
                <w:lang w:val="en-US" w:eastAsia="en-GB"/>
              </w:rPr>
              <w:t xml:space="preserve">Celebration in honor of the Budslaŭ icon of Our Lady (Budslaŭ Fest) </w:t>
            </w:r>
            <w:r w:rsidR="009521DF" w:rsidRPr="006016A7">
              <w:rPr>
                <w:rFonts w:ascii="Arial" w:hAnsi="Arial" w:cs="Arial"/>
                <w:sz w:val="20"/>
                <w:szCs w:val="20"/>
                <w:lang w:val="en-US" w:eastAsia="en-GB"/>
              </w:rPr>
              <w:t>(01174)</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2 </w:t>
            </w:r>
            <w:r w:rsidR="002E3D7F" w:rsidRPr="00F31C71">
              <w:rPr>
                <w:rFonts w:ascii="Arial" w:hAnsi="Arial" w:cs="Arial"/>
                <w:sz w:val="20"/>
                <w:szCs w:val="20"/>
                <w:lang w:eastAsia="en-GB"/>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43</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A23265" w:rsidP="00A23265">
            <w:pPr>
              <w:rPr>
                <w:rFonts w:ascii="Arial" w:hAnsi="Arial" w:cs="Arial"/>
                <w:sz w:val="20"/>
                <w:szCs w:val="20"/>
                <w:lang w:eastAsia="en-GB"/>
              </w:rPr>
            </w:pPr>
            <w:r w:rsidRPr="00F31C71">
              <w:rPr>
                <w:rFonts w:ascii="Arial" w:hAnsi="Arial" w:cs="Arial"/>
                <w:sz w:val="20"/>
                <w:szCs w:val="20"/>
                <w:lang w:eastAsia="en-GB"/>
              </w:rPr>
              <w:t>République dominicaine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2B17FD" w:rsidP="001801FA">
            <w:pPr>
              <w:rPr>
                <w:rFonts w:ascii="Arial" w:hAnsi="Arial" w:cs="Arial"/>
                <w:sz w:val="20"/>
                <w:szCs w:val="20"/>
                <w:lang w:val="en-US" w:eastAsia="en-GB"/>
              </w:rPr>
            </w:pPr>
            <w:r w:rsidRPr="006016A7">
              <w:rPr>
                <w:rFonts w:ascii="Arial" w:hAnsi="Arial" w:cs="Arial"/>
                <w:sz w:val="20"/>
                <w:szCs w:val="20"/>
                <w:lang w:val="en-US" w:eastAsia="en-GB"/>
              </w:rPr>
              <w:t xml:space="preserve">Music and dance of the Dominican merengue </w:t>
            </w:r>
            <w:r w:rsidR="009521DF" w:rsidRPr="006016A7">
              <w:rPr>
                <w:rFonts w:ascii="Arial" w:hAnsi="Arial" w:cs="Arial"/>
                <w:sz w:val="20"/>
                <w:szCs w:val="20"/>
                <w:lang w:val="en-US" w:eastAsia="en-GB"/>
              </w:rPr>
              <w:t>(01162)</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2 </w:t>
            </w:r>
            <w:r w:rsidR="002E3D7F" w:rsidRPr="00F31C71">
              <w:rPr>
                <w:rFonts w:ascii="Arial" w:hAnsi="Arial" w:cs="Arial"/>
                <w:sz w:val="20"/>
                <w:szCs w:val="20"/>
                <w:lang w:eastAsia="en-GB"/>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44</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G</w:t>
            </w:r>
            <w:r w:rsidR="00A23265" w:rsidRPr="00F31C71">
              <w:rPr>
                <w:rFonts w:ascii="Arial" w:hAnsi="Arial" w:cs="Arial"/>
                <w:sz w:val="20"/>
                <w:szCs w:val="20"/>
                <w:lang w:eastAsia="en-GB"/>
              </w:rPr>
              <w:t>é</w:t>
            </w:r>
            <w:r w:rsidRPr="00F31C71">
              <w:rPr>
                <w:rFonts w:ascii="Arial" w:hAnsi="Arial" w:cs="Arial"/>
                <w:sz w:val="20"/>
                <w:szCs w:val="20"/>
                <w:lang w:eastAsia="en-GB"/>
              </w:rPr>
              <w:t>orgi</w:t>
            </w:r>
            <w:r w:rsidR="00A23265" w:rsidRPr="00F31C71">
              <w:rPr>
                <w:rFonts w:ascii="Arial" w:hAnsi="Arial" w:cs="Arial"/>
                <w:sz w:val="20"/>
                <w:szCs w:val="20"/>
                <w:lang w:eastAsia="en-GB"/>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2B17FD" w:rsidP="001801FA">
            <w:pPr>
              <w:rPr>
                <w:rFonts w:ascii="Arial" w:hAnsi="Arial" w:cs="Arial"/>
                <w:sz w:val="20"/>
                <w:szCs w:val="20"/>
                <w:lang w:val="en-US" w:eastAsia="en-GB"/>
              </w:rPr>
            </w:pPr>
            <w:r w:rsidRPr="006016A7">
              <w:rPr>
                <w:rFonts w:ascii="Arial" w:hAnsi="Arial" w:cs="Arial"/>
                <w:sz w:val="20"/>
                <w:szCs w:val="20"/>
                <w:lang w:val="en-US" w:eastAsia="en-GB"/>
              </w:rPr>
              <w:t xml:space="preserve">Living culture of three writing systems of the Georgian alphabet </w:t>
            </w:r>
            <w:r w:rsidR="009521DF" w:rsidRPr="006016A7">
              <w:rPr>
                <w:rFonts w:ascii="Arial" w:hAnsi="Arial" w:cs="Arial"/>
                <w:sz w:val="20"/>
                <w:szCs w:val="20"/>
                <w:lang w:val="en-US" w:eastAsia="en-GB"/>
              </w:rPr>
              <w:t>(01205)</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2 </w:t>
            </w:r>
            <w:r w:rsidR="002E3D7F" w:rsidRPr="00F31C71">
              <w:rPr>
                <w:rFonts w:ascii="Arial" w:hAnsi="Arial" w:cs="Arial"/>
                <w:sz w:val="20"/>
                <w:szCs w:val="20"/>
                <w:lang w:eastAsia="en-GB"/>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45</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Nig</w:t>
            </w:r>
            <w:r w:rsidR="00C95EBC">
              <w:rPr>
                <w:rFonts w:ascii="Arial" w:hAnsi="Arial" w:cs="Arial"/>
                <w:sz w:val="20"/>
                <w:szCs w:val="20"/>
                <w:lang w:eastAsia="en-GB"/>
              </w:rPr>
              <w:t>é</w:t>
            </w:r>
            <w:r w:rsidRPr="00F31C71">
              <w:rPr>
                <w:rFonts w:ascii="Arial" w:hAnsi="Arial" w:cs="Arial"/>
                <w:sz w:val="20"/>
                <w:szCs w:val="20"/>
                <w:lang w:eastAsia="en-GB"/>
              </w:rPr>
              <w:t>ria</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2B17FD" w:rsidP="004D4382">
            <w:pPr>
              <w:rPr>
                <w:rFonts w:ascii="Arial" w:hAnsi="Arial" w:cs="Arial"/>
                <w:sz w:val="20"/>
                <w:szCs w:val="20"/>
                <w:lang w:val="en-US" w:eastAsia="en-GB"/>
              </w:rPr>
            </w:pPr>
            <w:r w:rsidRPr="006016A7">
              <w:rPr>
                <w:rFonts w:ascii="Arial" w:hAnsi="Arial" w:cs="Arial"/>
                <w:sz w:val="20"/>
                <w:szCs w:val="20"/>
                <w:lang w:val="en-US" w:eastAsia="en-GB"/>
              </w:rPr>
              <w:t xml:space="preserve">Argungu international fishing and cultural festival </w:t>
            </w:r>
            <w:r w:rsidR="009521DF" w:rsidRPr="006016A7">
              <w:rPr>
                <w:rFonts w:ascii="Arial" w:hAnsi="Arial" w:cs="Arial"/>
                <w:sz w:val="20"/>
                <w:szCs w:val="20"/>
                <w:lang w:val="en-US" w:eastAsia="en-GB"/>
              </w:rPr>
              <w:t>(00901)</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2 </w:t>
            </w:r>
            <w:r w:rsidR="002E3D7F" w:rsidRPr="00F31C71">
              <w:rPr>
                <w:rFonts w:ascii="Arial" w:hAnsi="Arial" w:cs="Arial"/>
                <w:sz w:val="20"/>
                <w:szCs w:val="20"/>
                <w:lang w:eastAsia="en-GB"/>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46</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Bulgari</w:t>
            </w:r>
            <w:r w:rsidR="00A23265" w:rsidRPr="00F31C71">
              <w:rPr>
                <w:rFonts w:ascii="Arial" w:hAnsi="Arial" w:cs="Arial"/>
                <w:sz w:val="20"/>
                <w:szCs w:val="20"/>
                <w:lang w:eastAsia="en-GB"/>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BSP</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2B17FD" w:rsidP="000D3DC5">
            <w:pPr>
              <w:rPr>
                <w:rFonts w:ascii="Arial" w:hAnsi="Arial" w:cs="Arial"/>
                <w:sz w:val="20"/>
                <w:szCs w:val="20"/>
                <w:lang w:val="en-US" w:eastAsia="en-GB"/>
              </w:rPr>
            </w:pPr>
            <w:r w:rsidRPr="006016A7">
              <w:rPr>
                <w:rFonts w:ascii="Arial" w:hAnsi="Arial" w:cs="Arial"/>
                <w:sz w:val="20"/>
                <w:szCs w:val="20"/>
                <w:lang w:val="en-US" w:eastAsia="en-GB"/>
              </w:rPr>
              <w:t xml:space="preserve">Festival of folklore in Koprivshtitsa: a system of practices for heritage presentation and transmission </w:t>
            </w:r>
            <w:r w:rsidR="009521DF" w:rsidRPr="006016A7">
              <w:rPr>
                <w:rFonts w:ascii="Arial" w:hAnsi="Arial" w:cs="Arial"/>
                <w:sz w:val="20"/>
                <w:szCs w:val="20"/>
                <w:lang w:val="en-US" w:eastAsia="en-GB"/>
              </w:rPr>
              <w:t>(00970)</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3 </w:t>
            </w:r>
            <w:r w:rsidR="002E3D7F" w:rsidRPr="00F31C71">
              <w:rPr>
                <w:rFonts w:ascii="Arial" w:hAnsi="Arial" w:cs="Arial"/>
                <w:sz w:val="20"/>
                <w:szCs w:val="20"/>
                <w:lang w:eastAsia="en-GB"/>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47</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A23265" w:rsidP="00A23265">
            <w:pPr>
              <w:rPr>
                <w:rFonts w:ascii="Arial" w:hAnsi="Arial" w:cs="Arial"/>
                <w:sz w:val="20"/>
                <w:szCs w:val="20"/>
                <w:lang w:eastAsia="en-GB"/>
              </w:rPr>
            </w:pPr>
            <w:r w:rsidRPr="00F31C71">
              <w:rPr>
                <w:rFonts w:ascii="Arial" w:hAnsi="Arial" w:cs="Arial"/>
                <w:sz w:val="20"/>
                <w:szCs w:val="20"/>
                <w:lang w:eastAsia="en-GB"/>
              </w:rPr>
              <w:t>Ho</w:t>
            </w:r>
            <w:r w:rsidR="009521DF" w:rsidRPr="00F31C71">
              <w:rPr>
                <w:rFonts w:ascii="Arial" w:hAnsi="Arial" w:cs="Arial"/>
                <w:sz w:val="20"/>
                <w:szCs w:val="20"/>
                <w:lang w:eastAsia="en-GB"/>
              </w:rPr>
              <w:t>ngr</w:t>
            </w:r>
            <w:r w:rsidRPr="00F31C71">
              <w:rPr>
                <w:rFonts w:ascii="Arial" w:hAnsi="Arial" w:cs="Arial"/>
                <w:sz w:val="20"/>
                <w:szCs w:val="20"/>
                <w:lang w:eastAsia="en-GB"/>
              </w:rPr>
              <w:t>ie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BSP</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2B17FD" w:rsidP="002457DD">
            <w:pPr>
              <w:rPr>
                <w:rFonts w:ascii="Arial" w:hAnsi="Arial" w:cs="Arial"/>
                <w:sz w:val="20"/>
                <w:szCs w:val="20"/>
                <w:lang w:val="en-US" w:eastAsia="en-GB"/>
              </w:rPr>
            </w:pPr>
            <w:r w:rsidRPr="006016A7">
              <w:rPr>
                <w:rFonts w:ascii="Arial" w:hAnsi="Arial" w:cs="Arial"/>
                <w:sz w:val="20"/>
                <w:szCs w:val="20"/>
                <w:lang w:val="en-US" w:eastAsia="en-GB"/>
              </w:rPr>
              <w:t xml:space="preserve">Safeguarding of the folk music heritage by the Kodály concept </w:t>
            </w:r>
            <w:r w:rsidR="009521DF" w:rsidRPr="006016A7">
              <w:rPr>
                <w:rFonts w:ascii="Arial" w:hAnsi="Arial" w:cs="Arial"/>
                <w:sz w:val="20"/>
                <w:szCs w:val="20"/>
                <w:lang w:val="en-US" w:eastAsia="en-GB"/>
              </w:rPr>
              <w:t>(01177)</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3 </w:t>
            </w:r>
            <w:r w:rsidR="002E3D7F" w:rsidRPr="00F31C71">
              <w:rPr>
                <w:rFonts w:ascii="Arial" w:hAnsi="Arial" w:cs="Arial"/>
                <w:sz w:val="20"/>
                <w:szCs w:val="20"/>
                <w:lang w:eastAsia="en-GB"/>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48</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Mauri</w:t>
            </w:r>
            <w:r w:rsidR="00A23265" w:rsidRPr="00F31C71">
              <w:rPr>
                <w:rFonts w:ascii="Arial" w:hAnsi="Arial" w:cs="Arial"/>
                <w:sz w:val="20"/>
                <w:szCs w:val="20"/>
                <w:lang w:eastAsia="en-GB"/>
              </w:rPr>
              <w:t>ce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2B17FD" w:rsidP="000D3DC5">
            <w:pPr>
              <w:rPr>
                <w:rFonts w:ascii="Arial" w:hAnsi="Arial" w:cs="Arial"/>
                <w:sz w:val="20"/>
                <w:szCs w:val="20"/>
                <w:lang w:val="en-US" w:eastAsia="en-GB"/>
              </w:rPr>
            </w:pPr>
            <w:r w:rsidRPr="006016A7">
              <w:rPr>
                <w:rFonts w:ascii="Arial" w:hAnsi="Arial" w:cs="Arial"/>
                <w:sz w:val="20"/>
                <w:szCs w:val="20"/>
                <w:lang w:val="en-US" w:eastAsia="en-GB"/>
              </w:rPr>
              <w:t xml:space="preserve">Bhojpuri folk songs of Mauritius, Geet-Gawai </w:t>
            </w:r>
            <w:r w:rsidR="009521DF" w:rsidRPr="006016A7">
              <w:rPr>
                <w:rFonts w:ascii="Arial" w:hAnsi="Arial" w:cs="Arial"/>
                <w:sz w:val="20"/>
                <w:szCs w:val="20"/>
                <w:lang w:val="en-US" w:eastAsia="en-GB"/>
              </w:rPr>
              <w:t>(01178)</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3 </w:t>
            </w:r>
            <w:r w:rsidR="002E3D7F" w:rsidRPr="00F31C71">
              <w:rPr>
                <w:rFonts w:ascii="Arial" w:hAnsi="Arial" w:cs="Arial"/>
                <w:sz w:val="20"/>
                <w:szCs w:val="20"/>
                <w:lang w:eastAsia="en-GB"/>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49</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Ro</w:t>
            </w:r>
            <w:r w:rsidR="00A23265" w:rsidRPr="00F31C71">
              <w:rPr>
                <w:rFonts w:ascii="Arial" w:hAnsi="Arial" w:cs="Arial"/>
                <w:sz w:val="20"/>
                <w:szCs w:val="20"/>
                <w:lang w:eastAsia="en-GB"/>
              </w:rPr>
              <w:t>u</w:t>
            </w:r>
            <w:r w:rsidRPr="00F31C71">
              <w:rPr>
                <w:rFonts w:ascii="Arial" w:hAnsi="Arial" w:cs="Arial"/>
                <w:sz w:val="20"/>
                <w:szCs w:val="20"/>
                <w:lang w:eastAsia="en-GB"/>
              </w:rPr>
              <w:t>mani</w:t>
            </w:r>
            <w:r w:rsidR="00A23265" w:rsidRPr="00F31C71">
              <w:rPr>
                <w:rFonts w:ascii="Arial" w:hAnsi="Arial" w:cs="Arial"/>
                <w:sz w:val="20"/>
                <w:szCs w:val="20"/>
                <w:lang w:eastAsia="en-GB"/>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6016A7" w:rsidRDefault="0022250C" w:rsidP="002457DD">
            <w:pPr>
              <w:rPr>
                <w:rFonts w:ascii="Arial" w:hAnsi="Arial" w:cs="Arial"/>
                <w:sz w:val="20"/>
                <w:szCs w:val="20"/>
                <w:lang w:val="en-US" w:eastAsia="en-GB"/>
              </w:rPr>
            </w:pPr>
            <w:r w:rsidRPr="006016A7">
              <w:rPr>
                <w:rFonts w:ascii="Arial" w:hAnsi="Arial" w:cs="Arial"/>
                <w:sz w:val="20"/>
                <w:szCs w:val="20"/>
                <w:lang w:val="en-US" w:eastAsia="en-GB"/>
              </w:rPr>
              <w:t>Whitsunday pilgrimage from Şumuleu Ciuc (Csiksomlyo)</w:t>
            </w:r>
            <w:r w:rsidR="009521DF" w:rsidRPr="006016A7">
              <w:rPr>
                <w:rFonts w:ascii="Arial" w:hAnsi="Arial" w:cs="Arial"/>
                <w:sz w:val="20"/>
                <w:szCs w:val="20"/>
                <w:lang w:val="en-US" w:eastAsia="en-GB"/>
              </w:rPr>
              <w:t xml:space="preserve"> (01120)</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3 </w:t>
            </w:r>
            <w:r w:rsidR="002E3D7F" w:rsidRPr="00F31C71">
              <w:rPr>
                <w:rFonts w:ascii="Arial" w:hAnsi="Arial" w:cs="Arial"/>
                <w:sz w:val="20"/>
                <w:szCs w:val="20"/>
                <w:lang w:eastAsia="en-GB"/>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50</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F31C71" w:rsidP="009521DF">
            <w:pPr>
              <w:rPr>
                <w:rFonts w:ascii="Arial" w:hAnsi="Arial" w:cs="Arial"/>
                <w:sz w:val="20"/>
                <w:szCs w:val="20"/>
                <w:lang w:eastAsia="en-GB"/>
              </w:rPr>
            </w:pPr>
            <w:r w:rsidRPr="00F31C71">
              <w:rPr>
                <w:rFonts w:ascii="Arial" w:hAnsi="Arial" w:cs="Arial"/>
                <w:sz w:val="20"/>
                <w:szCs w:val="20"/>
                <w:lang w:eastAsia="en-GB"/>
              </w:rPr>
              <w:t>Ouzbékistan</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22250C" w:rsidP="002457DD">
            <w:pPr>
              <w:rPr>
                <w:rFonts w:ascii="Arial" w:hAnsi="Arial" w:cs="Arial"/>
                <w:sz w:val="20"/>
                <w:szCs w:val="20"/>
                <w:lang w:eastAsia="en-GB"/>
              </w:rPr>
            </w:pPr>
            <w:r w:rsidRPr="00F31C71">
              <w:rPr>
                <w:rFonts w:ascii="Arial" w:hAnsi="Arial" w:cs="Arial"/>
                <w:sz w:val="20"/>
                <w:szCs w:val="20"/>
                <w:lang w:eastAsia="en-GB"/>
              </w:rPr>
              <w:t xml:space="preserve">Palov culture and tradition </w:t>
            </w:r>
            <w:r w:rsidR="009521DF" w:rsidRPr="00F31C71">
              <w:rPr>
                <w:rFonts w:ascii="Arial" w:hAnsi="Arial" w:cs="Arial"/>
                <w:sz w:val="20"/>
                <w:szCs w:val="20"/>
                <w:lang w:eastAsia="en-GB"/>
              </w:rPr>
              <w:t>(01166)</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3 </w:t>
            </w:r>
            <w:r w:rsidR="002E3D7F" w:rsidRPr="00F31C71">
              <w:rPr>
                <w:rFonts w:ascii="Arial" w:hAnsi="Arial" w:cs="Arial"/>
                <w:sz w:val="20"/>
                <w:szCs w:val="20"/>
                <w:lang w:eastAsia="en-GB"/>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51</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lang w:eastAsia="en-GB"/>
              </w:rPr>
            </w:pPr>
            <w:r w:rsidRPr="00F31C71">
              <w:rPr>
                <w:rFonts w:ascii="Arial" w:hAnsi="Arial" w:cs="Arial"/>
                <w:sz w:val="20"/>
                <w:szCs w:val="20"/>
                <w:lang w:eastAsia="en-GB"/>
              </w:rPr>
              <w:t>Venezuela (</w:t>
            </w:r>
            <w:r w:rsidR="00A23265" w:rsidRPr="00F31C71">
              <w:rPr>
                <w:rFonts w:ascii="Arial" w:hAnsi="Arial" w:cs="Arial"/>
                <w:sz w:val="20"/>
                <w:szCs w:val="20"/>
                <w:lang w:eastAsia="en-GB"/>
              </w:rPr>
              <w:t>République bolivarienne du</w:t>
            </w:r>
            <w:r w:rsidRPr="00F31C71">
              <w:rPr>
                <w:rFonts w:ascii="Arial" w:hAnsi="Arial" w:cs="Arial"/>
                <w:sz w:val="20"/>
                <w:szCs w:val="20"/>
                <w:lang w:eastAsia="en-GB"/>
              </w:rPr>
              <w:t>)</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RL</w:t>
            </w: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066A71" w:rsidRDefault="0022250C" w:rsidP="000D3DC5">
            <w:pPr>
              <w:rPr>
                <w:rFonts w:ascii="Arial" w:hAnsi="Arial" w:cs="Arial"/>
                <w:sz w:val="20"/>
                <w:szCs w:val="20"/>
                <w:lang w:val="en-US" w:eastAsia="en-GB"/>
              </w:rPr>
            </w:pPr>
            <w:r w:rsidRPr="00066A71">
              <w:rPr>
                <w:rFonts w:ascii="Arial" w:hAnsi="Arial" w:cs="Arial"/>
                <w:sz w:val="20"/>
                <w:szCs w:val="20"/>
                <w:lang w:val="en-US" w:eastAsia="en-GB"/>
              </w:rPr>
              <w:t xml:space="preserve">Carnival of El Callo, a festive representation of a memory and cultural identity </w:t>
            </w:r>
            <w:r w:rsidR="009521DF" w:rsidRPr="00066A71">
              <w:rPr>
                <w:rFonts w:ascii="Arial" w:hAnsi="Arial" w:cs="Arial"/>
                <w:sz w:val="20"/>
                <w:szCs w:val="20"/>
                <w:lang w:val="en-US" w:eastAsia="en-GB"/>
              </w:rPr>
              <w:t>(01198)</w:t>
            </w: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lang w:eastAsia="en-GB"/>
              </w:rPr>
            </w:pPr>
            <w:r w:rsidRPr="00F31C71">
              <w:rPr>
                <w:rFonts w:ascii="Arial" w:hAnsi="Arial" w:cs="Arial"/>
                <w:sz w:val="20"/>
                <w:szCs w:val="20"/>
                <w:lang w:eastAsia="en-GB"/>
              </w:rPr>
              <w:t xml:space="preserve">(iii) 3 </w:t>
            </w:r>
            <w:r w:rsidR="002E3D7F" w:rsidRPr="00F31C71">
              <w:rPr>
                <w:rFonts w:ascii="Arial" w:hAnsi="Arial" w:cs="Arial"/>
                <w:sz w:val="20"/>
                <w:szCs w:val="20"/>
                <w:lang w:eastAsia="en-GB"/>
              </w:rPr>
              <w:t>éléments inscrits</w:t>
            </w:r>
          </w:p>
        </w:tc>
      </w:tr>
      <w:tr w:rsidR="009521DF" w:rsidRPr="00F31C71" w:rsidTr="009521DF">
        <w:trPr>
          <w:cantSplit/>
        </w:trPr>
        <w:tc>
          <w:tcPr>
            <w:tcW w:w="14317" w:type="dxa"/>
            <w:gridSpan w:val="5"/>
            <w:tcBorders>
              <w:top w:val="single" w:sz="4" w:space="0" w:color="auto"/>
              <w:left w:val="nil"/>
              <w:bottom w:val="single" w:sz="4" w:space="0" w:color="auto"/>
              <w:right w:val="nil"/>
            </w:tcBorders>
            <w:tcMar>
              <w:top w:w="75" w:type="dxa"/>
              <w:left w:w="45" w:type="dxa"/>
              <w:bottom w:w="75" w:type="dxa"/>
              <w:right w:w="45" w:type="dxa"/>
            </w:tcMar>
          </w:tcPr>
          <w:p w:rsidR="009521DF" w:rsidRPr="00F31C71" w:rsidRDefault="009521DF" w:rsidP="009521DF">
            <w:pPr>
              <w:rPr>
                <w:rFonts w:ascii="Arial" w:hAnsi="Arial" w:cs="Arial"/>
                <w:b/>
                <w:sz w:val="20"/>
                <w:szCs w:val="20"/>
                <w:lang w:eastAsia="en-GB"/>
              </w:rPr>
            </w:pPr>
          </w:p>
        </w:tc>
      </w:tr>
      <w:tr w:rsidR="009521DF" w:rsidRPr="00F31C71" w:rsidTr="009521DF">
        <w:trPr>
          <w:cantSplit/>
        </w:trPr>
        <w:tc>
          <w:tcPr>
            <w:tcW w:w="14317" w:type="dxa"/>
            <w:gridSpan w:val="5"/>
            <w:tcBorders>
              <w:top w:val="single" w:sz="4" w:space="0" w:color="auto"/>
              <w:left w:val="nil"/>
              <w:bottom w:val="single" w:sz="4" w:space="0" w:color="auto"/>
              <w:right w:val="nil"/>
            </w:tcBorders>
            <w:shd w:val="pct15" w:color="auto" w:fill="auto"/>
            <w:tcMar>
              <w:top w:w="75" w:type="dxa"/>
              <w:left w:w="45" w:type="dxa"/>
              <w:bottom w:w="75" w:type="dxa"/>
              <w:right w:w="45" w:type="dxa"/>
            </w:tcMar>
            <w:hideMark/>
          </w:tcPr>
          <w:p w:rsidR="009521DF" w:rsidRPr="00F31C71" w:rsidRDefault="005D0B18" w:rsidP="00A23265">
            <w:pPr>
              <w:rPr>
                <w:rFonts w:ascii="Arial" w:hAnsi="Arial" w:cs="Arial"/>
                <w:b/>
                <w:sz w:val="20"/>
                <w:szCs w:val="20"/>
                <w:highlight w:val="yellow"/>
                <w:lang w:eastAsia="en-GB"/>
              </w:rPr>
            </w:pPr>
            <w:r w:rsidRPr="00F31C71">
              <w:rPr>
                <w:rFonts w:ascii="Arial" w:hAnsi="Arial" w:cs="Arial"/>
                <w:b/>
                <w:bCs/>
                <w:sz w:val="20"/>
                <w:szCs w:val="20"/>
                <w:lang w:eastAsia="en-GB"/>
              </w:rPr>
              <w:t>États</w:t>
            </w:r>
            <w:r w:rsidR="00A23265" w:rsidRPr="00F31C71">
              <w:rPr>
                <w:rFonts w:ascii="Arial" w:hAnsi="Arial" w:cs="Arial"/>
                <w:b/>
                <w:bCs/>
                <w:sz w:val="20"/>
                <w:szCs w:val="20"/>
                <w:lang w:eastAsia="en-GB"/>
              </w:rPr>
              <w:t xml:space="preserve"> prioritaires pour le cycle</w:t>
            </w:r>
            <w:r w:rsidR="009521DF" w:rsidRPr="00F31C71">
              <w:rPr>
                <w:rFonts w:ascii="Arial" w:hAnsi="Arial" w:cs="Arial"/>
                <w:b/>
                <w:bCs/>
                <w:sz w:val="20"/>
                <w:szCs w:val="20"/>
                <w:lang w:eastAsia="en-GB"/>
              </w:rPr>
              <w:t xml:space="preserve"> 2017</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52</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highlight w:val="yellow"/>
                <w:lang w:eastAsia="en-GB"/>
              </w:rPr>
            </w:pPr>
            <w:r w:rsidRPr="00F31C71">
              <w:rPr>
                <w:rFonts w:ascii="Arial" w:hAnsi="Arial" w:cs="Arial"/>
                <w:sz w:val="20"/>
                <w:szCs w:val="20"/>
              </w:rPr>
              <w:t>Alg</w:t>
            </w:r>
            <w:r w:rsidR="00A23265" w:rsidRPr="00F31C71">
              <w:rPr>
                <w:rFonts w:ascii="Arial" w:hAnsi="Arial" w:cs="Arial"/>
                <w:sz w:val="20"/>
                <w:szCs w:val="20"/>
              </w:rPr>
              <w:t>é</w:t>
            </w:r>
            <w:r w:rsidRPr="00F31C71">
              <w:rPr>
                <w:rFonts w:ascii="Arial" w:hAnsi="Arial" w:cs="Arial"/>
                <w:sz w:val="20"/>
                <w:szCs w:val="20"/>
              </w:rPr>
              <w:t>ri</w:t>
            </w:r>
            <w:r w:rsidR="00A23265" w:rsidRPr="00F31C71">
              <w:rPr>
                <w:rFonts w:ascii="Arial" w:hAnsi="Arial" w:cs="Arial"/>
                <w:sz w:val="20"/>
                <w:szCs w:val="20"/>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4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53</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highlight w:val="yellow"/>
                <w:lang w:eastAsia="en-GB"/>
              </w:rPr>
            </w:pPr>
            <w:r w:rsidRPr="00F31C71">
              <w:rPr>
                <w:rFonts w:ascii="Arial" w:hAnsi="Arial" w:cs="Arial"/>
                <w:sz w:val="20"/>
                <w:szCs w:val="20"/>
              </w:rPr>
              <w:t>Arm</w:t>
            </w:r>
            <w:r w:rsidR="00A23265" w:rsidRPr="00F31C71">
              <w:rPr>
                <w:rFonts w:ascii="Arial" w:hAnsi="Arial" w:cs="Arial"/>
                <w:sz w:val="20"/>
                <w:szCs w:val="20"/>
              </w:rPr>
              <w:t>é</w:t>
            </w:r>
            <w:r w:rsidRPr="00F31C71">
              <w:rPr>
                <w:rFonts w:ascii="Arial" w:hAnsi="Arial" w:cs="Arial"/>
                <w:sz w:val="20"/>
                <w:szCs w:val="20"/>
              </w:rPr>
              <w:t>ni</w:t>
            </w:r>
            <w:r w:rsidR="00A23265" w:rsidRPr="00F31C71">
              <w:rPr>
                <w:rFonts w:ascii="Arial" w:hAnsi="Arial" w:cs="Arial"/>
                <w:sz w:val="20"/>
                <w:szCs w:val="20"/>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tcPr>
          <w:p w:rsidR="009521DF" w:rsidRPr="00F31C71" w:rsidRDefault="009521DF" w:rsidP="009521DF">
            <w:pPr>
              <w:rPr>
                <w:rFonts w:ascii="Arial" w:hAnsi="Arial" w:cs="Arial"/>
                <w:sz w:val="20"/>
                <w:szCs w:val="20"/>
                <w:highlight w:val="yellow"/>
                <w:lang w:eastAsia="en-GB"/>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tcPr>
          <w:p w:rsidR="009521DF" w:rsidRPr="00F31C71" w:rsidRDefault="009521DF" w:rsidP="009521DF">
            <w:pPr>
              <w:rPr>
                <w:rFonts w:ascii="Arial" w:hAnsi="Arial" w:cs="Arial"/>
                <w:sz w:val="20"/>
                <w:szCs w:val="20"/>
                <w:highlight w:val="yellow"/>
                <w:lang w:eastAsia="en-GB"/>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4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54</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D04333">
            <w:pPr>
              <w:rPr>
                <w:rFonts w:ascii="Arial" w:hAnsi="Arial" w:cs="Arial"/>
                <w:sz w:val="20"/>
                <w:szCs w:val="20"/>
                <w:highlight w:val="yellow"/>
                <w:lang w:eastAsia="en-GB"/>
              </w:rPr>
            </w:pPr>
            <w:r w:rsidRPr="00F31C71">
              <w:rPr>
                <w:rFonts w:ascii="Arial" w:hAnsi="Arial" w:cs="Arial"/>
                <w:sz w:val="20"/>
                <w:szCs w:val="20"/>
              </w:rPr>
              <w:t>Bolivi</w:t>
            </w:r>
            <w:r w:rsidR="00A23265" w:rsidRPr="00F31C71">
              <w:rPr>
                <w:rFonts w:ascii="Arial" w:hAnsi="Arial" w:cs="Arial"/>
                <w:sz w:val="20"/>
                <w:szCs w:val="20"/>
              </w:rPr>
              <w:t>e</w:t>
            </w:r>
            <w:r w:rsidRPr="00F31C71">
              <w:rPr>
                <w:rFonts w:ascii="Arial" w:hAnsi="Arial" w:cs="Arial"/>
                <w:sz w:val="20"/>
                <w:szCs w:val="20"/>
              </w:rPr>
              <w:t xml:space="preserve"> (</w:t>
            </w:r>
            <w:r w:rsidR="00D04333">
              <w:rPr>
                <w:rFonts w:ascii="Arial" w:hAnsi="Arial" w:cs="Arial"/>
                <w:sz w:val="20"/>
                <w:szCs w:val="20"/>
              </w:rPr>
              <w:t>É</w:t>
            </w:r>
            <w:r w:rsidR="00F31C71" w:rsidRPr="00F31C71">
              <w:rPr>
                <w:rFonts w:ascii="Arial" w:hAnsi="Arial" w:cs="Arial"/>
                <w:sz w:val="20"/>
                <w:szCs w:val="20"/>
              </w:rPr>
              <w:t>tat</w:t>
            </w:r>
            <w:r w:rsidR="00A23265" w:rsidRPr="00F31C71">
              <w:rPr>
                <w:rFonts w:ascii="Arial" w:hAnsi="Arial" w:cs="Arial"/>
                <w:sz w:val="20"/>
                <w:szCs w:val="20"/>
              </w:rPr>
              <w:t xml:space="preserve"> plurinational de</w:t>
            </w:r>
            <w:r w:rsidRPr="00F31C71">
              <w:rPr>
                <w:rFonts w:ascii="Arial" w:hAnsi="Arial" w:cs="Arial"/>
                <w:sz w:val="20"/>
                <w:szCs w:val="20"/>
              </w:rPr>
              <w:t>)</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tcPr>
          <w:p w:rsidR="009521DF" w:rsidRPr="00F31C71" w:rsidRDefault="009521DF" w:rsidP="009521DF">
            <w:pPr>
              <w:rPr>
                <w:rFonts w:ascii="Arial" w:hAnsi="Arial" w:cs="Arial"/>
                <w:sz w:val="20"/>
                <w:szCs w:val="20"/>
                <w:highlight w:val="yellow"/>
                <w:lang w:eastAsia="en-GB"/>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tcPr>
          <w:p w:rsidR="009521DF" w:rsidRPr="00F31C71" w:rsidRDefault="009521DF" w:rsidP="009521DF">
            <w:pPr>
              <w:rPr>
                <w:rFonts w:ascii="Arial" w:hAnsi="Arial" w:cs="Arial"/>
                <w:sz w:val="20"/>
                <w:szCs w:val="20"/>
                <w:highlight w:val="yellow"/>
                <w:lang w:eastAsia="en-GB"/>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4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55</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highlight w:val="yellow"/>
                <w:lang w:eastAsia="en-GB"/>
              </w:rPr>
            </w:pPr>
            <w:r w:rsidRPr="00F31C71">
              <w:rPr>
                <w:rFonts w:ascii="Arial" w:hAnsi="Arial" w:cs="Arial"/>
                <w:sz w:val="20"/>
                <w:szCs w:val="20"/>
              </w:rPr>
              <w:t>M</w:t>
            </w:r>
            <w:r w:rsidR="00A23265" w:rsidRPr="00F31C71">
              <w:rPr>
                <w:rFonts w:ascii="Arial" w:hAnsi="Arial" w:cs="Arial"/>
                <w:sz w:val="20"/>
                <w:szCs w:val="20"/>
              </w:rPr>
              <w:t>a</w:t>
            </w:r>
            <w:r w:rsidRPr="00F31C71">
              <w:rPr>
                <w:rFonts w:ascii="Arial" w:hAnsi="Arial" w:cs="Arial"/>
                <w:sz w:val="20"/>
                <w:szCs w:val="20"/>
              </w:rPr>
              <w:t>roc</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tcPr>
          <w:p w:rsidR="009521DF" w:rsidRPr="00F31C71" w:rsidRDefault="009521DF" w:rsidP="009521DF">
            <w:pPr>
              <w:rPr>
                <w:rFonts w:ascii="Arial" w:hAnsi="Arial" w:cs="Arial"/>
                <w:sz w:val="20"/>
                <w:szCs w:val="20"/>
                <w:highlight w:val="yellow"/>
                <w:lang w:eastAsia="en-GB"/>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tcPr>
          <w:p w:rsidR="009521DF" w:rsidRPr="00F31C71" w:rsidRDefault="009521DF" w:rsidP="009521DF">
            <w:pPr>
              <w:rPr>
                <w:rFonts w:ascii="Arial" w:hAnsi="Arial" w:cs="Arial"/>
                <w:sz w:val="20"/>
                <w:szCs w:val="20"/>
                <w:highlight w:val="yellow"/>
                <w:lang w:eastAsia="en-GB"/>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4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56</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A23265" w:rsidP="00A23265">
            <w:pPr>
              <w:rPr>
                <w:rFonts w:ascii="Arial" w:hAnsi="Arial" w:cs="Arial"/>
                <w:sz w:val="20"/>
                <w:szCs w:val="20"/>
                <w:highlight w:val="yellow"/>
                <w:lang w:eastAsia="en-GB"/>
              </w:rPr>
            </w:pPr>
            <w:r w:rsidRPr="00F31C71">
              <w:rPr>
                <w:rFonts w:ascii="Arial" w:hAnsi="Arial" w:cs="Arial"/>
                <w:sz w:val="20"/>
                <w:szCs w:val="20"/>
              </w:rPr>
              <w:t>Italie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5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57</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A23265">
            <w:pPr>
              <w:rPr>
                <w:rFonts w:ascii="Arial" w:hAnsi="Arial" w:cs="Arial"/>
                <w:sz w:val="20"/>
                <w:szCs w:val="20"/>
                <w:highlight w:val="yellow"/>
                <w:lang w:eastAsia="en-GB"/>
              </w:rPr>
            </w:pPr>
            <w:r w:rsidRPr="00F31C71">
              <w:rPr>
                <w:rFonts w:ascii="Arial" w:hAnsi="Arial" w:cs="Arial"/>
                <w:sz w:val="20"/>
                <w:szCs w:val="20"/>
              </w:rPr>
              <w:t>Azerba</w:t>
            </w:r>
            <w:r w:rsidR="00A23265" w:rsidRPr="00F31C71">
              <w:rPr>
                <w:rFonts w:ascii="Arial" w:hAnsi="Arial" w:cs="Arial"/>
                <w:sz w:val="20"/>
                <w:szCs w:val="20"/>
              </w:rPr>
              <w:t>ïd</w:t>
            </w:r>
            <w:r w:rsidRPr="00F31C71">
              <w:rPr>
                <w:rFonts w:ascii="Arial" w:hAnsi="Arial" w:cs="Arial"/>
                <w:sz w:val="20"/>
                <w:szCs w:val="20"/>
              </w:rPr>
              <w:t>jan</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6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58</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2E3D7F">
            <w:pPr>
              <w:rPr>
                <w:rFonts w:ascii="Arial" w:hAnsi="Arial" w:cs="Arial"/>
                <w:sz w:val="20"/>
                <w:szCs w:val="20"/>
                <w:highlight w:val="yellow"/>
                <w:lang w:eastAsia="en-GB"/>
              </w:rPr>
            </w:pPr>
            <w:r w:rsidRPr="00F31C71">
              <w:rPr>
                <w:rFonts w:ascii="Arial" w:hAnsi="Arial" w:cs="Arial"/>
                <w:sz w:val="20"/>
                <w:szCs w:val="20"/>
              </w:rPr>
              <w:t>Indon</w:t>
            </w:r>
            <w:r w:rsidR="002E3D7F" w:rsidRPr="00F31C71">
              <w:rPr>
                <w:rFonts w:ascii="Arial" w:hAnsi="Arial" w:cs="Arial"/>
                <w:sz w:val="20"/>
                <w:szCs w:val="20"/>
              </w:rPr>
              <w:t>é</w:t>
            </w:r>
            <w:r w:rsidRPr="00F31C71">
              <w:rPr>
                <w:rFonts w:ascii="Arial" w:hAnsi="Arial" w:cs="Arial"/>
                <w:sz w:val="20"/>
                <w:szCs w:val="20"/>
              </w:rPr>
              <w:t>si</w:t>
            </w:r>
            <w:r w:rsidR="002E3D7F" w:rsidRPr="00F31C71">
              <w:rPr>
                <w:rFonts w:ascii="Arial" w:hAnsi="Arial" w:cs="Arial"/>
                <w:sz w:val="20"/>
                <w:szCs w:val="20"/>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7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59</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2E3D7F">
            <w:pPr>
              <w:rPr>
                <w:rFonts w:ascii="Arial" w:hAnsi="Arial" w:cs="Arial"/>
                <w:sz w:val="20"/>
                <w:szCs w:val="20"/>
                <w:highlight w:val="yellow"/>
                <w:lang w:eastAsia="en-GB"/>
              </w:rPr>
            </w:pPr>
            <w:r w:rsidRPr="00F31C71">
              <w:rPr>
                <w:rFonts w:ascii="Arial" w:hAnsi="Arial" w:cs="Arial"/>
                <w:sz w:val="20"/>
                <w:szCs w:val="20"/>
              </w:rPr>
              <w:t>P</w:t>
            </w:r>
            <w:r w:rsidR="002E3D7F" w:rsidRPr="00F31C71">
              <w:rPr>
                <w:rFonts w:ascii="Arial" w:hAnsi="Arial" w:cs="Arial"/>
                <w:sz w:val="20"/>
                <w:szCs w:val="20"/>
              </w:rPr>
              <w:t>é</w:t>
            </w:r>
            <w:r w:rsidRPr="00F31C71">
              <w:rPr>
                <w:rFonts w:ascii="Arial" w:hAnsi="Arial" w:cs="Arial"/>
                <w:sz w:val="20"/>
                <w:szCs w:val="20"/>
              </w:rPr>
              <w:t>r</w:t>
            </w:r>
            <w:r w:rsidR="002E3D7F" w:rsidRPr="00F31C71">
              <w:rPr>
                <w:rFonts w:ascii="Arial" w:hAnsi="Arial" w:cs="Arial"/>
                <w:sz w:val="20"/>
                <w:szCs w:val="20"/>
              </w:rPr>
              <w:t>o</w:t>
            </w:r>
            <w:r w:rsidRPr="00F31C71">
              <w:rPr>
                <w:rFonts w:ascii="Arial" w:hAnsi="Arial" w:cs="Arial"/>
                <w:sz w:val="20"/>
                <w:szCs w:val="20"/>
              </w:rPr>
              <w:t>u</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7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60</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2E3D7F">
            <w:pPr>
              <w:rPr>
                <w:rFonts w:ascii="Arial" w:hAnsi="Arial" w:cs="Arial"/>
                <w:sz w:val="20"/>
                <w:szCs w:val="20"/>
                <w:highlight w:val="yellow"/>
                <w:lang w:eastAsia="en-GB"/>
              </w:rPr>
            </w:pPr>
            <w:r w:rsidRPr="00F31C71">
              <w:rPr>
                <w:rFonts w:ascii="Arial" w:hAnsi="Arial" w:cs="Arial"/>
                <w:sz w:val="20"/>
                <w:szCs w:val="20"/>
              </w:rPr>
              <w:t>Br</w:t>
            </w:r>
            <w:r w:rsidR="002E3D7F" w:rsidRPr="00F31C71">
              <w:rPr>
                <w:rFonts w:ascii="Arial" w:hAnsi="Arial" w:cs="Arial"/>
                <w:sz w:val="20"/>
                <w:szCs w:val="20"/>
              </w:rPr>
              <w:t>és</w:t>
            </w:r>
            <w:r w:rsidRPr="00F31C71">
              <w:rPr>
                <w:rFonts w:ascii="Arial" w:hAnsi="Arial" w:cs="Arial"/>
                <w:sz w:val="20"/>
                <w:szCs w:val="20"/>
              </w:rPr>
              <w:t>il</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8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61</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2E3D7F">
            <w:pPr>
              <w:rPr>
                <w:rFonts w:ascii="Arial" w:hAnsi="Arial" w:cs="Arial"/>
                <w:sz w:val="20"/>
                <w:szCs w:val="20"/>
                <w:highlight w:val="yellow"/>
                <w:lang w:eastAsia="en-GB"/>
              </w:rPr>
            </w:pPr>
            <w:r w:rsidRPr="00F31C71">
              <w:rPr>
                <w:rFonts w:ascii="Arial" w:hAnsi="Arial" w:cs="Arial"/>
                <w:sz w:val="20"/>
                <w:szCs w:val="20"/>
              </w:rPr>
              <w:t>Colombi</w:t>
            </w:r>
            <w:r w:rsidR="002E3D7F" w:rsidRPr="00F31C71">
              <w:rPr>
                <w:rFonts w:ascii="Arial" w:hAnsi="Arial" w:cs="Arial"/>
                <w:sz w:val="20"/>
                <w:szCs w:val="20"/>
              </w:rPr>
              <w:t>e</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8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62</w:t>
            </w:r>
          </w:p>
        </w:tc>
        <w:tc>
          <w:tcPr>
            <w:tcW w:w="3118" w:type="dxa"/>
            <w:tcBorders>
              <w:top w:val="single" w:sz="4" w:space="0" w:color="auto"/>
              <w:left w:val="nil"/>
              <w:bottom w:val="single" w:sz="4" w:space="0" w:color="auto"/>
              <w:right w:val="nil"/>
            </w:tcBorders>
            <w:tcMar>
              <w:top w:w="0" w:type="dxa"/>
              <w:left w:w="28" w:type="dxa"/>
              <w:bottom w:w="15" w:type="dxa"/>
              <w:right w:w="28" w:type="dxa"/>
            </w:tcMar>
            <w:hideMark/>
          </w:tcPr>
          <w:p w:rsidR="009521DF" w:rsidRPr="00F31C71" w:rsidRDefault="009521DF" w:rsidP="002E3D7F">
            <w:pPr>
              <w:rPr>
                <w:rFonts w:ascii="Arial" w:hAnsi="Arial" w:cs="Arial"/>
                <w:sz w:val="20"/>
                <w:szCs w:val="20"/>
                <w:highlight w:val="yellow"/>
                <w:lang w:eastAsia="en-GB"/>
              </w:rPr>
            </w:pPr>
            <w:r w:rsidRPr="00F31C71">
              <w:rPr>
                <w:rFonts w:ascii="Arial" w:hAnsi="Arial" w:cs="Arial"/>
                <w:sz w:val="20"/>
                <w:szCs w:val="20"/>
              </w:rPr>
              <w:t>Iran (</w:t>
            </w:r>
            <w:r w:rsidR="002E3D7F" w:rsidRPr="00F31C71">
              <w:rPr>
                <w:rFonts w:ascii="Arial" w:hAnsi="Arial" w:cs="Arial"/>
                <w:sz w:val="20"/>
                <w:szCs w:val="20"/>
              </w:rPr>
              <w:t>République i</w:t>
            </w:r>
            <w:r w:rsidRPr="00F31C71">
              <w:rPr>
                <w:rFonts w:ascii="Arial" w:hAnsi="Arial" w:cs="Arial"/>
                <w:sz w:val="20"/>
                <w:szCs w:val="20"/>
              </w:rPr>
              <w:t>slami</w:t>
            </w:r>
            <w:r w:rsidR="002E3D7F" w:rsidRPr="00F31C71">
              <w:rPr>
                <w:rFonts w:ascii="Arial" w:hAnsi="Arial" w:cs="Arial"/>
                <w:sz w:val="20"/>
                <w:szCs w:val="20"/>
              </w:rPr>
              <w:t>que d’</w:t>
            </w:r>
            <w:r w:rsidRPr="00F31C71">
              <w:rPr>
                <w:rFonts w:ascii="Arial" w:hAnsi="Arial" w:cs="Arial"/>
                <w:sz w:val="20"/>
                <w:szCs w:val="20"/>
              </w:rPr>
              <w:t>)</w:t>
            </w:r>
          </w:p>
        </w:tc>
        <w:tc>
          <w:tcPr>
            <w:tcW w:w="709" w:type="dxa"/>
            <w:tcBorders>
              <w:top w:val="single" w:sz="4" w:space="0" w:color="auto"/>
              <w:left w:val="nil"/>
              <w:bottom w:val="single" w:sz="4" w:space="0" w:color="auto"/>
              <w:right w:val="nil"/>
            </w:tcBorders>
            <w:noWrap/>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7513"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Calibri" w:eastAsia="SimSun" w:hAnsi="Calibri"/>
                <w:sz w:val="20"/>
                <w:szCs w:val="20"/>
              </w:rPr>
            </w:pPr>
          </w:p>
        </w:tc>
        <w:tc>
          <w:tcPr>
            <w:tcW w:w="2527" w:type="dxa"/>
            <w:tcBorders>
              <w:top w:val="single" w:sz="4" w:space="0" w:color="auto"/>
              <w:left w:val="nil"/>
              <w:bottom w:val="single" w:sz="4" w:space="0" w:color="auto"/>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9 </w:t>
            </w:r>
            <w:r w:rsidR="002E3D7F" w:rsidRPr="00F31C71">
              <w:rPr>
                <w:rFonts w:ascii="Arial" w:hAnsi="Arial" w:cs="Arial"/>
                <w:sz w:val="20"/>
                <w:szCs w:val="20"/>
              </w:rPr>
              <w:t>éléments inscrits</w:t>
            </w:r>
          </w:p>
        </w:tc>
      </w:tr>
      <w:tr w:rsidR="009521DF" w:rsidRPr="00F31C71" w:rsidTr="009521DF">
        <w:trPr>
          <w:cantSplit/>
        </w:trPr>
        <w:tc>
          <w:tcPr>
            <w:tcW w:w="450" w:type="dxa"/>
            <w:tcBorders>
              <w:top w:val="single" w:sz="4" w:space="0" w:color="auto"/>
              <w:left w:val="nil"/>
              <w:bottom w:val="nil"/>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63</w:t>
            </w:r>
          </w:p>
        </w:tc>
        <w:tc>
          <w:tcPr>
            <w:tcW w:w="3118" w:type="dxa"/>
            <w:tcBorders>
              <w:top w:val="single" w:sz="4" w:space="0" w:color="auto"/>
              <w:left w:val="nil"/>
              <w:bottom w:val="nil"/>
              <w:right w:val="nil"/>
            </w:tcBorders>
            <w:tcMar>
              <w:top w:w="0" w:type="dxa"/>
              <w:left w:w="28" w:type="dxa"/>
              <w:bottom w:w="15" w:type="dxa"/>
              <w:right w:w="28" w:type="dxa"/>
            </w:tcMar>
            <w:hideMark/>
          </w:tcPr>
          <w:p w:rsidR="009521DF" w:rsidRPr="00F31C71" w:rsidRDefault="009521DF" w:rsidP="002E3D7F">
            <w:pPr>
              <w:rPr>
                <w:rFonts w:ascii="Arial" w:hAnsi="Arial" w:cs="Arial"/>
                <w:sz w:val="20"/>
                <w:szCs w:val="20"/>
                <w:highlight w:val="yellow"/>
                <w:lang w:eastAsia="en-GB"/>
              </w:rPr>
            </w:pPr>
            <w:r w:rsidRPr="00F31C71">
              <w:rPr>
                <w:rFonts w:ascii="Arial" w:hAnsi="Arial" w:cs="Arial"/>
                <w:sz w:val="20"/>
                <w:szCs w:val="20"/>
              </w:rPr>
              <w:t>Mongoli</w:t>
            </w:r>
            <w:r w:rsidR="002E3D7F" w:rsidRPr="00F31C71">
              <w:rPr>
                <w:rFonts w:ascii="Arial" w:hAnsi="Arial" w:cs="Arial"/>
                <w:sz w:val="20"/>
                <w:szCs w:val="20"/>
              </w:rPr>
              <w:t>e</w:t>
            </w:r>
          </w:p>
        </w:tc>
        <w:tc>
          <w:tcPr>
            <w:tcW w:w="709" w:type="dxa"/>
            <w:tcBorders>
              <w:top w:val="single" w:sz="4" w:space="0" w:color="auto"/>
              <w:left w:val="nil"/>
              <w:bottom w:val="nil"/>
              <w:right w:val="nil"/>
            </w:tcBorders>
            <w:noWrap/>
            <w:tcMar>
              <w:top w:w="75" w:type="dxa"/>
              <w:left w:w="45" w:type="dxa"/>
              <w:bottom w:w="75" w:type="dxa"/>
              <w:right w:w="45" w:type="dxa"/>
            </w:tcMar>
          </w:tcPr>
          <w:p w:rsidR="009521DF" w:rsidRPr="00F31C71" w:rsidRDefault="009521DF" w:rsidP="009521DF">
            <w:pPr>
              <w:rPr>
                <w:rFonts w:ascii="Arial" w:hAnsi="Arial" w:cs="Arial"/>
                <w:sz w:val="20"/>
                <w:szCs w:val="20"/>
                <w:highlight w:val="yellow"/>
                <w:lang w:eastAsia="en-GB"/>
              </w:rPr>
            </w:pPr>
          </w:p>
        </w:tc>
        <w:tc>
          <w:tcPr>
            <w:tcW w:w="7513" w:type="dxa"/>
            <w:tcBorders>
              <w:top w:val="single" w:sz="4" w:space="0" w:color="auto"/>
              <w:left w:val="nil"/>
              <w:bottom w:val="nil"/>
              <w:right w:val="nil"/>
            </w:tcBorders>
            <w:tcMar>
              <w:top w:w="75" w:type="dxa"/>
              <w:left w:w="45" w:type="dxa"/>
              <w:bottom w:w="75" w:type="dxa"/>
              <w:right w:w="45" w:type="dxa"/>
            </w:tcMar>
          </w:tcPr>
          <w:p w:rsidR="009521DF" w:rsidRPr="00F31C71" w:rsidRDefault="009521DF" w:rsidP="009521DF">
            <w:pPr>
              <w:rPr>
                <w:rFonts w:ascii="Arial" w:hAnsi="Arial" w:cs="Arial"/>
                <w:sz w:val="20"/>
                <w:szCs w:val="20"/>
                <w:highlight w:val="yellow"/>
                <w:lang w:eastAsia="en-GB"/>
              </w:rPr>
            </w:pPr>
          </w:p>
        </w:tc>
        <w:tc>
          <w:tcPr>
            <w:tcW w:w="2527" w:type="dxa"/>
            <w:tcBorders>
              <w:top w:val="single" w:sz="4" w:space="0" w:color="auto"/>
              <w:left w:val="nil"/>
              <w:bottom w:val="nil"/>
              <w:right w:val="nil"/>
            </w:tcBorders>
            <w:tcMar>
              <w:top w:w="75" w:type="dxa"/>
              <w:left w:w="45" w:type="dxa"/>
              <w:bottom w:w="75" w:type="dxa"/>
              <w:right w:w="45" w:type="dxa"/>
            </w:tcMar>
            <w:hideMark/>
          </w:tcPr>
          <w:p w:rsidR="009521DF" w:rsidRPr="00F31C71" w:rsidRDefault="009521DF" w:rsidP="009521DF">
            <w:pPr>
              <w:rPr>
                <w:rFonts w:ascii="Arial" w:hAnsi="Arial" w:cs="Arial"/>
                <w:sz w:val="20"/>
                <w:szCs w:val="20"/>
                <w:highlight w:val="yellow"/>
                <w:lang w:eastAsia="en-GB"/>
              </w:rPr>
            </w:pPr>
            <w:r w:rsidRPr="00F31C71">
              <w:rPr>
                <w:rFonts w:ascii="Arial" w:hAnsi="Arial" w:cs="Arial"/>
                <w:sz w:val="20"/>
                <w:szCs w:val="20"/>
              </w:rPr>
              <w:t xml:space="preserve">11 </w:t>
            </w:r>
            <w:r w:rsidR="002E3D7F" w:rsidRPr="00F31C71">
              <w:rPr>
                <w:rFonts w:ascii="Arial" w:hAnsi="Arial" w:cs="Arial"/>
                <w:sz w:val="20"/>
                <w:szCs w:val="20"/>
              </w:rPr>
              <w:t>éléments inscrits</w:t>
            </w:r>
          </w:p>
        </w:tc>
      </w:tr>
    </w:tbl>
    <w:p w:rsidR="002E139A" w:rsidRPr="00F31C71" w:rsidRDefault="002E139A" w:rsidP="009521DF">
      <w:pPr>
        <w:pStyle w:val="COMParaDecision"/>
        <w:numPr>
          <w:ilvl w:val="0"/>
          <w:numId w:val="0"/>
        </w:numPr>
        <w:jc w:val="left"/>
        <w:rPr>
          <w:u w:val="none"/>
        </w:rPr>
      </w:pPr>
    </w:p>
    <w:sectPr w:rsidR="002E139A" w:rsidRPr="00F31C71" w:rsidSect="00F31C71">
      <w:pgSz w:w="16838" w:h="11906" w:orient="landscape" w:code="9"/>
      <w:pgMar w:top="851" w:right="1670" w:bottom="851" w:left="851"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739" w:rsidRDefault="00374739" w:rsidP="00655736">
      <w:r>
        <w:separator/>
      </w:r>
    </w:p>
    <w:p w:rsidR="00374739" w:rsidRDefault="00374739"/>
    <w:p w:rsidR="00374739" w:rsidRDefault="00374739" w:rsidP="002E58D4"/>
    <w:p w:rsidR="00374739" w:rsidRDefault="00374739" w:rsidP="002E58D4"/>
    <w:p w:rsidR="00374739" w:rsidRDefault="00374739" w:rsidP="002E58D4"/>
  </w:endnote>
  <w:endnote w:type="continuationSeparator" w:id="0">
    <w:p w:rsidR="00374739" w:rsidRDefault="00374739" w:rsidP="00655736">
      <w:r>
        <w:continuationSeparator/>
      </w:r>
    </w:p>
    <w:p w:rsidR="00374739" w:rsidRDefault="00374739"/>
    <w:p w:rsidR="00374739" w:rsidRDefault="00374739" w:rsidP="002E58D4"/>
    <w:p w:rsidR="00374739" w:rsidRDefault="00374739" w:rsidP="002E58D4"/>
    <w:p w:rsidR="00374739" w:rsidRDefault="00374739"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739" w:rsidRDefault="00374739" w:rsidP="002E58D4">
      <w:r>
        <w:separator/>
      </w:r>
    </w:p>
  </w:footnote>
  <w:footnote w:type="continuationSeparator" w:id="0">
    <w:p w:rsidR="00374739" w:rsidRDefault="00374739" w:rsidP="00655736">
      <w:r>
        <w:continuationSeparator/>
      </w:r>
    </w:p>
    <w:p w:rsidR="00374739" w:rsidRDefault="00374739"/>
    <w:p w:rsidR="00374739" w:rsidRDefault="00374739" w:rsidP="002E58D4"/>
    <w:p w:rsidR="00374739" w:rsidRDefault="00374739" w:rsidP="002E58D4"/>
    <w:p w:rsidR="00374739" w:rsidRDefault="00374739" w:rsidP="002E58D4"/>
  </w:footnote>
  <w:footnote w:id="1">
    <w:p w:rsidR="00374739" w:rsidRPr="001A070E" w:rsidRDefault="00374739" w:rsidP="00FD1C98">
      <w:pPr>
        <w:pStyle w:val="FootnoteText"/>
        <w:tabs>
          <w:tab w:val="left" w:pos="284"/>
        </w:tabs>
        <w:rPr>
          <w:rFonts w:ascii="Arial" w:hAnsi="Arial" w:cs="Arial"/>
          <w:sz w:val="18"/>
          <w:szCs w:val="18"/>
        </w:rPr>
      </w:pPr>
      <w:r w:rsidRPr="001A070E">
        <w:rPr>
          <w:rFonts w:ascii="Arial" w:hAnsi="Arial" w:cs="Arial"/>
          <w:snapToGrid w:val="0"/>
          <w:sz w:val="18"/>
          <w:szCs w:val="18"/>
          <w:lang w:val="en-GB" w:eastAsia="en-US"/>
        </w:rPr>
        <w:footnoteRef/>
      </w:r>
      <w:r w:rsidR="001A070E">
        <w:rPr>
          <w:rFonts w:ascii="Arial" w:hAnsi="Arial" w:cs="Arial"/>
          <w:snapToGrid w:val="0"/>
          <w:sz w:val="18"/>
          <w:szCs w:val="18"/>
          <w:lang w:val="en-GB" w:eastAsia="en-US"/>
        </w:rPr>
        <w:t>.</w:t>
      </w:r>
      <w:r w:rsidRPr="001A070E">
        <w:rPr>
          <w:rFonts w:ascii="Arial" w:hAnsi="Arial" w:cs="Arial"/>
          <w:snapToGrid w:val="0"/>
          <w:sz w:val="18"/>
          <w:szCs w:val="18"/>
          <w:lang w:val="en-GB" w:eastAsia="en-US"/>
        </w:rPr>
        <w:tab/>
      </w:r>
      <w:hyperlink r:id="rId1" w:history="1">
        <w:r w:rsidRPr="001A070E">
          <w:rPr>
            <w:rStyle w:val="Hyperlink"/>
            <w:rFonts w:ascii="Arial" w:hAnsi="Arial" w:cs="Arial"/>
            <w:snapToGrid w:val="0"/>
            <w:sz w:val="18"/>
            <w:szCs w:val="18"/>
            <w:lang w:eastAsia="en-US"/>
          </w:rPr>
          <w:t>http://www.unesco.org/culture/ich/index.php?lg=en&amp;pg=00773</w:t>
        </w:r>
      </w:hyperlink>
    </w:p>
  </w:footnote>
  <w:footnote w:id="2">
    <w:p w:rsidR="00374739" w:rsidRPr="001A070E" w:rsidRDefault="00374739" w:rsidP="0080362D">
      <w:pPr>
        <w:pStyle w:val="FootnoteText"/>
        <w:tabs>
          <w:tab w:val="left" w:pos="284"/>
        </w:tabs>
        <w:ind w:left="284" w:hanging="284"/>
        <w:jc w:val="both"/>
        <w:rPr>
          <w:rFonts w:ascii="Arial" w:hAnsi="Arial" w:cs="Arial"/>
          <w:sz w:val="18"/>
          <w:szCs w:val="18"/>
        </w:rPr>
      </w:pPr>
      <w:r w:rsidRPr="001A070E">
        <w:rPr>
          <w:rFonts w:ascii="Arial" w:hAnsi="Arial" w:cs="Arial"/>
          <w:sz w:val="18"/>
          <w:szCs w:val="18"/>
        </w:rPr>
        <w:footnoteRef/>
      </w:r>
      <w:r w:rsidR="001A070E">
        <w:rPr>
          <w:rFonts w:ascii="Arial" w:hAnsi="Arial" w:cs="Arial"/>
          <w:sz w:val="18"/>
          <w:szCs w:val="18"/>
        </w:rPr>
        <w:t>.</w:t>
      </w:r>
      <w:r w:rsidRPr="001A070E">
        <w:rPr>
          <w:rFonts w:ascii="Arial" w:hAnsi="Arial" w:cs="Arial"/>
          <w:sz w:val="18"/>
          <w:szCs w:val="18"/>
        </w:rPr>
        <w:tab/>
        <w:t>Les chiffres indiqués pour 2011–2016 correspondent au nombre de dossiers soumis et traités par le Secrétariat, alors que les chiffres pour 2017–2018 sont prévisionnels. En réalité, au cours de chaque cycle le Secrétariat traite plus de dossiers que le Comité n’a finalement à en examiner, du fait que certains restent incomplets ou sont retirés par les États.</w:t>
      </w:r>
    </w:p>
  </w:footnote>
  <w:footnote w:id="3">
    <w:p w:rsidR="00374739" w:rsidRPr="001A070E" w:rsidRDefault="00374739" w:rsidP="00393517">
      <w:pPr>
        <w:pStyle w:val="FootnoteText"/>
        <w:tabs>
          <w:tab w:val="left" w:pos="284"/>
        </w:tabs>
        <w:ind w:left="284" w:hanging="284"/>
        <w:jc w:val="both"/>
        <w:rPr>
          <w:rFonts w:ascii="Arial" w:hAnsi="Arial" w:cs="Arial"/>
          <w:sz w:val="18"/>
          <w:szCs w:val="18"/>
        </w:rPr>
      </w:pPr>
      <w:r w:rsidRPr="001A070E">
        <w:rPr>
          <w:rFonts w:ascii="Arial" w:hAnsi="Arial" w:cs="Arial"/>
          <w:sz w:val="18"/>
          <w:szCs w:val="18"/>
          <w:lang w:val="en-GB"/>
        </w:rPr>
        <w:footnoteRef/>
      </w:r>
      <w:r w:rsidR="001A070E">
        <w:rPr>
          <w:rFonts w:ascii="Arial" w:hAnsi="Arial" w:cs="Arial"/>
          <w:sz w:val="18"/>
          <w:szCs w:val="18"/>
        </w:rPr>
        <w:t>.</w:t>
      </w:r>
      <w:r w:rsidRPr="001A070E">
        <w:rPr>
          <w:rFonts w:ascii="Arial" w:hAnsi="Arial" w:cs="Arial"/>
          <w:sz w:val="18"/>
          <w:szCs w:val="18"/>
        </w:rPr>
        <w:tab/>
        <w:t>L’une des six candidatures pour la Liste de sauvegarde urgente soumises pour le cycle 2016 combine une candidature et une demande d’assistance internationale (ICH-01bis).</w:t>
      </w:r>
    </w:p>
  </w:footnote>
  <w:footnote w:id="4">
    <w:p w:rsidR="00374739" w:rsidRPr="001A070E" w:rsidRDefault="00374739" w:rsidP="00393517">
      <w:pPr>
        <w:pStyle w:val="FootnoteText"/>
        <w:tabs>
          <w:tab w:val="left" w:pos="284"/>
        </w:tabs>
        <w:ind w:left="284" w:hanging="284"/>
        <w:jc w:val="both"/>
        <w:rPr>
          <w:rFonts w:ascii="Arial" w:hAnsi="Arial" w:cs="Arial"/>
          <w:sz w:val="18"/>
          <w:szCs w:val="18"/>
        </w:rPr>
      </w:pPr>
      <w:r w:rsidRPr="001A070E">
        <w:rPr>
          <w:rFonts w:ascii="Arial" w:hAnsi="Arial" w:cs="Arial"/>
          <w:sz w:val="18"/>
          <w:szCs w:val="18"/>
        </w:rPr>
        <w:t>4</w:t>
      </w:r>
      <w:r w:rsidR="001A070E">
        <w:rPr>
          <w:rFonts w:ascii="Arial" w:hAnsi="Arial" w:cs="Arial"/>
          <w:sz w:val="18"/>
          <w:szCs w:val="18"/>
        </w:rPr>
        <w:t>.</w:t>
      </w:r>
      <w:r w:rsidRPr="001A070E">
        <w:rPr>
          <w:rFonts w:ascii="Arial" w:hAnsi="Arial" w:cs="Arial"/>
          <w:sz w:val="18"/>
          <w:szCs w:val="18"/>
        </w:rPr>
        <w:tab/>
        <w:t>À partir de 2014, le Comité a décidé d’examiner les demandes d’accréditation tous les deux ans, avant les sessions de l’Assemblée générale qui doit se prononcer sur l’accréditation des ONG.</w:t>
      </w:r>
    </w:p>
  </w:footnote>
  <w:footnote w:id="5">
    <w:p w:rsidR="00374739" w:rsidRPr="00052280" w:rsidRDefault="00374739" w:rsidP="009521DF">
      <w:pPr>
        <w:pStyle w:val="FootnoteText"/>
        <w:tabs>
          <w:tab w:val="left" w:pos="284"/>
        </w:tabs>
        <w:rPr>
          <w:rFonts w:ascii="Arial" w:hAnsi="Arial" w:cs="Arial"/>
          <w:sz w:val="18"/>
          <w:szCs w:val="18"/>
        </w:rPr>
      </w:pPr>
      <w:r w:rsidRPr="001A070E">
        <w:rPr>
          <w:rFonts w:ascii="Arial" w:hAnsi="Arial" w:cs="Arial"/>
          <w:sz w:val="18"/>
          <w:szCs w:val="18"/>
        </w:rPr>
        <w:footnoteRef/>
      </w:r>
      <w:r w:rsidR="001A070E">
        <w:rPr>
          <w:rFonts w:ascii="Arial" w:hAnsi="Arial" w:cs="Arial"/>
          <w:sz w:val="18"/>
          <w:szCs w:val="18"/>
        </w:rPr>
        <w:t>.</w:t>
      </w:r>
      <w:r w:rsidRPr="001A070E">
        <w:rPr>
          <w:rFonts w:ascii="Arial" w:hAnsi="Arial" w:cs="Arial"/>
          <w:sz w:val="18"/>
          <w:szCs w:val="18"/>
        </w:rPr>
        <w:tab/>
        <w:t>Les titres sont indiqués dans la langue de soumission du dossier.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39" w:rsidRPr="002E58D4" w:rsidRDefault="00DE45D2" w:rsidP="002E58D4">
    <w:pPr>
      <w:pStyle w:val="Header"/>
      <w:rPr>
        <w:rFonts w:ascii="Arial" w:hAnsi="Arial" w:cs="Arial"/>
        <w:lang w:val="en-US"/>
      </w:rPr>
    </w:pPr>
    <w:r>
      <w:rPr>
        <w:rFonts w:ascii="Arial" w:hAnsi="Arial" w:cs="Arial"/>
        <w:sz w:val="20"/>
        <w:szCs w:val="20"/>
        <w:lang w:val="en-US"/>
      </w:rPr>
      <w:t>ITH/15/10.COM/13</w:t>
    </w:r>
    <w:r w:rsidR="00374739" w:rsidRPr="00EF563B">
      <w:rPr>
        <w:rFonts w:ascii="Arial" w:hAnsi="Arial" w:cs="Arial"/>
        <w:sz w:val="20"/>
        <w:szCs w:val="20"/>
        <w:lang w:val="en-US"/>
      </w:rPr>
      <w:t xml:space="preserve"> – page </w:t>
    </w:r>
    <w:r w:rsidR="00374739" w:rsidRPr="00EF563B">
      <w:rPr>
        <w:rStyle w:val="PageNumber"/>
        <w:rFonts w:ascii="Arial" w:hAnsi="Arial" w:cs="Arial"/>
        <w:sz w:val="20"/>
        <w:szCs w:val="20"/>
      </w:rPr>
      <w:fldChar w:fldCharType="begin"/>
    </w:r>
    <w:r w:rsidR="00374739" w:rsidRPr="00EF563B">
      <w:rPr>
        <w:rStyle w:val="PageNumber"/>
        <w:rFonts w:ascii="Arial" w:hAnsi="Arial" w:cs="Arial"/>
        <w:sz w:val="20"/>
        <w:szCs w:val="20"/>
        <w:lang w:val="en-US"/>
      </w:rPr>
      <w:instrText xml:space="preserve"> </w:instrText>
    </w:r>
    <w:r w:rsidR="00374739">
      <w:rPr>
        <w:rStyle w:val="PageNumber"/>
        <w:rFonts w:ascii="Arial" w:hAnsi="Arial" w:cs="Arial"/>
        <w:sz w:val="20"/>
        <w:szCs w:val="20"/>
        <w:lang w:val="en-US"/>
      </w:rPr>
      <w:instrText>PAGE</w:instrText>
    </w:r>
    <w:r w:rsidR="00374739" w:rsidRPr="00EF563B">
      <w:rPr>
        <w:rStyle w:val="PageNumber"/>
        <w:rFonts w:ascii="Arial" w:hAnsi="Arial" w:cs="Arial"/>
        <w:sz w:val="20"/>
        <w:szCs w:val="20"/>
        <w:lang w:val="en-US"/>
      </w:rPr>
      <w:instrText xml:space="preserve"> </w:instrText>
    </w:r>
    <w:r w:rsidR="00374739" w:rsidRPr="00EF563B">
      <w:rPr>
        <w:rStyle w:val="PageNumber"/>
        <w:rFonts w:ascii="Arial" w:hAnsi="Arial" w:cs="Arial"/>
        <w:sz w:val="20"/>
        <w:szCs w:val="20"/>
      </w:rPr>
      <w:fldChar w:fldCharType="separate"/>
    </w:r>
    <w:r w:rsidR="001A070E">
      <w:rPr>
        <w:rStyle w:val="PageNumber"/>
        <w:rFonts w:ascii="Arial" w:hAnsi="Arial" w:cs="Arial"/>
        <w:noProof/>
        <w:sz w:val="20"/>
        <w:szCs w:val="20"/>
        <w:lang w:val="en-US"/>
      </w:rPr>
      <w:t>8</w:t>
    </w:r>
    <w:r w:rsidR="00374739"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39" w:rsidRPr="00BC3420" w:rsidRDefault="00DE45D2" w:rsidP="00BC3420">
    <w:pPr>
      <w:pStyle w:val="Header"/>
      <w:jc w:val="right"/>
      <w:rPr>
        <w:rFonts w:ascii="Arial" w:hAnsi="Arial" w:cs="Arial"/>
        <w:lang w:val="en-US"/>
      </w:rPr>
    </w:pPr>
    <w:r>
      <w:rPr>
        <w:rFonts w:ascii="Arial" w:hAnsi="Arial" w:cs="Arial"/>
        <w:sz w:val="20"/>
        <w:szCs w:val="20"/>
        <w:lang w:val="en-US"/>
      </w:rPr>
      <w:t>ITH/15/10.COM/13</w:t>
    </w:r>
    <w:r w:rsidR="00374739" w:rsidRPr="00EF563B">
      <w:rPr>
        <w:rFonts w:ascii="Arial" w:hAnsi="Arial" w:cs="Arial"/>
        <w:sz w:val="20"/>
        <w:szCs w:val="20"/>
        <w:lang w:val="en-US"/>
      </w:rPr>
      <w:t xml:space="preserve"> – page </w:t>
    </w:r>
    <w:r w:rsidR="00374739" w:rsidRPr="00EF563B">
      <w:rPr>
        <w:rStyle w:val="PageNumber"/>
        <w:rFonts w:ascii="Arial" w:hAnsi="Arial" w:cs="Arial"/>
        <w:sz w:val="20"/>
        <w:szCs w:val="20"/>
      </w:rPr>
      <w:fldChar w:fldCharType="begin"/>
    </w:r>
    <w:r w:rsidR="00374739" w:rsidRPr="00EF563B">
      <w:rPr>
        <w:rStyle w:val="PageNumber"/>
        <w:rFonts w:ascii="Arial" w:hAnsi="Arial" w:cs="Arial"/>
        <w:sz w:val="20"/>
        <w:szCs w:val="20"/>
        <w:lang w:val="en-US"/>
      </w:rPr>
      <w:instrText xml:space="preserve"> </w:instrText>
    </w:r>
    <w:r w:rsidR="00374739">
      <w:rPr>
        <w:rStyle w:val="PageNumber"/>
        <w:rFonts w:ascii="Arial" w:hAnsi="Arial" w:cs="Arial"/>
        <w:sz w:val="20"/>
        <w:szCs w:val="20"/>
        <w:lang w:val="en-US"/>
      </w:rPr>
      <w:instrText>PAGE</w:instrText>
    </w:r>
    <w:r w:rsidR="00374739" w:rsidRPr="00EF563B">
      <w:rPr>
        <w:rStyle w:val="PageNumber"/>
        <w:rFonts w:ascii="Arial" w:hAnsi="Arial" w:cs="Arial"/>
        <w:sz w:val="20"/>
        <w:szCs w:val="20"/>
        <w:lang w:val="en-US"/>
      </w:rPr>
      <w:instrText xml:space="preserve"> </w:instrText>
    </w:r>
    <w:r w:rsidR="00374739" w:rsidRPr="00EF563B">
      <w:rPr>
        <w:rStyle w:val="PageNumber"/>
        <w:rFonts w:ascii="Arial" w:hAnsi="Arial" w:cs="Arial"/>
        <w:sz w:val="20"/>
        <w:szCs w:val="20"/>
      </w:rPr>
      <w:fldChar w:fldCharType="separate"/>
    </w:r>
    <w:r w:rsidR="001A070E">
      <w:rPr>
        <w:rStyle w:val="PageNumber"/>
        <w:rFonts w:ascii="Arial" w:hAnsi="Arial" w:cs="Arial"/>
        <w:noProof/>
        <w:sz w:val="20"/>
        <w:szCs w:val="20"/>
        <w:lang w:val="en-US"/>
      </w:rPr>
      <w:t>9</w:t>
    </w:r>
    <w:r w:rsidR="00374739"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39" w:rsidRPr="008724E5" w:rsidRDefault="00374739">
    <w:pPr>
      <w:pStyle w:val="Header"/>
    </w:pPr>
    <w:r>
      <w:rPr>
        <w:noProof/>
      </w:rPr>
      <w:drawing>
        <wp:anchor distT="0" distB="0" distL="114300" distR="114300" simplePos="0" relativeHeight="251657728" behindDoc="0" locked="0" layoutInCell="1" allowOverlap="1" wp14:anchorId="3975DFBD" wp14:editId="7A153A49">
          <wp:simplePos x="0" y="0"/>
          <wp:positionH relativeFrom="column">
            <wp:posOffset>-377190</wp:posOffset>
          </wp:positionH>
          <wp:positionV relativeFrom="paragraph">
            <wp:posOffset>5080</wp:posOffset>
          </wp:positionV>
          <wp:extent cx="2038350" cy="1529080"/>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739" w:rsidRPr="00DE45D2" w:rsidRDefault="00374739" w:rsidP="00655736">
    <w:pPr>
      <w:pStyle w:val="Header"/>
      <w:spacing w:after="520"/>
      <w:jc w:val="right"/>
      <w:rPr>
        <w:rFonts w:ascii="Arial" w:hAnsi="Arial" w:cs="Arial"/>
        <w:b/>
        <w:sz w:val="44"/>
        <w:szCs w:val="44"/>
        <w:lang w:val="pt-BR"/>
      </w:rPr>
    </w:pPr>
    <w:r w:rsidRPr="00DE45D2">
      <w:rPr>
        <w:rFonts w:ascii="Arial" w:hAnsi="Arial" w:cs="Arial"/>
        <w:b/>
        <w:sz w:val="44"/>
        <w:szCs w:val="44"/>
        <w:lang w:val="pt-BR"/>
      </w:rPr>
      <w:t>10 COM</w:t>
    </w:r>
  </w:p>
  <w:p w:rsidR="00374739" w:rsidRPr="00DE45D2" w:rsidRDefault="00374739" w:rsidP="00655736">
    <w:pPr>
      <w:jc w:val="right"/>
      <w:rPr>
        <w:rFonts w:ascii="Arial" w:hAnsi="Arial" w:cs="Arial"/>
        <w:b/>
        <w:sz w:val="22"/>
        <w:szCs w:val="22"/>
        <w:lang w:val="pt-BR"/>
      </w:rPr>
    </w:pPr>
    <w:r w:rsidRPr="00DE45D2">
      <w:rPr>
        <w:rFonts w:ascii="Arial" w:hAnsi="Arial" w:cs="Arial"/>
        <w:b/>
        <w:sz w:val="22"/>
        <w:szCs w:val="22"/>
        <w:lang w:val="pt-BR"/>
      </w:rPr>
      <w:t>ITH/15/10.COM/</w:t>
    </w:r>
    <w:r w:rsidR="00DE45D2">
      <w:rPr>
        <w:rFonts w:ascii="Arial" w:hAnsi="Arial" w:cs="Arial"/>
        <w:b/>
        <w:sz w:val="22"/>
        <w:szCs w:val="22"/>
        <w:lang w:val="pt-BR"/>
      </w:rPr>
      <w:t>13</w:t>
    </w:r>
  </w:p>
  <w:p w:rsidR="00374739" w:rsidRPr="00DE45D2" w:rsidRDefault="00374739" w:rsidP="00655736">
    <w:pPr>
      <w:jc w:val="right"/>
      <w:rPr>
        <w:rFonts w:ascii="Arial" w:hAnsi="Arial" w:cs="Arial"/>
        <w:b/>
        <w:sz w:val="22"/>
        <w:szCs w:val="22"/>
        <w:lang w:val="pt-BR"/>
      </w:rPr>
    </w:pPr>
    <w:r w:rsidRPr="00DE45D2">
      <w:rPr>
        <w:rFonts w:ascii="Arial" w:hAnsi="Arial" w:cs="Arial"/>
        <w:b/>
        <w:sz w:val="22"/>
        <w:szCs w:val="22"/>
        <w:lang w:val="pt-BR"/>
      </w:rPr>
      <w:t xml:space="preserve">Paris, le </w:t>
    </w:r>
    <w:r w:rsidR="00F126C2">
      <w:rPr>
        <w:rFonts w:ascii="Arial" w:hAnsi="Arial" w:cs="Arial"/>
        <w:b/>
        <w:sz w:val="22"/>
        <w:szCs w:val="22"/>
        <w:lang w:val="pt-BR"/>
      </w:rPr>
      <w:t>15 octobre</w:t>
    </w:r>
    <w:r w:rsidRPr="00DE45D2">
      <w:rPr>
        <w:rFonts w:ascii="Arial" w:hAnsi="Arial" w:cs="Arial"/>
        <w:b/>
        <w:sz w:val="22"/>
        <w:szCs w:val="22"/>
        <w:lang w:val="pt-BR"/>
      </w:rPr>
      <w:t xml:space="preserve"> 2015</w:t>
    </w:r>
  </w:p>
  <w:p w:rsidR="00374739" w:rsidRPr="00ED6087" w:rsidRDefault="00374739" w:rsidP="003E2A08">
    <w:pPr>
      <w:jc w:val="right"/>
      <w:rPr>
        <w:rFonts w:ascii="Arial" w:hAnsi="Arial" w:cs="Arial"/>
        <w:b/>
        <w:sz w:val="22"/>
        <w:szCs w:val="22"/>
        <w:lang w:val="pt-BR"/>
      </w:rPr>
    </w:pPr>
    <w:r w:rsidRPr="00ED6087">
      <w:rPr>
        <w:rFonts w:ascii="Arial" w:hAnsi="Arial" w:cs="Arial"/>
        <w:b/>
        <w:sz w:val="22"/>
        <w:szCs w:val="22"/>
        <w:lang w:val="pt-BR"/>
      </w:rPr>
      <w:t>Original : anglais</w:t>
    </w:r>
  </w:p>
  <w:p w:rsidR="00374739" w:rsidRPr="00ED6087" w:rsidRDefault="00374739">
    <w:pPr>
      <w:pStyle w:val="Header"/>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000285E6"/>
    <w:lvl w:ilvl="0" w:tplc="7206EC08">
      <w:start w:val="1"/>
      <w:numFmt w:val="decimal"/>
      <w:pStyle w:val="COMParabodytext"/>
      <w:lvlText w:val="%1."/>
      <w:lvlJc w:val="left"/>
      <w:pPr>
        <w:ind w:left="720" w:hanging="360"/>
      </w:pPr>
      <w:rPr>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0D3CF8CA"/>
    <w:lvl w:ilvl="0" w:tplc="F4F400BE">
      <w:start w:val="1"/>
      <w:numFmt w:val="decimal"/>
      <w:pStyle w:val="COMParaDecision"/>
      <w:lvlText w:val="%1."/>
      <w:lvlJc w:val="left"/>
      <w:pPr>
        <w:ind w:left="720" w:hanging="360"/>
      </w:pPr>
      <w:rPr>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4CFE75E4"/>
    <w:multiLevelType w:val="hybridMultilevel"/>
    <w:tmpl w:val="12FCAD9C"/>
    <w:lvl w:ilvl="0" w:tplc="DA2C4504">
      <w:start w:val="1"/>
      <w:numFmt w:val="decimal"/>
      <w:lvlText w:val="%1."/>
      <w:lvlJc w:val="left"/>
      <w:pPr>
        <w:ind w:left="783" w:hanging="360"/>
      </w:pPr>
      <w:rPr>
        <w:lang w:val="fr-FR"/>
      </w:rPr>
    </w:lvl>
    <w:lvl w:ilvl="1" w:tplc="040C0019">
      <w:start w:val="1"/>
      <w:numFmt w:val="lowerLetter"/>
      <w:lvlText w:val="%2."/>
      <w:lvlJc w:val="left"/>
      <w:pPr>
        <w:ind w:left="1503" w:hanging="360"/>
      </w:pPr>
    </w:lvl>
    <w:lvl w:ilvl="2" w:tplc="040C001B">
      <w:start w:val="1"/>
      <w:numFmt w:val="lowerRoman"/>
      <w:lvlText w:val="%3."/>
      <w:lvlJc w:val="right"/>
      <w:pPr>
        <w:ind w:left="2223" w:hanging="180"/>
      </w:pPr>
    </w:lvl>
    <w:lvl w:ilvl="3" w:tplc="040C000F">
      <w:start w:val="1"/>
      <w:numFmt w:val="decimal"/>
      <w:lvlText w:val="%4."/>
      <w:lvlJc w:val="left"/>
      <w:pPr>
        <w:ind w:left="2943" w:hanging="360"/>
      </w:pPr>
    </w:lvl>
    <w:lvl w:ilvl="4" w:tplc="040C0019">
      <w:start w:val="1"/>
      <w:numFmt w:val="lowerLetter"/>
      <w:lvlText w:val="%5."/>
      <w:lvlJc w:val="left"/>
      <w:pPr>
        <w:ind w:left="3663" w:hanging="360"/>
      </w:pPr>
    </w:lvl>
    <w:lvl w:ilvl="5" w:tplc="040C001B">
      <w:start w:val="1"/>
      <w:numFmt w:val="lowerRoman"/>
      <w:lvlText w:val="%6."/>
      <w:lvlJc w:val="right"/>
      <w:pPr>
        <w:ind w:left="4383" w:hanging="180"/>
      </w:pPr>
    </w:lvl>
    <w:lvl w:ilvl="6" w:tplc="040C000F">
      <w:start w:val="1"/>
      <w:numFmt w:val="decimal"/>
      <w:lvlText w:val="%7."/>
      <w:lvlJc w:val="left"/>
      <w:pPr>
        <w:ind w:left="5103" w:hanging="360"/>
      </w:pPr>
    </w:lvl>
    <w:lvl w:ilvl="7" w:tplc="040C0019">
      <w:start w:val="1"/>
      <w:numFmt w:val="lowerLetter"/>
      <w:lvlText w:val="%8."/>
      <w:lvlJc w:val="left"/>
      <w:pPr>
        <w:ind w:left="5823" w:hanging="360"/>
      </w:pPr>
    </w:lvl>
    <w:lvl w:ilvl="8" w:tplc="040C001B">
      <w:start w:val="1"/>
      <w:numFmt w:val="lowerRoman"/>
      <w:lvlText w:val="%9."/>
      <w:lvlJc w:val="right"/>
      <w:pPr>
        <w:ind w:left="6543" w:hanging="180"/>
      </w:pPr>
    </w:lvl>
  </w:abstractNum>
  <w:abstractNum w:abstractNumId="1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12"/>
  </w:num>
  <w:num w:numId="5">
    <w:abstractNumId w:val="11"/>
  </w:num>
  <w:num w:numId="6">
    <w:abstractNumId w:val="0"/>
  </w:num>
  <w:num w:numId="7">
    <w:abstractNumId w:val="2"/>
  </w:num>
  <w:num w:numId="8">
    <w:abstractNumId w:val="8"/>
  </w:num>
  <w:num w:numId="9">
    <w:abstractNumId w:val="5"/>
  </w:num>
  <w:num w:numId="10">
    <w:abstractNumId w:val="7"/>
  </w:num>
  <w:num w:numId="11">
    <w:abstractNumId w:val="4"/>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11D"/>
    <w:rsid w:val="00020BFC"/>
    <w:rsid w:val="00022428"/>
    <w:rsid w:val="000263BA"/>
    <w:rsid w:val="00032D82"/>
    <w:rsid w:val="00035186"/>
    <w:rsid w:val="0003530D"/>
    <w:rsid w:val="00046030"/>
    <w:rsid w:val="0005176E"/>
    <w:rsid w:val="00052280"/>
    <w:rsid w:val="00066A71"/>
    <w:rsid w:val="00077AB7"/>
    <w:rsid w:val="00081CD8"/>
    <w:rsid w:val="0008329C"/>
    <w:rsid w:val="000841F8"/>
    <w:rsid w:val="00094A5D"/>
    <w:rsid w:val="00095539"/>
    <w:rsid w:val="000A7F0E"/>
    <w:rsid w:val="000C2AA8"/>
    <w:rsid w:val="000C502A"/>
    <w:rsid w:val="000D3DC5"/>
    <w:rsid w:val="000E6CD7"/>
    <w:rsid w:val="000F3A3F"/>
    <w:rsid w:val="001172E0"/>
    <w:rsid w:val="00124225"/>
    <w:rsid w:val="001533A7"/>
    <w:rsid w:val="001573E2"/>
    <w:rsid w:val="00164D56"/>
    <w:rsid w:val="00165170"/>
    <w:rsid w:val="00167B10"/>
    <w:rsid w:val="001801FA"/>
    <w:rsid w:val="00187E7E"/>
    <w:rsid w:val="0019264E"/>
    <w:rsid w:val="00196C1B"/>
    <w:rsid w:val="001A070E"/>
    <w:rsid w:val="001A766C"/>
    <w:rsid w:val="001B0F73"/>
    <w:rsid w:val="001B16B7"/>
    <w:rsid w:val="001B6C88"/>
    <w:rsid w:val="001C18E7"/>
    <w:rsid w:val="001D7FC5"/>
    <w:rsid w:val="001E5521"/>
    <w:rsid w:val="002008C5"/>
    <w:rsid w:val="0020150F"/>
    <w:rsid w:val="0022250C"/>
    <w:rsid w:val="00222A2D"/>
    <w:rsid w:val="0022696E"/>
    <w:rsid w:val="002407AF"/>
    <w:rsid w:val="002457DD"/>
    <w:rsid w:val="00261B03"/>
    <w:rsid w:val="00261D77"/>
    <w:rsid w:val="00280D62"/>
    <w:rsid w:val="00285ED5"/>
    <w:rsid w:val="002A6C11"/>
    <w:rsid w:val="002A6F73"/>
    <w:rsid w:val="002B17FD"/>
    <w:rsid w:val="002B412A"/>
    <w:rsid w:val="002B5636"/>
    <w:rsid w:val="002C0D14"/>
    <w:rsid w:val="002C7DD3"/>
    <w:rsid w:val="002E139A"/>
    <w:rsid w:val="002E3D25"/>
    <w:rsid w:val="002E3D7F"/>
    <w:rsid w:val="002E58D4"/>
    <w:rsid w:val="00334191"/>
    <w:rsid w:val="003511E4"/>
    <w:rsid w:val="00352616"/>
    <w:rsid w:val="003717A6"/>
    <w:rsid w:val="00371D4A"/>
    <w:rsid w:val="00374739"/>
    <w:rsid w:val="003845BE"/>
    <w:rsid w:val="00393517"/>
    <w:rsid w:val="003C1678"/>
    <w:rsid w:val="003D069C"/>
    <w:rsid w:val="003E07D8"/>
    <w:rsid w:val="003E2A08"/>
    <w:rsid w:val="003F113A"/>
    <w:rsid w:val="00406860"/>
    <w:rsid w:val="00407541"/>
    <w:rsid w:val="004239C7"/>
    <w:rsid w:val="00436400"/>
    <w:rsid w:val="00437961"/>
    <w:rsid w:val="00440F9B"/>
    <w:rsid w:val="004421E5"/>
    <w:rsid w:val="00443880"/>
    <w:rsid w:val="00452284"/>
    <w:rsid w:val="00457DA1"/>
    <w:rsid w:val="0047556A"/>
    <w:rsid w:val="00486948"/>
    <w:rsid w:val="0049705E"/>
    <w:rsid w:val="004B315F"/>
    <w:rsid w:val="004B3764"/>
    <w:rsid w:val="004D4382"/>
    <w:rsid w:val="004E2073"/>
    <w:rsid w:val="004E60F7"/>
    <w:rsid w:val="004F5F99"/>
    <w:rsid w:val="00526B7B"/>
    <w:rsid w:val="005308CE"/>
    <w:rsid w:val="005579C1"/>
    <w:rsid w:val="00573F5F"/>
    <w:rsid w:val="0057439C"/>
    <w:rsid w:val="0058537C"/>
    <w:rsid w:val="005A4553"/>
    <w:rsid w:val="005B0127"/>
    <w:rsid w:val="005C094D"/>
    <w:rsid w:val="005C3B70"/>
    <w:rsid w:val="005C4B73"/>
    <w:rsid w:val="005C7BE7"/>
    <w:rsid w:val="005D03BC"/>
    <w:rsid w:val="005D0B18"/>
    <w:rsid w:val="005D755A"/>
    <w:rsid w:val="005F3215"/>
    <w:rsid w:val="005F5666"/>
    <w:rsid w:val="005F5AF1"/>
    <w:rsid w:val="00600D93"/>
    <w:rsid w:val="006016A7"/>
    <w:rsid w:val="00627C5C"/>
    <w:rsid w:val="006370D8"/>
    <w:rsid w:val="00646B8D"/>
    <w:rsid w:val="006529B5"/>
    <w:rsid w:val="00655736"/>
    <w:rsid w:val="00663B8D"/>
    <w:rsid w:val="006923BD"/>
    <w:rsid w:val="00696C8D"/>
    <w:rsid w:val="006A2AC2"/>
    <w:rsid w:val="006A2EE8"/>
    <w:rsid w:val="006A3617"/>
    <w:rsid w:val="006B5001"/>
    <w:rsid w:val="006C6ADC"/>
    <w:rsid w:val="006D21D9"/>
    <w:rsid w:val="006D2536"/>
    <w:rsid w:val="006E4573"/>
    <w:rsid w:val="006E46E4"/>
    <w:rsid w:val="006F54BE"/>
    <w:rsid w:val="00714483"/>
    <w:rsid w:val="00717DBD"/>
    <w:rsid w:val="00721912"/>
    <w:rsid w:val="00740BD4"/>
    <w:rsid w:val="00764CF9"/>
    <w:rsid w:val="007758D6"/>
    <w:rsid w:val="00780305"/>
    <w:rsid w:val="00784B8C"/>
    <w:rsid w:val="007C2127"/>
    <w:rsid w:val="007D064F"/>
    <w:rsid w:val="007D6D47"/>
    <w:rsid w:val="0080362D"/>
    <w:rsid w:val="008064F0"/>
    <w:rsid w:val="008214E8"/>
    <w:rsid w:val="00823A11"/>
    <w:rsid w:val="00823AB1"/>
    <w:rsid w:val="00824EF7"/>
    <w:rsid w:val="008310FA"/>
    <w:rsid w:val="00845A54"/>
    <w:rsid w:val="0085414A"/>
    <w:rsid w:val="00857547"/>
    <w:rsid w:val="00857D79"/>
    <w:rsid w:val="00861AE5"/>
    <w:rsid w:val="0086269D"/>
    <w:rsid w:val="00863302"/>
    <w:rsid w:val="00863CED"/>
    <w:rsid w:val="008712A2"/>
    <w:rsid w:val="00871C8F"/>
    <w:rsid w:val="008724E5"/>
    <w:rsid w:val="00876FAE"/>
    <w:rsid w:val="00884A9D"/>
    <w:rsid w:val="00896EBD"/>
    <w:rsid w:val="008A4E1E"/>
    <w:rsid w:val="008B2A47"/>
    <w:rsid w:val="008B45D4"/>
    <w:rsid w:val="008C1946"/>
    <w:rsid w:val="008C296C"/>
    <w:rsid w:val="008D4305"/>
    <w:rsid w:val="00913D86"/>
    <w:rsid w:val="009163A7"/>
    <w:rsid w:val="00917307"/>
    <w:rsid w:val="00922E3E"/>
    <w:rsid w:val="00933C6B"/>
    <w:rsid w:val="00950F68"/>
    <w:rsid w:val="009521DF"/>
    <w:rsid w:val="00962119"/>
    <w:rsid w:val="009717A7"/>
    <w:rsid w:val="00974249"/>
    <w:rsid w:val="009753AF"/>
    <w:rsid w:val="009850C5"/>
    <w:rsid w:val="009A18CD"/>
    <w:rsid w:val="009A59CF"/>
    <w:rsid w:val="009A7CD7"/>
    <w:rsid w:val="009C7D9D"/>
    <w:rsid w:val="009E1B50"/>
    <w:rsid w:val="009F50DB"/>
    <w:rsid w:val="009F7EDF"/>
    <w:rsid w:val="00A079EE"/>
    <w:rsid w:val="00A12558"/>
    <w:rsid w:val="00A13903"/>
    <w:rsid w:val="00A23265"/>
    <w:rsid w:val="00A26969"/>
    <w:rsid w:val="00A26BD4"/>
    <w:rsid w:val="00A34ED5"/>
    <w:rsid w:val="00A45DBF"/>
    <w:rsid w:val="00A61C6E"/>
    <w:rsid w:val="00A64F00"/>
    <w:rsid w:val="00A72032"/>
    <w:rsid w:val="00A755A2"/>
    <w:rsid w:val="00A82DEE"/>
    <w:rsid w:val="00A90761"/>
    <w:rsid w:val="00AB2C36"/>
    <w:rsid w:val="00AD1A86"/>
    <w:rsid w:val="00AE103E"/>
    <w:rsid w:val="00AE2FCE"/>
    <w:rsid w:val="00AE71A5"/>
    <w:rsid w:val="00AF0A07"/>
    <w:rsid w:val="00AF5AE5"/>
    <w:rsid w:val="00AF625E"/>
    <w:rsid w:val="00AF721B"/>
    <w:rsid w:val="00B152B1"/>
    <w:rsid w:val="00B20B02"/>
    <w:rsid w:val="00B233E0"/>
    <w:rsid w:val="00B306C6"/>
    <w:rsid w:val="00B37679"/>
    <w:rsid w:val="00B43974"/>
    <w:rsid w:val="00B75BE2"/>
    <w:rsid w:val="00B90701"/>
    <w:rsid w:val="00B944C7"/>
    <w:rsid w:val="00B947EF"/>
    <w:rsid w:val="00BA55C6"/>
    <w:rsid w:val="00BB3456"/>
    <w:rsid w:val="00BC3420"/>
    <w:rsid w:val="00BD10FC"/>
    <w:rsid w:val="00BD52C9"/>
    <w:rsid w:val="00BE6354"/>
    <w:rsid w:val="00BF0543"/>
    <w:rsid w:val="00BF3F51"/>
    <w:rsid w:val="00C0268F"/>
    <w:rsid w:val="00C04283"/>
    <w:rsid w:val="00C076B2"/>
    <w:rsid w:val="00C2291E"/>
    <w:rsid w:val="00C358C4"/>
    <w:rsid w:val="00C377F5"/>
    <w:rsid w:val="00C70EA7"/>
    <w:rsid w:val="00C7516E"/>
    <w:rsid w:val="00C84EEB"/>
    <w:rsid w:val="00C95EBC"/>
    <w:rsid w:val="00CC21DA"/>
    <w:rsid w:val="00CC25A1"/>
    <w:rsid w:val="00D016D4"/>
    <w:rsid w:val="00D04333"/>
    <w:rsid w:val="00D04B01"/>
    <w:rsid w:val="00D12DCD"/>
    <w:rsid w:val="00D23EA2"/>
    <w:rsid w:val="00D24877"/>
    <w:rsid w:val="00D33531"/>
    <w:rsid w:val="00D75D42"/>
    <w:rsid w:val="00D77D64"/>
    <w:rsid w:val="00D946B7"/>
    <w:rsid w:val="00DA049E"/>
    <w:rsid w:val="00DA273E"/>
    <w:rsid w:val="00DA36ED"/>
    <w:rsid w:val="00DA511D"/>
    <w:rsid w:val="00DB4A84"/>
    <w:rsid w:val="00DE0433"/>
    <w:rsid w:val="00DE2DA9"/>
    <w:rsid w:val="00DE34F1"/>
    <w:rsid w:val="00DE45D2"/>
    <w:rsid w:val="00DE57FB"/>
    <w:rsid w:val="00DF4942"/>
    <w:rsid w:val="00E0730E"/>
    <w:rsid w:val="00E22288"/>
    <w:rsid w:val="00E27B58"/>
    <w:rsid w:val="00E333C3"/>
    <w:rsid w:val="00E569A6"/>
    <w:rsid w:val="00E627B1"/>
    <w:rsid w:val="00E62B4C"/>
    <w:rsid w:val="00E77678"/>
    <w:rsid w:val="00E9376C"/>
    <w:rsid w:val="00EA1EFE"/>
    <w:rsid w:val="00ED6087"/>
    <w:rsid w:val="00F00740"/>
    <w:rsid w:val="00F07384"/>
    <w:rsid w:val="00F1063F"/>
    <w:rsid w:val="00F126C2"/>
    <w:rsid w:val="00F134B7"/>
    <w:rsid w:val="00F157C1"/>
    <w:rsid w:val="00F20969"/>
    <w:rsid w:val="00F31C71"/>
    <w:rsid w:val="00F519D3"/>
    <w:rsid w:val="00F576CB"/>
    <w:rsid w:val="00F80404"/>
    <w:rsid w:val="00F93B8B"/>
    <w:rsid w:val="00FC2940"/>
    <w:rsid w:val="00FC4715"/>
    <w:rsid w:val="00FD1226"/>
    <w:rsid w:val="00FD1C98"/>
    <w:rsid w:val="00FE0F86"/>
    <w:rsid w:val="00FF088A"/>
    <w:rsid w:val="00FF10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87526CF-1705-40D9-9E2B-BBB7A2B1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customStyle="1" w:styleId="COMPara">
    <w:name w:val="COM Para"/>
    <w:qFormat/>
    <w:rsid w:val="00FD1C98"/>
    <w:pPr>
      <w:snapToGrid w:val="0"/>
      <w:spacing w:after="120"/>
      <w:ind w:left="567" w:hanging="567"/>
    </w:pPr>
    <w:rPr>
      <w:rFonts w:ascii="Arial" w:eastAsia="Times New Roman" w:hAnsi="Arial" w:cs="Arial"/>
      <w:sz w:val="22"/>
      <w:szCs w:val="22"/>
      <w:lang w:val="en-GB" w:eastAsia="en-US"/>
    </w:rPr>
  </w:style>
  <w:style w:type="character" w:styleId="Hyperlink">
    <w:name w:val="Hyperlink"/>
    <w:uiPriority w:val="99"/>
    <w:semiHidden/>
    <w:unhideWhenUsed/>
    <w:rsid w:val="00FD1C98"/>
    <w:rPr>
      <w:color w:val="0000FF"/>
      <w:u w:val="single"/>
    </w:rPr>
  </w:style>
  <w:style w:type="paragraph" w:styleId="FootnoteText">
    <w:name w:val="footnote text"/>
    <w:basedOn w:val="Normal"/>
    <w:link w:val="FootnoteTextChar"/>
    <w:uiPriority w:val="99"/>
    <w:semiHidden/>
    <w:unhideWhenUsed/>
    <w:rsid w:val="00FD1C98"/>
    <w:rPr>
      <w:sz w:val="20"/>
      <w:szCs w:val="20"/>
    </w:rPr>
  </w:style>
  <w:style w:type="character" w:customStyle="1" w:styleId="FootnoteTextChar">
    <w:name w:val="Footnote Text Char"/>
    <w:basedOn w:val="DefaultParagraphFont"/>
    <w:link w:val="FootnoteText"/>
    <w:uiPriority w:val="99"/>
    <w:semiHidden/>
    <w:rsid w:val="00FD1C98"/>
    <w:rPr>
      <w:rFonts w:ascii="Times New Roman" w:eastAsia="Times New Roman" w:hAnsi="Times New Roman"/>
    </w:rPr>
  </w:style>
  <w:style w:type="character" w:styleId="FootnoteReference">
    <w:name w:val="footnote reference"/>
    <w:uiPriority w:val="99"/>
    <w:semiHidden/>
    <w:unhideWhenUsed/>
    <w:rsid w:val="00FD1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8561">
      <w:bodyDiv w:val="1"/>
      <w:marLeft w:val="0"/>
      <w:marRight w:val="0"/>
      <w:marTop w:val="0"/>
      <w:marBottom w:val="0"/>
      <w:divBdr>
        <w:top w:val="none" w:sz="0" w:space="0" w:color="auto"/>
        <w:left w:val="none" w:sz="0" w:space="0" w:color="auto"/>
        <w:bottom w:val="none" w:sz="0" w:space="0" w:color="auto"/>
        <w:right w:val="none" w:sz="0" w:space="0" w:color="auto"/>
      </w:divBdr>
    </w:div>
    <w:div w:id="286547534">
      <w:bodyDiv w:val="1"/>
      <w:marLeft w:val="0"/>
      <w:marRight w:val="0"/>
      <w:marTop w:val="0"/>
      <w:marBottom w:val="0"/>
      <w:divBdr>
        <w:top w:val="none" w:sz="0" w:space="0" w:color="auto"/>
        <w:left w:val="none" w:sz="0" w:space="0" w:color="auto"/>
        <w:bottom w:val="none" w:sz="0" w:space="0" w:color="auto"/>
        <w:right w:val="none" w:sz="0" w:space="0" w:color="auto"/>
      </w:divBdr>
    </w:div>
    <w:div w:id="713309520">
      <w:bodyDiv w:val="1"/>
      <w:marLeft w:val="0"/>
      <w:marRight w:val="0"/>
      <w:marTop w:val="0"/>
      <w:marBottom w:val="0"/>
      <w:divBdr>
        <w:top w:val="none" w:sz="0" w:space="0" w:color="auto"/>
        <w:left w:val="none" w:sz="0" w:space="0" w:color="auto"/>
        <w:bottom w:val="none" w:sz="0" w:space="0" w:color="auto"/>
        <w:right w:val="none" w:sz="0" w:space="0" w:color="auto"/>
      </w:divBdr>
    </w:div>
    <w:div w:id="963850165">
      <w:bodyDiv w:val="1"/>
      <w:marLeft w:val="0"/>
      <w:marRight w:val="0"/>
      <w:marTop w:val="0"/>
      <w:marBottom w:val="0"/>
      <w:divBdr>
        <w:top w:val="none" w:sz="0" w:space="0" w:color="auto"/>
        <w:left w:val="none" w:sz="0" w:space="0" w:color="auto"/>
        <w:bottom w:val="none" w:sz="0" w:space="0" w:color="auto"/>
        <w:right w:val="none" w:sz="0" w:space="0" w:color="auto"/>
      </w:divBdr>
    </w:div>
    <w:div w:id="1068921457">
      <w:bodyDiv w:val="1"/>
      <w:marLeft w:val="0"/>
      <w:marRight w:val="0"/>
      <w:marTop w:val="0"/>
      <w:marBottom w:val="0"/>
      <w:divBdr>
        <w:top w:val="none" w:sz="0" w:space="0" w:color="auto"/>
        <w:left w:val="none" w:sz="0" w:space="0" w:color="auto"/>
        <w:bottom w:val="none" w:sz="0" w:space="0" w:color="auto"/>
        <w:right w:val="none" w:sz="0" w:space="0" w:color="auto"/>
      </w:divBdr>
    </w:div>
    <w:div w:id="126133584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751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77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rigitte\Documents\Clients\UNESCO\Patrimoine%20immat&#233;riel\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34DC-129A-4B8F-B625-1F69BA75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Template>
  <TotalTime>47</TotalTime>
  <Pages>9</Pages>
  <Words>2902</Words>
  <Characters>15962</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Guérin</dc:creator>
  <cp:lastModifiedBy>c_duvelle</cp:lastModifiedBy>
  <cp:revision>16</cp:revision>
  <cp:lastPrinted>2015-09-25T09:38:00Z</cp:lastPrinted>
  <dcterms:created xsi:type="dcterms:W3CDTF">2015-09-25T10:23:00Z</dcterms:created>
  <dcterms:modified xsi:type="dcterms:W3CDTF">2015-10-29T17:16:00Z</dcterms:modified>
</cp:coreProperties>
</file>